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76736">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14:paraId="569F37E4">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东莞市水务集团科技发展有限公司屋顶分布式光伏发电（一期）采购项目</w:t>
      </w:r>
    </w:p>
    <w:p w14:paraId="3530054A">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0E47AB19">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6E7B8EEF">
      <w:pPr>
        <w:autoSpaceDE w:val="0"/>
        <w:autoSpaceDN w:val="0"/>
        <w:adjustRightInd w:val="0"/>
        <w:ind w:right="-23" w:rightChars="-11"/>
        <w:jc w:val="center"/>
        <w:rPr>
          <w:rFonts w:ascii="宋体" w:hAnsi="宋体" w:eastAsia="宋体" w:cs="Times New Roman"/>
          <w:b/>
          <w:bCs/>
          <w:color w:val="000000" w:themeColor="text1"/>
          <w:sz w:val="72"/>
          <w:szCs w:val="72"/>
          <w:highlight w:val="none"/>
          <w14:textFill>
            <w14:solidFill>
              <w14:schemeClr w14:val="tx1"/>
            </w14:solidFill>
          </w14:textFill>
        </w:rPr>
      </w:pPr>
    </w:p>
    <w:p w14:paraId="15275127">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2060EF0E">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41BFB42B">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726FA56B">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4029E4DE">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223E012D">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号：广建咨询（东招）2024-0133号</w:t>
      </w:r>
    </w:p>
    <w:p w14:paraId="3FBFDDBC">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人：东莞市水务集团科技发展有限公司</w:t>
      </w:r>
    </w:p>
    <w:p w14:paraId="3EAA4C97">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招标代理机构：建成工程咨询股份有限公司</w:t>
      </w:r>
    </w:p>
    <w:p w14:paraId="264907C9">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bookmarkStart w:id="0" w:name="OLE_LINK406"/>
    </w:p>
    <w:bookmarkEnd w:id="0"/>
    <w:p w14:paraId="5ABC7612">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0B0A7865">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2024</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9</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26</w:t>
      </w:r>
      <w:bookmarkStart w:id="1171" w:name="_GoBack"/>
      <w:bookmarkEnd w:id="1171"/>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2BB964BA">
      <w:pPr>
        <w:rPr>
          <w:rFonts w:ascii="宋体" w:hAnsi="宋体" w:eastAsia="宋体" w:cs="宋体"/>
          <w:b/>
          <w:bCs/>
          <w:color w:val="000000" w:themeColor="text1"/>
          <w:kern w:val="0"/>
          <w:sz w:val="52"/>
          <w:szCs w:val="52"/>
          <w:highlight w:val="none"/>
          <w14:textFill>
            <w14:solidFill>
              <w14:schemeClr w14:val="tx1"/>
            </w14:solidFill>
          </w14:textFill>
        </w:rPr>
      </w:pPr>
      <w:r>
        <w:rPr>
          <w:rFonts w:ascii="宋体" w:hAnsi="宋体" w:eastAsia="宋体" w:cs="宋体"/>
          <w:b/>
          <w:bCs/>
          <w:color w:val="000000" w:themeColor="text1"/>
          <w:kern w:val="0"/>
          <w:sz w:val="52"/>
          <w:szCs w:val="52"/>
          <w:highlight w:val="none"/>
          <w14:textFill>
            <w14:solidFill>
              <w14:schemeClr w14:val="tx1"/>
            </w14:solidFill>
          </w14:textFill>
        </w:rPr>
        <w:br w:type="page"/>
      </w:r>
    </w:p>
    <w:p w14:paraId="025A0998">
      <w:pPr>
        <w:pStyle w:val="3"/>
        <w:rPr>
          <w:color w:val="000000" w:themeColor="text1"/>
          <w:highlight w:val="none"/>
          <w14:textFill>
            <w14:solidFill>
              <w14:schemeClr w14:val="tx1"/>
            </w14:solidFill>
          </w14:textFill>
        </w:rPr>
      </w:pPr>
    </w:p>
    <w:sdt>
      <w:sdtPr>
        <w:rPr>
          <w:rFonts w:ascii="宋体" w:hAnsi="宋体" w:eastAsia="宋体"/>
          <w:b/>
          <w:bCs/>
          <w:color w:val="000000" w:themeColor="text1"/>
          <w:sz w:val="28"/>
          <w:szCs w:val="32"/>
          <w:highlight w:val="none"/>
          <w14:textFill>
            <w14:solidFill>
              <w14:schemeClr w14:val="tx1"/>
            </w14:solidFill>
          </w14:textFill>
        </w:rPr>
        <w:id w:val="147455330"/>
        <w15:color w:val="DBDBDB"/>
        <w:docPartObj>
          <w:docPartGallery w:val="Table of Contents"/>
          <w:docPartUnique/>
        </w:docPartObj>
      </w:sdtPr>
      <w:sdtEndPr>
        <w:rPr>
          <w:rFonts w:ascii="宋体" w:hAnsi="宋体" w:eastAsia="宋体"/>
          <w:b/>
          <w:bCs/>
          <w:color w:val="000000" w:themeColor="text1"/>
          <w:sz w:val="28"/>
          <w:szCs w:val="32"/>
          <w:highlight w:val="none"/>
          <w14:textFill>
            <w14:solidFill>
              <w14:schemeClr w14:val="tx1"/>
            </w14:solidFill>
          </w14:textFill>
        </w:rPr>
      </w:sdtEndPr>
      <w:sdtContent>
        <w:p w14:paraId="532EAD69">
          <w:pPr>
            <w:jc w:val="center"/>
            <w:rPr>
              <w:b/>
              <w:bCs/>
              <w:color w:val="000000" w:themeColor="text1"/>
              <w:sz w:val="28"/>
              <w:szCs w:val="32"/>
              <w:highlight w:val="none"/>
              <w14:textFill>
                <w14:solidFill>
                  <w14:schemeClr w14:val="tx1"/>
                </w14:solidFill>
              </w14:textFill>
            </w:rPr>
          </w:pPr>
          <w:bookmarkStart w:id="1" w:name="OLE_LINK407"/>
          <w:bookmarkStart w:id="2" w:name="_Toc450662846"/>
          <w:bookmarkStart w:id="3" w:name="_Toc486167660"/>
          <w:bookmarkStart w:id="4" w:name="_Toc142508310"/>
          <w:bookmarkStart w:id="5" w:name="_Toc2723_WPSOffice_Level1"/>
          <w:bookmarkStart w:id="6" w:name="_Toc11638"/>
          <w:r>
            <w:rPr>
              <w:rFonts w:ascii="宋体" w:hAnsi="宋体" w:eastAsia="宋体"/>
              <w:b/>
              <w:bCs/>
              <w:color w:val="000000" w:themeColor="text1"/>
              <w:sz w:val="28"/>
              <w:szCs w:val="32"/>
              <w:highlight w:val="none"/>
              <w14:textFill>
                <w14:solidFill>
                  <w14:schemeClr w14:val="tx1"/>
                </w14:solidFill>
              </w14:textFill>
            </w:rPr>
            <w:t>目</w:t>
          </w:r>
          <w:r>
            <w:rPr>
              <w:rFonts w:hint="eastAsia" w:ascii="宋体" w:hAnsi="宋体" w:eastAsia="宋体"/>
              <w:b/>
              <w:bCs/>
              <w:color w:val="000000" w:themeColor="text1"/>
              <w:sz w:val="28"/>
              <w:szCs w:val="32"/>
              <w:highlight w:val="none"/>
              <w14:textFill>
                <w14:solidFill>
                  <w14:schemeClr w14:val="tx1"/>
                </w14:solidFill>
              </w14:textFill>
            </w:rPr>
            <w:t xml:space="preserve"> </w:t>
          </w:r>
          <w:r>
            <w:rPr>
              <w:rFonts w:ascii="宋体" w:hAnsi="宋体" w:eastAsia="宋体"/>
              <w:b/>
              <w:bCs/>
              <w:color w:val="000000" w:themeColor="text1"/>
              <w:sz w:val="28"/>
              <w:szCs w:val="32"/>
              <w:highlight w:val="none"/>
              <w14:textFill>
                <w14:solidFill>
                  <w14:schemeClr w14:val="tx1"/>
                </w14:solidFill>
              </w14:textFill>
            </w:rPr>
            <w:t>录</w:t>
          </w:r>
        </w:p>
        <w:bookmarkEnd w:id="1"/>
        <w:p w14:paraId="40BF80E5">
          <w:pPr>
            <w:pStyle w:val="28"/>
            <w:tabs>
              <w:tab w:val="right" w:leader="dot" w:pos="10154"/>
            </w:tabs>
            <w:spacing w:line="360"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TOC \o "1-3" \h \u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"_Toc15756"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第一篇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_Toc15756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DC0A351">
          <w:pPr>
            <w:pStyle w:val="28"/>
            <w:tabs>
              <w:tab w:val="right" w:leader="dot" w:pos="1015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"_Toc18902"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第二篇</w:t>
          </w:r>
          <w:r>
            <w:rPr>
              <w:rFonts w:hint="eastAsia" w:ascii="宋体" w:hAnsi="宋体" w:eastAsia="宋体" w:cs="宋体"/>
              <w:bCs/>
              <w:color w:val="000000" w:themeColor="text1"/>
              <w:kern w:val="44"/>
              <w:szCs w:val="32"/>
              <w:highlight w:val="none"/>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_Toc18902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24610E6">
          <w:pPr>
            <w:pStyle w:val="28"/>
            <w:tabs>
              <w:tab w:val="right" w:leader="dot" w:pos="1015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"_Toc10618"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一、总则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_Toc10618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503236B">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"_Toc10676"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_Toc10676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4728DE0">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 合格的投标人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_Toc1411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9B98139">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"_Toc28362"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 合格的货物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_Toc28362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C9F400C">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"_Toc17995"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4 其它说明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_Toc17995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468EC1E">
          <w:pPr>
            <w:pStyle w:val="28"/>
            <w:tabs>
              <w:tab w:val="right" w:leader="dot" w:pos="1015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"_Toc10616"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二、招标文件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_Toc10616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83719FC">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"_Toc6097"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5 招标文件的构成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_Toc6097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4EC9F47">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"_Toc18010"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6 招标文件的异议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_Toc18010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4A7529D">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"_Toc19059"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_Toc19059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219397C">
          <w:pPr>
            <w:pStyle w:val="28"/>
            <w:tabs>
              <w:tab w:val="right" w:leader="dot" w:pos="1015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"_Toc22975"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三、投标文件的编制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_Toc22975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CBF2BD3">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"_Toc14598"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_Toc14598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D013F6D">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"_Toc5090"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_Toc5090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3EB2984">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"_Toc30889"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10 投标函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_Toc30889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FA47C87">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"_Toc3053"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11 投标报价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_Toc3053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44A1D22">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"_Toc26691"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12 投标报价货币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_Toc26691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A4C963E">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"_Toc16396"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_Toc16396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72C89CA">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"_Toc9411"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14 证明货物的合格性并符合招标文件规定的声明文件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_Toc9411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2AEC5E0">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"_Toc23319"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15 投标保证金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_Toc23319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5EA04C2">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"_Toc20641"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16 投标有效期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_Toc20641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DC54CFB">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"_Toc5282"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17 投标文件的式样和签署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_Toc5282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5273677">
          <w:pPr>
            <w:pStyle w:val="28"/>
            <w:tabs>
              <w:tab w:val="right" w:leader="dot" w:pos="1015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"_Toc20532"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四、投标文件的递交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_Toc20532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C6141AF">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"_Toc26225"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18 投标文件的密封和标记</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_Toc26225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A2190DF">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"_Toc27088"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19 递交投标文件的截止日期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_Toc27088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4BF7AA0">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"_Toc27296"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20 迟交的投标文件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_Toc27296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0D02E23">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"_Toc28627"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21 投标文件的修改和撤回</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_Toc28627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D86984E">
          <w:pPr>
            <w:pStyle w:val="28"/>
            <w:tabs>
              <w:tab w:val="right" w:leader="dot" w:pos="1015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"_Toc4101"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五、开标与评标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_Toc4101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F8DCCE4">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"_Toc3071"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22 开标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DFA22FE">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"_Toc32398"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 xml:space="preserve">23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_Toc32398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01D2DC9">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"_Toc16094"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24 评标委员会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_Toc16094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A7244BF">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"_Toc5035"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25 投标文件的初审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_Toc5035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CC42D3A">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"_Toc31484"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26 投标文件的澄清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_Toc31484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D07DBBF">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"_Toc24332"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27 对投标文件的比较和评价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_Toc24332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185E16A">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"_Toc17214"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28 评标原则及方法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_Toc17214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8256DBC">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"_Toc2613"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_Toc2613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EEF910C">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"_Toc11421"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_Toc11421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79C6BB2">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"_Toc10671"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_Toc10671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6DC930F">
          <w:pPr>
            <w:pStyle w:val="28"/>
            <w:tabs>
              <w:tab w:val="right" w:leader="dot" w:pos="1015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"_Toc26380"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六、授予合同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_Toc26380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70288FC">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"_Toc11498"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_Toc11498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74DD98D">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"_Toc20062"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33 中标通知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_Toc20062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09FE44A">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105E490">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"_Toc19285"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35 </w:t>
          </w:r>
          <w:r>
            <w:rPr>
              <w:rFonts w:hint="eastAsia" w:ascii="宋体" w:hAnsi="宋体" w:eastAsia="宋体" w:cs="宋体"/>
              <w:color w:val="000000" w:themeColor="text1"/>
              <w:szCs w:val="21"/>
              <w:highlight w:val="none"/>
              <w:lang w:val="zh-CN"/>
              <w14:textFill>
                <w14:solidFill>
                  <w14:schemeClr w14:val="tx1"/>
                </w14:solidFill>
              </w14:textFill>
            </w:rPr>
            <w:t>履约担保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_Toc19285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A1E67EB">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"_Toc27958"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_Toc27958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B8562BC">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"_Toc20043"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37</w:t>
          </w:r>
          <w:r>
            <w:rPr>
              <w:rFonts w:hint="eastAsia" w:ascii="宋体" w:hAnsi="宋体" w:eastAsia="宋体" w:cs="宋体"/>
              <w:color w:val="000000" w:themeColor="text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_Toc20043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729A142">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"_Toc12049"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_Toc12049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31C4E72">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"_Toc14362"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39 招标相关补充约定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_Toc14362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FFA53B7">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"_Toc13471"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40 以联合体形式投标的，应符合以下规定：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_Toc13471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16A6753">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"_Toc27425"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41 以联合体形式投标的企业说明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_Toc27425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A0ABECF">
          <w:pPr>
            <w:pStyle w:val="21"/>
            <w:tabs>
              <w:tab w:val="right" w:leader="dot" w:pos="10154"/>
              <w:tab w:val="clear" w:pos="1014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"_Toc10908" </w:instrText>
          </w:r>
          <w:r>
            <w:rPr>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42 本次招标活动的最终解释权归招标代理机构及招标人所有。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_Toc10908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946D502">
          <w:pPr>
            <w:pStyle w:val="28"/>
            <w:tabs>
              <w:tab w:val="right" w:leader="dot" w:pos="1015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"_Toc19867"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第三篇 用户需求书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_Toc19867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D665DFB">
          <w:pPr>
            <w:pStyle w:val="28"/>
            <w:tabs>
              <w:tab w:val="right" w:leader="dot" w:pos="1015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"_Toc24827"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第四篇 合同条款格式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_Toc24827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B303F1F">
          <w:pPr>
            <w:pStyle w:val="28"/>
            <w:tabs>
              <w:tab w:val="right" w:leader="dot" w:pos="1015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"_Toc4016"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lang w:val="zh-CN"/>
              <w14:textFill>
                <w14:solidFill>
                  <w14:schemeClr w14:val="tx1"/>
                </w14:solidFill>
              </w14:textFill>
            </w:rPr>
            <w:t>第五篇 相关保函格式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_Toc4016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4F27968">
          <w:pPr>
            <w:pStyle w:val="28"/>
            <w:tabs>
              <w:tab w:val="right" w:leader="dot" w:pos="1015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"_Toc28486"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第六篇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_Toc28486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528490C">
          <w:pPr>
            <w:pStyle w:val="28"/>
            <w:tabs>
              <w:tab w:val="right" w:leader="dot" w:pos="10154"/>
            </w:tabs>
            <w:spacing w:line="360" w:lineRule="auto"/>
            <w:rPr>
              <w:rFonts w:ascii="宋体" w:hAnsi="宋体" w:eastAsia="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"_Toc23484" </w:instrText>
          </w:r>
          <w:r>
            <w:rPr>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附件一：评标工作大纲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_Toc23484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5872908">
          <w:pPr>
            <w:spacing w:line="360" w:lineRule="auto"/>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end"/>
          </w:r>
        </w:p>
      </w:sdtContent>
    </w:sdt>
    <w:p w14:paraId="2D3DB8F3">
      <w:pPr>
        <w:rPr>
          <w:color w:val="000000" w:themeColor="text1"/>
          <w:highlight w:val="none"/>
          <w14:textFill>
            <w14:solidFill>
              <w14:schemeClr w14:val="tx1"/>
            </w14:solidFill>
          </w14:textFill>
        </w:rPr>
      </w:pPr>
    </w:p>
    <w:p w14:paraId="33ED2017">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7" w:name="_Toc15756"/>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2"/>
      <w:bookmarkEnd w:id="3"/>
      <w:bookmarkEnd w:id="4"/>
      <w:bookmarkEnd w:id="5"/>
      <w:bookmarkEnd w:id="6"/>
      <w:bookmarkEnd w:id="7"/>
    </w:p>
    <w:p w14:paraId="2AF4D5B8">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bookmarkStart w:id="8" w:name="OLE_LINK394"/>
      <w:r>
        <w:rPr>
          <w:rFonts w:hint="eastAsia" w:ascii="宋体" w:hAnsi="宋体" w:eastAsia="宋体" w:cs="Times New Roman"/>
          <w:color w:val="000000" w:themeColor="text1"/>
          <w:kern w:val="0"/>
          <w:szCs w:val="21"/>
          <w:highlight w:val="none"/>
          <w14:textFill>
            <w14:solidFill>
              <w14:schemeClr w14:val="tx1"/>
            </w14:solidFill>
          </w14:textFill>
        </w:rPr>
        <w:t>建成工程咨询股份有限公司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14:textFill>
            <w14:solidFill>
              <w14:schemeClr w14:val="tx1"/>
            </w14:solidFill>
          </w14:textFill>
        </w:rPr>
        <w:t>东莞市水务集团科技发展有限公司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9" w:name="OLE_LINK16"/>
      <w:bookmarkStart w:id="10" w:name="_Hlk41903390"/>
      <w:r>
        <w:rPr>
          <w:rFonts w:hint="eastAsia" w:ascii="宋体" w:hAnsi="宋体" w:eastAsia="宋体" w:cs="Times New Roman"/>
          <w:color w:val="000000" w:themeColor="text1"/>
          <w:kern w:val="0"/>
          <w:szCs w:val="21"/>
          <w:highlight w:val="none"/>
          <w14:textFill>
            <w14:solidFill>
              <w14:schemeClr w14:val="tx1"/>
            </w14:solidFill>
          </w14:textFill>
        </w:rPr>
        <w:t>东莞市水务集团科技发展有限公司屋顶分布式光伏发电（一期）采购项目</w:t>
      </w:r>
      <w:bookmarkEnd w:id="9"/>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广建咨询（东招）2024-0133号</w:t>
      </w:r>
      <w:r>
        <w:rPr>
          <w:rFonts w:ascii="宋体" w:hAnsi="宋体" w:eastAsia="宋体" w:cs="Times New Roman"/>
          <w:color w:val="000000" w:themeColor="text1"/>
          <w:szCs w:val="21"/>
          <w:highlight w:val="none"/>
          <w:lang w:val="zh-CN"/>
          <w14:textFill>
            <w14:solidFill>
              <w14:schemeClr w14:val="tx1"/>
            </w14:solidFill>
          </w14:textFill>
        </w:rPr>
        <w:t>)</w:t>
      </w:r>
      <w:bookmarkEnd w:id="10"/>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bookmarkEnd w:id="8"/>
    <w:p w14:paraId="0DB7B2A3">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5B4CD2EE">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w:t>
      </w:r>
      <w:bookmarkStart w:id="11" w:name="OLE_LINK23"/>
      <w:r>
        <w:rPr>
          <w:rFonts w:hint="eastAsia" w:ascii="宋体" w:hAnsi="宋体" w:eastAsia="宋体" w:cs="Times New Roman"/>
          <w:color w:val="000000" w:themeColor="text1"/>
          <w:szCs w:val="21"/>
          <w:highlight w:val="none"/>
          <w:lang w:val="zh-CN"/>
          <w14:textFill>
            <w14:solidFill>
              <w14:schemeClr w14:val="tx1"/>
            </w14:solidFill>
          </w14:textFill>
        </w:rPr>
        <w:t>东莞市水务集团科技发展有限公司屋顶分布式光伏发电（一期）采购项目，包括分布式光伏产品采购和配套的设计，接入并网点相应改造（含二期变压器增容），并网、验收手续的办理和1年运维等。</w:t>
      </w:r>
      <w:bookmarkEnd w:id="11"/>
      <w:r>
        <w:rPr>
          <w:rFonts w:hint="eastAsia" w:ascii="宋体" w:hAnsi="宋体" w:eastAsia="宋体" w:cs="Times New Roman"/>
          <w:color w:val="000000" w:themeColor="text1"/>
          <w:szCs w:val="21"/>
          <w:highlight w:val="none"/>
          <w:lang w:val="zh-CN"/>
          <w14:textFill>
            <w14:solidFill>
              <w14:schemeClr w14:val="tx1"/>
            </w14:solidFill>
          </w14:textFill>
        </w:rPr>
        <w:t>（具体内容详见：第三篇用户需求书）。</w:t>
      </w:r>
    </w:p>
    <w:p w14:paraId="2D44EBC0">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4814DED2">
      <w:pPr>
        <w:numPr>
          <w:ilvl w:val="0"/>
          <w:numId w:val="1"/>
        </w:numPr>
        <w:autoSpaceDE w:val="0"/>
        <w:autoSpaceDN w:val="0"/>
        <w:adjustRightInd w:val="0"/>
        <w:snapToGrid w:val="0"/>
        <w:spacing w:line="360" w:lineRule="auto"/>
        <w:ind w:right="-34"/>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p>
    <w:p w14:paraId="63B4EF5C">
      <w:pPr>
        <w:pStyle w:val="158"/>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bookmarkStart w:id="12" w:name="OLE_LINK396"/>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p>
    <w:bookmarkEnd w:id="12"/>
    <w:p w14:paraId="2F4F8ACB">
      <w:pPr>
        <w:pStyle w:val="158"/>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bookmarkStart w:id="13" w:name="OLE_LINK397"/>
      <w:bookmarkStart w:id="14" w:name="_Toc25819"/>
      <w:bookmarkStart w:id="15" w:name="OLE_LINK398"/>
      <w:r>
        <w:rPr>
          <w:rFonts w:hint="eastAsia" w:hAnsi="宋体" w:eastAsia="宋体"/>
          <w:b/>
          <w:color w:val="000000" w:themeColor="text1"/>
          <w:sz w:val="21"/>
          <w:szCs w:val="21"/>
          <w:highlight w:val="none"/>
          <w14:textFill>
            <w14:solidFill>
              <w14:schemeClr w14:val="tx1"/>
            </w14:solidFill>
          </w14:textFill>
        </w:rPr>
        <w:t xml:space="preserve">2.2 </w:t>
      </w:r>
      <w:bookmarkStart w:id="16" w:name="OLE_LINK399"/>
      <w:r>
        <w:rPr>
          <w:rFonts w:hint="eastAsia" w:hAnsi="宋体" w:eastAsia="宋体"/>
          <w:b/>
          <w:color w:val="000000" w:themeColor="text1"/>
          <w:sz w:val="21"/>
          <w:szCs w:val="21"/>
          <w:highlight w:val="none"/>
          <w14:textFill>
            <w14:solidFill>
              <w14:schemeClr w14:val="tx1"/>
            </w14:solidFill>
          </w14:textFill>
        </w:rPr>
        <w:t>本项目的特定资格要求：</w:t>
      </w:r>
      <w:bookmarkStart w:id="17" w:name="OLE_LINK91"/>
      <w:bookmarkStart w:id="18" w:name="OLE_LINK395"/>
      <w:r>
        <w:rPr>
          <w:rFonts w:hint="eastAsia" w:hAnsi="宋体" w:eastAsia="宋体"/>
          <w:b/>
          <w:color w:val="000000" w:themeColor="text1"/>
          <w:sz w:val="21"/>
          <w:szCs w:val="21"/>
          <w:highlight w:val="none"/>
          <w:lang w:val="zh-CN"/>
          <w14:textFill>
            <w14:solidFill>
              <w14:schemeClr w14:val="tx1"/>
            </w14:solidFill>
          </w14:textFill>
        </w:rPr>
        <w:t>（</w:t>
      </w:r>
      <w:r>
        <w:rPr>
          <w:rFonts w:hint="eastAsia" w:hAnsi="宋体" w:eastAsia="宋体"/>
          <w:b/>
          <w:color w:val="000000" w:themeColor="text1"/>
          <w:sz w:val="21"/>
          <w:szCs w:val="21"/>
          <w:highlight w:val="none"/>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w:t>
      </w:r>
      <w:r>
        <w:rPr>
          <w:rFonts w:hint="eastAsia" w:hAnsi="宋体" w:eastAsia="宋体"/>
          <w:b/>
          <w:color w:val="000000" w:themeColor="text1"/>
          <w:sz w:val="21"/>
          <w:szCs w:val="21"/>
          <w:highlight w:val="none"/>
          <w14:textFill>
            <w14:solidFill>
              <w14:schemeClr w14:val="tx1"/>
            </w14:solidFill>
          </w14:textFill>
        </w:rPr>
        <w:t>供货安装</w:t>
      </w:r>
      <w:r>
        <w:rPr>
          <w:rFonts w:hint="eastAsia" w:hAnsi="宋体" w:eastAsia="宋体"/>
          <w:b/>
          <w:color w:val="000000" w:themeColor="text1"/>
          <w:sz w:val="21"/>
          <w:szCs w:val="21"/>
          <w:highlight w:val="none"/>
          <w:lang w:val="zh-CN"/>
          <w14:textFill>
            <w14:solidFill>
              <w14:schemeClr w14:val="tx1"/>
            </w14:solidFill>
          </w14:textFill>
        </w:rPr>
        <w:t>资质：①具有以下其中一种资质：a）电力工程施工总承包</w:t>
      </w:r>
      <w:r>
        <w:rPr>
          <w:rFonts w:hint="eastAsia" w:hAnsi="宋体" w:eastAsia="宋体"/>
          <w:b/>
          <w:color w:val="000000" w:themeColor="text1"/>
          <w:sz w:val="21"/>
          <w:szCs w:val="21"/>
          <w:highlight w:val="none"/>
          <w14:textFill>
            <w14:solidFill>
              <w14:schemeClr w14:val="tx1"/>
            </w14:solidFill>
          </w14:textFill>
        </w:rPr>
        <w:t>乙级</w:t>
      </w:r>
      <w:r>
        <w:rPr>
          <w:rFonts w:hint="eastAsia" w:hAnsi="宋体" w:eastAsia="宋体"/>
          <w:b/>
          <w:color w:val="000000" w:themeColor="text1"/>
          <w:sz w:val="21"/>
          <w:szCs w:val="21"/>
          <w:highlight w:val="none"/>
          <w:lang w:val="zh-CN"/>
          <w14:textFill>
            <w14:solidFill>
              <w14:schemeClr w14:val="tx1"/>
            </w14:solidFill>
          </w14:textFill>
        </w:rPr>
        <w:t>（或以上）企业资质；</w:t>
      </w:r>
      <w:r>
        <w:rPr>
          <w:rFonts w:hint="eastAsia" w:hAnsi="宋体" w:eastAsia="宋体"/>
          <w:b/>
          <w:color w:val="000000" w:themeColor="text1"/>
          <w:sz w:val="21"/>
          <w:szCs w:val="21"/>
          <w:highlight w:val="none"/>
          <w14:textFill>
            <w14:solidFill>
              <w14:schemeClr w14:val="tx1"/>
            </w14:solidFill>
          </w14:textFill>
        </w:rPr>
        <w:t>b</w:t>
      </w:r>
      <w:r>
        <w:rPr>
          <w:rFonts w:hint="eastAsia" w:hAnsi="宋体" w:eastAsia="宋体"/>
          <w:b/>
          <w:color w:val="000000" w:themeColor="text1"/>
          <w:sz w:val="21"/>
          <w:szCs w:val="21"/>
          <w:highlight w:val="none"/>
          <w:lang w:val="zh-CN"/>
          <w14:textFill>
            <w14:solidFill>
              <w14:schemeClr w14:val="tx1"/>
            </w14:solidFill>
          </w14:textFill>
        </w:rPr>
        <w:t>）输变电工程专业承包</w:t>
      </w:r>
      <w:r>
        <w:rPr>
          <w:rFonts w:hint="eastAsia" w:hAnsi="宋体" w:eastAsia="宋体"/>
          <w:b/>
          <w:color w:val="000000" w:themeColor="text1"/>
          <w:sz w:val="21"/>
          <w:szCs w:val="21"/>
          <w:highlight w:val="none"/>
          <w14:textFill>
            <w14:solidFill>
              <w14:schemeClr w14:val="tx1"/>
            </w14:solidFill>
          </w14:textFill>
        </w:rPr>
        <w:t>乙级</w:t>
      </w:r>
      <w:r>
        <w:rPr>
          <w:rFonts w:hint="eastAsia" w:hAnsi="宋体" w:eastAsia="宋体"/>
          <w:b/>
          <w:color w:val="000000" w:themeColor="text1"/>
          <w:sz w:val="21"/>
          <w:szCs w:val="21"/>
          <w:highlight w:val="none"/>
          <w:lang w:val="zh-CN"/>
          <w14:textFill>
            <w14:solidFill>
              <w14:schemeClr w14:val="tx1"/>
            </w14:solidFill>
          </w14:textFill>
        </w:rPr>
        <w:t>（或以上）企业资质；【</w:t>
      </w:r>
      <w:r>
        <w:rPr>
          <w:rFonts w:hint="eastAsia" w:hAnsi="宋体" w:eastAsia="宋体"/>
          <w:b/>
          <w:color w:val="000000" w:themeColor="text1"/>
          <w:sz w:val="21"/>
          <w:szCs w:val="21"/>
          <w:highlight w:val="none"/>
          <w14:textFill>
            <w14:solidFill>
              <w14:schemeClr w14:val="tx1"/>
            </w14:solidFill>
          </w14:textFill>
        </w:rPr>
        <w:t>或更换资质证书前有效期内：</w:t>
      </w:r>
      <w:bookmarkStart w:id="19" w:name="OLE_LINK129"/>
      <w:r>
        <w:rPr>
          <w:rFonts w:hint="eastAsia" w:hAnsi="宋体" w:eastAsia="宋体"/>
          <w:b/>
          <w:color w:val="000000" w:themeColor="text1"/>
          <w:sz w:val="21"/>
          <w:szCs w:val="21"/>
          <w:highlight w:val="none"/>
          <w:lang w:val="zh-CN"/>
          <w14:textFill>
            <w14:solidFill>
              <w14:schemeClr w14:val="tx1"/>
            </w14:solidFill>
          </w14:textFill>
        </w:rPr>
        <w:t>电力工程施工总承包三级（或以上）企业资质；</w:t>
      </w:r>
      <w:r>
        <w:rPr>
          <w:rFonts w:hint="eastAsia" w:hAnsi="宋体" w:eastAsia="宋体"/>
          <w:b/>
          <w:color w:val="000000" w:themeColor="text1"/>
          <w:sz w:val="21"/>
          <w:szCs w:val="21"/>
          <w:highlight w:val="none"/>
          <w14:textFill>
            <w14:solidFill>
              <w14:schemeClr w14:val="tx1"/>
            </w14:solidFill>
          </w14:textFill>
        </w:rPr>
        <w:t>或</w:t>
      </w:r>
      <w:r>
        <w:rPr>
          <w:rFonts w:hint="eastAsia" w:hAnsi="宋体" w:eastAsia="宋体"/>
          <w:b/>
          <w:color w:val="000000" w:themeColor="text1"/>
          <w:sz w:val="21"/>
          <w:szCs w:val="21"/>
          <w:highlight w:val="none"/>
          <w:lang w:val="zh-CN"/>
          <w14:textFill>
            <w14:solidFill>
              <w14:schemeClr w14:val="tx1"/>
            </w14:solidFill>
          </w14:textFill>
        </w:rPr>
        <w:t>输变电工程专业承包三级（或以上）企业资质</w:t>
      </w:r>
      <w:bookmarkEnd w:id="19"/>
      <w:r>
        <w:rPr>
          <w:rFonts w:hint="eastAsia" w:hAnsi="宋体" w:eastAsia="宋体"/>
          <w:b/>
          <w:color w:val="000000" w:themeColor="text1"/>
          <w:sz w:val="21"/>
          <w:szCs w:val="21"/>
          <w:highlight w:val="none"/>
          <w:lang w:val="zh-CN"/>
          <w14:textFill>
            <w14:solidFill>
              <w14:schemeClr w14:val="tx1"/>
            </w14:solidFill>
          </w14:textFill>
        </w:rPr>
        <w:t>】；②具有《承装（修、试）电力设施许可证》承装类别五级或以上资质；③具有在效期内的《安全生产许可证》。（</w:t>
      </w:r>
      <w:r>
        <w:rPr>
          <w:rFonts w:hint="eastAsia" w:hAnsi="宋体" w:eastAsia="宋体"/>
          <w:b/>
          <w:color w:val="000000" w:themeColor="text1"/>
          <w:sz w:val="21"/>
          <w:szCs w:val="21"/>
          <w:highlight w:val="none"/>
          <w14:textFill>
            <w14:solidFill>
              <w14:schemeClr w14:val="tx1"/>
            </w14:solidFill>
          </w14:textFill>
        </w:rPr>
        <w:t>2</w:t>
      </w:r>
      <w:r>
        <w:rPr>
          <w:rFonts w:hint="eastAsia" w:hAnsi="宋体" w:eastAsia="宋体"/>
          <w:b/>
          <w:color w:val="000000" w:themeColor="text1"/>
          <w:sz w:val="21"/>
          <w:szCs w:val="21"/>
          <w:highlight w:val="none"/>
          <w:lang w:val="zh-CN"/>
          <w14:textFill>
            <w14:solidFill>
              <w14:schemeClr w14:val="tx1"/>
            </w14:solidFill>
          </w14:textFill>
        </w:rPr>
        <w:t>）设</w:t>
      </w:r>
      <w:bookmarkStart w:id="20" w:name="OLE_LINK25"/>
      <w:r>
        <w:rPr>
          <w:rFonts w:hint="eastAsia" w:hAnsi="宋体" w:eastAsia="宋体"/>
          <w:b/>
          <w:color w:val="000000" w:themeColor="text1"/>
          <w:sz w:val="21"/>
          <w:szCs w:val="21"/>
          <w:highlight w:val="none"/>
          <w:lang w:val="zh-CN"/>
          <w14:textFill>
            <w14:solidFill>
              <w14:schemeClr w14:val="tx1"/>
            </w14:solidFill>
          </w14:textFill>
        </w:rPr>
        <w:t>计</w:t>
      </w:r>
      <w:bookmarkEnd w:id="20"/>
      <w:r>
        <w:rPr>
          <w:rFonts w:hint="eastAsia" w:hAnsi="宋体" w:eastAsia="宋体"/>
          <w:b/>
          <w:color w:val="000000" w:themeColor="text1"/>
          <w:sz w:val="21"/>
          <w:szCs w:val="21"/>
          <w:highlight w:val="none"/>
          <w:lang w:val="zh-CN"/>
          <w14:textFill>
            <w14:solidFill>
              <w14:schemeClr w14:val="tx1"/>
            </w14:solidFill>
          </w14:textFill>
        </w:rPr>
        <w:t>资质：</w:t>
      </w:r>
      <w:bookmarkStart w:id="21" w:name="OLE_LINK50"/>
      <w:bookmarkStart w:id="22" w:name="OLE_LINK14"/>
      <w:r>
        <w:rPr>
          <w:rFonts w:hint="eastAsia" w:hAnsi="宋体" w:eastAsia="宋体"/>
          <w:b/>
          <w:color w:val="000000" w:themeColor="text1"/>
          <w:sz w:val="21"/>
          <w:szCs w:val="21"/>
          <w:highlight w:val="none"/>
          <w:lang w:val="zh-CN"/>
          <w14:textFill>
            <w14:solidFill>
              <w14:schemeClr w14:val="tx1"/>
            </w14:solidFill>
          </w14:textFill>
        </w:rPr>
        <w:t>具有有效期内工程设计综合资质，或工程设计电力行业乙级（或以上）资质，或工程设计电力行业（送</w:t>
      </w:r>
      <w:r>
        <w:rPr>
          <w:rFonts w:hint="eastAsia" w:hAnsi="宋体" w:eastAsia="宋体"/>
          <w:b/>
          <w:color w:val="000000" w:themeColor="text1"/>
          <w:sz w:val="21"/>
          <w:szCs w:val="21"/>
          <w:highlight w:val="none"/>
          <w14:textFill>
            <w14:solidFill>
              <w14:schemeClr w14:val="tx1"/>
            </w14:solidFill>
          </w14:textFill>
        </w:rPr>
        <w:t>变</w:t>
      </w:r>
      <w:r>
        <w:rPr>
          <w:rFonts w:hint="eastAsia" w:hAnsi="宋体" w:eastAsia="宋体"/>
          <w:b/>
          <w:color w:val="000000" w:themeColor="text1"/>
          <w:sz w:val="21"/>
          <w:szCs w:val="21"/>
          <w:highlight w:val="none"/>
          <w:lang w:val="zh-CN"/>
          <w14:textFill>
            <w14:solidFill>
              <w14:schemeClr w14:val="tx1"/>
            </w14:solidFill>
          </w14:textFill>
        </w:rPr>
        <w:t>电工程）专业乙级（或以上）资质，或工程设计电力行业（新能源发电</w:t>
      </w:r>
      <w:r>
        <w:rPr>
          <w:rFonts w:hint="eastAsia" w:hAnsi="宋体" w:eastAsia="宋体"/>
          <w:b/>
          <w:color w:val="000000" w:themeColor="text1"/>
          <w:sz w:val="21"/>
          <w:szCs w:val="21"/>
          <w:highlight w:val="none"/>
          <w14:textFill>
            <w14:solidFill>
              <w14:schemeClr w14:val="tx1"/>
            </w14:solidFill>
          </w14:textFill>
        </w:rPr>
        <w:t>工程</w:t>
      </w:r>
      <w:r>
        <w:rPr>
          <w:rFonts w:hint="eastAsia" w:hAnsi="宋体" w:eastAsia="宋体"/>
          <w:b/>
          <w:color w:val="000000" w:themeColor="text1"/>
          <w:sz w:val="21"/>
          <w:szCs w:val="21"/>
          <w:highlight w:val="none"/>
          <w:lang w:val="zh-CN"/>
          <w14:textFill>
            <w14:solidFill>
              <w14:schemeClr w14:val="tx1"/>
            </w14:solidFill>
          </w14:textFill>
        </w:rPr>
        <w:t>）专业乙级（或以上）资质【</w:t>
      </w:r>
      <w:r>
        <w:rPr>
          <w:rFonts w:hint="eastAsia" w:hAnsi="宋体" w:eastAsia="宋体"/>
          <w:b/>
          <w:color w:val="000000" w:themeColor="text1"/>
          <w:sz w:val="21"/>
          <w:szCs w:val="21"/>
          <w:highlight w:val="none"/>
          <w14:textFill>
            <w14:solidFill>
              <w14:schemeClr w14:val="tx1"/>
            </w14:solidFill>
          </w14:textFill>
        </w:rPr>
        <w:t>或更换资质证书前有效期内</w:t>
      </w:r>
      <w:r>
        <w:rPr>
          <w:rFonts w:hint="eastAsia" w:hAnsi="宋体" w:eastAsia="宋体"/>
          <w:b/>
          <w:color w:val="000000" w:themeColor="text1"/>
          <w:sz w:val="21"/>
          <w:szCs w:val="21"/>
          <w:highlight w:val="none"/>
          <w:lang w:val="zh-CN"/>
          <w14:textFill>
            <w14:solidFill>
              <w14:schemeClr w14:val="tx1"/>
            </w14:solidFill>
          </w14:textFill>
        </w:rPr>
        <w:t>：工程设计综合</w:t>
      </w:r>
      <w:r>
        <w:rPr>
          <w:rFonts w:hint="eastAsia" w:hAnsi="宋体" w:eastAsia="宋体"/>
          <w:b/>
          <w:color w:val="000000" w:themeColor="text1"/>
          <w:sz w:val="21"/>
          <w:szCs w:val="21"/>
          <w:highlight w:val="none"/>
          <w14:textFill>
            <w14:solidFill>
              <w14:schemeClr w14:val="tx1"/>
            </w14:solidFill>
          </w14:textFill>
        </w:rPr>
        <w:t>甲级</w:t>
      </w:r>
      <w:r>
        <w:rPr>
          <w:rFonts w:hint="eastAsia" w:hAnsi="宋体" w:eastAsia="宋体"/>
          <w:b/>
          <w:color w:val="000000" w:themeColor="text1"/>
          <w:sz w:val="21"/>
          <w:szCs w:val="21"/>
          <w:highlight w:val="none"/>
          <w:lang w:val="zh-CN"/>
          <w14:textFill>
            <w14:solidFill>
              <w14:schemeClr w14:val="tx1"/>
            </w14:solidFill>
          </w14:textFill>
        </w:rPr>
        <w:t>资质，或</w:t>
      </w:r>
      <w:bookmarkStart w:id="23" w:name="OLE_LINK156"/>
      <w:r>
        <w:rPr>
          <w:rFonts w:hint="eastAsia" w:hAnsi="宋体" w:eastAsia="宋体"/>
          <w:b/>
          <w:color w:val="000000" w:themeColor="text1"/>
          <w:sz w:val="21"/>
          <w:szCs w:val="21"/>
          <w:highlight w:val="none"/>
          <w:lang w:val="zh-CN"/>
          <w14:textFill>
            <w14:solidFill>
              <w14:schemeClr w14:val="tx1"/>
            </w14:solidFill>
          </w14:textFill>
        </w:rPr>
        <w:t>工程设计电力行业</w:t>
      </w:r>
      <w:bookmarkEnd w:id="23"/>
      <w:r>
        <w:rPr>
          <w:rFonts w:hint="eastAsia" w:hAnsi="宋体" w:eastAsia="宋体"/>
          <w:b/>
          <w:color w:val="000000" w:themeColor="text1"/>
          <w:sz w:val="21"/>
          <w:szCs w:val="21"/>
          <w:highlight w:val="none"/>
          <w:lang w:val="zh-CN"/>
          <w14:textFill>
            <w14:solidFill>
              <w14:schemeClr w14:val="tx1"/>
            </w14:solidFill>
          </w14:textFill>
        </w:rPr>
        <w:t>乙级（或以上）资质，或</w:t>
      </w:r>
      <w:bookmarkStart w:id="24" w:name="OLE_LINK157"/>
      <w:r>
        <w:rPr>
          <w:rFonts w:hint="eastAsia" w:hAnsi="宋体" w:eastAsia="宋体"/>
          <w:b/>
          <w:color w:val="000000" w:themeColor="text1"/>
          <w:sz w:val="21"/>
          <w:szCs w:val="21"/>
          <w:highlight w:val="none"/>
          <w:lang w:val="zh-CN"/>
          <w14:textFill>
            <w14:solidFill>
              <w14:schemeClr w14:val="tx1"/>
            </w14:solidFill>
          </w14:textFill>
        </w:rPr>
        <w:t>工程设计电力行业（送电工程或变电工程）专业</w:t>
      </w:r>
      <w:bookmarkEnd w:id="24"/>
      <w:r>
        <w:rPr>
          <w:rFonts w:hint="eastAsia" w:hAnsi="宋体" w:eastAsia="宋体"/>
          <w:b/>
          <w:color w:val="000000" w:themeColor="text1"/>
          <w:sz w:val="21"/>
          <w:szCs w:val="21"/>
          <w:highlight w:val="none"/>
          <w:lang w:val="zh-CN"/>
          <w14:textFill>
            <w14:solidFill>
              <w14:schemeClr w14:val="tx1"/>
            </w14:solidFill>
          </w14:textFill>
        </w:rPr>
        <w:t>丙级（或以上）资质，或</w:t>
      </w:r>
      <w:bookmarkStart w:id="25" w:name="OLE_LINK158"/>
      <w:r>
        <w:rPr>
          <w:rFonts w:hint="eastAsia" w:hAnsi="宋体" w:eastAsia="宋体"/>
          <w:b/>
          <w:color w:val="000000" w:themeColor="text1"/>
          <w:sz w:val="21"/>
          <w:szCs w:val="21"/>
          <w:highlight w:val="none"/>
          <w:lang w:val="zh-CN"/>
          <w14:textFill>
            <w14:solidFill>
              <w14:schemeClr w14:val="tx1"/>
            </w14:solidFill>
          </w14:textFill>
        </w:rPr>
        <w:t>工程设计电力行业（新能源发电）专业</w:t>
      </w:r>
      <w:bookmarkEnd w:id="25"/>
      <w:r>
        <w:rPr>
          <w:rFonts w:hint="eastAsia" w:hAnsi="宋体" w:eastAsia="宋体"/>
          <w:b/>
          <w:color w:val="000000" w:themeColor="text1"/>
          <w:sz w:val="21"/>
          <w:szCs w:val="21"/>
          <w:highlight w:val="none"/>
          <w:lang w:val="zh-CN"/>
          <w14:textFill>
            <w14:solidFill>
              <w14:schemeClr w14:val="tx1"/>
            </w14:solidFill>
          </w14:textFill>
        </w:rPr>
        <w:t>乙级资质】。</w:t>
      </w:r>
      <w:bookmarkEnd w:id="16"/>
      <w:bookmarkEnd w:id="17"/>
      <w:bookmarkEnd w:id="21"/>
      <w:bookmarkEnd w:id="22"/>
    </w:p>
    <w:bookmarkEnd w:id="13"/>
    <w:bookmarkEnd w:id="18"/>
    <w:p w14:paraId="198C5694">
      <w:pPr>
        <w:pStyle w:val="158"/>
        <w:spacing w:line="360" w:lineRule="auto"/>
        <w:ind w:right="-29" w:rightChars="-14" w:firstLine="0" w:firstLineChars="0"/>
        <w:jc w:val="both"/>
        <w:rPr>
          <w:rFonts w:hAnsi="宋体" w:eastAsia="宋体"/>
          <w:b/>
          <w:color w:val="000000" w:themeColor="text1"/>
          <w:sz w:val="21"/>
          <w:szCs w:val="21"/>
          <w:highlight w:val="none"/>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int="eastAsia" w:hAnsi="宋体" w:eastAsia="宋体"/>
          <w:b/>
          <w:color w:val="000000" w:themeColor="text1"/>
          <w:sz w:val="21"/>
          <w:szCs w:val="21"/>
          <w:highlight w:val="none"/>
          <w14:textFill>
            <w14:solidFill>
              <w14:schemeClr w14:val="tx1"/>
            </w14:solidFill>
          </w14:textFill>
        </w:rPr>
        <w:t>3</w:t>
      </w:r>
      <w:r>
        <w:rPr>
          <w:rFonts w:hint="eastAsia" w:hAnsi="宋体" w:eastAsia="宋体"/>
          <w:b/>
          <w:color w:val="000000" w:themeColor="text1"/>
          <w:sz w:val="21"/>
          <w:szCs w:val="21"/>
          <w:highlight w:val="none"/>
          <w:lang w:val="zh-CN"/>
          <w14:textFill>
            <w14:solidFill>
              <w14:schemeClr w14:val="tx1"/>
            </w14:solidFill>
          </w14:textFill>
        </w:rPr>
        <w:t xml:space="preserve"> </w:t>
      </w:r>
      <w:bookmarkStart w:id="26" w:name="OLE_LINK30"/>
      <w:r>
        <w:rPr>
          <w:rFonts w:hint="eastAsia" w:hAnsi="宋体" w:eastAsia="宋体"/>
          <w:b/>
          <w:color w:val="000000" w:themeColor="text1"/>
          <w:sz w:val="21"/>
          <w:szCs w:val="21"/>
          <w:highlight w:val="none"/>
          <w:lang w:val="zh-CN"/>
          <w14:textFill>
            <w14:solidFill>
              <w14:schemeClr w14:val="tx1"/>
            </w14:solidFill>
          </w14:textFill>
        </w:rPr>
        <w:t>投标人</w:t>
      </w:r>
      <w:r>
        <w:rPr>
          <w:rFonts w:hint="eastAsia" w:hAnsi="宋体" w:eastAsia="宋体"/>
          <w:b/>
          <w:color w:val="000000" w:themeColor="text1"/>
          <w:sz w:val="21"/>
          <w:szCs w:val="21"/>
          <w:highlight w:val="none"/>
          <w14:textFill>
            <w14:solidFill>
              <w14:schemeClr w14:val="tx1"/>
            </w14:solidFill>
          </w14:textFill>
        </w:rPr>
        <w:t>2019</w:t>
      </w:r>
      <w:r>
        <w:rPr>
          <w:rFonts w:hint="eastAsia" w:hAnsi="宋体" w:eastAsia="宋体"/>
          <w:b/>
          <w:color w:val="000000" w:themeColor="text1"/>
          <w:sz w:val="21"/>
          <w:szCs w:val="21"/>
          <w:highlight w:val="none"/>
          <w:lang w:val="zh-CN"/>
          <w14:textFill>
            <w14:solidFill>
              <w14:schemeClr w14:val="tx1"/>
            </w14:solidFill>
          </w14:textFill>
        </w:rPr>
        <w:t>年</w:t>
      </w:r>
      <w:r>
        <w:rPr>
          <w:rFonts w:hint="eastAsia" w:hAnsi="宋体" w:eastAsia="宋体"/>
          <w:b/>
          <w:color w:val="000000" w:themeColor="text1"/>
          <w:sz w:val="21"/>
          <w:szCs w:val="21"/>
          <w:highlight w:val="none"/>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月</w:t>
      </w:r>
      <w:r>
        <w:rPr>
          <w:rFonts w:hint="eastAsia" w:hAnsi="宋体" w:eastAsia="宋体"/>
          <w:b/>
          <w:color w:val="000000" w:themeColor="text1"/>
          <w:sz w:val="21"/>
          <w:szCs w:val="21"/>
          <w:highlight w:val="none"/>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日以来具有一份</w:t>
      </w:r>
      <w:bookmarkStart w:id="27" w:name="OLE_LINK46"/>
      <w:r>
        <w:rPr>
          <w:rFonts w:hint="eastAsia" w:hAnsi="宋体" w:eastAsia="宋体"/>
          <w:b/>
          <w:color w:val="000000" w:themeColor="text1"/>
          <w:sz w:val="21"/>
          <w:szCs w:val="21"/>
          <w:highlight w:val="none"/>
          <w:lang w:val="zh-CN"/>
          <w14:textFill>
            <w14:solidFill>
              <w14:schemeClr w14:val="tx1"/>
            </w14:solidFill>
          </w14:textFill>
        </w:rPr>
        <w:t>屋顶分布式光伏发电的</w:t>
      </w:r>
      <w:bookmarkEnd w:id="27"/>
      <w:r>
        <w:rPr>
          <w:rFonts w:hint="eastAsia" w:hAnsi="宋体" w:eastAsia="宋体"/>
          <w:b/>
          <w:color w:val="000000" w:themeColor="text1"/>
          <w:sz w:val="21"/>
          <w:szCs w:val="21"/>
          <w:highlight w:val="none"/>
          <w:lang w:val="zh-CN"/>
          <w14:textFill>
            <w14:solidFill>
              <w14:schemeClr w14:val="tx1"/>
            </w14:solidFill>
          </w14:textFill>
        </w:rPr>
        <w:t>业绩（合同签订日期为</w:t>
      </w:r>
      <w:r>
        <w:rPr>
          <w:rFonts w:hint="eastAsia" w:hAnsi="宋体" w:eastAsia="宋体"/>
          <w:b/>
          <w:color w:val="000000" w:themeColor="text1"/>
          <w:sz w:val="21"/>
          <w:szCs w:val="21"/>
          <w:highlight w:val="none"/>
          <w14:textFill>
            <w14:solidFill>
              <w14:schemeClr w14:val="tx1"/>
            </w14:solidFill>
          </w14:textFill>
        </w:rPr>
        <w:t>2019</w:t>
      </w:r>
      <w:r>
        <w:rPr>
          <w:rFonts w:hint="eastAsia" w:hAnsi="宋体" w:eastAsia="宋体"/>
          <w:b/>
          <w:color w:val="000000" w:themeColor="text1"/>
          <w:sz w:val="21"/>
          <w:szCs w:val="21"/>
          <w:highlight w:val="none"/>
          <w:lang w:val="zh-CN"/>
          <w14:textFill>
            <w14:solidFill>
              <w14:schemeClr w14:val="tx1"/>
            </w14:solidFill>
          </w14:textFill>
        </w:rPr>
        <w:t>年</w:t>
      </w:r>
      <w:r>
        <w:rPr>
          <w:rFonts w:hint="eastAsia" w:hAnsi="宋体" w:eastAsia="宋体"/>
          <w:b/>
          <w:color w:val="000000" w:themeColor="text1"/>
          <w:sz w:val="21"/>
          <w:szCs w:val="21"/>
          <w:highlight w:val="none"/>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月</w:t>
      </w:r>
      <w:r>
        <w:rPr>
          <w:rFonts w:hint="eastAsia" w:hAnsi="宋体" w:eastAsia="宋体"/>
          <w:b/>
          <w:color w:val="000000" w:themeColor="text1"/>
          <w:sz w:val="21"/>
          <w:szCs w:val="21"/>
          <w:highlight w:val="none"/>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日或以后）</w:t>
      </w:r>
      <w:bookmarkEnd w:id="26"/>
      <w:r>
        <w:rPr>
          <w:rFonts w:hint="eastAsia" w:hAnsi="宋体" w:eastAsia="宋体"/>
          <w:b/>
          <w:color w:val="000000" w:themeColor="text1"/>
          <w:sz w:val="21"/>
          <w:szCs w:val="21"/>
          <w:highlight w:val="none"/>
          <w:lang w:val="zh-CN"/>
          <w14:textFill>
            <w14:solidFill>
              <w14:schemeClr w14:val="tx1"/>
            </w14:solidFill>
          </w14:textFill>
        </w:rPr>
        <w:t>。</w:t>
      </w:r>
    </w:p>
    <w:p w14:paraId="37E23486">
      <w:pPr>
        <w:pStyle w:val="158"/>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14:textFill>
            <w14:solidFill>
              <w14:schemeClr w14:val="tx1"/>
            </w14:solidFill>
          </w14:textFill>
        </w:rPr>
        <w:t xml:space="preserve">2.4 </w:t>
      </w:r>
      <w:bookmarkStart w:id="28" w:name="OLE_LINK32"/>
      <w:r>
        <w:rPr>
          <w:rFonts w:hint="eastAsia" w:hAnsi="宋体" w:eastAsia="宋体"/>
          <w:b/>
          <w:color w:val="000000" w:themeColor="text1"/>
          <w:sz w:val="21"/>
          <w:szCs w:val="21"/>
          <w:highlight w:val="none"/>
          <w:lang w:val="zh-CN"/>
          <w14:textFill>
            <w14:solidFill>
              <w14:schemeClr w14:val="tx1"/>
            </w14:solidFill>
          </w14:textFill>
        </w:rPr>
        <w:t>本项目接受联合体投标</w:t>
      </w:r>
      <w:bookmarkEnd w:id="28"/>
      <w:r>
        <w:rPr>
          <w:rFonts w:hint="eastAsia" w:hAnsi="宋体" w:eastAsia="宋体"/>
          <w:b/>
          <w:color w:val="000000" w:themeColor="text1"/>
          <w:sz w:val="21"/>
          <w:szCs w:val="21"/>
          <w:highlight w:val="none"/>
          <w:lang w:val="zh-CN"/>
          <w14:textFill>
            <w14:solidFill>
              <w14:schemeClr w14:val="tx1"/>
            </w14:solidFill>
          </w14:textFill>
        </w:rPr>
        <w:t>，联合体组成成员不得多于2家（含联合体牵头人）。</w:t>
      </w:r>
      <w:bookmarkEnd w:id="14"/>
    </w:p>
    <w:bookmarkEnd w:id="15"/>
    <w:p w14:paraId="7C05BA77">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02CF5382">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获取招标文件的方式：本项目采用“不记名网上下载”的方式发布招标文件，</w:t>
      </w:r>
      <w:r>
        <w:rPr>
          <w:rFonts w:hint="eastAsia" w:ascii="宋体" w:hAnsi="宋体" w:eastAsia="宋体" w:cs="Times New Roman"/>
          <w:color w:val="000000" w:themeColor="text1"/>
          <w:szCs w:val="21"/>
          <w:highlight w:val="none"/>
          <w:lang w:val="zh-CN"/>
          <w14:textFill>
            <w14:solidFill>
              <w14:schemeClr w14:val="tx1"/>
            </w14:solidFill>
          </w14:textFill>
        </w:rPr>
        <w:t>有意向的投标人可于本项目投标截止时间前，在本项目招标信息发布媒介</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详见本招标公告第7点（除中国招标投标公共服务平台外）</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下载招标文件。</w:t>
      </w:r>
    </w:p>
    <w:p w14:paraId="66C34178">
      <w:pPr>
        <w:pStyle w:val="176"/>
        <w:ind w:left="420" w:right="-34" w:hanging="420" w:firstLineChars="0"/>
        <w:rPr>
          <w:rFonts w:ascii="宋体" w:hAnsi="宋体"/>
          <w:color w:val="000000" w:themeColor="text1"/>
          <w:szCs w:val="21"/>
          <w:highlight w:val="none"/>
          <w:lang w:val="zh-CN"/>
          <w14:textFill>
            <w14:solidFill>
              <w14:schemeClr w14:val="tx1"/>
            </w14:solidFill>
          </w14:textFill>
        </w:rPr>
      </w:pPr>
    </w:p>
    <w:p w14:paraId="6BB38EFB">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628123B9">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0F4469D2">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投标、开标时间及地点：</w:t>
      </w:r>
    </w:p>
    <w:p w14:paraId="4E9C4932">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2024</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18</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5CB0EDEF">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2024</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18</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0AA4E3D0">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bookmarkStart w:id="29" w:name="OLE_LINK1"/>
      <w:r>
        <w:rPr>
          <w:rFonts w:hint="eastAsia" w:ascii="宋体" w:hAnsi="宋体" w:eastAsia="宋体" w:cs="Times New Roman"/>
          <w:color w:val="000000" w:themeColor="text1"/>
          <w:kern w:val="0"/>
          <w:szCs w:val="21"/>
          <w:highlight w:val="none"/>
          <w:u w:val="single"/>
          <w14:textFill>
            <w14:solidFill>
              <w14:schemeClr w14:val="tx1"/>
            </w14:solidFill>
          </w14:textFill>
        </w:rPr>
        <w:t>东莞市南城街道西平社区宏伟三路45号东莞市公共资源交易中心开标室（</w:t>
      </w:r>
      <w:r>
        <w:rPr>
          <w:rFonts w:hint="eastAsia" w:ascii="宋体" w:hAnsi="宋体" w:eastAsia="宋体" w:cs="Times New Roman"/>
          <w:color w:val="000000" w:themeColor="text1"/>
          <w:kern w:val="0"/>
          <w:szCs w:val="21"/>
          <w:highlight w:val="none"/>
          <w:u w:val="single"/>
          <w:lang w:val="en-US" w:eastAsia="zh-CN"/>
          <w14:textFill>
            <w14:solidFill>
              <w14:schemeClr w14:val="tx1"/>
            </w14:solidFill>
          </w14:textFill>
        </w:rPr>
        <w:t>5</w:t>
      </w:r>
      <w:r>
        <w:rPr>
          <w:rFonts w:hint="eastAsia" w:ascii="宋体" w:hAnsi="宋体" w:eastAsia="宋体" w:cs="Times New Roman"/>
          <w:color w:val="000000" w:themeColor="text1"/>
          <w:kern w:val="0"/>
          <w:szCs w:val="21"/>
          <w:highlight w:val="none"/>
          <w:u w:val="single"/>
          <w14:textFill>
            <w14:solidFill>
              <w14:schemeClr w14:val="tx1"/>
            </w14:solidFill>
          </w14:textFill>
        </w:rPr>
        <w:t>）</w:t>
      </w:r>
      <w:bookmarkEnd w:id="29"/>
      <w:r>
        <w:rPr>
          <w:rFonts w:hint="eastAsia" w:ascii="宋体" w:hAnsi="宋体" w:eastAsia="宋体" w:cs="Times New Roman"/>
          <w:color w:val="000000" w:themeColor="text1"/>
          <w:kern w:val="0"/>
          <w:szCs w:val="21"/>
          <w:highlight w:val="none"/>
          <w14:textFill>
            <w14:solidFill>
              <w14:schemeClr w14:val="tx1"/>
            </w14:solidFill>
          </w14:textFill>
        </w:rPr>
        <w:t>。</w:t>
      </w:r>
    </w:p>
    <w:p w14:paraId="72C44AF2">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14:paraId="6F7C2271">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14:paraId="08424510">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71601B99">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本项目相关公告在以下媒介发布：广东省公共资源交易平台（ygp.gdzwfw.gov.cn）、中国招标投标公共服务平台（www.cebpubservice.com）、东莞市水务集团有限公司网（www.dgswjt.cn）、招标</w:t>
      </w:r>
      <w:r>
        <w:rPr>
          <w:rFonts w:hint="eastAsia" w:ascii="宋体" w:hAnsi="宋体" w:eastAsia="宋体" w:cs="Times New Roman"/>
          <w:color w:val="000000" w:themeColor="text1"/>
          <w:szCs w:val="21"/>
          <w:highlight w:val="none"/>
          <w:lang w:val="zh-CN"/>
          <w14:textFill>
            <w14:solidFill>
              <w14:schemeClr w14:val="tx1"/>
            </w14:solidFill>
          </w14:textFill>
        </w:rPr>
        <w:t>代理</w:t>
      </w:r>
      <w:r>
        <w:rPr>
          <w:rFonts w:hint="eastAsia" w:ascii="宋体" w:hAnsi="宋体" w:eastAsia="宋体" w:cs="Times New Roman"/>
          <w:color w:val="000000" w:themeColor="text1"/>
          <w:szCs w:val="21"/>
          <w:highlight w:val="none"/>
          <w14:textFill>
            <w14:solidFill>
              <w14:schemeClr w14:val="tx1"/>
            </w14:solidFill>
          </w14:textFill>
        </w:rPr>
        <w:t>机构</w:t>
      </w:r>
      <w:r>
        <w:rPr>
          <w:rFonts w:hint="eastAsia" w:ascii="宋体" w:hAnsi="宋体" w:eastAsia="宋体" w:cs="Times New Roman"/>
          <w:color w:val="000000" w:themeColor="text1"/>
          <w:szCs w:val="21"/>
          <w:highlight w:val="none"/>
          <w:lang w:val="zh-CN"/>
          <w14:textFill>
            <w14:solidFill>
              <w14:schemeClr w14:val="tx1"/>
            </w14:solidFill>
          </w14:textFill>
        </w:rPr>
        <w:t>网站（</w:t>
      </w:r>
      <w:r>
        <w:rPr>
          <w:rFonts w:hint="eastAsia" w:ascii="宋体" w:hAnsi="宋体" w:eastAsia="宋体" w:cs="Times New Roman"/>
          <w:bCs/>
          <w:color w:val="000000" w:themeColor="text1"/>
          <w:szCs w:val="21"/>
          <w:highlight w:val="none"/>
          <w14:textFill>
            <w14:solidFill>
              <w14:schemeClr w14:val="tx1"/>
            </w14:solidFill>
          </w14:textFill>
        </w:rPr>
        <w:t>www.gzjc.com.cn</w:t>
      </w:r>
      <w:r>
        <w:rPr>
          <w:rFonts w:ascii="宋体" w:hAnsi="宋体" w:eastAsia="宋体" w:cs="Times New Roman"/>
          <w:color w:val="000000" w:themeColor="text1"/>
          <w:szCs w:val="21"/>
          <w:highlight w:val="none"/>
          <w:lang w:val="zh-CN"/>
          <w14:textFill>
            <w14:solidFill>
              <w14:schemeClr w14:val="tx1"/>
            </w14:solidFill>
          </w14:textFill>
        </w:rPr>
        <w:t>）。</w:t>
      </w:r>
    </w:p>
    <w:p w14:paraId="0F0FC3E8">
      <w:pPr>
        <w:autoSpaceDE w:val="0"/>
        <w:autoSpaceDN w:val="0"/>
        <w:adjustRightInd w:val="0"/>
        <w:spacing w:line="360" w:lineRule="auto"/>
        <w:ind w:right="-29" w:rightChars="-14" w:firstLine="420"/>
        <w:rPr>
          <w:rFonts w:ascii="宋体" w:hAnsi="宋体" w:eastAsia="宋体" w:cs="Times New Roman"/>
          <w:bCs/>
          <w:color w:val="000000" w:themeColor="text1"/>
          <w:szCs w:val="21"/>
          <w:highlight w:val="none"/>
          <w14:textFill>
            <w14:solidFill>
              <w14:schemeClr w14:val="tx1"/>
            </w14:solidFill>
          </w14:textFill>
        </w:rPr>
      </w:pPr>
    </w:p>
    <w:p w14:paraId="6ADB508E">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lang w:val="zh-CN"/>
          <w14:textFill>
            <w14:solidFill>
              <w14:schemeClr w14:val="tx1"/>
            </w14:solidFill>
          </w14:textFill>
        </w:rPr>
        <w:t>招标人联系方式</w:t>
      </w:r>
    </w:p>
    <w:p w14:paraId="7AAE370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bookmarkStart w:id="30" w:name="OLE_LINK2"/>
      <w:r>
        <w:rPr>
          <w:rFonts w:hint="eastAsia" w:ascii="宋体" w:hAnsi="宋体" w:eastAsia="宋体" w:cs="Times New Roman"/>
          <w:color w:val="000000" w:themeColor="text1"/>
          <w:kern w:val="0"/>
          <w:szCs w:val="21"/>
          <w:highlight w:val="none"/>
          <w14:textFill>
            <w14:solidFill>
              <w14:schemeClr w14:val="tx1"/>
            </w14:solidFill>
          </w14:textFill>
        </w:rPr>
        <w:t>东莞市水务集团科技发展有限公司</w:t>
      </w:r>
      <w:bookmarkEnd w:id="30"/>
    </w:p>
    <w:p w14:paraId="08828AB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广东省东莞市南城街道滨河路100号二期3号楼4楼</w:t>
      </w:r>
    </w:p>
    <w:p w14:paraId="13109A1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w:t>
      </w:r>
      <w:bookmarkStart w:id="31" w:name="OLE_LINK3"/>
      <w:r>
        <w:rPr>
          <w:rFonts w:hint="eastAsia" w:ascii="宋体" w:hAnsi="宋体" w:eastAsia="宋体" w:cs="Times New Roman"/>
          <w:color w:val="000000" w:themeColor="text1"/>
          <w:kern w:val="0"/>
          <w:szCs w:val="21"/>
          <w:highlight w:val="none"/>
          <w14:textFill>
            <w14:solidFill>
              <w14:schemeClr w14:val="tx1"/>
            </w14:solidFill>
          </w14:textFill>
        </w:rPr>
        <w:t>王俊</w:t>
      </w:r>
      <w:bookmarkEnd w:id="31"/>
    </w:p>
    <w:p w14:paraId="7EF38D9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bookmarkStart w:id="32" w:name="OLE_LINK4"/>
      <w:r>
        <w:rPr>
          <w:rFonts w:hint="eastAsia" w:ascii="宋体" w:hAnsi="宋体" w:eastAsia="宋体" w:cs="Times New Roman"/>
          <w:color w:val="000000" w:themeColor="text1"/>
          <w:kern w:val="0"/>
          <w:szCs w:val="21"/>
          <w:highlight w:val="none"/>
          <w14:textFill>
            <w14:solidFill>
              <w14:schemeClr w14:val="tx1"/>
            </w14:solidFill>
          </w14:textFill>
        </w:rPr>
        <w:t>0769-22867952</w:t>
      </w:r>
      <w:bookmarkEnd w:id="32"/>
    </w:p>
    <w:p w14:paraId="608BA6A8">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68855BE9">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招标代理机构</w:t>
      </w:r>
      <w:r>
        <w:rPr>
          <w:rFonts w:hint="eastAsia" w:ascii="宋体" w:hAnsi="宋体" w:eastAsia="宋体" w:cs="Times New Roman"/>
          <w:color w:val="000000" w:themeColor="text1"/>
          <w:szCs w:val="21"/>
          <w:highlight w:val="none"/>
          <w14:textFill>
            <w14:solidFill>
              <w14:schemeClr w14:val="tx1"/>
            </w14:solidFill>
          </w14:textFill>
        </w:rPr>
        <w:t>及异议受理</w:t>
      </w:r>
      <w:r>
        <w:rPr>
          <w:rFonts w:ascii="宋体" w:hAnsi="宋体" w:eastAsia="宋体" w:cs="Times New Roman"/>
          <w:color w:val="000000" w:themeColor="text1"/>
          <w:szCs w:val="21"/>
          <w:highlight w:val="none"/>
          <w14:textFill>
            <w14:solidFill>
              <w14:schemeClr w14:val="tx1"/>
            </w14:solidFill>
          </w14:textFill>
        </w:rPr>
        <w:t>联系方式</w:t>
      </w:r>
    </w:p>
    <w:p w14:paraId="5F23F48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bookmarkStart w:id="33" w:name="_Toc31764_WPSOffice_Level1"/>
      <w:bookmarkStart w:id="34" w:name="_Toc486167661"/>
      <w:bookmarkStart w:id="35" w:name="_Toc450662847"/>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Times New Roman"/>
          <w:color w:val="000000" w:themeColor="text1"/>
          <w:kern w:val="0"/>
          <w:szCs w:val="21"/>
          <w:highlight w:val="none"/>
          <w14:textFill>
            <w14:solidFill>
              <w14:schemeClr w14:val="tx1"/>
            </w14:solidFill>
          </w14:textFill>
        </w:rPr>
        <w:t>建成工程咨询股份有限公司</w:t>
      </w:r>
    </w:p>
    <w:p w14:paraId="0168B4B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  址：</w:t>
      </w:r>
      <w:bookmarkStart w:id="36" w:name="OLE_LINK5"/>
      <w:r>
        <w:rPr>
          <w:rFonts w:hint="eastAsia" w:ascii="宋体" w:hAnsi="宋体" w:eastAsia="宋体" w:cs="Times New Roman"/>
          <w:color w:val="000000" w:themeColor="text1"/>
          <w:kern w:val="0"/>
          <w:szCs w:val="21"/>
          <w:highlight w:val="none"/>
          <w14:textFill>
            <w14:solidFill>
              <w14:schemeClr w14:val="tx1"/>
            </w14:solidFill>
          </w14:textFill>
        </w:rPr>
        <w:t>广东省东莞市南城街道西平宏伟三路39号联景商业大厦16层</w:t>
      </w:r>
      <w:bookmarkEnd w:id="36"/>
    </w:p>
    <w:p w14:paraId="28E88F0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bookmarkStart w:id="37" w:name="OLE_LINK6"/>
      <w:r>
        <w:rPr>
          <w:rFonts w:hint="eastAsia" w:ascii="宋体" w:hAnsi="宋体" w:eastAsia="宋体" w:cs="Times New Roman"/>
          <w:color w:val="000000" w:themeColor="text1"/>
          <w:kern w:val="0"/>
          <w:szCs w:val="21"/>
          <w:highlight w:val="none"/>
          <w14:textFill>
            <w14:solidFill>
              <w14:schemeClr w14:val="tx1"/>
            </w14:solidFill>
          </w14:textFill>
        </w:rPr>
        <w:t>叶沛琳</w:t>
      </w:r>
      <w:bookmarkEnd w:id="37"/>
    </w:p>
    <w:p w14:paraId="7CC3667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bookmarkStart w:id="38" w:name="OLE_LINK7"/>
      <w:r>
        <w:rPr>
          <w:rFonts w:hint="eastAsia" w:ascii="宋体" w:hAnsi="宋体" w:eastAsia="宋体" w:cs="Times New Roman"/>
          <w:color w:val="000000" w:themeColor="text1"/>
          <w:kern w:val="0"/>
          <w:szCs w:val="21"/>
          <w:highlight w:val="none"/>
          <w14:textFill>
            <w14:solidFill>
              <w14:schemeClr w14:val="tx1"/>
            </w14:solidFill>
          </w14:textFill>
        </w:rPr>
        <w:t>0769-22801999</w:t>
      </w:r>
      <w:bookmarkEnd w:id="38"/>
    </w:p>
    <w:p w14:paraId="6F3DE829">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39" w:name="_Toc12475"/>
      <w:bookmarkStart w:id="40" w:name="_Toc18902"/>
      <w:bookmarkStart w:id="41" w:name="_Toc14250831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33"/>
      <w:bookmarkEnd w:id="34"/>
      <w:bookmarkEnd w:id="35"/>
      <w:bookmarkEnd w:id="39"/>
      <w:bookmarkEnd w:id="40"/>
      <w:bookmarkEnd w:id="41"/>
    </w:p>
    <w:p w14:paraId="35004CBB">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42" w:name="_Toc486167662"/>
      <w:bookmarkStart w:id="43" w:name="_Toc140596871"/>
      <w:bookmarkStart w:id="44" w:name="_Toc450662848"/>
      <w:bookmarkStart w:id="45" w:name="_Toc10618"/>
      <w:bookmarkStart w:id="46" w:name="_Toc15366_WPSOffice_Level2"/>
      <w:bookmarkStart w:id="47" w:name="_Toc142508312"/>
      <w:bookmarkStart w:id="48" w:name="_Toc16098"/>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42"/>
      <w:bookmarkEnd w:id="43"/>
      <w:bookmarkEnd w:id="44"/>
      <w:bookmarkEnd w:id="45"/>
      <w:bookmarkEnd w:id="46"/>
      <w:bookmarkEnd w:id="47"/>
      <w:bookmarkEnd w:id="48"/>
    </w:p>
    <w:p w14:paraId="678C61B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49" w:name="_Toc486167663"/>
      <w:bookmarkStart w:id="50" w:name="_Toc16700"/>
      <w:bookmarkStart w:id="51" w:name="_Toc450662849"/>
      <w:bookmarkStart w:id="52" w:name="_Toc10676"/>
      <w:bookmarkStart w:id="53" w:name="_Toc21710_WPSOffice_Level3"/>
      <w:bookmarkStart w:id="54" w:name="_Toc142508313"/>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49"/>
      <w:bookmarkEnd w:id="50"/>
      <w:bookmarkEnd w:id="51"/>
      <w:bookmarkEnd w:id="52"/>
      <w:bookmarkEnd w:id="53"/>
      <w:bookmarkEnd w:id="54"/>
    </w:p>
    <w:p w14:paraId="0F8CD99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984F763">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55" w:name="_Toc450662850"/>
      <w:bookmarkStart w:id="56" w:name="_Toc1411"/>
      <w:bookmarkStart w:id="57" w:name="_Toc486167664"/>
      <w:bookmarkStart w:id="58" w:name="_Toc5550"/>
      <w:bookmarkStart w:id="59" w:name="_Toc80_WPSOffice_Level3"/>
      <w:bookmarkStart w:id="60" w:name="_Toc142508314"/>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55"/>
      <w:bookmarkEnd w:id="56"/>
      <w:bookmarkEnd w:id="57"/>
      <w:bookmarkEnd w:id="58"/>
      <w:bookmarkEnd w:id="59"/>
      <w:bookmarkEnd w:id="60"/>
    </w:p>
    <w:p w14:paraId="6D134FE7">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w:t>
      </w:r>
      <w:r>
        <w:rPr>
          <w:rFonts w:hint="eastAsia" w:ascii="宋体" w:hAnsi="宋体" w:eastAsia="宋体" w:cs="宋体"/>
          <w:b/>
          <w:color w:val="000000" w:themeColor="text1"/>
          <w:szCs w:val="21"/>
          <w:highlight w:val="none"/>
          <w14:textFill>
            <w14:solidFill>
              <w14:schemeClr w14:val="tx1"/>
            </w14:solidFill>
          </w14:textFill>
        </w:rPr>
        <w:t>2.5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18ED40F0">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60E0FFF1">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32C7A8B4">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309FC74D">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w:t>
      </w:r>
      <w:bookmarkStart w:id="61" w:name="OLE_LINK501"/>
      <w:r>
        <w:rPr>
          <w:rFonts w:hint="eastAsia" w:ascii="宋体" w:hAnsi="宋体" w:eastAsia="宋体" w:cs="Times New Roman"/>
          <w:b/>
          <w:color w:val="000000" w:themeColor="text1"/>
          <w:kern w:val="0"/>
          <w:szCs w:val="21"/>
          <w:highlight w:val="none"/>
          <w14:textFill>
            <w14:solidFill>
              <w14:schemeClr w14:val="tx1"/>
            </w14:solidFill>
          </w14:textFill>
        </w:rPr>
        <w:t>投标人负责人为同一人或者存在控股、管理关系的不同投标人，不得参加同一项目投标。上述情况一经发现，相关投标均无效</w:t>
      </w:r>
      <w:bookmarkEnd w:id="61"/>
      <w:r>
        <w:rPr>
          <w:rFonts w:hint="eastAsia" w:ascii="宋体" w:hAnsi="宋体" w:eastAsia="宋体" w:cs="宋体"/>
          <w:b/>
          <w:color w:val="000000" w:themeColor="text1"/>
          <w:szCs w:val="21"/>
          <w:highlight w:val="none"/>
          <w:lang w:val="zh-CN"/>
          <w14:textFill>
            <w14:solidFill>
              <w14:schemeClr w14:val="tx1"/>
            </w14:solidFill>
          </w14:textFill>
        </w:rPr>
        <w:t>。</w:t>
      </w:r>
    </w:p>
    <w:p w14:paraId="7CAD9A81">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2B0D3649">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62" w:name="_Toc8199"/>
      <w:bookmarkStart w:id="63" w:name="_Toc23847_WPSOffice_Level3"/>
      <w:bookmarkStart w:id="64" w:name="_Toc142508315"/>
      <w:bookmarkStart w:id="65" w:name="_Toc28362"/>
      <w:bookmarkStart w:id="66" w:name="_Toc450662851"/>
      <w:bookmarkStart w:id="67" w:name="_Toc486167665"/>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合格的货物</w:t>
      </w:r>
      <w:bookmarkEnd w:id="62"/>
      <w:bookmarkEnd w:id="63"/>
      <w:bookmarkEnd w:id="64"/>
      <w:bookmarkEnd w:id="65"/>
    </w:p>
    <w:p w14:paraId="34E845E4">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4DCE1E95">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8" w:name="_Toc533708063"/>
      <w:bookmarkStart w:id="69" w:name="_Toc1977663"/>
      <w:r>
        <w:rPr>
          <w:rFonts w:hint="eastAsia" w:ascii="宋体" w:hAnsi="宋体" w:eastAsia="宋体" w:cs="宋体"/>
          <w:color w:val="000000" w:themeColor="text1"/>
          <w:szCs w:val="21"/>
          <w:highlight w:val="none"/>
          <w:lang w:val="zh-CN"/>
          <w14:textFill>
            <w14:solidFill>
              <w14:schemeClr w14:val="tx1"/>
            </w14:solidFill>
          </w14:textFill>
        </w:rPr>
        <w:t>3.2  投标人</w:t>
      </w:r>
      <w:r>
        <w:rPr>
          <w:rFonts w:hint="eastAsia" w:ascii="宋体" w:hAnsi="宋体" w:eastAsia="宋体" w:cs="Times New Roman"/>
          <w:color w:val="000000" w:themeColor="text1"/>
          <w:szCs w:val="21"/>
          <w:highlight w:val="none"/>
          <w:lang w:val="zh-CN"/>
          <w14:textFill>
            <w14:solidFill>
              <w14:schemeClr w14:val="tx1"/>
            </w14:solidFill>
          </w14:textFill>
        </w:rPr>
        <w:t>中标后提供的货物</w:t>
      </w:r>
      <w:r>
        <w:rPr>
          <w:rFonts w:hint="eastAsia" w:ascii="宋体" w:hAnsi="宋体" w:eastAsia="宋体" w:cs="Times New Roman"/>
          <w:color w:val="000000" w:themeColor="text1"/>
          <w:kern w:val="0"/>
          <w:szCs w:val="21"/>
          <w:highlight w:val="none"/>
          <w14:textFill>
            <w14:solidFill>
              <w14:schemeClr w14:val="tx1"/>
            </w14:solidFill>
          </w14:textFill>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000000" w:themeColor="text1"/>
          <w:kern w:val="0"/>
          <w:szCs w:val="21"/>
          <w:highlight w:val="none"/>
          <w14:textFill>
            <w14:solidFill>
              <w14:schemeClr w14:val="tx1"/>
            </w14:solidFill>
          </w14:textFill>
        </w:rPr>
        <w:t>负责办理所有货物的进口及商检手续</w:t>
      </w:r>
      <w:r>
        <w:rPr>
          <w:rFonts w:hint="eastAsia" w:ascii="宋体" w:hAnsi="宋体" w:eastAsia="宋体" w:cs="Times New Roman"/>
          <w:color w:val="000000" w:themeColor="text1"/>
          <w:kern w:val="0"/>
          <w:szCs w:val="21"/>
          <w:highlight w:val="none"/>
          <w14:textFill>
            <w14:solidFill>
              <w14:schemeClr w14:val="tx1"/>
            </w14:solidFill>
          </w14:textFill>
        </w:rPr>
        <w:t>，并承担相关费用</w:t>
      </w:r>
      <w:r>
        <w:rPr>
          <w:rFonts w:hint="eastAsia" w:ascii="宋体" w:hAnsi="宋体" w:eastAsia="宋体" w:cs="宋体"/>
          <w:color w:val="000000" w:themeColor="text1"/>
          <w:szCs w:val="21"/>
          <w:highlight w:val="none"/>
          <w:lang w:val="zh-CN"/>
          <w14:textFill>
            <w14:solidFill>
              <w14:schemeClr w14:val="tx1"/>
            </w14:solidFill>
          </w14:textFill>
        </w:rPr>
        <w:t>。</w:t>
      </w:r>
    </w:p>
    <w:bookmarkEnd w:id="68"/>
    <w:bookmarkEnd w:id="69"/>
    <w:p w14:paraId="77782366">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70" w:name="_Toc533708064"/>
      <w:bookmarkStart w:id="71" w:name="_Toc1977664"/>
      <w:r>
        <w:rPr>
          <w:rFonts w:hint="eastAsia" w:ascii="宋体" w:hAnsi="宋体" w:eastAsia="宋体" w:cs="宋体"/>
          <w:color w:val="000000" w:themeColor="text1"/>
          <w:szCs w:val="21"/>
          <w:highlight w:val="none"/>
          <w:lang w:val="zh-CN"/>
          <w14:textFill>
            <w14:solidFill>
              <w14:schemeClr w14:val="tx1"/>
            </w14:solidFill>
          </w14:textFill>
        </w:rPr>
        <w:t xml:space="preserve">3.3  </w:t>
      </w:r>
      <w:bookmarkEnd w:id="70"/>
      <w:bookmarkEnd w:id="71"/>
      <w:bookmarkStart w:id="72" w:name="_Toc1977665"/>
      <w:bookmarkStart w:id="73" w:name="_Toc5337080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必须保证提供的所有货物或货物的任何部分均为最新正式版本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72"/>
      <w:bookmarkEnd w:id="73"/>
    </w:p>
    <w:p w14:paraId="56F30820">
      <w:pPr>
        <w:autoSpaceDE w:val="0"/>
        <w:autoSpaceDN w:val="0"/>
        <w:adjustRightInd w:val="0"/>
        <w:spacing w:line="360" w:lineRule="auto"/>
        <w:ind w:left="315" w:leftChars="-100" w:hanging="525" w:hangingChars="250"/>
        <w:rPr>
          <w:rFonts w:ascii="宋体" w:hAnsi="宋体" w:eastAsia="宋体" w:cs="Times New Roman"/>
          <w:color w:val="000000" w:themeColor="text1"/>
          <w:kern w:val="0"/>
          <w:szCs w:val="21"/>
          <w:highlight w:val="none"/>
          <w14:textFill>
            <w14:solidFill>
              <w14:schemeClr w14:val="tx1"/>
            </w14:solidFill>
          </w14:textFill>
        </w:rPr>
      </w:pPr>
      <w:bookmarkStart w:id="74" w:name="_Toc533708066"/>
      <w:bookmarkStart w:id="75" w:name="_Toc19776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74"/>
    <w:bookmarkEnd w:id="75"/>
    <w:p w14:paraId="448B8812">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76" w:name="_Toc533708067"/>
      <w:bookmarkStart w:id="77" w:name="_Toc1977667"/>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 xml:space="preserve">  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76"/>
      <w:bookmarkEnd w:id="77"/>
    </w:p>
    <w:p w14:paraId="37EFE937">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78" w:name="_Toc1977668"/>
      <w:bookmarkStart w:id="79" w:name="_Toc5337080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 xml:space="preserve">  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78"/>
      <w:bookmarkEnd w:id="79"/>
    </w:p>
    <w:p w14:paraId="09D2B22F">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730A6853">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80" w:name="_Toc142508316"/>
      <w:bookmarkStart w:id="81" w:name="_Toc23394"/>
      <w:bookmarkStart w:id="82" w:name="_Toc9658_WPSOffice_Level3"/>
      <w:bookmarkStart w:id="83" w:name="_Toc17995"/>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80"/>
      <w:bookmarkEnd w:id="81"/>
      <w:bookmarkEnd w:id="82"/>
      <w:bookmarkEnd w:id="83"/>
    </w:p>
    <w:p w14:paraId="71511B48">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84" w:name="_Toc1977670"/>
      <w:bookmarkStart w:id="85" w:name="_Toc5337080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84"/>
      <w:bookmarkEnd w:id="85"/>
    </w:p>
    <w:p w14:paraId="4F907EFC">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86" w:name="_Toc533708072"/>
      <w:bookmarkStart w:id="87" w:name="_Toc19776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86"/>
      <w:bookmarkEnd w:id="87"/>
    </w:p>
    <w:p w14:paraId="75645DB0">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88" w:name="_Toc533708073"/>
      <w:bookmarkStart w:id="89" w:name="_Toc19776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88"/>
      <w:bookmarkEnd w:id="89"/>
    </w:p>
    <w:p w14:paraId="266B2878">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90" w:name="_Toc1977676"/>
      <w:bookmarkStart w:id="91" w:name="_Toc533708076"/>
      <w:r>
        <w:rPr>
          <w:rFonts w:hint="eastAsia" w:ascii="宋体" w:hAnsi="宋体" w:eastAsia="宋体" w:cs="Times New Roman"/>
          <w:color w:val="000000" w:themeColor="text1"/>
          <w:kern w:val="0"/>
          <w:szCs w:val="21"/>
          <w:highlight w:val="none"/>
          <w14:textFill>
            <w14:solidFill>
              <w14:schemeClr w14:val="tx1"/>
            </w14:solidFill>
          </w14:textFill>
        </w:rPr>
        <w:t>（1）</w:t>
      </w:r>
      <w:bookmarkStart w:id="92" w:name="OLE_LINK408"/>
      <w:r>
        <w:rPr>
          <w:rFonts w:hint="eastAsia" w:ascii="宋体" w:hAnsi="宋体" w:eastAsia="宋体" w:cs="Times New Roman"/>
          <w:color w:val="000000" w:themeColor="text1"/>
          <w:kern w:val="0"/>
          <w:szCs w:val="21"/>
          <w:highlight w:val="none"/>
          <w14:textFill>
            <w14:solidFill>
              <w14:schemeClr w14:val="tx1"/>
            </w14:solidFill>
          </w14:textFill>
        </w:rPr>
        <w:t>本项目不组织踏勘现场和答疑。</w:t>
      </w:r>
      <w:bookmarkEnd w:id="92"/>
    </w:p>
    <w:p w14:paraId="77FC3D10">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14:paraId="22BF74DE">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25F32B69">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7CD52EE9">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66"/>
      <w:bookmarkEnd w:id="67"/>
      <w:bookmarkEnd w:id="90"/>
      <w:bookmarkEnd w:id="91"/>
    </w:p>
    <w:p w14:paraId="1975A3B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5115B1A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484DA3F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（3）开标后，直至向中标人授予合同期间，凡与审查、澄清、评价和比较报价的有关资料以及授标意见等，参与评标工作的有关人员均不得向投标人及与评标无关的其他人透露。</w:t>
      </w:r>
    </w:p>
    <w:p w14:paraId="6598396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1BE0371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03ADFFB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4537D636">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0A21C171">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93" w:name="_Toc486167667"/>
      <w:bookmarkStart w:id="94" w:name="_Toc1482"/>
      <w:bookmarkStart w:id="95" w:name="_Toc30507_WPSOffice_Level2"/>
      <w:bookmarkStart w:id="96" w:name="_Toc450662853"/>
      <w:bookmarkStart w:id="97" w:name="_Toc10616"/>
      <w:bookmarkStart w:id="98" w:name="_Toc140596876"/>
      <w:bookmarkStart w:id="99" w:name="_Toc142508317"/>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93"/>
      <w:bookmarkEnd w:id="94"/>
      <w:bookmarkEnd w:id="95"/>
      <w:bookmarkEnd w:id="96"/>
      <w:bookmarkEnd w:id="97"/>
      <w:bookmarkEnd w:id="98"/>
      <w:bookmarkEnd w:id="99"/>
    </w:p>
    <w:p w14:paraId="4C06CE2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0" w:name="_Toc142508318"/>
      <w:bookmarkStart w:id="101" w:name="_Toc486167668"/>
      <w:bookmarkStart w:id="102" w:name="_Toc26635_WPSOffice_Level3"/>
      <w:bookmarkStart w:id="103" w:name="_Toc450662854"/>
      <w:bookmarkStart w:id="104" w:name="_Toc28179"/>
      <w:bookmarkStart w:id="105" w:name="_Toc6097"/>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100"/>
      <w:bookmarkEnd w:id="101"/>
      <w:bookmarkEnd w:id="102"/>
      <w:bookmarkEnd w:id="103"/>
      <w:bookmarkEnd w:id="104"/>
      <w:bookmarkEnd w:id="105"/>
    </w:p>
    <w:p w14:paraId="3C1EF67F">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0AE3418E">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4B5688C7">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14:paraId="51CA09DE">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4EE95FBE">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w:t>
      </w:r>
    </w:p>
    <w:p w14:paraId="6A0ACA8C">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3B09447C">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6D952AE7">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评标工作大纲</w:t>
      </w:r>
    </w:p>
    <w:p w14:paraId="0E9BC24D">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标志的部分为投标人、投标拟供货物必备的条件或重要指示），那么投标人的投标文件将有可能被拒绝接收或评审为无效投标文件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0879CA7C">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4359A79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（1）“招标人”指东莞市水务集团科技发展有限公司；</w:t>
      </w:r>
    </w:p>
    <w:p w14:paraId="617F8D6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）“招标代理机构”指建成工程咨询股份有限公司；</w:t>
      </w:r>
    </w:p>
    <w:p w14:paraId="75603C59">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）“投标人”指参加东莞市水务集团科技发展有限公司屋顶分布式光伏发电（一期）采购项目所需的货物及有关服务的投标，并向招标代理机构提交投标文件的当事人；</w:t>
      </w:r>
    </w:p>
    <w:p w14:paraId="07F8085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5163A0C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）“中标人”指其投标被招标人接受，并与招标人签订合同的当事人；</w:t>
      </w:r>
    </w:p>
    <w:p w14:paraId="761BE99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）“甲方”指在合同条款中指明的购买货物及有关服务的单位，即东莞市水务集团科技发展有限公司；</w:t>
      </w:r>
    </w:p>
    <w:p w14:paraId="27DCB33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）“乙方”指在合同条款中指明的本合同项下提供货物及有关服务的公司或实体；</w:t>
      </w:r>
    </w:p>
    <w:p w14:paraId="58D37CA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）“招标文件”指包括招标公告和招标文件及其补充、变更和澄清等一系列文件；</w:t>
      </w:r>
    </w:p>
    <w:p w14:paraId="4462C7D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14:paraId="1C98AE5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2865EEEB">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698B6BA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24AD23E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21465C8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）不含税价，即为《中华人民共和国增值税暂行条例》（国务院令第6</w:t>
      </w:r>
      <w:r>
        <w:rPr>
          <w:rFonts w:ascii="宋体" w:hAnsi="宋体" w:eastAsia="宋体" w:cs="Times New Roman"/>
          <w:color w:val="000000" w:themeColor="text1"/>
          <w:kern w:val="0"/>
          <w:szCs w:val="21"/>
          <w:highlight w:val="none"/>
          <w14:textFill>
            <w14:solidFill>
              <w14:schemeClr w14:val="tx1"/>
            </w14:solidFill>
          </w14:textFill>
        </w:rPr>
        <w:t>91</w:t>
      </w:r>
      <w:r>
        <w:rPr>
          <w:rFonts w:hint="eastAsia" w:ascii="宋体" w:hAnsi="宋体" w:eastAsia="宋体" w:cs="Times New Roman"/>
          <w:color w:val="000000" w:themeColor="text1"/>
          <w:kern w:val="0"/>
          <w:szCs w:val="21"/>
          <w:highlight w:val="none"/>
          <w14:textFill>
            <w14:solidFill>
              <w14:schemeClr w14:val="tx1"/>
            </w14:solidFill>
          </w14:textFill>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2357C50A">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792ED3F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6" w:name="_Toc142508319"/>
      <w:bookmarkStart w:id="107" w:name="_Toc450662855"/>
      <w:bookmarkStart w:id="108" w:name="_Toc486167669"/>
      <w:bookmarkStart w:id="109" w:name="_Toc18010"/>
      <w:bookmarkStart w:id="110" w:name="_Toc18407"/>
      <w:bookmarkStart w:id="111" w:name="_Toc29125_WPSOffice_Level3"/>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106"/>
      <w:bookmarkEnd w:id="107"/>
      <w:bookmarkEnd w:id="108"/>
      <w:bookmarkEnd w:id="109"/>
      <w:bookmarkEnd w:id="110"/>
      <w:bookmarkEnd w:id="111"/>
    </w:p>
    <w:p w14:paraId="14879C6E">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3188E3D4">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6B991AD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12" w:name="_Toc26320"/>
      <w:bookmarkStart w:id="113" w:name="_Toc450662856"/>
      <w:bookmarkStart w:id="114" w:name="_Toc486167670"/>
      <w:bookmarkStart w:id="115" w:name="_Toc142508320"/>
      <w:bookmarkStart w:id="116" w:name="_Toc23483_WPSOffice_Level3"/>
      <w:bookmarkStart w:id="117" w:name="_Toc19059"/>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112"/>
      <w:bookmarkEnd w:id="113"/>
      <w:bookmarkEnd w:id="114"/>
      <w:bookmarkEnd w:id="115"/>
      <w:bookmarkEnd w:id="116"/>
      <w:bookmarkEnd w:id="117"/>
      <w:bookmarkStart w:id="118" w:name="OLE_LINK8"/>
    </w:p>
    <w:p w14:paraId="6BA8DB90">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47FC1B9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2DBA9E6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hint="eastAsia" w:ascii="宋体" w:hAnsi="宋体" w:eastAsia="宋体" w:cs="Times New Roman"/>
          <w:bCs/>
          <w:color w:val="000000" w:themeColor="text1"/>
          <w:szCs w:val="21"/>
          <w:highlight w:val="none"/>
          <w14:textFill>
            <w14:solidFill>
              <w14:schemeClr w14:val="tx1"/>
            </w14:solidFill>
          </w14:textFill>
        </w:rPr>
        <w:t>广东省公共资源交易平台（ygp.gdzwfw.gov.cn）、</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ascii="宋体" w:hAnsi="宋体" w:eastAsia="宋体" w:cs="Times New Roman"/>
          <w:color w:val="000000" w:themeColor="text1"/>
          <w:szCs w:val="21"/>
          <w:highlight w:val="none"/>
          <w:lang w:val="zh-CN"/>
          <w14:textFill>
            <w14:solidFill>
              <w14:schemeClr w14:val="tx1"/>
            </w14:solidFill>
          </w14:textFill>
        </w:rPr>
        <w:t>东莞市水务集团有限公司网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"file:///D:\\微信文档\\WeChat%20Files\\wangjun8283\\FileStorage\\File\\2024-09\\www.dgswjt.cn）、招标代理公司网站（http:\\%20%20%20%20%20%20%20%20%20%20%20%20%20%20）" </w:instrText>
      </w:r>
      <w:r>
        <w:rPr>
          <w:color w:val="000000" w:themeColor="text1"/>
          <w:highlight w:val="none"/>
          <w14:textFill>
            <w14:solidFill>
              <w14:schemeClr w14:val="tx1"/>
            </w14:solidFill>
          </w14:textFill>
        </w:rPr>
        <w:fldChar w:fldCharType="separate"/>
      </w:r>
      <w:r>
        <w:rPr>
          <w:rStyle w:val="43"/>
          <w:rFonts w:ascii="宋体" w:hAnsi="宋体" w:eastAsia="宋体" w:cs="Times New Roman"/>
          <w:color w:val="000000" w:themeColor="text1"/>
          <w:sz w:val="21"/>
          <w:szCs w:val="21"/>
          <w:highlight w:val="none"/>
          <w14:textFill>
            <w14:solidFill>
              <w14:schemeClr w14:val="tx1"/>
            </w14:solidFill>
          </w14:textFill>
        </w:rPr>
        <w:t>www.dgswjt.cn）</w:t>
      </w:r>
      <w:r>
        <w:rPr>
          <w:rStyle w:val="43"/>
          <w:rFonts w:ascii="宋体" w:hAnsi="宋体" w:eastAsia="宋体" w:cs="Times New Roman"/>
          <w:color w:val="000000" w:themeColor="text1"/>
          <w:sz w:val="21"/>
          <w:szCs w:val="21"/>
          <w:highlight w:val="none"/>
          <w:lang w:val="zh-CN"/>
          <w14:textFill>
            <w14:solidFill>
              <w14:schemeClr w14:val="tx1"/>
            </w14:solidFill>
          </w14:textFill>
        </w:rPr>
        <w:t>、</w:t>
      </w:r>
      <w:r>
        <w:rPr>
          <w:rStyle w:val="43"/>
          <w:rFonts w:hint="eastAsia" w:ascii="宋体" w:hAnsi="宋体" w:eastAsia="宋体" w:cs="Times New Roman"/>
          <w:bCs/>
          <w:color w:val="000000" w:themeColor="text1"/>
          <w:kern w:val="0"/>
          <w:sz w:val="21"/>
          <w:szCs w:val="21"/>
          <w:highlight w:val="none"/>
          <w14:textFill>
            <w14:solidFill>
              <w14:schemeClr w14:val="tx1"/>
            </w14:solidFill>
          </w14:textFill>
        </w:rPr>
        <w:t>招标代理机构网站（www.gzjc.com.cn</w:t>
      </w:r>
      <w:r>
        <w:rPr>
          <w:rStyle w:val="43"/>
          <w:rFonts w:ascii="宋体" w:hAnsi="宋体" w:eastAsia="宋体" w:cs="Times New Roman"/>
          <w:bCs/>
          <w:color w:val="000000" w:themeColor="text1"/>
          <w:kern w:val="0"/>
          <w:sz w:val="21"/>
          <w:szCs w:val="21"/>
          <w:highlight w:val="none"/>
          <w14:textFill>
            <w14:solidFill>
              <w14:schemeClr w14:val="tx1"/>
            </w14:solidFill>
          </w14:textFill>
        </w:rPr>
        <w:t>）</w:t>
      </w:r>
      <w:r>
        <w:rPr>
          <w:rStyle w:val="43"/>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bookmarkEnd w:id="118"/>
    <w:p w14:paraId="6B5BEAF9">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40524193">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19" w:name="_Toc142508321"/>
      <w:bookmarkStart w:id="120" w:name="_Toc29659_WPSOffice_Level2"/>
      <w:bookmarkStart w:id="121" w:name="_Toc22975"/>
      <w:bookmarkStart w:id="122" w:name="_Toc450662857"/>
      <w:bookmarkStart w:id="123" w:name="_Toc140596880"/>
      <w:bookmarkStart w:id="124" w:name="_Toc486167671"/>
      <w:bookmarkStart w:id="125" w:name="_Toc6039"/>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19"/>
      <w:bookmarkEnd w:id="120"/>
      <w:bookmarkEnd w:id="121"/>
      <w:bookmarkEnd w:id="122"/>
      <w:bookmarkEnd w:id="123"/>
      <w:bookmarkEnd w:id="124"/>
      <w:bookmarkEnd w:id="125"/>
    </w:p>
    <w:p w14:paraId="2EAA8CA1">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6" w:name="_Toc14598"/>
      <w:bookmarkStart w:id="127" w:name="_Toc450662858"/>
      <w:bookmarkStart w:id="128" w:name="_Toc142508322"/>
      <w:bookmarkStart w:id="129" w:name="_Toc25773"/>
      <w:bookmarkStart w:id="130" w:name="_Toc10015_WPSOffice_Level3"/>
      <w:bookmarkStart w:id="131" w:name="_Toc486167672"/>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26"/>
      <w:bookmarkEnd w:id="127"/>
      <w:bookmarkEnd w:id="128"/>
      <w:bookmarkEnd w:id="129"/>
      <w:bookmarkEnd w:id="130"/>
      <w:bookmarkEnd w:id="131"/>
    </w:p>
    <w:p w14:paraId="5FE1C95D">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73F6DC8F">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607849BE">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01B1D82B">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32" w:name="_Toc142508323"/>
      <w:bookmarkStart w:id="133" w:name="_Toc24916_WPSOffice_Level3"/>
      <w:bookmarkStart w:id="134" w:name="_Toc450662859"/>
      <w:bookmarkStart w:id="135" w:name="_Toc486167673"/>
      <w:bookmarkStart w:id="136" w:name="_Toc1879"/>
      <w:bookmarkStart w:id="137" w:name="_Toc5090"/>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32"/>
      <w:bookmarkEnd w:id="133"/>
      <w:bookmarkEnd w:id="134"/>
      <w:bookmarkEnd w:id="135"/>
      <w:bookmarkEnd w:id="136"/>
      <w:bookmarkEnd w:id="137"/>
    </w:p>
    <w:p w14:paraId="1EBE8A71">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0ED1D9F6">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14:paraId="23A372BC">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50754AE5">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3EC720A9">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783CDBB1">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51C50F82">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）投标报价表(含投标报价表</w:t>
      </w:r>
      <w:r>
        <w:rPr>
          <w:rFonts w:ascii="宋体" w:hAnsi="宋体" w:eastAsia="宋体" w:cs="宋体"/>
          <w:color w:val="000000" w:themeColor="text1"/>
          <w:szCs w:val="21"/>
          <w:highlight w:val="none"/>
          <w:lang w:val="zh-CN"/>
          <w14:textFill>
            <w14:solidFill>
              <w14:schemeClr w14:val="tx1"/>
            </w14:solidFill>
          </w14:textFill>
        </w:rPr>
        <w:t>和分项</w:t>
      </w:r>
      <w:r>
        <w:rPr>
          <w:rFonts w:hint="eastAsia" w:ascii="宋体" w:hAnsi="宋体" w:eastAsia="宋体" w:cs="宋体"/>
          <w:color w:val="000000" w:themeColor="text1"/>
          <w:szCs w:val="21"/>
          <w:highlight w:val="none"/>
          <w:lang w:val="zh-CN"/>
          <w14:textFill>
            <w14:solidFill>
              <w14:schemeClr w14:val="tx1"/>
            </w14:solidFill>
          </w14:textFill>
        </w:rPr>
        <w:t>报价</w:t>
      </w:r>
      <w:r>
        <w:rPr>
          <w:rFonts w:ascii="宋体" w:hAnsi="宋体" w:eastAsia="宋体" w:cs="宋体"/>
          <w:color w:val="000000" w:themeColor="text1"/>
          <w:szCs w:val="21"/>
          <w:highlight w:val="none"/>
          <w:lang w:val="zh-CN"/>
          <w14:textFill>
            <w14:solidFill>
              <w14:schemeClr w14:val="tx1"/>
            </w14:solidFill>
          </w14:textFill>
        </w:rPr>
        <w:t>表</w:t>
      </w:r>
      <w:r>
        <w:rPr>
          <w:rFonts w:hint="eastAsia" w:ascii="宋体" w:hAnsi="宋体" w:eastAsia="宋体" w:cs="宋体"/>
          <w:color w:val="000000" w:themeColor="text1"/>
          <w:szCs w:val="21"/>
          <w:highlight w:val="none"/>
          <w:lang w:val="zh-CN"/>
          <w14:textFill>
            <w14:solidFill>
              <w14:schemeClr w14:val="tx1"/>
            </w14:solidFill>
          </w14:textFill>
        </w:rPr>
        <w:t>)；</w:t>
      </w:r>
    </w:p>
    <w:p w14:paraId="0FF0D1F6">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24B374C7">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14:paraId="1393C8CB">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开户许可证（基本存款账户）复印件</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14:paraId="278AC6B3">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14:paraId="11F5884A">
      <w:pPr>
        <w:tabs>
          <w:tab w:val="left" w:pos="1276"/>
        </w:tabs>
        <w:spacing w:line="360" w:lineRule="auto"/>
        <w:ind w:left="283" w:hanging="283" w:hangingChars="135"/>
        <w:rPr>
          <w:rFonts w:ascii="宋体" w:hAnsi="宋体" w:eastAsia="宋体" w:cs="Times New Roman"/>
          <w:color w:val="000000" w:themeColor="text1"/>
          <w:szCs w:val="21"/>
          <w:highlight w:val="none"/>
          <w14:textFill>
            <w14:solidFill>
              <w14:schemeClr w14:val="tx1"/>
            </w14:solidFill>
          </w14:textFill>
        </w:rPr>
      </w:pPr>
      <w:bookmarkStart w:id="138" w:name="OLE_LINK400"/>
      <w:r>
        <w:rPr>
          <w:rFonts w:hint="eastAsia" w:ascii="宋体" w:hAnsi="宋体" w:eastAsia="宋体" w:cs="Times New Roman"/>
          <w:color w:val="000000" w:themeColor="text1"/>
          <w:szCs w:val="21"/>
          <w:highlight w:val="none"/>
          <w14:textFill>
            <w14:solidFill>
              <w14:schemeClr w14:val="tx1"/>
            </w14:solidFill>
          </w14:textFill>
        </w:rPr>
        <w:t>4）</w:t>
      </w:r>
      <w:bookmarkStart w:id="139" w:name="OLE_LINK401"/>
      <w:r>
        <w:rPr>
          <w:rFonts w:hint="eastAsia" w:ascii="宋体" w:hAnsi="宋体" w:eastAsia="宋体" w:cs="Times New Roman"/>
          <w:color w:val="000000" w:themeColor="text1"/>
          <w:szCs w:val="21"/>
          <w:highlight w:val="none"/>
          <w14:textFill>
            <w14:solidFill>
              <w14:schemeClr w14:val="tx1"/>
            </w14:solidFill>
          </w14:textFill>
        </w:rPr>
        <w:t>本项目的特定</w:t>
      </w:r>
      <w:bookmarkStart w:id="140" w:name="OLE_LINK159"/>
      <w:r>
        <w:rPr>
          <w:rFonts w:hint="eastAsia" w:ascii="宋体" w:hAnsi="宋体" w:eastAsia="宋体" w:cs="Times New Roman"/>
          <w:color w:val="000000" w:themeColor="text1"/>
          <w:szCs w:val="21"/>
          <w:highlight w:val="none"/>
          <w14:textFill>
            <w14:solidFill>
              <w14:schemeClr w14:val="tx1"/>
            </w14:solidFill>
          </w14:textFill>
        </w:rPr>
        <w:t>资格要</w:t>
      </w:r>
      <w:bookmarkEnd w:id="140"/>
      <w:r>
        <w:rPr>
          <w:rFonts w:hint="eastAsia" w:ascii="宋体" w:hAnsi="宋体" w:eastAsia="宋体" w:cs="Times New Roman"/>
          <w:color w:val="000000" w:themeColor="text1"/>
          <w:szCs w:val="21"/>
          <w:highlight w:val="none"/>
          <w14:textFill>
            <w14:solidFill>
              <w14:schemeClr w14:val="tx1"/>
            </w14:solidFill>
          </w14:textFill>
        </w:rPr>
        <w:t>求</w:t>
      </w:r>
      <w:bookmarkEnd w:id="139"/>
      <w:r>
        <w:rPr>
          <w:rFonts w:hint="eastAsia" w:ascii="宋体" w:hAnsi="宋体" w:eastAsia="宋体" w:cs="Times New Roman"/>
          <w:color w:val="000000" w:themeColor="text1"/>
          <w:szCs w:val="21"/>
          <w:highlight w:val="none"/>
          <w14:textFill>
            <w14:solidFill>
              <w14:schemeClr w14:val="tx1"/>
            </w14:solidFill>
          </w14:textFill>
        </w:rPr>
        <w:t>：</w:t>
      </w:r>
      <w:bookmarkStart w:id="141" w:name="OLE_LINK403"/>
      <w:r>
        <w:rPr>
          <w:rFonts w:hint="eastAsia"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供货安装</w:t>
      </w:r>
      <w:r>
        <w:rPr>
          <w:rFonts w:hint="eastAsia" w:ascii="宋体" w:hAnsi="宋体" w:eastAsia="宋体" w:cs="Times New Roman"/>
          <w:color w:val="000000" w:themeColor="text1"/>
          <w:szCs w:val="21"/>
          <w:highlight w:val="none"/>
          <w:lang w:val="zh-CN"/>
          <w14:textFill>
            <w14:solidFill>
              <w14:schemeClr w14:val="tx1"/>
            </w14:solidFill>
          </w14:textFill>
        </w:rPr>
        <w:t>资质：①具有以下其中一种资质：a）电力工程施工总承包</w:t>
      </w:r>
      <w:r>
        <w:rPr>
          <w:rFonts w:hint="eastAsia" w:ascii="宋体" w:hAnsi="宋体" w:eastAsia="宋体" w:cs="Times New Roman"/>
          <w:color w:val="000000" w:themeColor="text1"/>
          <w:szCs w:val="21"/>
          <w:highlight w:val="none"/>
          <w14:textFill>
            <w14:solidFill>
              <w14:schemeClr w14:val="tx1"/>
            </w14:solidFill>
          </w14:textFill>
        </w:rPr>
        <w:t>乙级</w:t>
      </w:r>
      <w:r>
        <w:rPr>
          <w:rFonts w:hint="eastAsia" w:ascii="宋体" w:hAnsi="宋体" w:eastAsia="宋体" w:cs="Times New Roman"/>
          <w:color w:val="000000" w:themeColor="text1"/>
          <w:szCs w:val="21"/>
          <w:highlight w:val="none"/>
          <w:lang w:val="zh-CN"/>
          <w14:textFill>
            <w14:solidFill>
              <w14:schemeClr w14:val="tx1"/>
            </w14:solidFill>
          </w14:textFill>
        </w:rPr>
        <w:t>（或以上）企业资质；</w:t>
      </w:r>
      <w:r>
        <w:rPr>
          <w:rFonts w:hint="eastAsia" w:ascii="宋体" w:hAnsi="宋体" w:eastAsia="宋体" w:cs="Times New Roman"/>
          <w:color w:val="000000" w:themeColor="text1"/>
          <w:szCs w:val="21"/>
          <w:highlight w:val="none"/>
          <w14:textFill>
            <w14:solidFill>
              <w14:schemeClr w14:val="tx1"/>
            </w14:solidFill>
          </w14:textFill>
        </w:rPr>
        <w:t>b</w:t>
      </w:r>
      <w:r>
        <w:rPr>
          <w:rFonts w:hint="eastAsia" w:ascii="宋体" w:hAnsi="宋体" w:eastAsia="宋体" w:cs="Times New Roman"/>
          <w:color w:val="000000" w:themeColor="text1"/>
          <w:szCs w:val="21"/>
          <w:highlight w:val="none"/>
          <w:lang w:val="zh-CN"/>
          <w14:textFill>
            <w14:solidFill>
              <w14:schemeClr w14:val="tx1"/>
            </w14:solidFill>
          </w14:textFill>
        </w:rPr>
        <w:t>）输变电工程专业承包</w:t>
      </w:r>
      <w:r>
        <w:rPr>
          <w:rFonts w:hint="eastAsia" w:ascii="宋体" w:hAnsi="宋体" w:eastAsia="宋体" w:cs="Times New Roman"/>
          <w:color w:val="000000" w:themeColor="text1"/>
          <w:szCs w:val="21"/>
          <w:highlight w:val="none"/>
          <w14:textFill>
            <w14:solidFill>
              <w14:schemeClr w14:val="tx1"/>
            </w14:solidFill>
          </w14:textFill>
        </w:rPr>
        <w:t>乙级</w:t>
      </w:r>
      <w:r>
        <w:rPr>
          <w:rFonts w:hint="eastAsia" w:ascii="宋体" w:hAnsi="宋体" w:eastAsia="宋体" w:cs="Times New Roman"/>
          <w:color w:val="000000" w:themeColor="text1"/>
          <w:szCs w:val="21"/>
          <w:highlight w:val="none"/>
          <w:lang w:val="zh-CN"/>
          <w14:textFill>
            <w14:solidFill>
              <w14:schemeClr w14:val="tx1"/>
            </w14:solidFill>
          </w14:textFill>
        </w:rPr>
        <w:t>（或以上）企业资质；【</w:t>
      </w:r>
      <w:r>
        <w:rPr>
          <w:rFonts w:hint="eastAsia" w:ascii="宋体" w:hAnsi="宋体" w:eastAsia="宋体" w:cs="Times New Roman"/>
          <w:color w:val="000000" w:themeColor="text1"/>
          <w:szCs w:val="21"/>
          <w:highlight w:val="none"/>
          <w14:textFill>
            <w14:solidFill>
              <w14:schemeClr w14:val="tx1"/>
            </w14:solidFill>
          </w14:textFill>
        </w:rPr>
        <w:t>或更换资质证书前有效期内：</w:t>
      </w:r>
      <w:r>
        <w:rPr>
          <w:rFonts w:hint="eastAsia" w:ascii="宋体" w:hAnsi="宋体" w:eastAsia="宋体" w:cs="Times New Roman"/>
          <w:color w:val="000000" w:themeColor="text1"/>
          <w:szCs w:val="21"/>
          <w:highlight w:val="none"/>
          <w:lang w:val="zh-CN"/>
          <w14:textFill>
            <w14:solidFill>
              <w14:schemeClr w14:val="tx1"/>
            </w14:solidFill>
          </w14:textFill>
        </w:rPr>
        <w:t>电力工程施工总承包三级（或以上）企业资质；</w:t>
      </w:r>
      <w:r>
        <w:rPr>
          <w:rFonts w:hint="eastAsia" w:ascii="宋体" w:hAnsi="宋体" w:eastAsia="宋体" w:cs="Times New Roman"/>
          <w:color w:val="000000" w:themeColor="text1"/>
          <w:szCs w:val="21"/>
          <w:highlight w:val="none"/>
          <w14:textFill>
            <w14:solidFill>
              <w14:schemeClr w14:val="tx1"/>
            </w14:solidFill>
          </w14:textFill>
        </w:rPr>
        <w:t>或</w:t>
      </w:r>
      <w:r>
        <w:rPr>
          <w:rFonts w:hint="eastAsia" w:ascii="宋体" w:hAnsi="宋体" w:eastAsia="宋体" w:cs="Times New Roman"/>
          <w:color w:val="000000" w:themeColor="text1"/>
          <w:szCs w:val="21"/>
          <w:highlight w:val="none"/>
          <w:lang w:val="zh-CN"/>
          <w14:textFill>
            <w14:solidFill>
              <w14:schemeClr w14:val="tx1"/>
            </w14:solidFill>
          </w14:textFill>
        </w:rPr>
        <w:t>输变电工程专业承包三级（或以上）企业资质】；②具有《承装（修、试）电力设施许可证》承装类别五级或以上资质；③具有在效期内的《安全生产许可证》。（</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）设计资质：具有有效期内工程设计综合资质，或工程设计电力行业乙级（或以上）资质，或工程设计电力行业（送</w:t>
      </w:r>
      <w:r>
        <w:rPr>
          <w:rFonts w:hint="eastAsia" w:ascii="宋体" w:hAnsi="宋体" w:eastAsia="宋体" w:cs="Times New Roman"/>
          <w:color w:val="000000" w:themeColor="text1"/>
          <w:szCs w:val="21"/>
          <w:highlight w:val="none"/>
          <w14:textFill>
            <w14:solidFill>
              <w14:schemeClr w14:val="tx1"/>
            </w14:solidFill>
          </w14:textFill>
        </w:rPr>
        <w:t>变</w:t>
      </w:r>
      <w:r>
        <w:rPr>
          <w:rFonts w:hint="eastAsia" w:ascii="宋体" w:hAnsi="宋体" w:eastAsia="宋体" w:cs="Times New Roman"/>
          <w:color w:val="000000" w:themeColor="text1"/>
          <w:szCs w:val="21"/>
          <w:highlight w:val="none"/>
          <w:lang w:val="zh-CN"/>
          <w14:textFill>
            <w14:solidFill>
              <w14:schemeClr w14:val="tx1"/>
            </w14:solidFill>
          </w14:textFill>
        </w:rPr>
        <w:t>电工程）专业乙级（或以上）资质，或工程设计电力行业（新能源发电</w:t>
      </w:r>
      <w:r>
        <w:rPr>
          <w:rFonts w:hint="eastAsia" w:ascii="宋体" w:hAnsi="宋体" w:eastAsia="宋体" w:cs="Times New Roman"/>
          <w:color w:val="000000" w:themeColor="text1"/>
          <w:szCs w:val="21"/>
          <w:highlight w:val="none"/>
          <w14:textFill>
            <w14:solidFill>
              <w14:schemeClr w14:val="tx1"/>
            </w14:solidFill>
          </w14:textFill>
        </w:rPr>
        <w:t>工程</w:t>
      </w:r>
      <w:r>
        <w:rPr>
          <w:rFonts w:hint="eastAsia" w:ascii="宋体" w:hAnsi="宋体" w:eastAsia="宋体" w:cs="Times New Roman"/>
          <w:color w:val="000000" w:themeColor="text1"/>
          <w:szCs w:val="21"/>
          <w:highlight w:val="none"/>
          <w:lang w:val="zh-CN"/>
          <w14:textFill>
            <w14:solidFill>
              <w14:schemeClr w14:val="tx1"/>
            </w14:solidFill>
          </w14:textFill>
        </w:rPr>
        <w:t>）专业乙级（或以上）资质【</w:t>
      </w:r>
      <w:r>
        <w:rPr>
          <w:rFonts w:hint="eastAsia" w:ascii="宋体" w:hAnsi="宋体" w:eastAsia="宋体" w:cs="Times New Roman"/>
          <w:color w:val="000000" w:themeColor="text1"/>
          <w:szCs w:val="21"/>
          <w:highlight w:val="none"/>
          <w14:textFill>
            <w14:solidFill>
              <w14:schemeClr w14:val="tx1"/>
            </w14:solidFill>
          </w14:textFill>
        </w:rPr>
        <w:t>或更换资质证书前有效期内</w:t>
      </w:r>
      <w:r>
        <w:rPr>
          <w:rFonts w:hint="eastAsia" w:ascii="宋体" w:hAnsi="宋体" w:eastAsia="宋体" w:cs="Times New Roman"/>
          <w:color w:val="000000" w:themeColor="text1"/>
          <w:szCs w:val="21"/>
          <w:highlight w:val="none"/>
          <w:lang w:val="zh-CN"/>
          <w14:textFill>
            <w14:solidFill>
              <w14:schemeClr w14:val="tx1"/>
            </w14:solidFill>
          </w14:textFill>
        </w:rPr>
        <w:t>：工程设计综合</w:t>
      </w:r>
      <w:r>
        <w:rPr>
          <w:rFonts w:hint="eastAsia" w:ascii="宋体" w:hAnsi="宋体" w:eastAsia="宋体" w:cs="Times New Roman"/>
          <w:color w:val="000000" w:themeColor="text1"/>
          <w:szCs w:val="21"/>
          <w:highlight w:val="none"/>
          <w14:textFill>
            <w14:solidFill>
              <w14:schemeClr w14:val="tx1"/>
            </w14:solidFill>
          </w14:textFill>
        </w:rPr>
        <w:t>甲级</w:t>
      </w:r>
      <w:r>
        <w:rPr>
          <w:rFonts w:hint="eastAsia" w:ascii="宋体" w:hAnsi="宋体" w:eastAsia="宋体" w:cs="Times New Roman"/>
          <w:color w:val="000000" w:themeColor="text1"/>
          <w:szCs w:val="21"/>
          <w:highlight w:val="none"/>
          <w:lang w:val="zh-CN"/>
          <w14:textFill>
            <w14:solidFill>
              <w14:schemeClr w14:val="tx1"/>
            </w14:solidFill>
          </w14:textFill>
        </w:rPr>
        <w:t>资质，或工程设计电力行业乙级（或以上）资质，或工程设计电力行业（送电工程或变电工程）专业丙级（或以上）资质，或工程设计电力行业（新能源发电）专业乙级资质】；</w:t>
      </w:r>
      <w:r>
        <w:rPr>
          <w:rFonts w:hint="eastAsia" w:ascii="宋体" w:hAnsi="宋体" w:eastAsia="宋体" w:cs="Times New Roman"/>
          <w:color w:val="000000" w:themeColor="text1"/>
          <w:szCs w:val="21"/>
          <w:highlight w:val="none"/>
          <w14:textFill>
            <w14:solidFill>
              <w14:schemeClr w14:val="tx1"/>
            </w14:solidFill>
          </w14:textFill>
        </w:rPr>
        <w:t>【投标人提供以上资质证书复印件】</w:t>
      </w:r>
      <w:bookmarkEnd w:id="141"/>
    </w:p>
    <w:bookmarkEnd w:id="138"/>
    <w:p w14:paraId="137A2865">
      <w:pPr>
        <w:tabs>
          <w:tab w:val="left" w:pos="1276"/>
        </w:tabs>
        <w:spacing w:line="360" w:lineRule="auto"/>
        <w:ind w:left="283" w:hanging="283" w:hangingChars="135"/>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资格业绩</w:t>
      </w:r>
      <w:bookmarkStart w:id="142" w:name="OLE_LINK71"/>
      <w:r>
        <w:rPr>
          <w:rFonts w:hint="eastAsia" w:ascii="宋体" w:hAnsi="宋体" w:eastAsia="宋体"/>
          <w:color w:val="000000" w:themeColor="text1"/>
          <w:szCs w:val="21"/>
          <w:highlight w:val="none"/>
          <w14:textFill>
            <w14:solidFill>
              <w14:schemeClr w14:val="tx1"/>
            </w14:solidFill>
          </w14:textFill>
        </w:rPr>
        <w:t>【投标人提供一份2019年1月1日以来</w:t>
      </w:r>
      <w:r>
        <w:rPr>
          <w:rFonts w:hint="eastAsia" w:ascii="宋体" w:hAnsi="宋体" w:eastAsia="宋体" w:cs="宋体"/>
          <w:b/>
          <w:color w:val="000000" w:themeColor="text1"/>
          <w:szCs w:val="21"/>
          <w:highlight w:val="none"/>
          <w14:textFill>
            <w14:solidFill>
              <w14:schemeClr w14:val="tx1"/>
            </w14:solidFill>
          </w14:textFill>
        </w:rPr>
        <w:t>屋顶分布式光伏发电的业</w:t>
      </w:r>
      <w:bookmarkStart w:id="143" w:name="OLE_LINK70"/>
      <w:r>
        <w:rPr>
          <w:rFonts w:hint="eastAsia" w:ascii="宋体" w:hAnsi="宋体" w:eastAsia="宋体" w:cs="宋体"/>
          <w:b/>
          <w:color w:val="000000" w:themeColor="text1"/>
          <w:szCs w:val="21"/>
          <w:highlight w:val="none"/>
          <w14:textFill>
            <w14:solidFill>
              <w14:schemeClr w14:val="tx1"/>
            </w14:solidFill>
          </w14:textFill>
        </w:rPr>
        <w:t>绩</w:t>
      </w:r>
      <w:bookmarkEnd w:id="143"/>
      <w:r>
        <w:rPr>
          <w:rFonts w:hint="eastAsia" w:ascii="宋体" w:hAnsi="宋体" w:eastAsia="宋体"/>
          <w:color w:val="000000" w:themeColor="text1"/>
          <w:szCs w:val="21"/>
          <w:highlight w:val="none"/>
          <w14:textFill>
            <w14:solidFill>
              <w14:schemeClr w14:val="tx1"/>
            </w14:solidFill>
          </w14:textFill>
        </w:rPr>
        <w:t>（合同签订日期为2019年1月1日或以后），资格业绩证明材料提交要求详见招标文件第六篇投标文件格式</w:t>
      </w:r>
      <w:r>
        <w:rPr>
          <w:rFonts w:hint="eastAsia" w:ascii="宋体" w:hAnsi="宋体" w:eastAsia="宋体"/>
          <w:color w:val="000000" w:themeColor="text1"/>
          <w:szCs w:val="21"/>
          <w:highlight w:val="none"/>
          <w:u w:val="single"/>
          <w14:textFill>
            <w14:solidFill>
              <w14:schemeClr w14:val="tx1"/>
            </w14:solidFill>
          </w14:textFill>
        </w:rPr>
        <w:t>5.5</w:t>
      </w:r>
      <w:r>
        <w:rPr>
          <w:rFonts w:hint="eastAsia" w:ascii="宋体" w:hAnsi="宋体" w:eastAsia="宋体"/>
          <w:color w:val="000000" w:themeColor="text1"/>
          <w:szCs w:val="21"/>
          <w:highlight w:val="none"/>
          <w14:textFill>
            <w14:solidFill>
              <w14:schemeClr w14:val="tx1"/>
            </w14:solidFill>
          </w14:textFill>
        </w:rPr>
        <w:t>】；</w:t>
      </w:r>
      <w:bookmarkEnd w:id="142"/>
    </w:p>
    <w:p w14:paraId="506C764B">
      <w:pPr>
        <w:autoSpaceDE w:val="0"/>
        <w:autoSpaceDN w:val="0"/>
        <w:adjustRightInd w:val="0"/>
        <w:spacing w:line="360" w:lineRule="auto"/>
        <w:ind w:left="913" w:hanging="913" w:hangingChars="43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bookmarkStart w:id="144" w:name="OLE_LINK33"/>
    </w:p>
    <w:p w14:paraId="6C02FFA6">
      <w:pPr>
        <w:autoSpaceDE w:val="0"/>
        <w:autoSpaceDN w:val="0"/>
        <w:adjustRightInd w:val="0"/>
        <w:spacing w:line="360" w:lineRule="auto"/>
        <w:ind w:left="913" w:hanging="913" w:hangingChars="435"/>
        <w:rPr>
          <w:rFonts w:ascii="宋体" w:hAnsi="宋体" w:eastAsia="宋体" w:cs="宋体"/>
          <w:color w:val="000000" w:themeColor="text1"/>
          <w:szCs w:val="21"/>
          <w:highlight w:val="none"/>
          <w14:textFill>
            <w14:solidFill>
              <w14:schemeClr w14:val="tx1"/>
            </w14:solidFill>
          </w14:textFill>
        </w:rPr>
      </w:pPr>
      <w:bookmarkStart w:id="145" w:name="OLE_LINK67"/>
      <w:r>
        <w:rPr>
          <w:rFonts w:hint="eastAsia" w:ascii="宋体" w:hAnsi="宋体" w:eastAsia="宋体" w:cs="宋体"/>
          <w:color w:val="000000" w:themeColor="text1"/>
          <w:szCs w:val="21"/>
          <w:highlight w:val="none"/>
          <w14:textFill>
            <w14:solidFill>
              <w14:schemeClr w14:val="tx1"/>
            </w14:solidFill>
          </w14:textFill>
        </w:rPr>
        <w:t>7）联合体共同投标协议书（</w:t>
      </w:r>
      <w:bookmarkStart w:id="146" w:name="OLE_LINK231"/>
      <w:r>
        <w:rPr>
          <w:rFonts w:hint="eastAsia" w:ascii="宋体" w:hAnsi="宋体" w:eastAsia="宋体" w:cs="宋体"/>
          <w:color w:val="000000" w:themeColor="text1"/>
          <w:szCs w:val="21"/>
          <w:highlight w:val="none"/>
          <w14:textFill>
            <w14:solidFill>
              <w14:schemeClr w14:val="tx1"/>
            </w14:solidFill>
          </w14:textFill>
        </w:rPr>
        <w:t>当联合体投标时提供</w:t>
      </w:r>
      <w:bookmarkEnd w:id="146"/>
      <w:r>
        <w:rPr>
          <w:rFonts w:hint="eastAsia" w:ascii="宋体" w:hAnsi="宋体" w:eastAsia="宋体" w:cs="宋体"/>
          <w:color w:val="000000" w:themeColor="text1"/>
          <w:szCs w:val="21"/>
          <w:highlight w:val="none"/>
          <w14:textFill>
            <w14:solidFill>
              <w14:schemeClr w14:val="tx1"/>
            </w14:solidFill>
          </w14:textFill>
        </w:rPr>
        <w:t>）；</w:t>
      </w:r>
    </w:p>
    <w:bookmarkEnd w:id="144"/>
    <w:bookmarkEnd w:id="145"/>
    <w:p w14:paraId="4A166C6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594A8BC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1BE2417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（8）标准化体系认证；</w:t>
      </w:r>
    </w:p>
    <w:p w14:paraId="51F74894">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（9）合同条款响应程度（合同条款偏离表）；</w:t>
      </w:r>
    </w:p>
    <w:p w14:paraId="16A82C63">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4CBB848A">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50D89346">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12</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000000" w:themeColor="text1"/>
          <w:szCs w:val="21"/>
          <w:highlight w:val="none"/>
          <w14:textFill>
            <w14:solidFill>
              <w14:schemeClr w14:val="tx1"/>
            </w14:solidFill>
          </w14:textFill>
        </w:rPr>
        <w:t>及有关</w:t>
      </w:r>
      <w:r>
        <w:rPr>
          <w:rFonts w:hint="eastAsia" w:ascii="宋体" w:hAnsi="宋体" w:eastAsia="宋体" w:cs="宋体"/>
          <w:color w:val="000000" w:themeColor="text1"/>
          <w:szCs w:val="21"/>
          <w:highlight w:val="none"/>
          <w:lang w:val="zh-CN"/>
          <w14:textFill>
            <w14:solidFill>
              <w14:schemeClr w14:val="tx1"/>
            </w14:solidFill>
          </w14:textFill>
        </w:rPr>
        <w:t>服务能力的有关其它商务文件（不做强制要求）。</w:t>
      </w:r>
    </w:p>
    <w:p w14:paraId="1F96C8E9">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14:paraId="76A65C5F">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67329E86">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（1）用户需求响应程度（即用户需求偏离表格式）；</w:t>
      </w:r>
    </w:p>
    <w:p w14:paraId="1BF857D1">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lang w:val="zh-CN"/>
          <w14:textFill>
            <w14:solidFill>
              <w14:schemeClr w14:val="tx1"/>
            </w14:solidFill>
          </w14:textFill>
        </w:rPr>
        <w:t>供货货物清单表</w:t>
      </w:r>
      <w:bookmarkStart w:id="147" w:name="OLE_LINK367"/>
      <w:r>
        <w:rPr>
          <w:rFonts w:hint="eastAsia" w:ascii="宋体" w:hAnsi="宋体" w:eastAsia="宋体" w:cs="Times New Roman"/>
          <w:color w:val="000000" w:themeColor="text1"/>
          <w:kern w:val="0"/>
          <w:szCs w:val="21"/>
          <w:highlight w:val="none"/>
          <w:lang w:val="zh-CN"/>
          <w14:textFill>
            <w14:solidFill>
              <w14:schemeClr w14:val="tx1"/>
            </w14:solidFill>
          </w14:textFill>
        </w:rPr>
        <w:t>（货物明细中的货物名称、品牌、产地、规格、型号、数量等，必须与分项报价明细表完全一致）</w:t>
      </w:r>
      <w:bookmarkEnd w:id="147"/>
      <w:r>
        <w:rPr>
          <w:rFonts w:hint="eastAsia" w:ascii="宋体" w:hAnsi="宋体" w:eastAsia="宋体" w:cs="Times New Roman"/>
          <w:color w:val="000000" w:themeColor="text1"/>
          <w:kern w:val="0"/>
          <w:szCs w:val="21"/>
          <w:highlight w:val="none"/>
          <w:lang w:val="zh-CN"/>
          <w14:textFill>
            <w14:solidFill>
              <w14:schemeClr w14:val="tx1"/>
            </w14:solidFill>
          </w14:textFill>
        </w:rPr>
        <w:t>；</w:t>
      </w:r>
    </w:p>
    <w:p w14:paraId="214DBE4D">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bookmarkStart w:id="148" w:name="OLE_LINK368"/>
      <w:r>
        <w:rPr>
          <w:rFonts w:hint="eastAsia" w:ascii="宋体" w:hAnsi="宋体" w:eastAsia="宋体" w:cs="宋体"/>
          <w:color w:val="000000" w:themeColor="text1"/>
          <w:kern w:val="0"/>
          <w:szCs w:val="21"/>
          <w:highlight w:val="none"/>
          <w14:textFill>
            <w14:solidFill>
              <w14:schemeClr w14:val="tx1"/>
            </w14:solidFill>
          </w14:textFill>
        </w:rPr>
        <w:t>（3）</w:t>
      </w:r>
      <w:bookmarkEnd w:id="148"/>
      <w:r>
        <w:rPr>
          <w:rFonts w:hint="eastAsia" w:ascii="宋体" w:hAnsi="宋体" w:eastAsia="宋体" w:cs="宋体"/>
          <w:color w:val="000000" w:themeColor="text1"/>
          <w:kern w:val="0"/>
          <w:szCs w:val="21"/>
          <w:highlight w:val="none"/>
          <w14:textFill>
            <w14:solidFill>
              <w14:schemeClr w14:val="tx1"/>
            </w14:solidFill>
          </w14:textFill>
        </w:rPr>
        <w:t>光伏系统主要设备配置（投标人自行提供书面说明和资料）；</w:t>
      </w:r>
    </w:p>
    <w:p w14:paraId="3E8A4D7D">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（4）技术服务团队实力（投标人提供证明资料）；</w:t>
      </w:r>
    </w:p>
    <w:p w14:paraId="5ACB931E">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（5）系统总体设计（投标人自行编写）；</w:t>
      </w:r>
    </w:p>
    <w:p w14:paraId="4ED7D684">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（6）项目管理和项目实施组织（投标人自行编写）；</w:t>
      </w:r>
    </w:p>
    <w:p w14:paraId="494D6004">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（7）技术服务（投标人自行编写）；</w:t>
      </w:r>
    </w:p>
    <w:p w14:paraId="38696008">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（8）投标人认为有必要提供的其它材料（不做强制要求）。</w:t>
      </w:r>
    </w:p>
    <w:p w14:paraId="3D95DFEF">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 xml:space="preserve">9.1.3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14:paraId="39BCA32D">
      <w:pPr>
        <w:autoSpaceDE w:val="0"/>
        <w:autoSpaceDN w:val="0"/>
        <w:adjustRightInd w:val="0"/>
        <w:spacing w:line="360" w:lineRule="auto"/>
        <w:ind w:left="35" w:leftChars="-118" w:hanging="283" w:hangingChars="135"/>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14:paraId="14CCB68A">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14:paraId="0C8380A9">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14:paraId="2BEB9389">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14:paraId="0787B4D5">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C30FC7B">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7E530838">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526F513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9" w:name="_Toc18697"/>
      <w:bookmarkStart w:id="150" w:name="_Toc450662860"/>
      <w:bookmarkStart w:id="151" w:name="_Toc486167674"/>
      <w:bookmarkStart w:id="152" w:name="_Toc8675_WPSOffice_Level3"/>
      <w:bookmarkStart w:id="153" w:name="_Toc30889"/>
      <w:bookmarkStart w:id="154" w:name="_Toc142508324"/>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49"/>
      <w:bookmarkEnd w:id="150"/>
      <w:bookmarkEnd w:id="151"/>
      <w:bookmarkEnd w:id="152"/>
      <w:bookmarkEnd w:id="153"/>
      <w:bookmarkEnd w:id="154"/>
    </w:p>
    <w:p w14:paraId="138AA097">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483F87E3">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484CF0C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55" w:name="_Toc142508325"/>
      <w:bookmarkStart w:id="156" w:name="_Toc28822"/>
      <w:bookmarkStart w:id="157" w:name="_Toc486167675"/>
      <w:bookmarkStart w:id="158" w:name="_Toc4385_WPSOffice_Level3"/>
      <w:bookmarkStart w:id="159" w:name="_Toc450662861"/>
      <w:bookmarkStart w:id="160" w:name="_Toc3053"/>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55"/>
      <w:bookmarkEnd w:id="156"/>
      <w:bookmarkEnd w:id="157"/>
      <w:bookmarkEnd w:id="158"/>
      <w:bookmarkEnd w:id="159"/>
      <w:bookmarkEnd w:id="160"/>
    </w:p>
    <w:p w14:paraId="4ABE9A13">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w:t>
      </w:r>
      <w:r>
        <w:rPr>
          <w:rFonts w:hint="eastAsia" w:ascii="宋体" w:hAnsi="宋体" w:eastAsia="宋体" w:cs="Times New Roman"/>
          <w:b/>
          <w:color w:val="000000" w:themeColor="text1"/>
          <w:szCs w:val="21"/>
          <w:highlight w:val="none"/>
          <w:lang w:val="zh-CN"/>
          <w14:textFill>
            <w14:solidFill>
              <w14:schemeClr w14:val="tx1"/>
            </w14:solidFill>
          </w14:textFill>
        </w:rPr>
        <w:t>只允许有一个报价价格，任何有选择的或</w:t>
      </w:r>
      <w:r>
        <w:rPr>
          <w:rFonts w:hint="eastAsia" w:ascii="宋体" w:hAnsi="宋体" w:eastAsia="宋体" w:cs="Times New Roman"/>
          <w:b/>
          <w:color w:val="000000" w:themeColor="text1"/>
          <w:kern w:val="0"/>
          <w:szCs w:val="21"/>
          <w:highlight w:val="none"/>
          <w:lang w:val="zh-CN"/>
          <w14:textFill>
            <w14:solidFill>
              <w14:schemeClr w14:val="tx1"/>
            </w14:solidFill>
          </w14:textFill>
        </w:rPr>
        <w:t>不是固定价的</w:t>
      </w:r>
      <w:r>
        <w:rPr>
          <w:rFonts w:hint="eastAsia" w:ascii="宋体" w:hAnsi="宋体" w:eastAsia="宋体" w:cs="Times New Roman"/>
          <w:b/>
          <w:color w:val="000000" w:themeColor="text1"/>
          <w:szCs w:val="21"/>
          <w:highlight w:val="none"/>
          <w:lang w:val="zh-CN"/>
          <w14:textFill>
            <w14:solidFill>
              <w14:schemeClr w14:val="tx1"/>
            </w14:solidFill>
          </w14:textFill>
        </w:rPr>
        <w:t>投标报价将不予接受，</w:t>
      </w:r>
      <w:r>
        <w:rPr>
          <w:rFonts w:hint="eastAsia" w:ascii="宋体" w:hAnsi="宋体" w:eastAsia="宋体" w:cs="Times New Roman"/>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Times New Roman"/>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0D29AE30">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30C0E67">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14:paraId="50914A47">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szCs w:val="21"/>
          <w:highlight w:val="none"/>
          <w:u w:val="single"/>
          <w:lang w:val="zh-CN"/>
          <w14:textFill>
            <w14:solidFill>
              <w14:schemeClr w14:val="tx1"/>
            </w14:solidFill>
          </w14:textFill>
        </w:rPr>
        <w:t>91</w:t>
      </w:r>
      <w:r>
        <w:rPr>
          <w:rFonts w:hint="eastAsia" w:ascii="宋体" w:hAnsi="宋体" w:eastAsia="宋体" w:cs="Times New Roman"/>
          <w:b/>
          <w:color w:val="000000" w:themeColor="text1"/>
          <w:szCs w:val="21"/>
          <w:highlight w:val="none"/>
          <w:u w:val="single"/>
          <w:lang w:val="zh-CN"/>
          <w14:textFill>
            <w14:solidFill>
              <w14:schemeClr w14:val="tx1"/>
            </w14:solidFill>
          </w14:textFill>
        </w:rPr>
        <w:t>号修订版）规定的销售额</w:t>
      </w:r>
      <w:r>
        <w:rPr>
          <w:rFonts w:hint="eastAsia" w:ascii="宋体" w:hAnsi="宋体" w:eastAsia="宋体" w:cs="Times New Roman"/>
          <w:color w:val="000000" w:themeColor="text1"/>
          <w:szCs w:val="21"/>
          <w:highlight w:val="none"/>
          <w:lang w:val="zh-CN"/>
          <w14:textFill>
            <w14:solidFill>
              <w14:schemeClr w14:val="tx1"/>
            </w14:solidFill>
          </w14:textFill>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 xml:space="preserve">本采购项目投标报价已含投标人履行本招标内容全部义务的一切费用，包括但不限于： </w:t>
      </w:r>
    </w:p>
    <w:p w14:paraId="70DB5CDB">
      <w:pPr>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bookmarkStart w:id="161" w:name="OLE_LINK373"/>
      <w:r>
        <w:rPr>
          <w:rFonts w:hint="eastAsia" w:ascii="宋体" w:hAnsi="宋体" w:eastAsia="宋体" w:cs="宋体"/>
          <w:color w:val="000000" w:themeColor="text1"/>
          <w:szCs w:val="21"/>
          <w:highlight w:val="none"/>
          <w14:textFill>
            <w14:solidFill>
              <w14:schemeClr w14:val="tx1"/>
            </w14:solidFill>
          </w14:textFill>
        </w:rPr>
        <w:t>（1）光伏系统的设计服务费（包括深化设计费用）、货物及零配件成本费、运输费、包装费、装卸费、搬运（含二次搬运）费、保险费、安装费及安装设备所需的配件等费用、安装所需的一切配套施工费用、调试费、材料费、验收费（含验收所需的专家费、会务费、差旅费、验收材料费等）、人工费、技术培训费、技术服务（包括技术资料、图纸的提供等）、其它保障光伏系统稳定运行所必须的相关工作费用、质保期设备保修保养费等；</w:t>
      </w:r>
    </w:p>
    <w:p w14:paraId="2A86404F">
      <w:pPr>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bookmarkStart w:id="162" w:name="OLE_LINK438"/>
      <w:r>
        <w:rPr>
          <w:rFonts w:hint="eastAsia" w:ascii="宋体" w:hAnsi="宋体" w:eastAsia="宋体" w:cs="宋体"/>
          <w:color w:val="000000" w:themeColor="text1"/>
          <w:szCs w:val="21"/>
          <w:highlight w:val="none"/>
          <w14:textFill>
            <w14:solidFill>
              <w14:schemeClr w14:val="tx1"/>
            </w14:solidFill>
          </w14:textFill>
        </w:rPr>
        <w:t>运维一年费用</w:t>
      </w:r>
      <w:bookmarkEnd w:id="162"/>
      <w:bookmarkStart w:id="163" w:name="OLE_LINK439"/>
      <w:r>
        <w:rPr>
          <w:rFonts w:hint="eastAsia" w:ascii="宋体" w:hAnsi="宋体" w:eastAsia="宋体" w:cs="宋体"/>
          <w:color w:val="000000" w:themeColor="text1"/>
          <w:szCs w:val="21"/>
          <w:highlight w:val="none"/>
          <w14:textFill>
            <w14:solidFill>
              <w14:schemeClr w14:val="tx1"/>
            </w14:solidFill>
          </w14:textFill>
        </w:rPr>
        <w:t>（含日常办公费用、巡检费、设备设施维修养护/清洗费、设备运营所需的维修及耗材费用、人员工资、员工保险、利润（管理酬金）等一切费用）</w:t>
      </w:r>
      <w:bookmarkEnd w:id="163"/>
      <w:r>
        <w:rPr>
          <w:rFonts w:hint="eastAsia" w:ascii="宋体" w:hAnsi="宋体" w:eastAsia="宋体" w:cs="宋体"/>
          <w:color w:val="000000" w:themeColor="text1"/>
          <w:szCs w:val="21"/>
          <w:highlight w:val="none"/>
          <w14:textFill>
            <w14:solidFill>
              <w14:schemeClr w14:val="tx1"/>
            </w14:solidFill>
          </w14:textFill>
        </w:rPr>
        <w:t>；</w:t>
      </w:r>
    </w:p>
    <w:p w14:paraId="7B5DEF30">
      <w:pPr>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（3）供货货物及其工艺所有制造方、使用方应支付的对专有技术、商标权、专利权和版权、设计或其他知识产权而需要向其他方支付的版税；</w:t>
      </w:r>
    </w:p>
    <w:p w14:paraId="5DADF222">
      <w:pPr>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（4）日常技术指导，免费的质保服务，包括但不限于免费现场质量问题处理或更换失效产品；</w:t>
      </w:r>
    </w:p>
    <w:p w14:paraId="752ED931">
      <w:pPr>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（5）合理利润、乙方销项税额以外的税费及合同实施过程中的应预见和不可预见费用等完成合同规定责任和义务、达到合同目的的一切费用等；</w:t>
      </w:r>
    </w:p>
    <w:p w14:paraId="214F1AA6">
      <w:pPr>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（6）法律法规、商业公认、招标文件规定由乙方承担的其他直接及间接费用。</w:t>
      </w:r>
    </w:p>
    <w:bookmarkEnd w:id="161"/>
    <w:p w14:paraId="72BE10DE">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Times New Roman"/>
          <w:color w:val="000000" w:themeColor="text1"/>
          <w:szCs w:val="21"/>
          <w:highlight w:val="none"/>
          <w:lang w:val="zh-CN"/>
          <w14:textFill>
            <w14:solidFill>
              <w14:schemeClr w14:val="tx1"/>
            </w14:solidFill>
          </w14:textFill>
        </w:rPr>
        <w:t>第</w:t>
      </w:r>
      <w:r>
        <w:rPr>
          <w:rFonts w:ascii="宋体" w:hAnsi="宋体" w:eastAsia="宋体" w:cs="Times New Roman"/>
          <w:color w:val="000000" w:themeColor="text1"/>
          <w:szCs w:val="21"/>
          <w:highlight w:val="none"/>
          <w:lang w:val="zh-CN"/>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款</w:t>
      </w:r>
      <w:r>
        <w:rPr>
          <w:rFonts w:hint="eastAsia"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14:paraId="009A0831">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3038F6E0">
      <w:pPr>
        <w:autoSpaceDE w:val="0"/>
        <w:autoSpaceDN w:val="0"/>
        <w:adjustRightInd w:val="0"/>
        <w:spacing w:line="360" w:lineRule="auto"/>
        <w:ind w:left="357" w:leftChars="-100" w:hanging="567"/>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Times New Roman"/>
          <w:b/>
          <w:bCs/>
          <w:color w:val="000000" w:themeColor="text1"/>
          <w:szCs w:val="21"/>
          <w:highlight w:val="none"/>
          <w:lang w:val="zh-CN"/>
          <w14:textFill>
            <w14:solidFill>
              <w14:schemeClr w14:val="tx1"/>
            </w14:solidFill>
          </w14:textFill>
        </w:rPr>
        <w:t>合同项下，招标人需要的货物及</w:t>
      </w:r>
      <w:r>
        <w:rPr>
          <w:rFonts w:hint="eastAsia" w:ascii="宋体" w:hAnsi="宋体" w:eastAsia="宋体" w:cs="Times New Roman"/>
          <w:b/>
          <w:bCs/>
          <w:color w:val="000000" w:themeColor="text1"/>
          <w:szCs w:val="21"/>
          <w:highlight w:val="none"/>
          <w14:textFill>
            <w14:solidFill>
              <w14:schemeClr w14:val="tx1"/>
            </w14:solidFill>
          </w14:textFill>
        </w:rPr>
        <w:t>有关</w:t>
      </w:r>
      <w:r>
        <w:rPr>
          <w:rFonts w:hint="eastAsia" w:ascii="宋体" w:hAnsi="宋体" w:eastAsia="宋体" w:cs="Times New Roman"/>
          <w:b/>
          <w:bCs/>
          <w:color w:val="000000" w:themeColor="text1"/>
          <w:szCs w:val="21"/>
          <w:highlight w:val="none"/>
          <w:lang w:val="zh-CN"/>
          <w14:textFill>
            <w14:solidFill>
              <w14:schemeClr w14:val="tx1"/>
            </w14:solidFill>
          </w14:textFill>
        </w:rPr>
        <w:t>服务所需的费用，投标人都应计入投标报价总价。</w:t>
      </w:r>
    </w:p>
    <w:p w14:paraId="1463B643">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bookmarkStart w:id="164" w:name="OLE_LINK121"/>
      <w:r>
        <w:rPr>
          <w:rFonts w:hint="eastAsia" w:ascii="宋体" w:hAnsi="宋体" w:eastAsia="宋体" w:cs="Times New Roman"/>
          <w:b/>
          <w:bCs/>
          <w:color w:val="000000" w:themeColor="text1"/>
          <w:szCs w:val="21"/>
          <w:highlight w:val="none"/>
          <w14:textFill>
            <w14:solidFill>
              <w14:schemeClr w14:val="tx1"/>
            </w14:solidFill>
          </w14:textFill>
        </w:rPr>
        <w:t xml:space="preserve"> </w:t>
      </w:r>
      <w:bookmarkStart w:id="165" w:name="OLE_LINK519"/>
      <w:r>
        <w:rPr>
          <w:rFonts w:hint="eastAsia" w:ascii="宋体" w:hAnsi="宋体" w:eastAsia="宋体" w:cs="宋体"/>
          <w:b/>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kern w:val="0"/>
          <w:szCs w:val="24"/>
          <w:highlight w:val="none"/>
          <w:u w:val="single"/>
          <w14:textFill>
            <w14:solidFill>
              <w14:schemeClr w14:val="tx1"/>
            </w14:solidFill>
          </w14:textFill>
        </w:rPr>
        <w:t>的</w:t>
      </w:r>
      <w:bookmarkStart w:id="166" w:name="OLE_LINK521"/>
      <w:r>
        <w:rPr>
          <w:rFonts w:hint="eastAsia" w:ascii="宋体" w:hAnsi="宋体" w:eastAsia="宋体" w:cs="Times New Roman"/>
          <w:b/>
          <w:bCs/>
          <w:color w:val="000000" w:themeColor="text1"/>
          <w:kern w:val="0"/>
          <w:szCs w:val="24"/>
          <w:highlight w:val="none"/>
          <w:u w:val="single"/>
          <w14:textFill>
            <w14:solidFill>
              <w14:schemeClr w14:val="tx1"/>
            </w14:solidFill>
          </w14:textFill>
        </w:rPr>
        <w:t>投标报价</w:t>
      </w:r>
      <w:bookmarkEnd w:id="166"/>
      <w:r>
        <w:rPr>
          <w:rFonts w:hint="eastAsia" w:ascii="宋体" w:hAnsi="宋体" w:eastAsia="宋体" w:cs="Times New Roman"/>
          <w:b/>
          <w:bCs/>
          <w:color w:val="000000" w:themeColor="text1"/>
          <w:kern w:val="0"/>
          <w:szCs w:val="24"/>
          <w:highlight w:val="none"/>
          <w:u w:val="single"/>
          <w14:textFill>
            <w14:solidFill>
              <w14:schemeClr w14:val="tx1"/>
            </w14:solidFill>
          </w14:textFill>
        </w:rPr>
        <w:t>高于</w:t>
      </w:r>
      <w:bookmarkStart w:id="167" w:name="OLE_LINK371"/>
      <w:bookmarkStart w:id="168" w:name="OLE_LINK520"/>
      <w:r>
        <w:rPr>
          <w:rFonts w:hint="eastAsia" w:ascii="宋体" w:hAnsi="宋体" w:eastAsia="宋体" w:cs="宋体"/>
          <w:b/>
          <w:color w:val="000000" w:themeColor="text1"/>
          <w:kern w:val="0"/>
          <w:szCs w:val="21"/>
          <w:highlight w:val="none"/>
          <w:u w:val="single"/>
          <w14:textFill>
            <w14:solidFill>
              <w14:schemeClr w14:val="tx1"/>
            </w14:solidFill>
          </w14:textFill>
        </w:rPr>
        <w:t>本项目总采购限价的或投标单价报价高于单价采购限价的</w:t>
      </w:r>
      <w:bookmarkEnd w:id="167"/>
      <w:bookmarkEnd w:id="168"/>
      <w:r>
        <w:rPr>
          <w:rFonts w:hint="eastAsia" w:ascii="宋体" w:hAnsi="宋体" w:eastAsia="宋体" w:cs="Times New Roman"/>
          <w:b/>
          <w:bCs/>
          <w:color w:val="000000" w:themeColor="text1"/>
          <w:kern w:val="0"/>
          <w:szCs w:val="24"/>
          <w:highlight w:val="none"/>
          <w:u w:val="single"/>
          <w14:textFill>
            <w14:solidFill>
              <w14:schemeClr w14:val="tx1"/>
            </w14:solidFill>
          </w14:textFill>
        </w:rPr>
        <w:t>，该投标人的投标文件将被视为无效投标</w:t>
      </w:r>
      <w:r>
        <w:rPr>
          <w:rFonts w:hint="eastAsia" w:ascii="宋体" w:hAnsi="宋体" w:eastAsia="宋体" w:cs="宋体"/>
          <w:b/>
          <w:color w:val="000000" w:themeColor="text1"/>
          <w:szCs w:val="21"/>
          <w:highlight w:val="none"/>
          <w:u w:val="single"/>
          <w:lang w:val="zh-CN"/>
          <w14:textFill>
            <w14:solidFill>
              <w14:schemeClr w14:val="tx1"/>
            </w14:solidFill>
          </w14:textFill>
        </w:rPr>
        <w:t>。本项目的不含税</w:t>
      </w:r>
      <w:bookmarkStart w:id="169" w:name="OLE_LINK374"/>
      <w:r>
        <w:rPr>
          <w:rFonts w:hint="eastAsia" w:ascii="宋体" w:hAnsi="宋体" w:eastAsia="宋体" w:cs="宋体"/>
          <w:b/>
          <w:color w:val="000000" w:themeColor="text1"/>
          <w:szCs w:val="21"/>
          <w:highlight w:val="none"/>
          <w:u w:val="single"/>
          <w14:textFill>
            <w14:solidFill>
              <w14:schemeClr w14:val="tx1"/>
            </w14:solidFill>
          </w14:textFill>
        </w:rPr>
        <w:t>总价采购</w:t>
      </w:r>
      <w:bookmarkEnd w:id="169"/>
      <w:r>
        <w:rPr>
          <w:rFonts w:hint="eastAsia" w:ascii="宋体" w:hAnsi="宋体" w:eastAsia="宋体" w:cs="宋体"/>
          <w:b/>
          <w:color w:val="000000" w:themeColor="text1"/>
          <w:szCs w:val="21"/>
          <w:highlight w:val="none"/>
          <w:u w:val="single"/>
          <w:lang w:val="zh-CN"/>
          <w14:textFill>
            <w14:solidFill>
              <w14:schemeClr w14:val="tx1"/>
            </w14:solidFill>
          </w14:textFill>
        </w:rPr>
        <w:t>限价</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为</w:t>
      </w:r>
      <w:bookmarkStart w:id="170" w:name="OLE_LINK378"/>
      <w:r>
        <w:rPr>
          <w:rFonts w:hint="eastAsia" w:ascii="宋体" w:hAnsi="宋体" w:eastAsia="宋体" w:cs="宋体"/>
          <w:b/>
          <w:color w:val="000000" w:themeColor="text1"/>
          <w:szCs w:val="21"/>
          <w:highlight w:val="none"/>
          <w:u w:val="single"/>
          <w14:textFill>
            <w14:solidFill>
              <w14:schemeClr w14:val="tx1"/>
            </w14:solidFill>
          </w14:textFill>
        </w:rPr>
        <w:t>¥</w:t>
      </w:r>
      <w:r>
        <w:rPr>
          <w:rFonts w:hint="eastAsia" w:ascii="宋体" w:hAnsi="宋体" w:eastAsia="宋体" w:cs="Times New Roman"/>
          <w:b/>
          <w:bCs/>
          <w:color w:val="000000" w:themeColor="text1"/>
          <w:szCs w:val="21"/>
          <w:highlight w:val="none"/>
          <w:u w:val="single"/>
          <w14:textFill>
            <w14:solidFill>
              <w14:schemeClr w14:val="tx1"/>
            </w14:solidFill>
          </w14:textFill>
        </w:rPr>
        <w:t>12,896,212.55</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元</w:t>
      </w:r>
      <w:bookmarkEnd w:id="170"/>
      <w:r>
        <w:rPr>
          <w:rFonts w:hint="eastAsia" w:ascii="宋体" w:hAnsi="宋体" w:eastAsia="宋体" w:cs="Times New Roman"/>
          <w:b/>
          <w:bCs/>
          <w:color w:val="000000" w:themeColor="text1"/>
          <w:szCs w:val="21"/>
          <w:highlight w:val="none"/>
          <w:u w:val="single"/>
          <w:lang w:val="zh-CN"/>
          <w14:textFill>
            <w14:solidFill>
              <w14:schemeClr w14:val="tx1"/>
            </w14:solidFill>
          </w14:textFill>
        </w:rPr>
        <w:t>（大写</w:t>
      </w:r>
      <w:r>
        <w:rPr>
          <w:rFonts w:hint="eastAsia" w:ascii="宋体" w:hAnsi="宋体" w:eastAsia="宋体" w:cs="宋体"/>
          <w:b/>
          <w:color w:val="000000" w:themeColor="text1"/>
          <w:szCs w:val="21"/>
          <w:highlight w:val="none"/>
          <w:u w:val="single"/>
          <w:lang w:val="zh-CN"/>
          <w14:textFill>
            <w14:solidFill>
              <w14:schemeClr w14:val="tx1"/>
            </w14:solidFill>
          </w14:textFill>
        </w:rPr>
        <w:t>：人民币</w:t>
      </w:r>
      <w:r>
        <w:rPr>
          <w:rFonts w:hint="eastAsia" w:ascii="宋体" w:hAnsi="宋体" w:eastAsia="宋体" w:cs="宋体"/>
          <w:b/>
          <w:color w:val="000000" w:themeColor="text1"/>
          <w:szCs w:val="21"/>
          <w:highlight w:val="none"/>
          <w:u w:val="single"/>
          <w14:textFill>
            <w14:solidFill>
              <w14:schemeClr w14:val="tx1"/>
            </w14:solidFill>
          </w14:textFill>
        </w:rPr>
        <w:t>壹仟贰佰捌拾玖万陆仟贰佰壹拾贰元伍角伍分</w:t>
      </w:r>
      <w:r>
        <w:rPr>
          <w:rFonts w:hint="eastAsia" w:ascii="宋体" w:hAnsi="宋体" w:eastAsia="宋体" w:cs="宋体"/>
          <w:b/>
          <w:color w:val="000000" w:themeColor="text1"/>
          <w:szCs w:val="21"/>
          <w:highlight w:val="none"/>
          <w:u w:val="single"/>
          <w:lang w:val="zh-CN"/>
          <w14:textFill>
            <w14:solidFill>
              <w14:schemeClr w14:val="tx1"/>
            </w14:solidFill>
          </w14:textFill>
        </w:rPr>
        <w:t>），固定每瓦不含税单价采购限价为：</w:t>
      </w:r>
      <w:bookmarkStart w:id="171" w:name="OLE_LINK385"/>
      <w:bookmarkStart w:id="172" w:name="OLE_LINK381"/>
      <w:r>
        <w:rPr>
          <w:rFonts w:hint="eastAsia" w:ascii="宋体" w:hAnsi="宋体" w:eastAsia="宋体" w:cs="宋体"/>
          <w:b/>
          <w:color w:val="000000" w:themeColor="text1"/>
          <w:szCs w:val="21"/>
          <w:highlight w:val="none"/>
          <w:u w:val="single"/>
          <w14:textFill>
            <w14:solidFill>
              <w14:schemeClr w14:val="tx1"/>
            </w14:solidFill>
          </w14:textFill>
        </w:rPr>
        <w:t>¥</w:t>
      </w:r>
      <w:bookmarkEnd w:id="171"/>
      <w:r>
        <w:rPr>
          <w:rFonts w:hint="eastAsia" w:ascii="宋体" w:hAnsi="宋体" w:eastAsia="宋体" w:cs="宋体"/>
          <w:b/>
          <w:color w:val="000000" w:themeColor="text1"/>
          <w:szCs w:val="21"/>
          <w:highlight w:val="none"/>
          <w:u w:val="single"/>
          <w14:textFill>
            <w14:solidFill>
              <w14:schemeClr w14:val="tx1"/>
            </w14:solidFill>
          </w14:textFill>
        </w:rPr>
        <w:t>2.89</w:t>
      </w:r>
      <w:r>
        <w:rPr>
          <w:rFonts w:hint="eastAsia" w:ascii="宋体" w:hAnsi="宋体" w:eastAsia="宋体" w:cs="宋体"/>
          <w:b/>
          <w:color w:val="000000" w:themeColor="text1"/>
          <w:szCs w:val="21"/>
          <w:highlight w:val="none"/>
          <w:u w:val="single"/>
          <w:lang w:val="zh-CN"/>
          <w14:textFill>
            <w14:solidFill>
              <w14:schemeClr w14:val="tx1"/>
            </w14:solidFill>
          </w14:textFill>
        </w:rPr>
        <w:t>元</w:t>
      </w:r>
      <w:bookmarkEnd w:id="172"/>
      <w:r>
        <w:rPr>
          <w:rFonts w:hint="eastAsia" w:ascii="宋体" w:hAnsi="宋体" w:eastAsia="宋体" w:cs="宋体"/>
          <w:b/>
          <w:bCs/>
          <w:color w:val="000000" w:themeColor="text1"/>
          <w:highlight w:val="none"/>
          <w:u w:val="single"/>
          <w14:textFill>
            <w14:solidFill>
              <w14:schemeClr w14:val="tx1"/>
            </w14:solidFill>
          </w14:textFill>
        </w:rPr>
        <w:t>（大写：人民币贰元捌角玖分）</w:t>
      </w:r>
      <w:bookmarkEnd w:id="164"/>
      <w:bookmarkEnd w:id="165"/>
      <w:r>
        <w:rPr>
          <w:rFonts w:hint="eastAsia" w:ascii="宋体" w:hAnsi="宋体" w:eastAsia="宋体" w:cs="宋体"/>
          <w:b/>
          <w:bCs/>
          <w:color w:val="000000" w:themeColor="text1"/>
          <w:highlight w:val="none"/>
          <w:u w:val="single"/>
          <w14:textFill>
            <w14:solidFill>
              <w14:schemeClr w14:val="tx1"/>
            </w14:solidFill>
          </w14:textFill>
        </w:rPr>
        <w:t>。</w:t>
      </w:r>
    </w:p>
    <w:p w14:paraId="5053E0DF">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3CE6B9DE">
      <w:pPr>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173" w:name="_Toc486167676"/>
      <w:bookmarkStart w:id="174" w:name="_Toc142508326"/>
      <w:bookmarkStart w:id="175" w:name="_Toc26691"/>
      <w:bookmarkStart w:id="176" w:name="_Toc450662862"/>
      <w:bookmarkStart w:id="177" w:name="_Toc14068"/>
      <w:bookmarkStart w:id="178" w:name="_Toc30042_WPSOffice_Level3"/>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173"/>
      <w:bookmarkEnd w:id="174"/>
      <w:bookmarkEnd w:id="175"/>
      <w:bookmarkEnd w:id="176"/>
      <w:bookmarkEnd w:id="177"/>
      <w:bookmarkEnd w:id="178"/>
    </w:p>
    <w:p w14:paraId="7A755C8D">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036C8470">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75216FDC">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79" w:name="_Toc25596"/>
      <w:bookmarkStart w:id="180" w:name="_Toc450662863"/>
      <w:bookmarkStart w:id="181" w:name="_Toc486167677"/>
      <w:bookmarkStart w:id="182" w:name="_Toc142508327"/>
      <w:bookmarkStart w:id="183" w:name="_Toc9411_WPSOffice_Level3"/>
      <w:bookmarkStart w:id="184" w:name="_Toc16396"/>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79"/>
      <w:bookmarkEnd w:id="180"/>
      <w:bookmarkEnd w:id="181"/>
      <w:bookmarkEnd w:id="182"/>
      <w:bookmarkEnd w:id="183"/>
      <w:bookmarkEnd w:id="184"/>
    </w:p>
    <w:p w14:paraId="1ECD4D73">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4520F870">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1CE7BB5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010B3D4C">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273B38A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25F9CA78">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7AD93478">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79BEE41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85" w:name="_Toc30441"/>
      <w:bookmarkStart w:id="186" w:name="_Toc142508328"/>
      <w:bookmarkStart w:id="187" w:name="_Toc450662864"/>
      <w:bookmarkStart w:id="188" w:name="_Toc27771_WPSOffice_Level3"/>
      <w:bookmarkStart w:id="189" w:name="_Toc486167678"/>
      <w:bookmarkStart w:id="190" w:name="_Toc9411"/>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证明货物的合格性并符合招标文件规定的声明文件</w:t>
      </w:r>
      <w:bookmarkEnd w:id="185"/>
      <w:bookmarkEnd w:id="186"/>
      <w:bookmarkEnd w:id="187"/>
      <w:bookmarkEnd w:id="188"/>
      <w:bookmarkEnd w:id="189"/>
      <w:bookmarkEnd w:id="190"/>
    </w:p>
    <w:p w14:paraId="2B41AF75">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条规定，投标人须提交证明其拟供货物的合格性并符合招标文件规定的声明文件，作为投标文件的一部分。</w:t>
      </w:r>
    </w:p>
    <w:p w14:paraId="11F4F8A5">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货物及有关服务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7DF37CF2">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w:t>
      </w:r>
      <w:r>
        <w:rPr>
          <w:rFonts w:hint="eastAsia" w:ascii="宋体" w:hAnsi="宋体" w:eastAsia="宋体" w:cs="Times New Roman"/>
          <w:b/>
          <w:color w:val="000000" w:themeColor="text1"/>
          <w:szCs w:val="21"/>
          <w:highlight w:val="none"/>
          <w:lang w:val="zh-CN"/>
          <w14:textFill>
            <w14:solidFill>
              <w14:schemeClr w14:val="tx1"/>
            </w14:solidFill>
          </w14:textFill>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000000" w:themeColor="text1"/>
          <w:szCs w:val="21"/>
          <w:highlight w:val="none"/>
          <w:lang w:val="zh-CN"/>
          <w14:textFill>
            <w14:solidFill>
              <w14:schemeClr w14:val="tx1"/>
            </w14:solidFill>
          </w14:textFill>
        </w:rPr>
        <w:t>凡标有“</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szCs w:val="21"/>
          <w:highlight w:val="none"/>
          <w:lang w:val="zh-CN"/>
          <w14:textFill>
            <w14:solidFill>
              <w14:schemeClr w14:val="tx1"/>
            </w14:solidFill>
          </w14:textFill>
        </w:rPr>
        <w:t>人</w:t>
      </w:r>
      <w:r>
        <w:rPr>
          <w:rFonts w:ascii="宋体" w:hAnsi="宋体" w:eastAsia="宋体" w:cs="Times New Roman"/>
          <w:b/>
          <w:color w:val="000000" w:themeColor="text1"/>
          <w:szCs w:val="21"/>
          <w:highlight w:val="none"/>
          <w:lang w:val="zh-CN"/>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否则若有一项带“</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”的指标未响应或不满足，将按</w:t>
      </w:r>
      <w:r>
        <w:rPr>
          <w:rFonts w:hint="eastAsia" w:ascii="宋体" w:hAnsi="宋体" w:eastAsia="宋体" w:cs="Times New Roman"/>
          <w:b/>
          <w:color w:val="000000" w:themeColor="text1"/>
          <w:szCs w:val="21"/>
          <w:highlight w:val="none"/>
          <w:lang w:val="zh-CN"/>
          <w14:textFill>
            <w14:solidFill>
              <w14:schemeClr w14:val="tx1"/>
            </w14:solidFill>
          </w14:textFill>
        </w:rPr>
        <w:t>无效投标</w:t>
      </w:r>
      <w:r>
        <w:rPr>
          <w:rFonts w:ascii="宋体" w:hAnsi="宋体" w:eastAsia="宋体" w:cs="Times New Roman"/>
          <w:b/>
          <w:color w:val="000000" w:themeColor="text1"/>
          <w:szCs w:val="21"/>
          <w:highlight w:val="none"/>
          <w:lang w:val="zh-CN"/>
          <w14:textFill>
            <w14:solidFill>
              <w14:schemeClr w14:val="tx1"/>
            </w14:solidFill>
          </w14:textFill>
        </w:rPr>
        <w:t>处理</w:t>
      </w:r>
      <w:r>
        <w:rPr>
          <w:rFonts w:hint="eastAsia" w:ascii="宋体" w:hAnsi="宋体" w:eastAsia="宋体" w:cs="宋体"/>
          <w:b/>
          <w:color w:val="000000" w:themeColor="text1"/>
          <w:szCs w:val="21"/>
          <w:highlight w:val="none"/>
          <w:lang w:val="zh-CN"/>
          <w14:textFill>
            <w14:solidFill>
              <w14:schemeClr w14:val="tx1"/>
            </w14:solidFill>
          </w14:textFill>
        </w:rPr>
        <w:t>。</w:t>
      </w:r>
    </w:p>
    <w:p w14:paraId="010D5A29">
      <w:pPr>
        <w:autoSpaceDE w:val="0"/>
        <w:autoSpaceDN w:val="0"/>
        <w:adjustRightInd w:val="0"/>
        <w:spacing w:line="360" w:lineRule="auto"/>
        <w:ind w:left="392" w:leftChars="-100" w:hanging="602" w:hangingChars="251"/>
        <w:rPr>
          <w:rFonts w:ascii="宋体" w:hAnsi="宋体" w:eastAsia="宋体" w:cs="Times New Roman"/>
          <w:color w:val="000000" w:themeColor="text1"/>
          <w:kern w:val="0"/>
          <w:sz w:val="24"/>
          <w:szCs w:val="24"/>
          <w:highlight w:val="none"/>
          <w14:textFill>
            <w14:solidFill>
              <w14:schemeClr w14:val="tx1"/>
            </w14:solidFill>
          </w14:textFill>
        </w:rPr>
      </w:pPr>
    </w:p>
    <w:p w14:paraId="78488F5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1" w:name="_Toc23319"/>
      <w:bookmarkStart w:id="192" w:name="_Toc24774"/>
      <w:bookmarkStart w:id="193" w:name="_Toc5356_WPSOffice_Level3"/>
      <w:bookmarkStart w:id="194" w:name="_Toc142508329"/>
      <w:bookmarkStart w:id="195" w:name="_Toc486167679"/>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191"/>
      <w:bookmarkEnd w:id="192"/>
      <w:bookmarkEnd w:id="193"/>
      <w:bookmarkEnd w:id="194"/>
      <w:bookmarkEnd w:id="195"/>
    </w:p>
    <w:p w14:paraId="12AEE7A7">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w:t>
      </w:r>
      <w:r>
        <w:rPr>
          <w:rFonts w:hint="eastAsia" w:ascii="宋体" w:hAnsi="宋体" w:eastAsia="宋体" w:cs="宋体"/>
          <w:b/>
          <w:bCs/>
          <w:color w:val="000000" w:themeColor="text1"/>
          <w:kern w:val="0"/>
          <w:szCs w:val="21"/>
          <w:highlight w:val="none"/>
          <w:u w:val="single"/>
          <w14:textFill>
            <w14:solidFill>
              <w14:schemeClr w14:val="tx1"/>
            </w14:solidFill>
          </w14:textFill>
        </w:rPr>
        <w:t>提交</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投标保证金</w:t>
      </w:r>
      <w:bookmarkStart w:id="196" w:name="OLE_LINK386"/>
      <w:r>
        <w:rPr>
          <w:rFonts w:hint="eastAsia" w:ascii="宋体" w:hAnsi="宋体" w:eastAsia="宋体" w:cs="宋体"/>
          <w:b/>
          <w:bCs/>
          <w:color w:val="000000" w:themeColor="text1"/>
          <w:kern w:val="0"/>
          <w:szCs w:val="21"/>
          <w:highlight w:val="none"/>
          <w:u w:val="single"/>
          <w14:textFill>
            <w14:solidFill>
              <w14:schemeClr w14:val="tx1"/>
            </w14:solidFill>
          </w14:textFill>
        </w:rPr>
        <w:t>250,000.00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元（大写：人民币贰拾伍万元整）</w:t>
      </w:r>
      <w:bookmarkEnd w:id="196"/>
      <w:r>
        <w:rPr>
          <w:rFonts w:hint="eastAsia" w:ascii="宋体" w:hAnsi="宋体" w:eastAsia="宋体" w:cs="宋体"/>
          <w:b/>
          <w:color w:val="000000" w:themeColor="text1"/>
          <w:kern w:val="0"/>
          <w:szCs w:val="21"/>
          <w:highlight w:val="none"/>
          <w14:textFill>
            <w14:solidFill>
              <w14:schemeClr w14:val="tx1"/>
            </w14:solidFill>
          </w14:textFill>
        </w:rPr>
        <w:t>。</w:t>
      </w:r>
    </w:p>
    <w:p w14:paraId="5AF9ACC9">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376680EC">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14:paraId="726CB8C5">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r>
        <w:rPr>
          <w:rFonts w:hint="eastAsia" w:ascii="宋体" w:hAnsi="宋体" w:eastAsia="宋体" w:cs="宋体"/>
          <w:b/>
          <w:bCs/>
          <w:color w:val="000000" w:themeColor="text1"/>
          <w:kern w:val="0"/>
          <w:szCs w:val="21"/>
          <w:highlight w:val="none"/>
          <w14:textFill>
            <w14:solidFill>
              <w14:schemeClr w14:val="tx1"/>
            </w14:solidFill>
          </w14:textFill>
        </w:rPr>
        <w:t>并注明招标编号</w:t>
      </w:r>
      <w:r>
        <w:rPr>
          <w:rFonts w:hint="eastAsia" w:ascii="宋体" w:hAnsi="宋体" w:eastAsia="宋体" w:cs="宋体"/>
          <w:color w:val="000000" w:themeColor="text1"/>
          <w:kern w:val="0"/>
          <w:szCs w:val="21"/>
          <w:highlight w:val="none"/>
          <w14:textFill>
            <w14:solidFill>
              <w14:schemeClr w14:val="tx1"/>
            </w14:solidFill>
          </w14:textFill>
        </w:rPr>
        <w:t>。</w:t>
      </w:r>
    </w:p>
    <w:p w14:paraId="4FF95201">
      <w:pPr>
        <w:autoSpaceDE w:val="0"/>
        <w:autoSpaceDN w:val="0"/>
        <w:adjustRightInd w:val="0"/>
        <w:spacing w:line="360" w:lineRule="auto"/>
        <w:ind w:left="225" w:leftChars="107" w:firstLine="489" w:firstLineChars="233"/>
        <w:jc w:val="left"/>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开户名称：</w:t>
      </w:r>
      <w:bookmarkStart w:id="197" w:name="OLE_LINK10"/>
      <w:r>
        <w:rPr>
          <w:rFonts w:hint="eastAsia" w:ascii="宋体" w:hAnsi="宋体" w:eastAsia="宋体" w:cs="Times New Roman"/>
          <w:color w:val="000000" w:themeColor="text1"/>
          <w:kern w:val="0"/>
          <w:szCs w:val="21"/>
          <w:highlight w:val="none"/>
          <w14:textFill>
            <w14:solidFill>
              <w14:schemeClr w14:val="tx1"/>
            </w14:solidFill>
          </w14:textFill>
        </w:rPr>
        <w:t>东莞市水务集</w:t>
      </w:r>
      <w:bookmarkStart w:id="198" w:name="OLE_LINK11"/>
      <w:r>
        <w:rPr>
          <w:rFonts w:hint="eastAsia" w:ascii="宋体" w:hAnsi="宋体" w:eastAsia="宋体" w:cs="Times New Roman"/>
          <w:color w:val="000000" w:themeColor="text1"/>
          <w:kern w:val="0"/>
          <w:szCs w:val="21"/>
          <w:highlight w:val="none"/>
          <w14:textFill>
            <w14:solidFill>
              <w14:schemeClr w14:val="tx1"/>
            </w14:solidFill>
          </w14:textFill>
        </w:rPr>
        <w:t>团科技</w:t>
      </w:r>
      <w:bookmarkEnd w:id="198"/>
      <w:r>
        <w:rPr>
          <w:rFonts w:hint="eastAsia" w:ascii="宋体" w:hAnsi="宋体" w:eastAsia="宋体" w:cs="Times New Roman"/>
          <w:color w:val="000000" w:themeColor="text1"/>
          <w:kern w:val="0"/>
          <w:szCs w:val="21"/>
          <w:highlight w:val="none"/>
          <w14:textFill>
            <w14:solidFill>
              <w14:schemeClr w14:val="tx1"/>
            </w14:solidFill>
          </w14:textFill>
        </w:rPr>
        <w:t>发展有限公司</w:t>
      </w:r>
      <w:bookmarkEnd w:id="197"/>
    </w:p>
    <w:p w14:paraId="2ACBD4B2">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开户银行：东莞银行东莞分行</w:t>
      </w:r>
    </w:p>
    <w:p w14:paraId="68AB6C74">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u w:val="singl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银行账号：579000016396602000003</w:t>
      </w:r>
    </w:p>
    <w:p w14:paraId="136C9C66">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48B8AB01">
      <w:pPr>
        <w:autoSpaceDE w:val="0"/>
        <w:autoSpaceDN w:val="0"/>
        <w:adjustRightInd w:val="0"/>
        <w:spacing w:line="360" w:lineRule="auto"/>
        <w:ind w:left="357" w:leftChars="-100" w:hanging="567" w:hangingChars="270"/>
        <w:jc w:val="left"/>
        <w:rPr>
          <w:rFonts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6F8516CF">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的投标人的投标保证金，将在本项目的中标通知书发出后</w:t>
      </w:r>
      <w:r>
        <w:rPr>
          <w:rFonts w:ascii="宋体" w:hAnsi="宋体" w:eastAsia="宋体" w:cs="宋体"/>
          <w:color w:val="000000" w:themeColor="text1"/>
          <w:kern w:val="0"/>
          <w:szCs w:val="21"/>
          <w:highlight w:val="none"/>
          <w14:textFill>
            <w14:solidFill>
              <w14:schemeClr w14:val="tx1"/>
            </w14:solidFill>
          </w14:textFill>
        </w:rPr>
        <w:t>10日内</w:t>
      </w:r>
      <w:r>
        <w:rPr>
          <w:rFonts w:hint="eastAsia" w:ascii="宋体" w:hAnsi="宋体" w:eastAsia="宋体" w:cs="宋体"/>
          <w:color w:val="000000" w:themeColor="text1"/>
          <w:kern w:val="0"/>
          <w:szCs w:val="21"/>
          <w:highlight w:val="none"/>
          <w14:textFill>
            <w14:solidFill>
              <w14:schemeClr w14:val="tx1"/>
            </w14:solidFill>
          </w14:textFill>
        </w:rPr>
        <w:t>（如本项目在前述期间已签订书面合同的，则最迟应在本项目的书面合同签订后5日内），按照其投标保证金支付凭证上注明的收款人名称和账号予以退还，除非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5FC8EE0C">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中标人的投标保证金，满足下列要求，并最迟应在本项目的书面合同签订后5日内退还。</w:t>
      </w:r>
    </w:p>
    <w:p w14:paraId="3A611D1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14:paraId="3AA620A6">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123F4E9C">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14:paraId="21B76308">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135EF1C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3C6DA719">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55B03B1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64D755A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14:paraId="33FE4E13">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3E05F749">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05EC70D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9" w:name="_Toc10550"/>
      <w:bookmarkStart w:id="200" w:name="_Toc142508330"/>
      <w:bookmarkStart w:id="201" w:name="_Toc450662865"/>
      <w:bookmarkStart w:id="202" w:name="_Toc486167680"/>
      <w:bookmarkStart w:id="203" w:name="_Toc22649_WPSOffice_Level3"/>
      <w:bookmarkStart w:id="204" w:name="_Toc20641"/>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199"/>
      <w:bookmarkEnd w:id="200"/>
      <w:bookmarkEnd w:id="201"/>
      <w:bookmarkEnd w:id="202"/>
      <w:bookmarkEnd w:id="203"/>
      <w:bookmarkEnd w:id="204"/>
    </w:p>
    <w:p w14:paraId="5AB14F87">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w:t>
      </w:r>
      <w:r>
        <w:rPr>
          <w:rFonts w:hint="eastAsia" w:ascii="宋体" w:hAnsi="宋体" w:eastAsia="宋体" w:cs="宋体"/>
          <w:b/>
          <w:bCs/>
          <w:color w:val="000000" w:themeColor="text1"/>
          <w:szCs w:val="21"/>
          <w:highlight w:val="none"/>
          <w:u w:val="single"/>
          <w14:textFill>
            <w14:solidFill>
              <w14:schemeClr w14:val="tx1"/>
            </w14:solidFill>
          </w14:textFill>
        </w:rPr>
        <w:t>的投标有效期为从投标文件提交截止之日起90日历天</w:t>
      </w:r>
      <w:r>
        <w:rPr>
          <w:rFonts w:hint="eastAsia" w:ascii="宋体" w:hAnsi="宋体" w:eastAsia="宋体" w:cs="宋体"/>
          <w:b/>
          <w:bCs/>
          <w:color w:val="000000" w:themeColor="text1"/>
          <w:szCs w:val="21"/>
          <w:highlight w:val="none"/>
          <w:u w:val="single"/>
          <w:lang w:val="zh-CN"/>
          <w14:textFill>
            <w14:solidFill>
              <w14:schemeClr w14:val="tx1"/>
            </w14:solidFill>
          </w14:textFill>
        </w:rPr>
        <w:t>。投标有效期比规定时间短的按无效投标文件处理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5F44D81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6F21DED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016EAFB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0E575EE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05" w:name="_Toc142508331"/>
      <w:bookmarkStart w:id="206" w:name="_Toc25637_WPSOffice_Level3"/>
      <w:bookmarkStart w:id="207" w:name="_Toc13311"/>
      <w:bookmarkStart w:id="208" w:name="_Toc5282"/>
      <w:bookmarkStart w:id="209" w:name="_Toc450662866"/>
      <w:bookmarkStart w:id="210" w:name="_Toc486167681"/>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205"/>
      <w:bookmarkEnd w:id="206"/>
      <w:bookmarkEnd w:id="207"/>
      <w:bookmarkEnd w:id="208"/>
      <w:bookmarkEnd w:id="209"/>
      <w:bookmarkEnd w:id="210"/>
    </w:p>
    <w:p w14:paraId="48E003C8">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bookmarkStart w:id="211" w:name="OLE_LINK531"/>
      <w:r>
        <w:rPr>
          <w:rFonts w:hint="eastAsia" w:ascii="宋体" w:hAnsi="宋体" w:eastAsia="宋体" w:cs="宋体"/>
          <w:b/>
          <w:color w:val="000000" w:themeColor="text1"/>
          <w:szCs w:val="21"/>
          <w:highlight w:val="none"/>
          <w:u w:val="single"/>
          <w:lang w:val="zh-CN"/>
          <w14:textFill>
            <w14:solidFill>
              <w14:schemeClr w14:val="tx1"/>
            </w14:solidFill>
          </w14:textFill>
        </w:rPr>
        <w:t>一份正本和</w:t>
      </w:r>
      <w:r>
        <w:rPr>
          <w:rFonts w:hint="eastAsia" w:ascii="宋体" w:hAnsi="宋体" w:eastAsia="宋体" w:cs="宋体"/>
          <w:b/>
          <w:color w:val="000000" w:themeColor="text1"/>
          <w:szCs w:val="21"/>
          <w:highlight w:val="none"/>
          <w:u w:val="single"/>
          <w14:textFill>
            <w14:solidFill>
              <w14:schemeClr w14:val="tx1"/>
            </w14:solidFill>
          </w14:textFill>
        </w:rPr>
        <w:t>七</w:t>
      </w:r>
      <w:r>
        <w:rPr>
          <w:rFonts w:hint="eastAsia" w:ascii="宋体" w:hAnsi="宋体" w:eastAsia="宋体" w:cs="宋体"/>
          <w:b/>
          <w:color w:val="000000" w:themeColor="text1"/>
          <w:szCs w:val="21"/>
          <w:highlight w:val="none"/>
          <w:u w:val="single"/>
          <w:lang w:val="zh-CN"/>
          <w14:textFill>
            <w14:solidFill>
              <w14:schemeClr w14:val="tx1"/>
            </w14:solidFill>
          </w14:textFill>
        </w:rPr>
        <w:t>份副本“投标文件”</w:t>
      </w:r>
      <w:bookmarkEnd w:id="211"/>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14:paraId="54FDE26A">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法定代表人授权书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2AE3DB12">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14:paraId="0257FDDC">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14:paraId="04B29CDE">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5338B01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14:paraId="40C93399">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212" w:name="_Toc450662867"/>
    </w:p>
    <w:p w14:paraId="01CD54CB">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213" w:name="_Toc140596891"/>
      <w:bookmarkStart w:id="214" w:name="_Toc486167682"/>
      <w:bookmarkStart w:id="215" w:name="_Toc17608"/>
      <w:bookmarkStart w:id="216" w:name="_Toc22356_WPSOffice_Level2"/>
      <w:bookmarkStart w:id="217" w:name="_Toc142508332"/>
      <w:bookmarkStart w:id="218" w:name="_Toc20532"/>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212"/>
      <w:bookmarkEnd w:id="213"/>
      <w:bookmarkEnd w:id="214"/>
      <w:bookmarkEnd w:id="215"/>
      <w:bookmarkEnd w:id="216"/>
      <w:bookmarkEnd w:id="217"/>
      <w:bookmarkEnd w:id="218"/>
    </w:p>
    <w:p w14:paraId="3D3AABE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19" w:name="_Toc12192_WPSOffice_Level3"/>
      <w:bookmarkStart w:id="220" w:name="_Toc486167683"/>
      <w:bookmarkStart w:id="221" w:name="_Toc450662868"/>
      <w:bookmarkStart w:id="222" w:name="_Toc142508333"/>
      <w:bookmarkStart w:id="223" w:name="_Toc9900"/>
      <w:bookmarkStart w:id="224" w:name="_Toc26225"/>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219"/>
      <w:bookmarkEnd w:id="220"/>
      <w:bookmarkEnd w:id="221"/>
      <w:bookmarkEnd w:id="222"/>
      <w:bookmarkEnd w:id="223"/>
      <w:bookmarkEnd w:id="224"/>
    </w:p>
    <w:p w14:paraId="0EE20462">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14:paraId="0FCEDBF3">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14:paraId="0DD8C389">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14:paraId="4FD21278">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491B6C2C">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3C11A103">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0B5ABF71">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336F133D">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14:paraId="4741E60C">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14:paraId="462340D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5" w:name="_Toc142508334"/>
      <w:bookmarkStart w:id="226" w:name="_Toc29665_WPSOffice_Level3"/>
      <w:bookmarkStart w:id="227" w:name="_Toc3384"/>
      <w:bookmarkStart w:id="228" w:name="_Toc450662869"/>
      <w:bookmarkStart w:id="229" w:name="_Toc27088"/>
      <w:bookmarkStart w:id="230" w:name="_Toc486167684"/>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225"/>
      <w:bookmarkEnd w:id="226"/>
      <w:bookmarkEnd w:id="227"/>
      <w:bookmarkEnd w:id="228"/>
      <w:bookmarkEnd w:id="229"/>
      <w:bookmarkEnd w:id="230"/>
    </w:p>
    <w:p w14:paraId="517C2458">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14:paraId="228B177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14:paraId="4D0F0AD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55209EB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kern w:val="0"/>
          <w:sz w:val="24"/>
          <w:szCs w:val="24"/>
          <w:highlight w:val="none"/>
          <w14:textFill>
            <w14:solidFill>
              <w14:schemeClr w14:val="tx1"/>
            </w14:solidFill>
          </w14:textFill>
        </w:rPr>
      </w:pPr>
      <w:bookmarkStart w:id="231" w:name="_Toc27296"/>
      <w:bookmarkStart w:id="232" w:name="_Toc486167685"/>
      <w:bookmarkStart w:id="233" w:name="_Toc450662870"/>
      <w:bookmarkStart w:id="234" w:name="_Toc22431_WPSOffice_Level3"/>
      <w:bookmarkStart w:id="235" w:name="_Toc6684"/>
      <w:bookmarkStart w:id="236" w:name="_Toc142508335"/>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231"/>
      <w:bookmarkEnd w:id="232"/>
      <w:bookmarkEnd w:id="233"/>
      <w:bookmarkEnd w:id="234"/>
      <w:bookmarkEnd w:id="235"/>
      <w:bookmarkEnd w:id="236"/>
    </w:p>
    <w:p w14:paraId="5F74E768">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22DE6B55">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9C85A9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37" w:name="_Toc142508336"/>
      <w:bookmarkStart w:id="238" w:name="_Toc486167686"/>
      <w:bookmarkStart w:id="239" w:name="_Toc16964"/>
      <w:bookmarkStart w:id="240" w:name="_Toc28627"/>
      <w:bookmarkStart w:id="241" w:name="_Toc4883_WPSOffice_Level3"/>
      <w:bookmarkStart w:id="242" w:name="_Toc450662871"/>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237"/>
      <w:bookmarkEnd w:id="238"/>
      <w:bookmarkEnd w:id="239"/>
      <w:bookmarkEnd w:id="240"/>
      <w:bookmarkEnd w:id="241"/>
      <w:bookmarkEnd w:id="242"/>
    </w:p>
    <w:p w14:paraId="26485455">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3FD815EC">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14:paraId="5FCDDECA">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14:paraId="77E8E656">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3CD97438">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7D4C4F4C">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43" w:name="_Toc1049_WPSOffice_Level2"/>
      <w:bookmarkStart w:id="244" w:name="_Toc486167687"/>
      <w:bookmarkStart w:id="245" w:name="_Toc27648"/>
      <w:bookmarkStart w:id="246" w:name="_Toc140596896"/>
      <w:bookmarkStart w:id="247" w:name="_Toc450662872"/>
      <w:bookmarkStart w:id="248" w:name="_Toc4101"/>
      <w:bookmarkStart w:id="249" w:name="_Toc142508337"/>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43"/>
      <w:bookmarkEnd w:id="244"/>
      <w:bookmarkEnd w:id="245"/>
      <w:bookmarkEnd w:id="246"/>
      <w:bookmarkEnd w:id="247"/>
      <w:bookmarkEnd w:id="248"/>
      <w:bookmarkEnd w:id="249"/>
    </w:p>
    <w:p w14:paraId="738B175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0" w:name="_Toc450662873"/>
      <w:bookmarkStart w:id="251" w:name="_Toc3071"/>
      <w:bookmarkStart w:id="252" w:name="_Toc486167688"/>
      <w:bookmarkStart w:id="253" w:name="_Toc144_WPSOffice_Level3"/>
      <w:bookmarkStart w:id="254" w:name="_Toc142508338"/>
      <w:bookmarkStart w:id="255" w:name="_Toc7200"/>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250"/>
      <w:bookmarkEnd w:id="251"/>
      <w:bookmarkEnd w:id="252"/>
      <w:bookmarkEnd w:id="253"/>
      <w:bookmarkEnd w:id="254"/>
      <w:bookmarkEnd w:id="255"/>
    </w:p>
    <w:p w14:paraId="3A0B1A7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 出席代表需登记以示出席。</w:t>
      </w:r>
    </w:p>
    <w:p w14:paraId="5703AB3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42CD12B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50548C64">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投标文件的投标报价大写金额和小写金额不一致的，以大写金额为准</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对不同文字文本投标文件的解释发生异议的，以中文文本为准。</w:t>
      </w:r>
    </w:p>
    <w:p w14:paraId="569AA6DA">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05FFE0D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4460BA25">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4DD1FFD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6" w:name="_Toc142508339"/>
      <w:bookmarkStart w:id="257" w:name="_Toc32398"/>
      <w:bookmarkStart w:id="258" w:name="_Toc486167689"/>
      <w:bookmarkStart w:id="259" w:name="_Toc450662874"/>
      <w:bookmarkStart w:id="260" w:name="_Toc2038"/>
      <w:bookmarkStart w:id="261" w:name="_Toc12165_WPSOffice_Level3"/>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56"/>
      <w:bookmarkEnd w:id="257"/>
      <w:bookmarkEnd w:id="258"/>
      <w:bookmarkEnd w:id="259"/>
      <w:bookmarkEnd w:id="260"/>
      <w:bookmarkEnd w:id="261"/>
    </w:p>
    <w:p w14:paraId="0C500817">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755303F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0CCB0720">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63DD10B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2" w:name="_Toc16094"/>
      <w:bookmarkStart w:id="263" w:name="_Toc486167690"/>
      <w:bookmarkStart w:id="264" w:name="_Toc15565_WPSOffice_Level3"/>
      <w:bookmarkStart w:id="265" w:name="_Toc833"/>
      <w:bookmarkStart w:id="266" w:name="_Toc450662875"/>
      <w:bookmarkStart w:id="267" w:name="_Toc142508340"/>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262"/>
      <w:bookmarkEnd w:id="263"/>
      <w:bookmarkEnd w:id="264"/>
      <w:bookmarkEnd w:id="265"/>
      <w:bookmarkEnd w:id="266"/>
      <w:bookmarkEnd w:id="267"/>
    </w:p>
    <w:p w14:paraId="32D64DBD">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627113A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270C4FF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1E640C6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268" w:name="_Toc5035"/>
      <w:bookmarkStart w:id="269" w:name="_Toc450662876"/>
      <w:bookmarkStart w:id="270" w:name="_Toc31399"/>
      <w:bookmarkStart w:id="271" w:name="_Toc486167691"/>
      <w:bookmarkStart w:id="272" w:name="_Toc142508341"/>
      <w:bookmarkStart w:id="273" w:name="_Toc28910_WPSOffice_Level3"/>
      <w:r>
        <w:rPr>
          <w:rFonts w:hint="eastAsia" w:ascii="宋体" w:hAnsi="宋体" w:eastAsia="宋体" w:cs="宋体"/>
          <w:b/>
          <w:color w:val="000000" w:themeColor="text1"/>
          <w:szCs w:val="21"/>
          <w:highlight w:val="none"/>
          <w:lang w:val="zh-CN"/>
          <w14:textFill>
            <w14:solidFill>
              <w14:schemeClr w14:val="tx1"/>
            </w14:solidFill>
          </w14:textFill>
        </w:rPr>
        <w:t>25</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268"/>
      <w:bookmarkEnd w:id="269"/>
      <w:bookmarkEnd w:id="270"/>
      <w:bookmarkEnd w:id="271"/>
      <w:bookmarkEnd w:id="272"/>
      <w:bookmarkEnd w:id="273"/>
    </w:p>
    <w:p w14:paraId="7F3C66D7">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14:paraId="4B423260">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14:paraId="459378D9">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458FECDB">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74" w:name="_Toc338_WPSOffice_Level3"/>
      <w:bookmarkStart w:id="275" w:name="_Toc450662877"/>
      <w:bookmarkStart w:id="276" w:name="_Toc10130"/>
      <w:bookmarkStart w:id="277" w:name="_Toc142508342"/>
      <w:bookmarkStart w:id="278" w:name="_Toc486167692"/>
      <w:bookmarkStart w:id="279" w:name="_Toc31484"/>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274"/>
      <w:bookmarkEnd w:id="275"/>
      <w:bookmarkEnd w:id="276"/>
      <w:bookmarkEnd w:id="277"/>
      <w:bookmarkEnd w:id="278"/>
      <w:bookmarkEnd w:id="279"/>
    </w:p>
    <w:p w14:paraId="3D7E6719">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w:t>
      </w:r>
      <w:r>
        <w:rPr>
          <w:rFonts w:hint="eastAsia" w:ascii="宋体" w:hAnsi="宋体" w:eastAsia="宋体" w:cs="宋体"/>
          <w:color w:val="000000" w:themeColor="text1"/>
          <w:szCs w:val="21"/>
          <w:highlight w:val="none"/>
          <w14:textFill>
            <w14:solidFill>
              <w14:schemeClr w14:val="tx1"/>
            </w14:solidFill>
          </w14:textFill>
        </w:rPr>
        <w:t>对</w:t>
      </w:r>
      <w:r>
        <w:rPr>
          <w:rFonts w:hint="eastAsia" w:ascii="宋体" w:hAnsi="宋体" w:eastAsia="宋体" w:cs="宋体"/>
          <w:color w:val="000000" w:themeColor="text1"/>
          <w:szCs w:val="21"/>
          <w:highlight w:val="none"/>
          <w:lang w:val="zh-CN"/>
          <w14:textFill>
            <w14:solidFill>
              <w14:schemeClr w14:val="tx1"/>
            </w14:solidFill>
          </w14:textFill>
        </w:rPr>
        <w:t>同类问题表述不一致、有明显文字和计算错误、</w:t>
      </w:r>
      <w:r>
        <w:rPr>
          <w:rFonts w:hint="eastAsia" w:ascii="宋体" w:hAnsi="宋体" w:eastAsia="宋体" w:cs="宋体"/>
          <w:color w:val="000000" w:themeColor="text1"/>
          <w:szCs w:val="21"/>
          <w:highlight w:val="none"/>
          <w14:textFill>
            <w14:solidFill>
              <w14:schemeClr w14:val="tx1"/>
            </w14:solidFill>
          </w14:textFill>
        </w:rPr>
        <w:t>投标报价可能低于成本影响履约的</w:t>
      </w:r>
      <w:r>
        <w:rPr>
          <w:rFonts w:hint="eastAsia" w:ascii="宋体" w:hAnsi="宋体" w:eastAsia="宋体" w:cs="宋体"/>
          <w:color w:val="000000" w:themeColor="text1"/>
          <w:szCs w:val="21"/>
          <w:highlight w:val="none"/>
          <w:lang w:val="zh-CN"/>
          <w14:textFill>
            <w14:solidFill>
              <w14:schemeClr w14:val="tx1"/>
            </w14:solidFill>
          </w14:textFill>
        </w:rPr>
        <w:t>，评标委员会</w:t>
      </w:r>
      <w:r>
        <w:rPr>
          <w:rFonts w:hint="eastAsia" w:ascii="宋体" w:hAnsi="宋体" w:eastAsia="宋体" w:cs="宋体"/>
          <w:color w:val="000000" w:themeColor="text1"/>
          <w:szCs w:val="21"/>
          <w:highlight w:val="none"/>
          <w14:textFill>
            <w14:solidFill>
              <w14:schemeClr w14:val="tx1"/>
            </w14:solidFill>
          </w14:textFill>
        </w:rPr>
        <w:t>应当先请投标人作必要的澄清说明</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不得直接否决投标。评标委员会</w:t>
      </w:r>
      <w:r>
        <w:rPr>
          <w:rFonts w:hint="eastAsia" w:ascii="宋体" w:hAnsi="宋体" w:eastAsia="宋体" w:cs="宋体"/>
          <w:color w:val="000000" w:themeColor="text1"/>
          <w:szCs w:val="21"/>
          <w:highlight w:val="none"/>
          <w:lang w:val="zh-CN"/>
          <w14:textFill>
            <w14:solidFill>
              <w14:schemeClr w14:val="tx1"/>
            </w14:solidFill>
          </w14:textFill>
        </w:rPr>
        <w:t>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546063F">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280"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80"/>
    <w:p w14:paraId="5A6A6265">
      <w:pPr>
        <w:tabs>
          <w:tab w:val="left" w:pos="525"/>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281" w:name="_Toc522047355"/>
      <w:bookmarkStart w:id="282" w:name="_Toc18368_WPSOffice_Level3"/>
      <w:bookmarkStart w:id="283" w:name="_Toc142508343"/>
      <w:bookmarkStart w:id="284" w:name="_Toc521918096"/>
    </w:p>
    <w:p w14:paraId="3E4DAFC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85" w:name="_Toc24332"/>
      <w:bookmarkStart w:id="286" w:name="_Toc15022"/>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281"/>
      <w:bookmarkEnd w:id="282"/>
      <w:bookmarkEnd w:id="283"/>
      <w:bookmarkEnd w:id="284"/>
      <w:bookmarkEnd w:id="285"/>
      <w:bookmarkEnd w:id="286"/>
    </w:p>
    <w:p w14:paraId="455D657F">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14:paraId="2B0B8ACF">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74D90096">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43F86F15">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2CCA4462">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66AE2F94">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436421A6">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287" w:name="_Toc522047356"/>
      <w:bookmarkStart w:id="288" w:name="_Toc521918097"/>
    </w:p>
    <w:p w14:paraId="736BB1D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89" w:name="_Toc142508344"/>
      <w:bookmarkStart w:id="290" w:name="_Toc31279"/>
      <w:bookmarkStart w:id="291" w:name="_Toc17214"/>
      <w:bookmarkStart w:id="292" w:name="_Toc21460_WPSOffice_Level3"/>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287"/>
      <w:bookmarkEnd w:id="288"/>
      <w:bookmarkEnd w:id="289"/>
      <w:bookmarkEnd w:id="290"/>
      <w:bookmarkEnd w:id="291"/>
      <w:bookmarkEnd w:id="292"/>
    </w:p>
    <w:p w14:paraId="0591C14D">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14:paraId="43B14BC3">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14:paraId="03B458CD">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38BF6599">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本次招标过程中有效投标人不足三个时，公开招标失败，并由评标委员会论证，招标文件是否没有不合理条款、招标程序是否符合规定。</w:t>
      </w:r>
    </w:p>
    <w:p w14:paraId="21A9701B">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7C3E8742">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93" w:name="_Toc142508345"/>
      <w:bookmarkStart w:id="294" w:name="_Toc465358969"/>
      <w:bookmarkStart w:id="295" w:name="_Toc32498_WPSOffice_Level3"/>
      <w:bookmarkStart w:id="296" w:name="_Toc2613"/>
      <w:bookmarkStart w:id="297" w:name="_Toc466882017"/>
      <w:bookmarkStart w:id="298" w:name="_Toc486167694"/>
      <w:bookmarkStart w:id="299" w:name="_Toc15841"/>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293"/>
      <w:bookmarkEnd w:id="294"/>
      <w:bookmarkEnd w:id="295"/>
      <w:bookmarkEnd w:id="296"/>
      <w:bookmarkEnd w:id="297"/>
      <w:bookmarkEnd w:id="298"/>
      <w:bookmarkEnd w:id="299"/>
    </w:p>
    <w:p w14:paraId="05D7EBD0">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招标代理机构在招标公告发布媒介公示中标候选人，公示期为3日。投标人或者其他利害关系人对评标结果有异议的，应当在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477E2F5A">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4EEB70A7">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394D9228">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6FECDA0D">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C761689">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094B82AE">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30E0F8E5">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41B93F0F">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7AB5026E">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0D2B29F4">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4BF53002">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183FA9AD">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5D5D095E">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监督部门：东莞市水务集团有限公司，联系人：莫先生，联系电话：0769-28823251。</w:t>
      </w:r>
    </w:p>
    <w:p w14:paraId="553D4BD7">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2B935824">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000000" w:themeColor="text1"/>
          <w:szCs w:val="21"/>
          <w:highlight w:val="none"/>
          <w:lang w:val="zh-CN"/>
          <w14:textFill>
            <w14:solidFill>
              <w14:schemeClr w14:val="tx1"/>
            </w14:solidFill>
          </w14:textFill>
        </w:rPr>
      </w:pPr>
      <w:bookmarkStart w:id="300" w:name="_Toc465358970"/>
      <w:bookmarkStart w:id="301" w:name="_Toc26138"/>
      <w:bookmarkStart w:id="302" w:name="_Toc11421"/>
      <w:bookmarkStart w:id="303" w:name="_Toc486167695"/>
      <w:bookmarkStart w:id="304" w:name="_Toc466882018"/>
      <w:bookmarkStart w:id="305" w:name="_Toc142508346"/>
      <w:bookmarkStart w:id="306" w:name="_Toc1848_WPSOffice_Level3"/>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300"/>
      <w:bookmarkEnd w:id="301"/>
      <w:bookmarkEnd w:id="302"/>
      <w:bookmarkEnd w:id="303"/>
      <w:bookmarkEnd w:id="304"/>
      <w:bookmarkEnd w:id="305"/>
      <w:bookmarkEnd w:id="306"/>
    </w:p>
    <w:p w14:paraId="4EA9192C">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48377A63">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135EF3CC">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，因此导致投标人无法参与东莞市水务集团有限公司相关招标采购等活动的，由投标人自行承担全部后果。</w:t>
      </w:r>
    </w:p>
    <w:p w14:paraId="3CBB85B1">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307" w:name="_Toc466882019"/>
      <w:bookmarkStart w:id="308" w:name="_Toc465358971"/>
    </w:p>
    <w:p w14:paraId="0104B411">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309" w:name="_Toc10671"/>
      <w:bookmarkStart w:id="310" w:name="_Toc486167696"/>
      <w:bookmarkStart w:id="311" w:name="_Toc10867_WPSOffice_Level3"/>
      <w:bookmarkStart w:id="312" w:name="_Toc26035"/>
      <w:bookmarkStart w:id="313" w:name="_Toc142508347"/>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307"/>
      <w:bookmarkEnd w:id="308"/>
      <w:bookmarkEnd w:id="309"/>
      <w:bookmarkEnd w:id="310"/>
      <w:bookmarkEnd w:id="311"/>
      <w:bookmarkEnd w:id="312"/>
      <w:bookmarkEnd w:id="313"/>
    </w:p>
    <w:p w14:paraId="2C7C9EB5">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43E157E0">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314" w:name="_Toc450662880"/>
    </w:p>
    <w:p w14:paraId="36F514B7">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315" w:name="_Toc18316"/>
      <w:bookmarkStart w:id="316" w:name="_Toc140596907"/>
      <w:bookmarkStart w:id="317" w:name="_Toc26380"/>
      <w:bookmarkStart w:id="318" w:name="_Toc16848_WPSOffice_Level2"/>
      <w:bookmarkStart w:id="319" w:name="_Toc486167697"/>
      <w:bookmarkStart w:id="320" w:name="_Toc142508348"/>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314"/>
      <w:bookmarkEnd w:id="315"/>
      <w:bookmarkEnd w:id="316"/>
      <w:bookmarkEnd w:id="317"/>
      <w:bookmarkEnd w:id="318"/>
      <w:bookmarkEnd w:id="319"/>
      <w:bookmarkEnd w:id="320"/>
    </w:p>
    <w:p w14:paraId="732874A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21" w:name="_Toc450662881"/>
      <w:bookmarkStart w:id="322" w:name="_Toc6401_WPSOffice_Level3"/>
      <w:bookmarkStart w:id="323" w:name="_Toc142508349"/>
      <w:bookmarkStart w:id="324" w:name="_Toc25540"/>
      <w:bookmarkStart w:id="325" w:name="_Toc11498"/>
      <w:bookmarkStart w:id="326" w:name="_Toc486167698"/>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321"/>
      <w:bookmarkEnd w:id="322"/>
      <w:bookmarkEnd w:id="323"/>
      <w:bookmarkEnd w:id="324"/>
      <w:bookmarkEnd w:id="325"/>
      <w:bookmarkEnd w:id="326"/>
    </w:p>
    <w:p w14:paraId="721082D5">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7E7826ED">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627A548C">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0A0A61D8">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27" w:name="_Toc450662885"/>
    </w:p>
    <w:p w14:paraId="4B584CEC">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28" w:name="_Toc20062"/>
      <w:bookmarkStart w:id="329" w:name="_Toc486167699"/>
      <w:bookmarkStart w:id="330" w:name="_Toc6726_WPSOffice_Level3"/>
      <w:bookmarkStart w:id="331" w:name="_Toc142508350"/>
      <w:bookmarkStart w:id="332" w:name="_Toc24266"/>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327"/>
      <w:bookmarkEnd w:id="328"/>
      <w:bookmarkEnd w:id="329"/>
      <w:bookmarkEnd w:id="330"/>
      <w:bookmarkEnd w:id="331"/>
      <w:bookmarkEnd w:id="332"/>
    </w:p>
    <w:p w14:paraId="158BCF15">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33"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2F9407D6">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5CFD60DA">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7F79694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4" w:name="_Toc32732"/>
      <w:bookmarkStart w:id="335" w:name="_Toc486167700"/>
      <w:bookmarkStart w:id="336" w:name="_Toc2571"/>
      <w:bookmarkStart w:id="337" w:name="_Toc9694_WPSOffice_Level3"/>
      <w:bookmarkStart w:id="338" w:name="_Toc142508351"/>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333"/>
      <w:bookmarkEnd w:id="334"/>
      <w:bookmarkEnd w:id="335"/>
      <w:bookmarkEnd w:id="336"/>
      <w:bookmarkEnd w:id="337"/>
      <w:bookmarkEnd w:id="338"/>
    </w:p>
    <w:p w14:paraId="6FC9B491">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282119C9">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34.2 在签署合同前，招标人可对中标人投标报价明细及附表内的计算或表达上的错误进行修正，修正原则为：</w:t>
      </w:r>
    </w:p>
    <w:p w14:paraId="18E6F848">
      <w:pPr>
        <w:autoSpaceDE w:val="0"/>
        <w:autoSpaceDN w:val="0"/>
        <w:adjustRightInd w:val="0"/>
        <w:snapToGrid w:val="0"/>
        <w:spacing w:line="360" w:lineRule="auto"/>
        <w:ind w:left="315" w:leftChars="100" w:hanging="105" w:hangingChars="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（1）当以数字表示的金额与以文字表示的金额不一致时，以文字表示的金额为准；</w:t>
      </w:r>
    </w:p>
    <w:p w14:paraId="6FCFA7D6">
      <w:pPr>
        <w:autoSpaceDE w:val="0"/>
        <w:autoSpaceDN w:val="0"/>
        <w:adjustRightInd w:val="0"/>
        <w:snapToGrid w:val="0"/>
        <w:spacing w:line="360" w:lineRule="auto"/>
        <w:ind w:left="315" w:leftChars="100" w:hanging="105" w:hangingChars="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）当开标一览表(投标报价表)内总报价金额与按单价计算的总价不一致的，以总</w:t>
      </w:r>
      <w:r>
        <w:rPr>
          <w:rFonts w:hint="eastAsia" w:ascii="宋体" w:hAnsi="宋体" w:eastAsia="宋体" w:cs="Times New Roman"/>
          <w:color w:val="000000" w:themeColor="text1"/>
          <w:szCs w:val="21"/>
          <w:highlight w:val="none"/>
          <w14:textFill>
            <w14:solidFill>
              <w14:schemeClr w14:val="tx1"/>
            </w14:solidFill>
          </w14:textFill>
        </w:rPr>
        <w:t>报</w:t>
      </w:r>
      <w:r>
        <w:rPr>
          <w:rFonts w:hint="eastAsia" w:ascii="宋体" w:hAnsi="宋体" w:eastAsia="宋体" w:cs="Times New Roman"/>
          <w:color w:val="000000" w:themeColor="text1"/>
          <w:szCs w:val="21"/>
          <w:highlight w:val="none"/>
          <w:lang w:val="zh-CN"/>
          <w14:textFill>
            <w14:solidFill>
              <w14:schemeClr w14:val="tx1"/>
            </w14:solidFill>
          </w14:textFill>
        </w:rPr>
        <w:t>价为准，修正单价金额；</w:t>
      </w:r>
    </w:p>
    <w:p w14:paraId="0C66BA1A">
      <w:pPr>
        <w:autoSpaceDE w:val="0"/>
        <w:autoSpaceDN w:val="0"/>
        <w:adjustRightInd w:val="0"/>
        <w:snapToGrid w:val="0"/>
        <w:spacing w:line="360" w:lineRule="auto"/>
        <w:ind w:left="315" w:leftChars="100" w:hanging="105" w:hangingChars="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）当分项报价明细表内累计与投标报价表内报价不符时，以投标报价表（开标一览表）为准，修正分项报价明细表内的各分项报价；</w:t>
      </w:r>
    </w:p>
    <w:p w14:paraId="5BFE2693">
      <w:pPr>
        <w:autoSpaceDE w:val="0"/>
        <w:autoSpaceDN w:val="0"/>
        <w:adjustRightInd w:val="0"/>
        <w:snapToGrid w:val="0"/>
        <w:spacing w:line="360" w:lineRule="auto"/>
        <w:ind w:left="315" w:leftChars="100" w:hanging="105" w:hangingChars="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4</w:t>
      </w:r>
      <w:r>
        <w:rPr>
          <w:rFonts w:hint="eastAsia" w:ascii="宋体" w:hAnsi="宋体" w:eastAsia="宋体" w:cs="Times New Roman"/>
          <w:color w:val="000000" w:themeColor="text1"/>
          <w:szCs w:val="21"/>
          <w:highlight w:val="none"/>
          <w:lang w:val="zh-CN"/>
          <w14:textFill>
            <w14:solidFill>
              <w14:schemeClr w14:val="tx1"/>
            </w14:solidFill>
          </w14:textFill>
        </w:rPr>
        <w:t>）按前述修正原则排序依次进行修正至唯一值后的报价表经双方确认后，作为合同文件的组成部分。</w:t>
      </w:r>
    </w:p>
    <w:p w14:paraId="401AB8E8">
      <w:pPr>
        <w:tabs>
          <w:tab w:val="left" w:pos="360"/>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14:textFill>
            <w14:solidFill>
              <w14:schemeClr w14:val="tx1"/>
            </w14:solidFill>
          </w14:textFill>
        </w:rPr>
      </w:pPr>
      <w:bookmarkStart w:id="339" w:name="_Toc450662887"/>
      <w:bookmarkStart w:id="340" w:name="_Toc10513_WPSOffice_Level3"/>
      <w:bookmarkStart w:id="341" w:name="_Toc142508352"/>
      <w:bookmarkStart w:id="342" w:name="_Toc486167701"/>
    </w:p>
    <w:p w14:paraId="5C347E8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43" w:name="_Toc19285"/>
      <w:bookmarkStart w:id="344" w:name="_Toc8873"/>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339"/>
      <w:bookmarkEnd w:id="340"/>
      <w:bookmarkEnd w:id="341"/>
      <w:bookmarkEnd w:id="342"/>
      <w:bookmarkEnd w:id="343"/>
      <w:bookmarkEnd w:id="344"/>
    </w:p>
    <w:p w14:paraId="64E64672">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345" w:name="_Toc466882025"/>
      <w:bookmarkStart w:id="346" w:name="_Toc465358977"/>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中标人应在签订合同前，按本招标文件规定金额及形式要求，向招标人提交不可撤销银行履约保函（或履约保证金</w:t>
      </w:r>
      <w:r>
        <w:rPr>
          <w:rFonts w:hint="eastAsia" w:ascii="宋体" w:hAnsi="宋体" w:eastAsia="宋体" w:cs="Times New Roman"/>
          <w:b/>
          <w:bCs/>
          <w:color w:val="000000" w:themeColor="text1"/>
          <w:szCs w:val="21"/>
          <w:highlight w:val="none"/>
          <w:u w:val="single"/>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其中，采用履约保证金（银行转账形式）的金额为暂定总合同价的5%，采用不可撤销银行履约保函形式的金额为暂定总合同价的8%，采用</w:t>
      </w:r>
      <w:r>
        <w:rPr>
          <w:rFonts w:hint="eastAsia" w:ascii="宋体" w:hAnsi="宋体" w:eastAsia="宋体" w:cs="Times New Roman"/>
          <w:b/>
          <w:bCs/>
          <w:color w:val="000000" w:themeColor="text1"/>
          <w:szCs w:val="21"/>
          <w:highlight w:val="none"/>
          <w:u w:val="single"/>
          <w14:textFill>
            <w14:solidFill>
              <w14:schemeClr w14:val="tx1"/>
            </w14:solidFill>
          </w14:textFill>
        </w:rPr>
        <w:t>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形式的金额为暂定总合同价的8%，采用担保公司履约担保书形式的金额为暂定总合同价的</w:t>
      </w:r>
      <w:r>
        <w:rPr>
          <w:rFonts w:ascii="宋体" w:hAnsi="宋体" w:eastAsia="宋体" w:cs="Times New Roman"/>
          <w:b/>
          <w:bCs/>
          <w:color w:val="000000" w:themeColor="text1"/>
          <w:szCs w:val="21"/>
          <w:highlight w:val="none"/>
          <w:u w:val="single"/>
          <w:lang w:val="zh-CN"/>
          <w14:textFill>
            <w14:solidFill>
              <w14:schemeClr w14:val="tx1"/>
            </w14:solidFill>
          </w14:textFill>
        </w:rPr>
        <w:t>10</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bookmarkStart w:id="347" w:name="OLE_LINK387"/>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bookmarkEnd w:id="347"/>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给招标人造成的损失超过履约担保数额的，中标人还应当对超过部分予以赔偿，招标人并依法追究中标人的相应责任。</w:t>
      </w:r>
    </w:p>
    <w:p w14:paraId="712981F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606BD8E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中标人将合同项下中标人的权利义务全部转让给第三方，或未经招标人书面同意将部分权利义务转让给第三方的，招标人有权没收其履约担保。</w:t>
      </w:r>
    </w:p>
    <w:p w14:paraId="246D705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怠于履行合同义务，经招标人通知或要求承担违约金后仍拒不改正的，招标人可依法没收或适当扣除其履约担保。</w:t>
      </w:r>
    </w:p>
    <w:p w14:paraId="157B593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货物、运营维护</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招标人有权使用履约担保予以支付或作出相应处理，由此产生的一切法律后果由中标人承担。</w:t>
      </w:r>
    </w:p>
    <w:p w14:paraId="381AD29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4）在合同履行期间，中标人违约产生的违约金、赔偿、罚款或其他应付费用等款项，招标人有权直接从未付款项中直接扣除或启用履约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780D165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5）合同期内，中标人不能及时完成合同某项义务的，招标人有权提取履约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291EBF4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6）其他根据本合同约定或法律规定，招标人可启用履约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1B9CDF2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14:paraId="6C28FB1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7B36404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（或履约保证保险或担保公司履约担保书）</w:t>
      </w:r>
      <w:r>
        <w:rPr>
          <w:rFonts w:ascii="宋体" w:hAnsi="宋体" w:eastAsia="宋体" w:cs="Times New Roman"/>
          <w:color w:val="000000" w:themeColor="text1"/>
          <w:kern w:val="0"/>
          <w:szCs w:val="21"/>
          <w:highlight w:val="none"/>
          <w14:textFill>
            <w14:solidFill>
              <w14:schemeClr w14:val="tx1"/>
            </w14:solidFill>
          </w14:textFill>
        </w:rPr>
        <w:t>，须事先经招标人的书面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6B4BEAC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5A7AED8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bookmarkStart w:id="348" w:name="OLE_LINK499"/>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未按招标人要求重新提供的，招标人有权要求中标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bookmarkEnd w:id="348"/>
    <w:p w14:paraId="38F6F2B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招标人有权按需补足的金额要求中标人承担违约金，并要求限期补足。如中标人仍不补足的，招标人有权单方解除合同，违约金可直接从未付合同款或履约担保中扣除。</w:t>
      </w:r>
    </w:p>
    <w:p w14:paraId="74C92EF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w:t>
      </w:r>
      <w:r>
        <w:rPr>
          <w:rFonts w:hint="eastAsia" w:ascii="宋体" w:hAnsi="宋体" w:eastAsia="宋体" w:cs="Times New Roman"/>
          <w:color w:val="000000" w:themeColor="text1"/>
          <w:kern w:val="0"/>
          <w:szCs w:val="21"/>
          <w:highlight w:val="none"/>
          <w14:textFill>
            <w14:solidFill>
              <w14:schemeClr w14:val="tx1"/>
            </w14:solidFill>
          </w14:textFill>
        </w:rPr>
        <w:t>可撤销银行履约保函（或履约保证保险或担保公司履约担保书）应</w:t>
      </w:r>
      <w:bookmarkStart w:id="349" w:name="OLE_LINK441"/>
      <w:r>
        <w:rPr>
          <w:rFonts w:hint="eastAsia" w:ascii="宋体" w:hAnsi="宋体" w:eastAsia="宋体" w:cs="Times New Roman"/>
          <w:color w:val="000000" w:themeColor="text1"/>
          <w:kern w:val="0"/>
          <w:szCs w:val="21"/>
          <w:highlight w:val="none"/>
          <w14:textFill>
            <w14:solidFill>
              <w14:schemeClr w14:val="tx1"/>
            </w14:solidFill>
          </w14:textFill>
        </w:rPr>
        <w:t>从合同签订之日起至</w:t>
      </w:r>
      <w:bookmarkEnd w:id="349"/>
      <w:bookmarkStart w:id="350" w:name="OLE_LINK440"/>
      <w:bookmarkStart w:id="351" w:name="OLE_LINK442"/>
      <w:r>
        <w:rPr>
          <w:rFonts w:hint="eastAsia" w:ascii="宋体" w:hAnsi="宋体" w:eastAsia="宋体" w:cs="Times New Roman"/>
          <w:color w:val="000000" w:themeColor="text1"/>
          <w:kern w:val="0"/>
          <w:szCs w:val="21"/>
          <w:highlight w:val="none"/>
          <w14:textFill>
            <w14:solidFill>
              <w14:schemeClr w14:val="tx1"/>
            </w14:solidFill>
          </w14:textFill>
        </w:rPr>
        <w:t>依法完成本项目的所有合同义务</w:t>
      </w:r>
      <w:bookmarkEnd w:id="350"/>
      <w:bookmarkEnd w:id="351"/>
      <w:r>
        <w:rPr>
          <w:rFonts w:hint="eastAsia" w:ascii="宋体" w:hAnsi="宋体" w:eastAsia="宋体" w:cs="Times New Roman"/>
          <w:color w:val="000000" w:themeColor="text1"/>
          <w:kern w:val="0"/>
          <w:szCs w:val="21"/>
          <w:highlight w:val="none"/>
          <w14:textFill>
            <w14:solidFill>
              <w14:schemeClr w14:val="tx1"/>
            </w14:solidFill>
          </w14:textFill>
        </w:rPr>
        <w:t>且双方结算完毕后二十八（28）日内</w:t>
      </w:r>
      <w:r>
        <w:rPr>
          <w:rFonts w:ascii="宋体" w:hAnsi="宋体" w:eastAsia="宋体" w:cs="Times New Roman"/>
          <w:color w:val="000000" w:themeColor="text1"/>
          <w:kern w:val="0"/>
          <w:szCs w:val="21"/>
          <w:highlight w:val="none"/>
          <w14:textFill>
            <w14:solidFill>
              <w14:schemeClr w14:val="tx1"/>
            </w14:solidFill>
          </w14:textFill>
        </w:rPr>
        <w:t>保持有效</w:t>
      </w:r>
      <w:r>
        <w:rPr>
          <w:rFonts w:hint="eastAsia" w:ascii="宋体" w:hAnsi="宋体" w:eastAsia="宋体" w:cs="宋体"/>
          <w:color w:val="000000" w:themeColor="text1"/>
          <w:kern w:val="0"/>
          <w:szCs w:val="21"/>
          <w:highlight w:val="none"/>
          <w14:textFill>
            <w14:solidFill>
              <w14:schemeClr w14:val="tx1"/>
            </w14:solidFill>
          </w14:textFill>
        </w:rPr>
        <w:t>。</w:t>
      </w:r>
    </w:p>
    <w:p w14:paraId="651AA7B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35.4  履约保证金应用本合同货币。</w:t>
      </w:r>
    </w:p>
    <w:p w14:paraId="4AA030E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7E80F491">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p>
    <w:p w14:paraId="34335909">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w:t>
      </w:r>
      <w:bookmarkStart w:id="352" w:name="OLE_LINK390"/>
      <w:bookmarkStart w:id="353" w:name="OLE_LINK391"/>
      <w:r>
        <w:rPr>
          <w:rFonts w:hint="eastAsia" w:ascii="宋体" w:hAnsi="宋体" w:eastAsia="宋体" w:cs="Times New Roman"/>
          <w:b/>
          <w:color w:val="000000" w:themeColor="text1"/>
          <w:kern w:val="0"/>
          <w:szCs w:val="21"/>
          <w:highlight w:val="none"/>
          <w14:textFill>
            <w14:solidFill>
              <w14:schemeClr w14:val="tx1"/>
            </w14:solidFill>
          </w14:textFill>
        </w:rPr>
        <w:t>东莞市水务集团科技发展有限公司</w:t>
      </w:r>
      <w:bookmarkEnd w:id="352"/>
    </w:p>
    <w:bookmarkEnd w:id="353"/>
    <w:p w14:paraId="30EB7993">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w:t>
      </w:r>
      <w:bookmarkStart w:id="354" w:name="OLE_LINK392"/>
      <w:r>
        <w:rPr>
          <w:rFonts w:hint="eastAsia" w:ascii="宋体" w:hAnsi="宋体" w:eastAsia="宋体" w:cs="Times New Roman"/>
          <w:b/>
          <w:color w:val="000000" w:themeColor="text1"/>
          <w:kern w:val="0"/>
          <w:szCs w:val="21"/>
          <w:highlight w:val="none"/>
          <w14:textFill>
            <w14:solidFill>
              <w14:schemeClr w14:val="tx1"/>
            </w14:solidFill>
          </w14:textFill>
        </w:rPr>
        <w:t>2010021309200593250</w:t>
      </w:r>
    </w:p>
    <w:bookmarkEnd w:id="354"/>
    <w:p w14:paraId="54A3C4EF">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w:t>
      </w:r>
      <w:bookmarkStart w:id="355" w:name="OLE_LINK393"/>
      <w:r>
        <w:rPr>
          <w:rFonts w:hint="eastAsia" w:ascii="宋体" w:hAnsi="宋体" w:eastAsia="宋体" w:cs="Times New Roman"/>
          <w:b/>
          <w:color w:val="000000" w:themeColor="text1"/>
          <w:kern w:val="0"/>
          <w:szCs w:val="21"/>
          <w:highlight w:val="none"/>
          <w14:textFill>
            <w14:solidFill>
              <w14:schemeClr w14:val="tx1"/>
            </w14:solidFill>
          </w14:textFill>
        </w:rPr>
        <w:t>中国工商银行东莞分行</w:t>
      </w:r>
      <w:bookmarkEnd w:id="355"/>
    </w:p>
    <w:p w14:paraId="29C6D812">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单位提交了履约担保后，当履约保证金转达招标人履约保证金账户后，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交给招标人，由招标人在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4C5BFCC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w:t>
      </w:r>
      <w:bookmarkStart w:id="356" w:name="OLE_LINK13"/>
      <w:r>
        <w:rPr>
          <w:rFonts w:hint="eastAsia" w:ascii="宋体" w:hAnsi="宋体" w:eastAsia="宋体" w:cs="宋体"/>
          <w:color w:val="000000" w:themeColor="text1"/>
          <w:kern w:val="0"/>
          <w:szCs w:val="21"/>
          <w:highlight w:val="none"/>
          <w14:textFill>
            <w14:solidFill>
              <w14:schemeClr w14:val="tx1"/>
            </w14:solidFill>
          </w14:textFill>
        </w:rPr>
        <w:t>依法完成本项目的所有合同义务，且结算完毕之</w:t>
      </w:r>
      <w:bookmarkEnd w:id="356"/>
      <w:r>
        <w:rPr>
          <w:rFonts w:ascii="宋体" w:hAnsi="宋体" w:eastAsia="宋体" w:cs="宋体"/>
          <w:color w:val="000000" w:themeColor="text1"/>
          <w:kern w:val="0"/>
          <w:szCs w:val="21"/>
          <w:highlight w:val="none"/>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，经招标人确认，中标人可向招标人提交退回履约担保的申请。招标人审核无异议后，办理履约担保退还手续，退回时一律以银行转账的形式无息退回到中标人的账户。</w:t>
      </w:r>
    </w:p>
    <w:p w14:paraId="7FFE7BF8">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60E6D31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57" w:name="_Toc486167702"/>
      <w:bookmarkStart w:id="358" w:name="_Toc142508353"/>
      <w:bookmarkStart w:id="359" w:name="_Toc27958"/>
      <w:bookmarkStart w:id="360" w:name="_Toc13033"/>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345"/>
      <w:bookmarkEnd w:id="346"/>
      <w:bookmarkEnd w:id="357"/>
      <w:bookmarkEnd w:id="358"/>
      <w:bookmarkEnd w:id="359"/>
      <w:bookmarkEnd w:id="360"/>
    </w:p>
    <w:p w14:paraId="123C7505">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bookmarkStart w:id="361" w:name="OLE_LINK498"/>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在合同约定的范围内，招标人有权根据项目实际情况及有关法律法规、政策的规定对采购范围进行变更调整，变更采购范围后，投标人应遵照执行。</w:t>
      </w:r>
    </w:p>
    <w:bookmarkEnd w:id="361"/>
    <w:p w14:paraId="3461F09F">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62" w:name="_Toc450662888"/>
    </w:p>
    <w:p w14:paraId="2C58D942">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63" w:name="_Toc28921_WPSOffice_Level3"/>
      <w:bookmarkStart w:id="364" w:name="_Toc20043"/>
      <w:bookmarkStart w:id="365" w:name="_Toc486167703"/>
      <w:bookmarkStart w:id="366" w:name="_Toc14372"/>
      <w:bookmarkStart w:id="367" w:name="_Toc142508354"/>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362"/>
      <w:bookmarkEnd w:id="363"/>
      <w:bookmarkEnd w:id="364"/>
      <w:bookmarkEnd w:id="365"/>
      <w:bookmarkEnd w:id="366"/>
      <w:bookmarkEnd w:id="367"/>
    </w:p>
    <w:p w14:paraId="6793761E">
      <w:pPr>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bookmarkStart w:id="368" w:name="OLE_LINK497"/>
      <w:r>
        <w:rPr>
          <w:rFonts w:hint="eastAsia" w:ascii="宋体" w:hAnsi="宋体" w:eastAsia="宋体" w:cs="宋体"/>
          <w:color w:val="000000" w:themeColor="text1"/>
          <w:szCs w:val="21"/>
          <w:highlight w:val="none"/>
          <w:lang w:val="zh-CN"/>
          <w14:textFill>
            <w14:solidFill>
              <w14:schemeClr w14:val="tx1"/>
            </w14:solidFill>
          </w14:textFill>
        </w:rPr>
        <w:t>37.1 本项目中标服务费由招标人向招标代理机构支付。</w:t>
      </w:r>
    </w:p>
    <w:bookmarkEnd w:id="368"/>
    <w:p w14:paraId="1F273F22">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69" w:name="_Toc450662889"/>
    </w:p>
    <w:p w14:paraId="3FADB3D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70" w:name="_Toc486167704"/>
      <w:bookmarkStart w:id="371" w:name="_Toc6764_WPSOffice_Level3"/>
      <w:bookmarkStart w:id="372" w:name="_Toc142508355"/>
      <w:bookmarkStart w:id="373" w:name="_Toc26292"/>
      <w:bookmarkStart w:id="374" w:name="_Toc12049"/>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369"/>
      <w:bookmarkEnd w:id="370"/>
      <w:bookmarkEnd w:id="371"/>
      <w:bookmarkEnd w:id="372"/>
      <w:bookmarkEnd w:id="373"/>
      <w:bookmarkEnd w:id="374"/>
    </w:p>
    <w:p w14:paraId="05D96407">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bookmarkStart w:id="375" w:name="OLE_LINK496"/>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该项目获得中标的中标人在执行合同过程中，向招标人出具的发票必须是由中标人开具，不得以其他单位或个人名义出具，本项目中标人向招标人出具的发票类型为</w:t>
      </w:r>
      <w:bookmarkStart w:id="376" w:name="OLE_LINK122"/>
      <w:r>
        <w:rPr>
          <w:rFonts w:hint="eastAsia" w:ascii="宋体" w:hAnsi="宋体" w:eastAsia="宋体" w:cs="Times New Roman"/>
          <w:color w:val="000000" w:themeColor="text1"/>
          <w:szCs w:val="21"/>
          <w:highlight w:val="none"/>
          <w:lang w:val="zh-CN"/>
          <w14:textFill>
            <w14:solidFill>
              <w14:schemeClr w14:val="tx1"/>
            </w14:solidFill>
          </w14:textFill>
        </w:rPr>
        <w:t>增值税专用发票</w:t>
      </w:r>
      <w:bookmarkEnd w:id="376"/>
      <w:r>
        <w:rPr>
          <w:rFonts w:hint="eastAsia" w:ascii="宋体" w:hAnsi="宋体" w:eastAsia="宋体" w:cs="Times New Roman"/>
          <w:color w:val="000000" w:themeColor="text1"/>
          <w:szCs w:val="21"/>
          <w:highlight w:val="none"/>
          <w:lang w:val="zh-CN"/>
          <w14:textFill>
            <w14:solidFill>
              <w14:schemeClr w14:val="tx1"/>
            </w14:solidFill>
          </w14:textFill>
        </w:rPr>
        <w:t>。</w:t>
      </w:r>
      <w:bookmarkStart w:id="377" w:name="_Toc486167705"/>
      <w:bookmarkStart w:id="378" w:name="_Toc31106_WPSOffice_Level3"/>
    </w:p>
    <w:bookmarkEnd w:id="375"/>
    <w:p w14:paraId="7FDF0BFF">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2ADC4354">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379" w:name="_Toc14362"/>
      <w:bookmarkStart w:id="380" w:name="_Toc142508356"/>
      <w:bookmarkStart w:id="381" w:name="_Toc16304"/>
      <w:bookmarkStart w:id="382" w:name="OLE_LINK500"/>
      <w:r>
        <w:rPr>
          <w:rFonts w:ascii="宋体" w:hAnsi="宋体" w:eastAsia="宋体" w:cs="宋体"/>
          <w:b/>
          <w:color w:val="000000" w:themeColor="text1"/>
          <w:szCs w:val="21"/>
          <w:highlight w:val="none"/>
          <w14:textFill>
            <w14:solidFill>
              <w14:schemeClr w14:val="tx1"/>
            </w14:solidFill>
          </w14:textFill>
        </w:rPr>
        <w:t>39 招标相关补充约定</w:t>
      </w:r>
      <w:bookmarkEnd w:id="379"/>
      <w:bookmarkEnd w:id="380"/>
      <w:bookmarkEnd w:id="381"/>
    </w:p>
    <w:bookmarkEnd w:id="382"/>
    <w:p w14:paraId="5F0FB392">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7868E1DF">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6AAE0F30">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383" w:name="_Toc13471"/>
      <w:bookmarkStart w:id="384" w:name="OLE_LINK510"/>
      <w:bookmarkStart w:id="385" w:name="OLE_LINK505"/>
      <w:r>
        <w:rPr>
          <w:rFonts w:hint="eastAsia" w:ascii="宋体" w:hAnsi="宋体" w:eastAsia="宋体" w:cs="宋体"/>
          <w:b/>
          <w:color w:val="000000" w:themeColor="text1"/>
          <w:szCs w:val="21"/>
          <w:highlight w:val="none"/>
          <w14:textFill>
            <w14:solidFill>
              <w14:schemeClr w14:val="tx1"/>
            </w14:solidFill>
          </w14:textFill>
        </w:rPr>
        <w:t>40 以</w:t>
      </w:r>
      <w:bookmarkStart w:id="386" w:name="OLE_LINK506"/>
      <w:r>
        <w:rPr>
          <w:rFonts w:hint="eastAsia" w:ascii="宋体" w:hAnsi="宋体" w:eastAsia="宋体" w:cs="宋体"/>
          <w:b/>
          <w:color w:val="000000" w:themeColor="text1"/>
          <w:szCs w:val="21"/>
          <w:highlight w:val="none"/>
          <w14:textFill>
            <w14:solidFill>
              <w14:schemeClr w14:val="tx1"/>
            </w14:solidFill>
          </w14:textFill>
        </w:rPr>
        <w:t>联合体形式</w:t>
      </w:r>
      <w:bookmarkEnd w:id="386"/>
      <w:r>
        <w:rPr>
          <w:rFonts w:hint="eastAsia" w:ascii="宋体" w:hAnsi="宋体" w:eastAsia="宋体" w:cs="宋体"/>
          <w:b/>
          <w:color w:val="000000" w:themeColor="text1"/>
          <w:szCs w:val="21"/>
          <w:highlight w:val="none"/>
          <w14:textFill>
            <w14:solidFill>
              <w14:schemeClr w14:val="tx1"/>
            </w14:solidFill>
          </w14:textFill>
        </w:rPr>
        <w:t>投标的，应符合以下规定：</w:t>
      </w:r>
      <w:bookmarkEnd w:id="383"/>
    </w:p>
    <w:bookmarkEnd w:id="384"/>
    <w:p w14:paraId="328982E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40.1 联合体各方均应当满足</w:t>
      </w:r>
      <w:bookmarkStart w:id="387" w:name="OLE_LINK503"/>
      <w:r>
        <w:rPr>
          <w:rFonts w:hint="eastAsia" w:ascii="宋体" w:hAnsi="宋体" w:eastAsia="宋体" w:cs="Times New Roman"/>
          <w:color w:val="000000" w:themeColor="text1"/>
          <w:kern w:val="0"/>
          <w:szCs w:val="21"/>
          <w:highlight w:val="none"/>
          <w14:textFill>
            <w14:solidFill>
              <w14:schemeClr w14:val="tx1"/>
            </w14:solidFill>
          </w14:textFill>
        </w:rPr>
        <w:t>第2条“合格的投标人”</w:t>
      </w:r>
      <w:bookmarkEnd w:id="387"/>
      <w:r>
        <w:rPr>
          <w:rFonts w:hint="eastAsia" w:ascii="宋体" w:hAnsi="宋体" w:eastAsia="宋体" w:cs="Times New Roman"/>
          <w:color w:val="000000" w:themeColor="text1"/>
          <w:kern w:val="0"/>
          <w:szCs w:val="21"/>
          <w:highlight w:val="none"/>
          <w14:textFill>
            <w14:solidFill>
              <w14:schemeClr w14:val="tx1"/>
            </w14:solidFill>
          </w14:textFill>
        </w:rPr>
        <w:t>规定的条件，并在投标文件中提供联合体各方的相关证明材料。</w:t>
      </w:r>
    </w:p>
    <w:p w14:paraId="6070737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40.2 联合体各方之间应签订共同投标协议书并在投标文件中提交，明确约定联合体各方承担的工作和相应的责任。联合体各方签订共同投标协议书后，不得再以自己名义单独在同一项目中投标，也不得组成新的联合体参加同一项目投标，若违反规定则其参与的所有投标将视为无效投标。</w:t>
      </w:r>
    </w:p>
    <w:p w14:paraId="5509C2D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40.3 联合体应以联合协议中确定的牵头方名义</w:t>
      </w:r>
      <w:bookmarkStart w:id="388" w:name="OLE_LINK502"/>
      <w:r>
        <w:rPr>
          <w:rFonts w:hint="eastAsia" w:ascii="宋体" w:hAnsi="宋体" w:eastAsia="宋体" w:cs="Times New Roman"/>
          <w:color w:val="000000" w:themeColor="text1"/>
          <w:kern w:val="0"/>
          <w:szCs w:val="21"/>
          <w:highlight w:val="none"/>
          <w14:textFill>
            <w14:solidFill>
              <w14:schemeClr w14:val="tx1"/>
            </w14:solidFill>
          </w14:textFill>
        </w:rPr>
        <w:t>进</w:t>
      </w:r>
      <w:bookmarkEnd w:id="388"/>
      <w:r>
        <w:rPr>
          <w:rFonts w:hint="eastAsia" w:ascii="宋体" w:hAnsi="宋体" w:eastAsia="宋体" w:cs="Times New Roman"/>
          <w:color w:val="000000" w:themeColor="text1"/>
          <w:kern w:val="0"/>
          <w:szCs w:val="21"/>
          <w:highlight w:val="none"/>
          <w14:textFill>
            <w14:solidFill>
              <w14:schemeClr w14:val="tx1"/>
            </w14:solidFill>
          </w14:textFill>
        </w:rPr>
        <w:t>行项目投标，联合体名称需与共同投标协议书签署方一致。对于需交投标保证金的，以牵头方名义缴纳。</w:t>
      </w:r>
    </w:p>
    <w:p w14:paraId="7284978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40.4 联合体成员存在不良信用记录的，视同联合体存在不良信用记录。</w:t>
      </w:r>
    </w:p>
    <w:p w14:paraId="63B7208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bookmarkStart w:id="389" w:name="OLE_LINK507"/>
      <w:r>
        <w:rPr>
          <w:rFonts w:hint="eastAsia" w:ascii="宋体" w:hAnsi="宋体" w:eastAsia="宋体" w:cs="Times New Roman"/>
          <w:color w:val="000000" w:themeColor="text1"/>
          <w:kern w:val="0"/>
          <w:szCs w:val="21"/>
          <w:highlight w:val="none"/>
          <w14:textFill>
            <w14:solidFill>
              <w14:schemeClr w14:val="tx1"/>
            </w14:solidFill>
          </w14:textFill>
        </w:rPr>
        <w:t>40.5 联合体各方均应</w:t>
      </w:r>
      <w:bookmarkStart w:id="390" w:name="OLE_LINK504"/>
      <w:r>
        <w:rPr>
          <w:rFonts w:hint="eastAsia" w:ascii="宋体" w:hAnsi="宋体" w:eastAsia="宋体" w:cs="Times New Roman"/>
          <w:color w:val="000000" w:themeColor="text1"/>
          <w:kern w:val="0"/>
          <w:szCs w:val="21"/>
          <w:highlight w:val="none"/>
          <w14:textFill>
            <w14:solidFill>
              <w14:schemeClr w14:val="tx1"/>
            </w14:solidFill>
          </w14:textFill>
        </w:rPr>
        <w:t>满足</w:t>
      </w:r>
      <w:bookmarkEnd w:id="390"/>
      <w:r>
        <w:rPr>
          <w:rFonts w:hint="eastAsia" w:ascii="宋体" w:hAnsi="宋体" w:eastAsia="宋体" w:cs="Times New Roman"/>
          <w:color w:val="000000" w:themeColor="text1"/>
          <w:kern w:val="0"/>
          <w:szCs w:val="21"/>
          <w:highlight w:val="none"/>
          <w14:textFill>
            <w14:solidFill>
              <w14:schemeClr w14:val="tx1"/>
            </w14:solidFill>
          </w14:textFill>
        </w:rPr>
        <w:t>第2条“合格的投标人”规定的条件。联合体中有同类资质的供应商按照联合体分工承担相同工作的，应当按照资质等级较低的供应商确定资质等级。</w:t>
      </w:r>
    </w:p>
    <w:p w14:paraId="0368350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40.6 联合体各方应当共同与招标人签订采购合同，就合同约定的事项对招标人承担连带责任。</w:t>
      </w:r>
    </w:p>
    <w:bookmarkEnd w:id="385"/>
    <w:bookmarkEnd w:id="389"/>
    <w:p w14:paraId="4FC676A0">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0BC1BD5B">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391" w:name="_Toc27425"/>
      <w:bookmarkStart w:id="392" w:name="OLE_LINK508"/>
      <w:r>
        <w:rPr>
          <w:rFonts w:hint="eastAsia" w:ascii="宋体" w:hAnsi="宋体" w:eastAsia="宋体" w:cs="宋体"/>
          <w:b/>
          <w:color w:val="000000" w:themeColor="text1"/>
          <w:szCs w:val="21"/>
          <w:highlight w:val="none"/>
          <w14:textFill>
            <w14:solidFill>
              <w14:schemeClr w14:val="tx1"/>
            </w14:solidFill>
          </w14:textFill>
        </w:rPr>
        <w:t>41 以联合体形式投标的企业说明</w:t>
      </w:r>
      <w:bookmarkEnd w:id="391"/>
    </w:p>
    <w:p w14:paraId="228A0EB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41.1 除联合体外，投标人负责人为同一人或者存在控股、管理关系的不同投标人，不得参加同一项目投标。</w:t>
      </w:r>
      <w:bookmarkStart w:id="393" w:name="OLE_LINK509"/>
      <w:r>
        <w:rPr>
          <w:rFonts w:hint="eastAsia" w:ascii="宋体" w:hAnsi="宋体" w:eastAsia="宋体" w:cs="Times New Roman"/>
          <w:color w:val="000000" w:themeColor="text1"/>
          <w:kern w:val="0"/>
          <w:szCs w:val="21"/>
          <w:highlight w:val="none"/>
          <w14:textFill>
            <w14:solidFill>
              <w14:schemeClr w14:val="tx1"/>
            </w14:solidFill>
          </w14:textFill>
        </w:rPr>
        <w:t>上述情况一经发现，相关投标均无效</w:t>
      </w:r>
      <w:bookmarkEnd w:id="393"/>
      <w:r>
        <w:rPr>
          <w:rFonts w:hint="eastAsia" w:ascii="宋体" w:hAnsi="宋体" w:eastAsia="宋体" w:cs="Times New Roman"/>
          <w:color w:val="000000" w:themeColor="text1"/>
          <w:kern w:val="0"/>
          <w:szCs w:val="21"/>
          <w:highlight w:val="none"/>
          <w14:textFill>
            <w14:solidFill>
              <w14:schemeClr w14:val="tx1"/>
            </w14:solidFill>
          </w14:textFill>
        </w:rPr>
        <w:t>。</w:t>
      </w:r>
    </w:p>
    <w:bookmarkEnd w:id="392"/>
    <w:p w14:paraId="25648231">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1BE34C3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394" w:name="_Toc10908"/>
      <w:bookmarkStart w:id="395" w:name="_Toc26725"/>
      <w:bookmarkStart w:id="396" w:name="_Toc142508357"/>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2 本次招标活动的最终解释权归招标代理机构及招标人所有。</w:t>
      </w:r>
      <w:bookmarkEnd w:id="377"/>
      <w:bookmarkEnd w:id="378"/>
      <w:bookmarkEnd w:id="394"/>
      <w:bookmarkEnd w:id="395"/>
      <w:bookmarkEnd w:id="396"/>
    </w:p>
    <w:p w14:paraId="79F0DA6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397" w:name="_Toc486167706"/>
      <w:bookmarkStart w:id="398" w:name="_Toc142508358"/>
      <w:bookmarkStart w:id="399" w:name="_Toc28218"/>
      <w:bookmarkStart w:id="400" w:name="_Toc450662891"/>
      <w:bookmarkStart w:id="401" w:name="_Toc19867"/>
      <w:bookmarkStart w:id="402" w:name="_Toc27939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397"/>
      <w:bookmarkEnd w:id="398"/>
      <w:bookmarkEnd w:id="399"/>
      <w:bookmarkEnd w:id="400"/>
      <w:bookmarkEnd w:id="401"/>
      <w:bookmarkEnd w:id="402"/>
    </w:p>
    <w:p w14:paraId="27F8D474">
      <w:pPr>
        <w:numPr>
          <w:ilvl w:val="0"/>
          <w:numId w:val="2"/>
        </w:numPr>
        <w:spacing w:line="360" w:lineRule="auto"/>
        <w:rPr>
          <w:rFonts w:ascii="宋体" w:hAnsi="宋体" w:eastAsia="宋体" w:cs="宋体"/>
          <w:b/>
          <w:bCs/>
          <w:color w:val="000000" w:themeColor="text1"/>
          <w:szCs w:val="21"/>
          <w:highlight w:val="none"/>
          <w14:textFill>
            <w14:solidFill>
              <w14:schemeClr w14:val="tx1"/>
            </w14:solidFill>
          </w14:textFill>
        </w:rPr>
      </w:pPr>
      <w:bookmarkStart w:id="403" w:name="OLE_LINK319"/>
      <w:r>
        <w:rPr>
          <w:rFonts w:hint="eastAsia" w:ascii="宋体" w:hAnsi="宋体" w:eastAsia="宋体" w:cs="宋体"/>
          <w:b/>
          <w:bCs/>
          <w:color w:val="000000" w:themeColor="text1"/>
          <w:szCs w:val="21"/>
          <w:highlight w:val="none"/>
          <w14:textFill>
            <w14:solidFill>
              <w14:schemeClr w14:val="tx1"/>
            </w14:solidFill>
          </w14:textFill>
        </w:rPr>
        <w:t>项目概况</w:t>
      </w:r>
    </w:p>
    <w:bookmarkEnd w:id="403"/>
    <w:p w14:paraId="0FFB30F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1、项目地址：</w:t>
      </w:r>
      <w:bookmarkStart w:id="404" w:name="OLE_LINK413"/>
      <w:r>
        <w:rPr>
          <w:rFonts w:hint="eastAsia" w:ascii="宋体" w:hAnsi="宋体" w:eastAsia="宋体" w:cs="宋体"/>
          <w:color w:val="000000" w:themeColor="text1"/>
          <w:szCs w:val="21"/>
          <w:highlight w:val="none"/>
          <w14:textFill>
            <w14:solidFill>
              <w14:schemeClr w14:val="tx1"/>
            </w14:solidFill>
          </w14:textFill>
        </w:rPr>
        <w:t>第四水厂和第六水厂</w:t>
      </w:r>
      <w:bookmarkEnd w:id="404"/>
      <w:r>
        <w:rPr>
          <w:rFonts w:hint="eastAsia" w:ascii="宋体" w:hAnsi="宋体" w:eastAsia="宋体" w:cs="宋体"/>
          <w:color w:val="000000" w:themeColor="text1"/>
          <w:szCs w:val="21"/>
          <w:highlight w:val="none"/>
          <w14:textFill>
            <w14:solidFill>
              <w14:schemeClr w14:val="tx1"/>
            </w14:solidFill>
          </w14:textFill>
        </w:rPr>
        <w:t>综合楼、宿舍等屋顶。第四水厂地址：东莞市高埗镇高埗沿江南路150号；第六水厂地址：东莞市东城街道莞龙路东城段21号；屋顶总面积：</w:t>
      </w:r>
      <w:r>
        <w:rPr>
          <w:rFonts w:hint="eastAsia" w:ascii="宋体" w:hAnsi="宋体" w:eastAsia="宋体" w:cs="宋体"/>
          <w:color w:val="000000" w:themeColor="text1"/>
          <w:kern w:val="0"/>
          <w:szCs w:val="21"/>
          <w:highlight w:val="none"/>
          <w:lang w:bidi="ar"/>
          <w14:textFill>
            <w14:solidFill>
              <w14:schemeClr w14:val="tx1"/>
            </w14:solidFill>
          </w14:textFill>
        </w:rPr>
        <w:t xml:space="preserve">23576.89 </w:t>
      </w:r>
      <w:r>
        <w:rPr>
          <w:rFonts w:hint="eastAsia" w:ascii="宋体" w:hAnsi="宋体" w:eastAsia="宋体" w:cs="宋体"/>
          <w:color w:val="000000" w:themeColor="text1"/>
          <w:szCs w:val="21"/>
          <w:highlight w:val="none"/>
          <w14:textFill>
            <w14:solidFill>
              <w14:schemeClr w14:val="tx1"/>
            </w14:solidFill>
          </w14:textFill>
        </w:rPr>
        <w:t>㎡。</w:t>
      </w:r>
    </w:p>
    <w:p w14:paraId="32936BB9">
      <w:pPr>
        <w:pStyle w:val="36"/>
        <w:spacing w:after="0" w:line="360" w:lineRule="auto"/>
        <w:ind w:left="420" w:leftChars="200" w:firstLine="0" w:firstLineChars="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2、装机容量：4.46MWp（其中第四水厂1.86MWp，第六水厂2.6MWp）。</w:t>
      </w:r>
    </w:p>
    <w:p w14:paraId="5C985DD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3、安装方式：阳光棚（包含垃圾清理、防水、配电房改造）、自发自用，余电上网。</w:t>
      </w:r>
    </w:p>
    <w:p w14:paraId="5C53EAF3">
      <w:pPr>
        <w:widowControl/>
        <w:numPr>
          <w:ilvl w:val="255"/>
          <w:numId w:val="0"/>
        </w:numPr>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4、变压器容量：第四水厂：共10台变压器（5台主用5台备用），变压器容量共4760</w:t>
      </w:r>
      <w:bookmarkStart w:id="405" w:name="OLE_LINK145"/>
      <w:r>
        <w:rPr>
          <w:rFonts w:hint="eastAsia" w:ascii="宋体" w:hAnsi="宋体" w:eastAsia="宋体" w:cs="宋体"/>
          <w:color w:val="000000" w:themeColor="text1"/>
          <w:szCs w:val="21"/>
          <w:highlight w:val="none"/>
          <w14:textFill>
            <w14:solidFill>
              <w14:schemeClr w14:val="tx1"/>
            </w14:solidFill>
          </w14:textFill>
        </w:rPr>
        <w:t>KV</w:t>
      </w:r>
      <w:bookmarkEnd w:id="405"/>
      <w:r>
        <w:rPr>
          <w:rFonts w:hint="eastAsia" w:ascii="宋体" w:hAnsi="宋体" w:eastAsia="宋体" w:cs="宋体"/>
          <w:color w:val="000000" w:themeColor="text1"/>
          <w:szCs w:val="21"/>
          <w:highlight w:val="none"/>
          <w14:textFill>
            <w14:solidFill>
              <w14:schemeClr w14:val="tx1"/>
            </w14:solidFill>
          </w14:textFill>
        </w:rPr>
        <w:t>A；第六水厂：共10台变压器（5台主用5台备用），变压器容量共10600</w:t>
      </w:r>
      <w:bookmarkStart w:id="406" w:name="OLE_LINK18"/>
      <w:r>
        <w:rPr>
          <w:rFonts w:hint="eastAsia" w:ascii="宋体" w:hAnsi="宋体" w:eastAsia="宋体" w:cs="宋体"/>
          <w:color w:val="000000" w:themeColor="text1"/>
          <w:szCs w:val="21"/>
          <w:highlight w:val="none"/>
          <w14:textFill>
            <w14:solidFill>
              <w14:schemeClr w14:val="tx1"/>
            </w14:solidFill>
          </w14:textFill>
        </w:rPr>
        <w:t>KVA</w:t>
      </w:r>
      <w:bookmarkEnd w:id="406"/>
      <w:r>
        <w:rPr>
          <w:rFonts w:hint="eastAsia" w:ascii="宋体" w:hAnsi="宋体" w:eastAsia="宋体" w:cs="宋体"/>
          <w:color w:val="000000" w:themeColor="text1"/>
          <w:szCs w:val="21"/>
          <w:highlight w:val="none"/>
          <w14:textFill>
            <w14:solidFill>
              <w14:schemeClr w14:val="tx1"/>
            </w14:solidFill>
          </w14:textFill>
        </w:rPr>
        <w:t>。</w:t>
      </w:r>
    </w:p>
    <w:p w14:paraId="1A6945D2">
      <w:pPr>
        <w:numPr>
          <w:ilvl w:val="0"/>
          <w:numId w:val="2"/>
        </w:numPr>
        <w:spacing w:line="360" w:lineRule="auto"/>
        <w:rPr>
          <w:rFonts w:ascii="宋体" w:hAnsi="宋体" w:eastAsia="宋体" w:cs="宋体"/>
          <w:b/>
          <w:bCs/>
          <w:color w:val="000000" w:themeColor="text1"/>
          <w:szCs w:val="21"/>
          <w:highlight w:val="none"/>
          <w14:textFill>
            <w14:solidFill>
              <w14:schemeClr w14:val="tx1"/>
            </w14:solidFill>
          </w14:textFill>
        </w:rPr>
      </w:pPr>
      <w:bookmarkStart w:id="407" w:name="OLE_LINK320"/>
      <w:r>
        <w:rPr>
          <w:rFonts w:hint="eastAsia" w:ascii="宋体" w:hAnsi="宋体" w:eastAsia="宋体" w:cs="宋体"/>
          <w:b/>
          <w:bCs/>
          <w:color w:val="000000" w:themeColor="text1"/>
          <w:szCs w:val="21"/>
          <w:highlight w:val="none"/>
          <w14:textFill>
            <w14:solidFill>
              <w14:schemeClr w14:val="tx1"/>
            </w14:solidFill>
          </w14:textFill>
        </w:rPr>
        <w:t>采购范围</w:t>
      </w:r>
    </w:p>
    <w:bookmarkEnd w:id="407"/>
    <w:p w14:paraId="53A83F16">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bookmarkStart w:id="408" w:name="OLE_LINK17"/>
      <w:bookmarkStart w:id="409" w:name="OLE_LINK21"/>
      <w:r>
        <w:rPr>
          <w:rFonts w:hint="eastAsia" w:ascii="宋体" w:hAnsi="宋体" w:eastAsia="宋体" w:cs="宋体"/>
          <w:color w:val="000000" w:themeColor="text1"/>
          <w:szCs w:val="21"/>
          <w:highlight w:val="none"/>
          <w14:textFill>
            <w14:solidFill>
              <w14:schemeClr w14:val="tx1"/>
            </w14:solidFill>
          </w14:textFill>
        </w:rPr>
        <w:t>分布式光伏</w:t>
      </w:r>
      <w:bookmarkEnd w:id="408"/>
      <w:r>
        <w:rPr>
          <w:rFonts w:hint="eastAsia" w:ascii="宋体" w:hAnsi="宋体" w:eastAsia="宋体" w:cs="宋体"/>
          <w:color w:val="000000" w:themeColor="text1"/>
          <w:szCs w:val="21"/>
          <w:highlight w:val="none"/>
          <w14:textFill>
            <w14:solidFill>
              <w14:schemeClr w14:val="tx1"/>
            </w14:solidFill>
          </w14:textFill>
        </w:rPr>
        <w:t>产品采购和配套的设计、接入并网点相应改造（含二期变压器增容），并网、验收手续的办理和1年运维</w:t>
      </w:r>
      <w:bookmarkEnd w:id="409"/>
      <w:r>
        <w:rPr>
          <w:rFonts w:hint="eastAsia" w:ascii="宋体" w:hAnsi="宋体" w:eastAsia="宋体" w:cs="宋体"/>
          <w:color w:val="000000" w:themeColor="text1"/>
          <w:szCs w:val="21"/>
          <w:highlight w:val="none"/>
          <w14:textFill>
            <w14:solidFill>
              <w14:schemeClr w14:val="tx1"/>
            </w14:solidFill>
          </w14:textFill>
        </w:rPr>
        <w:t xml:space="preserve">； </w:t>
      </w:r>
    </w:p>
    <w:p w14:paraId="788918DD">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2、项目设备制造、设备及材料采购、设备监造、设备验收、运输及储存、建设、安装、培训、试验和管理；</w:t>
      </w:r>
    </w:p>
    <w:p w14:paraId="3E8BC960">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3、项目各</w:t>
      </w:r>
      <w:bookmarkStart w:id="410" w:name="OLE_LINK19"/>
      <w:r>
        <w:rPr>
          <w:rFonts w:hint="eastAsia" w:ascii="宋体" w:hAnsi="宋体" w:eastAsia="宋体" w:cs="宋体"/>
          <w:color w:val="000000" w:themeColor="text1"/>
          <w:szCs w:val="21"/>
          <w:highlight w:val="none"/>
          <w14:textFill>
            <w14:solidFill>
              <w14:schemeClr w14:val="tx1"/>
            </w14:solidFill>
          </w14:textFill>
        </w:rPr>
        <w:t>系统供货安装和其他配套的设计、供货、安装、调试、试运行、质量监督、项目验收（含</w:t>
      </w:r>
      <w:bookmarkStart w:id="411" w:name="OLE_LINK357"/>
      <w:r>
        <w:rPr>
          <w:rFonts w:hint="eastAsia" w:ascii="宋体" w:hAnsi="宋体" w:eastAsia="宋体" w:cs="宋体"/>
          <w:color w:val="000000" w:themeColor="text1"/>
          <w:szCs w:val="21"/>
          <w:highlight w:val="none"/>
          <w14:textFill>
            <w14:solidFill>
              <w14:schemeClr w14:val="tx1"/>
            </w14:solidFill>
          </w14:textFill>
        </w:rPr>
        <w:t>交接验收、初步验收、并网验收和最终验收</w:t>
      </w:r>
      <w:bookmarkEnd w:id="411"/>
      <w:r>
        <w:rPr>
          <w:rFonts w:hint="eastAsia" w:ascii="宋体" w:hAnsi="宋体" w:eastAsia="宋体" w:cs="宋体"/>
          <w:color w:val="000000" w:themeColor="text1"/>
          <w:szCs w:val="21"/>
          <w:highlight w:val="none"/>
          <w14:textFill>
            <w14:solidFill>
              <w14:schemeClr w14:val="tx1"/>
            </w14:solidFill>
          </w14:textFill>
        </w:rPr>
        <w:t>）</w:t>
      </w:r>
      <w:bookmarkEnd w:id="410"/>
      <w:r>
        <w:rPr>
          <w:rFonts w:hint="eastAsia" w:ascii="宋体" w:hAnsi="宋体" w:eastAsia="宋体" w:cs="宋体"/>
          <w:color w:val="000000" w:themeColor="text1"/>
          <w:szCs w:val="21"/>
          <w:highlight w:val="none"/>
          <w14:textFill>
            <w14:solidFill>
              <w14:schemeClr w14:val="tx1"/>
            </w14:solidFill>
          </w14:textFill>
        </w:rPr>
        <w:t xml:space="preserve">一体化总承包； </w:t>
      </w:r>
    </w:p>
    <w:p w14:paraId="13B941B8">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4、项目最终验收移交后质保期服务，实现消防、安全设施、劳动安全卫生、环境保护“三同时”等； </w:t>
      </w:r>
    </w:p>
    <w:p w14:paraId="451ADB27">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5、安装协调、安装产生的政策处理及临时用地、技术培训以及其他服务等均包含在本项目范围内； </w:t>
      </w:r>
    </w:p>
    <w:p w14:paraId="3256408F">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6、本项目作为分布式光伏发电产品及设计服务采购，不论本技术文件是否提及，凡涉及本项目设计、供货、安装、采购、</w:t>
      </w:r>
      <w:bookmarkStart w:id="412" w:name="OLE_LINK20"/>
      <w:r>
        <w:rPr>
          <w:rFonts w:hint="eastAsia" w:ascii="宋体" w:hAnsi="宋体" w:eastAsia="宋体" w:cs="宋体"/>
          <w:color w:val="000000" w:themeColor="text1"/>
          <w:szCs w:val="21"/>
          <w:highlight w:val="none"/>
          <w14:textFill>
            <w14:solidFill>
              <w14:schemeClr w14:val="tx1"/>
            </w14:solidFill>
          </w14:textFill>
        </w:rPr>
        <w:t>项目</w:t>
      </w:r>
      <w:bookmarkEnd w:id="412"/>
      <w:r>
        <w:rPr>
          <w:rFonts w:hint="eastAsia" w:ascii="宋体" w:hAnsi="宋体" w:eastAsia="宋体" w:cs="宋体"/>
          <w:color w:val="000000" w:themeColor="text1"/>
          <w:szCs w:val="21"/>
          <w:highlight w:val="none"/>
          <w14:textFill>
            <w14:solidFill>
              <w14:schemeClr w14:val="tx1"/>
            </w14:solidFill>
          </w14:textFill>
        </w:rPr>
        <w:t xml:space="preserve">投产、检查、档案验收、项目结算、交接验收、初步验收、并网验收和整体项目最终验收等各种验收的工作内容及相关费用均属于投标人的工作范围； </w:t>
      </w:r>
    </w:p>
    <w:p w14:paraId="31F77C2D">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7、投标人负责光伏发电系统安装调试、</w:t>
      </w:r>
      <w:bookmarkStart w:id="413" w:name="OLE_LINK449"/>
      <w:bookmarkStart w:id="414" w:name="OLE_LINK447"/>
      <w:bookmarkStart w:id="415" w:name="OLE_LINK448"/>
      <w:r>
        <w:rPr>
          <w:rFonts w:hint="eastAsia" w:ascii="宋体" w:hAnsi="宋体" w:eastAsia="宋体" w:cs="宋体"/>
          <w:color w:val="000000" w:themeColor="text1"/>
          <w:szCs w:val="21"/>
          <w:highlight w:val="none"/>
          <w14:textFill>
            <w14:solidFill>
              <w14:schemeClr w14:val="tx1"/>
            </w14:solidFill>
          </w14:textFill>
        </w:rPr>
        <w:t>质保期内的维修保养服务</w:t>
      </w:r>
      <w:bookmarkEnd w:id="413"/>
      <w:bookmarkEnd w:id="414"/>
      <w:bookmarkEnd w:id="415"/>
      <w:r>
        <w:rPr>
          <w:rFonts w:hint="eastAsia" w:ascii="宋体" w:hAnsi="宋体" w:eastAsia="宋体" w:cs="宋体"/>
          <w:color w:val="000000" w:themeColor="text1"/>
          <w:szCs w:val="21"/>
          <w:highlight w:val="none"/>
          <w14:textFill>
            <w14:solidFill>
              <w14:schemeClr w14:val="tx1"/>
            </w14:solidFill>
          </w14:textFill>
        </w:rPr>
        <w:t>，各投标方需根据</w:t>
      </w:r>
      <w:bookmarkStart w:id="416" w:name="OLE_LINK22"/>
      <w:r>
        <w:rPr>
          <w:rFonts w:hint="eastAsia" w:ascii="宋体" w:hAnsi="宋体" w:eastAsia="宋体" w:cs="宋体"/>
          <w:color w:val="000000" w:themeColor="text1"/>
          <w:szCs w:val="21"/>
          <w:highlight w:val="none"/>
          <w14:textFill>
            <w14:solidFill>
              <w14:schemeClr w14:val="tx1"/>
            </w14:solidFill>
          </w14:textFill>
        </w:rPr>
        <w:t>实际情况</w:t>
      </w:r>
      <w:bookmarkEnd w:id="416"/>
      <w:r>
        <w:rPr>
          <w:rFonts w:hint="eastAsia" w:ascii="宋体" w:hAnsi="宋体" w:eastAsia="宋体" w:cs="宋体"/>
          <w:color w:val="000000" w:themeColor="text1"/>
          <w:szCs w:val="21"/>
          <w:highlight w:val="none"/>
          <w14:textFill>
            <w14:solidFill>
              <w14:schemeClr w14:val="tx1"/>
            </w14:solidFill>
          </w14:textFill>
        </w:rPr>
        <w:t>，合理布局，提高屋顶利用率并给出合理的</w:t>
      </w:r>
      <w:bookmarkStart w:id="417" w:name="OLE_LINK24"/>
      <w:r>
        <w:rPr>
          <w:rFonts w:hint="eastAsia" w:ascii="宋体" w:hAnsi="宋体" w:eastAsia="宋体" w:cs="宋体"/>
          <w:color w:val="000000" w:themeColor="text1"/>
          <w:szCs w:val="21"/>
          <w:highlight w:val="none"/>
          <w14:textFill>
            <w14:solidFill>
              <w14:schemeClr w14:val="tx1"/>
            </w14:solidFill>
          </w14:textFill>
        </w:rPr>
        <w:t>设计容量</w:t>
      </w:r>
      <w:bookmarkEnd w:id="417"/>
      <w:r>
        <w:rPr>
          <w:rFonts w:hint="eastAsia" w:ascii="宋体" w:hAnsi="宋体" w:eastAsia="宋体" w:cs="宋体"/>
          <w:color w:val="000000" w:themeColor="text1"/>
          <w:szCs w:val="21"/>
          <w:highlight w:val="none"/>
          <w14:textFill>
            <w14:solidFill>
              <w14:schemeClr w14:val="tx1"/>
            </w14:solidFill>
          </w14:textFill>
        </w:rPr>
        <w:t>；</w:t>
      </w:r>
    </w:p>
    <w:p w14:paraId="7E639619">
      <w:pPr>
        <w:widowControl/>
        <w:tabs>
          <w:tab w:val="center" w:pos="3125"/>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8、报价包含项目</w:t>
      </w:r>
      <w:bookmarkStart w:id="418" w:name="OLE_LINK358"/>
      <w:r>
        <w:rPr>
          <w:rFonts w:hint="eastAsia" w:ascii="宋体" w:hAnsi="宋体" w:eastAsia="宋体" w:cs="宋体"/>
          <w:color w:val="000000" w:themeColor="text1"/>
          <w:szCs w:val="21"/>
          <w:highlight w:val="none"/>
          <w14:textFill>
            <w14:solidFill>
              <w14:schemeClr w14:val="tx1"/>
            </w14:solidFill>
          </w14:textFill>
        </w:rPr>
        <w:t>最终</w:t>
      </w:r>
      <w:bookmarkEnd w:id="418"/>
      <w:r>
        <w:rPr>
          <w:rFonts w:hint="eastAsia" w:ascii="宋体" w:hAnsi="宋体" w:eastAsia="宋体" w:cs="宋体"/>
          <w:color w:val="000000" w:themeColor="text1"/>
          <w:szCs w:val="21"/>
          <w:highlight w:val="none"/>
          <w14:textFill>
            <w14:solidFill>
              <w14:schemeClr w14:val="tx1"/>
            </w14:solidFill>
          </w14:textFill>
        </w:rPr>
        <w:t>验收合格，并网送电后，1年的运维费，包括但不限于运维的人工、材料、成本、利润、机械设备使用费、措施费、税费、日常办公费用、巡检费、设备设施维修养护/清洗费、设备运营所需的维修及耗材费用、员工保险等一切费用等；</w:t>
      </w:r>
    </w:p>
    <w:p w14:paraId="4D822F6C">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9、投标人实施光伏项目时，以不影响项目现场正常生产运营为前提；</w:t>
      </w:r>
    </w:p>
    <w:p w14:paraId="16622345">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10、在安装阶段，投标人应根据项目现场提前做好组件清洗上水管道的预留、屋顶电站检修通道及楼梯等设施。</w:t>
      </w:r>
    </w:p>
    <w:p w14:paraId="4DEFCA2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11、现场图片</w:t>
      </w:r>
    </w:p>
    <w:p w14:paraId="032B544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图 1-1 现场航拍图</w:t>
      </w:r>
    </w:p>
    <w:p w14:paraId="304DB370">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drawing>
          <wp:inline distT="0" distB="0" distL="114300" distR="114300">
            <wp:extent cx="5010150" cy="2966720"/>
            <wp:effectExtent l="0" t="0" r="0" b="5080"/>
            <wp:docPr id="8" name="图片 8" descr="DJI_20240812101741_0041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JI_20240812101741_0041_D"/>
                    <pic:cNvPicPr>
                      <a:picLocks noChangeAspect="1"/>
                    </pic:cNvPicPr>
                  </pic:nvPicPr>
                  <pic:blipFill>
                    <a:blip r:embed="rId9"/>
                    <a:srcRect r="5008"/>
                    <a:stretch>
                      <a:fillRect/>
                    </a:stretch>
                  </pic:blipFill>
                  <pic:spPr>
                    <a:xfrm>
                      <a:off x="0" y="0"/>
                      <a:ext cx="5010150" cy="2966720"/>
                    </a:xfrm>
                    <a:prstGeom prst="rect">
                      <a:avLst/>
                    </a:prstGeom>
                  </pic:spPr>
                </pic:pic>
              </a:graphicData>
            </a:graphic>
          </wp:inline>
        </w:drawing>
      </w:r>
    </w:p>
    <w:p w14:paraId="2FE9A2A3">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第四水厂现场航拍图</w:t>
      </w:r>
    </w:p>
    <w:p w14:paraId="3111149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drawing>
          <wp:inline distT="0" distB="0" distL="114300" distR="114300">
            <wp:extent cx="5036185" cy="2966720"/>
            <wp:effectExtent l="0" t="0" r="12065" b="5080"/>
            <wp:docPr id="9" name="图片 9" descr="DJI_20240812160207_0026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JI_20240812160207_0026_D"/>
                    <pic:cNvPicPr>
                      <a:picLocks noChangeAspect="1"/>
                    </pic:cNvPicPr>
                  </pic:nvPicPr>
                  <pic:blipFill>
                    <a:blip r:embed="rId10"/>
                    <a:srcRect l="4515"/>
                    <a:stretch>
                      <a:fillRect/>
                    </a:stretch>
                  </pic:blipFill>
                  <pic:spPr>
                    <a:xfrm>
                      <a:off x="0" y="0"/>
                      <a:ext cx="5036185" cy="2966720"/>
                    </a:xfrm>
                    <a:prstGeom prst="rect">
                      <a:avLst/>
                    </a:prstGeom>
                  </pic:spPr>
                </pic:pic>
              </a:graphicData>
            </a:graphic>
          </wp:inline>
        </w:drawing>
      </w:r>
    </w:p>
    <w:p w14:paraId="7750BD39">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第六水厂现场航拍图</w:t>
      </w:r>
    </w:p>
    <w:p w14:paraId="6F782D03">
      <w:pPr>
        <w:spacing w:line="360" w:lineRule="auto"/>
        <w:jc w:val="center"/>
        <w:rPr>
          <w:rFonts w:ascii="宋体" w:hAnsi="宋体" w:eastAsia="宋体" w:cs="宋体"/>
          <w:color w:val="000000" w:themeColor="text1"/>
          <w:szCs w:val="21"/>
          <w:highlight w:val="none"/>
          <w14:textFill>
            <w14:solidFill>
              <w14:schemeClr w14:val="tx1"/>
            </w14:solidFill>
          </w14:textFill>
        </w:rPr>
      </w:pPr>
    </w:p>
    <w:p w14:paraId="7063CF49">
      <w:pPr>
        <w:spacing w:line="360" w:lineRule="auto"/>
        <w:rPr>
          <w:rFonts w:ascii="宋体" w:hAnsi="宋体" w:eastAsia="宋体" w:cs="宋体"/>
          <w:color w:val="000000" w:themeColor="text1"/>
          <w:szCs w:val="21"/>
          <w:highlight w:val="none"/>
          <w14:textFill>
            <w14:solidFill>
              <w14:schemeClr w14:val="tx1"/>
            </w14:solidFill>
          </w14:textFill>
        </w:rPr>
      </w:pPr>
    </w:p>
    <w:p w14:paraId="401425D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图 1-2 光伏板布置图</w:t>
      </w:r>
    </w:p>
    <w:p w14:paraId="5FFBBE55">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drawing>
          <wp:inline distT="0" distB="0" distL="114300" distR="114300">
            <wp:extent cx="5273675" cy="4032250"/>
            <wp:effectExtent l="0" t="0" r="3175" b="6350"/>
            <wp:docPr id="10" name="图片 10" descr="1726112540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26112540975"/>
                    <pic:cNvPicPr>
                      <a:picLocks noChangeAspect="1"/>
                    </pic:cNvPicPr>
                  </pic:nvPicPr>
                  <pic:blipFill>
                    <a:blip r:embed="rId11"/>
                    <a:stretch>
                      <a:fillRect/>
                    </a:stretch>
                  </pic:blipFill>
                  <pic:spPr>
                    <a:xfrm>
                      <a:off x="0" y="0"/>
                      <a:ext cx="5273675" cy="4032250"/>
                    </a:xfrm>
                    <a:prstGeom prst="rect">
                      <a:avLst/>
                    </a:prstGeom>
                  </pic:spPr>
                </pic:pic>
              </a:graphicData>
            </a:graphic>
          </wp:inline>
        </w:drawing>
      </w:r>
      <w:r>
        <w:rPr>
          <w:rFonts w:hint="eastAsia" w:ascii="宋体" w:hAnsi="宋体" w:eastAsia="宋体" w:cs="宋体"/>
          <w:color w:val="000000" w:themeColor="text1"/>
          <w:szCs w:val="21"/>
          <w:highlight w:val="none"/>
          <w14:textFill>
            <w14:solidFill>
              <w14:schemeClr w14:val="tx1"/>
            </w14:solidFill>
          </w14:textFill>
        </w:rPr>
        <w:drawing>
          <wp:inline distT="0" distB="0" distL="114300" distR="114300">
            <wp:extent cx="5271770" cy="3721100"/>
            <wp:effectExtent l="0" t="0" r="5080" b="12700"/>
            <wp:docPr id="11" name="图片 11" descr="172611258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26112582693"/>
                    <pic:cNvPicPr>
                      <a:picLocks noChangeAspect="1"/>
                    </pic:cNvPicPr>
                  </pic:nvPicPr>
                  <pic:blipFill>
                    <a:blip r:embed="rId12"/>
                    <a:stretch>
                      <a:fillRect/>
                    </a:stretch>
                  </pic:blipFill>
                  <pic:spPr>
                    <a:xfrm>
                      <a:off x="0" y="0"/>
                      <a:ext cx="5271770" cy="3721100"/>
                    </a:xfrm>
                    <a:prstGeom prst="rect">
                      <a:avLst/>
                    </a:prstGeom>
                  </pic:spPr>
                </pic:pic>
              </a:graphicData>
            </a:graphic>
          </wp:inline>
        </w:drawing>
      </w:r>
    </w:p>
    <w:p w14:paraId="57C1A2F0">
      <w:pPr>
        <w:keepNext/>
        <w:keepLines/>
        <w:spacing w:line="360" w:lineRule="auto"/>
        <w:outlineLvl w:val="3"/>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w:t>
      </w:r>
      <w:bookmarkStart w:id="419" w:name="OLE_LINK322"/>
      <w:r>
        <w:rPr>
          <w:rFonts w:hint="eastAsia" w:ascii="宋体" w:hAnsi="宋体" w:eastAsia="宋体" w:cs="宋体"/>
          <w:b/>
          <w:bCs/>
          <w:color w:val="000000" w:themeColor="text1"/>
          <w:szCs w:val="21"/>
          <w:highlight w:val="none"/>
          <w14:textFill>
            <w14:solidFill>
              <w14:schemeClr w14:val="tx1"/>
            </w14:solidFill>
          </w14:textFill>
        </w:rPr>
        <w:t>光伏发电设施技术要求</w:t>
      </w:r>
      <w:bookmarkEnd w:id="419"/>
    </w:p>
    <w:p w14:paraId="3A94A5C8">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1.光伏支架、基础技术要求</w:t>
      </w:r>
    </w:p>
    <w:p w14:paraId="73A8C644">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（1）如需进行深化设计时的设计要求</w:t>
      </w:r>
    </w:p>
    <w:p w14:paraId="2CCB0C06">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①本项目光伏系统的支架应按照国家规范所规定的50年一遇风压进行支架结构及基础设计。</w:t>
      </w:r>
    </w:p>
    <w:p w14:paraId="04991C9F">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bookmarkStart w:id="420" w:name="OLE_LINK146"/>
      <w:r>
        <w:rPr>
          <w:rFonts w:hint="eastAsia" w:ascii="宋体" w:hAnsi="宋体" w:eastAsia="宋体" w:cs="宋体"/>
          <w:color w:val="000000" w:themeColor="text1"/>
          <w:szCs w:val="21"/>
          <w:highlight w:val="none"/>
          <w14:textFill>
            <w14:solidFill>
              <w14:schemeClr w14:val="tx1"/>
            </w14:solidFill>
          </w14:textFill>
        </w:rPr>
        <w:t>②原设计方案中的光伏棚敷设样式、钢结构要求、光伏组件参数、逆变器参数、电缆材质、规格等原则上不得调整，若需要调整，必须经招标人同意方可实施。</w:t>
      </w:r>
    </w:p>
    <w:bookmarkEnd w:id="420"/>
    <w:p w14:paraId="00EBBC75">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bookmarkStart w:id="421" w:name="OLE_LINK148"/>
      <w:r>
        <w:rPr>
          <w:rFonts w:hint="eastAsia" w:ascii="宋体" w:hAnsi="宋体" w:eastAsia="宋体" w:cs="宋体"/>
          <w:color w:val="000000" w:themeColor="text1"/>
          <w:szCs w:val="21"/>
          <w:highlight w:val="none"/>
          <w14:textFill>
            <w14:solidFill>
              <w14:schemeClr w14:val="tx1"/>
            </w14:solidFill>
          </w14:textFill>
        </w:rPr>
        <w:t>③混凝土屋面光伏系统安装后的总荷载原则上必须≤150kG/m</w:t>
      </w:r>
      <w:bookmarkStart w:id="422" w:name="OLE_LINK27"/>
      <w:r>
        <w:rPr>
          <w:rFonts w:hint="eastAsia" w:ascii="宋体" w:hAnsi="宋体" w:eastAsia="宋体" w:cs="宋体"/>
          <w:color w:val="000000" w:themeColor="text1"/>
          <w:szCs w:val="21"/>
          <w:highlight w:val="none"/>
          <w:vertAlign w:val="superscript"/>
          <w14:textFill>
            <w14:solidFill>
              <w14:schemeClr w14:val="tx1"/>
            </w14:solidFill>
          </w14:textFill>
        </w:rPr>
        <w:t>2</w:t>
      </w:r>
      <w:bookmarkEnd w:id="422"/>
      <w:r>
        <w:rPr>
          <w:rFonts w:hint="eastAsia" w:ascii="宋体" w:hAnsi="宋体" w:eastAsia="宋体" w:cs="宋体"/>
          <w:color w:val="000000" w:themeColor="text1"/>
          <w:szCs w:val="21"/>
          <w:highlight w:val="none"/>
          <w14:textFill>
            <w14:solidFill>
              <w14:schemeClr w14:val="tx1"/>
            </w14:solidFill>
          </w14:textFill>
        </w:rPr>
        <w:t>。</w:t>
      </w:r>
    </w:p>
    <w:bookmarkEnd w:id="421"/>
    <w:p w14:paraId="6EA98CEC">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④混凝土屋顶支架形式采用固定式钢支架，用Q235B及以上钢材，钢材防腐采用热浸锌和镀镁铝锌两种方式。若采用热浸锌防腐，锌层平均厚度不低于65um；若采用镀镁铝锌防腐，双面镀层重量不少于275g/m</w:t>
      </w:r>
      <w:bookmarkStart w:id="423" w:name="OLE_LINK28"/>
      <w:r>
        <w:rPr>
          <w:rFonts w:hint="eastAsia" w:ascii="宋体" w:hAnsi="宋体" w:eastAsia="宋体" w:cs="宋体"/>
          <w:color w:val="000000" w:themeColor="text1"/>
          <w:szCs w:val="21"/>
          <w:highlight w:val="none"/>
          <w:vertAlign w:val="superscript"/>
          <w14:textFill>
            <w14:solidFill>
              <w14:schemeClr w14:val="tx1"/>
            </w14:solidFill>
          </w14:textFill>
        </w:rPr>
        <w:t>2</w:t>
      </w:r>
      <w:bookmarkEnd w:id="423"/>
      <w:r>
        <w:rPr>
          <w:rFonts w:hint="eastAsia" w:ascii="宋体" w:hAnsi="宋体" w:eastAsia="宋体" w:cs="宋体"/>
          <w:color w:val="000000" w:themeColor="text1"/>
          <w:szCs w:val="21"/>
          <w:highlight w:val="none"/>
          <w14:textFill>
            <w14:solidFill>
              <w14:schemeClr w14:val="tx1"/>
            </w14:solidFill>
          </w14:textFill>
        </w:rPr>
        <w:t>。主梁和立柱的厚度不小于2.5mm，用于次梁的板厚不小于2.0mm，用于主次构件连接的钢板和构件厚度不得小于3mm。为防止混凝土开裂，按规范要求配置钢筋，</w:t>
      </w:r>
      <w:bookmarkStart w:id="424" w:name="OLE_LINK29"/>
      <w:r>
        <w:rPr>
          <w:rFonts w:hint="eastAsia" w:ascii="宋体" w:hAnsi="宋体" w:eastAsia="宋体" w:cs="宋体"/>
          <w:color w:val="000000" w:themeColor="text1"/>
          <w:szCs w:val="21"/>
          <w:highlight w:val="none"/>
          <w14:textFill>
            <w14:solidFill>
              <w14:schemeClr w14:val="tx1"/>
            </w14:solidFill>
          </w14:textFill>
        </w:rPr>
        <w:t>混凝土强度等级用C25</w:t>
      </w:r>
      <w:bookmarkEnd w:id="424"/>
      <w:r>
        <w:rPr>
          <w:rFonts w:hint="eastAsia" w:ascii="宋体" w:hAnsi="宋体" w:eastAsia="宋体" w:cs="宋体"/>
          <w:color w:val="000000" w:themeColor="text1"/>
          <w:szCs w:val="21"/>
          <w:highlight w:val="none"/>
          <w14:textFill>
            <w14:solidFill>
              <w14:schemeClr w14:val="tx1"/>
            </w14:solidFill>
          </w14:textFill>
        </w:rPr>
        <w:t>以上。</w:t>
      </w:r>
    </w:p>
    <w:p w14:paraId="79903151">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⑤棚架结构采用固定式钢支架，用Q235B及以上型钢(特殊要求除外)，锌层厚度不低于65um。棚架的檐口高度不得低于2.5m，最高点不得高于2.8m，安装倾角经模拟后判断后确定，整体棚架设计必须通过城管部门和供电部门验收。</w:t>
      </w:r>
    </w:p>
    <w:p w14:paraId="2BC0F846">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⑥混凝土屋面不得采用膨胀螺栓固定支架的方式，而应采用混凝土支墩基础（形状要求：圆柱形）的方案来达到抗风荷载的要求；若因光伏项目造成屋面漏水的，由投标人负责处理完好。</w:t>
      </w:r>
    </w:p>
    <w:p w14:paraId="2501550C">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⑦光伏支架设计应满足10年内可拆卸再利用和25年内安全使用的要求。</w:t>
      </w:r>
    </w:p>
    <w:p w14:paraId="3F286901">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⑧设计时，整个支架结构的强度、挠度、稳定性应符合国家结构设计相关规范的安全性要求；同时，支架结构的的节点连接也应满足国家结构设计规范的结构安全性的要求。</w:t>
      </w:r>
    </w:p>
    <w:p w14:paraId="0C511552">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（3）安装要求</w:t>
      </w:r>
    </w:p>
    <w:p w14:paraId="1DABA8FB">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①光伏组件安装时必须在天窗周边、天沟周边、</w:t>
      </w:r>
      <w:bookmarkStart w:id="425" w:name="OLE_LINK31"/>
      <w:r>
        <w:rPr>
          <w:rFonts w:hint="eastAsia" w:ascii="宋体" w:hAnsi="宋体" w:eastAsia="宋体" w:cs="宋体"/>
          <w:color w:val="000000" w:themeColor="text1"/>
          <w:szCs w:val="21"/>
          <w:highlight w:val="none"/>
          <w14:textFill>
            <w14:solidFill>
              <w14:schemeClr w14:val="tx1"/>
            </w14:solidFill>
          </w14:textFill>
        </w:rPr>
        <w:t>女儿墙边</w:t>
      </w:r>
      <w:bookmarkEnd w:id="425"/>
      <w:r>
        <w:rPr>
          <w:rFonts w:hint="eastAsia" w:ascii="宋体" w:hAnsi="宋体" w:eastAsia="宋体" w:cs="宋体"/>
          <w:color w:val="000000" w:themeColor="text1"/>
          <w:szCs w:val="21"/>
          <w:highlight w:val="none"/>
          <w14:textFill>
            <w14:solidFill>
              <w14:schemeClr w14:val="tx1"/>
            </w14:solidFill>
          </w14:textFill>
        </w:rPr>
        <w:t>、出屋面风管等设备周边、采光带周边、高低跨交界面边等位置设置检修维护通道和空间，检修通道宽度、尺寸必须满足检修人员及工具正常通行和作业，并利于紧急情况下快速撤离。</w:t>
      </w:r>
    </w:p>
    <w:p w14:paraId="5D7E75E1">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光伏组件安装时，投标人必须对招标人屋面做好相应的保护措施，避免安装过程中对招标人屋面造成损坏(尤其是屋面的防水层、油漆层)。如不慎造成损坏，投标人必须无条件维修好并承担所需全部费用。若由此造成屋面漏水的，投标人应</w:t>
      </w:r>
      <w:bookmarkStart w:id="426" w:name="OLE_LINK84"/>
      <w:r>
        <w:rPr>
          <w:rFonts w:hint="eastAsia" w:ascii="宋体" w:hAnsi="宋体" w:eastAsia="宋体" w:cs="宋体"/>
          <w:color w:val="000000" w:themeColor="text1"/>
          <w:szCs w:val="21"/>
          <w:highlight w:val="none"/>
          <w14:textFill>
            <w14:solidFill>
              <w14:schemeClr w14:val="tx1"/>
            </w14:solidFill>
          </w14:textFill>
        </w:rPr>
        <w:t>按照招标人遭受的连带损失统一进行</w:t>
      </w:r>
      <w:bookmarkStart w:id="427" w:name="OLE_LINK38"/>
      <w:r>
        <w:rPr>
          <w:rFonts w:hint="eastAsia" w:ascii="宋体" w:hAnsi="宋体" w:eastAsia="宋体" w:cs="宋体"/>
          <w:color w:val="000000" w:themeColor="text1"/>
          <w:szCs w:val="21"/>
          <w:highlight w:val="none"/>
          <w14:textFill>
            <w14:solidFill>
              <w14:schemeClr w14:val="tx1"/>
            </w14:solidFill>
          </w14:textFill>
        </w:rPr>
        <w:t>赔偿</w:t>
      </w:r>
      <w:bookmarkEnd w:id="426"/>
      <w:bookmarkEnd w:id="427"/>
      <w:r>
        <w:rPr>
          <w:rFonts w:hint="eastAsia" w:ascii="宋体" w:hAnsi="宋体" w:eastAsia="宋体" w:cs="宋体"/>
          <w:color w:val="000000" w:themeColor="text1"/>
          <w:szCs w:val="21"/>
          <w:highlight w:val="none"/>
          <w14:textFill>
            <w14:solidFill>
              <w14:schemeClr w14:val="tx1"/>
            </w14:solidFill>
          </w14:textFill>
        </w:rPr>
        <w:t>。</w:t>
      </w:r>
    </w:p>
    <w:p w14:paraId="577D2AA1">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③安装螺栓选用不锈钢304及以上材质，表面需钝化，安装前须点胶或采用防松动螺母。</w:t>
      </w:r>
    </w:p>
    <w:p w14:paraId="77D93FEC">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④本项目的部分屋面的利用率，各投标人在投标前认真查看图纸核算。</w:t>
      </w:r>
    </w:p>
    <w:p w14:paraId="64762DFA">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2.光伏系统的电气接入(并网)技术要求</w:t>
      </w:r>
    </w:p>
    <w:p w14:paraId="24CEC9BB">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（1）投标人需完成项目接入系统部分供电部门的备案、报装、相关报验流程、验收手续及装表并网手续，同时在并网后前期做好相关供售电手续交接事宜。</w:t>
      </w:r>
    </w:p>
    <w:p w14:paraId="2C1DD2B7">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分布式光伏发电系统的电气接入电压等级、接线等应满足国标及南方电网有关的技术规程规范的要求，须考虑单个并网点装机容量、接入条件、变压器容量、功率因数及负荷情况。应根据有关光伏系统接入规程规范做接入系统的技术经济研究，确定最优的、满足当地南方电网公司相关要求的电气接入系统方案，并需得到当地供电部门的批准。</w:t>
      </w:r>
    </w:p>
    <w:p w14:paraId="0F2990C6">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（3）分布式光伏发电系统接入后应不得降低招标人原有供配电系统的供电稳定性、可靠性，应把对原供配电系统的影响降低到最小限度，同时不得影响供电部门停电检修。</w:t>
      </w:r>
    </w:p>
    <w:p w14:paraId="48A3AAAF">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（4）分布式光伏发电系统必须在逆变器输出汇总点设置易于操作、可闭锁、且具有明显断开点的并网总断路器，以保证电力设备检修维护人员的人身安全。</w:t>
      </w:r>
    </w:p>
    <w:p w14:paraId="49D7E29A">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（5）分布式光伏发电系统和并网点设备的防雷和接地应符合南方电网公司规定要求，接地电阻合格，并按规定周期进行测试。</w:t>
      </w:r>
    </w:p>
    <w:p w14:paraId="7A1CFE6A">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分布式光伏发电系统或电网异常、故障时为保护设备和人身安全，应具有相应继电保护功能，保护电网和光伏设备的安全运行，确保维护人员和公众人身安全。光伏电站的保护应符合南方电网规定的可靠性、选择性、灵活性和速动性的要求。</w:t>
      </w:r>
    </w:p>
    <w:p w14:paraId="45592BDB">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（7）分布式光伏发电系统的过流与短路保护、防孤岛能力、逆变器保护、恢复并网等应满足南方电网规定的要求。</w:t>
      </w:r>
    </w:p>
    <w:p w14:paraId="08F45A70">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（8）分布式光伏发电系统的电能质量满足规程要求，电压谐波和波形畸变、电压偏差、电压波动和闪变、电压不平衡度、直流分量在南方电网规定的范围内，保证功率因素在0.98以上。</w:t>
      </w:r>
    </w:p>
    <w:p w14:paraId="213E210E">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（9）分布式光伏发电系统的安全自动装置应按国家规定配置齐全。</w:t>
      </w:r>
    </w:p>
    <w:p w14:paraId="6786C98F">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3.光伏组件技术要求</w:t>
      </w:r>
    </w:p>
    <w:p w14:paraId="38EF6AFC">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（1）采用高效率</w:t>
      </w:r>
      <w:bookmarkStart w:id="428" w:name="OLE_LINK41"/>
      <w:r>
        <w:rPr>
          <w:rFonts w:hint="eastAsia" w:ascii="宋体" w:hAnsi="宋体" w:eastAsia="宋体" w:cs="宋体"/>
          <w:color w:val="000000" w:themeColor="text1"/>
          <w:szCs w:val="21"/>
          <w:highlight w:val="none"/>
          <w14:textFill>
            <w14:solidFill>
              <w14:schemeClr w14:val="tx1"/>
            </w14:solidFill>
          </w14:textFill>
        </w:rPr>
        <w:t>单晶硅590Wp</w:t>
      </w:r>
      <w:bookmarkEnd w:id="428"/>
      <w:r>
        <w:rPr>
          <w:rFonts w:hint="eastAsia" w:ascii="宋体" w:hAnsi="宋体" w:eastAsia="宋体" w:cs="宋体"/>
          <w:color w:val="000000" w:themeColor="text1"/>
          <w:szCs w:val="21"/>
          <w:highlight w:val="none"/>
          <w14:textFill>
            <w14:solidFill>
              <w14:schemeClr w14:val="tx1"/>
            </w14:solidFill>
          </w14:textFill>
        </w:rPr>
        <w:t>及以上的太阳能光伏组件，使用寿命不低于30年，不少于15年材料工艺质保和25年线性功率质保，投标文件中提供质保说明书，具体技术参数要求严格按下表执行：</w:t>
      </w:r>
    </w:p>
    <w:p w14:paraId="53E81EEF">
      <w:pPr>
        <w:wordWrap w:val="0"/>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pacing w:val="13"/>
          <w:szCs w:val="21"/>
          <w:highlight w:val="none"/>
          <w14:textFill>
            <w14:solidFill>
              <w14:schemeClr w14:val="tx1"/>
            </w14:solidFill>
          </w14:textFill>
        </w:rPr>
        <w:t>光伏组</w:t>
      </w:r>
      <w:r>
        <w:rPr>
          <w:rFonts w:hint="eastAsia" w:ascii="宋体" w:hAnsi="宋体" w:eastAsia="宋体" w:cs="宋体"/>
          <w:b/>
          <w:bCs/>
          <w:color w:val="000000" w:themeColor="text1"/>
          <w:spacing w:val="8"/>
          <w:szCs w:val="21"/>
          <w:highlight w:val="none"/>
          <w14:textFill>
            <w14:solidFill>
              <w14:schemeClr w14:val="tx1"/>
            </w14:solidFill>
          </w14:textFill>
        </w:rPr>
        <w:t>件主要技术参数表</w:t>
      </w:r>
    </w:p>
    <w:tbl>
      <w:tblPr>
        <w:tblStyle w:val="202"/>
        <w:tblW w:w="502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74"/>
        <w:gridCol w:w="5333"/>
      </w:tblGrid>
      <w:tr w14:paraId="410A4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387" w:type="pct"/>
            <w:vAlign w:val="bottom"/>
          </w:tcPr>
          <w:p w14:paraId="0AF7AB6B">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型号规</w:t>
            </w:r>
            <w:r>
              <w:rPr>
                <w:rFonts w:hint="eastAsia" w:ascii="宋体" w:hAnsi="宋体" w:eastAsia="宋体" w:cs="宋体"/>
                <w:color w:val="000000" w:themeColor="text1"/>
                <w:spacing w:val="5"/>
                <w:szCs w:val="21"/>
                <w:highlight w:val="none"/>
                <w14:textFill>
                  <w14:solidFill>
                    <w14:schemeClr w14:val="tx1"/>
                  </w14:solidFill>
                </w14:textFill>
              </w:rPr>
              <w:t>格</w:t>
            </w:r>
          </w:p>
        </w:tc>
        <w:tc>
          <w:tcPr>
            <w:tcW w:w="2612" w:type="pct"/>
            <w:vAlign w:val="bottom"/>
          </w:tcPr>
          <w:p w14:paraId="5A77CD4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单晶硅单面</w:t>
            </w:r>
            <w:r>
              <w:rPr>
                <w:rFonts w:hint="eastAsia" w:ascii="宋体" w:hAnsi="宋体" w:eastAsia="宋体" w:cs="宋体"/>
                <w:color w:val="000000" w:themeColor="text1"/>
                <w:spacing w:val="-2"/>
                <w:szCs w:val="21"/>
                <w:highlight w:val="none"/>
                <w14:textFill>
                  <w14:solidFill>
                    <w14:schemeClr w14:val="tx1"/>
                  </w14:solidFill>
                </w14:textFill>
              </w:rPr>
              <w:t>590Wp以上</w:t>
            </w:r>
          </w:p>
        </w:tc>
      </w:tr>
      <w:tr w14:paraId="46F10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4391B74F">
            <w:pPr>
              <w:spacing w:line="360" w:lineRule="auto"/>
              <w:jc w:val="center"/>
              <w:rPr>
                <w:rFonts w:ascii="宋体" w:hAnsi="宋体" w:eastAsia="宋体" w:cs="宋体"/>
                <w:color w:val="000000" w:themeColor="text1"/>
                <w:szCs w:val="21"/>
                <w:highlight w:val="none"/>
                <w14:textFill>
                  <w14:solidFill>
                    <w14:schemeClr w14:val="tx1"/>
                  </w14:solidFill>
                </w14:textFill>
              </w:rPr>
            </w:pPr>
            <w:bookmarkStart w:id="429" w:name="OLE_LINK42"/>
            <w:r>
              <w:rPr>
                <w:rFonts w:hint="eastAsia" w:ascii="宋体" w:hAnsi="宋体" w:eastAsia="宋体" w:cs="宋体"/>
                <w:color w:val="000000" w:themeColor="text1"/>
                <w:spacing w:val="1"/>
                <w:szCs w:val="21"/>
                <w:highlight w:val="none"/>
                <w14:textFill>
                  <w14:solidFill>
                    <w14:schemeClr w14:val="tx1"/>
                  </w14:solidFill>
                </w14:textFill>
              </w:rPr>
              <w:t>标称功率</w:t>
            </w:r>
            <w:bookmarkEnd w:id="429"/>
            <w:r>
              <w:rPr>
                <w:rFonts w:hint="eastAsia" w:ascii="宋体" w:hAnsi="宋体" w:eastAsia="宋体" w:cs="宋体"/>
                <w:color w:val="000000" w:themeColor="text1"/>
                <w:szCs w:val="21"/>
                <w:highlight w:val="none"/>
                <w14:textFill>
                  <w14:solidFill>
                    <w14:schemeClr w14:val="tx1"/>
                  </w14:solidFill>
                </w14:textFill>
              </w:rPr>
              <w:t>(W)</w:t>
            </w:r>
          </w:p>
        </w:tc>
        <w:tc>
          <w:tcPr>
            <w:tcW w:w="2612" w:type="pct"/>
            <w:vAlign w:val="bottom"/>
          </w:tcPr>
          <w:p w14:paraId="48322638">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≥590</w:t>
            </w:r>
          </w:p>
        </w:tc>
      </w:tr>
      <w:tr w14:paraId="1072A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27CC3FF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8"/>
                <w:szCs w:val="21"/>
                <w:highlight w:val="none"/>
                <w14:textFill>
                  <w14:solidFill>
                    <w14:schemeClr w14:val="tx1"/>
                  </w14:solidFill>
                </w14:textFill>
              </w:rPr>
              <w:t>组</w:t>
            </w:r>
            <w:r>
              <w:rPr>
                <w:rFonts w:hint="eastAsia" w:ascii="宋体" w:hAnsi="宋体" w:eastAsia="宋体" w:cs="宋体"/>
                <w:color w:val="000000" w:themeColor="text1"/>
                <w:spacing w:val="-5"/>
                <w:szCs w:val="21"/>
                <w:highlight w:val="none"/>
                <w14:textFill>
                  <w14:solidFill>
                    <w14:schemeClr w14:val="tx1"/>
                  </w14:solidFill>
                </w14:textFill>
              </w:rPr>
              <w:t>件效率(</w:t>
            </w:r>
            <w:r>
              <w:rPr>
                <w:rFonts w:hint="eastAsia" w:ascii="宋体" w:hAnsi="宋体" w:eastAsia="宋体" w:cs="宋体"/>
                <w:color w:val="000000" w:themeColor="text1"/>
                <w:spacing w:val="2"/>
                <w:position w:val="-1"/>
                <w:szCs w:val="21"/>
                <w:highlight w:val="none"/>
                <w14:textFill>
                  <w14:solidFill>
                    <w14:schemeClr w14:val="tx1"/>
                  </w14:solidFill>
                </w14:textFill>
              </w:rPr>
              <w:t>%</w:t>
            </w:r>
            <w:r>
              <w:rPr>
                <w:rFonts w:hint="eastAsia" w:ascii="宋体" w:hAnsi="宋体" w:eastAsia="宋体" w:cs="宋体"/>
                <w:color w:val="000000" w:themeColor="text1"/>
                <w:spacing w:val="-5"/>
                <w:szCs w:val="21"/>
                <w:highlight w:val="none"/>
                <w14:textFill>
                  <w14:solidFill>
                    <w14:schemeClr w14:val="tx1"/>
                  </w14:solidFill>
                </w14:textFill>
              </w:rPr>
              <w:t>)</w:t>
            </w:r>
          </w:p>
        </w:tc>
        <w:tc>
          <w:tcPr>
            <w:tcW w:w="2612" w:type="pct"/>
            <w:vAlign w:val="bottom"/>
          </w:tcPr>
          <w:p w14:paraId="61BFA6E6">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pacing w:val="-2"/>
                <w:szCs w:val="21"/>
                <w:highlight w:val="none"/>
                <w14:textFill>
                  <w14:solidFill>
                    <w14:schemeClr w14:val="tx1"/>
                  </w14:solidFill>
                </w14:textFill>
              </w:rPr>
              <w:t>22.4</w:t>
            </w:r>
          </w:p>
        </w:tc>
      </w:tr>
      <w:tr w14:paraId="4F246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19370D68">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首年功率衰减率</w:t>
            </w:r>
            <w:r>
              <w:rPr>
                <w:rFonts w:hint="eastAsia" w:ascii="宋体" w:hAnsi="宋体" w:eastAsia="宋体" w:cs="宋体"/>
                <w:color w:val="000000" w:themeColor="text1"/>
                <w:spacing w:val="-5"/>
                <w:szCs w:val="21"/>
                <w:highlight w:val="none"/>
                <w14:textFill>
                  <w14:solidFill>
                    <w14:schemeClr w14:val="tx1"/>
                  </w14:solidFill>
                </w14:textFill>
              </w:rPr>
              <w:t>(</w:t>
            </w:r>
            <w:r>
              <w:rPr>
                <w:rFonts w:hint="eastAsia" w:ascii="宋体" w:hAnsi="宋体" w:eastAsia="宋体" w:cs="宋体"/>
                <w:color w:val="000000" w:themeColor="text1"/>
                <w:spacing w:val="2"/>
                <w:position w:val="-1"/>
                <w:szCs w:val="21"/>
                <w:highlight w:val="none"/>
                <w14:textFill>
                  <w14:solidFill>
                    <w14:schemeClr w14:val="tx1"/>
                  </w14:solidFill>
                </w14:textFill>
              </w:rPr>
              <w:t>%</w:t>
            </w:r>
            <w:r>
              <w:rPr>
                <w:rFonts w:hint="eastAsia" w:ascii="宋体" w:hAnsi="宋体" w:eastAsia="宋体" w:cs="宋体"/>
                <w:color w:val="000000" w:themeColor="text1"/>
                <w:spacing w:val="-5"/>
                <w:szCs w:val="21"/>
                <w:highlight w:val="none"/>
                <w14:textFill>
                  <w14:solidFill>
                    <w14:schemeClr w14:val="tx1"/>
                  </w14:solidFill>
                </w14:textFill>
              </w:rPr>
              <w:t>)</w:t>
            </w:r>
          </w:p>
        </w:tc>
        <w:tc>
          <w:tcPr>
            <w:tcW w:w="2612" w:type="pct"/>
            <w:vAlign w:val="bottom"/>
          </w:tcPr>
          <w:p w14:paraId="700A1DC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w:t>
            </w:r>
          </w:p>
        </w:tc>
      </w:tr>
      <w:tr w14:paraId="2783D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418ADAA5">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次年后每年功率衰减率</w:t>
            </w:r>
            <w:r>
              <w:rPr>
                <w:rFonts w:hint="eastAsia" w:ascii="宋体" w:hAnsi="宋体" w:eastAsia="宋体" w:cs="宋体"/>
                <w:color w:val="000000" w:themeColor="text1"/>
                <w:spacing w:val="-5"/>
                <w:szCs w:val="21"/>
                <w:highlight w:val="none"/>
                <w14:textFill>
                  <w14:solidFill>
                    <w14:schemeClr w14:val="tx1"/>
                  </w14:solidFill>
                </w14:textFill>
              </w:rPr>
              <w:t>(</w:t>
            </w:r>
            <w:r>
              <w:rPr>
                <w:rFonts w:hint="eastAsia" w:ascii="宋体" w:hAnsi="宋体" w:eastAsia="宋体" w:cs="宋体"/>
                <w:color w:val="000000" w:themeColor="text1"/>
                <w:spacing w:val="2"/>
                <w:position w:val="-1"/>
                <w:szCs w:val="21"/>
                <w:highlight w:val="none"/>
                <w14:textFill>
                  <w14:solidFill>
                    <w14:schemeClr w14:val="tx1"/>
                  </w14:solidFill>
                </w14:textFill>
              </w:rPr>
              <w:t>%</w:t>
            </w:r>
            <w:r>
              <w:rPr>
                <w:rFonts w:hint="eastAsia" w:ascii="宋体" w:hAnsi="宋体" w:eastAsia="宋体" w:cs="宋体"/>
                <w:color w:val="000000" w:themeColor="text1"/>
                <w:spacing w:val="-5"/>
                <w:szCs w:val="21"/>
                <w:highlight w:val="none"/>
                <w14:textFill>
                  <w14:solidFill>
                    <w14:schemeClr w14:val="tx1"/>
                  </w14:solidFill>
                </w14:textFill>
              </w:rPr>
              <w:t>)</w:t>
            </w:r>
          </w:p>
        </w:tc>
        <w:tc>
          <w:tcPr>
            <w:tcW w:w="2612" w:type="pct"/>
            <w:vAlign w:val="bottom"/>
          </w:tcPr>
          <w:p w14:paraId="06F2B12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pacing w:val="-2"/>
                <w:szCs w:val="21"/>
                <w:highlight w:val="none"/>
                <w14:textFill>
                  <w14:solidFill>
                    <w14:schemeClr w14:val="tx1"/>
                  </w14:solidFill>
                </w14:textFill>
              </w:rPr>
              <w:t>0.4</w:t>
            </w:r>
          </w:p>
        </w:tc>
      </w:tr>
      <w:tr w14:paraId="3853E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090ABEFA">
            <w:pPr>
              <w:spacing w:line="360" w:lineRule="auto"/>
              <w:jc w:val="center"/>
              <w:rPr>
                <w:rFonts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25年后</w:t>
            </w:r>
            <w:r>
              <w:rPr>
                <w:rFonts w:hint="eastAsia" w:ascii="宋体" w:hAnsi="宋体" w:eastAsia="宋体" w:cs="宋体"/>
                <w:color w:val="000000" w:themeColor="text1"/>
                <w:szCs w:val="21"/>
                <w:highlight w:val="none"/>
                <w14:textFill>
                  <w14:solidFill>
                    <w14:schemeClr w14:val="tx1"/>
                  </w14:solidFill>
                </w14:textFill>
              </w:rPr>
              <w:t>功率衰减率</w:t>
            </w:r>
            <w:r>
              <w:rPr>
                <w:rFonts w:hint="eastAsia" w:ascii="宋体" w:hAnsi="宋体" w:eastAsia="宋体" w:cs="宋体"/>
                <w:color w:val="000000" w:themeColor="text1"/>
                <w:spacing w:val="-5"/>
                <w:szCs w:val="21"/>
                <w:highlight w:val="none"/>
                <w14:textFill>
                  <w14:solidFill>
                    <w14:schemeClr w14:val="tx1"/>
                  </w14:solidFill>
                </w14:textFill>
              </w:rPr>
              <w:t>(</w:t>
            </w:r>
            <w:r>
              <w:rPr>
                <w:rFonts w:hint="eastAsia" w:ascii="宋体" w:hAnsi="宋体" w:eastAsia="宋体" w:cs="宋体"/>
                <w:color w:val="000000" w:themeColor="text1"/>
                <w:spacing w:val="2"/>
                <w:position w:val="-1"/>
                <w:szCs w:val="21"/>
                <w:highlight w:val="none"/>
                <w14:textFill>
                  <w14:solidFill>
                    <w14:schemeClr w14:val="tx1"/>
                  </w14:solidFill>
                </w14:textFill>
              </w:rPr>
              <w:t>%</w:t>
            </w:r>
            <w:r>
              <w:rPr>
                <w:rFonts w:hint="eastAsia" w:ascii="宋体" w:hAnsi="宋体" w:eastAsia="宋体" w:cs="宋体"/>
                <w:color w:val="000000" w:themeColor="text1"/>
                <w:spacing w:val="-5"/>
                <w:szCs w:val="21"/>
                <w:highlight w:val="none"/>
                <w14:textFill>
                  <w14:solidFill>
                    <w14:schemeClr w14:val="tx1"/>
                  </w14:solidFill>
                </w14:textFill>
              </w:rPr>
              <w:t>)</w:t>
            </w:r>
          </w:p>
        </w:tc>
        <w:tc>
          <w:tcPr>
            <w:tcW w:w="2612" w:type="pct"/>
            <w:vAlign w:val="bottom"/>
          </w:tcPr>
          <w:p w14:paraId="7C4D30BE">
            <w:pPr>
              <w:spacing w:line="360" w:lineRule="auto"/>
              <w:jc w:val="center"/>
              <w:rPr>
                <w:rFonts w:ascii="宋体" w:hAnsi="宋体" w:eastAsia="宋体" w:cs="宋体"/>
                <w:color w:val="000000" w:themeColor="text1"/>
                <w:spacing w:val="-12"/>
                <w:position w:val="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pacing w:val="-2"/>
                <w:szCs w:val="21"/>
                <w:highlight w:val="none"/>
                <w14:textFill>
                  <w14:solidFill>
                    <w14:schemeClr w14:val="tx1"/>
                  </w14:solidFill>
                </w14:textFill>
              </w:rPr>
              <w:t>11.1</w:t>
            </w:r>
          </w:p>
        </w:tc>
      </w:tr>
      <w:tr w14:paraId="210C5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05720FE5">
            <w:pPr>
              <w:spacing w:line="360" w:lineRule="auto"/>
              <w:jc w:val="center"/>
              <w:rPr>
                <w:rFonts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功率公差(</w:t>
            </w:r>
            <w:r>
              <w:rPr>
                <w:rFonts w:hint="eastAsia" w:ascii="宋体" w:hAnsi="宋体" w:eastAsia="宋体" w:cs="宋体"/>
                <w:color w:val="000000" w:themeColor="text1"/>
                <w:spacing w:val="2"/>
                <w:position w:val="-1"/>
                <w:szCs w:val="21"/>
                <w:highlight w:val="none"/>
                <w14:textFill>
                  <w14:solidFill>
                    <w14:schemeClr w14:val="tx1"/>
                  </w14:solidFill>
                </w14:textFill>
              </w:rPr>
              <w:t>%</w:t>
            </w:r>
            <w:r>
              <w:rPr>
                <w:rFonts w:hint="eastAsia" w:ascii="宋体" w:hAnsi="宋体" w:eastAsia="宋体" w:cs="宋体"/>
                <w:color w:val="000000" w:themeColor="text1"/>
                <w:spacing w:val="5"/>
                <w:szCs w:val="21"/>
                <w:highlight w:val="none"/>
                <w14:textFill>
                  <w14:solidFill>
                    <w14:schemeClr w14:val="tx1"/>
                  </w14:solidFill>
                </w14:textFill>
              </w:rPr>
              <w:t>)</w:t>
            </w:r>
          </w:p>
        </w:tc>
        <w:tc>
          <w:tcPr>
            <w:tcW w:w="2612" w:type="pct"/>
            <w:vAlign w:val="bottom"/>
          </w:tcPr>
          <w:p w14:paraId="03D86E4E">
            <w:pPr>
              <w:spacing w:line="360" w:lineRule="auto"/>
              <w:jc w:val="center"/>
              <w:rPr>
                <w:rFonts w:ascii="宋体" w:hAnsi="宋体" w:eastAsia="宋体" w:cs="宋体"/>
                <w:color w:val="000000" w:themeColor="text1"/>
                <w:spacing w:val="-12"/>
                <w:position w:val="1"/>
                <w:szCs w:val="21"/>
                <w:highlight w:val="none"/>
                <w14:textFill>
                  <w14:solidFill>
                    <w14:schemeClr w14:val="tx1"/>
                  </w14:solidFill>
                </w14:textFill>
              </w:rPr>
            </w:pPr>
            <w:r>
              <w:rPr>
                <w:rFonts w:hint="eastAsia" w:ascii="宋体" w:hAnsi="宋体" w:eastAsia="宋体" w:cs="宋体"/>
                <w:color w:val="000000" w:themeColor="text1"/>
                <w:spacing w:val="2"/>
                <w:position w:val="-1"/>
                <w:szCs w:val="21"/>
                <w:highlight w:val="none"/>
                <w14:textFill>
                  <w14:solidFill>
                    <w14:schemeClr w14:val="tx1"/>
                  </w14:solidFill>
                </w14:textFill>
              </w:rPr>
              <w:t>0</w:t>
            </w:r>
            <w:r>
              <w:rPr>
                <w:rFonts w:hint="eastAsia" w:ascii="宋体" w:hAnsi="宋体" w:eastAsia="宋体" w:cs="宋体"/>
                <w:color w:val="000000" w:themeColor="text1"/>
                <w:spacing w:val="5"/>
                <w:szCs w:val="21"/>
                <w:highlight w:val="none"/>
                <w14:textFill>
                  <w14:solidFill>
                    <w14:schemeClr w14:val="tx1"/>
                  </w14:solidFill>
                </w14:textFill>
              </w:rPr>
              <w:t>⁓+</w:t>
            </w:r>
            <w:r>
              <w:rPr>
                <w:rFonts w:hint="eastAsia" w:ascii="宋体" w:hAnsi="宋体" w:eastAsia="宋体" w:cs="宋体"/>
                <w:color w:val="000000" w:themeColor="text1"/>
                <w:spacing w:val="2"/>
                <w:position w:val="-1"/>
                <w:szCs w:val="21"/>
                <w:highlight w:val="none"/>
                <w14:textFill>
                  <w14:solidFill>
                    <w14:schemeClr w14:val="tx1"/>
                  </w14:solidFill>
                </w14:textFill>
              </w:rPr>
              <w:t>3</w:t>
            </w:r>
          </w:p>
        </w:tc>
      </w:tr>
      <w:tr w14:paraId="728AA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72570CC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功</w:t>
            </w:r>
            <w:r>
              <w:rPr>
                <w:rFonts w:hint="eastAsia" w:ascii="宋体" w:hAnsi="宋体" w:eastAsia="宋体" w:cs="宋体"/>
                <w:color w:val="000000" w:themeColor="text1"/>
                <w:spacing w:val="5"/>
                <w:szCs w:val="21"/>
                <w:highlight w:val="none"/>
                <w14:textFill>
                  <w14:solidFill>
                    <w14:schemeClr w14:val="tx1"/>
                  </w14:solidFill>
                </w14:textFill>
              </w:rPr>
              <w:t>率误差(%)</w:t>
            </w:r>
          </w:p>
        </w:tc>
        <w:tc>
          <w:tcPr>
            <w:tcW w:w="2612" w:type="pct"/>
            <w:vAlign w:val="bottom"/>
          </w:tcPr>
          <w:p w14:paraId="10930099">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12"/>
                <w:position w:val="1"/>
                <w:szCs w:val="21"/>
                <w:highlight w:val="none"/>
                <w14:textFill>
                  <w14:solidFill>
                    <w14:schemeClr w14:val="tx1"/>
                  </w14:solidFill>
                </w14:textFill>
              </w:rPr>
              <w:t>±</w:t>
            </w:r>
            <w:r>
              <w:rPr>
                <w:rFonts w:hint="eastAsia" w:ascii="宋体" w:hAnsi="宋体" w:eastAsia="宋体" w:cs="宋体"/>
                <w:color w:val="000000" w:themeColor="text1"/>
                <w:spacing w:val="-11"/>
                <w:position w:val="1"/>
                <w:szCs w:val="21"/>
                <w:highlight w:val="none"/>
                <w14:textFill>
                  <w14:solidFill>
                    <w14:schemeClr w14:val="tx1"/>
                  </w14:solidFill>
                </w14:textFill>
              </w:rPr>
              <w:t>3</w:t>
            </w:r>
          </w:p>
        </w:tc>
      </w:tr>
      <w:tr w14:paraId="0CCA6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4BF286E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7"/>
                <w:szCs w:val="21"/>
                <w:highlight w:val="none"/>
                <w14:textFill>
                  <w14:solidFill>
                    <w14:schemeClr w14:val="tx1"/>
                  </w14:solidFill>
                </w14:textFill>
              </w:rPr>
              <w:t>短路电流温度系数(%/℃</w:t>
            </w:r>
            <w:r>
              <w:rPr>
                <w:rFonts w:hint="eastAsia" w:ascii="宋体" w:hAnsi="宋体" w:eastAsia="宋体" w:cs="宋体"/>
                <w:color w:val="000000" w:themeColor="text1"/>
                <w:spacing w:val="6"/>
                <w:szCs w:val="21"/>
                <w:highlight w:val="none"/>
                <w14:textFill>
                  <w14:solidFill>
                    <w14:schemeClr w14:val="tx1"/>
                  </w14:solidFill>
                </w14:textFill>
              </w:rPr>
              <w:t>)</w:t>
            </w:r>
          </w:p>
        </w:tc>
        <w:tc>
          <w:tcPr>
            <w:tcW w:w="2612" w:type="pct"/>
            <w:vAlign w:val="bottom"/>
          </w:tcPr>
          <w:p w14:paraId="322D3EA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3"/>
                <w:position w:val="1"/>
                <w:szCs w:val="21"/>
                <w:highlight w:val="none"/>
                <w14:textFill>
                  <w14:solidFill>
                    <w14:schemeClr w14:val="tx1"/>
                  </w14:solidFill>
                </w14:textFill>
              </w:rPr>
              <w:t>+0.0</w:t>
            </w:r>
            <w:r>
              <w:rPr>
                <w:rFonts w:hint="eastAsia" w:ascii="宋体" w:hAnsi="宋体" w:eastAsia="宋体" w:cs="宋体"/>
                <w:color w:val="000000" w:themeColor="text1"/>
                <w:spacing w:val="2"/>
                <w:position w:val="1"/>
                <w:szCs w:val="21"/>
                <w:highlight w:val="none"/>
                <w14:textFill>
                  <w14:solidFill>
                    <w14:schemeClr w14:val="tx1"/>
                  </w14:solidFill>
                </w14:textFill>
              </w:rPr>
              <w:t>5</w:t>
            </w:r>
          </w:p>
        </w:tc>
      </w:tr>
      <w:tr w14:paraId="18CFA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4B6AC563">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8"/>
                <w:szCs w:val="21"/>
                <w:highlight w:val="none"/>
                <w14:textFill>
                  <w14:solidFill>
                    <w14:schemeClr w14:val="tx1"/>
                  </w14:solidFill>
                </w14:textFill>
              </w:rPr>
              <w:t>开</w:t>
            </w:r>
            <w:r>
              <w:rPr>
                <w:rFonts w:hint="eastAsia" w:ascii="宋体" w:hAnsi="宋体" w:eastAsia="宋体" w:cs="宋体"/>
                <w:color w:val="000000" w:themeColor="text1"/>
                <w:spacing w:val="7"/>
                <w:szCs w:val="21"/>
                <w:highlight w:val="none"/>
                <w14:textFill>
                  <w14:solidFill>
                    <w14:schemeClr w14:val="tx1"/>
                  </w14:solidFill>
                </w14:textFill>
              </w:rPr>
              <w:t>路电压温度系数(%/℃)</w:t>
            </w:r>
          </w:p>
        </w:tc>
        <w:tc>
          <w:tcPr>
            <w:tcW w:w="2612" w:type="pct"/>
            <w:vAlign w:val="bottom"/>
          </w:tcPr>
          <w:p w14:paraId="5A23570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5"/>
                <w:szCs w:val="21"/>
                <w:highlight w:val="none"/>
                <w14:textFill>
                  <w14:solidFill>
                    <w14:schemeClr w14:val="tx1"/>
                  </w14:solidFill>
                </w14:textFill>
              </w:rPr>
              <w:t>-</w:t>
            </w:r>
            <w:r>
              <w:rPr>
                <w:rFonts w:hint="eastAsia" w:ascii="宋体" w:hAnsi="宋体" w:eastAsia="宋体" w:cs="宋体"/>
                <w:color w:val="000000" w:themeColor="text1"/>
                <w:spacing w:val="3"/>
                <w:szCs w:val="21"/>
                <w:highlight w:val="none"/>
                <w14:textFill>
                  <w14:solidFill>
                    <w14:schemeClr w14:val="tx1"/>
                  </w14:solidFill>
                </w14:textFill>
              </w:rPr>
              <w:t>0.23</w:t>
            </w:r>
          </w:p>
        </w:tc>
      </w:tr>
      <w:tr w14:paraId="6788F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71BD5E24">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7"/>
                <w:szCs w:val="21"/>
                <w:highlight w:val="none"/>
                <w14:textFill>
                  <w14:solidFill>
                    <w14:schemeClr w14:val="tx1"/>
                  </w14:solidFill>
                </w14:textFill>
              </w:rPr>
              <w:t>最大功率温度系数(%/℃</w:t>
            </w:r>
            <w:r>
              <w:rPr>
                <w:rFonts w:hint="eastAsia" w:ascii="宋体" w:hAnsi="宋体" w:eastAsia="宋体" w:cs="宋体"/>
                <w:color w:val="000000" w:themeColor="text1"/>
                <w:spacing w:val="6"/>
                <w:szCs w:val="21"/>
                <w:highlight w:val="none"/>
                <w14:textFill>
                  <w14:solidFill>
                    <w14:schemeClr w14:val="tx1"/>
                  </w14:solidFill>
                </w14:textFill>
              </w:rPr>
              <w:t>)</w:t>
            </w:r>
          </w:p>
        </w:tc>
        <w:tc>
          <w:tcPr>
            <w:tcW w:w="2612" w:type="pct"/>
            <w:vAlign w:val="bottom"/>
          </w:tcPr>
          <w:p w14:paraId="08D17BD9">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5"/>
                <w:szCs w:val="21"/>
                <w:highlight w:val="none"/>
                <w14:textFill>
                  <w14:solidFill>
                    <w14:schemeClr w14:val="tx1"/>
                  </w14:solidFill>
                </w14:textFill>
              </w:rPr>
              <w:t>-</w:t>
            </w:r>
            <w:r>
              <w:rPr>
                <w:rFonts w:hint="eastAsia" w:ascii="宋体" w:hAnsi="宋体" w:eastAsia="宋体" w:cs="宋体"/>
                <w:color w:val="000000" w:themeColor="text1"/>
                <w:spacing w:val="3"/>
                <w:szCs w:val="21"/>
                <w:highlight w:val="none"/>
                <w14:textFill>
                  <w14:solidFill>
                    <w14:schemeClr w14:val="tx1"/>
                  </w14:solidFill>
                </w14:textFill>
              </w:rPr>
              <w:t>0.29</w:t>
            </w:r>
          </w:p>
        </w:tc>
      </w:tr>
      <w:tr w14:paraId="1D4FF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387" w:type="pct"/>
            <w:vAlign w:val="bottom"/>
          </w:tcPr>
          <w:p w14:paraId="0C40BAC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8"/>
                <w:szCs w:val="21"/>
                <w:highlight w:val="none"/>
                <w14:textFill>
                  <w14:solidFill>
                    <w14:schemeClr w14:val="tx1"/>
                  </w14:solidFill>
                </w14:textFill>
              </w:rPr>
              <w:t>最大系统电</w:t>
            </w:r>
            <w:r>
              <w:rPr>
                <w:rFonts w:hint="eastAsia" w:ascii="宋体" w:hAnsi="宋体" w:eastAsia="宋体" w:cs="宋体"/>
                <w:color w:val="000000" w:themeColor="text1"/>
                <w:spacing w:val="7"/>
                <w:szCs w:val="21"/>
                <w:highlight w:val="none"/>
                <w14:textFill>
                  <w14:solidFill>
                    <w14:schemeClr w14:val="tx1"/>
                  </w14:solidFill>
                </w14:textFill>
              </w:rPr>
              <w:t>压</w:t>
            </w:r>
          </w:p>
        </w:tc>
        <w:tc>
          <w:tcPr>
            <w:tcW w:w="2612" w:type="pct"/>
            <w:vAlign w:val="bottom"/>
          </w:tcPr>
          <w:p w14:paraId="2A4B142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DC</w:t>
            </w:r>
            <w:r>
              <w:rPr>
                <w:rFonts w:hint="eastAsia" w:ascii="宋体" w:hAnsi="宋体" w:eastAsia="宋体" w:cs="宋体"/>
                <w:color w:val="000000" w:themeColor="text1"/>
                <w:spacing w:val="9"/>
                <w:szCs w:val="21"/>
                <w:highlight w:val="none"/>
                <w14:textFill>
                  <w14:solidFill>
                    <w14:schemeClr w14:val="tx1"/>
                  </w14:solidFill>
                </w14:textFill>
              </w:rPr>
              <w:t>1</w:t>
            </w:r>
            <w:r>
              <w:rPr>
                <w:rFonts w:hint="eastAsia" w:ascii="宋体" w:hAnsi="宋体" w:eastAsia="宋体" w:cs="宋体"/>
                <w:color w:val="000000" w:themeColor="text1"/>
                <w:spacing w:val="7"/>
                <w:szCs w:val="21"/>
                <w:highlight w:val="none"/>
                <w14:textFill>
                  <w14:solidFill>
                    <w14:schemeClr w14:val="tx1"/>
                  </w14:solidFill>
                </w14:textFill>
              </w:rPr>
              <w:t>500</w:t>
            </w:r>
            <w:r>
              <w:rPr>
                <w:rFonts w:hint="eastAsia" w:ascii="宋体" w:hAnsi="宋体" w:eastAsia="宋体" w:cs="宋体"/>
                <w:color w:val="000000" w:themeColor="text1"/>
                <w:szCs w:val="21"/>
                <w:highlight w:val="none"/>
                <w14:textFill>
                  <w14:solidFill>
                    <w14:schemeClr w14:val="tx1"/>
                  </w14:solidFill>
                </w14:textFill>
              </w:rPr>
              <w:t>V（IEC）</w:t>
            </w:r>
          </w:p>
        </w:tc>
      </w:tr>
      <w:tr w14:paraId="7D936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20E9C74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7"/>
                <w:szCs w:val="21"/>
                <w:highlight w:val="none"/>
                <w14:textFill>
                  <w14:solidFill>
                    <w14:schemeClr w14:val="tx1"/>
                  </w14:solidFill>
                </w14:textFill>
              </w:rPr>
              <w:t>工作温度范围</w:t>
            </w:r>
            <w:r>
              <w:rPr>
                <w:rFonts w:hint="eastAsia" w:ascii="宋体" w:hAnsi="宋体" w:eastAsia="宋体" w:cs="宋体"/>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spacing w:val="5"/>
                <w:szCs w:val="21"/>
                <w:highlight w:val="none"/>
                <w14:textFill>
                  <w14:solidFill>
                    <w14:schemeClr w14:val="tx1"/>
                  </w14:solidFill>
                </w14:textFill>
              </w:rPr>
              <w:t>℃)</w:t>
            </w:r>
          </w:p>
        </w:tc>
        <w:tc>
          <w:tcPr>
            <w:tcW w:w="2612" w:type="pct"/>
            <w:vAlign w:val="bottom"/>
          </w:tcPr>
          <w:p w14:paraId="438FC55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7"/>
                <w:szCs w:val="21"/>
                <w:highlight w:val="none"/>
                <w14:textFill>
                  <w14:solidFill>
                    <w14:schemeClr w14:val="tx1"/>
                  </w14:solidFill>
                </w14:textFill>
              </w:rPr>
              <w:t>-</w:t>
            </w:r>
            <w:r>
              <w:rPr>
                <w:rFonts w:hint="eastAsia" w:ascii="宋体" w:hAnsi="宋体" w:eastAsia="宋体" w:cs="宋体"/>
                <w:color w:val="000000" w:themeColor="text1"/>
                <w:spacing w:val="5"/>
                <w:szCs w:val="21"/>
                <w:highlight w:val="none"/>
                <w14:textFill>
                  <w14:solidFill>
                    <w14:schemeClr w14:val="tx1"/>
                  </w14:solidFill>
                </w14:textFill>
              </w:rPr>
              <w:t>40 ⁓+85</w:t>
            </w:r>
          </w:p>
        </w:tc>
      </w:tr>
      <w:tr w14:paraId="251AB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387" w:type="pct"/>
            <w:vAlign w:val="bottom"/>
          </w:tcPr>
          <w:p w14:paraId="1BAEDF4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9"/>
                <w:szCs w:val="21"/>
                <w:highlight w:val="none"/>
                <w14:textFill>
                  <w14:solidFill>
                    <w14:schemeClr w14:val="tx1"/>
                  </w14:solidFill>
                </w14:textFill>
              </w:rPr>
              <w:t>接</w:t>
            </w:r>
            <w:r>
              <w:rPr>
                <w:rFonts w:hint="eastAsia" w:ascii="宋体" w:hAnsi="宋体" w:eastAsia="宋体" w:cs="宋体"/>
                <w:color w:val="000000" w:themeColor="text1"/>
                <w:spacing w:val="8"/>
                <w:szCs w:val="21"/>
                <w:highlight w:val="none"/>
                <w14:textFill>
                  <w14:solidFill>
                    <w14:schemeClr w14:val="tx1"/>
                  </w14:solidFill>
                </w14:textFill>
              </w:rPr>
              <w:t>线盒类型</w:t>
            </w:r>
          </w:p>
        </w:tc>
        <w:tc>
          <w:tcPr>
            <w:tcW w:w="2612" w:type="pct"/>
            <w:vAlign w:val="bottom"/>
          </w:tcPr>
          <w:p w14:paraId="1EB872D9">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4"/>
                <w:szCs w:val="21"/>
                <w:highlight w:val="none"/>
                <w14:textFill>
                  <w14:solidFill>
                    <w14:schemeClr w14:val="tx1"/>
                  </w14:solidFill>
                </w14:textFill>
              </w:rPr>
              <w:t>密封防水型 防护等级</w:t>
            </w:r>
            <w:r>
              <w:rPr>
                <w:rFonts w:hint="eastAsia" w:ascii="宋体" w:hAnsi="宋体" w:eastAsia="宋体" w:cs="宋体"/>
                <w:color w:val="000000" w:themeColor="text1"/>
                <w:szCs w:val="21"/>
                <w:highlight w:val="none"/>
                <w14:textFill>
                  <w14:solidFill>
                    <w14:schemeClr w14:val="tx1"/>
                  </w14:solidFill>
                </w14:textFill>
              </w:rPr>
              <w:t>IP</w:t>
            </w:r>
            <w:r>
              <w:rPr>
                <w:rFonts w:hint="eastAsia" w:ascii="宋体" w:hAnsi="宋体" w:eastAsia="宋体" w:cs="宋体"/>
                <w:color w:val="000000" w:themeColor="text1"/>
                <w:spacing w:val="4"/>
                <w:szCs w:val="21"/>
                <w:highlight w:val="none"/>
                <w14:textFill>
                  <w14:solidFill>
                    <w14:schemeClr w14:val="tx1"/>
                  </w14:solidFill>
                </w14:textFill>
              </w:rPr>
              <w:t>6</w:t>
            </w:r>
            <w:r>
              <w:rPr>
                <w:rFonts w:hint="eastAsia" w:ascii="宋体" w:hAnsi="宋体" w:eastAsia="宋体" w:cs="宋体"/>
                <w:color w:val="000000" w:themeColor="text1"/>
                <w:spacing w:val="1"/>
                <w:szCs w:val="21"/>
                <w:highlight w:val="none"/>
                <w14:textFill>
                  <w14:solidFill>
                    <w14:schemeClr w14:val="tx1"/>
                  </w14:solidFill>
                </w14:textFill>
              </w:rPr>
              <w:t>8</w:t>
            </w:r>
          </w:p>
        </w:tc>
      </w:tr>
      <w:tr w14:paraId="425BB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0BEB0A31">
            <w:pPr>
              <w:spacing w:line="360" w:lineRule="auto"/>
              <w:jc w:val="center"/>
              <w:rPr>
                <w:rFonts w:ascii="宋体" w:hAnsi="宋体" w:eastAsia="宋体" w:cs="宋体"/>
                <w:color w:val="000000" w:themeColor="text1"/>
                <w:spacing w:val="5"/>
                <w:szCs w:val="21"/>
                <w:highlight w:val="none"/>
                <w14:textFill>
                  <w14:solidFill>
                    <w14:schemeClr w14:val="tx1"/>
                  </w14:solidFill>
                </w14:textFill>
              </w:rPr>
            </w:pPr>
            <w:r>
              <w:rPr>
                <w:rFonts w:hint="eastAsia" w:ascii="宋体" w:hAnsi="宋体" w:eastAsia="宋体" w:cs="宋体"/>
                <w:color w:val="000000" w:themeColor="text1"/>
                <w:spacing w:val="5"/>
                <w:szCs w:val="21"/>
                <w:highlight w:val="none"/>
                <w14:textFill>
                  <w14:solidFill>
                    <w14:schemeClr w14:val="tx1"/>
                  </w14:solidFill>
                </w14:textFill>
              </w:rPr>
              <w:t>边框</w:t>
            </w:r>
            <w:r>
              <w:rPr>
                <w:rFonts w:hint="eastAsia" w:ascii="宋体" w:hAnsi="宋体" w:eastAsia="宋体" w:cs="宋体"/>
                <w:color w:val="000000" w:themeColor="text1"/>
                <w:spacing w:val="8"/>
                <w:szCs w:val="21"/>
                <w:highlight w:val="none"/>
                <w14:textFill>
                  <w14:solidFill>
                    <w14:schemeClr w14:val="tx1"/>
                  </w14:solidFill>
                </w14:textFill>
              </w:rPr>
              <w:t>类型</w:t>
            </w:r>
          </w:p>
        </w:tc>
        <w:tc>
          <w:tcPr>
            <w:tcW w:w="2612" w:type="pct"/>
            <w:vAlign w:val="bottom"/>
          </w:tcPr>
          <w:p w14:paraId="52F2A974">
            <w:pPr>
              <w:spacing w:line="360" w:lineRule="auto"/>
              <w:jc w:val="center"/>
              <w:rPr>
                <w:rFonts w:ascii="宋体" w:hAnsi="宋体" w:eastAsia="宋体" w:cs="宋体"/>
                <w:color w:val="000000" w:themeColor="text1"/>
                <w:spacing w:val="5"/>
                <w:position w:val="1"/>
                <w:szCs w:val="21"/>
                <w:highlight w:val="none"/>
                <w14:textFill>
                  <w14:solidFill>
                    <w14:schemeClr w14:val="tx1"/>
                  </w14:solidFill>
                </w14:textFill>
              </w:rPr>
            </w:pPr>
            <w:r>
              <w:rPr>
                <w:rFonts w:hint="eastAsia" w:ascii="宋体" w:hAnsi="宋体" w:eastAsia="宋体" w:cs="宋体"/>
                <w:color w:val="000000" w:themeColor="text1"/>
                <w:spacing w:val="5"/>
                <w:position w:val="1"/>
                <w:szCs w:val="21"/>
                <w:highlight w:val="none"/>
                <w14:textFill>
                  <w14:solidFill>
                    <w14:schemeClr w14:val="tx1"/>
                  </w14:solidFill>
                </w14:textFill>
              </w:rPr>
              <w:t>阳极氧化铝合金 防积灰设计（可加装导流器）</w:t>
            </w:r>
          </w:p>
        </w:tc>
      </w:tr>
      <w:tr w14:paraId="1E806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387" w:type="pct"/>
            <w:vAlign w:val="bottom"/>
          </w:tcPr>
          <w:p w14:paraId="533DEC32">
            <w:pPr>
              <w:spacing w:line="360" w:lineRule="auto"/>
              <w:jc w:val="center"/>
              <w:rPr>
                <w:rFonts w:ascii="宋体" w:hAnsi="宋体" w:eastAsia="宋体" w:cs="宋体"/>
                <w:color w:val="000000" w:themeColor="text1"/>
                <w:spacing w:val="5"/>
                <w:szCs w:val="21"/>
                <w:highlight w:val="none"/>
                <w14:textFill>
                  <w14:solidFill>
                    <w14:schemeClr w14:val="tx1"/>
                  </w14:solidFill>
                </w14:textFill>
              </w:rPr>
            </w:pPr>
            <w:r>
              <w:rPr>
                <w:rFonts w:hint="eastAsia" w:ascii="宋体" w:hAnsi="宋体" w:eastAsia="宋体" w:cs="宋体"/>
                <w:color w:val="000000" w:themeColor="text1"/>
                <w:spacing w:val="5"/>
                <w:szCs w:val="21"/>
                <w:highlight w:val="none"/>
                <w14:textFill>
                  <w14:solidFill>
                    <w14:schemeClr w14:val="tx1"/>
                  </w14:solidFill>
                </w14:textFill>
              </w:rPr>
              <w:t>安全防护等级</w:t>
            </w:r>
          </w:p>
        </w:tc>
        <w:tc>
          <w:tcPr>
            <w:tcW w:w="2612" w:type="pct"/>
            <w:vAlign w:val="bottom"/>
          </w:tcPr>
          <w:p w14:paraId="099B1BA6">
            <w:pPr>
              <w:spacing w:line="360" w:lineRule="auto"/>
              <w:jc w:val="center"/>
              <w:rPr>
                <w:rFonts w:ascii="宋体" w:hAnsi="宋体" w:eastAsia="宋体" w:cs="宋体"/>
                <w:color w:val="000000" w:themeColor="text1"/>
                <w:spacing w:val="5"/>
                <w:position w:val="1"/>
                <w:szCs w:val="21"/>
                <w:highlight w:val="none"/>
                <w14:textFill>
                  <w14:solidFill>
                    <w14:schemeClr w14:val="tx1"/>
                  </w14:solidFill>
                </w14:textFill>
              </w:rPr>
            </w:pPr>
            <w:r>
              <w:rPr>
                <w:rFonts w:hint="eastAsia" w:ascii="宋体" w:hAnsi="宋体" w:eastAsia="宋体" w:cs="宋体"/>
                <w:color w:val="000000" w:themeColor="text1"/>
                <w:spacing w:val="5"/>
                <w:position w:val="1"/>
                <w:szCs w:val="21"/>
                <w:highlight w:val="none"/>
                <w14:textFill>
                  <w14:solidFill>
                    <w14:schemeClr w14:val="tx1"/>
                  </w14:solidFill>
                </w14:textFill>
              </w:rPr>
              <w:t>ClassⅡ</w:t>
            </w:r>
          </w:p>
        </w:tc>
      </w:tr>
    </w:tbl>
    <w:p w14:paraId="40292F82">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（2）光伏组件型号获得抗PID认证、抗盐雾腐蚀认证、载荷认证、产品定型认证(金太阳认证或是TUV、CSA、UL、SGS、VDE、JET等国际认证)并附试验报告、认证证书全部内容。</w:t>
      </w:r>
    </w:p>
    <w:p w14:paraId="07105C4E">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光伏组件进场后投标人需安排抽样进行开箱检查与EL检测，抽检数量≥总量*3%，且抽检数量最低不得少于32块，如EL检测中一旦发现有不合格的光伏组件，投标人必须无条件一律进行更换并承担更换所需全部费用。</w:t>
      </w:r>
    </w:p>
    <w:p w14:paraId="19B1DA28">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（4）投标人负责光伏组件运输、卸货、吊装及保管，保管过程中按原包装存放并做好相应的防雨防倒防误撞等保护措施，如开箱时有破损则需现场拍照取证，如有损坏需承担更换所需全部费用。</w:t>
      </w:r>
    </w:p>
    <w:p w14:paraId="570ADE63">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（5）光伏组件的布置方案需兼顾发电量、抗风、</w:t>
      </w:r>
      <w:bookmarkStart w:id="430" w:name="OLE_LINK47"/>
      <w:r>
        <w:rPr>
          <w:rFonts w:hint="eastAsia" w:ascii="宋体" w:hAnsi="宋体" w:eastAsia="宋体" w:cs="宋体"/>
          <w:color w:val="000000" w:themeColor="text1"/>
          <w:szCs w:val="21"/>
          <w:highlight w:val="none"/>
          <w14:textFill>
            <w14:solidFill>
              <w14:schemeClr w14:val="tx1"/>
            </w14:solidFill>
          </w14:textFill>
        </w:rPr>
        <w:t>签约总容量</w:t>
      </w:r>
      <w:bookmarkEnd w:id="430"/>
      <w:r>
        <w:rPr>
          <w:rFonts w:hint="eastAsia" w:ascii="宋体" w:hAnsi="宋体" w:eastAsia="宋体" w:cs="宋体"/>
          <w:color w:val="000000" w:themeColor="text1"/>
          <w:szCs w:val="21"/>
          <w:highlight w:val="none"/>
          <w14:textFill>
            <w14:solidFill>
              <w14:schemeClr w14:val="tx1"/>
            </w14:solidFill>
          </w14:textFill>
        </w:rPr>
        <w:t>等因素，同时在安装过程中要求光伏组件全年每天上午9点</w:t>
      </w:r>
      <w:r>
        <w:rPr>
          <w:rFonts w:hint="eastAsia" w:ascii="宋体" w:hAnsi="宋体" w:eastAsia="宋体" w:cs="宋体"/>
          <w:color w:val="000000" w:themeColor="text1"/>
          <w:spacing w:val="5"/>
          <w:szCs w:val="21"/>
          <w:highlight w:val="none"/>
          <w14:textFill>
            <w14:solidFill>
              <w14:schemeClr w14:val="tx1"/>
            </w14:solidFill>
          </w14:textFill>
        </w:rPr>
        <w:t>至</w:t>
      </w:r>
      <w:r>
        <w:rPr>
          <w:rFonts w:hint="eastAsia" w:ascii="宋体" w:hAnsi="宋体" w:eastAsia="宋体" w:cs="宋体"/>
          <w:color w:val="000000" w:themeColor="text1"/>
          <w:szCs w:val="21"/>
          <w:highlight w:val="none"/>
          <w14:textFill>
            <w14:solidFill>
              <w14:schemeClr w14:val="tx1"/>
            </w14:solidFill>
          </w14:textFill>
        </w:rPr>
        <w:t>下午15点不得出现任何阴影遮挡，如一旦发现在要求的时间段内有光伏组件出现阴影遮挡，投标人必须无条件采取相应措施解决阴影遮挡问题并承担所需全部费用。</w:t>
      </w:r>
    </w:p>
    <w:p w14:paraId="57025C19">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（6）在安装过程中严禁直接踩踏光伏组件（包括边框），一经发现除进行相应</w:t>
      </w:r>
      <w:bookmarkStart w:id="431" w:name="OLE_LINK49"/>
      <w:r>
        <w:rPr>
          <w:rFonts w:hint="eastAsia" w:ascii="宋体" w:hAnsi="宋体" w:eastAsia="宋体" w:cs="宋体"/>
          <w:color w:val="000000" w:themeColor="text1"/>
          <w:szCs w:val="21"/>
          <w:highlight w:val="none"/>
          <w14:textFill>
            <w14:solidFill>
              <w14:schemeClr w14:val="tx1"/>
            </w14:solidFill>
          </w14:textFill>
        </w:rPr>
        <w:t>罚款</w:t>
      </w:r>
      <w:bookmarkEnd w:id="431"/>
      <w:r>
        <w:rPr>
          <w:rFonts w:hint="eastAsia" w:ascii="宋体" w:hAnsi="宋体" w:eastAsia="宋体" w:cs="宋体"/>
          <w:color w:val="000000" w:themeColor="text1"/>
          <w:szCs w:val="21"/>
          <w:highlight w:val="none"/>
          <w14:textFill>
            <w14:solidFill>
              <w14:schemeClr w14:val="tx1"/>
            </w14:solidFill>
          </w14:textFill>
        </w:rPr>
        <w:t>外，如有损坏还需无条件进行更换并承担所需全部费用。</w:t>
      </w:r>
    </w:p>
    <w:p w14:paraId="109406A6">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（7）光伏组件在整体项目通电并网前投标人需在晴天对接入逆变器的所有组串进行开路电压检测，保证项目投运前光伏组件所有组串开路电压读数与理论值偏差控制在</w:t>
      </w:r>
      <w:r>
        <w:rPr>
          <w:rFonts w:hint="eastAsia" w:ascii="宋体" w:hAnsi="宋体" w:eastAsia="宋体" w:cs="宋体"/>
          <w:color w:val="000000" w:themeColor="text1"/>
          <w:spacing w:val="-12"/>
          <w:position w:val="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5％以内，如一</w:t>
      </w:r>
      <w:bookmarkStart w:id="432" w:name="OLE_LINK450"/>
      <w:r>
        <w:rPr>
          <w:rFonts w:hint="eastAsia" w:ascii="宋体" w:hAnsi="宋体" w:eastAsia="宋体" w:cs="宋体"/>
          <w:color w:val="000000" w:themeColor="text1"/>
          <w:szCs w:val="21"/>
          <w:highlight w:val="none"/>
          <w14:textFill>
            <w14:solidFill>
              <w14:schemeClr w14:val="tx1"/>
            </w14:solidFill>
          </w14:textFill>
        </w:rPr>
        <w:t>旦发现超出偏差，投标人必须无条件采取相应措施进行检查并解决组串开路电压偏差问题并承担所需全部</w:t>
      </w:r>
      <w:bookmarkEnd w:id="432"/>
      <w:r>
        <w:rPr>
          <w:rFonts w:hint="eastAsia" w:ascii="宋体" w:hAnsi="宋体" w:eastAsia="宋体" w:cs="宋体"/>
          <w:color w:val="000000" w:themeColor="text1"/>
          <w:szCs w:val="21"/>
          <w:highlight w:val="none"/>
          <w14:textFill>
            <w14:solidFill>
              <w14:schemeClr w14:val="tx1"/>
            </w14:solidFill>
          </w14:textFill>
        </w:rPr>
        <w:t>费用。</w:t>
      </w:r>
    </w:p>
    <w:p w14:paraId="19CFC06F">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（8）光伏组件在整体项目通电并网后投标人需组织进行一次全体清洗，保证项目投运时所有光伏组件表面干净无污渍，如有污渍无法清除立刻更换并承担所需全部费用。</w:t>
      </w:r>
    </w:p>
    <w:p w14:paraId="521629A8">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（9）光伏组件安装过程中每块组件必须有6处进行压块固定，以此增强抗台风能力。</w:t>
      </w:r>
    </w:p>
    <w:p w14:paraId="3748E8E0">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4.并网逆变器技术要求</w:t>
      </w:r>
    </w:p>
    <w:p w14:paraId="031AA0DC">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（1）根据安装场景合理采用匹配的高效率110kW及以下组串型并网逆变器，使用寿命不低于15年，不少于5年产品</w:t>
      </w:r>
      <w:bookmarkStart w:id="433" w:name="OLE_LINK53"/>
      <w:r>
        <w:rPr>
          <w:rFonts w:hint="eastAsia" w:ascii="宋体" w:hAnsi="宋体" w:eastAsia="宋体" w:cs="宋体"/>
          <w:color w:val="000000" w:themeColor="text1"/>
          <w:szCs w:val="21"/>
          <w:highlight w:val="none"/>
          <w14:textFill>
            <w14:solidFill>
              <w14:schemeClr w14:val="tx1"/>
            </w14:solidFill>
          </w14:textFill>
        </w:rPr>
        <w:t>质保，在投标文件中提供质保说明书</w:t>
      </w:r>
      <w:bookmarkEnd w:id="433"/>
      <w:r>
        <w:rPr>
          <w:rFonts w:hint="eastAsia" w:ascii="宋体" w:hAnsi="宋体" w:eastAsia="宋体" w:cs="宋体"/>
          <w:color w:val="000000" w:themeColor="text1"/>
          <w:szCs w:val="21"/>
          <w:highlight w:val="none"/>
          <w14:textFill>
            <w14:solidFill>
              <w14:schemeClr w14:val="tx1"/>
            </w14:solidFill>
          </w14:textFill>
        </w:rPr>
        <w:t>，若采用110kW组串型并网逆变器，具体技术参数要求严格按下表执行：</w:t>
      </w:r>
    </w:p>
    <w:p w14:paraId="2F99D657">
      <w:pPr>
        <w:wordWrap w:val="0"/>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并网逆变器主要技术参数表</w:t>
      </w:r>
    </w:p>
    <w:tbl>
      <w:tblPr>
        <w:tblStyle w:val="202"/>
        <w:tblW w:w="504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75"/>
        <w:gridCol w:w="3838"/>
        <w:gridCol w:w="4330"/>
      </w:tblGrid>
      <w:tr w14:paraId="44468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1013" w:type="pct"/>
            <w:vMerge w:val="restart"/>
            <w:tcBorders>
              <w:bottom w:val="nil"/>
            </w:tcBorders>
            <w:vAlign w:val="center"/>
          </w:tcPr>
          <w:p w14:paraId="3BC086D9">
            <w:pPr>
              <w:spacing w:line="360" w:lineRule="auto"/>
              <w:jc w:val="center"/>
              <w:rPr>
                <w:rFonts w:ascii="宋体" w:hAnsi="宋体" w:eastAsia="宋体" w:cs="宋体"/>
                <w:color w:val="000000" w:themeColor="text1"/>
                <w:spacing w:val="7"/>
                <w:szCs w:val="21"/>
                <w:highlight w:val="none"/>
                <w14:textFill>
                  <w14:solidFill>
                    <w14:schemeClr w14:val="tx1"/>
                  </w14:solidFill>
                </w14:textFill>
              </w:rPr>
            </w:pPr>
            <w:r>
              <w:rPr>
                <w:rFonts w:hint="eastAsia" w:ascii="宋体" w:hAnsi="宋体" w:eastAsia="宋体" w:cs="宋体"/>
                <w:color w:val="000000" w:themeColor="text1"/>
                <w:spacing w:val="10"/>
                <w:szCs w:val="21"/>
                <w:highlight w:val="none"/>
                <w14:textFill>
                  <w14:solidFill>
                    <w14:schemeClr w14:val="tx1"/>
                  </w14:solidFill>
                </w14:textFill>
              </w:rPr>
              <w:t>直</w:t>
            </w:r>
            <w:r>
              <w:rPr>
                <w:rFonts w:hint="eastAsia" w:ascii="宋体" w:hAnsi="宋体" w:eastAsia="宋体" w:cs="宋体"/>
                <w:color w:val="000000" w:themeColor="text1"/>
                <w:spacing w:val="7"/>
                <w:szCs w:val="21"/>
                <w:highlight w:val="none"/>
                <w14:textFill>
                  <w14:solidFill>
                    <w14:schemeClr w14:val="tx1"/>
                  </w14:solidFill>
                </w14:textFill>
              </w:rPr>
              <w:t>流侧参数</w:t>
            </w:r>
          </w:p>
          <w:p w14:paraId="640208F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7"/>
                <w:szCs w:val="21"/>
                <w:highlight w:val="none"/>
                <w14:textFill>
                  <w14:solidFill>
                    <w14:schemeClr w14:val="tx1"/>
                  </w14:solidFill>
                </w14:textFill>
              </w:rPr>
              <w:t>（输入）</w:t>
            </w:r>
          </w:p>
        </w:tc>
        <w:tc>
          <w:tcPr>
            <w:tcW w:w="1873" w:type="pct"/>
            <w:vAlign w:val="bottom"/>
          </w:tcPr>
          <w:p w14:paraId="3D201A7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最大输入电压(V)</w:t>
            </w:r>
          </w:p>
        </w:tc>
        <w:tc>
          <w:tcPr>
            <w:tcW w:w="2113" w:type="pct"/>
            <w:vAlign w:val="bottom"/>
          </w:tcPr>
          <w:p w14:paraId="13A53748">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1100</w:t>
            </w:r>
          </w:p>
        </w:tc>
      </w:tr>
      <w:tr w14:paraId="34043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013" w:type="pct"/>
            <w:vMerge w:val="continue"/>
            <w:tcBorders>
              <w:top w:val="nil"/>
              <w:bottom w:val="nil"/>
            </w:tcBorders>
            <w:vAlign w:val="center"/>
          </w:tcPr>
          <w:p w14:paraId="5FD0A20A">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61E531D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额定输入电压(V)</w:t>
            </w:r>
          </w:p>
        </w:tc>
        <w:tc>
          <w:tcPr>
            <w:tcW w:w="2113" w:type="pct"/>
            <w:vAlign w:val="bottom"/>
          </w:tcPr>
          <w:p w14:paraId="30B53D7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1"/>
                <w:szCs w:val="21"/>
                <w:highlight w:val="none"/>
                <w14:textFill>
                  <w14:solidFill>
                    <w14:schemeClr w14:val="tx1"/>
                  </w14:solidFill>
                </w14:textFill>
              </w:rPr>
              <w:t>600</w:t>
            </w:r>
          </w:p>
        </w:tc>
      </w:tr>
      <w:tr w14:paraId="0B1BD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013" w:type="pct"/>
            <w:vMerge w:val="continue"/>
            <w:tcBorders>
              <w:top w:val="nil"/>
              <w:bottom w:val="nil"/>
            </w:tcBorders>
            <w:vAlign w:val="center"/>
          </w:tcPr>
          <w:p w14:paraId="2009E081">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35F6815E">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3"/>
                <w:szCs w:val="21"/>
                <w:highlight w:val="none"/>
                <w14:textFill>
                  <w14:solidFill>
                    <w14:schemeClr w14:val="tx1"/>
                  </w14:solidFill>
                </w14:textFill>
              </w:rPr>
              <w:t>MPPT电压范围</w:t>
            </w:r>
            <w:r>
              <w:rPr>
                <w:rFonts w:hint="eastAsia" w:ascii="宋体" w:hAnsi="宋体" w:eastAsia="宋体" w:cs="宋体"/>
                <w:color w:val="000000" w:themeColor="text1"/>
                <w:szCs w:val="21"/>
                <w:highlight w:val="none"/>
                <w14:textFill>
                  <w14:solidFill>
                    <w14:schemeClr w14:val="tx1"/>
                  </w14:solidFill>
                </w14:textFill>
              </w:rPr>
              <w:t>(V)</w:t>
            </w:r>
          </w:p>
        </w:tc>
        <w:tc>
          <w:tcPr>
            <w:tcW w:w="2113" w:type="pct"/>
            <w:vAlign w:val="bottom"/>
          </w:tcPr>
          <w:p w14:paraId="4CCDB815">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2</w:t>
            </w:r>
            <w:r>
              <w:rPr>
                <w:rFonts w:hint="eastAsia" w:ascii="宋体" w:hAnsi="宋体" w:eastAsia="宋体" w:cs="宋体"/>
                <w:color w:val="000000" w:themeColor="text1"/>
                <w:spacing w:val="3"/>
                <w:szCs w:val="21"/>
                <w:highlight w:val="none"/>
                <w14:textFill>
                  <w14:solidFill>
                    <w14:schemeClr w14:val="tx1"/>
                  </w14:solidFill>
                </w14:textFill>
              </w:rPr>
              <w:t xml:space="preserve">00 </w:t>
            </w:r>
            <w:r>
              <w:rPr>
                <w:rFonts w:hint="eastAsia" w:ascii="宋体" w:hAnsi="宋体" w:eastAsia="宋体" w:cs="宋体"/>
                <w:color w:val="000000" w:themeColor="text1"/>
                <w:spacing w:val="5"/>
                <w:szCs w:val="21"/>
                <w:highlight w:val="none"/>
                <w14:textFill>
                  <w14:solidFill>
                    <w14:schemeClr w14:val="tx1"/>
                  </w14:solidFill>
                </w14:textFill>
              </w:rPr>
              <w:t>⁓</w:t>
            </w:r>
            <w:r>
              <w:rPr>
                <w:rFonts w:hint="eastAsia" w:ascii="宋体" w:hAnsi="宋体" w:eastAsia="宋体" w:cs="宋体"/>
                <w:color w:val="000000" w:themeColor="text1"/>
                <w:spacing w:val="3"/>
                <w:szCs w:val="21"/>
                <w:highlight w:val="none"/>
                <w14:textFill>
                  <w14:solidFill>
                    <w14:schemeClr w14:val="tx1"/>
                  </w14:solidFill>
                </w14:textFill>
              </w:rPr>
              <w:t>1000</w:t>
            </w:r>
          </w:p>
        </w:tc>
      </w:tr>
      <w:tr w14:paraId="43EF9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013" w:type="pct"/>
            <w:vMerge w:val="continue"/>
            <w:tcBorders>
              <w:top w:val="nil"/>
            </w:tcBorders>
            <w:vAlign w:val="center"/>
          </w:tcPr>
          <w:p w14:paraId="46C6E106">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56B37BF8">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8"/>
                <w:szCs w:val="21"/>
                <w:highlight w:val="none"/>
                <w14:textFill>
                  <w14:solidFill>
                    <w14:schemeClr w14:val="tx1"/>
                  </w14:solidFill>
                </w14:textFill>
              </w:rPr>
              <w:t>最大输入路</w:t>
            </w:r>
            <w:r>
              <w:rPr>
                <w:rFonts w:hint="eastAsia" w:ascii="宋体" w:hAnsi="宋体" w:eastAsia="宋体" w:cs="宋体"/>
                <w:color w:val="000000" w:themeColor="text1"/>
                <w:spacing w:val="7"/>
                <w:szCs w:val="21"/>
                <w:highlight w:val="none"/>
                <w14:textFill>
                  <w14:solidFill>
                    <w14:schemeClr w14:val="tx1"/>
                  </w14:solidFill>
                </w14:textFill>
              </w:rPr>
              <w:t>数</w:t>
            </w:r>
          </w:p>
        </w:tc>
        <w:tc>
          <w:tcPr>
            <w:tcW w:w="2113" w:type="pct"/>
            <w:vAlign w:val="bottom"/>
          </w:tcPr>
          <w:p w14:paraId="3EA7BC4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3"/>
                <w:szCs w:val="21"/>
                <w:highlight w:val="none"/>
                <w14:textFill>
                  <w14:solidFill>
                    <w14:schemeClr w14:val="tx1"/>
                  </w14:solidFill>
                </w14:textFill>
              </w:rPr>
              <w:t>10</w:t>
            </w:r>
          </w:p>
        </w:tc>
      </w:tr>
      <w:tr w14:paraId="0EE28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013" w:type="pct"/>
            <w:vMerge w:val="restart"/>
            <w:tcBorders>
              <w:bottom w:val="nil"/>
            </w:tcBorders>
            <w:vAlign w:val="center"/>
          </w:tcPr>
          <w:p w14:paraId="5A4D31DC">
            <w:pPr>
              <w:spacing w:line="360" w:lineRule="auto"/>
              <w:jc w:val="center"/>
              <w:rPr>
                <w:rFonts w:ascii="宋体" w:hAnsi="宋体" w:eastAsia="宋体" w:cs="宋体"/>
                <w:color w:val="000000" w:themeColor="text1"/>
                <w:spacing w:val="7"/>
                <w:szCs w:val="21"/>
                <w:highlight w:val="none"/>
                <w14:textFill>
                  <w14:solidFill>
                    <w14:schemeClr w14:val="tx1"/>
                  </w14:solidFill>
                </w14:textFill>
              </w:rPr>
            </w:pPr>
            <w:r>
              <w:rPr>
                <w:rFonts w:hint="eastAsia" w:ascii="宋体" w:hAnsi="宋体" w:eastAsia="宋体" w:cs="宋体"/>
                <w:color w:val="000000" w:themeColor="text1"/>
                <w:spacing w:val="7"/>
                <w:szCs w:val="21"/>
                <w:highlight w:val="none"/>
                <w14:textFill>
                  <w14:solidFill>
                    <w14:schemeClr w14:val="tx1"/>
                  </w14:solidFill>
                </w14:textFill>
              </w:rPr>
              <w:t>交流侧参数</w:t>
            </w:r>
          </w:p>
          <w:p w14:paraId="5E7E9B9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7"/>
                <w:szCs w:val="21"/>
                <w:highlight w:val="none"/>
                <w14:textFill>
                  <w14:solidFill>
                    <w14:schemeClr w14:val="tx1"/>
                  </w14:solidFill>
                </w14:textFill>
              </w:rPr>
              <w:t>（输出）</w:t>
            </w:r>
          </w:p>
        </w:tc>
        <w:tc>
          <w:tcPr>
            <w:tcW w:w="1873" w:type="pct"/>
            <w:vAlign w:val="bottom"/>
          </w:tcPr>
          <w:p w14:paraId="3A24B5F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额定输出功率(kW)</w:t>
            </w:r>
          </w:p>
        </w:tc>
        <w:tc>
          <w:tcPr>
            <w:tcW w:w="2113" w:type="pct"/>
            <w:vAlign w:val="bottom"/>
          </w:tcPr>
          <w:p w14:paraId="2D64CB93">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5"/>
                <w:szCs w:val="21"/>
                <w:highlight w:val="none"/>
                <w14:textFill>
                  <w14:solidFill>
                    <w14:schemeClr w14:val="tx1"/>
                  </w14:solidFill>
                </w14:textFill>
              </w:rPr>
              <w:t>1</w:t>
            </w:r>
            <w:r>
              <w:rPr>
                <w:rFonts w:hint="eastAsia" w:ascii="宋体" w:hAnsi="宋体" w:eastAsia="宋体" w:cs="宋体"/>
                <w:color w:val="000000" w:themeColor="text1"/>
                <w:spacing w:val="-4"/>
                <w:szCs w:val="21"/>
                <w:highlight w:val="none"/>
                <w14:textFill>
                  <w14:solidFill>
                    <w14:schemeClr w14:val="tx1"/>
                  </w14:solidFill>
                </w14:textFill>
              </w:rPr>
              <w:t>10</w:t>
            </w:r>
          </w:p>
        </w:tc>
      </w:tr>
      <w:tr w14:paraId="793F0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013" w:type="pct"/>
            <w:vMerge w:val="continue"/>
            <w:tcBorders>
              <w:top w:val="nil"/>
              <w:bottom w:val="nil"/>
            </w:tcBorders>
            <w:vAlign w:val="center"/>
          </w:tcPr>
          <w:p w14:paraId="23110B6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5FEF2976">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最大输出功率(kW)</w:t>
            </w:r>
          </w:p>
        </w:tc>
        <w:tc>
          <w:tcPr>
            <w:tcW w:w="2113" w:type="pct"/>
            <w:vAlign w:val="bottom"/>
          </w:tcPr>
          <w:p w14:paraId="751672C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5"/>
                <w:szCs w:val="21"/>
                <w:highlight w:val="none"/>
                <w14:textFill>
                  <w14:solidFill>
                    <w14:schemeClr w14:val="tx1"/>
                  </w14:solidFill>
                </w14:textFill>
              </w:rPr>
              <w:t>1</w:t>
            </w:r>
            <w:r>
              <w:rPr>
                <w:rFonts w:hint="eastAsia" w:ascii="宋体" w:hAnsi="宋体" w:eastAsia="宋体" w:cs="宋体"/>
                <w:color w:val="000000" w:themeColor="text1"/>
                <w:spacing w:val="-4"/>
                <w:szCs w:val="21"/>
                <w:highlight w:val="none"/>
                <w14:textFill>
                  <w14:solidFill>
                    <w14:schemeClr w14:val="tx1"/>
                  </w14:solidFill>
                </w14:textFill>
              </w:rPr>
              <w:t>21</w:t>
            </w:r>
          </w:p>
        </w:tc>
      </w:tr>
      <w:tr w14:paraId="71BF4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013" w:type="pct"/>
            <w:vMerge w:val="continue"/>
            <w:tcBorders>
              <w:top w:val="nil"/>
              <w:bottom w:val="nil"/>
            </w:tcBorders>
            <w:vAlign w:val="center"/>
          </w:tcPr>
          <w:p w14:paraId="012E71B5">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6DCCD5B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额定输出电压(V)</w:t>
            </w:r>
          </w:p>
        </w:tc>
        <w:tc>
          <w:tcPr>
            <w:tcW w:w="2113" w:type="pct"/>
            <w:vAlign w:val="bottom"/>
          </w:tcPr>
          <w:p w14:paraId="66309B36">
            <w:pPr>
              <w:spacing w:line="360" w:lineRule="auto"/>
              <w:jc w:val="center"/>
              <w:rPr>
                <w:rFonts w:ascii="宋体" w:hAnsi="宋体" w:eastAsia="宋体" w:cs="宋体"/>
                <w:color w:val="000000" w:themeColor="text1"/>
                <w:spacing w:val="1"/>
                <w:szCs w:val="21"/>
                <w:highlight w:val="none"/>
                <w14:textFill>
                  <w14:solidFill>
                    <w14:schemeClr w14:val="tx1"/>
                  </w14:solidFill>
                </w14:textFill>
              </w:rPr>
            </w:pPr>
            <w:r>
              <w:rPr>
                <w:rFonts w:hint="eastAsia" w:ascii="宋体" w:hAnsi="宋体" w:eastAsia="宋体" w:cs="宋体"/>
                <w:color w:val="000000" w:themeColor="text1"/>
                <w:spacing w:val="-5"/>
                <w:szCs w:val="21"/>
                <w:highlight w:val="none"/>
                <w14:textFill>
                  <w14:solidFill>
                    <w14:schemeClr w14:val="tx1"/>
                  </w14:solidFill>
                </w14:textFill>
              </w:rPr>
              <w:t>380/400 3W+N+PE</w:t>
            </w:r>
          </w:p>
        </w:tc>
      </w:tr>
      <w:tr w14:paraId="67A12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013" w:type="pct"/>
            <w:vMerge w:val="continue"/>
            <w:tcBorders>
              <w:top w:val="nil"/>
              <w:bottom w:val="nil"/>
            </w:tcBorders>
            <w:vAlign w:val="center"/>
          </w:tcPr>
          <w:p w14:paraId="52FB8473">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16150785">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1"/>
                <w:szCs w:val="21"/>
                <w:highlight w:val="none"/>
                <w14:textFill>
                  <w14:solidFill>
                    <w14:schemeClr w14:val="tx1"/>
                  </w14:solidFill>
                </w14:textFill>
              </w:rPr>
              <w:t>允许电网电压</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pacing w:val="-1"/>
                <w:szCs w:val="21"/>
                <w:highlight w:val="none"/>
                <w14:textFill>
                  <w14:solidFill>
                    <w14:schemeClr w14:val="tx1"/>
                  </w14:solidFill>
                </w14:textFill>
              </w:rPr>
              <w:t>V</w:t>
            </w:r>
            <w:r>
              <w:rPr>
                <w:rFonts w:hint="eastAsia" w:ascii="宋体" w:hAnsi="宋体" w:eastAsia="宋体" w:cs="宋体"/>
                <w:color w:val="000000" w:themeColor="text1"/>
                <w:szCs w:val="21"/>
                <w:highlight w:val="none"/>
                <w14:textFill>
                  <w14:solidFill>
                    <w14:schemeClr w14:val="tx1"/>
                  </w14:solidFill>
                </w14:textFill>
              </w:rPr>
              <w:t>)</w:t>
            </w:r>
          </w:p>
        </w:tc>
        <w:tc>
          <w:tcPr>
            <w:tcW w:w="2113" w:type="pct"/>
            <w:vAlign w:val="bottom"/>
          </w:tcPr>
          <w:p w14:paraId="3FCE47B1">
            <w:pPr>
              <w:spacing w:line="360" w:lineRule="auto"/>
              <w:jc w:val="center"/>
              <w:rPr>
                <w:rFonts w:ascii="宋体" w:hAnsi="宋体" w:eastAsia="宋体" w:cs="宋体"/>
                <w:color w:val="000000" w:themeColor="text1"/>
                <w:spacing w:val="1"/>
                <w:szCs w:val="21"/>
                <w:highlight w:val="none"/>
                <w14:textFill>
                  <w14:solidFill>
                    <w14:schemeClr w14:val="tx1"/>
                  </w14:solidFill>
                </w14:textFill>
              </w:rPr>
            </w:pPr>
            <w:r>
              <w:rPr>
                <w:rFonts w:hint="eastAsia" w:ascii="宋体" w:hAnsi="宋体" w:eastAsia="宋体" w:cs="宋体"/>
                <w:color w:val="000000" w:themeColor="text1"/>
                <w:spacing w:val="3"/>
                <w:szCs w:val="21"/>
                <w:highlight w:val="none"/>
                <w14:textFill>
                  <w14:solidFill>
                    <w14:schemeClr w14:val="tx1"/>
                  </w14:solidFill>
                </w14:textFill>
              </w:rPr>
              <w:t>320~48</w:t>
            </w:r>
            <w:r>
              <w:rPr>
                <w:rFonts w:hint="eastAsia" w:ascii="宋体" w:hAnsi="宋体" w:eastAsia="宋体" w:cs="宋体"/>
                <w:color w:val="000000" w:themeColor="text1"/>
                <w:spacing w:val="2"/>
                <w:szCs w:val="21"/>
                <w:highlight w:val="none"/>
                <w14:textFill>
                  <w14:solidFill>
                    <w14:schemeClr w14:val="tx1"/>
                  </w14:solidFill>
                </w14:textFill>
              </w:rPr>
              <w:t>0</w:t>
            </w:r>
          </w:p>
        </w:tc>
      </w:tr>
      <w:tr w14:paraId="5C825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013" w:type="pct"/>
            <w:vMerge w:val="continue"/>
            <w:tcBorders>
              <w:top w:val="nil"/>
              <w:bottom w:val="nil"/>
            </w:tcBorders>
            <w:vAlign w:val="center"/>
          </w:tcPr>
          <w:p w14:paraId="2CFB1603">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37882C5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额定输出电流(A)</w:t>
            </w:r>
          </w:p>
        </w:tc>
        <w:tc>
          <w:tcPr>
            <w:tcW w:w="2113" w:type="pct"/>
            <w:vAlign w:val="bottom"/>
          </w:tcPr>
          <w:p w14:paraId="7E1A92E5">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1"/>
                <w:szCs w:val="21"/>
                <w:highlight w:val="none"/>
                <w14:textFill>
                  <w14:solidFill>
                    <w14:schemeClr w14:val="tx1"/>
                  </w14:solidFill>
                </w14:textFill>
              </w:rPr>
              <w:t>167.2/158.8</w:t>
            </w:r>
          </w:p>
        </w:tc>
      </w:tr>
      <w:tr w14:paraId="44E3C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013" w:type="pct"/>
            <w:vMerge w:val="continue"/>
            <w:tcBorders>
              <w:top w:val="nil"/>
              <w:bottom w:val="nil"/>
            </w:tcBorders>
            <w:vAlign w:val="center"/>
          </w:tcPr>
          <w:p w14:paraId="0EEACF99">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612ADE5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1"/>
                <w:szCs w:val="21"/>
                <w:highlight w:val="none"/>
                <w14:textFill>
                  <w14:solidFill>
                    <w14:schemeClr w14:val="tx1"/>
                  </w14:solidFill>
                </w14:textFill>
              </w:rPr>
              <w:t>最大输</w:t>
            </w:r>
            <w:r>
              <w:rPr>
                <w:rFonts w:hint="eastAsia" w:ascii="宋体" w:hAnsi="宋体" w:eastAsia="宋体" w:cs="宋体"/>
                <w:color w:val="000000" w:themeColor="text1"/>
                <w:szCs w:val="21"/>
                <w:highlight w:val="none"/>
                <w14:textFill>
                  <w14:solidFill>
                    <w14:schemeClr w14:val="tx1"/>
                  </w14:solidFill>
                </w14:textFill>
              </w:rPr>
              <w:t>出电流(A)</w:t>
            </w:r>
          </w:p>
        </w:tc>
        <w:tc>
          <w:tcPr>
            <w:tcW w:w="2113" w:type="pct"/>
            <w:vAlign w:val="bottom"/>
          </w:tcPr>
          <w:p w14:paraId="449FE36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185</w:t>
            </w:r>
            <w:r>
              <w:rPr>
                <w:rFonts w:hint="eastAsia" w:ascii="宋体" w:hAnsi="宋体" w:eastAsia="宋体" w:cs="宋体"/>
                <w:color w:val="000000" w:themeColor="text1"/>
                <w:spacing w:val="1"/>
                <w:szCs w:val="21"/>
                <w:highlight w:val="none"/>
                <w14:textFill>
                  <w14:solidFill>
                    <w14:schemeClr w14:val="tx1"/>
                  </w14:solidFill>
                </w14:textFill>
              </w:rPr>
              <w:t>.7/176.4</w:t>
            </w:r>
          </w:p>
        </w:tc>
      </w:tr>
      <w:tr w14:paraId="7333C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013" w:type="pct"/>
            <w:vMerge w:val="continue"/>
            <w:tcBorders>
              <w:top w:val="nil"/>
              <w:bottom w:val="nil"/>
            </w:tcBorders>
            <w:vAlign w:val="center"/>
          </w:tcPr>
          <w:p w14:paraId="71E303AB">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2D10B97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额定输出频率(Hz)</w:t>
            </w:r>
          </w:p>
        </w:tc>
        <w:tc>
          <w:tcPr>
            <w:tcW w:w="2113" w:type="pct"/>
            <w:vAlign w:val="bottom"/>
          </w:tcPr>
          <w:p w14:paraId="75A9191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3"/>
                <w:szCs w:val="21"/>
                <w:highlight w:val="none"/>
                <w14:textFill>
                  <w14:solidFill>
                    <w14:schemeClr w14:val="tx1"/>
                  </w14:solidFill>
                </w14:textFill>
              </w:rPr>
              <w:t>5</w:t>
            </w:r>
            <w:r>
              <w:rPr>
                <w:rFonts w:hint="eastAsia" w:ascii="宋体" w:hAnsi="宋体" w:eastAsia="宋体" w:cs="宋体"/>
                <w:color w:val="000000" w:themeColor="text1"/>
                <w:spacing w:val="-2"/>
                <w:szCs w:val="21"/>
                <w:highlight w:val="none"/>
                <w14:textFill>
                  <w14:solidFill>
                    <w14:schemeClr w14:val="tx1"/>
                  </w14:solidFill>
                </w14:textFill>
              </w:rPr>
              <w:t>0</w:t>
            </w:r>
          </w:p>
        </w:tc>
      </w:tr>
      <w:tr w14:paraId="6FC02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013" w:type="pct"/>
            <w:vMerge w:val="continue"/>
            <w:tcBorders>
              <w:top w:val="nil"/>
            </w:tcBorders>
            <w:vAlign w:val="center"/>
          </w:tcPr>
          <w:p w14:paraId="23C7BE41">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40DA83F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8"/>
                <w:szCs w:val="21"/>
                <w:highlight w:val="none"/>
                <w14:textFill>
                  <w14:solidFill>
                    <w14:schemeClr w14:val="tx1"/>
                  </w14:solidFill>
                </w14:textFill>
              </w:rPr>
              <w:t>功</w:t>
            </w:r>
            <w:r>
              <w:rPr>
                <w:rFonts w:hint="eastAsia" w:ascii="宋体" w:hAnsi="宋体" w:eastAsia="宋体" w:cs="宋体"/>
                <w:color w:val="000000" w:themeColor="text1"/>
                <w:spacing w:val="6"/>
                <w:szCs w:val="21"/>
                <w:highlight w:val="none"/>
                <w14:textFill>
                  <w14:solidFill>
                    <w14:schemeClr w14:val="tx1"/>
                  </w14:solidFill>
                </w14:textFill>
              </w:rPr>
              <w:t>率因数</w:t>
            </w:r>
          </w:p>
        </w:tc>
        <w:tc>
          <w:tcPr>
            <w:tcW w:w="2113" w:type="pct"/>
            <w:vAlign w:val="bottom"/>
          </w:tcPr>
          <w:p w14:paraId="1A05E8C9">
            <w:pPr>
              <w:spacing w:line="360" w:lineRule="auto"/>
              <w:jc w:val="center"/>
              <w:rPr>
                <w:rFonts w:ascii="宋体" w:hAnsi="宋体" w:eastAsia="宋体" w:cs="宋体"/>
                <w:color w:val="000000" w:themeColor="text1"/>
                <w:szCs w:val="21"/>
                <w:highlight w:val="none"/>
                <w14:textFill>
                  <w14:solidFill>
                    <w14:schemeClr w14:val="tx1"/>
                  </w14:solidFill>
                </w14:textFill>
              </w:rPr>
            </w:pPr>
            <w:bookmarkStart w:id="434" w:name="OLE_LINK54"/>
            <w:r>
              <w:rPr>
                <w:rFonts w:hint="eastAsia" w:ascii="宋体" w:hAnsi="宋体" w:eastAsia="宋体" w:cs="宋体"/>
                <w:color w:val="000000" w:themeColor="text1"/>
                <w:spacing w:val="-2"/>
                <w:szCs w:val="21"/>
                <w:highlight w:val="none"/>
                <w14:textFill>
                  <w14:solidFill>
                    <w14:schemeClr w14:val="tx1"/>
                  </w14:solidFill>
                </w14:textFill>
              </w:rPr>
              <w:t>0</w:t>
            </w:r>
            <w:r>
              <w:rPr>
                <w:rFonts w:hint="eastAsia" w:ascii="宋体" w:hAnsi="宋体" w:eastAsia="宋体" w:cs="宋体"/>
                <w:color w:val="000000" w:themeColor="text1"/>
                <w:spacing w:val="-1"/>
                <w:szCs w:val="21"/>
                <w:highlight w:val="none"/>
                <w14:textFill>
                  <w14:solidFill>
                    <w14:schemeClr w14:val="tx1"/>
                  </w14:solidFill>
                </w14:textFill>
              </w:rPr>
              <w:t>.8超前...0.8滞后</w:t>
            </w:r>
            <w:bookmarkEnd w:id="434"/>
          </w:p>
        </w:tc>
      </w:tr>
      <w:tr w14:paraId="66CF7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013" w:type="pct"/>
            <w:vMerge w:val="restart"/>
            <w:tcBorders>
              <w:bottom w:val="nil"/>
            </w:tcBorders>
            <w:vAlign w:val="center"/>
          </w:tcPr>
          <w:p w14:paraId="3AB669E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7"/>
                <w:szCs w:val="21"/>
                <w:highlight w:val="none"/>
                <w14:textFill>
                  <w14:solidFill>
                    <w14:schemeClr w14:val="tx1"/>
                  </w14:solidFill>
                </w14:textFill>
              </w:rPr>
              <w:t>系</w:t>
            </w:r>
            <w:r>
              <w:rPr>
                <w:rFonts w:hint="eastAsia" w:ascii="宋体" w:hAnsi="宋体" w:eastAsia="宋体" w:cs="宋体"/>
                <w:color w:val="000000" w:themeColor="text1"/>
                <w:spacing w:val="6"/>
                <w:szCs w:val="21"/>
                <w:highlight w:val="none"/>
                <w14:textFill>
                  <w14:solidFill>
                    <w14:schemeClr w14:val="tx1"/>
                  </w14:solidFill>
                </w14:textFill>
              </w:rPr>
              <w:t>统特性</w:t>
            </w:r>
          </w:p>
        </w:tc>
        <w:tc>
          <w:tcPr>
            <w:tcW w:w="1873" w:type="pct"/>
            <w:vAlign w:val="bottom"/>
          </w:tcPr>
          <w:p w14:paraId="030A7CF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最大效率(</w:t>
            </w:r>
            <w:r>
              <w:rPr>
                <w:rFonts w:hint="eastAsia" w:ascii="宋体" w:hAnsi="宋体" w:eastAsia="宋体" w:cs="宋体"/>
                <w:color w:val="000000" w:themeColor="text1"/>
                <w:spacing w:val="6"/>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c>
          <w:tcPr>
            <w:tcW w:w="2113" w:type="pct"/>
            <w:vAlign w:val="bottom"/>
          </w:tcPr>
          <w:p w14:paraId="44680D35">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4"/>
                <w:szCs w:val="21"/>
                <w:highlight w:val="none"/>
                <w14:textFill>
                  <w14:solidFill>
                    <w14:schemeClr w14:val="tx1"/>
                  </w14:solidFill>
                </w14:textFill>
              </w:rPr>
              <w:t>98.</w:t>
            </w:r>
            <w:r>
              <w:rPr>
                <w:rFonts w:hint="eastAsia" w:ascii="宋体" w:hAnsi="宋体" w:eastAsia="宋体" w:cs="宋体"/>
                <w:color w:val="000000" w:themeColor="text1"/>
                <w:spacing w:val="3"/>
                <w:szCs w:val="21"/>
                <w:highlight w:val="none"/>
                <w14:textFill>
                  <w14:solidFill>
                    <w14:schemeClr w14:val="tx1"/>
                  </w14:solidFill>
                </w14:textFill>
              </w:rPr>
              <w:t>6</w:t>
            </w:r>
          </w:p>
        </w:tc>
      </w:tr>
      <w:tr w14:paraId="46F4F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013" w:type="pct"/>
            <w:vMerge w:val="continue"/>
            <w:tcBorders>
              <w:top w:val="nil"/>
              <w:bottom w:val="nil"/>
            </w:tcBorders>
            <w:vAlign w:val="center"/>
          </w:tcPr>
          <w:p w14:paraId="3FA45112">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1DC6EF6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4"/>
                <w:szCs w:val="21"/>
                <w:highlight w:val="none"/>
                <w14:textFill>
                  <w14:solidFill>
                    <w14:schemeClr w14:val="tx1"/>
                  </w14:solidFill>
                </w14:textFill>
              </w:rPr>
              <w:t>中</w:t>
            </w:r>
            <w:r>
              <w:rPr>
                <w:rFonts w:hint="eastAsia" w:ascii="宋体" w:hAnsi="宋体" w:eastAsia="宋体" w:cs="宋体"/>
                <w:color w:val="000000" w:themeColor="text1"/>
                <w:spacing w:val="3"/>
                <w:szCs w:val="21"/>
                <w:highlight w:val="none"/>
                <w14:textFill>
                  <w14:solidFill>
                    <w14:schemeClr w14:val="tx1"/>
                  </w14:solidFill>
                </w14:textFill>
              </w:rPr>
              <w:t>国</w:t>
            </w:r>
            <w:r>
              <w:rPr>
                <w:rFonts w:hint="eastAsia" w:ascii="宋体" w:hAnsi="宋体" w:eastAsia="宋体" w:cs="宋体"/>
                <w:color w:val="000000" w:themeColor="text1"/>
                <w:spacing w:val="2"/>
                <w:szCs w:val="21"/>
                <w:highlight w:val="none"/>
                <w14:textFill>
                  <w14:solidFill>
                    <w14:schemeClr w14:val="tx1"/>
                  </w14:solidFill>
                </w14:textFill>
              </w:rPr>
              <w:t>效率</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pacing w:val="2"/>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c>
          <w:tcPr>
            <w:tcW w:w="2113" w:type="pct"/>
            <w:vAlign w:val="bottom"/>
          </w:tcPr>
          <w:p w14:paraId="73DB811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4"/>
                <w:szCs w:val="21"/>
                <w:highlight w:val="none"/>
                <w14:textFill>
                  <w14:solidFill>
                    <w14:schemeClr w14:val="tx1"/>
                  </w14:solidFill>
                </w14:textFill>
              </w:rPr>
              <w:t>98.</w:t>
            </w:r>
            <w:r>
              <w:rPr>
                <w:rFonts w:hint="eastAsia" w:ascii="宋体" w:hAnsi="宋体" w:eastAsia="宋体" w:cs="宋体"/>
                <w:color w:val="000000" w:themeColor="text1"/>
                <w:spacing w:val="3"/>
                <w:szCs w:val="21"/>
                <w:highlight w:val="none"/>
                <w14:textFill>
                  <w14:solidFill>
                    <w14:schemeClr w14:val="tx1"/>
                  </w14:solidFill>
                </w14:textFill>
              </w:rPr>
              <w:t>1</w:t>
            </w:r>
          </w:p>
        </w:tc>
      </w:tr>
      <w:tr w14:paraId="287D5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013" w:type="pct"/>
            <w:vMerge w:val="continue"/>
            <w:tcBorders>
              <w:top w:val="nil"/>
              <w:bottom w:val="nil"/>
            </w:tcBorders>
            <w:vAlign w:val="center"/>
          </w:tcPr>
          <w:p w14:paraId="3E31378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012C09D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4"/>
                <w:szCs w:val="21"/>
                <w:highlight w:val="none"/>
                <w14:textFill>
                  <w14:solidFill>
                    <w14:schemeClr w14:val="tx1"/>
                  </w14:solidFill>
                </w14:textFill>
              </w:rPr>
              <w:t>防护等</w:t>
            </w:r>
            <w:r>
              <w:rPr>
                <w:rFonts w:hint="eastAsia" w:ascii="宋体" w:hAnsi="宋体" w:eastAsia="宋体" w:cs="宋体"/>
                <w:color w:val="000000" w:themeColor="text1"/>
                <w:spacing w:val="3"/>
                <w:szCs w:val="21"/>
                <w:highlight w:val="none"/>
                <w14:textFill>
                  <w14:solidFill>
                    <w14:schemeClr w14:val="tx1"/>
                  </w14:solidFill>
                </w14:textFill>
              </w:rPr>
              <w:t>级</w:t>
            </w:r>
          </w:p>
        </w:tc>
        <w:tc>
          <w:tcPr>
            <w:tcW w:w="2113" w:type="pct"/>
            <w:vAlign w:val="bottom"/>
          </w:tcPr>
          <w:p w14:paraId="11814D4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1"/>
                <w:szCs w:val="21"/>
                <w:highlight w:val="none"/>
                <w14:textFill>
                  <w14:solidFill>
                    <w14:schemeClr w14:val="tx1"/>
                  </w14:solidFill>
                </w14:textFill>
              </w:rPr>
              <w:t>I</w:t>
            </w:r>
            <w:r>
              <w:rPr>
                <w:rFonts w:hint="eastAsia" w:ascii="宋体" w:hAnsi="宋体" w:eastAsia="宋体" w:cs="宋体"/>
                <w:color w:val="000000" w:themeColor="text1"/>
                <w:szCs w:val="21"/>
                <w:highlight w:val="none"/>
                <w14:textFill>
                  <w14:solidFill>
                    <w14:schemeClr w14:val="tx1"/>
                  </w14:solidFill>
                </w14:textFill>
              </w:rPr>
              <w:t>P</w:t>
            </w:r>
            <w:r>
              <w:rPr>
                <w:rFonts w:hint="eastAsia" w:ascii="宋体" w:hAnsi="宋体" w:eastAsia="宋体" w:cs="宋体"/>
                <w:color w:val="000000" w:themeColor="text1"/>
                <w:spacing w:val="-1"/>
                <w:szCs w:val="21"/>
                <w:highlight w:val="none"/>
                <w14:textFill>
                  <w14:solidFill>
                    <w14:schemeClr w14:val="tx1"/>
                  </w14:solidFill>
                </w14:textFill>
              </w:rPr>
              <w:t>66</w:t>
            </w:r>
          </w:p>
        </w:tc>
      </w:tr>
      <w:tr w14:paraId="3724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013" w:type="pct"/>
            <w:vMerge w:val="continue"/>
            <w:tcBorders>
              <w:top w:val="nil"/>
              <w:bottom w:val="nil"/>
            </w:tcBorders>
            <w:vAlign w:val="center"/>
          </w:tcPr>
          <w:p w14:paraId="6C92C61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55C64B7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夜间自耗电</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pacing w:val="-2"/>
                <w:szCs w:val="21"/>
                <w:highlight w:val="none"/>
                <w14:textFill>
                  <w14:solidFill>
                    <w14:schemeClr w14:val="tx1"/>
                  </w14:solidFill>
                </w14:textFill>
              </w:rPr>
              <w:t>W</w:t>
            </w:r>
            <w:r>
              <w:rPr>
                <w:rFonts w:hint="eastAsia" w:ascii="宋体" w:hAnsi="宋体" w:eastAsia="宋体" w:cs="宋体"/>
                <w:color w:val="000000" w:themeColor="text1"/>
                <w:szCs w:val="21"/>
                <w:highlight w:val="none"/>
                <w14:textFill>
                  <w14:solidFill>
                    <w14:schemeClr w14:val="tx1"/>
                  </w14:solidFill>
                </w14:textFill>
              </w:rPr>
              <w:t>)</w:t>
            </w:r>
          </w:p>
        </w:tc>
        <w:tc>
          <w:tcPr>
            <w:tcW w:w="2113" w:type="pct"/>
            <w:vAlign w:val="bottom"/>
          </w:tcPr>
          <w:p w14:paraId="3349F41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7"/>
                <w:position w:val="1"/>
                <w:szCs w:val="21"/>
                <w:highlight w:val="none"/>
                <w14:textFill>
                  <w14:solidFill>
                    <w14:schemeClr w14:val="tx1"/>
                  </w14:solidFill>
                </w14:textFill>
              </w:rPr>
              <w:t>≤</w:t>
            </w:r>
            <w:r>
              <w:rPr>
                <w:rFonts w:hint="eastAsia" w:ascii="宋体" w:hAnsi="宋体" w:eastAsia="宋体" w:cs="宋体"/>
                <w:color w:val="000000" w:themeColor="text1"/>
                <w:spacing w:val="-5"/>
                <w:position w:val="1"/>
                <w:szCs w:val="21"/>
                <w:highlight w:val="none"/>
                <w14:textFill>
                  <w14:solidFill>
                    <w14:schemeClr w14:val="tx1"/>
                  </w14:solidFill>
                </w14:textFill>
              </w:rPr>
              <w:t>4</w:t>
            </w:r>
          </w:p>
        </w:tc>
      </w:tr>
      <w:tr w14:paraId="25D37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013" w:type="pct"/>
            <w:vMerge w:val="continue"/>
            <w:tcBorders>
              <w:top w:val="nil"/>
              <w:bottom w:val="nil"/>
            </w:tcBorders>
            <w:vAlign w:val="center"/>
          </w:tcPr>
          <w:p w14:paraId="1F12DA43">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314C022D">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8"/>
                <w:szCs w:val="21"/>
                <w:highlight w:val="none"/>
                <w14:textFill>
                  <w14:solidFill>
                    <w14:schemeClr w14:val="tx1"/>
                  </w14:solidFill>
                </w14:textFill>
              </w:rPr>
              <w:t>环境温度</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pacing w:val="8"/>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c>
          <w:tcPr>
            <w:tcW w:w="2113" w:type="pct"/>
            <w:vAlign w:val="bottom"/>
          </w:tcPr>
          <w:p w14:paraId="4BFC36EA">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4"/>
                <w:position w:val="1"/>
                <w:szCs w:val="21"/>
                <w:highlight w:val="none"/>
                <w14:textFill>
                  <w14:solidFill>
                    <w14:schemeClr w14:val="tx1"/>
                  </w14:solidFill>
                </w14:textFill>
              </w:rPr>
              <w:t xml:space="preserve">-25 </w:t>
            </w:r>
            <w:r>
              <w:rPr>
                <w:rFonts w:hint="eastAsia" w:ascii="宋体" w:hAnsi="宋体" w:eastAsia="宋体" w:cs="宋体"/>
                <w:color w:val="000000" w:themeColor="text1"/>
                <w:spacing w:val="5"/>
                <w:szCs w:val="21"/>
                <w:highlight w:val="none"/>
                <w14:textFill>
                  <w14:solidFill>
                    <w14:schemeClr w14:val="tx1"/>
                  </w14:solidFill>
                </w14:textFill>
              </w:rPr>
              <w:t>⁓</w:t>
            </w:r>
            <w:r>
              <w:rPr>
                <w:rFonts w:hint="eastAsia" w:ascii="宋体" w:hAnsi="宋体" w:eastAsia="宋体" w:cs="宋体"/>
                <w:color w:val="000000" w:themeColor="text1"/>
                <w:spacing w:val="4"/>
                <w:position w:val="1"/>
                <w:szCs w:val="21"/>
                <w:highlight w:val="none"/>
                <w14:textFill>
                  <w14:solidFill>
                    <w14:schemeClr w14:val="tx1"/>
                  </w14:solidFill>
                </w14:textFill>
              </w:rPr>
              <w:t>6</w:t>
            </w:r>
            <w:r>
              <w:rPr>
                <w:rFonts w:hint="eastAsia" w:ascii="宋体" w:hAnsi="宋体" w:eastAsia="宋体" w:cs="宋体"/>
                <w:color w:val="000000" w:themeColor="text1"/>
                <w:spacing w:val="3"/>
                <w:position w:val="1"/>
                <w:szCs w:val="21"/>
                <w:highlight w:val="none"/>
                <w14:textFill>
                  <w14:solidFill>
                    <w14:schemeClr w14:val="tx1"/>
                  </w14:solidFill>
                </w14:textFill>
              </w:rPr>
              <w:t>0</w:t>
            </w:r>
          </w:p>
        </w:tc>
      </w:tr>
      <w:tr w14:paraId="1D882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013" w:type="pct"/>
            <w:vMerge w:val="continue"/>
            <w:tcBorders>
              <w:top w:val="nil"/>
              <w:bottom w:val="nil"/>
            </w:tcBorders>
            <w:vAlign w:val="center"/>
          </w:tcPr>
          <w:p w14:paraId="3D4FF45C">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3F5E4CBB">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7"/>
                <w:szCs w:val="21"/>
                <w:highlight w:val="none"/>
                <w14:textFill>
                  <w14:solidFill>
                    <w14:schemeClr w14:val="tx1"/>
                  </w14:solidFill>
                </w14:textFill>
              </w:rPr>
              <w:t>冷却方式</w:t>
            </w:r>
          </w:p>
        </w:tc>
        <w:tc>
          <w:tcPr>
            <w:tcW w:w="2113" w:type="pct"/>
            <w:vAlign w:val="bottom"/>
          </w:tcPr>
          <w:p w14:paraId="1FB27D93">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智能风冷</w:t>
            </w:r>
          </w:p>
        </w:tc>
      </w:tr>
      <w:tr w14:paraId="78A83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013" w:type="pct"/>
            <w:vMerge w:val="continue"/>
            <w:tcBorders>
              <w:top w:val="nil"/>
            </w:tcBorders>
            <w:vAlign w:val="center"/>
          </w:tcPr>
          <w:p w14:paraId="0BACD6B7">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00B5DB5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7"/>
                <w:szCs w:val="21"/>
                <w:highlight w:val="none"/>
                <w14:textFill>
                  <w14:solidFill>
                    <w14:schemeClr w14:val="tx1"/>
                  </w14:solidFill>
                </w14:textFill>
              </w:rPr>
              <w:t>允许相对湿度</w:t>
            </w:r>
          </w:p>
        </w:tc>
        <w:tc>
          <w:tcPr>
            <w:tcW w:w="2113" w:type="pct"/>
            <w:vAlign w:val="bottom"/>
          </w:tcPr>
          <w:p w14:paraId="5BAC3633">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8"/>
                <w:szCs w:val="21"/>
                <w:highlight w:val="none"/>
                <w14:textFill>
                  <w14:solidFill>
                    <w14:schemeClr w14:val="tx1"/>
                  </w14:solidFill>
                </w14:textFill>
              </w:rPr>
              <w:t xml:space="preserve">0 </w:t>
            </w:r>
            <w:r>
              <w:rPr>
                <w:rFonts w:hint="eastAsia" w:ascii="宋体" w:hAnsi="宋体" w:eastAsia="宋体" w:cs="宋体"/>
                <w:color w:val="000000" w:themeColor="text1"/>
                <w:spacing w:val="5"/>
                <w:szCs w:val="21"/>
                <w:highlight w:val="none"/>
                <w14:textFill>
                  <w14:solidFill>
                    <w14:schemeClr w14:val="tx1"/>
                  </w14:solidFill>
                </w14:textFill>
              </w:rPr>
              <w:t>⁓100% 无冷凝</w:t>
            </w:r>
          </w:p>
        </w:tc>
      </w:tr>
      <w:tr w14:paraId="0F884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013" w:type="pct"/>
            <w:vMerge w:val="restart"/>
            <w:tcBorders>
              <w:bottom w:val="nil"/>
            </w:tcBorders>
            <w:vAlign w:val="center"/>
          </w:tcPr>
          <w:p w14:paraId="68A20DC0">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7"/>
                <w:szCs w:val="21"/>
                <w:highlight w:val="none"/>
                <w14:textFill>
                  <w14:solidFill>
                    <w14:schemeClr w14:val="tx1"/>
                  </w14:solidFill>
                </w14:textFill>
              </w:rPr>
              <w:t>显示与通</w:t>
            </w:r>
            <w:r>
              <w:rPr>
                <w:rFonts w:hint="eastAsia" w:ascii="宋体" w:hAnsi="宋体" w:eastAsia="宋体" w:cs="宋体"/>
                <w:color w:val="000000" w:themeColor="text1"/>
                <w:spacing w:val="6"/>
                <w:szCs w:val="21"/>
                <w:highlight w:val="none"/>
                <w14:textFill>
                  <w14:solidFill>
                    <w14:schemeClr w14:val="tx1"/>
                  </w14:solidFill>
                </w14:textFill>
              </w:rPr>
              <w:t>讯</w:t>
            </w:r>
          </w:p>
        </w:tc>
        <w:tc>
          <w:tcPr>
            <w:tcW w:w="1873" w:type="pct"/>
            <w:vAlign w:val="bottom"/>
          </w:tcPr>
          <w:p w14:paraId="2BF6712B">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显示</w:t>
            </w:r>
          </w:p>
        </w:tc>
        <w:tc>
          <w:tcPr>
            <w:tcW w:w="2113" w:type="pct"/>
            <w:vAlign w:val="bottom"/>
          </w:tcPr>
          <w:p w14:paraId="2860401C">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LED</w:t>
            </w:r>
            <w:r>
              <w:rPr>
                <w:rFonts w:hint="eastAsia" w:ascii="宋体" w:hAnsi="宋体" w:eastAsia="宋体" w:cs="宋体"/>
                <w:color w:val="000000" w:themeColor="text1"/>
                <w:spacing w:val="4"/>
                <w:szCs w:val="21"/>
                <w:highlight w:val="none"/>
                <w14:textFill>
                  <w14:solidFill>
                    <w14:schemeClr w14:val="tx1"/>
                  </w14:solidFill>
                </w14:textFill>
              </w:rPr>
              <w:t>指示灯、蓝牙+</w:t>
            </w:r>
            <w:r>
              <w:rPr>
                <w:rFonts w:hint="eastAsia" w:ascii="宋体" w:hAnsi="宋体" w:eastAsia="宋体" w:cs="宋体"/>
                <w:color w:val="000000" w:themeColor="text1"/>
                <w:szCs w:val="21"/>
                <w:highlight w:val="none"/>
                <w14:textFill>
                  <w14:solidFill>
                    <w14:schemeClr w14:val="tx1"/>
                  </w14:solidFill>
                </w14:textFill>
              </w:rPr>
              <w:t>APP</w:t>
            </w:r>
          </w:p>
        </w:tc>
      </w:tr>
      <w:tr w14:paraId="2BE87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013" w:type="pct"/>
            <w:vMerge w:val="continue"/>
            <w:tcBorders>
              <w:top w:val="nil"/>
            </w:tcBorders>
            <w:vAlign w:val="center"/>
          </w:tcPr>
          <w:p w14:paraId="796EB10E">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1873" w:type="pct"/>
            <w:vAlign w:val="bottom"/>
          </w:tcPr>
          <w:p w14:paraId="268B5402">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9"/>
                <w:szCs w:val="21"/>
                <w:highlight w:val="none"/>
                <w14:textFill>
                  <w14:solidFill>
                    <w14:schemeClr w14:val="tx1"/>
                  </w14:solidFill>
                </w14:textFill>
              </w:rPr>
              <w:t>通</w:t>
            </w:r>
            <w:r>
              <w:rPr>
                <w:rFonts w:hint="eastAsia" w:ascii="宋体" w:hAnsi="宋体" w:eastAsia="宋体" w:cs="宋体"/>
                <w:color w:val="000000" w:themeColor="text1"/>
                <w:spacing w:val="7"/>
                <w:szCs w:val="21"/>
                <w:highlight w:val="none"/>
                <w14:textFill>
                  <w14:solidFill>
                    <w14:schemeClr w14:val="tx1"/>
                  </w14:solidFill>
                </w14:textFill>
              </w:rPr>
              <w:t>讯方式</w:t>
            </w:r>
          </w:p>
        </w:tc>
        <w:tc>
          <w:tcPr>
            <w:tcW w:w="2113" w:type="pct"/>
            <w:vAlign w:val="bottom"/>
          </w:tcPr>
          <w:p w14:paraId="4A22962F">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RS</w:t>
            </w:r>
            <w:r>
              <w:rPr>
                <w:rFonts w:hint="eastAsia" w:ascii="宋体" w:hAnsi="宋体" w:eastAsia="宋体" w:cs="宋体"/>
                <w:color w:val="000000" w:themeColor="text1"/>
                <w:spacing w:val="17"/>
                <w:szCs w:val="21"/>
                <w:highlight w:val="none"/>
                <w14:textFill>
                  <w14:solidFill>
                    <w14:schemeClr w14:val="tx1"/>
                  </w14:solidFill>
                </w14:textFill>
              </w:rPr>
              <w:t>4</w:t>
            </w:r>
            <w:r>
              <w:rPr>
                <w:rFonts w:hint="eastAsia" w:ascii="宋体" w:hAnsi="宋体" w:eastAsia="宋体" w:cs="宋体"/>
                <w:color w:val="000000" w:themeColor="text1"/>
                <w:spacing w:val="15"/>
                <w:szCs w:val="21"/>
                <w:highlight w:val="none"/>
                <w14:textFill>
                  <w14:solidFill>
                    <w14:schemeClr w14:val="tx1"/>
                  </w14:solidFill>
                </w14:textFill>
              </w:rPr>
              <w:t>85、4</w:t>
            </w:r>
            <w:r>
              <w:rPr>
                <w:rFonts w:hint="eastAsia" w:ascii="宋体" w:hAnsi="宋体" w:eastAsia="宋体" w:cs="宋体"/>
                <w:color w:val="000000" w:themeColor="text1"/>
                <w:szCs w:val="21"/>
                <w:highlight w:val="none"/>
                <w14:textFill>
                  <w14:solidFill>
                    <w14:schemeClr w14:val="tx1"/>
                  </w14:solidFill>
                </w14:textFill>
              </w:rPr>
              <w:t>G</w:t>
            </w:r>
          </w:p>
        </w:tc>
      </w:tr>
    </w:tbl>
    <w:p w14:paraId="0F580377">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配置的并网逆变器必须具备最大功率跟踪、绝缘阻抗检测、组串故障检测、残余电流检测、交直流浪涌II级保护、直流反接保护、交流短路保护、漏电流保护、过电流保护、并网保护、温度保护、防孤岛保护、直流开关、电网监控等基本功能并可发出告警信号，需具备良好的电气隔离性，整机符合国家相关标准。</w:t>
      </w:r>
    </w:p>
    <w:p w14:paraId="3E89A148">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（3）配置的并网逆变器须可进行高精度组串检测及智能I-V曲线扫描诊断，可精确定位异常组串，方便后期运维。</w:t>
      </w:r>
    </w:p>
    <w:p w14:paraId="40FD11B6">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（4）并网逆变器与光伏组件布置采用就近原则，并网逆变器对应的最近距离的光伏组串不能超过5m，接入光伏组串容量与配置并网逆变器功率之间的容配比不得超过1.1。</w:t>
      </w:r>
    </w:p>
    <w:p w14:paraId="479D42B1">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投标人负责并网逆变器运输、卸货、吊装及保管，保管过程中按原包装存放并做好相应的防雨防倒防误撞等保护措施，确保并网逆变器完好，如开箱时有破损则需现场拍照取证，如有损坏需承担更换所需全部费用。</w:t>
      </w:r>
    </w:p>
    <w:p w14:paraId="77145664">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并网逆变器的布置方案须提前与招标人进行确认，需兼顾安全运维、操作方便、避晒通风、抗台风等因素；若是室外安装，并网逆变器上面须加装304不锈钢挡雨遮阳蓬，避免烈日直射暴晒和雨水浸泡；若安装在经常有人员进出的场所，并网逆变器须加装镀锌网格围屏，防止非专业人员误碰导致触电。</w:t>
      </w:r>
    </w:p>
    <w:p w14:paraId="62432F37">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（7）并网逆变器的布置要留有足够的空间以便后期更换，上下留有50cm空间距离，两侧留有100cm以上空间距离，同时离地安装高度要合适，以便观察读取LED显示与运维操作。</w:t>
      </w:r>
    </w:p>
    <w:p w14:paraId="4677389B">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（8）每台并网逆变器必须配置两瓶干粉灭火器和两桶消防沙。</w:t>
      </w:r>
    </w:p>
    <w:p w14:paraId="66C3742A">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（9）支持PLC通讯，项目通电并网后投标人必须负责为安全运维部技术员注册APP监控软件，并将光伏电站现场实时监测数据联通传送至东莞市水务集团科技发展有限公司指定的数据控制中心PC端。</w:t>
      </w:r>
    </w:p>
    <w:p w14:paraId="734C51A3">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5.交流汇流箱技术要求</w:t>
      </w:r>
    </w:p>
    <w:p w14:paraId="51E4C703">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（1）产品质保</w:t>
      </w:r>
      <w:bookmarkStart w:id="435" w:name="OLE_LINK58"/>
      <w:r>
        <w:rPr>
          <w:rFonts w:hint="eastAsia" w:ascii="宋体" w:hAnsi="宋体" w:eastAsia="宋体" w:cs="宋体"/>
          <w:color w:val="000000" w:themeColor="text1"/>
          <w:szCs w:val="21"/>
          <w:highlight w:val="none"/>
          <w14:textFill>
            <w14:solidFill>
              <w14:schemeClr w14:val="tx1"/>
            </w14:solidFill>
          </w14:textFill>
        </w:rPr>
        <w:t>不少于2年，在投标文件中提供质保说明书</w:t>
      </w:r>
      <w:bookmarkEnd w:id="435"/>
      <w:r>
        <w:rPr>
          <w:rFonts w:hint="eastAsia" w:ascii="宋体" w:hAnsi="宋体" w:eastAsia="宋体" w:cs="宋体"/>
          <w:color w:val="000000" w:themeColor="text1"/>
          <w:szCs w:val="21"/>
          <w:highlight w:val="none"/>
          <w14:textFill>
            <w14:solidFill>
              <w14:schemeClr w14:val="tx1"/>
            </w14:solidFill>
          </w14:textFill>
        </w:rPr>
        <w:t>。</w:t>
      </w:r>
    </w:p>
    <w:p w14:paraId="50B38E0A">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（2）电气元件应使用国际国内知名品牌，汇流箱与电气元件均具备国内3C认证。</w:t>
      </w:r>
    </w:p>
    <w:p w14:paraId="135CE835">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（3）内置漏电保护和浪涌保护，采用交直II级防雷保护，整体符合国家相关标准。</w:t>
      </w:r>
    </w:p>
    <w:p w14:paraId="6E44F32C">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（4）箱体的防护等级不低于IP65，适合户外安装，满足防水、防尘、防紫外线、防盐雾、耐腐蚀等，安装位置干燥、通风良好。</w:t>
      </w:r>
    </w:p>
    <w:p w14:paraId="6631C87B">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（5）箱体采用冷扎钢板制作，钢板的厚度≥1.5mm，经过静电喷塑处理，内部全部的金属结构都需经过防腐处理，内外表面平整、光洁，无锈蚀、涂层脱落和磕碰损伤现象。</w:t>
      </w:r>
    </w:p>
    <w:p w14:paraId="1EE50D4C">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（6）箱体内部结构具有足够的机械强度，保证元器件安装后及操作时无摇晃、不变形；元器件安装走线应整齐、可靠、合理布置；电器间绝缘应符合国家有关标准，进出线必须通过接线端子。</w:t>
      </w:r>
    </w:p>
    <w:p w14:paraId="543BE4B1">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（7）箱体内应该针对接入的设备及线路，拥有明显的电气开断元件，能够确保检修时能够逐级断开系统，每个汇流箱必须给出一次及二次接线图。</w:t>
      </w:r>
    </w:p>
    <w:p w14:paraId="18C12A1A">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（8）为避免烈日暴晒或雨淋，交流汇流箱须安装遮阳棚。</w:t>
      </w:r>
    </w:p>
    <w:p w14:paraId="4578EC14">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（9）交流汇流箱的布置要留有足够的空间同时离地安装高度要合适，以便运维操作。</w:t>
      </w:r>
    </w:p>
    <w:p w14:paraId="4B05A3CA">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6.光伏并网柜技术要求</w:t>
      </w:r>
    </w:p>
    <w:p w14:paraId="32696522">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bookmarkStart w:id="436" w:name="OLE_LINK59"/>
      <w:r>
        <w:rPr>
          <w:rFonts w:hint="eastAsia" w:ascii="宋体" w:hAnsi="宋体" w:eastAsia="宋体" w:cs="宋体"/>
          <w:color w:val="000000" w:themeColor="text1"/>
          <w:szCs w:val="21"/>
          <w:highlight w:val="none"/>
          <w14:textFill>
            <w14:solidFill>
              <w14:schemeClr w14:val="tx1"/>
            </w14:solidFill>
          </w14:textFill>
        </w:rPr>
        <w:t>产品质保不少于2年，在投标文件中提供质保说明书</w:t>
      </w:r>
      <w:bookmarkEnd w:id="436"/>
      <w:r>
        <w:rPr>
          <w:rFonts w:hint="eastAsia" w:ascii="宋体" w:hAnsi="宋体" w:eastAsia="宋体" w:cs="宋体"/>
          <w:color w:val="000000" w:themeColor="text1"/>
          <w:szCs w:val="21"/>
          <w:highlight w:val="none"/>
          <w14:textFill>
            <w14:solidFill>
              <w14:schemeClr w14:val="tx1"/>
            </w14:solidFill>
          </w14:textFill>
        </w:rPr>
        <w:t>。</w:t>
      </w:r>
    </w:p>
    <w:p w14:paraId="1059A0A5">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（2）光伏并网柜与电气元件均具备国内3C认证。</w:t>
      </w:r>
    </w:p>
    <w:p w14:paraId="5974A4DE">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光伏并网柜具备被动孤岛检测、有压自动重合闸、失压脱扣、过欠压保护、过电流保护、防雷保护、短路保护、高低频保护、防孤岛保护等基本功能，同时需要加装电气连锁。若当地供电部门要求，还需配置逆功率保护。</w:t>
      </w:r>
    </w:p>
    <w:p w14:paraId="6AE5CB10">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光伏并网柜可以加装计量仓，计量仓带铅封装置，可以有效防止窃电。计量仓内可以安装计量装置和负控装置(一般当地供电局提供)，能很好的记录发电量情况，计量表具备双向计量功能，计量电表数据均接入到监控系统后台。</w:t>
      </w:r>
    </w:p>
    <w:p w14:paraId="0CAC0CAB">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（5）柜体的防护等级不低于IP30，配电房内安装，柜型按照原有配电房开关柜定做，整体符合国家相关标准并通过当地供电部门验收。</w:t>
      </w:r>
    </w:p>
    <w:p w14:paraId="3F6EA64E">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（6）光伏并网柜必须加装镀锌槽钢底座，安装处必须留有足够的运维检修空间且光线充足，方便后期运维操作。</w:t>
      </w:r>
    </w:p>
    <w:p w14:paraId="12EEE24B">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（7）柜体采用冷扎钢板制作，钢板的厚度≥1.5mm，经过静电喷塑处理，内部全部的金属结构都需经过防腐处理，内外表面平整、光洁，无锈蚀、涂层脱落和磕碰损伤现象。</w:t>
      </w:r>
    </w:p>
    <w:p w14:paraId="716C168F">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（8）柜体内部结构具有足够的机械强度，保证元器件安装后及操作时无摇晃、不变形；元器件安装走线应整齐、可靠、合理布置；电器间绝缘应符合国家有关标准，进出线必须通过接线端子。</w:t>
      </w:r>
    </w:p>
    <w:p w14:paraId="5AAA5872">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（9）光伏并网柜每个光伏出线回路需电流表、电压表。</w:t>
      </w:r>
    </w:p>
    <w:p w14:paraId="540FE7DA">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（10）单个光伏并网柜并网容量是否能超过400kW请与当地供电部门确认清楚，当光伏并网柜并网容量超过800kW时，除铜排拼柜外必须采用封闭式铜母线槽，严禁采用电缆；</w:t>
      </w:r>
    </w:p>
    <w:p w14:paraId="013E7941">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（11）柜体内应该针对接入的设备及线路，拥有明显的电气开断元件，能够确保检修时能够逐级断开系统，每个光伏并网柜必须给出一次及二次接线图。</w:t>
      </w:r>
    </w:p>
    <w:p w14:paraId="54BE6B09">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（12）有光伏系统接入的配电房需配置含有光伏并网柜的电力系统图版。</w:t>
      </w:r>
    </w:p>
    <w:p w14:paraId="281D097F">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（13）所有电气设备安装完成后，应进行电气交接试验，并形成记录。</w:t>
      </w:r>
    </w:p>
    <w:p w14:paraId="7D02082D">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7.直流电缆、交流电缆技术要求</w:t>
      </w:r>
    </w:p>
    <w:p w14:paraId="5200ABA5">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（1）本项目涉及的所有线缆（包含但不限于直流电缆、交流电缆、电源线、信号线等）均属投标人承包范围。</w:t>
      </w:r>
    </w:p>
    <w:p w14:paraId="7EC5B82C">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直流侧电缆要以减少线损并防止外界干扰的原则选型，选用双绝缘防紫外线阻燃铜芯光伏专用电缆，电缆性能符合GB/T18950-2003性能测试的要求；交流侧需要考虑敷设的形式和安全来选择，采用5芯阻燃绝缘护套铜芯电缆，若涉及埋管电缆须采用铠装。</w:t>
      </w:r>
    </w:p>
    <w:p w14:paraId="02376B05">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（3）直流部分和交流低压部分的总线路损耗应控制在2%以内。</w:t>
      </w:r>
    </w:p>
    <w:p w14:paraId="23115C2F">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（4）光伏线缆MC4插头制作应严格按规范进行，所有直流电缆做好套管或其他防护措施，防止直流电缆裸露。</w:t>
      </w:r>
    </w:p>
    <w:p w14:paraId="6C0A47D9">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交直流电缆、配线线管和桥架在建筑物、光伏棚结构上的布置应美观，与整个建筑、棚架协调一致，布线应隐蔽，从底部不能明显的看到线缆。各方阵的线缆便于连接，并有足够的强度，线缆连接附件应防水、抗老化。</w:t>
      </w:r>
    </w:p>
    <w:p w14:paraId="61733954">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（6）各类线缆通过TUV、UL、VDE 认证，</w:t>
      </w:r>
      <w:bookmarkStart w:id="437" w:name="OLE_LINK62"/>
      <w:r>
        <w:rPr>
          <w:rFonts w:hint="eastAsia" w:ascii="宋体" w:hAnsi="宋体" w:eastAsia="宋体" w:cs="宋体"/>
          <w:color w:val="000000" w:themeColor="text1"/>
          <w:szCs w:val="21"/>
          <w:highlight w:val="none"/>
          <w14:textFill>
            <w14:solidFill>
              <w14:schemeClr w14:val="tx1"/>
            </w14:solidFill>
          </w14:textFill>
        </w:rPr>
        <w:t>能满足室外30年的使用年限</w:t>
      </w:r>
      <w:bookmarkEnd w:id="437"/>
      <w:r>
        <w:rPr>
          <w:rFonts w:hint="eastAsia" w:ascii="宋体" w:hAnsi="宋体" w:eastAsia="宋体" w:cs="宋体"/>
          <w:color w:val="000000" w:themeColor="text1"/>
          <w:szCs w:val="21"/>
          <w:highlight w:val="none"/>
          <w14:textFill>
            <w14:solidFill>
              <w14:schemeClr w14:val="tx1"/>
            </w14:solidFill>
          </w14:textFill>
        </w:rPr>
        <w:t>。</w:t>
      </w:r>
    </w:p>
    <w:p w14:paraId="1C6B4221">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（7）所有线缆敷设完成后，应进行直流电阻、绝缘电阻、直流耐压/交流耐压试验，并形成记录。</w:t>
      </w:r>
    </w:p>
    <w:p w14:paraId="59D4B411">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8.电缆桥架、电缆管道技术要求</w:t>
      </w:r>
    </w:p>
    <w:p w14:paraId="500CE656">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（1）本项目涉及的所有电缆走廊（包含但不限于电缆桥架、破复路面开挖埋管、顶管、电缆井等）均属投标人承包范围。</w:t>
      </w:r>
    </w:p>
    <w:p w14:paraId="19ED5C3E">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所有电缆桥架必须采用喷涂镀锌桥架，壁厚不少于国标要求，每隔一定距离（支架间距不大于1500mm）必须加装镀锌金属托架（抱箍）固定并做好防锈处理，避免桥架上下部分变形与移位。桥架结合处用非自攻螺钉连接，所有联接件为镀锌材料。所有电缆桥架均密闭，不能看到电缆及接头外露，且保证桥架内的通风、散热，电缆在桥架里占的空间不超过40%。</w:t>
      </w:r>
    </w:p>
    <w:p w14:paraId="41F878AF">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（3）汇流箱和并网逆变器线缆进出线也需考虑转弯半径，预留操作空间，同时PVC管进入桥架采用杯梳固定，电缆进入桥架请做好保护。</w:t>
      </w:r>
    </w:p>
    <w:p w14:paraId="743ABA52">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所有电缆管道均采用套电缆保护管埋管，严禁采用电缆直埋，所有电缆保护管应采用HDPE管，管道直径不低于电缆直径1.5倍，增加C15混凝土垫层并进行混凝土包封，按C30混凝土进行路面恢复至与路面平齐，管道每隔50米和转弯处设电缆井，每隔15米左右设置电缆标志牌。</w:t>
      </w:r>
    </w:p>
    <w:p w14:paraId="0C0AD973">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（5）所有电缆井四周需预埋镀锌角铁包边，内空深度不低于600mm，且电缆井内具备排水措施，以防止积水，井盖板统一采用预制镀锌包边砼盖板并设置电缆标志牌。</w:t>
      </w:r>
    </w:p>
    <w:p w14:paraId="1744B56C">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（6）位于经常有车辆出入得场所，所有电缆管道、电缆井应按行车标准进行设计并安装（有车辆经过的道路电缆井盖厚度不得少于150mm）。</w:t>
      </w:r>
    </w:p>
    <w:p w14:paraId="41F09CE4">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9.防雷系统、接地系统技术要求</w:t>
      </w:r>
    </w:p>
    <w:p w14:paraId="46BFBA8F">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（1）光伏系统应独立设计防雷接地系统,满足雷电防护分区、分级确定的防雷等级要求。各连接点的连接电阻应小于4Ω。接地网的制作应符合国家相关规范要求。屋顶必须有等电位接地地网作为接地连接。</w:t>
      </w:r>
    </w:p>
    <w:p w14:paraId="4464D0B9">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（2）提供的并网逆变器安全可靠，</w:t>
      </w:r>
      <w:bookmarkStart w:id="438" w:name="OLE_LINK64"/>
      <w:r>
        <w:rPr>
          <w:rFonts w:hint="eastAsia" w:ascii="宋体" w:hAnsi="宋体" w:eastAsia="宋体" w:cs="宋体"/>
          <w:color w:val="000000" w:themeColor="text1"/>
          <w:szCs w:val="21"/>
          <w:highlight w:val="none"/>
          <w14:textFill>
            <w14:solidFill>
              <w14:schemeClr w14:val="tx1"/>
            </w14:solidFill>
          </w14:textFill>
        </w:rPr>
        <w:t>能确保25年内有效防止光伏组件PID现象的发生</w:t>
      </w:r>
      <w:bookmarkEnd w:id="438"/>
      <w:r>
        <w:rPr>
          <w:rFonts w:hint="eastAsia" w:ascii="宋体" w:hAnsi="宋体" w:eastAsia="宋体" w:cs="宋体"/>
          <w:color w:val="000000" w:themeColor="text1"/>
          <w:szCs w:val="21"/>
          <w:highlight w:val="none"/>
          <w14:textFill>
            <w14:solidFill>
              <w14:schemeClr w14:val="tx1"/>
            </w14:solidFill>
          </w14:textFill>
        </w:rPr>
        <w:t>。</w:t>
      </w:r>
    </w:p>
    <w:p w14:paraId="6AA81BB3">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（3）带边框的光伏组件防雷接地要牢靠，并网逆变器将外壳可靠接地，避雷扁铁、接地线及接地级要符合规范要求，保障每年防雷接地检测合格。</w:t>
      </w:r>
    </w:p>
    <w:p w14:paraId="4E3BA1B4">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（4）避雷接地网统一采用40*4热镀锌扁钢，垂直接地级统一采用∠40*4热镀锌角钢，连接处严禁采用螺栓固定。</w:t>
      </w:r>
    </w:p>
    <w:p w14:paraId="60B76402">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（5）光伏组件与光伏组件之间、光伏组件与导轨、排水槽之间、排水槽与光伏结构棚架之间、桥架与桥架之间做好不少于</w:t>
      </w:r>
      <w:bookmarkStart w:id="439" w:name="OLE_LINK65"/>
      <w:r>
        <w:rPr>
          <w:rFonts w:hint="eastAsia" w:ascii="宋体" w:hAnsi="宋体" w:eastAsia="宋体" w:cs="宋体"/>
          <w:color w:val="000000" w:themeColor="text1"/>
          <w:szCs w:val="21"/>
          <w:highlight w:val="none"/>
          <w14:textFill>
            <w14:solidFill>
              <w14:schemeClr w14:val="tx1"/>
            </w14:solidFill>
          </w14:textFill>
        </w:rPr>
        <w:t>4mm</w:t>
      </w:r>
      <w:r>
        <w:rPr>
          <w:rFonts w:hint="eastAsia" w:ascii="宋体" w:hAnsi="宋体" w:eastAsia="宋体" w:cs="宋体"/>
          <w:color w:val="000000" w:themeColor="text1"/>
          <w:szCs w:val="21"/>
          <w:highlight w:val="none"/>
          <w:vertAlign w:val="superscript"/>
          <w14:textFill>
            <w14:solidFill>
              <w14:schemeClr w14:val="tx1"/>
            </w14:solidFill>
          </w14:textFill>
        </w:rPr>
        <w:t>2</w:t>
      </w:r>
      <w:bookmarkEnd w:id="439"/>
      <w:r>
        <w:rPr>
          <w:rFonts w:hint="eastAsia" w:ascii="宋体" w:hAnsi="宋体" w:eastAsia="宋体" w:cs="宋体"/>
          <w:color w:val="000000" w:themeColor="text1"/>
          <w:szCs w:val="21"/>
          <w:highlight w:val="none"/>
          <w14:textFill>
            <w14:solidFill>
              <w14:schemeClr w14:val="tx1"/>
            </w14:solidFill>
          </w14:textFill>
        </w:rPr>
        <w:t>的铜线绝缘接地线跨接、等电位连接与接地。</w:t>
      </w:r>
    </w:p>
    <w:p w14:paraId="768496F6">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光伏组件作为建筑一部分，本身要具备很好的防雷措施，与建筑物的防雷带必须进行可靠连接（或与增设的防雷接闪网、接闪带可靠连接）。在并网逆变器、交流汇流箱，光伏并网柜都应该有分级别的防雷防浪涌保护模块，保护相关的电气设备和线路。</w:t>
      </w:r>
    </w:p>
    <w:p w14:paraId="57A04D55">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（7）安装组件的屋面，必须设置接闪网、接闪带进行保护，并应在整个屋面组成不大于20m×20m或24 m×16m的网格。</w:t>
      </w:r>
    </w:p>
    <w:p w14:paraId="3BC39A5C">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（8）防雷设施安装必须符合《建筑物防雷设计规范》GB50057及国家相关规范要求。</w:t>
      </w:r>
    </w:p>
    <w:p w14:paraId="5A058526">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10.视频监控系统技术要求</w:t>
      </w:r>
    </w:p>
    <w:p w14:paraId="20D1F8D2">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提供整套光伏项目的智能型综合自动化系统，实时监测系统的运行情况；该系统集电站设备视频监控、电站发电量整体分析、生产报表等于一体，使光伏电站实现安全、规范、高效、智能的运行，保证电站获得持续稳定的发电收益。本项目中系统监控管理由投标人提供，投标人负责安装调试及配合招标人后期维护。</w:t>
      </w:r>
    </w:p>
    <w:p w14:paraId="324346FD">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bookmarkStart w:id="440" w:name="OLE_LINK174"/>
      <w:r>
        <w:rPr>
          <w:rFonts w:hint="eastAsia" w:ascii="宋体" w:hAnsi="宋体" w:eastAsia="宋体" w:cs="宋体"/>
          <w:color w:val="000000" w:themeColor="text1"/>
          <w:szCs w:val="21"/>
          <w:highlight w:val="none"/>
          <w14:textFill>
            <w14:solidFill>
              <w14:schemeClr w14:val="tx1"/>
            </w14:solidFill>
          </w14:textFill>
        </w:rPr>
        <w:t>视频监控</w:t>
      </w:r>
      <w:bookmarkEnd w:id="440"/>
      <w:r>
        <w:rPr>
          <w:rFonts w:hint="eastAsia" w:ascii="宋体" w:hAnsi="宋体" w:eastAsia="宋体" w:cs="宋体"/>
          <w:color w:val="000000" w:themeColor="text1"/>
          <w:szCs w:val="21"/>
          <w:highlight w:val="none"/>
          <w14:textFill>
            <w14:solidFill>
              <w14:schemeClr w14:val="tx1"/>
            </w14:solidFill>
          </w14:textFill>
        </w:rPr>
        <w:t>采用</w:t>
      </w:r>
      <w:bookmarkStart w:id="441" w:name="OLE_LINK175"/>
      <w:r>
        <w:rPr>
          <w:rFonts w:hint="eastAsia" w:ascii="宋体" w:hAnsi="宋体" w:eastAsia="宋体" w:cs="宋体"/>
          <w:color w:val="000000" w:themeColor="text1"/>
          <w:szCs w:val="21"/>
          <w:highlight w:val="none"/>
          <w14:textFill>
            <w14:solidFill>
              <w14:schemeClr w14:val="tx1"/>
            </w14:solidFill>
          </w14:textFill>
        </w:rPr>
        <w:t>高清光口网络</w:t>
      </w:r>
      <w:bookmarkStart w:id="442" w:name="OLE_LINK176"/>
      <w:r>
        <w:rPr>
          <w:rFonts w:hint="eastAsia" w:ascii="宋体" w:hAnsi="宋体" w:eastAsia="宋体" w:cs="宋体"/>
          <w:color w:val="000000" w:themeColor="text1"/>
          <w:szCs w:val="21"/>
          <w:highlight w:val="none"/>
          <w14:textFill>
            <w14:solidFill>
              <w14:schemeClr w14:val="tx1"/>
            </w14:solidFill>
          </w14:textFill>
        </w:rPr>
        <w:t>摄像机</w:t>
      </w:r>
      <w:bookmarkEnd w:id="442"/>
      <w:r>
        <w:rPr>
          <w:rFonts w:hint="eastAsia" w:ascii="宋体" w:hAnsi="宋体" w:eastAsia="宋体" w:cs="宋体"/>
          <w:color w:val="000000" w:themeColor="text1"/>
          <w:szCs w:val="21"/>
          <w:highlight w:val="none"/>
          <w14:textFill>
            <w14:solidFill>
              <w14:schemeClr w14:val="tx1"/>
            </w14:solidFill>
          </w14:textFill>
        </w:rPr>
        <w:t>加光口高速摄像机</w:t>
      </w:r>
      <w:bookmarkEnd w:id="441"/>
      <w:r>
        <w:rPr>
          <w:rFonts w:hint="eastAsia" w:ascii="宋体" w:hAnsi="宋体" w:eastAsia="宋体" w:cs="宋体"/>
          <w:color w:val="000000" w:themeColor="text1"/>
          <w:szCs w:val="21"/>
          <w:highlight w:val="none"/>
          <w14:textFill>
            <w14:solidFill>
              <w14:schemeClr w14:val="tx1"/>
            </w14:solidFill>
          </w14:textFill>
        </w:rPr>
        <w:t>的模式，招标人能通过投标人提供的网络地址或软件对光伏电站进行实时远程监控，</w:t>
      </w:r>
      <w:bookmarkStart w:id="443" w:name="OLE_LINK180"/>
      <w:r>
        <w:rPr>
          <w:rFonts w:hint="eastAsia" w:ascii="宋体" w:hAnsi="宋体" w:eastAsia="宋体" w:cs="宋体"/>
          <w:color w:val="000000" w:themeColor="text1"/>
          <w:szCs w:val="21"/>
          <w:highlight w:val="none"/>
          <w14:textFill>
            <w14:solidFill>
              <w14:schemeClr w14:val="tx1"/>
            </w14:solidFill>
          </w14:textFill>
        </w:rPr>
        <w:t>图像分辨率</w:t>
      </w:r>
      <w:bookmarkEnd w:id="443"/>
      <w:r>
        <w:rPr>
          <w:rFonts w:hint="eastAsia" w:ascii="宋体" w:hAnsi="宋体" w:eastAsia="宋体" w:cs="宋体"/>
          <w:color w:val="000000" w:themeColor="text1"/>
          <w:szCs w:val="21"/>
          <w:highlight w:val="none"/>
          <w14:textFill>
            <w14:solidFill>
              <w14:schemeClr w14:val="tx1"/>
            </w14:solidFill>
          </w14:textFill>
        </w:rPr>
        <w:t>达到1280*960以上，</w:t>
      </w:r>
      <w:bookmarkStart w:id="444" w:name="OLE_LINK181"/>
      <w:r>
        <w:rPr>
          <w:rFonts w:hint="eastAsia" w:ascii="宋体" w:hAnsi="宋体" w:eastAsia="宋体" w:cs="宋体"/>
          <w:color w:val="000000" w:themeColor="text1"/>
          <w:szCs w:val="21"/>
          <w:highlight w:val="none"/>
          <w14:textFill>
            <w14:solidFill>
              <w14:schemeClr w14:val="tx1"/>
            </w14:solidFill>
          </w14:textFill>
        </w:rPr>
        <w:t>镜头变倍</w:t>
      </w:r>
      <w:bookmarkEnd w:id="444"/>
      <w:r>
        <w:rPr>
          <w:rFonts w:hint="eastAsia" w:ascii="宋体" w:hAnsi="宋体" w:eastAsia="宋体" w:cs="宋体"/>
          <w:color w:val="000000" w:themeColor="text1"/>
          <w:szCs w:val="21"/>
          <w:highlight w:val="none"/>
          <w14:textFill>
            <w14:solidFill>
              <w14:schemeClr w14:val="tx1"/>
            </w14:solidFill>
          </w14:textFill>
        </w:rPr>
        <w:t>≥20 倍光学变焦，能够分辨出设备的外观及运行状态、识别出人员车辆等，防护等级要求达到IP67，</w:t>
      </w:r>
      <w:bookmarkStart w:id="445" w:name="OLE_LINK74"/>
      <w:r>
        <w:rPr>
          <w:rFonts w:hint="eastAsia" w:ascii="宋体" w:hAnsi="宋体" w:eastAsia="宋体" w:cs="宋体"/>
          <w:color w:val="000000" w:themeColor="text1"/>
          <w:szCs w:val="21"/>
          <w:highlight w:val="none"/>
          <w14:textFill>
            <w14:solidFill>
              <w14:schemeClr w14:val="tx1"/>
            </w14:solidFill>
          </w14:textFill>
        </w:rPr>
        <w:t>TVS 8000V防雷</w:t>
      </w:r>
      <w:bookmarkEnd w:id="445"/>
      <w:r>
        <w:rPr>
          <w:rFonts w:hint="eastAsia" w:ascii="宋体" w:hAnsi="宋体" w:eastAsia="宋体" w:cs="宋体"/>
          <w:color w:val="000000" w:themeColor="text1"/>
          <w:szCs w:val="21"/>
          <w:highlight w:val="none"/>
          <w14:textFill>
            <w14:solidFill>
              <w14:schemeClr w14:val="tx1"/>
            </w14:solidFill>
          </w14:textFill>
        </w:rPr>
        <w:t>、防浪涌、防突波，具有红外夜视功能，夜视距离≥150 米，使用先进的压缩编码技术，视频图像直接在前端进行压缩，通过网络传输回电站监控室，避免外界电磁场对图像的影响。</w:t>
      </w:r>
    </w:p>
    <w:p w14:paraId="5A072250">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视频监控系统既支持光伏电站全景展示又能进行细节展示，对于重要设备还具有从多个摄像机进行多角度监视的功能，同时实时图像自动复位，即可对发电阵列内可旋转的摄像机设定默认监视位置，正常状态下摄像机保持默认位置；在控制完成后自动恢复到默认监视位置。</w:t>
      </w:r>
    </w:p>
    <w:p w14:paraId="5EBC3F10">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项目通电并网后投标人必须负责为安全运维部技术员注册APP视频监控软件，并将光伏电站现场实时监测数据联通传送至东莞水务集团科技发展有限公司指定的数据控制中心PC端，实现集中监控，具体要求如下：</w:t>
      </w:r>
    </w:p>
    <w:tbl>
      <w:tblPr>
        <w:tblStyle w:val="202"/>
        <w:tblW w:w="504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75"/>
        <w:gridCol w:w="2679"/>
        <w:gridCol w:w="6299"/>
      </w:tblGrid>
      <w:tr w14:paraId="4CC9E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622" w:type="pct"/>
            <w:vAlign w:val="center"/>
          </w:tcPr>
          <w:p w14:paraId="76CC2725">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pacing w:val="-5"/>
                <w:szCs w:val="21"/>
                <w:highlight w:val="none"/>
                <w14:textFill>
                  <w14:solidFill>
                    <w14:schemeClr w14:val="tx1"/>
                  </w14:solidFill>
                </w14:textFill>
              </w:rPr>
              <w:t>区</w:t>
            </w:r>
            <w:r>
              <w:rPr>
                <w:rFonts w:hint="eastAsia" w:ascii="宋体" w:hAnsi="宋体" w:eastAsia="宋体" w:cs="宋体"/>
                <w:b/>
                <w:bCs/>
                <w:color w:val="000000" w:themeColor="text1"/>
                <w:spacing w:val="-3"/>
                <w:szCs w:val="21"/>
                <w:highlight w:val="none"/>
                <w14:textFill>
                  <w14:solidFill>
                    <w14:schemeClr w14:val="tx1"/>
                  </w14:solidFill>
                </w14:textFill>
              </w:rPr>
              <w:t>域</w:t>
            </w:r>
          </w:p>
        </w:tc>
        <w:tc>
          <w:tcPr>
            <w:tcW w:w="1306" w:type="pct"/>
            <w:vAlign w:val="center"/>
          </w:tcPr>
          <w:p w14:paraId="1106AA95">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pacing w:val="8"/>
                <w:szCs w:val="21"/>
                <w:highlight w:val="none"/>
                <w14:textFill>
                  <w14:solidFill>
                    <w14:schemeClr w14:val="tx1"/>
                  </w14:solidFill>
                </w14:textFill>
              </w:rPr>
              <w:t>摄像头数量</w:t>
            </w:r>
          </w:p>
        </w:tc>
        <w:tc>
          <w:tcPr>
            <w:tcW w:w="3071" w:type="pct"/>
            <w:vAlign w:val="center"/>
          </w:tcPr>
          <w:p w14:paraId="47CADE96">
            <w:pPr>
              <w:spacing w:line="360" w:lineRule="auto"/>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pacing w:val="4"/>
                <w:szCs w:val="21"/>
                <w:highlight w:val="none"/>
                <w14:textFill>
                  <w14:solidFill>
                    <w14:schemeClr w14:val="tx1"/>
                  </w14:solidFill>
                </w14:textFill>
              </w:rPr>
              <w:t>技术</w:t>
            </w:r>
          </w:p>
        </w:tc>
      </w:tr>
      <w:tr w14:paraId="06B1E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3" w:hRule="atLeast"/>
          <w:jc w:val="center"/>
        </w:trPr>
        <w:tc>
          <w:tcPr>
            <w:tcW w:w="622" w:type="pct"/>
            <w:vAlign w:val="center"/>
          </w:tcPr>
          <w:p w14:paraId="798D17F5">
            <w:pPr>
              <w:spacing w:line="360" w:lineRule="auto"/>
              <w:jc w:val="center"/>
              <w:rPr>
                <w:rFonts w:ascii="宋体" w:hAnsi="宋体" w:eastAsia="宋体" w:cs="宋体"/>
                <w:color w:val="000000" w:themeColor="text1"/>
                <w:spacing w:val="4"/>
                <w:szCs w:val="21"/>
                <w:highlight w:val="none"/>
                <w14:textFill>
                  <w14:solidFill>
                    <w14:schemeClr w14:val="tx1"/>
                  </w14:solidFill>
                </w14:textFill>
              </w:rPr>
            </w:pPr>
            <w:r>
              <w:rPr>
                <w:rFonts w:hint="eastAsia" w:ascii="宋体" w:hAnsi="宋体" w:eastAsia="宋体" w:cs="宋体"/>
                <w:color w:val="000000" w:themeColor="text1"/>
                <w:spacing w:val="4"/>
                <w:szCs w:val="21"/>
                <w:highlight w:val="none"/>
                <w14:textFill>
                  <w14:solidFill>
                    <w14:schemeClr w14:val="tx1"/>
                  </w14:solidFill>
                </w14:textFill>
              </w:rPr>
              <w:t>光伏</w:t>
            </w:r>
          </w:p>
          <w:p w14:paraId="34DCFC67">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4"/>
                <w:szCs w:val="21"/>
                <w:highlight w:val="none"/>
                <w14:textFill>
                  <w14:solidFill>
                    <w14:schemeClr w14:val="tx1"/>
                  </w14:solidFill>
                </w14:textFill>
              </w:rPr>
              <w:t>组件</w:t>
            </w:r>
          </w:p>
        </w:tc>
        <w:tc>
          <w:tcPr>
            <w:tcW w:w="1306" w:type="pct"/>
            <w:vMerge w:val="restart"/>
            <w:vAlign w:val="center"/>
          </w:tcPr>
          <w:p w14:paraId="1CCBD290">
            <w:pPr>
              <w:spacing w:line="360" w:lineRule="auto"/>
              <w:jc w:val="center"/>
              <w:rPr>
                <w:rFonts w:ascii="宋体" w:hAnsi="宋体" w:eastAsia="宋体" w:cs="宋体"/>
                <w:color w:val="000000" w:themeColor="text1"/>
                <w:szCs w:val="21"/>
                <w:highlight w:val="none"/>
                <w14:textFill>
                  <w14:solidFill>
                    <w14:schemeClr w14:val="tx1"/>
                  </w14:solidFill>
                </w14:textFill>
              </w:rPr>
            </w:pPr>
          </w:p>
          <w:p w14:paraId="52599B4E">
            <w:pPr>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4"/>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根据现场及招标人意见调整；</w:t>
            </w:r>
          </w:p>
          <w:p w14:paraId="52A7D3A1">
            <w:pPr>
              <w:spacing w:line="360" w:lineRule="auto"/>
              <w:ind w:right="203"/>
              <w:rPr>
                <w:rFonts w:ascii="宋体" w:hAnsi="宋体" w:eastAsia="宋体" w:cs="宋体"/>
                <w:color w:val="000000" w:themeColor="text1"/>
                <w:spacing w:val="8"/>
                <w:szCs w:val="21"/>
                <w:highlight w:val="none"/>
                <w14:textFill>
                  <w14:solidFill>
                    <w14:schemeClr w14:val="tx1"/>
                  </w14:solidFill>
                </w14:textFill>
              </w:rPr>
            </w:pPr>
            <w:r>
              <w:rPr>
                <w:rFonts w:hint="eastAsia" w:ascii="宋体" w:hAnsi="宋体" w:eastAsia="宋体" w:cs="宋体"/>
                <w:color w:val="000000" w:themeColor="text1"/>
                <w:spacing w:val="8"/>
                <w:szCs w:val="21"/>
                <w:highlight w:val="none"/>
                <w14:textFill>
                  <w14:solidFill>
                    <w14:schemeClr w14:val="tx1"/>
                  </w14:solidFill>
                </w14:textFill>
              </w:rPr>
              <w:t>2.视频监控画面必须覆盖所有光伏组件、逆变器区域，不得存在盲区；</w:t>
            </w:r>
          </w:p>
          <w:p w14:paraId="0B6EAE98">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3071" w:type="pct"/>
            <w:vMerge w:val="restart"/>
            <w:tcBorders>
              <w:bottom w:val="nil"/>
            </w:tcBorders>
            <w:vAlign w:val="center"/>
          </w:tcPr>
          <w:p w14:paraId="302CAE4C">
            <w:pPr>
              <w:spacing w:line="360" w:lineRule="auto"/>
              <w:ind w:right="203"/>
              <w:rPr>
                <w:rFonts w:ascii="宋体" w:hAnsi="宋体" w:eastAsia="宋体" w:cs="宋体"/>
                <w:color w:val="000000" w:themeColor="text1"/>
                <w:spacing w:val="-2"/>
                <w:szCs w:val="21"/>
                <w:highlight w:val="none"/>
                <w14:textFill>
                  <w14:solidFill>
                    <w14:schemeClr w14:val="tx1"/>
                  </w14:solidFill>
                </w14:textFill>
              </w:rPr>
            </w:pPr>
            <w:r>
              <w:rPr>
                <w:rFonts w:hint="eastAsia" w:ascii="宋体" w:hAnsi="宋体" w:eastAsia="宋体" w:cs="宋体"/>
                <w:color w:val="000000" w:themeColor="text1"/>
                <w:spacing w:val="-4"/>
                <w:szCs w:val="21"/>
                <w:highlight w:val="none"/>
                <w14:textFill>
                  <w14:solidFill>
                    <w14:schemeClr w14:val="tx1"/>
                  </w14:solidFill>
                </w14:textFill>
              </w:rPr>
              <w:t>1.直接</w:t>
            </w:r>
            <w:r>
              <w:rPr>
                <w:rFonts w:hint="eastAsia" w:ascii="宋体" w:hAnsi="宋体" w:eastAsia="宋体" w:cs="宋体"/>
                <w:color w:val="000000" w:themeColor="text1"/>
                <w:spacing w:val="-2"/>
                <w:szCs w:val="21"/>
                <w:highlight w:val="none"/>
                <w14:textFill>
                  <w14:solidFill>
                    <w14:schemeClr w14:val="tx1"/>
                  </w14:solidFill>
                </w14:textFill>
              </w:rPr>
              <w:t>插移动1年流量包4G手机卡；</w:t>
            </w:r>
          </w:p>
          <w:p w14:paraId="3D27727A">
            <w:pPr>
              <w:spacing w:line="360" w:lineRule="auto"/>
              <w:ind w:right="203"/>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1"/>
                <w:szCs w:val="21"/>
                <w:highlight w:val="none"/>
                <w14:textFill>
                  <w14:solidFill>
                    <w14:schemeClr w14:val="tx1"/>
                  </w14:solidFill>
                </w14:textFill>
              </w:rPr>
              <w:t>2.支持手机远程监控，</w:t>
            </w:r>
            <w:r>
              <w:rPr>
                <w:rFonts w:hint="eastAsia" w:ascii="宋体" w:hAnsi="宋体" w:eastAsia="宋体" w:cs="宋体"/>
                <w:color w:val="000000" w:themeColor="text1"/>
                <w:szCs w:val="21"/>
                <w:highlight w:val="none"/>
                <w14:textFill>
                  <w14:solidFill>
                    <w14:schemeClr w14:val="tx1"/>
                  </w14:solidFill>
                </w14:textFill>
              </w:rPr>
              <w:t>TF卡容量不小于256G，所有监控数据要保留1个月以上；</w:t>
            </w:r>
          </w:p>
          <w:p w14:paraId="2D5F7622">
            <w:pPr>
              <w:spacing w:line="360" w:lineRule="auto"/>
              <w:ind w:right="203"/>
              <w:rPr>
                <w:rFonts w:ascii="宋体" w:hAnsi="宋体" w:eastAsia="宋体" w:cs="宋体"/>
                <w:color w:val="000000" w:themeColor="text1"/>
                <w:spacing w:val="8"/>
                <w:szCs w:val="21"/>
                <w:highlight w:val="none"/>
                <w14:textFill>
                  <w14:solidFill>
                    <w14:schemeClr w14:val="tx1"/>
                  </w14:solidFill>
                </w14:textFill>
              </w:rPr>
            </w:pPr>
            <w:r>
              <w:rPr>
                <w:rFonts w:hint="eastAsia" w:ascii="宋体" w:hAnsi="宋体" w:eastAsia="宋体" w:cs="宋体"/>
                <w:color w:val="000000" w:themeColor="text1"/>
                <w:spacing w:val="11"/>
                <w:szCs w:val="21"/>
                <w:highlight w:val="none"/>
                <w14:textFill>
                  <w14:solidFill>
                    <w14:schemeClr w14:val="tx1"/>
                  </w14:solidFill>
                </w14:textFill>
              </w:rPr>
              <w:t>3</w:t>
            </w:r>
            <w:r>
              <w:rPr>
                <w:rFonts w:hint="eastAsia" w:ascii="宋体" w:hAnsi="宋体" w:eastAsia="宋体" w:cs="宋体"/>
                <w:color w:val="000000" w:themeColor="text1"/>
                <w:spacing w:val="8"/>
                <w:szCs w:val="21"/>
                <w:highlight w:val="none"/>
                <w14:textFill>
                  <w14:solidFill>
                    <w14:schemeClr w14:val="tx1"/>
                  </w14:solidFill>
                </w14:textFill>
              </w:rPr>
              <w:t>.视频</w:t>
            </w:r>
            <w:r>
              <w:rPr>
                <w:rFonts w:hint="eastAsia" w:ascii="宋体" w:hAnsi="宋体" w:eastAsia="宋体" w:cs="宋体"/>
                <w:color w:val="000000" w:themeColor="text1"/>
                <w:szCs w:val="21"/>
                <w:highlight w:val="none"/>
                <w14:textFill>
                  <w14:solidFill>
                    <w14:schemeClr w14:val="tx1"/>
                  </w14:solidFill>
                </w14:textFill>
              </w:rPr>
              <w:t>摄像头为高清、</w:t>
            </w:r>
            <w:r>
              <w:rPr>
                <w:rFonts w:hint="eastAsia" w:ascii="宋体" w:hAnsi="宋体" w:eastAsia="宋体" w:cs="宋体"/>
                <w:color w:val="000000" w:themeColor="text1"/>
                <w:spacing w:val="8"/>
                <w:szCs w:val="21"/>
                <w:highlight w:val="none"/>
                <w14:textFill>
                  <w14:solidFill>
                    <w14:schemeClr w14:val="tx1"/>
                  </w14:solidFill>
                </w14:textFill>
              </w:rPr>
              <w:t>具有夜视功能，支持移动侦测报警；</w:t>
            </w:r>
          </w:p>
          <w:p w14:paraId="4243B897">
            <w:pPr>
              <w:spacing w:line="360" w:lineRule="auto"/>
              <w:ind w:right="203"/>
              <w:rPr>
                <w:rFonts w:ascii="宋体" w:hAnsi="宋体" w:eastAsia="宋体" w:cs="宋体"/>
                <w:color w:val="000000" w:themeColor="text1"/>
                <w:spacing w:val="8"/>
                <w:szCs w:val="21"/>
                <w:highlight w:val="none"/>
                <w14:textFill>
                  <w14:solidFill>
                    <w14:schemeClr w14:val="tx1"/>
                  </w14:solidFill>
                </w14:textFill>
              </w:rPr>
            </w:pPr>
            <w:r>
              <w:rPr>
                <w:rFonts w:hint="eastAsia" w:ascii="宋体" w:hAnsi="宋体" w:eastAsia="宋体" w:cs="宋体"/>
                <w:color w:val="000000" w:themeColor="text1"/>
                <w:spacing w:val="8"/>
                <w:szCs w:val="21"/>
                <w:highlight w:val="none"/>
                <w14:textFill>
                  <w14:solidFill>
                    <w14:schemeClr w14:val="tx1"/>
                  </w14:solidFill>
                </w14:textFill>
              </w:rPr>
              <w:t>4.视频监控</w:t>
            </w:r>
            <w:r>
              <w:rPr>
                <w:rFonts w:hint="eastAsia" w:ascii="宋体" w:hAnsi="宋体" w:eastAsia="宋体" w:cs="宋体"/>
                <w:color w:val="000000" w:themeColor="text1"/>
                <w:szCs w:val="21"/>
                <w:highlight w:val="none"/>
                <w14:textFill>
                  <w14:solidFill>
                    <w14:schemeClr w14:val="tx1"/>
                  </w14:solidFill>
                </w14:textFill>
              </w:rPr>
              <w:t>电源需引自市电，</w:t>
            </w:r>
            <w:r>
              <w:rPr>
                <w:rFonts w:hint="eastAsia" w:ascii="宋体" w:hAnsi="宋体" w:eastAsia="宋体" w:cs="宋体"/>
                <w:color w:val="000000" w:themeColor="text1"/>
                <w:spacing w:val="8"/>
                <w:szCs w:val="21"/>
                <w:highlight w:val="none"/>
                <w14:textFill>
                  <w14:solidFill>
                    <w14:schemeClr w14:val="tx1"/>
                  </w14:solidFill>
                </w14:textFill>
              </w:rPr>
              <w:t>若配置室外立杆需可靠接地并不造成光伏组件阴影遮挡；</w:t>
            </w:r>
          </w:p>
          <w:p w14:paraId="3B0D4236">
            <w:pPr>
              <w:spacing w:line="360" w:lineRule="auto"/>
              <w:ind w:right="203"/>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8"/>
                <w:szCs w:val="21"/>
                <w:highlight w:val="non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所有摄像头均可360°自由转动巡检</w:t>
            </w:r>
            <w:r>
              <w:rPr>
                <w:rFonts w:hint="eastAsia" w:ascii="宋体" w:hAnsi="宋体" w:eastAsia="宋体" w:cs="宋体"/>
                <w:color w:val="000000" w:themeColor="text1"/>
                <w:spacing w:val="8"/>
                <w:szCs w:val="21"/>
                <w:highlight w:val="none"/>
                <w14:textFill>
                  <w14:solidFill>
                    <w14:schemeClr w14:val="tx1"/>
                  </w14:solidFill>
                </w14:textFill>
              </w:rPr>
              <w:t>；</w:t>
            </w:r>
          </w:p>
        </w:tc>
      </w:tr>
      <w:tr w14:paraId="4BF59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8" w:hRule="atLeast"/>
          <w:jc w:val="center"/>
        </w:trPr>
        <w:tc>
          <w:tcPr>
            <w:tcW w:w="622" w:type="pct"/>
            <w:vAlign w:val="center"/>
          </w:tcPr>
          <w:p w14:paraId="71A2E4AF">
            <w:pPr>
              <w:spacing w:line="360" w:lineRule="auto"/>
              <w:jc w:val="center"/>
              <w:rPr>
                <w:rFonts w:ascii="宋体" w:hAnsi="宋体" w:eastAsia="宋体" w:cs="宋体"/>
                <w:color w:val="000000" w:themeColor="text1"/>
                <w:spacing w:val="7"/>
                <w:szCs w:val="21"/>
                <w:highlight w:val="none"/>
                <w14:textFill>
                  <w14:solidFill>
                    <w14:schemeClr w14:val="tx1"/>
                  </w14:solidFill>
                </w14:textFill>
              </w:rPr>
            </w:pPr>
            <w:r>
              <w:rPr>
                <w:rFonts w:hint="eastAsia" w:ascii="宋体" w:hAnsi="宋体" w:eastAsia="宋体" w:cs="宋体"/>
                <w:color w:val="000000" w:themeColor="text1"/>
                <w:spacing w:val="7"/>
                <w:szCs w:val="21"/>
                <w:highlight w:val="none"/>
                <w14:textFill>
                  <w14:solidFill>
                    <w14:schemeClr w14:val="tx1"/>
                  </w14:solidFill>
                </w14:textFill>
              </w:rPr>
              <w:t>并网</w:t>
            </w:r>
          </w:p>
          <w:p w14:paraId="112BFC79">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7"/>
                <w:szCs w:val="21"/>
                <w:highlight w:val="none"/>
                <w14:textFill>
                  <w14:solidFill>
                    <w14:schemeClr w14:val="tx1"/>
                  </w14:solidFill>
                </w14:textFill>
              </w:rPr>
              <w:t>逆变器</w:t>
            </w:r>
          </w:p>
        </w:tc>
        <w:tc>
          <w:tcPr>
            <w:tcW w:w="1306" w:type="pct"/>
            <w:vMerge w:val="continue"/>
            <w:vAlign w:val="center"/>
          </w:tcPr>
          <w:p w14:paraId="5F815AD6">
            <w:pPr>
              <w:spacing w:line="360" w:lineRule="auto"/>
              <w:jc w:val="center"/>
              <w:rPr>
                <w:rFonts w:ascii="宋体" w:hAnsi="宋体" w:eastAsia="宋体" w:cs="宋体"/>
                <w:color w:val="000000" w:themeColor="text1"/>
                <w:szCs w:val="21"/>
                <w:highlight w:val="none"/>
                <w14:textFill>
                  <w14:solidFill>
                    <w14:schemeClr w14:val="tx1"/>
                  </w14:solidFill>
                </w14:textFill>
              </w:rPr>
            </w:pPr>
          </w:p>
        </w:tc>
        <w:tc>
          <w:tcPr>
            <w:tcW w:w="3071" w:type="pct"/>
            <w:vMerge w:val="continue"/>
            <w:tcBorders>
              <w:top w:val="nil"/>
            </w:tcBorders>
            <w:vAlign w:val="center"/>
          </w:tcPr>
          <w:p w14:paraId="0086BC62">
            <w:pPr>
              <w:spacing w:line="360" w:lineRule="auto"/>
              <w:jc w:val="center"/>
              <w:rPr>
                <w:rFonts w:ascii="宋体" w:hAnsi="宋体" w:eastAsia="宋体" w:cs="宋体"/>
                <w:color w:val="000000" w:themeColor="text1"/>
                <w:szCs w:val="21"/>
                <w:highlight w:val="none"/>
                <w14:textFill>
                  <w14:solidFill>
                    <w14:schemeClr w14:val="tx1"/>
                  </w14:solidFill>
                </w14:textFill>
              </w:rPr>
            </w:pPr>
          </w:p>
        </w:tc>
      </w:tr>
    </w:tbl>
    <w:p w14:paraId="281448ED">
      <w:pPr>
        <w:keepNext/>
        <w:keepLines/>
        <w:spacing w:line="360" w:lineRule="auto"/>
        <w:outlineLvl w:val="3"/>
        <w:rPr>
          <w:rFonts w:ascii="宋体" w:hAnsi="宋体" w:eastAsia="宋体" w:cs="宋体"/>
          <w:b/>
          <w:bCs/>
          <w:color w:val="000000" w:themeColor="text1"/>
          <w:szCs w:val="21"/>
          <w:highlight w:val="none"/>
          <w14:textFill>
            <w14:solidFill>
              <w14:schemeClr w14:val="tx1"/>
            </w14:solidFill>
          </w14:textFill>
        </w:rPr>
      </w:pPr>
    </w:p>
    <w:p w14:paraId="2D3E8650">
      <w:pPr>
        <w:keepNext/>
        <w:keepLines/>
        <w:spacing w:line="360" w:lineRule="auto"/>
        <w:outlineLvl w:val="3"/>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四、</w:t>
      </w:r>
      <w:bookmarkStart w:id="446" w:name="OLE_LINK323"/>
      <w:r>
        <w:rPr>
          <w:rFonts w:hint="eastAsia" w:ascii="宋体" w:hAnsi="宋体" w:eastAsia="宋体" w:cs="宋体"/>
          <w:b/>
          <w:bCs/>
          <w:color w:val="000000" w:themeColor="text1"/>
          <w:szCs w:val="21"/>
          <w:highlight w:val="none"/>
          <w14:textFill>
            <w14:solidFill>
              <w14:schemeClr w14:val="tx1"/>
            </w14:solidFill>
          </w14:textFill>
        </w:rPr>
        <w:t>技术要求</w:t>
      </w:r>
      <w:bookmarkEnd w:id="446"/>
    </w:p>
    <w:p w14:paraId="52B37936">
      <w:pPr>
        <w:wordWrap w:val="0"/>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 执行的标准和规范</w:t>
      </w:r>
    </w:p>
    <w:p w14:paraId="4A3DF7C4">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《光伏发电工程验收规范》 GB 50796-2012</w:t>
      </w:r>
    </w:p>
    <w:p w14:paraId="4656EA4D">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《屋面工程质量验收规范》 GB 50207-2012</w:t>
      </w:r>
    </w:p>
    <w:p w14:paraId="0F676C7C">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《建筑结构加固工程施工质量验收规范》 GB 50550-2010</w:t>
      </w:r>
    </w:p>
    <w:p w14:paraId="0DB982BA">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《建筑工程施工质量验收统一标准》 GB 50300-2013</w:t>
      </w:r>
    </w:p>
    <w:p w14:paraId="20D8DD75">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《光伏系统性能监测测量、数据交换和分析导则》(GB20513-2006)</w:t>
      </w:r>
    </w:p>
    <w:p w14:paraId="3AB49AB6">
      <w:pPr>
        <w:pStyle w:val="17"/>
        <w:ind w:firstLine="420" w:firstLineChars="200"/>
        <w:rPr>
          <w:color w:val="000000" w:themeColor="text1"/>
          <w:highlight w:val="none"/>
          <w14:textFill>
            <w14:solidFill>
              <w14:schemeClr w14:val="tx1"/>
            </w14:solidFill>
          </w14:textFill>
        </w:rPr>
      </w:pPr>
    </w:p>
    <w:p w14:paraId="3D9FFD5A">
      <w:pPr>
        <w:pStyle w:val="17"/>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光伏系统并网技术要求》(GB/T 19939-2005)</w:t>
      </w:r>
    </w:p>
    <w:p w14:paraId="3DC7393E">
      <w:pPr>
        <w:pStyle w:val="17"/>
        <w:ind w:firstLine="420" w:firstLineChars="200"/>
        <w:rPr>
          <w:color w:val="000000" w:themeColor="text1"/>
          <w:highlight w:val="none"/>
          <w14:textFill>
            <w14:solidFill>
              <w14:schemeClr w14:val="tx1"/>
            </w14:solidFill>
          </w14:textFill>
        </w:rPr>
      </w:pPr>
    </w:p>
    <w:p w14:paraId="1EEBC74F">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《光伏（PV）系统电网接口特性》(GB/T 20046-2006)</w:t>
      </w:r>
    </w:p>
    <w:p w14:paraId="5649D5A0">
      <w:pPr>
        <w:pStyle w:val="17"/>
        <w:ind w:firstLine="420" w:firstLineChars="200"/>
        <w:rPr>
          <w:color w:val="000000" w:themeColor="text1"/>
          <w:highlight w:val="none"/>
          <w14:textFill>
            <w14:solidFill>
              <w14:schemeClr w14:val="tx1"/>
            </w14:solidFill>
          </w14:textFill>
        </w:rPr>
      </w:pPr>
    </w:p>
    <w:p w14:paraId="6995303E">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《光伏发电站接入电力系统技术规定》(GB/Z 19964-2012)</w:t>
      </w:r>
    </w:p>
    <w:p w14:paraId="1B68A18D">
      <w:pPr>
        <w:pStyle w:val="17"/>
        <w:ind w:firstLine="420" w:firstLineChars="200"/>
        <w:rPr>
          <w:color w:val="000000" w:themeColor="text1"/>
          <w:highlight w:val="none"/>
          <w14:textFill>
            <w14:solidFill>
              <w14:schemeClr w14:val="tx1"/>
            </w14:solidFill>
          </w14:textFill>
        </w:rPr>
      </w:pPr>
    </w:p>
    <w:p w14:paraId="180A6EB3">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《光伏发电工程验收规范》(GB/T 50796-2012)</w:t>
      </w:r>
    </w:p>
    <w:p w14:paraId="63457FA6">
      <w:pPr>
        <w:pStyle w:val="17"/>
        <w:ind w:firstLine="420" w:firstLineChars="200"/>
        <w:rPr>
          <w:color w:val="000000" w:themeColor="text1"/>
          <w:highlight w:val="none"/>
          <w14:textFill>
            <w14:solidFill>
              <w14:schemeClr w14:val="tx1"/>
            </w14:solidFill>
          </w14:textFill>
        </w:rPr>
      </w:pPr>
    </w:p>
    <w:p w14:paraId="7C3EED1A">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《光伏发电站设计规范》(GB/T 50797-2012)</w:t>
      </w:r>
    </w:p>
    <w:p w14:paraId="151AEA92">
      <w:pPr>
        <w:pStyle w:val="17"/>
        <w:ind w:firstLine="420" w:firstLineChars="200"/>
        <w:rPr>
          <w:color w:val="000000" w:themeColor="text1"/>
          <w:highlight w:val="none"/>
          <w14:textFill>
            <w14:solidFill>
              <w14:schemeClr w14:val="tx1"/>
            </w14:solidFill>
          </w14:textFill>
        </w:rPr>
      </w:pPr>
    </w:p>
    <w:p w14:paraId="44A59AB6">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《光伏组件安全鉴定第1部分：结构要求》(GB/T20047.1-2006)</w:t>
      </w:r>
    </w:p>
    <w:p w14:paraId="202D1063">
      <w:pPr>
        <w:pStyle w:val="17"/>
        <w:ind w:firstLine="420" w:firstLineChars="200"/>
        <w:rPr>
          <w:color w:val="000000" w:themeColor="text1"/>
          <w:highlight w:val="none"/>
          <w14:textFill>
            <w14:solidFill>
              <w14:schemeClr w14:val="tx1"/>
            </w14:solidFill>
          </w14:textFill>
        </w:rPr>
      </w:pPr>
    </w:p>
    <w:p w14:paraId="7BDA5863">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《民用建筑电气设计标准》GB51348-2019</w:t>
      </w:r>
    </w:p>
    <w:p w14:paraId="027DD78A">
      <w:pPr>
        <w:pStyle w:val="17"/>
        <w:ind w:firstLine="420" w:firstLineChars="200"/>
        <w:rPr>
          <w:color w:val="000000" w:themeColor="text1"/>
          <w:highlight w:val="none"/>
          <w14:textFill>
            <w14:solidFill>
              <w14:schemeClr w14:val="tx1"/>
            </w14:solidFill>
          </w14:textFill>
        </w:rPr>
      </w:pPr>
    </w:p>
    <w:p w14:paraId="30C26921">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《低压配电设计规范》GB50054-2011 </w:t>
      </w:r>
    </w:p>
    <w:p w14:paraId="2D47DFF9">
      <w:pPr>
        <w:pStyle w:val="17"/>
        <w:rPr>
          <w:color w:val="000000" w:themeColor="text1"/>
          <w:highlight w:val="none"/>
          <w14:textFill>
            <w14:solidFill>
              <w14:schemeClr w14:val="tx1"/>
            </w14:solidFill>
          </w14:textFill>
        </w:rPr>
      </w:pPr>
    </w:p>
    <w:p w14:paraId="39681ACA">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《供配电系统设计规范》GB50052-2009 </w:t>
      </w:r>
    </w:p>
    <w:p w14:paraId="69D88E39">
      <w:pPr>
        <w:pStyle w:val="17"/>
        <w:ind w:firstLine="420" w:firstLineChars="200"/>
        <w:rPr>
          <w:color w:val="000000" w:themeColor="text1"/>
          <w:highlight w:val="none"/>
          <w14:textFill>
            <w14:solidFill>
              <w14:schemeClr w14:val="tx1"/>
            </w14:solidFill>
          </w14:textFill>
        </w:rPr>
      </w:pPr>
    </w:p>
    <w:p w14:paraId="33D50E8E">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《电力工程电缆设计规范》GB50217-2018 </w:t>
      </w:r>
    </w:p>
    <w:p w14:paraId="0F9C1C01">
      <w:pPr>
        <w:pStyle w:val="17"/>
        <w:ind w:firstLine="420" w:firstLineChars="200"/>
        <w:rPr>
          <w:color w:val="000000" w:themeColor="text1"/>
          <w:highlight w:val="none"/>
          <w14:textFill>
            <w14:solidFill>
              <w14:schemeClr w14:val="tx1"/>
            </w14:solidFill>
          </w14:textFill>
        </w:rPr>
      </w:pPr>
    </w:p>
    <w:p w14:paraId="72EB119A">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《建筑物防雷设计规范》 GB 50057-2019 </w:t>
      </w:r>
    </w:p>
    <w:p w14:paraId="3F0F2679">
      <w:pPr>
        <w:pStyle w:val="17"/>
        <w:ind w:firstLine="420" w:firstLineChars="200"/>
        <w:rPr>
          <w:color w:val="000000" w:themeColor="text1"/>
          <w:highlight w:val="none"/>
          <w14:textFill>
            <w14:solidFill>
              <w14:schemeClr w14:val="tx1"/>
            </w14:solidFill>
          </w14:textFill>
        </w:rPr>
      </w:pPr>
    </w:p>
    <w:p w14:paraId="4343CE97">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《光伏系统并网技术要求》GB/T 19939-2005</w:t>
      </w:r>
    </w:p>
    <w:p w14:paraId="1B596082">
      <w:pPr>
        <w:pStyle w:val="17"/>
        <w:ind w:firstLine="420" w:firstLineChars="200"/>
        <w:rPr>
          <w:color w:val="000000" w:themeColor="text1"/>
          <w:highlight w:val="none"/>
          <w14:textFill>
            <w14:solidFill>
              <w14:schemeClr w14:val="tx1"/>
            </w14:solidFill>
          </w14:textFill>
        </w:rPr>
      </w:pPr>
    </w:p>
    <w:p w14:paraId="4ED8130C">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《光伏发电接入配电网设计规范》GB/T50865-2013 </w:t>
      </w:r>
    </w:p>
    <w:p w14:paraId="525F9990">
      <w:pPr>
        <w:pStyle w:val="17"/>
        <w:rPr>
          <w:color w:val="000000" w:themeColor="text1"/>
          <w:highlight w:val="none"/>
          <w14:textFill>
            <w14:solidFill>
              <w14:schemeClr w14:val="tx1"/>
            </w14:solidFill>
          </w14:textFill>
        </w:rPr>
      </w:pPr>
    </w:p>
    <w:p w14:paraId="3892F9DC">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《电能质量 电压波动和闪变》GB12326-2008 </w:t>
      </w:r>
    </w:p>
    <w:p w14:paraId="798850DF">
      <w:pPr>
        <w:pStyle w:val="17"/>
        <w:ind w:firstLine="420" w:firstLineChars="200"/>
        <w:rPr>
          <w:color w:val="000000" w:themeColor="text1"/>
          <w:highlight w:val="none"/>
          <w14:textFill>
            <w14:solidFill>
              <w14:schemeClr w14:val="tx1"/>
            </w14:solidFill>
          </w14:textFill>
        </w:rPr>
      </w:pPr>
    </w:p>
    <w:p w14:paraId="7D93870D">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《电能质量三相电压不平衡》GB12325-2008</w:t>
      </w:r>
    </w:p>
    <w:p w14:paraId="1FB0EA4C">
      <w:pPr>
        <w:pStyle w:val="17"/>
        <w:ind w:firstLine="420" w:firstLineChars="200"/>
        <w:rPr>
          <w:color w:val="000000" w:themeColor="text1"/>
          <w:highlight w:val="none"/>
          <w14:textFill>
            <w14:solidFill>
              <w14:schemeClr w14:val="tx1"/>
            </w14:solidFill>
          </w14:textFill>
        </w:rPr>
      </w:pPr>
    </w:p>
    <w:p w14:paraId="611920BA">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2018年版 中国南方电网《10KV及以下业扩受电工程典型设计图集》</w:t>
      </w:r>
    </w:p>
    <w:p w14:paraId="1C09657A">
      <w:pPr>
        <w:pStyle w:val="17"/>
        <w:ind w:firstLine="420" w:firstLineChars="200"/>
        <w:rPr>
          <w:color w:val="000000" w:themeColor="text1"/>
          <w:highlight w:val="none"/>
          <w14:textFill>
            <w14:solidFill>
              <w14:schemeClr w14:val="tx1"/>
            </w14:solidFill>
          </w14:textFill>
        </w:rPr>
      </w:pPr>
    </w:p>
    <w:p w14:paraId="2F86ADFF">
      <w:pPr>
        <w:pStyle w:val="17"/>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2018年版中国南方电网《10KV及以下业扩受电工程技术导则》</w:t>
      </w:r>
    </w:p>
    <w:p w14:paraId="5CCDDDB6">
      <w:pPr>
        <w:pStyle w:val="17"/>
        <w:ind w:firstLine="420" w:firstLineChars="200"/>
        <w:rPr>
          <w:color w:val="000000" w:themeColor="text1"/>
          <w:highlight w:val="none"/>
          <w14:textFill>
            <w14:solidFill>
              <w14:schemeClr w14:val="tx1"/>
            </w14:solidFill>
          </w14:textFill>
        </w:rPr>
      </w:pPr>
    </w:p>
    <w:p w14:paraId="60BF734B">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且包含未明列但属国家或地方规定的其他强制执行标准或规范（条款）</w:t>
      </w:r>
    </w:p>
    <w:p w14:paraId="2BB6FED5">
      <w:pPr>
        <w:wordWrap w:val="0"/>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 项目实施组织布署</w:t>
      </w:r>
    </w:p>
    <w:p w14:paraId="265AEB27">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（1）建立项目管理组织机构，健全安全质量保证体系。</w:t>
      </w:r>
    </w:p>
    <w:p w14:paraId="08FBEC5F">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（2）组织建设所用的机械、劳动力等保障资源，以满足项目进度的要求。</w:t>
      </w:r>
    </w:p>
    <w:p w14:paraId="43A7AAA4">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（3）采购项目所需的组件等设备、支架等材料。</w:t>
      </w:r>
    </w:p>
    <w:p w14:paraId="124A1CEA">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（4）项目按照图纸、安装调试方案满足项目实施要求。</w:t>
      </w:r>
    </w:p>
    <w:p w14:paraId="4043ED7D">
      <w:pPr>
        <w:wordWrap w:val="0"/>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3. 质量要求</w:t>
      </w:r>
    </w:p>
    <w:p w14:paraId="08FA9BE5">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（1）达到国家或光伏、电力行业质量检验评定的</w:t>
      </w:r>
      <w:r>
        <w:rPr>
          <w:rFonts w:hint="eastAsia" w:ascii="宋体" w:hAnsi="宋体" w:eastAsia="宋体" w:cs="宋体"/>
          <w:color w:val="000000" w:themeColor="text1"/>
          <w:szCs w:val="21"/>
          <w:highlight w:val="none"/>
          <w:u w:val="single"/>
          <w14:textFill>
            <w14:solidFill>
              <w14:schemeClr w14:val="tx1"/>
            </w14:solidFill>
          </w14:textFill>
        </w:rPr>
        <w:t xml:space="preserve"> 合格 </w:t>
      </w:r>
      <w:r>
        <w:rPr>
          <w:rFonts w:hint="eastAsia" w:ascii="宋体" w:hAnsi="宋体" w:eastAsia="宋体" w:cs="宋体"/>
          <w:color w:val="000000" w:themeColor="text1"/>
          <w:szCs w:val="21"/>
          <w:highlight w:val="none"/>
          <w14:textFill>
            <w14:solidFill>
              <w14:schemeClr w14:val="tx1"/>
            </w14:solidFill>
          </w14:textFill>
        </w:rPr>
        <w:t>标准。</w:t>
      </w:r>
    </w:p>
    <w:p w14:paraId="113B5E9C">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（2）建立健全质量保证体系，并保证其正常运作。</w:t>
      </w:r>
    </w:p>
    <w:p w14:paraId="2DA945EA">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（3）加强安装调试过程控制，设专人对安装质量进行跟踪检查。</w:t>
      </w:r>
    </w:p>
    <w:p w14:paraId="51EBE12C">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（4）对项目质量的检查严格执行三检制（自检、互检、专检）。</w:t>
      </w:r>
    </w:p>
    <w:p w14:paraId="612A338B">
      <w:pPr>
        <w:wordWrap w:val="0"/>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 安全保证措施</w:t>
      </w:r>
    </w:p>
    <w:p w14:paraId="2B083E2E">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（1）建立安全生产体系，制定详细的安全保证措施，加强安全管理，保证安全生产无事故。</w:t>
      </w:r>
    </w:p>
    <w:p w14:paraId="764626A7">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（2）项目现场的布置符合防火、防爆、防雷电等安全规定及文明施工的要求。项目现场生活办公用房、仓库、材料堆放场按批准的总平面布置图进行布置。</w:t>
      </w:r>
    </w:p>
    <w:p w14:paraId="7C45BA7E">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（3）现场道路保持畅通，危险地点悬挂安全警示标牌，项目现场设置安全宣传标语。</w:t>
      </w:r>
    </w:p>
    <w:p w14:paraId="1A106E49">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（4）各类房屋、库棚、料场等安全消防距离符合有关规定，现场易燃杂物随时清理，严禁在有火种的场所或其近旁堆放易燃物品。</w:t>
      </w:r>
    </w:p>
    <w:p w14:paraId="03639966">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（5）成品保护措施：脆弱屋面在实施前应采集承载数据，经结构荷载计算光伏荷载≤0.71KN/m</w:t>
      </w:r>
      <w:r>
        <w:rPr>
          <w:rFonts w:hint="eastAsia" w:ascii="宋体" w:hAnsi="宋体" w:eastAsia="宋体" w:cs="宋体"/>
          <w:color w:val="000000" w:themeColor="text1"/>
          <w:szCs w:val="21"/>
          <w:highlight w:val="none"/>
          <w:vertAlign w:val="superscript"/>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符合承载要求才可进行安装；应采取避免集中受力的保证措施，如架设轻质木板或其他增大受力面积的保证措施，同时必须优先安装运维通道，避免屋面因集中受力变形破裂受损。如因保护措施不足，使原有屋面受损，投标人应承担维修责任及费用，情况严重的，招标人有权要求投标人按照招标人遭受的损失进行赔偿。</w:t>
      </w:r>
    </w:p>
    <w:p w14:paraId="1F009E58">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（6）项目现场的临时用电严格按照《施工现场临时用电安全技术规范》JGJ46-2005 的规定执行，严格按照三相五线制布设电线，做到二级保护，三级控制，一机一闸，同时需出专项方案。</w:t>
      </w:r>
    </w:p>
    <w:p w14:paraId="75C769F6">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（7）项目现场的高处作业严格按照《</w:t>
      </w:r>
      <w:bookmarkStart w:id="447" w:name="OLE_LINK126"/>
      <w:r>
        <w:rPr>
          <w:rFonts w:hint="eastAsia" w:ascii="宋体" w:hAnsi="宋体" w:eastAsia="宋体" w:cs="宋体"/>
          <w:color w:val="000000" w:themeColor="text1"/>
          <w:szCs w:val="21"/>
          <w:highlight w:val="none"/>
          <w14:textFill>
            <w14:solidFill>
              <w14:schemeClr w14:val="tx1"/>
            </w14:solidFill>
          </w14:textFill>
        </w:rPr>
        <w:t>建筑施工高处作业安全技术规范</w:t>
      </w:r>
      <w:bookmarkEnd w:id="447"/>
      <w:r>
        <w:rPr>
          <w:rFonts w:hint="eastAsia" w:ascii="宋体" w:hAnsi="宋体" w:eastAsia="宋体" w:cs="宋体"/>
          <w:color w:val="000000" w:themeColor="text1"/>
          <w:szCs w:val="21"/>
          <w:highlight w:val="none"/>
          <w14:textFill>
            <w14:solidFill>
              <w14:schemeClr w14:val="tx1"/>
            </w14:solidFill>
          </w14:textFill>
        </w:rPr>
        <w:t>》JGJ80-2016的规定落实安全措施，正确佩戴五点式安全带（绳）、安全帽，同时需出</w:t>
      </w:r>
      <w:bookmarkStart w:id="448" w:name="OLE_LINK85"/>
      <w:r>
        <w:rPr>
          <w:rFonts w:hint="eastAsia" w:ascii="宋体" w:hAnsi="宋体" w:eastAsia="宋体" w:cs="宋体"/>
          <w:color w:val="000000" w:themeColor="text1"/>
          <w:szCs w:val="21"/>
          <w:highlight w:val="none"/>
          <w14:textFill>
            <w14:solidFill>
              <w14:schemeClr w14:val="tx1"/>
            </w14:solidFill>
          </w14:textFill>
        </w:rPr>
        <w:t>专项方案</w:t>
      </w:r>
      <w:bookmarkEnd w:id="448"/>
      <w:r>
        <w:rPr>
          <w:rFonts w:hint="eastAsia" w:ascii="宋体" w:hAnsi="宋体" w:eastAsia="宋体" w:cs="宋体"/>
          <w:color w:val="000000" w:themeColor="text1"/>
          <w:szCs w:val="21"/>
          <w:highlight w:val="none"/>
          <w14:textFill>
            <w14:solidFill>
              <w14:schemeClr w14:val="tx1"/>
            </w14:solidFill>
          </w14:textFill>
        </w:rPr>
        <w:t>。</w:t>
      </w:r>
    </w:p>
    <w:p w14:paraId="7E38F3F4">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（8）项目现场的吊装作业必须设置警戒区域，禁止人员跟随物体起吊，禁止人员站在吊物作业范围内下方，同时需出</w:t>
      </w:r>
      <w:bookmarkStart w:id="449" w:name="OLE_LINK86"/>
      <w:r>
        <w:rPr>
          <w:rFonts w:hint="eastAsia" w:ascii="宋体" w:hAnsi="宋体" w:eastAsia="宋体" w:cs="宋体"/>
          <w:color w:val="000000" w:themeColor="text1"/>
          <w:szCs w:val="21"/>
          <w:highlight w:val="none"/>
          <w14:textFill>
            <w14:solidFill>
              <w14:schemeClr w14:val="tx1"/>
            </w14:solidFill>
          </w14:textFill>
        </w:rPr>
        <w:t>专项方案</w:t>
      </w:r>
      <w:bookmarkEnd w:id="449"/>
      <w:r>
        <w:rPr>
          <w:rFonts w:hint="eastAsia" w:ascii="宋体" w:hAnsi="宋体" w:eastAsia="宋体" w:cs="宋体"/>
          <w:color w:val="000000" w:themeColor="text1"/>
          <w:szCs w:val="21"/>
          <w:highlight w:val="none"/>
          <w14:textFill>
            <w14:solidFill>
              <w14:schemeClr w14:val="tx1"/>
            </w14:solidFill>
          </w14:textFill>
        </w:rPr>
        <w:t>。</w:t>
      </w:r>
    </w:p>
    <w:p w14:paraId="69F3E5ED">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（9）项目现场的动火作业点应落实消防安全措施，清理周边易燃、可燃物体，设置灭火毯、灭火器等设施，严禁在禁火区域进行动火，同时需出</w:t>
      </w:r>
      <w:bookmarkStart w:id="450" w:name="OLE_LINK87"/>
      <w:r>
        <w:rPr>
          <w:rFonts w:hint="eastAsia" w:ascii="宋体" w:hAnsi="宋体" w:eastAsia="宋体" w:cs="宋体"/>
          <w:color w:val="000000" w:themeColor="text1"/>
          <w:szCs w:val="21"/>
          <w:highlight w:val="none"/>
          <w14:textFill>
            <w14:solidFill>
              <w14:schemeClr w14:val="tx1"/>
            </w14:solidFill>
          </w14:textFill>
        </w:rPr>
        <w:t>专项方案</w:t>
      </w:r>
      <w:bookmarkEnd w:id="450"/>
      <w:r>
        <w:rPr>
          <w:rFonts w:hint="eastAsia" w:ascii="宋体" w:hAnsi="宋体" w:eastAsia="宋体" w:cs="宋体"/>
          <w:color w:val="000000" w:themeColor="text1"/>
          <w:szCs w:val="21"/>
          <w:highlight w:val="none"/>
          <w14:textFill>
            <w14:solidFill>
              <w14:schemeClr w14:val="tx1"/>
            </w14:solidFill>
          </w14:textFill>
        </w:rPr>
        <w:t>。</w:t>
      </w:r>
    </w:p>
    <w:p w14:paraId="4CC8B2E7">
      <w:pPr>
        <w:tabs>
          <w:tab w:val="left" w:pos="360"/>
        </w:tabs>
        <w:spacing w:line="360" w:lineRule="auto"/>
        <w:ind w:firstLine="420"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项目现场设立安全警示牌。危险区域必须悬挂“临边区域，当心坠落”、“高空作业，当心坠落”、“小心踏空，以防坠落”、“以防坠落，请勿攀爬”、“吊装作业，请勿靠近”、“高压有电，请勿靠近”、“当心触电”、“注意安全 ”、“严禁烟火”、“禁止通行”或“高空作业，系好安全带”、“必须系安全带”、“必须戴安全帽”等警示标志。</w:t>
      </w:r>
    </w:p>
    <w:p w14:paraId="4A8420C8">
      <w:pPr>
        <w:keepNext/>
        <w:keepLines/>
        <w:spacing w:line="360" w:lineRule="auto"/>
        <w:outlineLvl w:val="3"/>
        <w:rPr>
          <w:rFonts w:ascii="宋体" w:hAnsi="宋体" w:eastAsia="宋体" w:cs="宋体"/>
          <w:b/>
          <w:bCs/>
          <w:color w:val="000000" w:themeColor="text1"/>
          <w:szCs w:val="21"/>
          <w:highlight w:val="none"/>
          <w14:textFill>
            <w14:solidFill>
              <w14:schemeClr w14:val="tx1"/>
            </w14:solidFill>
          </w14:textFill>
        </w:rPr>
      </w:pPr>
    </w:p>
    <w:p w14:paraId="49EA82D4">
      <w:pPr>
        <w:keepNext/>
        <w:keepLines/>
        <w:spacing w:line="360" w:lineRule="auto"/>
        <w:outlineLvl w:val="3"/>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w:t>
      </w:r>
      <w:bookmarkStart w:id="451" w:name="OLE_LINK324"/>
      <w:r>
        <w:rPr>
          <w:rFonts w:hint="eastAsia" w:ascii="宋体" w:hAnsi="宋体" w:eastAsia="宋体" w:cs="宋体"/>
          <w:b/>
          <w:bCs/>
          <w:color w:val="000000" w:themeColor="text1"/>
          <w:szCs w:val="21"/>
          <w:highlight w:val="none"/>
          <w14:textFill>
            <w14:solidFill>
              <w14:schemeClr w14:val="tx1"/>
            </w14:solidFill>
          </w14:textFill>
        </w:rPr>
        <w:t>安全运维技术要求</w:t>
      </w:r>
      <w:bookmarkEnd w:id="451"/>
    </w:p>
    <w:p w14:paraId="44A9E79E">
      <w:pPr>
        <w:wordWrap w:val="0"/>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 安全运维要求</w:t>
      </w:r>
    </w:p>
    <w:p w14:paraId="452761C1">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bookmarkStart w:id="452" w:name="OLE_LINK109"/>
      <w:r>
        <w:rPr>
          <w:rFonts w:hint="eastAsia" w:ascii="宋体" w:hAnsi="宋体" w:eastAsia="宋体" w:cs="宋体"/>
          <w:color w:val="000000" w:themeColor="text1"/>
          <w:szCs w:val="21"/>
          <w:highlight w:val="none"/>
          <w14:textFill>
            <w14:solidFill>
              <w14:schemeClr w14:val="tx1"/>
            </w14:solidFill>
          </w14:textFill>
        </w:rPr>
        <w:t>光伏系统</w:t>
      </w:r>
      <w:bookmarkEnd w:id="452"/>
      <w:r>
        <w:rPr>
          <w:rFonts w:hint="eastAsia" w:ascii="宋体" w:hAnsi="宋体" w:eastAsia="宋体" w:cs="宋体"/>
          <w:color w:val="000000" w:themeColor="text1"/>
          <w:szCs w:val="21"/>
          <w:highlight w:val="none"/>
          <w14:textFill>
            <w14:solidFill>
              <w14:schemeClr w14:val="tx1"/>
            </w14:solidFill>
          </w14:textFill>
        </w:rPr>
        <w:t>并网成功后根据招标人要求时间内，投标人应当按投标文件及合同约定制定相应的运维制度，成立专门的管理团队，编制</w:t>
      </w:r>
      <w:bookmarkStart w:id="453" w:name="OLE_LINK89"/>
      <w:r>
        <w:rPr>
          <w:rFonts w:hint="eastAsia" w:ascii="宋体" w:hAnsi="宋体" w:eastAsia="宋体" w:cs="宋体"/>
          <w:color w:val="000000" w:themeColor="text1"/>
          <w:szCs w:val="21"/>
          <w:highlight w:val="none"/>
          <w14:textFill>
            <w14:solidFill>
              <w14:schemeClr w14:val="tx1"/>
            </w14:solidFill>
          </w14:textFill>
        </w:rPr>
        <w:t>运维方案</w:t>
      </w:r>
      <w:bookmarkEnd w:id="453"/>
      <w:r>
        <w:rPr>
          <w:rFonts w:hint="eastAsia" w:ascii="宋体" w:hAnsi="宋体" w:eastAsia="宋体" w:cs="宋体"/>
          <w:color w:val="000000" w:themeColor="text1"/>
          <w:szCs w:val="21"/>
          <w:highlight w:val="none"/>
          <w14:textFill>
            <w14:solidFill>
              <w14:schemeClr w14:val="tx1"/>
            </w14:solidFill>
          </w14:textFill>
        </w:rPr>
        <w:t>，确保光伏设施的安全运行；</w:t>
      </w:r>
      <w:bookmarkStart w:id="454" w:name="OLE_LINK9"/>
      <w:r>
        <w:rPr>
          <w:rFonts w:hint="eastAsia" w:ascii="宋体" w:hAnsi="宋体" w:eastAsia="宋体" w:cs="宋体"/>
          <w:color w:val="000000" w:themeColor="text1"/>
          <w:szCs w:val="21"/>
          <w:highlight w:val="none"/>
          <w14:textFill>
            <w14:solidFill>
              <w14:schemeClr w14:val="tx1"/>
            </w14:solidFill>
          </w14:textFill>
        </w:rPr>
        <w:t>投标人在质保期内需配合招标人安全运维部门进行运维管理。</w:t>
      </w:r>
    </w:p>
    <w:p w14:paraId="12DDFC49">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bookmarkStart w:id="455" w:name="OLE_LINK108"/>
      <w:r>
        <w:rPr>
          <w:rFonts w:hint="eastAsia" w:ascii="宋体" w:hAnsi="宋体" w:eastAsia="宋体" w:cs="宋体"/>
          <w:color w:val="000000" w:themeColor="text1"/>
          <w:szCs w:val="21"/>
          <w:highlight w:val="none"/>
          <w14:textFill>
            <w14:solidFill>
              <w14:schemeClr w14:val="tx1"/>
            </w14:solidFill>
          </w14:textFill>
        </w:rPr>
        <w:t>光伏系统</w:t>
      </w:r>
      <w:bookmarkEnd w:id="455"/>
      <w:r>
        <w:rPr>
          <w:rFonts w:hint="eastAsia" w:ascii="宋体" w:hAnsi="宋体" w:eastAsia="宋体" w:cs="宋体"/>
          <w:color w:val="000000" w:themeColor="text1"/>
          <w:szCs w:val="21"/>
          <w:highlight w:val="none"/>
          <w14:textFill>
            <w14:solidFill>
              <w14:schemeClr w14:val="tx1"/>
            </w14:solidFill>
          </w14:textFill>
        </w:rPr>
        <w:t>投入运行后经营期最高不得超过 25 年；最低不得低于 10 年；</w:t>
      </w:r>
    </w:p>
    <w:p w14:paraId="692447D2">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（3）质保期内投标人应确保光伏系统安全、稳定、可靠运行，定期派人检查、监管和记录项目的运行情况，并定期汇总给招标人安全运维部门。</w:t>
      </w:r>
    </w:p>
    <w:bookmarkEnd w:id="454"/>
    <w:p w14:paraId="2FE4322F">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（4）投标人对光伏系统提供一年的运营维护服务，负责项目照管责任并承担全部运营维护所需费用。</w:t>
      </w:r>
    </w:p>
    <w:p w14:paraId="60660851">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（5）投标人承诺对光伏系统提供质保期内</w:t>
      </w:r>
      <w:bookmarkStart w:id="456" w:name="OLE_LINK96"/>
      <w:r>
        <w:rPr>
          <w:rFonts w:hint="eastAsia" w:ascii="宋体" w:hAnsi="宋体" w:eastAsia="宋体" w:cs="宋体"/>
          <w:color w:val="000000" w:themeColor="text1"/>
          <w:szCs w:val="21"/>
          <w:highlight w:val="none"/>
          <w14:textFill>
            <w14:solidFill>
              <w14:schemeClr w14:val="tx1"/>
            </w14:solidFill>
          </w14:textFill>
        </w:rPr>
        <w:t>维修保养服务</w:t>
      </w:r>
      <w:bookmarkEnd w:id="456"/>
      <w:r>
        <w:rPr>
          <w:rFonts w:hint="eastAsia" w:ascii="宋体" w:hAnsi="宋体" w:eastAsia="宋体" w:cs="宋体"/>
          <w:color w:val="000000" w:themeColor="text1"/>
          <w:szCs w:val="21"/>
          <w:highlight w:val="none"/>
          <w14:textFill>
            <w14:solidFill>
              <w14:schemeClr w14:val="tx1"/>
            </w14:solidFill>
          </w14:textFill>
        </w:rPr>
        <w:t>，并承担维修保养费用。</w:t>
      </w:r>
    </w:p>
    <w:p w14:paraId="455A040F">
      <w:pPr>
        <w:wordWrap w:val="0"/>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 安全运维设施</w:t>
      </w:r>
    </w:p>
    <w:p w14:paraId="295A9E39">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（1）水清洗系统</w:t>
      </w:r>
    </w:p>
    <w:p w14:paraId="1474C454">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①考虑到后期光伏组件清洗，每个屋面光伏系统需设计水清洗系统，要求在光伏组件排布屋面安装水管，并在出水口加装水龙头，在每个接水口需要配置相应的计量水表。</w:t>
      </w:r>
    </w:p>
    <w:p w14:paraId="5E9C9944">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②水清洗系统冲洗端水压不足（压力小于0.2MPa时）需加装增压泵，出口压力可调节，最小出口压力保证每个终端同时开启时冲洗压力大于0.2MPa，泵入口设置可拆卸式滤网保证冲洗水不含杂质。</w:t>
      </w:r>
    </w:p>
    <w:p w14:paraId="38B09BDF">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③所有的冲洗水管采用PPR热熔管，清洗水管管网放在通道上，水管拖长不超过50米且不能放在光伏组件上，在棚架光伏组件面每25米设置一个水龙头，按只能走通道的原则来布置水龙头。</w:t>
      </w:r>
    </w:p>
    <w:p w14:paraId="6A588F81">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④水管、水龙头应安装整齐、牢固，外观无明显破损和质量问题。</w:t>
      </w:r>
    </w:p>
    <w:p w14:paraId="62862B5E">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（2）运维通道</w:t>
      </w:r>
    </w:p>
    <w:p w14:paraId="503A9761">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各项目根据组件排布设置合理的运维通道，确保方便运维人员进行运维。运维通道应连成一体，并和水管、桥架等统一布置。</w:t>
      </w:r>
    </w:p>
    <w:p w14:paraId="72CE4318">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A.混凝土屋面光伏结构棚面中间设置花纹钢板运维通道，通道能直达到检修楼梯平台且不影响光伏系统件的正常运行。运维花纹钢板要求如下：</w:t>
      </w:r>
    </w:p>
    <w:p w14:paraId="6DF0EE45">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①花纹钢板材质采用镀锌钢，花纹钢板的重量在15kg/m</w:t>
      </w:r>
      <w:bookmarkStart w:id="457" w:name="OLE_LINK97"/>
      <w:r>
        <w:rPr>
          <w:rFonts w:hint="eastAsia" w:ascii="宋体" w:hAnsi="宋体" w:eastAsia="宋体" w:cs="宋体"/>
          <w:color w:val="000000" w:themeColor="text1"/>
          <w:szCs w:val="21"/>
          <w:highlight w:val="none"/>
          <w:vertAlign w:val="superscript"/>
          <w14:textFill>
            <w14:solidFill>
              <w14:schemeClr w14:val="tx1"/>
            </w14:solidFill>
          </w14:textFill>
        </w:rPr>
        <w:t>2</w:t>
      </w:r>
      <w:bookmarkEnd w:id="457"/>
      <w:r>
        <w:rPr>
          <w:rFonts w:hint="eastAsia" w:ascii="宋体" w:hAnsi="宋体" w:eastAsia="宋体" w:cs="宋体"/>
          <w:color w:val="000000" w:themeColor="text1"/>
          <w:szCs w:val="21"/>
          <w:highlight w:val="none"/>
          <w14:textFill>
            <w14:solidFill>
              <w14:schemeClr w14:val="tx1"/>
            </w14:solidFill>
          </w14:textFill>
        </w:rPr>
        <w:t>以内，宽度不低于400mm；</w:t>
      </w:r>
    </w:p>
    <w:p w14:paraId="4EF1C553">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②花纹钢板能够满足并能覆盖整个屋面太阳能板区域运维过程中的清洗、检修等工作；</w:t>
      </w:r>
    </w:p>
    <w:p w14:paraId="2C2BEF86">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③花纹钢板与花纹钢板衔接处可靠固定，花纹钢板与光伏结构棚可靠连接；</w:t>
      </w:r>
    </w:p>
    <w:p w14:paraId="2C90B083">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④花纹钢板强度和质量，满足如下要求：确保花纹钢板不移位晃动，不下垂并满足踩踏强度要求，寿命要求25年以上；</w:t>
      </w:r>
    </w:p>
    <w:p w14:paraId="45D05A58">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⑤花纹钢板侧必须设置悬挂安全绳的牢固点，并参照《</w:t>
      </w:r>
      <w:bookmarkStart w:id="458" w:name="OLE_LINK98"/>
      <w:r>
        <w:rPr>
          <w:rFonts w:hint="eastAsia" w:ascii="宋体" w:hAnsi="宋体" w:eastAsia="宋体" w:cs="宋体"/>
          <w:color w:val="000000" w:themeColor="text1"/>
          <w:szCs w:val="21"/>
          <w:highlight w:val="none"/>
          <w14:textFill>
            <w14:solidFill>
              <w14:schemeClr w14:val="tx1"/>
            </w14:solidFill>
          </w14:textFill>
        </w:rPr>
        <w:t>坠落防护 水平生命线装置</w:t>
      </w:r>
      <w:bookmarkEnd w:id="458"/>
      <w:r>
        <w:rPr>
          <w:rFonts w:hint="eastAsia" w:ascii="宋体" w:hAnsi="宋体" w:eastAsia="宋体" w:cs="宋体"/>
          <w:color w:val="000000" w:themeColor="text1"/>
          <w:szCs w:val="21"/>
          <w:highlight w:val="none"/>
          <w14:textFill>
            <w14:solidFill>
              <w14:schemeClr w14:val="tx1"/>
            </w14:solidFill>
          </w14:textFill>
        </w:rPr>
        <w:t>》GB38454-2019沿着花纹钢板加装水平生命线，确保方便运维人员安全清洗、运维。</w:t>
      </w:r>
    </w:p>
    <w:p w14:paraId="6526CA1E">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（3）检修配电箱</w:t>
      </w:r>
    </w:p>
    <w:p w14:paraId="1C24CD2C">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方便运维人员进行后期运维作业，安装光伏系统的屋面需加装检修配电箱，做法同逆变器一样，安装户外支架或挂墙安装,箱体采用厚度≥1.5mm的冷轧钢板制成，防护等级不低于IP65，可靠接地，电源由交流汇流箱、逆变器交流端就近引入，开关与线缆大小的选型需满足焊接要求，同时方便视频监控系统取电。</w:t>
      </w:r>
    </w:p>
    <w:p w14:paraId="4ADFD684">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（4）安全护栏、钢斜梯、采光带标识</w:t>
      </w:r>
    </w:p>
    <w:p w14:paraId="08357560">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安全护栏：若屋顶无护栏或女儿墙屋顶的屋顶临边、洞口处，需加装高度≥1200mm的永久热镀锌角钢、U型钢材质防护围栏，以保护人身安全，同时也要减少护栏对光伏组件阴影遮挡影响。护栏立柱之间的间距小于1.5m，横杆之间的间距小于0.6m，护栏按间隔可靠防雷接地。护栏安装应牢固、美观，符合《建筑施工高处作业安全技术规范》JGJ80-2016。</w:t>
      </w:r>
    </w:p>
    <w:p w14:paraId="05E49B2D">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扶手踏步钢斜梯：为方便运维和安全作业，未设置楼梯的屋面、棚架式光伏组件面，须设置扶手踏步镀锌钢斜梯，钢梯宽度≥0.8m，扶手高度≥0.9m，同时加装0.8m×1.2m运维操作平台并与运维通道进行连接，应符合《固定式钢梯及平台安全要求.第2部分:钢斜梯》GB4053.2-2009规定。钢斜梯入口要有带锁的活动门，钢斜梯旁边设置“非内部人员禁止进入”等安全警示牌。</w:t>
      </w:r>
    </w:p>
    <w:p w14:paraId="2E21C2C6">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③采光带周围用宽度不少于100mm黄色油漆标识（或贴警示带），并设置“禁止踩踏”警示牌；同时设置防坠落网进行保护，防止人员踩空。</w:t>
      </w:r>
    </w:p>
    <w:p w14:paraId="6039ECF6">
      <w:pPr>
        <w:keepNext/>
        <w:keepLines/>
        <w:spacing w:line="360" w:lineRule="auto"/>
        <w:outlineLvl w:val="3"/>
        <w:rPr>
          <w:rFonts w:ascii="宋体" w:hAnsi="宋体" w:eastAsia="宋体" w:cs="宋体"/>
          <w:b/>
          <w:bCs/>
          <w:color w:val="000000" w:themeColor="text1"/>
          <w:szCs w:val="21"/>
          <w:highlight w:val="none"/>
          <w14:textFill>
            <w14:solidFill>
              <w14:schemeClr w14:val="tx1"/>
            </w14:solidFill>
          </w14:textFill>
        </w:rPr>
      </w:pPr>
    </w:p>
    <w:p w14:paraId="29447AB3">
      <w:pPr>
        <w:keepNext/>
        <w:keepLines/>
        <w:spacing w:line="360" w:lineRule="auto"/>
        <w:outlineLvl w:val="3"/>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w:t>
      </w:r>
      <w:bookmarkStart w:id="459" w:name="OLE_LINK325"/>
      <w:r>
        <w:rPr>
          <w:rFonts w:hint="eastAsia" w:ascii="宋体" w:hAnsi="宋体" w:eastAsia="宋体" w:cs="宋体"/>
          <w:b/>
          <w:bCs/>
          <w:color w:val="000000" w:themeColor="text1"/>
          <w:szCs w:val="21"/>
          <w:highlight w:val="none"/>
          <w14:textFill>
            <w14:solidFill>
              <w14:schemeClr w14:val="tx1"/>
            </w14:solidFill>
          </w14:textFill>
        </w:rPr>
        <w:t>设计规范和设计依据</w:t>
      </w:r>
      <w:bookmarkEnd w:id="459"/>
    </w:p>
    <w:p w14:paraId="4323FCFE">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（1）建筑平面、总平面；其他相关专业提出的要求。</w:t>
      </w:r>
    </w:p>
    <w:p w14:paraId="56AD7F8D">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（2）招标人所提供的设计任务委托书、设计要点、经批准的扩初设计文件、配电房管线资料等。</w:t>
      </w:r>
    </w:p>
    <w:p w14:paraId="590337E9">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（3）国家及省的有关规范、标准、规程：</w:t>
      </w:r>
    </w:p>
    <w:p w14:paraId="6B84D0DD">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《光伏发电站防雷技术规程》 DL/T 1364-2014(国家能源局)</w:t>
      </w:r>
    </w:p>
    <w:p w14:paraId="614DABB7">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《光伏发电并网逆变器技术规范》 NB/T 32004-2013(国家能源局)</w:t>
      </w:r>
    </w:p>
    <w:p w14:paraId="7BC16803">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《光伏发电站电能质量检测技术规程》 NB/T 32006-2013(国家能源局)</w:t>
      </w:r>
    </w:p>
    <w:p w14:paraId="45C047CE">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《光伏发电站功率预测系统技术要求》 NB/T 32011-2013(国家能源局)</w:t>
      </w:r>
    </w:p>
    <w:p w14:paraId="7C8F8878">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《光伏发电站防孤岛效应检测技术规程》 NB/T 32014-2013(国家能源局)</w:t>
      </w:r>
    </w:p>
    <w:p w14:paraId="29734D3F">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《并网光伏发电监控系统技术规范》 NB/T 32016-2013(国家能源局)</w:t>
      </w:r>
    </w:p>
    <w:p w14:paraId="476721DC">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《太阳能光伏系统防雷技术规范》 QX/T 263-2015(中国气象局)</w:t>
      </w:r>
    </w:p>
    <w:p w14:paraId="5A8AC2B2">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《光伏发电接入配电网设计规范》 GB/T 50865-2013</w:t>
      </w:r>
    </w:p>
    <w:p w14:paraId="185C1556">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《光伏发电站接入电力系统设计规范》 GB/T 50866-2013</w:t>
      </w:r>
    </w:p>
    <w:p w14:paraId="1FAB4296">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《光伏发电站继电保护技术规范》 GB/T_32900-2016</w:t>
      </w:r>
    </w:p>
    <w:p w14:paraId="08262CC4">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《分布式光伏发电系统接入电网技术规范》 Q/CSG_1211001-2014</w:t>
      </w:r>
    </w:p>
    <w:p w14:paraId="3B901E7D">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《光伏发电站接入电网技术规范》 Q/CSG_1211002-2014</w:t>
      </w:r>
    </w:p>
    <w:p w14:paraId="22EE7F99">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《光伏发电并网技术标准》 Q/CSG_1211006-2016</w:t>
      </w:r>
    </w:p>
    <w:p w14:paraId="32A1D06C">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《并网光伏发电站监控系统技术规范》 Q/CSG_1211011-2016</w:t>
      </w:r>
    </w:p>
    <w:p w14:paraId="04C58FC9">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《建筑结构荷载规范》 GB50009-2012</w:t>
      </w:r>
    </w:p>
    <w:p w14:paraId="2A29CF9D">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《建筑物防雷设计规范》 GB50057-2010</w:t>
      </w:r>
    </w:p>
    <w:p w14:paraId="210E795A">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且包含未明列但属国家或地方规定的其他强制执行标准或规范（条款）</w:t>
      </w:r>
    </w:p>
    <w:p w14:paraId="435237D4">
      <w:pPr>
        <w:keepNext/>
        <w:keepLines/>
        <w:spacing w:line="360" w:lineRule="auto"/>
        <w:outlineLvl w:val="3"/>
        <w:rPr>
          <w:rFonts w:ascii="宋体" w:hAnsi="宋体" w:eastAsia="宋体" w:cs="宋体"/>
          <w:b/>
          <w:bCs/>
          <w:color w:val="000000" w:themeColor="text1"/>
          <w:szCs w:val="21"/>
          <w:highlight w:val="none"/>
          <w14:textFill>
            <w14:solidFill>
              <w14:schemeClr w14:val="tx1"/>
            </w14:solidFill>
          </w14:textFill>
        </w:rPr>
      </w:pPr>
    </w:p>
    <w:p w14:paraId="44349A74">
      <w:pPr>
        <w:keepNext/>
        <w:keepLines/>
        <w:spacing w:line="360" w:lineRule="auto"/>
        <w:outlineLvl w:val="3"/>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七、</w:t>
      </w:r>
      <w:bookmarkStart w:id="460" w:name="OLE_LINK326"/>
      <w:r>
        <w:rPr>
          <w:rFonts w:hint="eastAsia" w:ascii="宋体" w:hAnsi="宋体" w:eastAsia="宋体" w:cs="宋体"/>
          <w:b/>
          <w:bCs/>
          <w:color w:val="000000" w:themeColor="text1"/>
          <w:szCs w:val="21"/>
          <w:highlight w:val="none"/>
          <w14:textFill>
            <w14:solidFill>
              <w14:schemeClr w14:val="tx1"/>
            </w14:solidFill>
          </w14:textFill>
        </w:rPr>
        <w:t>消防要求</w:t>
      </w:r>
      <w:bookmarkEnd w:id="460"/>
    </w:p>
    <w:p w14:paraId="31163732">
      <w:pPr>
        <w:wordWrap w:val="0"/>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 主要设计原则、功能及配置</w:t>
      </w:r>
    </w:p>
    <w:p w14:paraId="3C5057F3">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本项目依据国家有关消防条例、规范进行设计，本着“预防为主、防消结合 ”的消防工作方针，消防系统的设置以加强自身防范力量为主，立足于自救，同时与消防部门联防，做到“防患于未然 ”，从积极的方面预防火灾的发生及蔓延。变电站内电气设备较多，消防设计的重点是防止电气火灾。</w:t>
      </w:r>
    </w:p>
    <w:p w14:paraId="714AD67F">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（1）对设有电气仪表设备的房间，应配置移动式气体灭火器和手动火灾报警（警铃）。</w:t>
      </w:r>
    </w:p>
    <w:p w14:paraId="5F13C271">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（2）对光伏组件屋面应按方阵、逆变器数量配置干粉灭火器和消防沙，用于发电单元电气设备的灭火。</w:t>
      </w:r>
    </w:p>
    <w:p w14:paraId="14175015">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（3）根据“预防为主、防消结合 ”的原则，本着减少着火几率，阻止电缆着火延燃及窜燃的目的，结合现场实际情况，主要采取“封 ”“堵 ”“隔 ”“涂 ”等技术措施，封堵施工按照国家及行业有关标准和以往的电缆防火封堵措施并结合电站实际情况进行，交流电缆采用阻燃型 。安装主要达到《电气装置安装工程 电缆线路施工及验收标准》GB50168-2018。</w:t>
      </w:r>
    </w:p>
    <w:p w14:paraId="5D67DFBD">
      <w:pPr>
        <w:wordWrap w:val="0"/>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 消防设计及消防验收</w:t>
      </w:r>
    </w:p>
    <w:p w14:paraId="74FF32A5">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投标人须依据《中华人名共和国消防法》、《建设工程消防监督管理规定》等法律法规及当地消防管理部门的要求，完成如下事项（包括但不限于）:</w:t>
      </w:r>
    </w:p>
    <w:p w14:paraId="7D46CDBD">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（1）光伏发电项目的消防设计及备案；</w:t>
      </w:r>
    </w:p>
    <w:p w14:paraId="204FB7C9">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（2）委托有资质的第三方机构进行消防检测，并取得消防设施检测合格证明文件；</w:t>
      </w:r>
    </w:p>
    <w:p w14:paraId="2D4A51B1">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bookmarkStart w:id="461" w:name="OLE_LINK103"/>
      <w:r>
        <w:rPr>
          <w:rFonts w:hint="eastAsia" w:ascii="宋体" w:hAnsi="宋体" w:eastAsia="宋体" w:cs="宋体"/>
          <w:color w:val="000000" w:themeColor="text1"/>
          <w:szCs w:val="21"/>
          <w:highlight w:val="none"/>
          <w14:textFill>
            <w14:solidFill>
              <w14:schemeClr w14:val="tx1"/>
            </w14:solidFill>
          </w14:textFill>
        </w:rPr>
        <w:t>（3）</w:t>
      </w:r>
      <w:bookmarkStart w:id="462" w:name="OLE_LINK104"/>
      <w:r>
        <w:rPr>
          <w:rFonts w:hint="eastAsia" w:ascii="宋体" w:hAnsi="宋体" w:eastAsia="宋体" w:cs="宋体"/>
          <w:color w:val="000000" w:themeColor="text1"/>
          <w:szCs w:val="21"/>
          <w:highlight w:val="none"/>
          <w14:textFill>
            <w14:solidFill>
              <w14:schemeClr w14:val="tx1"/>
            </w14:solidFill>
          </w14:textFill>
        </w:rPr>
        <w:t>竣工</w:t>
      </w:r>
      <w:bookmarkEnd w:id="462"/>
      <w:r>
        <w:rPr>
          <w:rFonts w:hint="eastAsia" w:ascii="宋体" w:hAnsi="宋体" w:eastAsia="宋体" w:cs="宋体"/>
          <w:color w:val="000000" w:themeColor="text1"/>
          <w:szCs w:val="21"/>
          <w:highlight w:val="none"/>
          <w14:textFill>
            <w14:solidFill>
              <w14:schemeClr w14:val="tx1"/>
            </w14:solidFill>
          </w14:textFill>
        </w:rPr>
        <w:t>验收消防备案；</w:t>
      </w:r>
    </w:p>
    <w:bookmarkEnd w:id="461"/>
    <w:p w14:paraId="172CCB92">
      <w:pPr>
        <w:tabs>
          <w:tab w:val="left" w:pos="360"/>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（4）如本项目被确定为抽查对象，须通过当地消防管理部门的检测检验。</w:t>
      </w:r>
    </w:p>
    <w:p w14:paraId="2C8A5278">
      <w:pPr>
        <w:keepNext/>
        <w:keepLines/>
        <w:spacing w:line="360" w:lineRule="auto"/>
        <w:ind w:firstLine="422" w:firstLineChars="200"/>
        <w:outlineLvl w:val="3"/>
        <w:rPr>
          <w:rFonts w:ascii="宋体" w:hAnsi="宋体" w:eastAsia="宋体" w:cs="宋体"/>
          <w:b/>
          <w:bCs/>
          <w:color w:val="000000" w:themeColor="text1"/>
          <w:szCs w:val="21"/>
          <w:highlight w:val="none"/>
          <w14:textFill>
            <w14:solidFill>
              <w14:schemeClr w14:val="tx1"/>
            </w14:solidFill>
          </w14:textFill>
        </w:rPr>
      </w:pPr>
    </w:p>
    <w:p w14:paraId="518A826F">
      <w:pPr>
        <w:keepNext/>
        <w:keepLines/>
        <w:spacing w:line="360" w:lineRule="auto"/>
        <w:outlineLvl w:val="3"/>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八、</w:t>
      </w:r>
      <w:bookmarkStart w:id="463" w:name="OLE_LINK327"/>
      <w:r>
        <w:rPr>
          <w:rFonts w:hint="eastAsia" w:ascii="宋体" w:hAnsi="宋体" w:eastAsia="宋体" w:cs="宋体"/>
          <w:b/>
          <w:bCs/>
          <w:color w:val="000000" w:themeColor="text1"/>
          <w:szCs w:val="21"/>
          <w:highlight w:val="none"/>
          <w14:textFill>
            <w14:solidFill>
              <w14:schemeClr w14:val="tx1"/>
            </w14:solidFill>
          </w14:textFill>
        </w:rPr>
        <w:t>其他</w:t>
      </w:r>
      <w:bookmarkEnd w:id="463"/>
    </w:p>
    <w:p w14:paraId="49BAC90B">
      <w:pPr>
        <w:keepNext/>
        <w:keepLines/>
        <w:spacing w:line="360" w:lineRule="auto"/>
        <w:ind w:firstLine="420" w:firstLineChars="200"/>
        <w:outlineLvl w:val="3"/>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1、完工期：自合同签订之日起，100日历天内完成全部服务内容（包括但不限于设计、报装、采购、安装及安装所需的一切配套施工、并网及相应安全、监控、清洗、运维设施安装</w:t>
      </w:r>
      <w:bookmarkStart w:id="464" w:name="OLE_LINK451"/>
      <w:r>
        <w:rPr>
          <w:rFonts w:hint="eastAsia" w:ascii="宋体" w:hAnsi="宋体" w:eastAsia="宋体" w:cs="宋体"/>
          <w:color w:val="000000" w:themeColor="text1"/>
          <w:szCs w:val="21"/>
          <w:highlight w:val="none"/>
          <w14:textFill>
            <w14:solidFill>
              <w14:schemeClr w14:val="tx1"/>
            </w14:solidFill>
          </w14:textFill>
        </w:rPr>
        <w:t>至实现并网送电审批通过</w:t>
      </w:r>
      <w:bookmarkEnd w:id="464"/>
      <w:r>
        <w:rPr>
          <w:rFonts w:hint="eastAsia" w:ascii="宋体" w:hAnsi="宋体" w:eastAsia="宋体" w:cs="宋体"/>
          <w:color w:val="000000" w:themeColor="text1"/>
          <w:szCs w:val="21"/>
          <w:highlight w:val="none"/>
          <w14:textFill>
            <w14:solidFill>
              <w14:schemeClr w14:val="tx1"/>
            </w14:solidFill>
          </w14:textFill>
        </w:rPr>
        <w:t>）。</w:t>
      </w:r>
      <w:bookmarkStart w:id="465" w:name="OLE_LINK511"/>
    </w:p>
    <w:p w14:paraId="1DBF9A58">
      <w:pPr>
        <w:keepNext/>
        <w:keepLines/>
        <w:spacing w:line="360" w:lineRule="auto"/>
        <w:ind w:firstLine="420" w:firstLineChars="200"/>
        <w:outlineLvl w:val="3"/>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2、运维期：1年，自项目全部并网审批通过开始正式送电之日起计算。</w:t>
      </w:r>
    </w:p>
    <w:bookmarkEnd w:id="465"/>
    <w:p w14:paraId="5A90D24C">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3、质保期：</w:t>
      </w:r>
      <w:bookmarkStart w:id="466" w:name="OLE_LINK421"/>
      <w:r>
        <w:rPr>
          <w:rFonts w:hint="eastAsia" w:ascii="宋体" w:hAnsi="宋体" w:eastAsia="宋体" w:cs="宋体"/>
          <w:color w:val="000000" w:themeColor="text1"/>
          <w:szCs w:val="21"/>
          <w:highlight w:val="none"/>
          <w14:textFill>
            <w14:solidFill>
              <w14:schemeClr w14:val="tx1"/>
            </w14:solidFill>
          </w14:textFill>
        </w:rPr>
        <w:t>质保期为</w:t>
      </w:r>
      <w:bookmarkStart w:id="467" w:name="OLE_LINK359"/>
      <w:r>
        <w:rPr>
          <w:rFonts w:hint="eastAsia" w:ascii="宋体" w:hAnsi="宋体" w:eastAsia="宋体" w:cs="宋体"/>
          <w:color w:val="000000" w:themeColor="text1"/>
          <w:szCs w:val="21"/>
          <w:highlight w:val="none"/>
          <w14:textFill>
            <w14:solidFill>
              <w14:schemeClr w14:val="tx1"/>
            </w14:solidFill>
          </w14:textFill>
        </w:rPr>
        <w:t>项目整体最终验收合格</w:t>
      </w:r>
      <w:bookmarkEnd w:id="467"/>
      <w:r>
        <w:rPr>
          <w:rFonts w:hint="eastAsia" w:ascii="宋体" w:hAnsi="宋体" w:eastAsia="宋体" w:cs="宋体"/>
          <w:color w:val="000000" w:themeColor="text1"/>
          <w:szCs w:val="21"/>
          <w:highlight w:val="none"/>
          <w14:textFill>
            <w14:solidFill>
              <w14:schemeClr w14:val="tx1"/>
            </w14:solidFill>
          </w14:textFill>
        </w:rPr>
        <w:t>后2年，如个体设备有更高要求的，遵循更高要求</w:t>
      </w:r>
      <w:bookmarkEnd w:id="466"/>
      <w:r>
        <w:rPr>
          <w:rFonts w:hint="eastAsia" w:ascii="宋体" w:hAnsi="宋体" w:eastAsia="宋体" w:cs="宋体"/>
          <w:color w:val="000000" w:themeColor="text1"/>
          <w:szCs w:val="21"/>
          <w:highlight w:val="none"/>
          <w14:textFill>
            <w14:solidFill>
              <w14:schemeClr w14:val="tx1"/>
            </w14:solidFill>
          </w14:textFill>
        </w:rPr>
        <w:t>。</w:t>
      </w:r>
    </w:p>
    <w:p w14:paraId="00E08D86">
      <w:pPr>
        <w:wordWrap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4、报价要求：</w:t>
      </w:r>
    </w:p>
    <w:p w14:paraId="41A1EDF9">
      <w:pPr>
        <w:tabs>
          <w:tab w:val="center" w:pos="3125"/>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投标报价包括：</w:t>
      </w:r>
      <w:bookmarkStart w:id="468" w:name="OLE_LINK372"/>
      <w:r>
        <w:rPr>
          <w:rFonts w:hint="eastAsia" w:ascii="宋体" w:hAnsi="宋体" w:eastAsia="宋体" w:cs="宋体"/>
          <w:color w:val="000000" w:themeColor="text1"/>
          <w:szCs w:val="21"/>
          <w:highlight w:val="none"/>
          <w14:textFill>
            <w14:solidFill>
              <w14:schemeClr w14:val="tx1"/>
            </w14:solidFill>
          </w14:textFill>
        </w:rPr>
        <w:t>（1）</w:t>
      </w:r>
      <w:bookmarkStart w:id="469" w:name="OLE_LINK149"/>
      <w:r>
        <w:rPr>
          <w:rFonts w:hint="eastAsia" w:ascii="宋体" w:hAnsi="宋体" w:eastAsia="宋体" w:cs="宋体"/>
          <w:color w:val="000000" w:themeColor="text1"/>
          <w:szCs w:val="21"/>
          <w:highlight w:val="none"/>
          <w14:textFill>
            <w14:solidFill>
              <w14:schemeClr w14:val="tx1"/>
            </w14:solidFill>
          </w14:textFill>
        </w:rPr>
        <w:t>光伏系统的设计服务费</w:t>
      </w:r>
      <w:bookmarkEnd w:id="469"/>
      <w:r>
        <w:rPr>
          <w:rFonts w:hint="eastAsia" w:ascii="宋体" w:hAnsi="宋体" w:eastAsia="宋体" w:cs="宋体"/>
          <w:color w:val="000000" w:themeColor="text1"/>
          <w:szCs w:val="21"/>
          <w:highlight w:val="none"/>
          <w14:textFill>
            <w14:solidFill>
              <w14:schemeClr w14:val="tx1"/>
            </w14:solidFill>
          </w14:textFill>
        </w:rPr>
        <w:t>（包括深化设计费用）、货物及零配件成本费、运输费、包装费、装卸费、搬运（含二次搬运）费、保险费、安装费及安装设备所需的配件等费用、安装所需的一切配套施工费用、调试费、材料费、验收费（含验收所需的专家费、会务费、差旅费、验收材料费等）、人工费、技术培训费、技术服务（包括技术资料、图纸的提供等）、</w:t>
      </w:r>
      <w:bookmarkStart w:id="470" w:name="OLE_LINK112"/>
      <w:r>
        <w:rPr>
          <w:rFonts w:hint="eastAsia" w:ascii="宋体" w:hAnsi="宋体" w:eastAsia="宋体" w:cs="宋体"/>
          <w:color w:val="000000" w:themeColor="text1"/>
          <w:szCs w:val="21"/>
          <w:highlight w:val="none"/>
          <w14:textFill>
            <w14:solidFill>
              <w14:schemeClr w14:val="tx1"/>
            </w14:solidFill>
          </w14:textFill>
        </w:rPr>
        <w:t>其它保障光伏系统稳定运行所必须的相关工作费用、质保期设备保修保养费</w:t>
      </w:r>
      <w:bookmarkEnd w:id="470"/>
      <w:r>
        <w:rPr>
          <w:rFonts w:hint="eastAsia" w:ascii="宋体" w:hAnsi="宋体" w:eastAsia="宋体" w:cs="宋体"/>
          <w:color w:val="000000" w:themeColor="text1"/>
          <w:szCs w:val="21"/>
          <w:highlight w:val="none"/>
          <w14:textFill>
            <w14:solidFill>
              <w14:schemeClr w14:val="tx1"/>
            </w14:solidFill>
          </w14:textFill>
        </w:rPr>
        <w:t>等；（2）运维一年费用（含日常办公费用、巡检费、设备设施维修养护/清洗费、设备运营所需的维修及耗材费用、人员工资、员工保险、利润（管理酬金）等一切费用）；（3）供货货物及其工艺所有制造方、使用方应支付的对专有技术、商标权、专利权和版权、设计或其他知识产权而需要向其他方支付的版税；（4）日常技术指导，免费的质保服务，包括但不限于免费现场质量问题处理或更换失效产品；（5）合理利润、</w:t>
      </w:r>
      <w:bookmarkStart w:id="471" w:name="OLE_LINK110"/>
      <w:r>
        <w:rPr>
          <w:rFonts w:hint="eastAsia" w:ascii="宋体" w:hAnsi="宋体" w:eastAsia="宋体" w:cs="宋体"/>
          <w:color w:val="000000" w:themeColor="text1"/>
          <w:szCs w:val="21"/>
          <w:highlight w:val="none"/>
          <w14:textFill>
            <w14:solidFill>
              <w14:schemeClr w14:val="tx1"/>
            </w14:solidFill>
          </w14:textFill>
        </w:rPr>
        <w:t>乙方销项税额以外的税费</w:t>
      </w:r>
      <w:bookmarkEnd w:id="471"/>
      <w:r>
        <w:rPr>
          <w:rFonts w:hint="eastAsia" w:ascii="宋体" w:hAnsi="宋体" w:eastAsia="宋体" w:cs="宋体"/>
          <w:color w:val="000000" w:themeColor="text1"/>
          <w:szCs w:val="21"/>
          <w:highlight w:val="none"/>
          <w14:textFill>
            <w14:solidFill>
              <w14:schemeClr w14:val="tx1"/>
            </w14:solidFill>
          </w14:textFill>
        </w:rPr>
        <w:t>及合同实施过程中的应预见和不可预见费用等完成合同规定责任和义务、达到合同目的的一切费用等；（6）法律法规、商业公认、招标文件规定由乙方承担的其他直接及间接费用。</w:t>
      </w:r>
      <w:bookmarkEnd w:id="468"/>
    </w:p>
    <w:p w14:paraId="7C334E4F">
      <w:pPr>
        <w:tabs>
          <w:tab w:val="center" w:pos="3125"/>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5、合同价格形式</w:t>
      </w:r>
    </w:p>
    <w:p w14:paraId="575024BC">
      <w:pPr>
        <w:tabs>
          <w:tab w:val="center" w:pos="3125"/>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（1）关于合同价格形式的约定：以暂定总价、</w:t>
      </w:r>
      <w:bookmarkStart w:id="472" w:name="OLE_LINK39"/>
      <w:r>
        <w:rPr>
          <w:rFonts w:hint="eastAsia" w:ascii="宋体" w:hAnsi="宋体" w:eastAsia="宋体" w:cs="宋体"/>
          <w:color w:val="000000" w:themeColor="text1"/>
          <w:szCs w:val="21"/>
          <w:highlight w:val="none"/>
          <w14:textFill>
            <w14:solidFill>
              <w14:schemeClr w14:val="tx1"/>
            </w14:solidFill>
          </w14:textFill>
        </w:rPr>
        <w:t>固定每瓦单价</w:t>
      </w:r>
      <w:bookmarkEnd w:id="472"/>
      <w:r>
        <w:rPr>
          <w:rFonts w:hint="eastAsia" w:ascii="宋体" w:hAnsi="宋体" w:eastAsia="宋体" w:cs="宋体"/>
          <w:color w:val="000000" w:themeColor="text1"/>
          <w:szCs w:val="21"/>
          <w:highlight w:val="none"/>
          <w14:textFill>
            <w14:solidFill>
              <w14:schemeClr w14:val="tx1"/>
            </w14:solidFill>
          </w14:textFill>
        </w:rPr>
        <w:t>总承包的方式。</w:t>
      </w:r>
    </w:p>
    <w:p w14:paraId="389E19D6">
      <w:pPr>
        <w:tabs>
          <w:tab w:val="center" w:pos="3125"/>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（2）关于合同价格调整的约定：根据最终容量及</w:t>
      </w:r>
      <w:bookmarkStart w:id="473" w:name="OLE_LINK452"/>
      <w:r>
        <w:rPr>
          <w:rFonts w:hint="eastAsia" w:ascii="宋体" w:hAnsi="宋体" w:eastAsia="宋体" w:cs="宋体"/>
          <w:color w:val="000000" w:themeColor="text1"/>
          <w:szCs w:val="21"/>
          <w:highlight w:val="none"/>
          <w14:textFill>
            <w14:solidFill>
              <w14:schemeClr w14:val="tx1"/>
            </w14:solidFill>
          </w14:textFill>
        </w:rPr>
        <w:t>合同约定</w:t>
      </w:r>
      <w:bookmarkEnd w:id="473"/>
      <w:r>
        <w:rPr>
          <w:rFonts w:hint="eastAsia" w:ascii="宋体" w:hAnsi="宋体" w:eastAsia="宋体" w:cs="宋体"/>
          <w:color w:val="000000" w:themeColor="text1"/>
          <w:szCs w:val="21"/>
          <w:highlight w:val="none"/>
          <w14:textFill>
            <w14:solidFill>
              <w14:schemeClr w14:val="tx1"/>
            </w14:solidFill>
          </w14:textFill>
        </w:rPr>
        <w:t>相应调整。</w:t>
      </w:r>
    </w:p>
    <w:p w14:paraId="245202E8">
      <w:pPr>
        <w:tabs>
          <w:tab w:val="center" w:pos="3125"/>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bookmarkStart w:id="474" w:name="OLE_LINK453"/>
      <w:r>
        <w:rPr>
          <w:rFonts w:hint="eastAsia" w:ascii="宋体" w:hAnsi="宋体" w:eastAsia="宋体" w:cs="宋体"/>
          <w:color w:val="000000" w:themeColor="text1"/>
          <w:szCs w:val="21"/>
          <w:highlight w:val="none"/>
          <w14:textFill>
            <w14:solidFill>
              <w14:schemeClr w14:val="tx1"/>
            </w14:solidFill>
          </w14:textFill>
        </w:rPr>
        <w:t>①经招标人书面提出或确认组件及支架安装数量变化时，按照实际装机容量结算；</w:t>
      </w:r>
      <w:bookmarkEnd w:id="474"/>
      <w:r>
        <w:rPr>
          <w:rFonts w:hint="eastAsia" w:ascii="宋体" w:hAnsi="宋体" w:eastAsia="宋体" w:cs="宋体"/>
          <w:color w:val="000000" w:themeColor="text1"/>
          <w:szCs w:val="21"/>
          <w:highlight w:val="none"/>
          <w14:textFill>
            <w14:solidFill>
              <w14:schemeClr w14:val="tx1"/>
            </w14:solidFill>
          </w14:textFill>
        </w:rPr>
        <w:t>在组件及支架安装数量不变的情况下，如果因单块组件容量增大导致实际装机容量增大，仍按单块组件590Wp计算总装机容量来结算总价，如组件单块容量不变，安装组件数量增减，应按照实际装机容量结算。中标</w:t>
      </w:r>
      <w:bookmarkStart w:id="475" w:name="OLE_LINK44"/>
      <w:r>
        <w:rPr>
          <w:rFonts w:hint="eastAsia" w:ascii="宋体" w:hAnsi="宋体" w:eastAsia="宋体" w:cs="宋体"/>
          <w:color w:val="000000" w:themeColor="text1"/>
          <w:szCs w:val="21"/>
          <w:highlight w:val="none"/>
          <w14:textFill>
            <w14:solidFill>
              <w14:schemeClr w14:val="tx1"/>
            </w14:solidFill>
          </w14:textFill>
        </w:rPr>
        <w:t>固定每瓦单价=中标报价总价÷装机容量（四舍五入保留小数点后3位小数）</w:t>
      </w:r>
      <w:bookmarkEnd w:id="475"/>
      <w:r>
        <w:rPr>
          <w:rFonts w:hint="eastAsia" w:ascii="宋体" w:hAnsi="宋体" w:eastAsia="宋体" w:cs="宋体"/>
          <w:color w:val="000000" w:themeColor="text1"/>
          <w:szCs w:val="21"/>
          <w:highlight w:val="none"/>
          <w14:textFill>
            <w14:solidFill>
              <w14:schemeClr w14:val="tx1"/>
            </w14:solidFill>
          </w14:textFill>
        </w:rPr>
        <w:t>，投标人按中标固定每瓦单价×实际装机容量进行结算。</w:t>
      </w:r>
      <w:bookmarkStart w:id="476" w:name="OLE_LINK458"/>
      <w:bookmarkStart w:id="477" w:name="OLE_LINK454"/>
      <w:r>
        <w:rPr>
          <w:rFonts w:hint="eastAsia" w:ascii="宋体" w:hAnsi="宋体" w:eastAsia="宋体" w:cs="宋体"/>
          <w:color w:val="000000" w:themeColor="text1"/>
          <w:szCs w:val="21"/>
          <w:highlight w:val="none"/>
          <w14:textFill>
            <w14:solidFill>
              <w14:schemeClr w14:val="tx1"/>
            </w14:solidFill>
          </w14:textFill>
        </w:rPr>
        <w:t>②合同暂定价格仅为便于计算使用，不作为招标人最终采购实施数量的保证。招标人的实际需求数量以实际装机容量为准，按实结算。在履行期内，中标人不得因招标人实际采购实施数量的减少或增加而要求招标人作出任何形式的补偿或赔偿，或要求招标人按暂定数量采购相应货物</w:t>
      </w:r>
      <w:bookmarkEnd w:id="476"/>
      <w:r>
        <w:rPr>
          <w:rFonts w:hint="eastAsia" w:ascii="宋体" w:hAnsi="宋体" w:eastAsia="宋体" w:cs="宋体"/>
          <w:color w:val="000000" w:themeColor="text1"/>
          <w:szCs w:val="21"/>
          <w:highlight w:val="none"/>
          <w14:textFill>
            <w14:solidFill>
              <w14:schemeClr w14:val="tx1"/>
            </w14:solidFill>
          </w14:textFill>
        </w:rPr>
        <w:t xml:space="preserve">。 </w:t>
      </w:r>
      <w:bookmarkEnd w:id="477"/>
    </w:p>
    <w:p w14:paraId="794641CA">
      <w:pPr>
        <w:tabs>
          <w:tab w:val="center" w:pos="3125"/>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6、付款方式：</w:t>
      </w:r>
    </w:p>
    <w:p w14:paraId="1756D57A">
      <w:pPr>
        <w:tabs>
          <w:tab w:val="center" w:pos="3125"/>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（1）第一次付款：签订合同后15天内，支付暂定合同金额的30%；</w:t>
      </w:r>
    </w:p>
    <w:p w14:paraId="79485CCB">
      <w:pPr>
        <w:tabs>
          <w:tab w:val="center" w:pos="3125"/>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（2）第二次付款：办理完成</w:t>
      </w:r>
      <w:bookmarkStart w:id="478" w:name="OLE_LINK115"/>
      <w:r>
        <w:rPr>
          <w:rFonts w:hint="eastAsia" w:ascii="宋体" w:hAnsi="宋体" w:eastAsia="宋体" w:cs="宋体"/>
          <w:color w:val="000000" w:themeColor="text1"/>
          <w:szCs w:val="21"/>
          <w:highlight w:val="none"/>
          <w14:textFill>
            <w14:solidFill>
              <w14:schemeClr w14:val="tx1"/>
            </w14:solidFill>
          </w14:textFill>
        </w:rPr>
        <w:t>项目相关的</w:t>
      </w:r>
      <w:bookmarkEnd w:id="478"/>
      <w:r>
        <w:rPr>
          <w:rFonts w:hint="eastAsia" w:ascii="宋体" w:hAnsi="宋体" w:eastAsia="宋体" w:cs="宋体"/>
          <w:color w:val="000000" w:themeColor="text1"/>
          <w:szCs w:val="21"/>
          <w:highlight w:val="none"/>
          <w14:textFill>
            <w14:solidFill>
              <w14:schemeClr w14:val="tx1"/>
            </w14:solidFill>
          </w14:textFill>
        </w:rPr>
        <w:t>报批、报建、报装申报手续及施工所需许可、证件、批件，包括但不限于办理施工许可证（或临时施工许可或夜间施工）、报监手续、余泥排放证、排水手续、排水接驳、排水许可证等及交纳散装水泥专项资金等工作，完成监控系统（招标人负责人指定位置）安装并投运。提交</w:t>
      </w:r>
      <w:bookmarkStart w:id="479" w:name="OLE_LINK120"/>
      <w:r>
        <w:rPr>
          <w:rFonts w:hint="eastAsia" w:ascii="宋体" w:hAnsi="宋体" w:eastAsia="宋体" w:cs="宋体"/>
          <w:color w:val="000000" w:themeColor="text1"/>
          <w:szCs w:val="21"/>
          <w:highlight w:val="none"/>
          <w14:textFill>
            <w14:solidFill>
              <w14:schemeClr w14:val="tx1"/>
            </w14:solidFill>
          </w14:textFill>
        </w:rPr>
        <w:t>全套合同约定的</w:t>
      </w:r>
      <w:bookmarkStart w:id="480" w:name="OLE_LINK151"/>
      <w:r>
        <w:rPr>
          <w:rFonts w:hint="eastAsia" w:ascii="宋体" w:hAnsi="宋体" w:eastAsia="宋体" w:cs="宋体"/>
          <w:color w:val="000000" w:themeColor="text1"/>
          <w:szCs w:val="21"/>
          <w:highlight w:val="none"/>
          <w14:textFill>
            <w14:solidFill>
              <w14:schemeClr w14:val="tx1"/>
            </w14:solidFill>
          </w14:textFill>
        </w:rPr>
        <w:t>施工图设计文件</w:t>
      </w:r>
      <w:bookmarkEnd w:id="479"/>
      <w:bookmarkEnd w:id="480"/>
      <w:r>
        <w:rPr>
          <w:rFonts w:hint="eastAsia" w:ascii="宋体" w:hAnsi="宋体" w:eastAsia="宋体" w:cs="宋体"/>
          <w:color w:val="000000" w:themeColor="text1"/>
          <w:szCs w:val="21"/>
          <w:highlight w:val="none"/>
          <w14:textFill>
            <w14:solidFill>
              <w14:schemeClr w14:val="tx1"/>
            </w14:solidFill>
          </w14:textFill>
        </w:rPr>
        <w:t>、工程的主设备（组件、逆变器）全部进场并交接验收合格后，招标人向中标人支付至</w:t>
      </w:r>
      <w:bookmarkStart w:id="481" w:name="OLE_LINK123"/>
      <w:r>
        <w:rPr>
          <w:rFonts w:hint="eastAsia" w:ascii="宋体" w:hAnsi="宋体" w:eastAsia="宋体" w:cs="宋体"/>
          <w:color w:val="000000" w:themeColor="text1"/>
          <w:szCs w:val="21"/>
          <w:highlight w:val="none"/>
          <w14:textFill>
            <w14:solidFill>
              <w14:schemeClr w14:val="tx1"/>
            </w14:solidFill>
          </w14:textFill>
        </w:rPr>
        <w:t>暂定</w:t>
      </w:r>
      <w:bookmarkEnd w:id="481"/>
      <w:r>
        <w:rPr>
          <w:rFonts w:hint="eastAsia" w:ascii="宋体" w:hAnsi="宋体" w:eastAsia="宋体" w:cs="宋体"/>
          <w:color w:val="000000" w:themeColor="text1"/>
          <w:szCs w:val="21"/>
          <w:highlight w:val="none"/>
          <w14:textFill>
            <w14:solidFill>
              <w14:schemeClr w14:val="tx1"/>
            </w14:solidFill>
          </w14:textFill>
        </w:rPr>
        <w:t>合同金额的70%；</w:t>
      </w:r>
    </w:p>
    <w:p w14:paraId="681CCFC7">
      <w:pPr>
        <w:tabs>
          <w:tab w:val="center" w:pos="3125"/>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（3）第三次付款：项目现场安装施工完毕初步验收合格并经相关部门验收并网送电后，</w:t>
      </w:r>
      <w:bookmarkStart w:id="482" w:name="OLE_LINK127"/>
      <w:r>
        <w:rPr>
          <w:rFonts w:hint="eastAsia" w:ascii="宋体" w:hAnsi="宋体" w:eastAsia="宋体" w:cs="宋体"/>
          <w:color w:val="000000" w:themeColor="text1"/>
          <w:szCs w:val="21"/>
          <w:highlight w:val="none"/>
          <w14:textFill>
            <w14:solidFill>
              <w14:schemeClr w14:val="tx1"/>
            </w14:solidFill>
          </w14:textFill>
        </w:rPr>
        <w:t>招标人向中标人</w:t>
      </w:r>
      <w:bookmarkEnd w:id="482"/>
      <w:r>
        <w:rPr>
          <w:rFonts w:hint="eastAsia" w:ascii="宋体" w:hAnsi="宋体" w:eastAsia="宋体" w:cs="宋体"/>
          <w:color w:val="000000" w:themeColor="text1"/>
          <w:szCs w:val="21"/>
          <w:highlight w:val="none"/>
          <w14:textFill>
            <w14:solidFill>
              <w14:schemeClr w14:val="tx1"/>
            </w14:solidFill>
          </w14:textFill>
        </w:rPr>
        <w:t>支付至暂定合同金额的80%。</w:t>
      </w:r>
    </w:p>
    <w:p w14:paraId="345C0532">
      <w:pPr>
        <w:tabs>
          <w:tab w:val="center" w:pos="3125"/>
        </w:tabs>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（4）第四次付款：本项目</w:t>
      </w:r>
      <w:bookmarkStart w:id="483" w:name="OLE_LINK480"/>
      <w:r>
        <w:rPr>
          <w:rFonts w:hint="eastAsia" w:ascii="宋体" w:hAnsi="宋体" w:eastAsia="宋体" w:cs="宋体"/>
          <w:color w:val="000000" w:themeColor="text1"/>
          <w:szCs w:val="21"/>
          <w:highlight w:val="none"/>
          <w14:textFill>
            <w14:solidFill>
              <w14:schemeClr w14:val="tx1"/>
            </w14:solidFill>
          </w14:textFill>
        </w:rPr>
        <w:t>验收并网送电</w:t>
      </w:r>
      <w:bookmarkEnd w:id="483"/>
      <w:bookmarkStart w:id="484" w:name="OLE_LINK465"/>
      <w:r>
        <w:rPr>
          <w:rFonts w:hint="eastAsia" w:ascii="宋体" w:hAnsi="宋体" w:eastAsia="宋体" w:cs="宋体"/>
          <w:color w:val="000000" w:themeColor="text1"/>
          <w:szCs w:val="21"/>
          <w:highlight w:val="none"/>
          <w14:textFill>
            <w14:solidFill>
              <w14:schemeClr w14:val="tx1"/>
            </w14:solidFill>
          </w14:textFill>
        </w:rPr>
        <w:t>后</w:t>
      </w:r>
      <w:bookmarkEnd w:id="484"/>
      <w:r>
        <w:rPr>
          <w:rFonts w:hint="eastAsia" w:ascii="宋体" w:hAnsi="宋体" w:eastAsia="宋体" w:cs="宋体"/>
          <w:color w:val="000000" w:themeColor="text1"/>
          <w:szCs w:val="21"/>
          <w:highlight w:val="none"/>
          <w14:textFill>
            <w14:solidFill>
              <w14:schemeClr w14:val="tx1"/>
            </w14:solidFill>
          </w14:textFill>
        </w:rPr>
        <w:t>递交全套竣工图设计文件及项目资料，经招标人最终验收合格确认后，招标人向中标人支付至合同总结算金额的90%；</w:t>
      </w:r>
    </w:p>
    <w:p w14:paraId="49402B53">
      <w:pPr>
        <w:widowControl/>
        <w:tabs>
          <w:tab w:val="center" w:pos="3125"/>
        </w:tabs>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（5）第五次付款：1年运维期结束后支付至合同总结算金额的97%，剩余合同总结算金额的3%为质保金。</w:t>
      </w:r>
    </w:p>
    <w:p w14:paraId="3DCAF907">
      <w:pPr>
        <w:widowControl/>
        <w:tabs>
          <w:tab w:val="center" w:pos="3125"/>
        </w:tabs>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注：结算价款的( 3% )留作质量保修金。在中标人按本项目合同约定</w:t>
      </w:r>
      <w:bookmarkStart w:id="485" w:name="OLE_LINK131"/>
      <w:r>
        <w:rPr>
          <w:rFonts w:hint="eastAsia" w:ascii="宋体" w:hAnsi="宋体" w:eastAsia="宋体" w:cs="宋体"/>
          <w:color w:val="000000" w:themeColor="text1"/>
          <w:szCs w:val="21"/>
          <w:highlight w:val="none"/>
          <w14:textFill>
            <w14:solidFill>
              <w14:schemeClr w14:val="tx1"/>
            </w14:solidFill>
          </w14:textFill>
        </w:rPr>
        <w:t>履行质量保修义务的前提下</w:t>
      </w:r>
      <w:bookmarkEnd w:id="485"/>
      <w:r>
        <w:rPr>
          <w:rFonts w:hint="eastAsia" w:ascii="宋体" w:hAnsi="宋体" w:eastAsia="宋体" w:cs="宋体"/>
          <w:color w:val="000000" w:themeColor="text1"/>
          <w:szCs w:val="21"/>
          <w:highlight w:val="none"/>
          <w14:textFill>
            <w14:solidFill>
              <w14:schemeClr w14:val="tx1"/>
            </w14:solidFill>
          </w14:textFill>
        </w:rPr>
        <w:t>，招标人于项目整体最终验收合格之日起届满二年且收到中标人提交的</w:t>
      </w:r>
      <w:bookmarkStart w:id="486" w:name="OLE_LINK134"/>
      <w:r>
        <w:rPr>
          <w:rFonts w:hint="eastAsia" w:ascii="宋体" w:hAnsi="宋体" w:eastAsia="宋体" w:cs="宋体"/>
          <w:color w:val="000000" w:themeColor="text1"/>
          <w:szCs w:val="21"/>
          <w:highlight w:val="none"/>
          <w14:textFill>
            <w14:solidFill>
              <w14:schemeClr w14:val="tx1"/>
            </w14:solidFill>
          </w14:textFill>
        </w:rPr>
        <w:t>质量保修保函</w:t>
      </w:r>
      <w:bookmarkEnd w:id="486"/>
      <w:r>
        <w:rPr>
          <w:rFonts w:hint="eastAsia" w:ascii="宋体" w:hAnsi="宋体" w:eastAsia="宋体" w:cs="宋体"/>
          <w:color w:val="000000" w:themeColor="text1"/>
          <w:szCs w:val="21"/>
          <w:highlight w:val="none"/>
          <w14:textFill>
            <w14:solidFill>
              <w14:schemeClr w14:val="tx1"/>
            </w14:solidFill>
          </w14:textFill>
        </w:rPr>
        <w:t>之后，招标人将剩余的质量保修金无息退还给中标人。如中标人未按本项目合同约定履行质量保修义务的，招标人有权不予或推迟向中标人退还质量保修金。招标人向中标人退还质量保修金前，中标人须向招标人提交担保金额为质量保修金同等金额的无条件、见索即付、不可撤销</w:t>
      </w:r>
      <w:bookmarkStart w:id="487" w:name="OLE_LINK15"/>
      <w:bookmarkStart w:id="488" w:name="OLE_LINK140"/>
      <w:r>
        <w:rPr>
          <w:rFonts w:hint="eastAsia" w:ascii="宋体" w:hAnsi="宋体" w:eastAsia="宋体" w:cs="宋体"/>
          <w:color w:val="000000" w:themeColor="text1"/>
          <w:szCs w:val="21"/>
          <w:highlight w:val="none"/>
          <w14:textFill>
            <w14:solidFill>
              <w14:schemeClr w14:val="tx1"/>
            </w14:solidFill>
          </w14:textFill>
        </w:rPr>
        <w:t>质量保修</w:t>
      </w:r>
      <w:bookmarkEnd w:id="487"/>
      <w:r>
        <w:rPr>
          <w:rFonts w:hint="eastAsia" w:ascii="宋体" w:hAnsi="宋体" w:eastAsia="宋体" w:cs="宋体"/>
          <w:color w:val="000000" w:themeColor="text1"/>
          <w:szCs w:val="21"/>
          <w:highlight w:val="none"/>
          <w14:textFill>
            <w14:solidFill>
              <w14:schemeClr w14:val="tx1"/>
            </w14:solidFill>
          </w14:textFill>
        </w:rPr>
        <w:t>保函</w:t>
      </w:r>
      <w:bookmarkEnd w:id="488"/>
      <w:r>
        <w:rPr>
          <w:rFonts w:hint="eastAsia" w:ascii="宋体" w:hAnsi="宋体" w:eastAsia="宋体" w:cs="宋体"/>
          <w:color w:val="000000" w:themeColor="text1"/>
          <w:szCs w:val="21"/>
          <w:highlight w:val="none"/>
          <w14:textFill>
            <w14:solidFill>
              <w14:schemeClr w14:val="tx1"/>
            </w14:solidFill>
          </w14:textFill>
        </w:rPr>
        <w:t>。质量保修保函的有效期为项目整体最终验收合格届满二年之日起 1 年。</w:t>
      </w:r>
    </w:p>
    <w:p w14:paraId="2EC04E45">
      <w:pPr>
        <w:widowControl/>
        <w:tabs>
          <w:tab w:val="center" w:pos="3125"/>
        </w:tabs>
        <w:spacing w:line="360" w:lineRule="auto"/>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7、投标人在涉及光伏发电系统并网验收及报批方面，必须充分与当地供电部门协调沟通，保证项目按工期并网投运。</w:t>
      </w:r>
    </w:p>
    <w:p w14:paraId="228786E8">
      <w:pPr>
        <w:tabs>
          <w:tab w:val="center" w:pos="3125"/>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8、如涉及当地两违办、经发局、供电部门及其他相关部门协调工作及费用一切由投标人负责，</w:t>
      </w:r>
      <w:bookmarkStart w:id="489" w:name="OLE_LINK144"/>
      <w:r>
        <w:rPr>
          <w:rFonts w:hint="eastAsia" w:ascii="宋体" w:hAnsi="宋体" w:eastAsia="宋体" w:cs="宋体"/>
          <w:color w:val="000000" w:themeColor="text1"/>
          <w:kern w:val="0"/>
          <w:szCs w:val="21"/>
          <w:highlight w:val="none"/>
          <w14:textFill>
            <w14:solidFill>
              <w14:schemeClr w14:val="tx1"/>
            </w14:solidFill>
          </w14:textFill>
        </w:rPr>
        <w:t>在不增加装机容量的前提，</w:t>
      </w:r>
      <w:bookmarkEnd w:id="489"/>
      <w:r>
        <w:rPr>
          <w:rFonts w:hint="eastAsia" w:ascii="宋体" w:hAnsi="宋体" w:eastAsia="宋体" w:cs="宋体"/>
          <w:color w:val="000000" w:themeColor="text1"/>
          <w:kern w:val="0"/>
          <w:szCs w:val="21"/>
          <w:highlight w:val="none"/>
          <w14:textFill>
            <w14:solidFill>
              <w14:schemeClr w14:val="tx1"/>
            </w14:solidFill>
          </w14:textFill>
        </w:rPr>
        <w:t>不得额外增加费用。</w:t>
      </w:r>
      <w:bookmarkStart w:id="490" w:name="OLE_LINK150"/>
    </w:p>
    <w:p w14:paraId="444F43F4">
      <w:pPr>
        <w:tabs>
          <w:tab w:val="center" w:pos="3125"/>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9、投标人须对本项目为单位的货物及服务进行整体投标，任何只对其中一部分内容进行的投标都被视为无效投标。</w:t>
      </w:r>
      <w:bookmarkStart w:id="491" w:name="OLE_LINK153"/>
      <w:r>
        <w:rPr>
          <w:rFonts w:hint="eastAsia" w:ascii="宋体" w:hAnsi="宋体" w:eastAsia="宋体" w:cs="宋体"/>
          <w:color w:val="000000" w:themeColor="text1"/>
          <w:kern w:val="0"/>
          <w:szCs w:val="21"/>
          <w:highlight w:val="none"/>
          <w14:textFill>
            <w14:solidFill>
              <w14:schemeClr w14:val="tx1"/>
            </w14:solidFill>
          </w14:textFill>
        </w:rPr>
        <w:t>如本项目的部分安装（实施）工程需要具有相应资质才能实施但投标人不具备该项资质的，投标人应在获得招标人的书面同意后，委托具有相应资质的单位实施。</w:t>
      </w:r>
    </w:p>
    <w:bookmarkEnd w:id="491"/>
    <w:p w14:paraId="2FEEC108">
      <w:pPr>
        <w:tabs>
          <w:tab w:val="center" w:pos="3125"/>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10、质量要求</w:t>
      </w:r>
      <w:bookmarkStart w:id="492" w:name="OLE_LINK152"/>
    </w:p>
    <w:bookmarkEnd w:id="492"/>
    <w:p w14:paraId="75701E21">
      <w:pPr>
        <w:tabs>
          <w:tab w:val="center" w:pos="3125"/>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（1）设计质量要求：</w:t>
      </w:r>
    </w:p>
    <w:p w14:paraId="6940CA1A">
      <w:pPr>
        <w:tabs>
          <w:tab w:val="center" w:pos="3125"/>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项目的设计过程和成果必须符合国家、广东省、东莞市颁布的有关设计方面的现行标准、规范、规程、定额、办法，满足招标人的相关功能需求，并通过招标人及有关部门或专业审图机构的审查。在设计过程中，如果国家或有关部门颁发了新的技术标准或规范，应采用新的标准或规范进行设计。</w:t>
      </w:r>
    </w:p>
    <w:p w14:paraId="759639DC">
      <w:pPr>
        <w:tabs>
          <w:tab w:val="center" w:pos="3125"/>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（2）安装所需的一切配套施工的质量标准：</w:t>
      </w:r>
    </w:p>
    <w:p w14:paraId="1F3694C6">
      <w:pPr>
        <w:rPr>
          <w:rFonts w:ascii="宋体" w:hAnsi="宋体" w:eastAsia="宋体" w:cs="Times New Roman"/>
          <w:b/>
          <w:color w:val="000000" w:themeColor="text1"/>
          <w:szCs w:val="21"/>
          <w:highlight w:val="none"/>
          <w14:textFill>
            <w14:solidFill>
              <w14:schemeClr w14:val="tx1"/>
            </w14:solidFill>
          </w14:textFill>
        </w:rPr>
      </w:pPr>
      <w:bookmarkStart w:id="493" w:name="OLE_LINK424"/>
      <w:r>
        <w:rPr>
          <w:rFonts w:hint="eastAsia" w:ascii="宋体" w:hAnsi="宋体" w:eastAsia="宋体" w:cs="宋体"/>
          <w:color w:val="000000" w:themeColor="text1"/>
          <w:kern w:val="0"/>
          <w:szCs w:val="21"/>
          <w:highlight w:val="none"/>
          <w14:textFill>
            <w14:solidFill>
              <w14:schemeClr w14:val="tx1"/>
            </w14:solidFill>
          </w14:textFill>
        </w:rPr>
        <w:t>执行</w:t>
      </w:r>
      <w:bookmarkStart w:id="494" w:name="OLE_LINK416"/>
      <w:r>
        <w:rPr>
          <w:rFonts w:hint="eastAsia" w:ascii="宋体" w:hAnsi="宋体" w:eastAsia="宋体" w:cs="宋体"/>
          <w:color w:val="000000" w:themeColor="text1"/>
          <w:kern w:val="0"/>
          <w:szCs w:val="21"/>
          <w:highlight w:val="none"/>
          <w14:textFill>
            <w14:solidFill>
              <w14:schemeClr w14:val="tx1"/>
            </w14:solidFill>
          </w14:textFill>
        </w:rPr>
        <w:t>国家、省或行业现行的</w:t>
      </w:r>
      <w:bookmarkEnd w:id="494"/>
      <w:r>
        <w:rPr>
          <w:rFonts w:hint="eastAsia" w:ascii="宋体" w:hAnsi="宋体" w:eastAsia="宋体" w:cs="宋体"/>
          <w:color w:val="000000" w:themeColor="text1"/>
          <w:kern w:val="0"/>
          <w:szCs w:val="21"/>
          <w:highlight w:val="none"/>
          <w14:textFill>
            <w14:solidFill>
              <w14:schemeClr w14:val="tx1"/>
            </w14:solidFill>
          </w14:textFill>
        </w:rPr>
        <w:t>质量</w:t>
      </w:r>
      <w:bookmarkStart w:id="495" w:name="OLE_LINK412"/>
      <w:r>
        <w:rPr>
          <w:rFonts w:hint="eastAsia" w:ascii="宋体" w:hAnsi="宋体" w:eastAsia="宋体" w:cs="宋体"/>
          <w:color w:val="000000" w:themeColor="text1"/>
          <w:kern w:val="0"/>
          <w:szCs w:val="21"/>
          <w:highlight w:val="none"/>
          <w14:textFill>
            <w14:solidFill>
              <w14:schemeClr w14:val="tx1"/>
            </w14:solidFill>
          </w14:textFill>
        </w:rPr>
        <w:t>验收</w:t>
      </w:r>
      <w:bookmarkEnd w:id="495"/>
      <w:r>
        <w:rPr>
          <w:rFonts w:hint="eastAsia" w:ascii="宋体" w:hAnsi="宋体" w:eastAsia="宋体" w:cs="宋体"/>
          <w:color w:val="000000" w:themeColor="text1"/>
          <w:kern w:val="0"/>
          <w:szCs w:val="21"/>
          <w:highlight w:val="none"/>
          <w14:textFill>
            <w14:solidFill>
              <w14:schemeClr w14:val="tx1"/>
            </w14:solidFill>
          </w14:textFill>
        </w:rPr>
        <w:t>标准及规范</w:t>
      </w:r>
      <w:bookmarkEnd w:id="493"/>
      <w:r>
        <w:rPr>
          <w:rFonts w:hint="eastAsia" w:ascii="宋体" w:hAnsi="宋体" w:eastAsia="宋体" w:cs="宋体"/>
          <w:color w:val="000000" w:themeColor="text1"/>
          <w:kern w:val="0"/>
          <w:szCs w:val="21"/>
          <w:highlight w:val="none"/>
          <w14:textFill>
            <w14:solidFill>
              <w14:schemeClr w14:val="tx1"/>
            </w14:solidFill>
          </w14:textFill>
        </w:rPr>
        <w:t>，须达到合格标准，并通过当地相关供电部门的并网验收。</w:t>
      </w:r>
      <w:bookmarkEnd w:id="490"/>
    </w:p>
    <w:p w14:paraId="0BF6407B">
      <w:pPr>
        <w:spacing w:line="360" w:lineRule="auto"/>
        <w:rPr>
          <w:rFonts w:ascii="宋体" w:hAnsi="宋体" w:eastAsia="宋体" w:cs="Times New Roman"/>
          <w:b/>
          <w:color w:val="000000" w:themeColor="text1"/>
          <w:szCs w:val="21"/>
          <w:highlight w:val="none"/>
          <w14:textFill>
            <w14:solidFill>
              <w14:schemeClr w14:val="tx1"/>
            </w14:solidFill>
          </w14:textFill>
        </w:rPr>
      </w:pPr>
    </w:p>
    <w:p w14:paraId="01146C47">
      <w:pPr>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br w:type="page"/>
      </w:r>
    </w:p>
    <w:p w14:paraId="078A9F1C">
      <w:pPr>
        <w:spacing w:line="360" w:lineRule="auto"/>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附件：采购清单</w:t>
      </w:r>
    </w:p>
    <w:p w14:paraId="6C06BB4E">
      <w:pPr>
        <w:spacing w:line="360" w:lineRule="auto"/>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（一）第四水厂屋顶分布式光伏发电项目-安装部分</w:t>
      </w:r>
    </w:p>
    <w:tbl>
      <w:tblPr>
        <w:tblStyle w:val="37"/>
        <w:tblW w:w="4998" w:type="pct"/>
        <w:tblInd w:w="0" w:type="dxa"/>
        <w:tblLayout w:type="autofit"/>
        <w:tblCellMar>
          <w:top w:w="0" w:type="dxa"/>
          <w:left w:w="108" w:type="dxa"/>
          <w:bottom w:w="0" w:type="dxa"/>
          <w:right w:w="108" w:type="dxa"/>
        </w:tblCellMar>
      </w:tblPr>
      <w:tblGrid>
        <w:gridCol w:w="952"/>
        <w:gridCol w:w="3144"/>
        <w:gridCol w:w="4019"/>
        <w:gridCol w:w="931"/>
        <w:gridCol w:w="1320"/>
      </w:tblGrid>
      <w:tr w14:paraId="322FA81C">
        <w:tblPrEx>
          <w:tblCellMar>
            <w:top w:w="0" w:type="dxa"/>
            <w:left w:w="108" w:type="dxa"/>
            <w:bottom w:w="0" w:type="dxa"/>
            <w:right w:w="108" w:type="dxa"/>
          </w:tblCellMar>
        </w:tblPrEx>
        <w:trPr>
          <w:trHeight w:val="360" w:hRule="atLeast"/>
        </w:trPr>
        <w:tc>
          <w:tcPr>
            <w:tcW w:w="45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94C854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序号</w:t>
            </w:r>
          </w:p>
        </w:tc>
        <w:tc>
          <w:tcPr>
            <w:tcW w:w="151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7A1C03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项目名称</w:t>
            </w:r>
          </w:p>
        </w:tc>
        <w:tc>
          <w:tcPr>
            <w:tcW w:w="193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359075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项目特征描述</w:t>
            </w:r>
          </w:p>
        </w:tc>
        <w:tc>
          <w:tcPr>
            <w:tcW w:w="44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97BF91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计量</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单位</w:t>
            </w:r>
          </w:p>
        </w:tc>
        <w:tc>
          <w:tcPr>
            <w:tcW w:w="63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40EADD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工程量</w:t>
            </w:r>
          </w:p>
        </w:tc>
      </w:tr>
      <w:tr w14:paraId="0CD2101B">
        <w:tblPrEx>
          <w:tblCellMar>
            <w:top w:w="0" w:type="dxa"/>
            <w:left w:w="108" w:type="dxa"/>
            <w:bottom w:w="0" w:type="dxa"/>
            <w:right w:w="108" w:type="dxa"/>
          </w:tblCellMar>
        </w:tblPrEx>
        <w:trPr>
          <w:trHeight w:val="360" w:hRule="atLeast"/>
        </w:trPr>
        <w:tc>
          <w:tcPr>
            <w:tcW w:w="45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9510AF1">
            <w:pPr>
              <w:jc w:val="center"/>
              <w:rPr>
                <w:rFonts w:ascii="宋体" w:hAnsi="宋体" w:eastAsia="宋体" w:cs="宋体"/>
                <w:color w:val="000000" w:themeColor="text1"/>
                <w:sz w:val="20"/>
                <w:szCs w:val="20"/>
                <w:highlight w:val="none"/>
                <w14:textFill>
                  <w14:solidFill>
                    <w14:schemeClr w14:val="tx1"/>
                  </w14:solidFill>
                </w14:textFill>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51DB868">
            <w:pPr>
              <w:jc w:val="center"/>
              <w:rPr>
                <w:rFonts w:ascii="宋体" w:hAnsi="宋体" w:eastAsia="宋体" w:cs="宋体"/>
                <w:color w:val="000000" w:themeColor="text1"/>
                <w:sz w:val="20"/>
                <w:szCs w:val="20"/>
                <w:highlight w:val="none"/>
                <w14:textFill>
                  <w14:solidFill>
                    <w14:schemeClr w14:val="tx1"/>
                  </w14:solidFill>
                </w14:textFill>
              </w:rPr>
            </w:pPr>
          </w:p>
        </w:tc>
        <w:tc>
          <w:tcPr>
            <w:tcW w:w="193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0386D76">
            <w:pPr>
              <w:jc w:val="center"/>
              <w:rPr>
                <w:rFonts w:ascii="宋体" w:hAnsi="宋体" w:eastAsia="宋体" w:cs="宋体"/>
                <w:color w:val="000000" w:themeColor="text1"/>
                <w:sz w:val="20"/>
                <w:szCs w:val="20"/>
                <w:highlight w:val="none"/>
                <w14:textFill>
                  <w14:solidFill>
                    <w14:schemeClr w14:val="tx1"/>
                  </w14:solidFill>
                </w14:textFill>
              </w:rPr>
            </w:pPr>
          </w:p>
        </w:tc>
        <w:tc>
          <w:tcPr>
            <w:tcW w:w="4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CC0F20">
            <w:pPr>
              <w:jc w:val="center"/>
              <w:rPr>
                <w:rFonts w:ascii="宋体" w:hAnsi="宋体" w:eastAsia="宋体" w:cs="宋体"/>
                <w:color w:val="000000" w:themeColor="text1"/>
                <w:sz w:val="20"/>
                <w:szCs w:val="20"/>
                <w:highlight w:val="none"/>
                <w14:textFill>
                  <w14:solidFill>
                    <w14:schemeClr w14:val="tx1"/>
                  </w14:solidFill>
                </w14:textFill>
              </w:rPr>
            </w:pPr>
          </w:p>
        </w:tc>
        <w:tc>
          <w:tcPr>
            <w:tcW w:w="63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6D0E7F">
            <w:pPr>
              <w:jc w:val="center"/>
              <w:rPr>
                <w:rFonts w:ascii="宋体" w:hAnsi="宋体" w:eastAsia="宋体" w:cs="宋体"/>
                <w:color w:val="000000" w:themeColor="text1"/>
                <w:sz w:val="20"/>
                <w:szCs w:val="20"/>
                <w:highlight w:val="none"/>
                <w14:textFill>
                  <w14:solidFill>
                    <w14:schemeClr w14:val="tx1"/>
                  </w14:solidFill>
                </w14:textFill>
              </w:rPr>
            </w:pPr>
          </w:p>
        </w:tc>
      </w:tr>
      <w:tr w14:paraId="66176198">
        <w:tblPrEx>
          <w:tblCellMar>
            <w:top w:w="0" w:type="dxa"/>
            <w:left w:w="108" w:type="dxa"/>
            <w:bottom w:w="0" w:type="dxa"/>
            <w:right w:w="108" w:type="dxa"/>
          </w:tblCellMar>
        </w:tblPrEx>
        <w:trPr>
          <w:trHeight w:val="184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1C099D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DB02F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590Wp单晶硅光伏组件</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0D44D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1.名称:单晶硅光伏组件</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2.型号:590Wp,组件尺寸：2278*1134*30mm</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171C7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块</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ACB13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2835</w:t>
            </w:r>
          </w:p>
        </w:tc>
      </w:tr>
      <w:tr w14:paraId="32A43A30">
        <w:tblPrEx>
          <w:tblCellMar>
            <w:top w:w="0" w:type="dxa"/>
            <w:left w:w="108" w:type="dxa"/>
            <w:bottom w:w="0" w:type="dxa"/>
            <w:right w:w="108" w:type="dxa"/>
          </w:tblCellMar>
        </w:tblPrEx>
        <w:trPr>
          <w:trHeight w:val="210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A08038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7BF67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光伏逆变器</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AACAF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1.名称:30kW逆变器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2.规格、型号:最大输入电压：1100V 额定电网电压：400Vac</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39EF4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9D467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w:t>
            </w:r>
          </w:p>
        </w:tc>
      </w:tr>
      <w:tr w14:paraId="667AAB4E">
        <w:tblPrEx>
          <w:tblCellMar>
            <w:top w:w="0" w:type="dxa"/>
            <w:left w:w="108" w:type="dxa"/>
            <w:bottom w:w="0" w:type="dxa"/>
            <w:right w:w="108" w:type="dxa"/>
          </w:tblCellMar>
        </w:tblPrEx>
        <w:trPr>
          <w:trHeight w:val="210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15914C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802D14">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光伏逆变器</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4E36F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1.名称:40kW逆变器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2.规格、型号:最大输入电压：1100V 额定电网电压：400Vac</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9FDF1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3DB5F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w:t>
            </w:r>
          </w:p>
        </w:tc>
      </w:tr>
      <w:tr w14:paraId="0CAB01AC">
        <w:tblPrEx>
          <w:tblCellMar>
            <w:top w:w="0" w:type="dxa"/>
            <w:left w:w="108" w:type="dxa"/>
            <w:bottom w:w="0" w:type="dxa"/>
            <w:right w:w="108" w:type="dxa"/>
          </w:tblCellMar>
        </w:tblPrEx>
        <w:trPr>
          <w:trHeight w:val="210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B0AC2C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E008C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光伏逆变器</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BE10D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1.名称:50kW逆变器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2.规格、型号:最大输入电压：1100V 额定电网电压：400Vac</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97D6D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193FA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w:t>
            </w:r>
          </w:p>
        </w:tc>
      </w:tr>
      <w:tr w14:paraId="574AF06F">
        <w:tblPrEx>
          <w:tblCellMar>
            <w:top w:w="0" w:type="dxa"/>
            <w:left w:w="108" w:type="dxa"/>
            <w:bottom w:w="0" w:type="dxa"/>
            <w:right w:w="108" w:type="dxa"/>
          </w:tblCellMar>
        </w:tblPrEx>
        <w:trPr>
          <w:trHeight w:val="210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76BD27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75F4C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光伏逆变器</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3D209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1.名称:100kW逆变器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2.规格、型号:最大输入电压：1100V 额定电网电压：400Vac</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17D23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E94D6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w:t>
            </w:r>
          </w:p>
        </w:tc>
      </w:tr>
      <w:tr w14:paraId="26C75B57">
        <w:tblPrEx>
          <w:tblCellMar>
            <w:top w:w="0" w:type="dxa"/>
            <w:left w:w="108" w:type="dxa"/>
            <w:bottom w:w="0" w:type="dxa"/>
            <w:right w:w="108" w:type="dxa"/>
          </w:tblCellMar>
        </w:tblPrEx>
        <w:trPr>
          <w:trHeight w:val="210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0F6BCF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BB7BF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光伏逆变器</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8F638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1.名称:110kW逆变器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2.规格、型号:最大输入电压：1100V 额定电网电压：400Vac</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E9559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85096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7</w:t>
            </w:r>
          </w:p>
        </w:tc>
      </w:tr>
      <w:tr w14:paraId="04932FB9">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907E0B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7</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438FB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汇流箱 2进1出</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EE0A4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1.名称:汇流箱 2进1出</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0DC7C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B5B95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w:t>
            </w:r>
          </w:p>
        </w:tc>
      </w:tr>
      <w:tr w14:paraId="2B9CABA3">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D9A70C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8</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E527F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汇流箱 3进1出</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3BB00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1.名称:汇流箱 3进1出</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DD19A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2E8B2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w:t>
            </w:r>
          </w:p>
        </w:tc>
      </w:tr>
      <w:tr w14:paraId="48E90ED4">
        <w:tblPrEx>
          <w:tblCellMar>
            <w:top w:w="0" w:type="dxa"/>
            <w:left w:w="108" w:type="dxa"/>
            <w:bottom w:w="0" w:type="dxa"/>
            <w:right w:w="108" w:type="dxa"/>
          </w:tblCellMar>
        </w:tblPrEx>
        <w:trPr>
          <w:trHeight w:val="159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471519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9</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54531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039004">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1.名称:光伏电缆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2.规格、型号:PV1-F 1x4</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B89F0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B9A48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23760</w:t>
            </w:r>
          </w:p>
        </w:tc>
      </w:tr>
      <w:tr w14:paraId="7A9EE8C0">
        <w:tblPrEx>
          <w:tblCellMar>
            <w:top w:w="0" w:type="dxa"/>
            <w:left w:w="108" w:type="dxa"/>
            <w:bottom w:w="0" w:type="dxa"/>
            <w:right w:w="108" w:type="dxa"/>
          </w:tblCellMar>
        </w:tblPrEx>
        <w:trPr>
          <w:trHeight w:val="184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FEAC1A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10</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14911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0FF721">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2.规格、型号:ZC-YJV-3*16+2*10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886E8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05EE9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75</w:t>
            </w:r>
          </w:p>
        </w:tc>
      </w:tr>
      <w:tr w14:paraId="36CB9942">
        <w:tblPrEx>
          <w:tblCellMar>
            <w:top w:w="0" w:type="dxa"/>
            <w:left w:w="108" w:type="dxa"/>
            <w:bottom w:w="0" w:type="dxa"/>
            <w:right w:w="108" w:type="dxa"/>
          </w:tblCellMar>
        </w:tblPrEx>
        <w:trPr>
          <w:trHeight w:val="184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D53FC0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11</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F91A3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6FC99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2.规格、型号:ZC-YJV-3*25+2*16</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9540E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E7CDB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10</w:t>
            </w:r>
          </w:p>
        </w:tc>
      </w:tr>
      <w:tr w14:paraId="59FE574F">
        <w:tblPrEx>
          <w:tblCellMar>
            <w:top w:w="0" w:type="dxa"/>
            <w:left w:w="108" w:type="dxa"/>
            <w:bottom w:w="0" w:type="dxa"/>
            <w:right w:w="108" w:type="dxa"/>
          </w:tblCellMar>
        </w:tblPrEx>
        <w:trPr>
          <w:trHeight w:val="184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BC3403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840DA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0D4B17">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2.规格、型号:ZC-YJV-3*35+2*25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066F6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EC5ED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10</w:t>
            </w:r>
          </w:p>
        </w:tc>
      </w:tr>
      <w:tr w14:paraId="0D987C9E">
        <w:tblPrEx>
          <w:tblCellMar>
            <w:top w:w="0" w:type="dxa"/>
            <w:left w:w="108" w:type="dxa"/>
            <w:bottom w:w="0" w:type="dxa"/>
            <w:right w:w="108" w:type="dxa"/>
          </w:tblCellMar>
        </w:tblPrEx>
        <w:trPr>
          <w:trHeight w:val="184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D68546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13</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79EF8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E78D5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2.规格、型号:ZC-YJV-3*70+2*35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257D4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44A5C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245</w:t>
            </w:r>
          </w:p>
        </w:tc>
      </w:tr>
      <w:tr w14:paraId="10E23D89">
        <w:tblPrEx>
          <w:tblCellMar>
            <w:top w:w="0" w:type="dxa"/>
            <w:left w:w="108" w:type="dxa"/>
            <w:bottom w:w="0" w:type="dxa"/>
            <w:right w:w="108" w:type="dxa"/>
          </w:tblCellMar>
        </w:tblPrEx>
        <w:trPr>
          <w:trHeight w:val="184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DF16B2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14</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A8820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90E54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2.规格、型号:ZC-YJV-3*95+2*50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B8275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C8F81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135</w:t>
            </w:r>
          </w:p>
        </w:tc>
      </w:tr>
      <w:tr w14:paraId="137E2195">
        <w:tblPrEx>
          <w:tblCellMar>
            <w:top w:w="0" w:type="dxa"/>
            <w:left w:w="108" w:type="dxa"/>
            <w:bottom w:w="0" w:type="dxa"/>
            <w:right w:w="108" w:type="dxa"/>
          </w:tblCellMar>
        </w:tblPrEx>
        <w:trPr>
          <w:trHeight w:val="184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25F669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15</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EEB28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4497F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2.规格、型号:ZC-YJV-3*150+2*70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861F1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64939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355</w:t>
            </w:r>
          </w:p>
        </w:tc>
      </w:tr>
      <w:tr w14:paraId="083D26C1">
        <w:tblPrEx>
          <w:tblCellMar>
            <w:top w:w="0" w:type="dxa"/>
            <w:left w:w="108" w:type="dxa"/>
            <w:bottom w:w="0" w:type="dxa"/>
            <w:right w:w="108" w:type="dxa"/>
          </w:tblCellMar>
        </w:tblPrEx>
        <w:trPr>
          <w:trHeight w:val="184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8DB06E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16</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A59BF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5D6C2F">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2.规格、型号:ZC-YJV-3*185+2*95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0C20E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5782A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140</w:t>
            </w:r>
          </w:p>
        </w:tc>
      </w:tr>
      <w:tr w14:paraId="62F4680C">
        <w:tblPrEx>
          <w:tblCellMar>
            <w:top w:w="0" w:type="dxa"/>
            <w:left w:w="108" w:type="dxa"/>
            <w:bottom w:w="0" w:type="dxa"/>
            <w:right w:w="108" w:type="dxa"/>
          </w:tblCellMar>
        </w:tblPrEx>
        <w:trPr>
          <w:trHeight w:val="184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D046FE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17</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46278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66E60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2.规格、型号:ZC-YJV-3*240+2*120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940DD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E39C6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200</w:t>
            </w:r>
          </w:p>
        </w:tc>
      </w:tr>
      <w:tr w14:paraId="20638852">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548708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18</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11883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电力电缆头</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A28C87">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1.名称:电缆终端头</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2.规格、型号:16mm2以下</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F5F0E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26DFC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14</w:t>
            </w:r>
          </w:p>
        </w:tc>
      </w:tr>
      <w:tr w14:paraId="5C87F28E">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571800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19</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48E53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电力电缆头</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8DEE3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1.名称:电缆终端头</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2.规格、型号:35mm2以下</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F92E5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72ADF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8</w:t>
            </w:r>
          </w:p>
        </w:tc>
      </w:tr>
      <w:tr w14:paraId="3F51E872">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671230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20</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599D8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电力电缆头</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FD4A0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1.名称:电缆终端头</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2.规格、型号:70mm2以下</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0D4C9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407EE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8</w:t>
            </w:r>
          </w:p>
        </w:tc>
      </w:tr>
      <w:tr w14:paraId="455F900B">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44F268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21</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86872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电力电缆头</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FAAE4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1.名称:电缆终端头</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2.规格、型号:120mm2以下</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FD3AA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BFF67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20</w:t>
            </w:r>
          </w:p>
        </w:tc>
      </w:tr>
      <w:tr w14:paraId="3C104D33">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25DB2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22</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5522E4">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电力电缆头</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282F77">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1.名称:电缆终端头</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2.规格、型号:185mm2以下</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B1A94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B7890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26</w:t>
            </w:r>
          </w:p>
        </w:tc>
      </w:tr>
      <w:tr w14:paraId="5DB9E2A9">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86E62D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23</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D2864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电力电缆头</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7555A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1.名称:电缆终端头</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2.规格、型号:240mm2以下</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6328E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24115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w:t>
            </w:r>
          </w:p>
        </w:tc>
      </w:tr>
      <w:tr w14:paraId="210EA502">
        <w:tblPrEx>
          <w:tblCellMar>
            <w:top w:w="0" w:type="dxa"/>
            <w:left w:w="108" w:type="dxa"/>
            <w:bottom w:w="0" w:type="dxa"/>
            <w:right w:w="108" w:type="dxa"/>
          </w:tblCellMar>
        </w:tblPrEx>
        <w:trPr>
          <w:trHeight w:val="159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39661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24</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0EE53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配管</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7B31F1">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1.名称:PVC电线管</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2.规格、型号:Φ25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37935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1B36B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881.5</w:t>
            </w:r>
          </w:p>
        </w:tc>
      </w:tr>
      <w:tr w14:paraId="32E5B1BD">
        <w:tblPrEx>
          <w:tblCellMar>
            <w:top w:w="0" w:type="dxa"/>
            <w:left w:w="108" w:type="dxa"/>
            <w:bottom w:w="0" w:type="dxa"/>
            <w:right w:w="108" w:type="dxa"/>
          </w:tblCellMar>
        </w:tblPrEx>
        <w:trPr>
          <w:trHeight w:val="159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9DCFCB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25</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D8D5A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配管</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8905D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1.名称:PVC电线管</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2.规格、型号:Φ32</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B2D0D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02B4F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4060</w:t>
            </w:r>
          </w:p>
        </w:tc>
      </w:tr>
      <w:tr w14:paraId="0EAEB6BB">
        <w:tblPrEx>
          <w:tblCellMar>
            <w:top w:w="0" w:type="dxa"/>
            <w:left w:w="108" w:type="dxa"/>
            <w:bottom w:w="0" w:type="dxa"/>
            <w:right w:w="108" w:type="dxa"/>
          </w:tblCellMar>
        </w:tblPrEx>
        <w:trPr>
          <w:trHeight w:val="210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0E06E1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26</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ED08D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防水桥架（含辅件）</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7892FF">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1.名称:防水桥架（含辅件）</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2.规格、型号:200×100×1.5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3.含支架等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ABFC4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FA201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102</w:t>
            </w:r>
          </w:p>
        </w:tc>
      </w:tr>
      <w:tr w14:paraId="08CA9AA1">
        <w:tblPrEx>
          <w:tblCellMar>
            <w:top w:w="0" w:type="dxa"/>
            <w:left w:w="108" w:type="dxa"/>
            <w:bottom w:w="0" w:type="dxa"/>
            <w:right w:w="108" w:type="dxa"/>
          </w:tblCellMar>
        </w:tblPrEx>
        <w:trPr>
          <w:trHeight w:val="184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FA4CE4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27</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89F89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防水桥架（含辅件）</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12BCA7">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1.名称:防水桥架（含辅150×100×1.5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3.含支架等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DC3FE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8CC76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161</w:t>
            </w:r>
          </w:p>
        </w:tc>
      </w:tr>
      <w:tr w14:paraId="1C3EEFD2">
        <w:tblPrEx>
          <w:tblCellMar>
            <w:top w:w="0" w:type="dxa"/>
            <w:left w:w="108" w:type="dxa"/>
            <w:bottom w:w="0" w:type="dxa"/>
            <w:right w:w="108" w:type="dxa"/>
          </w:tblCellMar>
        </w:tblPrEx>
        <w:trPr>
          <w:trHeight w:val="210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F9ACEA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28</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F6D76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防水桥架（含辅件）</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B2522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1.名称:防水桥架（含辅件）</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2.规格、型号:100×100×1.5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3.含支架等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0568F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97E52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291.2</w:t>
            </w:r>
          </w:p>
        </w:tc>
      </w:tr>
      <w:tr w14:paraId="48C48618">
        <w:tblPrEx>
          <w:tblCellMar>
            <w:top w:w="0" w:type="dxa"/>
            <w:left w:w="108" w:type="dxa"/>
            <w:bottom w:w="0" w:type="dxa"/>
            <w:right w:w="108" w:type="dxa"/>
          </w:tblCellMar>
        </w:tblPrEx>
        <w:trPr>
          <w:trHeight w:val="159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5831F4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29</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53FEC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接地母线</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60CD4F">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1.名称:接地扁钢</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2.规格、型号:热镀锌扁钢 -40×4</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B14D6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F45DE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2200.8</w:t>
            </w:r>
          </w:p>
        </w:tc>
      </w:tr>
      <w:tr w14:paraId="3A3F19D8">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659329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30</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F7A07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接地线</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D35FC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1.名称:接地跨接线</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2.规格、型号:BVR-1×4</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0F174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处</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FC2C5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2835</w:t>
            </w:r>
          </w:p>
        </w:tc>
      </w:tr>
      <w:tr w14:paraId="6FC2027A">
        <w:tblPrEx>
          <w:tblCellMar>
            <w:top w:w="0" w:type="dxa"/>
            <w:left w:w="108" w:type="dxa"/>
            <w:bottom w:w="0" w:type="dxa"/>
            <w:right w:w="108" w:type="dxa"/>
          </w:tblCellMar>
        </w:tblPrEx>
        <w:trPr>
          <w:trHeight w:val="261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1CF4B7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31</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8DC49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并网计量柜</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BC3BA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1.名称:并网计量柜</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2.规格、型号:固定式GGD 编号P10，屏柜尺寸：1000×1000×2200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3.计量装置供电局提供</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4.本体工程及附件安装和槽钢支架等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48A11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582CF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r>
      <w:tr w14:paraId="18DC3A0E">
        <w:tblPrEx>
          <w:tblCellMar>
            <w:top w:w="0" w:type="dxa"/>
            <w:left w:w="108" w:type="dxa"/>
            <w:bottom w:w="0" w:type="dxa"/>
            <w:right w:w="108" w:type="dxa"/>
          </w:tblCellMar>
        </w:tblPrEx>
        <w:trPr>
          <w:trHeight w:val="261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0E6011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32</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C502D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并网计量柜</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099A2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1.名称:并网计量柜</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2.规格、型号:固定式GGD 编号P09，屏柜尺寸：1000×1000×2200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3.计量装置供电局提供</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4.本体工程及附件安装和槽钢支架等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6C0FD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A9883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r>
      <w:tr w14:paraId="70D4EBC1">
        <w:tblPrEx>
          <w:tblCellMar>
            <w:top w:w="0" w:type="dxa"/>
            <w:left w:w="108" w:type="dxa"/>
            <w:bottom w:w="0" w:type="dxa"/>
            <w:right w:w="108" w:type="dxa"/>
          </w:tblCellMar>
        </w:tblPrEx>
        <w:trPr>
          <w:trHeight w:val="261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3ABFB8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33</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DD0A01">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并网计量柜</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D57AB7">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1.名称:并网计量柜</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2.规格、型号:固定式GGD 编号P17（四厂），屏柜尺寸：1000×1000×2200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3.计量装置供电局提供</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4.本体工程及附件安装和槽钢支架等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D19AB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294F5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r>
      <w:tr w14:paraId="017F7987">
        <w:tblPrEx>
          <w:tblCellMar>
            <w:top w:w="0" w:type="dxa"/>
            <w:left w:w="108" w:type="dxa"/>
            <w:bottom w:w="0" w:type="dxa"/>
            <w:right w:w="108" w:type="dxa"/>
          </w:tblCellMar>
        </w:tblPrEx>
        <w:trPr>
          <w:trHeight w:val="261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3654BB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34</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15937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并网计量柜</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C68DE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1.名称:并网计量柜</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2.规格、型号:固定式GGD 编号P11，屏柜尺寸：1000×1000×2200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3.计量装置供电局提供</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4.本体工程及附件安装和槽钢支架等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3F8D3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1897A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r>
      <w:tr w14:paraId="030BCBB8">
        <w:tblPrEx>
          <w:tblCellMar>
            <w:top w:w="0" w:type="dxa"/>
            <w:left w:w="108" w:type="dxa"/>
            <w:bottom w:w="0" w:type="dxa"/>
            <w:right w:w="108" w:type="dxa"/>
          </w:tblCellMar>
        </w:tblPrEx>
        <w:trPr>
          <w:trHeight w:val="210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265F3E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35</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4BBAA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并网计量箱</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4502D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1.名称:并网计量箱</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2.规格、型号:M122，电箱尺寸：1250×1100×240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3.计量装置供电局提供</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8B6DC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FFBD3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r>
      <w:tr w14:paraId="3EF33962">
        <w:tblPrEx>
          <w:tblCellMar>
            <w:top w:w="0" w:type="dxa"/>
            <w:left w:w="108" w:type="dxa"/>
            <w:bottom w:w="0" w:type="dxa"/>
            <w:right w:w="108" w:type="dxa"/>
          </w:tblCellMar>
        </w:tblPrEx>
        <w:trPr>
          <w:trHeight w:val="108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692FD4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36</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0C5A4E">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送配电装置系统</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F118F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1.名称:送配电装置系统</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5758C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系统</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F6AA6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w:t>
            </w:r>
          </w:p>
        </w:tc>
      </w:tr>
      <w:tr w14:paraId="5E0D680F">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3ED3EE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37</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9285F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更换双向多功能电能表</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297BF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1.名称:更换双向多功能电能表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849D0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88CC2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w:t>
            </w:r>
          </w:p>
        </w:tc>
      </w:tr>
      <w:tr w14:paraId="60260401">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35DEA8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38</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FA35A7">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监控摄像设备</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E8F28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1.名称:视频监控（360度24小时监控器，采用4G通讯）</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ACFAF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257C7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29</w:t>
            </w:r>
          </w:p>
        </w:tc>
      </w:tr>
      <w:tr w14:paraId="159BF2F2">
        <w:tblPrEx>
          <w:tblCellMar>
            <w:top w:w="0" w:type="dxa"/>
            <w:left w:w="108" w:type="dxa"/>
            <w:bottom w:w="0" w:type="dxa"/>
            <w:right w:w="108" w:type="dxa"/>
          </w:tblCellMar>
        </w:tblPrEx>
        <w:trPr>
          <w:trHeight w:val="184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D747B7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39</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B19404">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球机大小杆</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884D1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1.名称:球机大小杆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2.内容:含球机大小杆、基础、底座、防水箱、斜撑、防雷接地装置等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02844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套</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99B40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29</w:t>
            </w:r>
          </w:p>
        </w:tc>
      </w:tr>
      <w:tr w14:paraId="6DD7F790">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C3DA3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40</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96976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光缆</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3BA2E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1.名称:光缆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E4AF1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1DC9E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899.5</w:t>
            </w:r>
          </w:p>
        </w:tc>
      </w:tr>
      <w:tr w14:paraId="6C80EBB6">
        <w:tblPrEx>
          <w:tblCellMar>
            <w:top w:w="0" w:type="dxa"/>
            <w:left w:w="108" w:type="dxa"/>
            <w:bottom w:w="0" w:type="dxa"/>
            <w:right w:w="108" w:type="dxa"/>
          </w:tblCellMar>
        </w:tblPrEx>
        <w:trPr>
          <w:trHeight w:val="184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413C3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41</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AEAE1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配线</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58979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1.名称:配线</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2.规格型号:WDZC-RVSP-5X1.5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BC7EC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57987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899.5</w:t>
            </w:r>
          </w:p>
        </w:tc>
      </w:tr>
      <w:tr w14:paraId="3388C295">
        <w:tblPrEx>
          <w:tblCellMar>
            <w:top w:w="0" w:type="dxa"/>
            <w:left w:w="108" w:type="dxa"/>
            <w:bottom w:w="0" w:type="dxa"/>
            <w:right w:w="108" w:type="dxa"/>
          </w:tblCellMar>
        </w:tblPrEx>
        <w:trPr>
          <w:trHeight w:val="184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8DFA73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42</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1DE93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配线</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893B8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1.名称:配线</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2.规格型号:防水电线BV-4mm2</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BD5B4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634CD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180</w:t>
            </w:r>
          </w:p>
        </w:tc>
      </w:tr>
      <w:tr w14:paraId="3764DF23">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09D911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43</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D4EE3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配电箱</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C35DF1">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1.名称:检修配电箱</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2.安装方式:综合考虑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F7B59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FEA0A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r>
      <w:tr w14:paraId="623EB435">
        <w:tblPrEx>
          <w:tblCellMar>
            <w:top w:w="0" w:type="dxa"/>
            <w:left w:w="108" w:type="dxa"/>
            <w:bottom w:w="0" w:type="dxa"/>
            <w:right w:w="108" w:type="dxa"/>
          </w:tblCellMar>
        </w:tblPrEx>
        <w:trPr>
          <w:trHeight w:val="159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3D1005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44</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07773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塑料管</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74DF0E">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1.名称:PVC排水管</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2.规格、型号:de110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3.连接形式:粘接</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9DFBE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D64C6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81</w:t>
            </w:r>
          </w:p>
        </w:tc>
      </w:tr>
      <w:tr w14:paraId="2F4F364D">
        <w:tblPrEx>
          <w:tblCellMar>
            <w:top w:w="0" w:type="dxa"/>
            <w:left w:w="108" w:type="dxa"/>
            <w:bottom w:w="0" w:type="dxa"/>
            <w:right w:w="108" w:type="dxa"/>
          </w:tblCellMar>
        </w:tblPrEx>
        <w:trPr>
          <w:trHeight w:val="159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94417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45</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9FBDB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塑料管</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3D95EE">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1.名称:PPR给水管</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2.规格、型号:DN25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3.连接形式:热熔</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ADA8B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2F86B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619.5</w:t>
            </w:r>
          </w:p>
        </w:tc>
      </w:tr>
      <w:tr w14:paraId="78DBA958">
        <w:tblPrEx>
          <w:tblCellMar>
            <w:top w:w="0" w:type="dxa"/>
            <w:left w:w="108" w:type="dxa"/>
            <w:bottom w:w="0" w:type="dxa"/>
            <w:right w:w="108" w:type="dxa"/>
          </w:tblCellMar>
        </w:tblPrEx>
        <w:trPr>
          <w:trHeight w:val="159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CE3078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46</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A3D067">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塑料管</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7EF8E1">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1.名称:PPR给水管</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2.规格、型号:DN32</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3.连接形式:热熔</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1E942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26496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120</w:t>
            </w:r>
          </w:p>
        </w:tc>
      </w:tr>
      <w:tr w14:paraId="3BE212FE">
        <w:tblPrEx>
          <w:tblCellMar>
            <w:top w:w="0" w:type="dxa"/>
            <w:left w:w="108" w:type="dxa"/>
            <w:bottom w:w="0" w:type="dxa"/>
            <w:right w:w="108" w:type="dxa"/>
          </w:tblCellMar>
        </w:tblPrEx>
        <w:trPr>
          <w:trHeight w:val="210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DFC918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47</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66B124">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水表</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A6A384">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1.名称:水表组</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2.规格、型号:DN32</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3.连接形式:热熔</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4.其他:包含1个水表，1个截止阀</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DBFF7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组</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E3F2A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r>
      <w:tr w14:paraId="3D816449">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AFF77E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48</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A8E79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截止阀</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CA392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1.类型:截止阀</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2.规格、压力等级:DN25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FF026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0B171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64</w:t>
            </w:r>
          </w:p>
        </w:tc>
      </w:tr>
      <w:tr w14:paraId="62F271F0">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7F10E5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49</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BF5CC4">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截止阀</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56CA81">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1.类型:截止阀</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2.规格、压力等级:DN32</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A3A80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7112F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36</w:t>
            </w:r>
          </w:p>
        </w:tc>
      </w:tr>
      <w:tr w14:paraId="518F2AAC">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A09F1F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50</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9421D1">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止回阀</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E2124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1.类型:止回阀</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2.规格、压力等级:DN32</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E45FA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372B9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r>
      <w:tr w14:paraId="37FFCDDB">
        <w:tblPrEx>
          <w:tblCellMar>
            <w:top w:w="0" w:type="dxa"/>
            <w:left w:w="108" w:type="dxa"/>
            <w:bottom w:w="0" w:type="dxa"/>
            <w:right w:w="108" w:type="dxa"/>
          </w:tblCellMar>
        </w:tblPrEx>
        <w:trPr>
          <w:trHeight w:val="133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C64EFE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51</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53A46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止回阀</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D7655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1.类型:止回阀</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2.规格、压力等级:DN25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5713C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9F294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r>
      <w:tr w14:paraId="7B0F672A">
        <w:tblPrEx>
          <w:tblCellMar>
            <w:top w:w="0" w:type="dxa"/>
            <w:left w:w="108" w:type="dxa"/>
            <w:bottom w:w="0" w:type="dxa"/>
            <w:right w:w="108" w:type="dxa"/>
          </w:tblCellMar>
        </w:tblPrEx>
        <w:trPr>
          <w:trHeight w:val="108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B89197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52</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A2819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其他泵</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530AE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1.类型:智能增压自吸冷水泵</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D6E3F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F53C1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r>
      <w:tr w14:paraId="1D5E27EE">
        <w:tblPrEx>
          <w:tblCellMar>
            <w:top w:w="0" w:type="dxa"/>
            <w:left w:w="108" w:type="dxa"/>
            <w:bottom w:w="0" w:type="dxa"/>
            <w:right w:w="108" w:type="dxa"/>
          </w:tblCellMar>
        </w:tblPrEx>
        <w:trPr>
          <w:trHeight w:val="1080"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8F5BF8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53</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C16EE4">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压力仪表</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C7FA4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1.类型:压力表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D9E47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1D8AA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r>
      <w:tr w14:paraId="42E743CC">
        <w:tblPrEx>
          <w:tblCellMar>
            <w:top w:w="0" w:type="dxa"/>
            <w:left w:w="108" w:type="dxa"/>
            <w:bottom w:w="0" w:type="dxa"/>
            <w:right w:w="108" w:type="dxa"/>
          </w:tblCellMar>
        </w:tblPrEx>
        <w:trPr>
          <w:trHeight w:val="1845" w:hRule="atLeast"/>
        </w:trPr>
        <w:tc>
          <w:tcPr>
            <w:tcW w:w="459"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02E8C7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54</w:t>
            </w:r>
          </w:p>
        </w:tc>
        <w:tc>
          <w:tcPr>
            <w:tcW w:w="151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CF4AC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灭火器</w:t>
            </w:r>
          </w:p>
        </w:tc>
        <w:tc>
          <w:tcPr>
            <w:tcW w:w="193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74B22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1.名称:手提式干粉灭火器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2.规格、型号:MFABC5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3.附件:包括不锈钢灭火器放置箱</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E421D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具</w:t>
            </w:r>
          </w:p>
        </w:tc>
        <w:tc>
          <w:tcPr>
            <w:tcW w:w="6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F234F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38</w:t>
            </w:r>
          </w:p>
        </w:tc>
      </w:tr>
    </w:tbl>
    <w:p w14:paraId="3D20AEF1">
      <w:pPr>
        <w:spacing w:line="360" w:lineRule="auto"/>
        <w:rPr>
          <w:rFonts w:ascii="宋体" w:hAnsi="宋体" w:eastAsia="宋体" w:cs="Times New Roman"/>
          <w:bCs/>
          <w:color w:val="000000" w:themeColor="text1"/>
          <w:szCs w:val="21"/>
          <w:highlight w:val="none"/>
          <w14:textFill>
            <w14:solidFill>
              <w14:schemeClr w14:val="tx1"/>
            </w14:solidFill>
          </w14:textFill>
        </w:rPr>
      </w:pPr>
    </w:p>
    <w:p w14:paraId="29E4387B">
      <w:pPr>
        <w:spacing w:line="360" w:lineRule="auto"/>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（二）第四水厂屋顶分布式光伏发电项目-装饰钢结构部分</w:t>
      </w:r>
    </w:p>
    <w:tbl>
      <w:tblPr>
        <w:tblStyle w:val="37"/>
        <w:tblW w:w="4999" w:type="pct"/>
        <w:tblInd w:w="0" w:type="dxa"/>
        <w:tblLayout w:type="autofit"/>
        <w:tblCellMar>
          <w:top w:w="0" w:type="dxa"/>
          <w:left w:w="108" w:type="dxa"/>
          <w:bottom w:w="0" w:type="dxa"/>
          <w:right w:w="108" w:type="dxa"/>
        </w:tblCellMar>
      </w:tblPr>
      <w:tblGrid>
        <w:gridCol w:w="944"/>
        <w:gridCol w:w="3149"/>
        <w:gridCol w:w="3952"/>
        <w:gridCol w:w="927"/>
        <w:gridCol w:w="1396"/>
      </w:tblGrid>
      <w:tr w14:paraId="14F2ADBF">
        <w:tblPrEx>
          <w:tblCellMar>
            <w:top w:w="0" w:type="dxa"/>
            <w:left w:w="108" w:type="dxa"/>
            <w:bottom w:w="0" w:type="dxa"/>
            <w:right w:w="108" w:type="dxa"/>
          </w:tblCellMar>
        </w:tblPrEx>
        <w:trPr>
          <w:trHeight w:val="360" w:hRule="atLeast"/>
        </w:trPr>
        <w:tc>
          <w:tcPr>
            <w:tcW w:w="455"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335793D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序号</w:t>
            </w:r>
          </w:p>
        </w:tc>
        <w:tc>
          <w:tcPr>
            <w:tcW w:w="151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1D03C3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项目名称</w:t>
            </w:r>
          </w:p>
        </w:tc>
        <w:tc>
          <w:tcPr>
            <w:tcW w:w="19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CA29C8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项目特征描述</w:t>
            </w:r>
          </w:p>
        </w:tc>
        <w:tc>
          <w:tcPr>
            <w:tcW w:w="44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55D1BF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计量</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单位</w:t>
            </w:r>
          </w:p>
        </w:tc>
        <w:tc>
          <w:tcPr>
            <w:tcW w:w="67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00618C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工程量</w:t>
            </w:r>
          </w:p>
        </w:tc>
      </w:tr>
      <w:tr w14:paraId="6FFD5705">
        <w:tblPrEx>
          <w:tblCellMar>
            <w:top w:w="0" w:type="dxa"/>
            <w:left w:w="108" w:type="dxa"/>
            <w:bottom w:w="0" w:type="dxa"/>
            <w:right w:w="108" w:type="dxa"/>
          </w:tblCellMar>
        </w:tblPrEx>
        <w:trPr>
          <w:trHeight w:val="360" w:hRule="atLeast"/>
        </w:trPr>
        <w:tc>
          <w:tcPr>
            <w:tcW w:w="455"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D00251F">
            <w:pPr>
              <w:jc w:val="center"/>
              <w:rPr>
                <w:rFonts w:ascii="宋体" w:hAnsi="宋体" w:eastAsia="宋体" w:cs="宋体"/>
                <w:color w:val="000000" w:themeColor="text1"/>
                <w:sz w:val="20"/>
                <w:szCs w:val="20"/>
                <w:highlight w:val="none"/>
                <w14:textFill>
                  <w14:solidFill>
                    <w14:schemeClr w14:val="tx1"/>
                  </w14:solidFill>
                </w14:textFill>
              </w:rPr>
            </w:pPr>
          </w:p>
        </w:tc>
        <w:tc>
          <w:tcPr>
            <w:tcW w:w="151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9CDA99">
            <w:pPr>
              <w:jc w:val="center"/>
              <w:rPr>
                <w:rFonts w:ascii="宋体" w:hAnsi="宋体" w:eastAsia="宋体" w:cs="宋体"/>
                <w:color w:val="000000" w:themeColor="text1"/>
                <w:sz w:val="20"/>
                <w:szCs w:val="20"/>
                <w:highlight w:val="none"/>
                <w14:textFill>
                  <w14:solidFill>
                    <w14:schemeClr w14:val="tx1"/>
                  </w14:solidFill>
                </w14:textFill>
              </w:rPr>
            </w:pPr>
          </w:p>
        </w:tc>
        <w:tc>
          <w:tcPr>
            <w:tcW w:w="19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17AEC3C">
            <w:pPr>
              <w:jc w:val="center"/>
              <w:rPr>
                <w:rFonts w:ascii="宋体" w:hAnsi="宋体" w:eastAsia="宋体" w:cs="宋体"/>
                <w:color w:val="000000" w:themeColor="text1"/>
                <w:sz w:val="20"/>
                <w:szCs w:val="20"/>
                <w:highlight w:val="none"/>
                <w14:textFill>
                  <w14:solidFill>
                    <w14:schemeClr w14:val="tx1"/>
                  </w14:solidFill>
                </w14:textFill>
              </w:rPr>
            </w:pPr>
          </w:p>
        </w:tc>
        <w:tc>
          <w:tcPr>
            <w:tcW w:w="4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C58CAC">
            <w:pPr>
              <w:jc w:val="center"/>
              <w:rPr>
                <w:rFonts w:ascii="宋体" w:hAnsi="宋体" w:eastAsia="宋体" w:cs="宋体"/>
                <w:color w:val="000000" w:themeColor="text1"/>
                <w:sz w:val="20"/>
                <w:szCs w:val="20"/>
                <w:highlight w:val="none"/>
                <w14:textFill>
                  <w14:solidFill>
                    <w14:schemeClr w14:val="tx1"/>
                  </w14:solidFill>
                </w14:textFill>
              </w:rPr>
            </w:pPr>
          </w:p>
        </w:tc>
        <w:tc>
          <w:tcPr>
            <w:tcW w:w="67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B251EA">
            <w:pPr>
              <w:jc w:val="center"/>
              <w:rPr>
                <w:rFonts w:ascii="宋体" w:hAnsi="宋体" w:eastAsia="宋体" w:cs="宋体"/>
                <w:color w:val="000000" w:themeColor="text1"/>
                <w:sz w:val="20"/>
                <w:szCs w:val="20"/>
                <w:highlight w:val="none"/>
                <w14:textFill>
                  <w14:solidFill>
                    <w14:schemeClr w14:val="tx1"/>
                  </w14:solidFill>
                </w14:textFill>
              </w:rPr>
            </w:pPr>
          </w:p>
        </w:tc>
      </w:tr>
      <w:tr w14:paraId="4CCF1521">
        <w:tblPrEx>
          <w:tblCellMar>
            <w:top w:w="0" w:type="dxa"/>
            <w:left w:w="108" w:type="dxa"/>
            <w:bottom w:w="0" w:type="dxa"/>
            <w:right w:w="108" w:type="dxa"/>
          </w:tblCellMar>
        </w:tblPrEx>
        <w:trPr>
          <w:trHeight w:val="360"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50052ED">
            <w:pPr>
              <w:jc w:val="left"/>
              <w:rPr>
                <w:rFonts w:ascii="宋体" w:hAnsi="宋体" w:eastAsia="宋体" w:cs="宋体"/>
                <w:color w:val="000000" w:themeColor="text1"/>
                <w:sz w:val="20"/>
                <w:szCs w:val="20"/>
                <w:highlight w:val="none"/>
                <w14:textFill>
                  <w14:solidFill>
                    <w14:schemeClr w14:val="tx1"/>
                  </w14:solidFill>
                </w14:textFill>
              </w:rPr>
            </w:pPr>
          </w:p>
        </w:tc>
        <w:tc>
          <w:tcPr>
            <w:tcW w:w="34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7A2E8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 xml:space="preserve"> 金属结构工程</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57E87A">
            <w:pPr>
              <w:jc w:val="left"/>
              <w:rPr>
                <w:rFonts w:ascii="宋体" w:hAnsi="宋体" w:eastAsia="宋体" w:cs="宋体"/>
                <w:color w:val="000000" w:themeColor="text1"/>
                <w:sz w:val="20"/>
                <w:szCs w:val="20"/>
                <w:highlight w:val="none"/>
                <w14:textFill>
                  <w14:solidFill>
                    <w14:schemeClr w14:val="tx1"/>
                  </w14:solidFill>
                </w14:textFill>
              </w:rPr>
            </w:pP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7E7EB0">
            <w:pPr>
              <w:jc w:val="center"/>
              <w:rPr>
                <w:rFonts w:ascii="宋体" w:hAnsi="宋体" w:eastAsia="宋体" w:cs="宋体"/>
                <w:color w:val="000000" w:themeColor="text1"/>
                <w:sz w:val="20"/>
                <w:szCs w:val="20"/>
                <w:highlight w:val="none"/>
                <w14:textFill>
                  <w14:solidFill>
                    <w14:schemeClr w14:val="tx1"/>
                  </w14:solidFill>
                </w14:textFill>
              </w:rPr>
            </w:pPr>
          </w:p>
        </w:tc>
      </w:tr>
      <w:tr w14:paraId="469F0897">
        <w:tblPrEx>
          <w:tblCellMar>
            <w:top w:w="0" w:type="dxa"/>
            <w:left w:w="108" w:type="dxa"/>
            <w:bottom w:w="0" w:type="dxa"/>
            <w:right w:w="108" w:type="dxa"/>
          </w:tblCellMar>
        </w:tblPrEx>
        <w:trPr>
          <w:trHeight w:val="1335"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6A821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c>
          <w:tcPr>
            <w:tcW w:w="151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0E2DF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空腹钢柱</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05FC4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1.柱类型:100*100*3mm镀锌方通钢柱</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2.其他:按技术规范及设计图纸完成清单项目所需的一切相关工作</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ABF56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t</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F2407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14.966</w:t>
            </w:r>
          </w:p>
        </w:tc>
      </w:tr>
      <w:tr w14:paraId="731B68CC">
        <w:tblPrEx>
          <w:tblCellMar>
            <w:top w:w="0" w:type="dxa"/>
            <w:left w:w="108" w:type="dxa"/>
            <w:bottom w:w="0" w:type="dxa"/>
            <w:right w:w="108" w:type="dxa"/>
          </w:tblCellMar>
        </w:tblPrEx>
        <w:trPr>
          <w:trHeight w:val="1335"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19651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w:t>
            </w:r>
          </w:p>
        </w:tc>
        <w:tc>
          <w:tcPr>
            <w:tcW w:w="151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48143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钢梁</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3BB12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1.梁类型:100*100*3mm镀锌方通主梁</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2.其他:按技术规范及设计图纸完成清单项目所需的一切相关工作</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073F9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t</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1E6BD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23.697</w:t>
            </w:r>
          </w:p>
        </w:tc>
      </w:tr>
      <w:tr w14:paraId="16B17ECF">
        <w:tblPrEx>
          <w:tblCellMar>
            <w:top w:w="0" w:type="dxa"/>
            <w:left w:w="108" w:type="dxa"/>
            <w:bottom w:w="0" w:type="dxa"/>
            <w:right w:w="108" w:type="dxa"/>
          </w:tblCellMar>
        </w:tblPrEx>
        <w:trPr>
          <w:trHeight w:val="1335"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D90509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w:t>
            </w:r>
          </w:p>
        </w:tc>
        <w:tc>
          <w:tcPr>
            <w:tcW w:w="151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6FD1A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钢梁</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C99FD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1.梁类型:100*60*3mm镀锌方通次梁</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2.其他:按技术规范及设计图纸完成清单项目所需的一切相关工作</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060E9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t</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69962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44.165</w:t>
            </w:r>
          </w:p>
        </w:tc>
      </w:tr>
      <w:tr w14:paraId="7737474B">
        <w:tblPrEx>
          <w:tblCellMar>
            <w:top w:w="0" w:type="dxa"/>
            <w:left w:w="108" w:type="dxa"/>
            <w:bottom w:w="0" w:type="dxa"/>
            <w:right w:w="108" w:type="dxa"/>
          </w:tblCellMar>
        </w:tblPrEx>
        <w:trPr>
          <w:trHeight w:val="1335"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25A774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w:t>
            </w:r>
          </w:p>
        </w:tc>
        <w:tc>
          <w:tcPr>
            <w:tcW w:w="151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9DF15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钢支撑、钢拉条</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3FC887">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1.钢材品种、规格:镀锌钢支撑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2.其他:按技术规范及设计图纸完成清单项目所需的一切相关工作</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FCD8E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t</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1A0B7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2.97</w:t>
            </w:r>
          </w:p>
        </w:tc>
      </w:tr>
      <w:tr w14:paraId="1CE34F05">
        <w:tblPrEx>
          <w:tblCellMar>
            <w:top w:w="0" w:type="dxa"/>
            <w:left w:w="108" w:type="dxa"/>
            <w:bottom w:w="0" w:type="dxa"/>
            <w:right w:w="108" w:type="dxa"/>
          </w:tblCellMar>
        </w:tblPrEx>
        <w:trPr>
          <w:trHeight w:val="1080"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B711B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w:t>
            </w:r>
          </w:p>
        </w:tc>
        <w:tc>
          <w:tcPr>
            <w:tcW w:w="151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30657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地脚螺栓</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B2407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1.螺栓种类:M16地脚螺栓</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2.其他:按技术规范及设计图纸完成清单项目所需的一切相关工作</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60810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套</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42DB4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3392.00</w:t>
            </w:r>
          </w:p>
        </w:tc>
      </w:tr>
      <w:tr w14:paraId="1A3DECEB">
        <w:tblPrEx>
          <w:tblCellMar>
            <w:top w:w="0" w:type="dxa"/>
            <w:left w:w="108" w:type="dxa"/>
            <w:bottom w:w="0" w:type="dxa"/>
            <w:right w:w="108" w:type="dxa"/>
          </w:tblCellMar>
        </w:tblPrEx>
        <w:trPr>
          <w:trHeight w:val="1845"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75B41F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w:t>
            </w:r>
          </w:p>
        </w:tc>
        <w:tc>
          <w:tcPr>
            <w:tcW w:w="151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FD8D3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钢平台</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1E9E6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1.盖板规格型号:镀锌花纹钢板</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2.规格尺寸:1134*600*2.0mm</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3.其他:按技术规范及设计图纸完成清单项目所需的一切相关工作</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B02DE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t</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DD2E1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5.213</w:t>
            </w:r>
          </w:p>
        </w:tc>
      </w:tr>
      <w:tr w14:paraId="0E9EB344">
        <w:tblPrEx>
          <w:tblCellMar>
            <w:top w:w="0" w:type="dxa"/>
            <w:left w:w="108" w:type="dxa"/>
            <w:bottom w:w="0" w:type="dxa"/>
            <w:right w:w="108" w:type="dxa"/>
          </w:tblCellMar>
        </w:tblPrEx>
        <w:trPr>
          <w:trHeight w:val="1080"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4B6AE9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7</w:t>
            </w:r>
          </w:p>
        </w:tc>
        <w:tc>
          <w:tcPr>
            <w:tcW w:w="151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53B72E">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钢爬梯</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A75CFE">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1.钢梯形式:钢爬梯</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2.其他:按技术规范及设计图纸完成清单项目所需的一切相关工作</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A74AB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t</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EA7BD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7.498</w:t>
            </w:r>
          </w:p>
        </w:tc>
      </w:tr>
      <w:tr w14:paraId="3B294399">
        <w:tblPrEx>
          <w:tblCellMar>
            <w:top w:w="0" w:type="dxa"/>
            <w:left w:w="108" w:type="dxa"/>
            <w:bottom w:w="0" w:type="dxa"/>
            <w:right w:w="108" w:type="dxa"/>
          </w:tblCellMar>
        </w:tblPrEx>
        <w:trPr>
          <w:trHeight w:val="1335"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94FF35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8</w:t>
            </w:r>
          </w:p>
        </w:tc>
        <w:tc>
          <w:tcPr>
            <w:tcW w:w="151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37674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纵向水槽</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82402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1.名称:纵向水槽</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2.材质:镀铝镁锌钢板</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3.其他:按技术规范及设计图纸完成清单项目所需的一切相关工作</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E3C97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B4EE5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6300.65</w:t>
            </w:r>
          </w:p>
        </w:tc>
      </w:tr>
      <w:tr w14:paraId="7FF8070E">
        <w:tblPrEx>
          <w:tblCellMar>
            <w:top w:w="0" w:type="dxa"/>
            <w:left w:w="108" w:type="dxa"/>
            <w:bottom w:w="0" w:type="dxa"/>
            <w:right w:w="108" w:type="dxa"/>
          </w:tblCellMar>
        </w:tblPrEx>
        <w:trPr>
          <w:trHeight w:val="1335"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91307F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9</w:t>
            </w:r>
          </w:p>
        </w:tc>
        <w:tc>
          <w:tcPr>
            <w:tcW w:w="151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248DB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横向水槽</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5D147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1.名称:横向水槽</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2.材质:铝合金钢板</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3.其他:按技术规范及设计图纸完成清单项目所需的一切相关工作</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E736E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31362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2402.4</w:t>
            </w:r>
          </w:p>
        </w:tc>
      </w:tr>
      <w:tr w14:paraId="429B4B7E">
        <w:tblPrEx>
          <w:tblCellMar>
            <w:top w:w="0" w:type="dxa"/>
            <w:left w:w="108" w:type="dxa"/>
            <w:bottom w:w="0" w:type="dxa"/>
            <w:right w:w="108" w:type="dxa"/>
          </w:tblCellMar>
        </w:tblPrEx>
        <w:trPr>
          <w:trHeight w:val="360"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9339274">
            <w:pPr>
              <w:jc w:val="left"/>
              <w:rPr>
                <w:rFonts w:ascii="宋体" w:hAnsi="宋体" w:eastAsia="宋体" w:cs="宋体"/>
                <w:color w:val="000000" w:themeColor="text1"/>
                <w:sz w:val="20"/>
                <w:szCs w:val="20"/>
                <w:highlight w:val="none"/>
                <w14:textFill>
                  <w14:solidFill>
                    <w14:schemeClr w14:val="tx1"/>
                  </w14:solidFill>
                </w14:textFill>
              </w:rPr>
            </w:pPr>
          </w:p>
        </w:tc>
        <w:tc>
          <w:tcPr>
            <w:tcW w:w="34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865B6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 xml:space="preserve"> 混凝土及钢筋混凝土工程</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6D9ADF">
            <w:pPr>
              <w:jc w:val="left"/>
              <w:rPr>
                <w:rFonts w:ascii="宋体" w:hAnsi="宋体" w:eastAsia="宋体" w:cs="宋体"/>
                <w:color w:val="000000" w:themeColor="text1"/>
                <w:sz w:val="20"/>
                <w:szCs w:val="20"/>
                <w:highlight w:val="none"/>
                <w14:textFill>
                  <w14:solidFill>
                    <w14:schemeClr w14:val="tx1"/>
                  </w14:solidFill>
                </w14:textFill>
              </w:rPr>
            </w:pP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DB1AAD">
            <w:pPr>
              <w:jc w:val="center"/>
              <w:rPr>
                <w:rFonts w:ascii="宋体" w:hAnsi="宋体" w:eastAsia="宋体" w:cs="宋体"/>
                <w:color w:val="000000" w:themeColor="text1"/>
                <w:sz w:val="20"/>
                <w:szCs w:val="20"/>
                <w:highlight w:val="none"/>
                <w14:textFill>
                  <w14:solidFill>
                    <w14:schemeClr w14:val="tx1"/>
                  </w14:solidFill>
                </w14:textFill>
              </w:rPr>
            </w:pPr>
          </w:p>
        </w:tc>
      </w:tr>
      <w:tr w14:paraId="3C9F7E04">
        <w:tblPrEx>
          <w:tblCellMar>
            <w:top w:w="0" w:type="dxa"/>
            <w:left w:w="108" w:type="dxa"/>
            <w:bottom w:w="0" w:type="dxa"/>
            <w:right w:w="108" w:type="dxa"/>
          </w:tblCellMar>
        </w:tblPrEx>
        <w:trPr>
          <w:trHeight w:val="1335"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AAC094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10</w:t>
            </w:r>
          </w:p>
        </w:tc>
        <w:tc>
          <w:tcPr>
            <w:tcW w:w="151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ED915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基础</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EE4DB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1.混凝土种类:预拌</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2.混凝土强度等级:C25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3.其他:按技术规范及设计图纸完成清单项目所需的一切相关工作</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28306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m3</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D5F83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15.07</w:t>
            </w:r>
          </w:p>
        </w:tc>
      </w:tr>
      <w:tr w14:paraId="0713253B">
        <w:tblPrEx>
          <w:tblCellMar>
            <w:top w:w="0" w:type="dxa"/>
            <w:left w:w="108" w:type="dxa"/>
            <w:bottom w:w="0" w:type="dxa"/>
            <w:right w:w="108" w:type="dxa"/>
          </w:tblCellMar>
        </w:tblPrEx>
        <w:trPr>
          <w:trHeight w:val="1335"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DB22FD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11</w:t>
            </w:r>
          </w:p>
        </w:tc>
        <w:tc>
          <w:tcPr>
            <w:tcW w:w="151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E2943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楼(地)面涂膜防水</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5CC98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1.部位:素混凝土基础</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2.沥青防水涂料两遍</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3.其他:按技术规范及设计图纸完成清单项目所需的一切相关工作</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AC788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m2</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98416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75.33</w:t>
            </w:r>
          </w:p>
        </w:tc>
      </w:tr>
      <w:tr w14:paraId="4247E01B">
        <w:tblPrEx>
          <w:tblCellMar>
            <w:top w:w="0" w:type="dxa"/>
            <w:left w:w="108" w:type="dxa"/>
            <w:bottom w:w="0" w:type="dxa"/>
            <w:right w:w="108" w:type="dxa"/>
          </w:tblCellMar>
        </w:tblPrEx>
        <w:trPr>
          <w:trHeight w:val="1590"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487FD1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c>
          <w:tcPr>
            <w:tcW w:w="151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05E93F">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楼(地)面卷材防水</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D1FA11">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1.部位:素混凝土基础</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2.卷材品种、规格、厚度:SBS防水卷材两层</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3.其他:按技术规范及设计图纸完成清单项目所需的一切相关工作</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73327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m2</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640CB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283.14</w:t>
            </w:r>
          </w:p>
        </w:tc>
      </w:tr>
      <w:tr w14:paraId="2C25056D">
        <w:tblPrEx>
          <w:tblCellMar>
            <w:top w:w="0" w:type="dxa"/>
            <w:left w:w="108" w:type="dxa"/>
            <w:bottom w:w="0" w:type="dxa"/>
            <w:right w:w="108" w:type="dxa"/>
          </w:tblCellMar>
        </w:tblPrEx>
        <w:trPr>
          <w:trHeight w:val="360"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A6D44AC">
            <w:pPr>
              <w:jc w:val="left"/>
              <w:rPr>
                <w:rFonts w:ascii="宋体" w:hAnsi="宋体" w:eastAsia="宋体" w:cs="宋体"/>
                <w:color w:val="000000" w:themeColor="text1"/>
                <w:sz w:val="20"/>
                <w:szCs w:val="20"/>
                <w:highlight w:val="none"/>
                <w14:textFill>
                  <w14:solidFill>
                    <w14:schemeClr w14:val="tx1"/>
                  </w14:solidFill>
                </w14:textFill>
              </w:rPr>
            </w:pPr>
          </w:p>
        </w:tc>
        <w:tc>
          <w:tcPr>
            <w:tcW w:w="342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F064A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 xml:space="preserve"> 屋面及防水工程</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5269A2">
            <w:pPr>
              <w:jc w:val="left"/>
              <w:rPr>
                <w:rFonts w:ascii="宋体" w:hAnsi="宋体" w:eastAsia="宋体" w:cs="宋体"/>
                <w:color w:val="000000" w:themeColor="text1"/>
                <w:sz w:val="20"/>
                <w:szCs w:val="20"/>
                <w:highlight w:val="none"/>
                <w14:textFill>
                  <w14:solidFill>
                    <w14:schemeClr w14:val="tx1"/>
                  </w14:solidFill>
                </w14:textFill>
              </w:rPr>
            </w:pP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AB3534">
            <w:pPr>
              <w:jc w:val="center"/>
              <w:rPr>
                <w:rFonts w:ascii="宋体" w:hAnsi="宋体" w:eastAsia="宋体" w:cs="宋体"/>
                <w:color w:val="000000" w:themeColor="text1"/>
                <w:sz w:val="20"/>
                <w:szCs w:val="20"/>
                <w:highlight w:val="none"/>
                <w14:textFill>
                  <w14:solidFill>
                    <w14:schemeClr w14:val="tx1"/>
                  </w14:solidFill>
                </w14:textFill>
              </w:rPr>
            </w:pPr>
          </w:p>
        </w:tc>
      </w:tr>
      <w:tr w14:paraId="467A55D3">
        <w:tblPrEx>
          <w:tblCellMar>
            <w:top w:w="0" w:type="dxa"/>
            <w:left w:w="108" w:type="dxa"/>
            <w:bottom w:w="0" w:type="dxa"/>
            <w:right w:w="108" w:type="dxa"/>
          </w:tblCellMar>
        </w:tblPrEx>
        <w:trPr>
          <w:trHeight w:val="1080" w:hRule="atLeast"/>
        </w:trPr>
        <w:tc>
          <w:tcPr>
            <w:tcW w:w="455"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34DF20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13</w:t>
            </w:r>
          </w:p>
        </w:tc>
        <w:tc>
          <w:tcPr>
            <w:tcW w:w="1518"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4BB33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瓦屋面</w:t>
            </w:r>
          </w:p>
        </w:tc>
        <w:tc>
          <w:tcPr>
            <w:tcW w:w="19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2629C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1.瓦品种、规格:彩钢瓦封边</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2.其他:按技术规范及设计图纸完成清单项目所需的一切相关工作</w:t>
            </w:r>
          </w:p>
        </w:tc>
        <w:tc>
          <w:tcPr>
            <w:tcW w:w="4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1E96D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m2</w:t>
            </w:r>
          </w:p>
        </w:tc>
        <w:tc>
          <w:tcPr>
            <w:tcW w:w="67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8E41A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1037.05</w:t>
            </w:r>
          </w:p>
        </w:tc>
      </w:tr>
    </w:tbl>
    <w:p w14:paraId="5E3B6088">
      <w:pPr>
        <w:spacing w:line="360" w:lineRule="auto"/>
        <w:rPr>
          <w:rFonts w:ascii="宋体" w:hAnsi="宋体" w:eastAsia="宋体" w:cs="Times New Roman"/>
          <w:bCs/>
          <w:color w:val="000000" w:themeColor="text1"/>
          <w:szCs w:val="21"/>
          <w:highlight w:val="none"/>
          <w14:textFill>
            <w14:solidFill>
              <w14:schemeClr w14:val="tx1"/>
            </w14:solidFill>
          </w14:textFill>
        </w:rPr>
      </w:pPr>
    </w:p>
    <w:p w14:paraId="26F33C4A">
      <w:pPr>
        <w:spacing w:line="360" w:lineRule="auto"/>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（三）第六水厂屋顶分布式光伏发电项目-安装部分</w:t>
      </w:r>
    </w:p>
    <w:tbl>
      <w:tblPr>
        <w:tblStyle w:val="37"/>
        <w:tblW w:w="4999" w:type="pct"/>
        <w:tblInd w:w="0" w:type="dxa"/>
        <w:tblLayout w:type="autofit"/>
        <w:tblCellMar>
          <w:top w:w="0" w:type="dxa"/>
          <w:left w:w="108" w:type="dxa"/>
          <w:bottom w:w="0" w:type="dxa"/>
          <w:right w:w="108" w:type="dxa"/>
        </w:tblCellMar>
      </w:tblPr>
      <w:tblGrid>
        <w:gridCol w:w="942"/>
        <w:gridCol w:w="3081"/>
        <w:gridCol w:w="4002"/>
        <w:gridCol w:w="925"/>
        <w:gridCol w:w="1418"/>
      </w:tblGrid>
      <w:tr w14:paraId="50744F67">
        <w:tblPrEx>
          <w:tblCellMar>
            <w:top w:w="0" w:type="dxa"/>
            <w:left w:w="108" w:type="dxa"/>
            <w:bottom w:w="0" w:type="dxa"/>
            <w:right w:w="108" w:type="dxa"/>
          </w:tblCellMar>
        </w:tblPrEx>
        <w:trPr>
          <w:trHeight w:val="360" w:hRule="atLeast"/>
        </w:trPr>
        <w:tc>
          <w:tcPr>
            <w:tcW w:w="45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C5CB88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序号</w:t>
            </w:r>
          </w:p>
        </w:tc>
        <w:tc>
          <w:tcPr>
            <w:tcW w:w="148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C1FDE1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项目名称</w:t>
            </w:r>
          </w:p>
        </w:tc>
        <w:tc>
          <w:tcPr>
            <w:tcW w:w="19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D99254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项目特征描述</w:t>
            </w:r>
          </w:p>
        </w:tc>
        <w:tc>
          <w:tcPr>
            <w:tcW w:w="44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736E7F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计量</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单位</w:t>
            </w:r>
          </w:p>
        </w:tc>
        <w:tc>
          <w:tcPr>
            <w:tcW w:w="68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06C93F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工程量</w:t>
            </w:r>
          </w:p>
        </w:tc>
      </w:tr>
      <w:tr w14:paraId="259F611F">
        <w:tblPrEx>
          <w:tblCellMar>
            <w:top w:w="0" w:type="dxa"/>
            <w:left w:w="108" w:type="dxa"/>
            <w:bottom w:w="0" w:type="dxa"/>
            <w:right w:w="108" w:type="dxa"/>
          </w:tblCellMar>
        </w:tblPrEx>
        <w:trPr>
          <w:trHeight w:val="360" w:hRule="atLeast"/>
        </w:trPr>
        <w:tc>
          <w:tcPr>
            <w:tcW w:w="45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9170DDE">
            <w:pPr>
              <w:jc w:val="center"/>
              <w:rPr>
                <w:rFonts w:ascii="宋体" w:hAnsi="宋体" w:eastAsia="宋体" w:cs="宋体"/>
                <w:color w:val="000000" w:themeColor="text1"/>
                <w:sz w:val="20"/>
                <w:szCs w:val="20"/>
                <w:highlight w:val="none"/>
                <w14:textFill>
                  <w14:solidFill>
                    <w14:schemeClr w14:val="tx1"/>
                  </w14:solidFill>
                </w14:textFill>
              </w:rPr>
            </w:pPr>
          </w:p>
        </w:tc>
        <w:tc>
          <w:tcPr>
            <w:tcW w:w="148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47BC342">
            <w:pPr>
              <w:jc w:val="center"/>
              <w:rPr>
                <w:rFonts w:ascii="宋体" w:hAnsi="宋体" w:eastAsia="宋体" w:cs="宋体"/>
                <w:color w:val="000000" w:themeColor="text1"/>
                <w:sz w:val="20"/>
                <w:szCs w:val="20"/>
                <w:highlight w:val="none"/>
                <w14:textFill>
                  <w14:solidFill>
                    <w14:schemeClr w14:val="tx1"/>
                  </w14:solidFill>
                </w14:textFill>
              </w:rPr>
            </w:pPr>
          </w:p>
        </w:tc>
        <w:tc>
          <w:tcPr>
            <w:tcW w:w="19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FE8B00">
            <w:pPr>
              <w:jc w:val="center"/>
              <w:rPr>
                <w:rFonts w:ascii="宋体" w:hAnsi="宋体" w:eastAsia="宋体" w:cs="宋体"/>
                <w:color w:val="000000" w:themeColor="text1"/>
                <w:sz w:val="20"/>
                <w:szCs w:val="20"/>
                <w:highlight w:val="none"/>
                <w14:textFill>
                  <w14:solidFill>
                    <w14:schemeClr w14:val="tx1"/>
                  </w14:solidFill>
                </w14:textFill>
              </w:rPr>
            </w:pPr>
          </w:p>
        </w:tc>
        <w:tc>
          <w:tcPr>
            <w:tcW w:w="44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27588A">
            <w:pPr>
              <w:jc w:val="center"/>
              <w:rPr>
                <w:rFonts w:ascii="宋体" w:hAnsi="宋体" w:eastAsia="宋体" w:cs="宋体"/>
                <w:color w:val="000000" w:themeColor="text1"/>
                <w:sz w:val="20"/>
                <w:szCs w:val="20"/>
                <w:highlight w:val="none"/>
                <w14:textFill>
                  <w14:solidFill>
                    <w14:schemeClr w14:val="tx1"/>
                  </w14:solidFill>
                </w14:textFill>
              </w:rPr>
            </w:pPr>
          </w:p>
        </w:tc>
        <w:tc>
          <w:tcPr>
            <w:tcW w:w="6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7C824B">
            <w:pPr>
              <w:jc w:val="center"/>
              <w:rPr>
                <w:rFonts w:ascii="宋体" w:hAnsi="宋体" w:eastAsia="宋体" w:cs="宋体"/>
                <w:color w:val="000000" w:themeColor="text1"/>
                <w:sz w:val="20"/>
                <w:szCs w:val="20"/>
                <w:highlight w:val="none"/>
                <w14:textFill>
                  <w14:solidFill>
                    <w14:schemeClr w14:val="tx1"/>
                  </w14:solidFill>
                </w14:textFill>
              </w:rPr>
            </w:pPr>
          </w:p>
        </w:tc>
      </w:tr>
      <w:tr w14:paraId="5956C4A6">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5DAEF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0EF9C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590Wp单晶硅光伏组件</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900C8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1.名称:单晶硅光伏组件</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2.型号:590Wp,组件尺寸：2278*1134*30mm</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3C447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块</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1C863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4463</w:t>
            </w:r>
          </w:p>
        </w:tc>
      </w:tr>
      <w:tr w14:paraId="614D678A">
        <w:tblPrEx>
          <w:tblCellMar>
            <w:top w:w="0" w:type="dxa"/>
            <w:left w:w="108" w:type="dxa"/>
            <w:bottom w:w="0" w:type="dxa"/>
            <w:right w:w="108" w:type="dxa"/>
          </w:tblCellMar>
        </w:tblPrEx>
        <w:trPr>
          <w:trHeight w:val="210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0C3031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5BAEE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光伏逆变器</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51AA7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1.名称:30kW逆变器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2.规格、型号:最大输入电压：1100V 额定电网电压：400Vac</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0542D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E2010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w:t>
            </w:r>
          </w:p>
        </w:tc>
      </w:tr>
      <w:tr w14:paraId="409B47D8">
        <w:tblPrEx>
          <w:tblCellMar>
            <w:top w:w="0" w:type="dxa"/>
            <w:left w:w="108" w:type="dxa"/>
            <w:bottom w:w="0" w:type="dxa"/>
            <w:right w:w="108" w:type="dxa"/>
          </w:tblCellMar>
        </w:tblPrEx>
        <w:trPr>
          <w:trHeight w:val="210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18A13B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23339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光伏逆变器</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7FE9A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1.名称:36kW逆变器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2.规格、型号:最大输入电压：1100V 额定电网电压：400Vac</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344AF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2BE92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r>
      <w:tr w14:paraId="577AB876">
        <w:tblPrEx>
          <w:tblCellMar>
            <w:top w:w="0" w:type="dxa"/>
            <w:left w:w="108" w:type="dxa"/>
            <w:bottom w:w="0" w:type="dxa"/>
            <w:right w:w="108" w:type="dxa"/>
          </w:tblCellMar>
        </w:tblPrEx>
        <w:trPr>
          <w:trHeight w:val="210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01FED6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E4652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光伏逆变器</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08B0D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1.名称:40kW逆变器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2.规格、型号:最大输入电压：1100V 额定电网电压：400Vac</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7488F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B6237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w:t>
            </w:r>
          </w:p>
        </w:tc>
      </w:tr>
      <w:tr w14:paraId="5E597A20">
        <w:tblPrEx>
          <w:tblCellMar>
            <w:top w:w="0" w:type="dxa"/>
            <w:left w:w="108" w:type="dxa"/>
            <w:bottom w:w="0" w:type="dxa"/>
            <w:right w:w="108" w:type="dxa"/>
          </w:tblCellMar>
        </w:tblPrEx>
        <w:trPr>
          <w:trHeight w:val="210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035DD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34965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光伏逆变器</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78642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1.名称:50kW逆变器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2.规格、型号:最大输入电压：1100V 额定电网电压：400Vac</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A69F6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3F1D7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w:t>
            </w:r>
          </w:p>
        </w:tc>
      </w:tr>
      <w:tr w14:paraId="5F105A74">
        <w:tblPrEx>
          <w:tblCellMar>
            <w:top w:w="0" w:type="dxa"/>
            <w:left w:w="108" w:type="dxa"/>
            <w:bottom w:w="0" w:type="dxa"/>
            <w:right w:w="108" w:type="dxa"/>
          </w:tblCellMar>
        </w:tblPrEx>
        <w:trPr>
          <w:trHeight w:val="210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9AF040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3B4C2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光伏逆变器</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E631F1">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1.名称:75kW逆变器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2.规格、型号:最大输入电压：1100V 额定电网电压：400Vac</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16AAF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AA8DD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r>
      <w:tr w14:paraId="7ED059D9">
        <w:tblPrEx>
          <w:tblCellMar>
            <w:top w:w="0" w:type="dxa"/>
            <w:left w:w="108" w:type="dxa"/>
            <w:bottom w:w="0" w:type="dxa"/>
            <w:right w:w="108" w:type="dxa"/>
          </w:tblCellMar>
        </w:tblPrEx>
        <w:trPr>
          <w:trHeight w:val="210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6AFCD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7</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71AE4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光伏逆变器</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369C4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1.名称:100kW逆变器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2.规格、型号:最大输入电压：1100V 额定电网电压：400Vac</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1701A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A728A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10</w:t>
            </w:r>
          </w:p>
        </w:tc>
      </w:tr>
      <w:tr w14:paraId="193E65D2">
        <w:tblPrEx>
          <w:tblCellMar>
            <w:top w:w="0" w:type="dxa"/>
            <w:left w:w="108" w:type="dxa"/>
            <w:bottom w:w="0" w:type="dxa"/>
            <w:right w:w="108" w:type="dxa"/>
          </w:tblCellMar>
        </w:tblPrEx>
        <w:trPr>
          <w:trHeight w:val="210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13D45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8</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C5E6D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光伏逆变器</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35D32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1.名称:110kW逆变器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2.规格、型号:最大输入电压：1100V 额定电网电压：400Vac</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F1204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6F4F3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w:t>
            </w:r>
          </w:p>
        </w:tc>
      </w:tr>
      <w:tr w14:paraId="4595A68C">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9D4DA4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9</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C7412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汇流箱 2进1出</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1AF06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1.名称:汇流箱 2进1出</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8454B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B3A38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w:t>
            </w:r>
          </w:p>
        </w:tc>
      </w:tr>
      <w:tr w14:paraId="661A2023">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923124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10</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817B0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汇流箱 3进1出</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595C5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1.名称:汇流箱 3进1出</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3924D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4729C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w:t>
            </w:r>
          </w:p>
        </w:tc>
      </w:tr>
      <w:tr w14:paraId="32C4EBA5">
        <w:tblPrEx>
          <w:tblCellMar>
            <w:top w:w="0" w:type="dxa"/>
            <w:left w:w="108" w:type="dxa"/>
            <w:bottom w:w="0" w:type="dxa"/>
            <w:right w:w="108" w:type="dxa"/>
          </w:tblCellMar>
        </w:tblPrEx>
        <w:trPr>
          <w:trHeight w:val="159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34FDA0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11</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6CD77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922F7E">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1.名称:光伏电缆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2.规格、型号:PV1-F 1x4</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34D10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432A9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30682</w:t>
            </w:r>
          </w:p>
        </w:tc>
      </w:tr>
      <w:tr w14:paraId="46C6E6B1">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790F32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CD13AF">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78E55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2.规格、型号:ZC-YJV-3*16+2*10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03CA8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7D30D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40</w:t>
            </w:r>
          </w:p>
        </w:tc>
      </w:tr>
      <w:tr w14:paraId="22105BD4">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78CFE9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13</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11104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AB1B1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2.规格、型号:ZC-YJV-3*25+2*16</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3AEEE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EC4B4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30</w:t>
            </w:r>
          </w:p>
        </w:tc>
      </w:tr>
      <w:tr w14:paraId="04295AE6">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89F8B9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14</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BBD75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40B4C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2.规格、型号:ZC-YJV-3*35+2*25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648C3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63E3D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35</w:t>
            </w:r>
          </w:p>
        </w:tc>
      </w:tr>
      <w:tr w14:paraId="06730C74">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190D33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15</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03BE84">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B0D07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2.规格、型号:ZC-YJV-3*70+2*35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3AC25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3E84A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40</w:t>
            </w:r>
          </w:p>
        </w:tc>
      </w:tr>
      <w:tr w14:paraId="7F508F71">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6B16A4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16</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46D8BE">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F5DEA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2.规格、型号:ZC-YJV-3*95+2*50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6B2FD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16308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1260</w:t>
            </w:r>
          </w:p>
        </w:tc>
      </w:tr>
      <w:tr w14:paraId="79204F76">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9BF18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17</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8E0EF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E1707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2.规格、型号:ZC-YJV-3*120+2*70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A4C22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B81C3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795</w:t>
            </w:r>
          </w:p>
        </w:tc>
      </w:tr>
      <w:tr w14:paraId="27A589C0">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795531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18</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A1382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F3FCBE">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2.规格、型号:ZC-YJV-3*150+2*70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33F74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A2ABC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190</w:t>
            </w:r>
          </w:p>
        </w:tc>
      </w:tr>
      <w:tr w14:paraId="2ED60782">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4A2600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19</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4A6E6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7AC71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2.规格、型号:ZC-YJV-3*185+2*95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350E2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6DDD7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580</w:t>
            </w:r>
          </w:p>
        </w:tc>
      </w:tr>
      <w:tr w14:paraId="5C5381D2">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3EAC19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20</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10D27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67ADB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2.规格、型号:ZC-YJV-3*240+2*120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80616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25AC6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387</w:t>
            </w:r>
          </w:p>
        </w:tc>
      </w:tr>
      <w:tr w14:paraId="1E9D60AF">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AA83B0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21</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EDE21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07AF67">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1.名称:电力电缆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2.规格、型号:ZC-YJV-3*300+2*150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E0BF7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1ED35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500</w:t>
            </w:r>
          </w:p>
        </w:tc>
      </w:tr>
      <w:tr w14:paraId="1AE64792">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692CB0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22</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83A0E4">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电力电缆头</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BFFA0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1.名称:电缆终端头</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2.规格、型号:16mm2以下</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E7EF6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D73A5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16</w:t>
            </w:r>
          </w:p>
        </w:tc>
      </w:tr>
      <w:tr w14:paraId="70C549A9">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F545A5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23</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1AC58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电力电缆头</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19750F">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1.名称:电缆终端头</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2.规格、型号:35mm2以下</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AC9B3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CA590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16</w:t>
            </w:r>
          </w:p>
        </w:tc>
      </w:tr>
      <w:tr w14:paraId="2DDB028A">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BA7D17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24</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1C238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电力电缆头</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8C466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1.名称:电缆终端头</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2.规格、型号:70mm2以下</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753B5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71C68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16</w:t>
            </w:r>
          </w:p>
        </w:tc>
      </w:tr>
      <w:tr w14:paraId="5072DF32">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5FD308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25</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3AFD44">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电力电缆头</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12CDD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1.名称:电缆终端头</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2.规格、型号:120mm2以下</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700E3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DE551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34</w:t>
            </w:r>
          </w:p>
        </w:tc>
      </w:tr>
      <w:tr w14:paraId="6F63B156">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1E94F7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26</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9A5AF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电力电缆头</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A00A8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1.名称:电缆终端头</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2.规格、型号:185mm2以下</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BF8B6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5372B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8</w:t>
            </w:r>
          </w:p>
        </w:tc>
      </w:tr>
      <w:tr w14:paraId="384F7578">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97238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27</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3BED67">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电力电缆头</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0F7B1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1.名称:电缆终端头</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2.规格、型号:240mm2以下</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F0C4D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BC568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24</w:t>
            </w:r>
          </w:p>
        </w:tc>
      </w:tr>
      <w:tr w14:paraId="5DE6B7E5">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B5A57E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28</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EC2F6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电力电缆头</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E3A2D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1.名称:电缆终端头</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2.规格、型号:300mm2以下</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EAE7D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CC5BB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w:t>
            </w:r>
          </w:p>
        </w:tc>
      </w:tr>
      <w:tr w14:paraId="6E6F1EF5">
        <w:tblPrEx>
          <w:tblCellMar>
            <w:top w:w="0" w:type="dxa"/>
            <w:left w:w="108" w:type="dxa"/>
            <w:bottom w:w="0" w:type="dxa"/>
            <w:right w:w="108" w:type="dxa"/>
          </w:tblCellMar>
        </w:tblPrEx>
        <w:trPr>
          <w:trHeight w:val="159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729AC5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29</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C4C7B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配管</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2E901F">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1.名称:PVC电线管</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2.规格、型号:Φ25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5BCA8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75920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1238.44</w:t>
            </w:r>
          </w:p>
        </w:tc>
      </w:tr>
      <w:tr w14:paraId="39180293">
        <w:tblPrEx>
          <w:tblCellMar>
            <w:top w:w="0" w:type="dxa"/>
            <w:left w:w="108" w:type="dxa"/>
            <w:bottom w:w="0" w:type="dxa"/>
            <w:right w:w="108" w:type="dxa"/>
          </w:tblCellMar>
        </w:tblPrEx>
        <w:trPr>
          <w:trHeight w:val="159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803863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30</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4053A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配管</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D5200F">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1.名称:PVC电线管</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2.规格、型号:Φ32</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3B878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CB736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6070</w:t>
            </w:r>
          </w:p>
        </w:tc>
      </w:tr>
      <w:tr w14:paraId="62B6B234">
        <w:tblPrEx>
          <w:tblCellMar>
            <w:top w:w="0" w:type="dxa"/>
            <w:left w:w="108" w:type="dxa"/>
            <w:bottom w:w="0" w:type="dxa"/>
            <w:right w:w="108" w:type="dxa"/>
          </w:tblCellMar>
        </w:tblPrEx>
        <w:trPr>
          <w:trHeight w:val="210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927A36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31</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B4BD1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防水桥架（含辅件）</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C74CA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1.名称:防水桥架（含辅件）</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2.规格、型号:200×100×1.5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3.含支架等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D3D9E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5BB18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225</w:t>
            </w:r>
          </w:p>
        </w:tc>
      </w:tr>
      <w:tr w14:paraId="5878DCE5">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5DF622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32</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C4AC1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防水桥架（含辅件）</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0B8E61">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1.名称:防水桥架（含辅150×100×1.5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3.含支架等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6201C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EAB6F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18.03</w:t>
            </w:r>
          </w:p>
        </w:tc>
      </w:tr>
      <w:tr w14:paraId="7ADD6A8C">
        <w:tblPrEx>
          <w:tblCellMar>
            <w:top w:w="0" w:type="dxa"/>
            <w:left w:w="108" w:type="dxa"/>
            <w:bottom w:w="0" w:type="dxa"/>
            <w:right w:w="108" w:type="dxa"/>
          </w:tblCellMar>
        </w:tblPrEx>
        <w:trPr>
          <w:trHeight w:val="210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FBF108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33</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E94AD4">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防水桥架（含辅件）</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E88DA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1.名称:防水桥架（含辅件）</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2.规格、型号:100×100×1.5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3.含支架等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8FAD1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F1232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523.14</w:t>
            </w:r>
          </w:p>
        </w:tc>
      </w:tr>
      <w:tr w14:paraId="54E38BA4">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4D7A9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34</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64C4E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防水桥架（含辅件）</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E2A7C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1.名称:防水桥架（含辅件）</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2.规格、型号:100×50×1.5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3.含支架等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4BAA0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C5B5F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7</w:t>
            </w:r>
          </w:p>
        </w:tc>
      </w:tr>
      <w:tr w14:paraId="4D82501D">
        <w:tblPrEx>
          <w:tblCellMar>
            <w:top w:w="0" w:type="dxa"/>
            <w:left w:w="108" w:type="dxa"/>
            <w:bottom w:w="0" w:type="dxa"/>
            <w:right w:w="108" w:type="dxa"/>
          </w:tblCellMar>
        </w:tblPrEx>
        <w:trPr>
          <w:trHeight w:val="159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870FF9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35</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0A756F">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接地母线</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480FE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1.名称:接地扁钢</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2.规格、型号:热镀锌扁钢 -40×4</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96A59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5BBD8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2825.6</w:t>
            </w:r>
          </w:p>
        </w:tc>
      </w:tr>
      <w:tr w14:paraId="5C89911C">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48363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36</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55838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接地线</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A287F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1.名称:接地跨接线</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2.规格、型号:BVR-1×4</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46C6A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处</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3ED54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4463</w:t>
            </w:r>
          </w:p>
        </w:tc>
      </w:tr>
      <w:tr w14:paraId="675255FB">
        <w:tblPrEx>
          <w:tblCellMar>
            <w:top w:w="0" w:type="dxa"/>
            <w:left w:w="108" w:type="dxa"/>
            <w:bottom w:w="0" w:type="dxa"/>
            <w:right w:w="108" w:type="dxa"/>
          </w:tblCellMar>
        </w:tblPrEx>
        <w:trPr>
          <w:trHeight w:val="210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490CA7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37</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B43BA1">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并网计量箱</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6067C1">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1.名称:并网计量箱</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2.规格、型号:P08，电箱尺寸：1250×1100×240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3.计量装置供电局提供</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792FE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2F942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r>
      <w:tr w14:paraId="564FDCDB">
        <w:tblPrEx>
          <w:tblCellMar>
            <w:top w:w="0" w:type="dxa"/>
            <w:left w:w="108" w:type="dxa"/>
            <w:bottom w:w="0" w:type="dxa"/>
            <w:right w:w="108" w:type="dxa"/>
          </w:tblCellMar>
        </w:tblPrEx>
        <w:trPr>
          <w:trHeight w:val="261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CB96D8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38</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ABAAB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并网计量柜</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C1CE34">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1.名称:并网计量柜</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2.规格、型号:固定式GGD 编号P15，屏柜尺寸：1000×1000×2200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3.计量装置供电局提供</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4.本体工程及附件安装和槽钢支架等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108DE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21087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r>
      <w:tr w14:paraId="3D080895">
        <w:tblPrEx>
          <w:tblCellMar>
            <w:top w:w="0" w:type="dxa"/>
            <w:left w:w="108" w:type="dxa"/>
            <w:bottom w:w="0" w:type="dxa"/>
            <w:right w:w="108" w:type="dxa"/>
          </w:tblCellMar>
        </w:tblPrEx>
        <w:trPr>
          <w:trHeight w:val="261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D8ACE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39</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6DF09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并网计量柜</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B47094">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1.名称:并网计量柜</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2.规格、型号:固定式GGD 编号P13，屏柜尺寸：1000×1000×2200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3.计量装置供电局提供</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4.本体工程及附件安装和槽钢支架等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4FCAC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2365D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r>
      <w:tr w14:paraId="449F99A6">
        <w:tblPrEx>
          <w:tblCellMar>
            <w:top w:w="0" w:type="dxa"/>
            <w:left w:w="108" w:type="dxa"/>
            <w:bottom w:w="0" w:type="dxa"/>
            <w:right w:w="108" w:type="dxa"/>
          </w:tblCellMar>
        </w:tblPrEx>
        <w:trPr>
          <w:trHeight w:val="261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83E1D8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40</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FFEFB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并网计量柜</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9BABA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1.名称:并网计量柜</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2.规格、型号:固定式GGD 编号P17（六厂），屏柜尺寸：1000×1000×2200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3.计量装置供电局提供</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4.本体工程及附件安装和槽钢支架等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13EDC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967F5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r>
      <w:tr w14:paraId="7C38691A">
        <w:tblPrEx>
          <w:tblCellMar>
            <w:top w:w="0" w:type="dxa"/>
            <w:left w:w="108" w:type="dxa"/>
            <w:bottom w:w="0" w:type="dxa"/>
            <w:right w:w="108" w:type="dxa"/>
          </w:tblCellMar>
        </w:tblPrEx>
        <w:trPr>
          <w:trHeight w:val="261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9D650D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41</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E92D2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并网计量柜</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75856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1.名称:并网计量柜</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2.规格、型号:固定式GGD 编号P18，屏柜尺寸：1000×1000×2200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3.计量装置供电局提供</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4.本体工程及附件安装和槽钢支架等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8BE3F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B6286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r>
      <w:tr w14:paraId="589094C7">
        <w:tblPrEx>
          <w:tblCellMar>
            <w:top w:w="0" w:type="dxa"/>
            <w:left w:w="108" w:type="dxa"/>
            <w:bottom w:w="0" w:type="dxa"/>
            <w:right w:w="108" w:type="dxa"/>
          </w:tblCellMar>
        </w:tblPrEx>
        <w:trPr>
          <w:trHeight w:val="261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25166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42</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D99FA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并网计量柜</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CF680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1.名称:并网计量柜</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2.规格、型号:固定式GGD 编号P08，屏柜尺寸：1000×1000×2200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3.计量装置供电局提供</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4.本体工程及附件安装和槽钢支架等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D750D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449EE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r>
      <w:tr w14:paraId="551E28BD">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DA86B3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43</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24E29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更换双向多功能电能表</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1464C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1.名称:更换双向多功能电能表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6B4EE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BE0DA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w:t>
            </w:r>
          </w:p>
        </w:tc>
      </w:tr>
      <w:tr w14:paraId="3B4E7BB3">
        <w:tblPrEx>
          <w:tblCellMar>
            <w:top w:w="0" w:type="dxa"/>
            <w:left w:w="108" w:type="dxa"/>
            <w:bottom w:w="0" w:type="dxa"/>
            <w:right w:w="108" w:type="dxa"/>
          </w:tblCellMar>
        </w:tblPrEx>
        <w:trPr>
          <w:trHeight w:val="108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10DC48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44</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398880">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送配电装置系统</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3649F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1.名称:送配电装置系统</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C0D8F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系统</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51704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w:t>
            </w:r>
          </w:p>
        </w:tc>
      </w:tr>
      <w:tr w14:paraId="694E6C34">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EC60E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45</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4DBCA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监控摄像设备</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4B4AD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1.名称:视频监控（360度24小时监控器，采用4G通讯）</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83748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19FEB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35</w:t>
            </w:r>
          </w:p>
        </w:tc>
      </w:tr>
      <w:tr w14:paraId="32D27AF6">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099F51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46</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5D146E">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球机大小杆</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E590F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1.名称:球机大小杆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2.内容:含球机大小杆、基础、底座、防水箱、斜撑、防雷接地装置等</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F6F9E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套</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DE14D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35</w:t>
            </w:r>
          </w:p>
        </w:tc>
      </w:tr>
      <w:tr w14:paraId="08F6D92F">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FC3F6B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47</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DC07DF">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光缆</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26BD7F">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1.名称:光缆</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406F8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0459D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1256.44</w:t>
            </w:r>
          </w:p>
        </w:tc>
      </w:tr>
      <w:tr w14:paraId="259D52C5">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0F6985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48</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3F519F">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配线</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2AF897">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1.名称:配线</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2.规格型号:WDZC-RVSP-5X1.5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8F5DD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0F939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1256.44</w:t>
            </w:r>
          </w:p>
        </w:tc>
      </w:tr>
      <w:tr w14:paraId="7BC7CA8C">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F7D21F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49</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8DB94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配线</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08E45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1.名称:配线</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2.规格型号:防水电线BV-4mm2</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3.敷设方式:综合考虑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2D468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F8AB1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180</w:t>
            </w:r>
          </w:p>
        </w:tc>
      </w:tr>
      <w:tr w14:paraId="61F083B5">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AB2441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50</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EBCBB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配电箱</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F2709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1.名称:检修配电箱</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2.安装方式:综合考虑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D60D2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C4334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r>
      <w:tr w14:paraId="29AA2207">
        <w:tblPrEx>
          <w:tblCellMar>
            <w:top w:w="0" w:type="dxa"/>
            <w:left w:w="108" w:type="dxa"/>
            <w:bottom w:w="0" w:type="dxa"/>
            <w:right w:w="108" w:type="dxa"/>
          </w:tblCellMar>
        </w:tblPrEx>
        <w:trPr>
          <w:trHeight w:val="159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2F9B12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51</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0F50A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塑料管</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953AA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1.名称:PVC排水管</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2.规格、型号:de110</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3.连接形式:粘接</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F816C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8E784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118.5</w:t>
            </w:r>
          </w:p>
        </w:tc>
      </w:tr>
      <w:tr w14:paraId="23B8BE89">
        <w:tblPrEx>
          <w:tblCellMar>
            <w:top w:w="0" w:type="dxa"/>
            <w:left w:w="108" w:type="dxa"/>
            <w:bottom w:w="0" w:type="dxa"/>
            <w:right w:w="108" w:type="dxa"/>
          </w:tblCellMar>
        </w:tblPrEx>
        <w:trPr>
          <w:trHeight w:val="159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E82A4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52</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AAC76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塑料管</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B16E2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1.名称:PPR给水管</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2.规格、型号:DN25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3.连接形式:热熔</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DB819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0688B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896.6</w:t>
            </w:r>
          </w:p>
        </w:tc>
      </w:tr>
      <w:tr w14:paraId="1FB1ADAE">
        <w:tblPrEx>
          <w:tblCellMar>
            <w:top w:w="0" w:type="dxa"/>
            <w:left w:w="108" w:type="dxa"/>
            <w:bottom w:w="0" w:type="dxa"/>
            <w:right w:w="108" w:type="dxa"/>
          </w:tblCellMar>
        </w:tblPrEx>
        <w:trPr>
          <w:trHeight w:val="159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1725BA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53</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31B20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塑料管</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87E3D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1.名称:PPR给水管</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2.规格、型号:DN32</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3.连接形式:热熔</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3D0CB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1D4A2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160</w:t>
            </w:r>
          </w:p>
        </w:tc>
      </w:tr>
      <w:tr w14:paraId="6DB5D1A8">
        <w:tblPrEx>
          <w:tblCellMar>
            <w:top w:w="0" w:type="dxa"/>
            <w:left w:w="108" w:type="dxa"/>
            <w:bottom w:w="0" w:type="dxa"/>
            <w:right w:w="108" w:type="dxa"/>
          </w:tblCellMar>
        </w:tblPrEx>
        <w:trPr>
          <w:trHeight w:val="210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60AFF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54</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4AB88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水表</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96A06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1.名称:水表组</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2.规格、型号:DN32</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3.连接形式:热熔</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4.其他:包含1个水表，1个截止阀</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5.综合考虑完成该工艺的所有施工内容，详见设计图纸及相关规范等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94B5E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组</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13768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r>
      <w:tr w14:paraId="796854CF">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390CF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55</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B3788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截止阀</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22FB2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1.类型:截止阀</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2.规格、压力等级:DN25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09DE9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ADDF9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63</w:t>
            </w:r>
          </w:p>
        </w:tc>
      </w:tr>
      <w:tr w14:paraId="1EE3A151">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28A940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56</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5E33CE">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截止阀</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F6161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1.类型:截止阀</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2.规格、压力等级:DN32</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BA494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9AB37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36</w:t>
            </w:r>
          </w:p>
        </w:tc>
      </w:tr>
      <w:tr w14:paraId="75E48537">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DB0660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57</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47374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止回阀</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2111C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1.类型:止回阀</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2.规格、压力等级:DN32</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B4282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76569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r>
      <w:tr w14:paraId="0BA4DEE4">
        <w:tblPrEx>
          <w:tblCellMar>
            <w:top w:w="0" w:type="dxa"/>
            <w:left w:w="108" w:type="dxa"/>
            <w:bottom w:w="0" w:type="dxa"/>
            <w:right w:w="108" w:type="dxa"/>
          </w:tblCellMar>
        </w:tblPrEx>
        <w:trPr>
          <w:trHeight w:val="133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AD78F2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58</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9CCFD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止回阀</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DD8BA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1.类型:止回阀</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2.规格、压力等级:DN25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43296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个</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986D4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r>
      <w:tr w14:paraId="4DDE17F2">
        <w:tblPrEx>
          <w:tblCellMar>
            <w:top w:w="0" w:type="dxa"/>
            <w:left w:w="108" w:type="dxa"/>
            <w:bottom w:w="0" w:type="dxa"/>
            <w:right w:w="108" w:type="dxa"/>
          </w:tblCellMar>
        </w:tblPrEx>
        <w:trPr>
          <w:trHeight w:val="108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F0776D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59</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660D4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其他泵</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188FC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1.类型:智能增压自吸冷水泵</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515CB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5E25D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r>
      <w:tr w14:paraId="60EC9550">
        <w:tblPrEx>
          <w:tblCellMar>
            <w:top w:w="0" w:type="dxa"/>
            <w:left w:w="108" w:type="dxa"/>
            <w:bottom w:w="0" w:type="dxa"/>
            <w:right w:w="108" w:type="dxa"/>
          </w:tblCellMar>
        </w:tblPrEx>
        <w:trPr>
          <w:trHeight w:val="1080"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C49884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60</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FD5B0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压力仪表</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9978C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1.类型:压力表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BB395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台</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93B0A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r>
      <w:tr w14:paraId="6E4A0D91">
        <w:tblPrEx>
          <w:tblCellMar>
            <w:top w:w="0" w:type="dxa"/>
            <w:left w:w="108" w:type="dxa"/>
            <w:bottom w:w="0" w:type="dxa"/>
            <w:right w:w="108" w:type="dxa"/>
          </w:tblCellMar>
        </w:tblPrEx>
        <w:trPr>
          <w:trHeight w:val="1845" w:hRule="atLeast"/>
        </w:trPr>
        <w:tc>
          <w:tcPr>
            <w:tcW w:w="454"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F29032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61</w:t>
            </w:r>
          </w:p>
        </w:tc>
        <w:tc>
          <w:tcPr>
            <w:tcW w:w="14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6A573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灭火器</w:t>
            </w:r>
          </w:p>
        </w:tc>
        <w:tc>
          <w:tcPr>
            <w:tcW w:w="19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9FC7D7">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1.名称:手提式干粉灭火器</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2.规格、型号:MFABC5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3.附件:包括不锈钢灭火器放置箱</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4.综合考虑完成该工艺的所有施工内容，详见设计图纸及相关规范等</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C2898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具</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22D4C9">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60</w:t>
            </w:r>
          </w:p>
        </w:tc>
      </w:tr>
    </w:tbl>
    <w:p w14:paraId="29F758C1">
      <w:pPr>
        <w:spacing w:line="360" w:lineRule="auto"/>
        <w:rPr>
          <w:rFonts w:ascii="宋体" w:hAnsi="宋体" w:eastAsia="宋体" w:cs="Times New Roman"/>
          <w:bCs/>
          <w:color w:val="000000" w:themeColor="text1"/>
          <w:szCs w:val="21"/>
          <w:highlight w:val="none"/>
          <w14:textFill>
            <w14:solidFill>
              <w14:schemeClr w14:val="tx1"/>
            </w14:solidFill>
          </w14:textFill>
        </w:rPr>
      </w:pPr>
    </w:p>
    <w:p w14:paraId="1114BF4E">
      <w:pPr>
        <w:spacing w:line="360" w:lineRule="auto"/>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（四）第六水厂屋顶分布式光伏发电项目-装饰钢结构部分</w:t>
      </w:r>
    </w:p>
    <w:tbl>
      <w:tblPr>
        <w:tblStyle w:val="37"/>
        <w:tblW w:w="4998" w:type="pct"/>
        <w:tblInd w:w="0" w:type="dxa"/>
        <w:tblLayout w:type="autofit"/>
        <w:tblCellMar>
          <w:top w:w="0" w:type="dxa"/>
          <w:left w:w="108" w:type="dxa"/>
          <w:bottom w:w="0" w:type="dxa"/>
          <w:right w:w="108" w:type="dxa"/>
        </w:tblCellMar>
      </w:tblPr>
      <w:tblGrid>
        <w:gridCol w:w="933"/>
        <w:gridCol w:w="3059"/>
        <w:gridCol w:w="3912"/>
        <w:gridCol w:w="913"/>
        <w:gridCol w:w="1549"/>
      </w:tblGrid>
      <w:tr w14:paraId="786957DA">
        <w:tblPrEx>
          <w:tblCellMar>
            <w:top w:w="0" w:type="dxa"/>
            <w:left w:w="108" w:type="dxa"/>
            <w:bottom w:w="0" w:type="dxa"/>
            <w:right w:w="108" w:type="dxa"/>
          </w:tblCellMar>
        </w:tblPrEx>
        <w:trPr>
          <w:trHeight w:val="360" w:hRule="atLeast"/>
        </w:trPr>
        <w:tc>
          <w:tcPr>
            <w:tcW w:w="450"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3FBC8F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序号</w:t>
            </w:r>
          </w:p>
        </w:tc>
        <w:tc>
          <w:tcPr>
            <w:tcW w:w="147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D5A477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项目名称</w:t>
            </w:r>
          </w:p>
        </w:tc>
        <w:tc>
          <w:tcPr>
            <w:tcW w:w="188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B75350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项目特征描述</w:t>
            </w:r>
          </w:p>
        </w:tc>
        <w:tc>
          <w:tcPr>
            <w:tcW w:w="44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A7FB38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计量</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单位</w:t>
            </w:r>
          </w:p>
        </w:tc>
        <w:tc>
          <w:tcPr>
            <w:tcW w:w="74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017B43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工程量</w:t>
            </w:r>
          </w:p>
        </w:tc>
      </w:tr>
      <w:tr w14:paraId="06C0DE73">
        <w:tblPrEx>
          <w:tblCellMar>
            <w:top w:w="0" w:type="dxa"/>
            <w:left w:w="108" w:type="dxa"/>
            <w:bottom w:w="0" w:type="dxa"/>
            <w:right w:w="108" w:type="dxa"/>
          </w:tblCellMar>
        </w:tblPrEx>
        <w:trPr>
          <w:trHeight w:val="360" w:hRule="atLeast"/>
        </w:trPr>
        <w:tc>
          <w:tcPr>
            <w:tcW w:w="450"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C5C3709">
            <w:pPr>
              <w:jc w:val="center"/>
              <w:rPr>
                <w:rFonts w:ascii="宋体" w:hAnsi="宋体" w:eastAsia="宋体" w:cs="宋体"/>
                <w:color w:val="000000" w:themeColor="text1"/>
                <w:sz w:val="20"/>
                <w:szCs w:val="20"/>
                <w:highlight w:val="none"/>
                <w14:textFill>
                  <w14:solidFill>
                    <w14:schemeClr w14:val="tx1"/>
                  </w14:solidFill>
                </w14:textFill>
              </w:rPr>
            </w:pPr>
          </w:p>
        </w:tc>
        <w:tc>
          <w:tcPr>
            <w:tcW w:w="147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B84363">
            <w:pPr>
              <w:jc w:val="center"/>
              <w:rPr>
                <w:rFonts w:ascii="宋体" w:hAnsi="宋体" w:eastAsia="宋体" w:cs="宋体"/>
                <w:color w:val="000000" w:themeColor="text1"/>
                <w:sz w:val="20"/>
                <w:szCs w:val="20"/>
                <w:highlight w:val="none"/>
                <w14:textFill>
                  <w14:solidFill>
                    <w14:schemeClr w14:val="tx1"/>
                  </w14:solidFill>
                </w14:textFill>
              </w:rPr>
            </w:pPr>
          </w:p>
        </w:tc>
        <w:tc>
          <w:tcPr>
            <w:tcW w:w="188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FE1531">
            <w:pPr>
              <w:jc w:val="center"/>
              <w:rPr>
                <w:rFonts w:ascii="宋体" w:hAnsi="宋体" w:eastAsia="宋体" w:cs="宋体"/>
                <w:color w:val="000000" w:themeColor="text1"/>
                <w:sz w:val="20"/>
                <w:szCs w:val="20"/>
                <w:highlight w:val="none"/>
                <w14:textFill>
                  <w14:solidFill>
                    <w14:schemeClr w14:val="tx1"/>
                  </w14:solidFill>
                </w14:textFill>
              </w:rPr>
            </w:pPr>
          </w:p>
        </w:tc>
        <w:tc>
          <w:tcPr>
            <w:tcW w:w="44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7FC5C0">
            <w:pPr>
              <w:jc w:val="center"/>
              <w:rPr>
                <w:rFonts w:ascii="宋体" w:hAnsi="宋体" w:eastAsia="宋体" w:cs="宋体"/>
                <w:color w:val="000000" w:themeColor="text1"/>
                <w:sz w:val="20"/>
                <w:szCs w:val="20"/>
                <w:highlight w:val="none"/>
                <w14:textFill>
                  <w14:solidFill>
                    <w14:schemeClr w14:val="tx1"/>
                  </w14:solidFill>
                </w14:textFill>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DD2457E">
            <w:pPr>
              <w:jc w:val="center"/>
              <w:rPr>
                <w:rFonts w:ascii="宋体" w:hAnsi="宋体" w:eastAsia="宋体" w:cs="宋体"/>
                <w:color w:val="000000" w:themeColor="text1"/>
                <w:sz w:val="20"/>
                <w:szCs w:val="20"/>
                <w:highlight w:val="none"/>
                <w14:textFill>
                  <w14:solidFill>
                    <w14:schemeClr w14:val="tx1"/>
                  </w14:solidFill>
                </w14:textFill>
              </w:rPr>
            </w:pPr>
          </w:p>
        </w:tc>
      </w:tr>
      <w:tr w14:paraId="7985B973">
        <w:tblPrEx>
          <w:tblCellMar>
            <w:top w:w="0" w:type="dxa"/>
            <w:left w:w="108" w:type="dxa"/>
            <w:bottom w:w="0" w:type="dxa"/>
            <w:right w:w="108" w:type="dxa"/>
          </w:tblCellMar>
        </w:tblPrEx>
        <w:trPr>
          <w:trHeight w:val="360"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0229601">
            <w:pPr>
              <w:jc w:val="left"/>
              <w:rPr>
                <w:rFonts w:ascii="宋体" w:hAnsi="宋体" w:eastAsia="宋体" w:cs="宋体"/>
                <w:color w:val="000000" w:themeColor="text1"/>
                <w:sz w:val="20"/>
                <w:szCs w:val="20"/>
                <w:highlight w:val="none"/>
                <w14:textFill>
                  <w14:solidFill>
                    <w14:schemeClr w14:val="tx1"/>
                  </w14:solidFill>
                </w14:textFill>
              </w:rPr>
            </w:pPr>
          </w:p>
        </w:tc>
        <w:tc>
          <w:tcPr>
            <w:tcW w:w="336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E16EF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 xml:space="preserve"> 金属结构工程</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6BDCD1">
            <w:pPr>
              <w:jc w:val="left"/>
              <w:rPr>
                <w:rFonts w:ascii="宋体" w:hAnsi="宋体" w:eastAsia="宋体" w:cs="宋体"/>
                <w:color w:val="000000" w:themeColor="text1"/>
                <w:sz w:val="20"/>
                <w:szCs w:val="20"/>
                <w:highlight w:val="none"/>
                <w14:textFill>
                  <w14:solidFill>
                    <w14:schemeClr w14:val="tx1"/>
                  </w14:solidFill>
                </w14:textFill>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030FE5">
            <w:pPr>
              <w:jc w:val="center"/>
              <w:rPr>
                <w:rFonts w:ascii="宋体" w:hAnsi="宋体" w:eastAsia="宋体" w:cs="宋体"/>
                <w:color w:val="000000" w:themeColor="text1"/>
                <w:sz w:val="20"/>
                <w:szCs w:val="20"/>
                <w:highlight w:val="none"/>
                <w14:textFill>
                  <w14:solidFill>
                    <w14:schemeClr w14:val="tx1"/>
                  </w14:solidFill>
                </w14:textFill>
              </w:rPr>
            </w:pPr>
          </w:p>
        </w:tc>
      </w:tr>
      <w:tr w14:paraId="5B1FC9D5">
        <w:tblPrEx>
          <w:tblCellMar>
            <w:top w:w="0" w:type="dxa"/>
            <w:left w:w="108" w:type="dxa"/>
            <w:bottom w:w="0" w:type="dxa"/>
            <w:right w:w="108" w:type="dxa"/>
          </w:tblCellMar>
        </w:tblPrEx>
        <w:trPr>
          <w:trHeight w:val="1335"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A287B5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w:t>
            </w:r>
          </w:p>
        </w:tc>
        <w:tc>
          <w:tcPr>
            <w:tcW w:w="14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0FCD1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空腹钢柱</w:t>
            </w:r>
          </w:p>
        </w:tc>
        <w:tc>
          <w:tcPr>
            <w:tcW w:w="18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3B85B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1.柱类型:100*100*3mm镀锌方通钢柱</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2.其他:按技术规范及设计图纸完成清单项目所需的一切相关工作</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862E6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t</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ADF1B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24.333</w:t>
            </w:r>
          </w:p>
        </w:tc>
      </w:tr>
      <w:tr w14:paraId="50360A53">
        <w:tblPrEx>
          <w:tblCellMar>
            <w:top w:w="0" w:type="dxa"/>
            <w:left w:w="108" w:type="dxa"/>
            <w:bottom w:w="0" w:type="dxa"/>
            <w:right w:w="108" w:type="dxa"/>
          </w:tblCellMar>
        </w:tblPrEx>
        <w:trPr>
          <w:trHeight w:val="1335"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D8ED90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w:t>
            </w:r>
          </w:p>
        </w:tc>
        <w:tc>
          <w:tcPr>
            <w:tcW w:w="14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29BE6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钢梁</w:t>
            </w:r>
          </w:p>
        </w:tc>
        <w:tc>
          <w:tcPr>
            <w:tcW w:w="18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7A913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1.梁类型:100*100*3mm镀锌方通主梁</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2.其他:按技术规范及设计图纸完成清单项目所需的一切相关工作</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20F6D7">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t</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AA817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34.708</w:t>
            </w:r>
          </w:p>
        </w:tc>
      </w:tr>
      <w:tr w14:paraId="3FCB1A44">
        <w:tblPrEx>
          <w:tblCellMar>
            <w:top w:w="0" w:type="dxa"/>
            <w:left w:w="108" w:type="dxa"/>
            <w:bottom w:w="0" w:type="dxa"/>
            <w:right w:w="108" w:type="dxa"/>
          </w:tblCellMar>
        </w:tblPrEx>
        <w:trPr>
          <w:trHeight w:val="1335"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436E64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3</w:t>
            </w:r>
          </w:p>
        </w:tc>
        <w:tc>
          <w:tcPr>
            <w:tcW w:w="14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2DCAC7">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钢梁</w:t>
            </w:r>
          </w:p>
        </w:tc>
        <w:tc>
          <w:tcPr>
            <w:tcW w:w="18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C8ED9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1.梁类型:100*60*3mm镀锌方通次梁</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2.其他:按技术规范及设计图纸完成清单项目所需的一切相关工作</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50782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t</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1E3B06">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66.57</w:t>
            </w:r>
          </w:p>
        </w:tc>
      </w:tr>
      <w:tr w14:paraId="0EF8112D">
        <w:tblPrEx>
          <w:tblCellMar>
            <w:top w:w="0" w:type="dxa"/>
            <w:left w:w="108" w:type="dxa"/>
            <w:bottom w:w="0" w:type="dxa"/>
            <w:right w:w="108" w:type="dxa"/>
          </w:tblCellMar>
        </w:tblPrEx>
        <w:trPr>
          <w:trHeight w:val="1335"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DBB7F5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w:t>
            </w:r>
          </w:p>
        </w:tc>
        <w:tc>
          <w:tcPr>
            <w:tcW w:w="14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100D6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钢支撑、钢拉条</w:t>
            </w:r>
          </w:p>
        </w:tc>
        <w:tc>
          <w:tcPr>
            <w:tcW w:w="18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DE4309">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1.钢材品种、规格:镀锌钢支撑</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2.其他:按技术规范及设计图纸完成清单项目所需的一切相关工作</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BEB9B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t</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E673D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4.704</w:t>
            </w:r>
          </w:p>
        </w:tc>
      </w:tr>
      <w:tr w14:paraId="2EB09B81">
        <w:tblPrEx>
          <w:tblCellMar>
            <w:top w:w="0" w:type="dxa"/>
            <w:left w:w="108" w:type="dxa"/>
            <w:bottom w:w="0" w:type="dxa"/>
            <w:right w:w="108" w:type="dxa"/>
          </w:tblCellMar>
        </w:tblPrEx>
        <w:trPr>
          <w:trHeight w:val="1080"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DB792A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w:t>
            </w:r>
          </w:p>
        </w:tc>
        <w:tc>
          <w:tcPr>
            <w:tcW w:w="14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832B46">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地脚螺栓</w:t>
            </w:r>
          </w:p>
        </w:tc>
        <w:tc>
          <w:tcPr>
            <w:tcW w:w="18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200541">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1.螺栓种类:M16地脚螺栓</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2.其他:按技术规范及设计图纸完成清单项目所需的一切相关工作</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766CD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套</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3B942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5048.00</w:t>
            </w:r>
          </w:p>
        </w:tc>
      </w:tr>
      <w:tr w14:paraId="6E614B72">
        <w:tblPrEx>
          <w:tblCellMar>
            <w:top w:w="0" w:type="dxa"/>
            <w:left w:w="108" w:type="dxa"/>
            <w:bottom w:w="0" w:type="dxa"/>
            <w:right w:w="108" w:type="dxa"/>
          </w:tblCellMar>
        </w:tblPrEx>
        <w:trPr>
          <w:trHeight w:val="1845"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84A61D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6</w:t>
            </w:r>
          </w:p>
        </w:tc>
        <w:tc>
          <w:tcPr>
            <w:tcW w:w="14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97E42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钢平台</w:t>
            </w:r>
          </w:p>
        </w:tc>
        <w:tc>
          <w:tcPr>
            <w:tcW w:w="18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1943E1">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1.盖板规格型号:镀锌花纹钢板</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2.规格尺寸:1134*600*2.0mm</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3.其他:按技术规范及设计图纸完成清单项目所需的一切相关工作</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4DC4B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t</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7F656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8.535</w:t>
            </w:r>
          </w:p>
        </w:tc>
      </w:tr>
      <w:tr w14:paraId="16564D87">
        <w:tblPrEx>
          <w:tblCellMar>
            <w:top w:w="0" w:type="dxa"/>
            <w:left w:w="108" w:type="dxa"/>
            <w:bottom w:w="0" w:type="dxa"/>
            <w:right w:w="108" w:type="dxa"/>
          </w:tblCellMar>
        </w:tblPrEx>
        <w:trPr>
          <w:trHeight w:val="1080"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598558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7</w:t>
            </w:r>
          </w:p>
        </w:tc>
        <w:tc>
          <w:tcPr>
            <w:tcW w:w="14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158197">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钢爬梯</w:t>
            </w:r>
          </w:p>
        </w:tc>
        <w:tc>
          <w:tcPr>
            <w:tcW w:w="18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19797D">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1.钢梯形式:钢爬梯</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2.其他:按技术规范及设计图纸完成清单项目所需的一切相关工作</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567F0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t</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535E5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9.567</w:t>
            </w:r>
          </w:p>
        </w:tc>
      </w:tr>
      <w:tr w14:paraId="02EF1101">
        <w:tblPrEx>
          <w:tblCellMar>
            <w:top w:w="0" w:type="dxa"/>
            <w:left w:w="108" w:type="dxa"/>
            <w:bottom w:w="0" w:type="dxa"/>
            <w:right w:w="108" w:type="dxa"/>
          </w:tblCellMar>
        </w:tblPrEx>
        <w:trPr>
          <w:trHeight w:val="1335"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7E8F07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8</w:t>
            </w:r>
          </w:p>
        </w:tc>
        <w:tc>
          <w:tcPr>
            <w:tcW w:w="14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5CBB9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纵向水槽</w:t>
            </w:r>
          </w:p>
        </w:tc>
        <w:tc>
          <w:tcPr>
            <w:tcW w:w="18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95BE4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1.名称:纵向水槽</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2.材质:镀铝镁锌钢板</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3.其他:按技术规范及设计图纸完成清单项目所需的一切相关工作</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B1F155">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83F23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10253.08</w:t>
            </w:r>
          </w:p>
        </w:tc>
      </w:tr>
      <w:tr w14:paraId="76D79393">
        <w:tblPrEx>
          <w:tblCellMar>
            <w:top w:w="0" w:type="dxa"/>
            <w:left w:w="108" w:type="dxa"/>
            <w:bottom w:w="0" w:type="dxa"/>
            <w:right w:w="108" w:type="dxa"/>
          </w:tblCellMar>
        </w:tblPrEx>
        <w:trPr>
          <w:trHeight w:val="1335"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86C069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9</w:t>
            </w:r>
          </w:p>
        </w:tc>
        <w:tc>
          <w:tcPr>
            <w:tcW w:w="14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46982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横向水槽</w:t>
            </w:r>
          </w:p>
        </w:tc>
        <w:tc>
          <w:tcPr>
            <w:tcW w:w="18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488003">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1.名称:横向水槽</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2.材质:铝合金钢板</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3.其他:按技术规范及设计图纸完成清单项目所需的一切相关工作</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63DD7D">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34DB8E">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4413.76</w:t>
            </w:r>
          </w:p>
        </w:tc>
      </w:tr>
      <w:tr w14:paraId="01320724">
        <w:tblPrEx>
          <w:tblCellMar>
            <w:top w:w="0" w:type="dxa"/>
            <w:left w:w="108" w:type="dxa"/>
            <w:bottom w:w="0" w:type="dxa"/>
            <w:right w:w="108" w:type="dxa"/>
          </w:tblCellMar>
        </w:tblPrEx>
        <w:trPr>
          <w:trHeight w:val="360"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745690F">
            <w:pPr>
              <w:jc w:val="left"/>
              <w:rPr>
                <w:rFonts w:ascii="宋体" w:hAnsi="宋体" w:eastAsia="宋体" w:cs="宋体"/>
                <w:color w:val="000000" w:themeColor="text1"/>
                <w:sz w:val="20"/>
                <w:szCs w:val="20"/>
                <w:highlight w:val="none"/>
                <w14:textFill>
                  <w14:solidFill>
                    <w14:schemeClr w14:val="tx1"/>
                  </w14:solidFill>
                </w14:textFill>
              </w:rPr>
            </w:pPr>
          </w:p>
        </w:tc>
        <w:tc>
          <w:tcPr>
            <w:tcW w:w="336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DC4BA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 xml:space="preserve"> 混凝土及钢筋混凝土工程</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4E1789">
            <w:pPr>
              <w:jc w:val="left"/>
              <w:rPr>
                <w:rFonts w:ascii="宋体" w:hAnsi="宋体" w:eastAsia="宋体" w:cs="宋体"/>
                <w:color w:val="000000" w:themeColor="text1"/>
                <w:sz w:val="20"/>
                <w:szCs w:val="20"/>
                <w:highlight w:val="none"/>
                <w14:textFill>
                  <w14:solidFill>
                    <w14:schemeClr w14:val="tx1"/>
                  </w14:solidFill>
                </w14:textFill>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E9B783">
            <w:pPr>
              <w:jc w:val="center"/>
              <w:rPr>
                <w:rFonts w:ascii="宋体" w:hAnsi="宋体" w:eastAsia="宋体" w:cs="宋体"/>
                <w:color w:val="000000" w:themeColor="text1"/>
                <w:sz w:val="20"/>
                <w:szCs w:val="20"/>
                <w:highlight w:val="none"/>
                <w14:textFill>
                  <w14:solidFill>
                    <w14:schemeClr w14:val="tx1"/>
                  </w14:solidFill>
                </w14:textFill>
              </w:rPr>
            </w:pPr>
          </w:p>
        </w:tc>
      </w:tr>
      <w:tr w14:paraId="440F1AA8">
        <w:tblPrEx>
          <w:tblCellMar>
            <w:top w:w="0" w:type="dxa"/>
            <w:left w:w="108" w:type="dxa"/>
            <w:bottom w:w="0" w:type="dxa"/>
            <w:right w:w="108" w:type="dxa"/>
          </w:tblCellMar>
        </w:tblPrEx>
        <w:trPr>
          <w:trHeight w:val="1335"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748AECA">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10</w:t>
            </w:r>
          </w:p>
        </w:tc>
        <w:tc>
          <w:tcPr>
            <w:tcW w:w="14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667CDC">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基础</w:t>
            </w:r>
          </w:p>
        </w:tc>
        <w:tc>
          <w:tcPr>
            <w:tcW w:w="18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D0E48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1.混凝土种类:预拌</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2.混凝土强度等级:C25</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3.其他:按技术规范及设计图纸完成清单项目所需的一切相关工作</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DB07D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C9DC23">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22.72</w:t>
            </w:r>
          </w:p>
        </w:tc>
      </w:tr>
      <w:tr w14:paraId="7079CD7D">
        <w:tblPrEx>
          <w:tblCellMar>
            <w:top w:w="0" w:type="dxa"/>
            <w:left w:w="108" w:type="dxa"/>
            <w:bottom w:w="0" w:type="dxa"/>
            <w:right w:w="108" w:type="dxa"/>
          </w:tblCellMar>
        </w:tblPrEx>
        <w:trPr>
          <w:trHeight w:val="1335"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27E8742">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11</w:t>
            </w:r>
          </w:p>
        </w:tc>
        <w:tc>
          <w:tcPr>
            <w:tcW w:w="14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17BBDB">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楼(地)面涂膜防水</w:t>
            </w:r>
          </w:p>
        </w:tc>
        <w:tc>
          <w:tcPr>
            <w:tcW w:w="18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8E81F8">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1.部位:素混凝土基础</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2.沥青防水涂料两遍</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3.其他:按技术规范及设计图纸完成清单项目所需的一切相关工作</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1CF6E4">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383C9B">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113.58</w:t>
            </w:r>
          </w:p>
        </w:tc>
      </w:tr>
      <w:tr w14:paraId="3908BCDE">
        <w:tblPrEx>
          <w:tblCellMar>
            <w:top w:w="0" w:type="dxa"/>
            <w:left w:w="108" w:type="dxa"/>
            <w:bottom w:w="0" w:type="dxa"/>
            <w:right w:w="108" w:type="dxa"/>
          </w:tblCellMar>
        </w:tblPrEx>
        <w:trPr>
          <w:trHeight w:val="1590"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BCD23A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12</w:t>
            </w:r>
          </w:p>
        </w:tc>
        <w:tc>
          <w:tcPr>
            <w:tcW w:w="14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DE9A02">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楼(地)面卷材防水</w:t>
            </w:r>
          </w:p>
        </w:tc>
        <w:tc>
          <w:tcPr>
            <w:tcW w:w="18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C729B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1.部位:素混凝土基础</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2.卷材品种、规格、厚度:SBS防水卷材两层</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3.其他:按技术规范及设计图纸完成清单项目所需的一切相关工作</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9886B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759CB0">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416.46</w:t>
            </w:r>
          </w:p>
        </w:tc>
      </w:tr>
      <w:tr w14:paraId="7D7E1F51">
        <w:tblPrEx>
          <w:tblCellMar>
            <w:top w:w="0" w:type="dxa"/>
            <w:left w:w="108" w:type="dxa"/>
            <w:bottom w:w="0" w:type="dxa"/>
            <w:right w:w="108" w:type="dxa"/>
          </w:tblCellMar>
        </w:tblPrEx>
        <w:trPr>
          <w:trHeight w:val="360"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F425B94">
            <w:pPr>
              <w:jc w:val="left"/>
              <w:rPr>
                <w:rFonts w:ascii="宋体" w:hAnsi="宋体" w:eastAsia="宋体" w:cs="宋体"/>
                <w:color w:val="000000" w:themeColor="text1"/>
                <w:sz w:val="20"/>
                <w:szCs w:val="20"/>
                <w:highlight w:val="none"/>
                <w14:textFill>
                  <w14:solidFill>
                    <w14:schemeClr w14:val="tx1"/>
                  </w14:solidFill>
                </w14:textFill>
              </w:rPr>
            </w:pPr>
          </w:p>
        </w:tc>
        <w:tc>
          <w:tcPr>
            <w:tcW w:w="336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C008D1">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 xml:space="preserve"> 屋面及防水工程</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1F21C8">
            <w:pPr>
              <w:jc w:val="left"/>
              <w:rPr>
                <w:rFonts w:ascii="宋体" w:hAnsi="宋体" w:eastAsia="宋体" w:cs="宋体"/>
                <w:color w:val="000000" w:themeColor="text1"/>
                <w:sz w:val="20"/>
                <w:szCs w:val="20"/>
                <w:highlight w:val="none"/>
                <w14:textFill>
                  <w14:solidFill>
                    <w14:schemeClr w14:val="tx1"/>
                  </w14:solidFill>
                </w14:textFill>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5F9FB0">
            <w:pPr>
              <w:jc w:val="center"/>
              <w:rPr>
                <w:rFonts w:ascii="宋体" w:hAnsi="宋体" w:eastAsia="宋体" w:cs="宋体"/>
                <w:color w:val="000000" w:themeColor="text1"/>
                <w:sz w:val="20"/>
                <w:szCs w:val="20"/>
                <w:highlight w:val="none"/>
                <w14:textFill>
                  <w14:solidFill>
                    <w14:schemeClr w14:val="tx1"/>
                  </w14:solidFill>
                </w14:textFill>
              </w:rPr>
            </w:pPr>
          </w:p>
        </w:tc>
      </w:tr>
      <w:tr w14:paraId="39711A09">
        <w:tblPrEx>
          <w:tblCellMar>
            <w:top w:w="0" w:type="dxa"/>
            <w:left w:w="108" w:type="dxa"/>
            <w:bottom w:w="0" w:type="dxa"/>
            <w:right w:w="108" w:type="dxa"/>
          </w:tblCellMar>
        </w:tblPrEx>
        <w:trPr>
          <w:trHeight w:val="1080" w:hRule="atLeast"/>
        </w:trPr>
        <w:tc>
          <w:tcPr>
            <w:tcW w:w="45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A845458">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13</w:t>
            </w:r>
          </w:p>
        </w:tc>
        <w:tc>
          <w:tcPr>
            <w:tcW w:w="147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A49FCA">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瓦屋面</w:t>
            </w:r>
          </w:p>
        </w:tc>
        <w:tc>
          <w:tcPr>
            <w:tcW w:w="18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92F0D5">
            <w:pPr>
              <w:widowControl/>
              <w:jc w:val="left"/>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1.瓦品种、规格:彩钢瓦封边</w:t>
            </w:r>
            <w:r>
              <w:rPr>
                <w:rFonts w:hint="eastAsia" w:ascii="宋体" w:hAnsi="宋体" w:eastAsia="宋体" w:cs="宋体"/>
                <w:color w:val="000000" w:themeColor="text1"/>
                <w:kern w:val="0"/>
                <w:sz w:val="20"/>
                <w:szCs w:val="20"/>
                <w:highlight w:val="none"/>
                <w:lang w:bidi="ar"/>
                <w14:textFill>
                  <w14:solidFill>
                    <w14:schemeClr w14:val="tx1"/>
                  </w14:solidFill>
                </w14:textFill>
              </w:rPr>
              <w:br w:type="textWrapping"/>
            </w:r>
            <w:r>
              <w:rPr>
                <w:rFonts w:hint="eastAsia" w:ascii="宋体" w:hAnsi="宋体" w:eastAsia="宋体" w:cs="宋体"/>
                <w:color w:val="000000" w:themeColor="text1"/>
                <w:kern w:val="0"/>
                <w:sz w:val="20"/>
                <w:szCs w:val="20"/>
                <w:highlight w:val="none"/>
                <w:lang w:bidi="ar"/>
                <w14:textFill>
                  <w14:solidFill>
                    <w14:schemeClr w14:val="tx1"/>
                  </w14:solidFill>
                </w14:textFill>
              </w:rPr>
              <w:t>2.其他:按技术规范及设计图纸完成清单项目所需的一切相关工作</w:t>
            </w:r>
          </w:p>
        </w:tc>
        <w:tc>
          <w:tcPr>
            <w:tcW w:w="44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2DFD4F">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m2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5BA90C">
            <w:pPr>
              <w:widowControl/>
              <w:jc w:val="center"/>
              <w:textAlignment w:val="center"/>
              <w:rPr>
                <w:rFonts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bidi="ar"/>
                <w14:textFill>
                  <w14:solidFill>
                    <w14:schemeClr w14:val="tx1"/>
                  </w14:solidFill>
                </w14:textFill>
              </w:rPr>
              <w:t>1010.05</w:t>
            </w:r>
          </w:p>
        </w:tc>
      </w:tr>
    </w:tbl>
    <w:p w14:paraId="43009B98">
      <w:pPr>
        <w:spacing w:line="360" w:lineRule="auto"/>
        <w:rPr>
          <w:rFonts w:ascii="宋体" w:hAnsi="宋体" w:eastAsia="宋体" w:cs="Times New Roman"/>
          <w:bCs/>
          <w:color w:val="000000" w:themeColor="text1"/>
          <w:szCs w:val="21"/>
          <w:highlight w:val="none"/>
          <w14:textFill>
            <w14:solidFill>
              <w14:schemeClr w14:val="tx1"/>
            </w14:solidFill>
          </w14:textFill>
        </w:rPr>
      </w:pPr>
    </w:p>
    <w:p w14:paraId="095DE54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496" w:name="_Toc19477"/>
      <w:bookmarkStart w:id="497" w:name="_Toc450662892"/>
      <w:bookmarkStart w:id="498" w:name="_Toc486167707"/>
      <w:bookmarkStart w:id="499" w:name="_Toc24827"/>
      <w:bookmarkStart w:id="500" w:name="_Toc11281_WPSOffice_Level1"/>
      <w:bookmarkStart w:id="501" w:name="_Toc142508359"/>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合同条款格式</w:t>
      </w:r>
      <w:bookmarkEnd w:id="496"/>
      <w:bookmarkEnd w:id="497"/>
      <w:bookmarkEnd w:id="498"/>
      <w:bookmarkEnd w:id="499"/>
      <w:bookmarkEnd w:id="500"/>
      <w:bookmarkEnd w:id="501"/>
    </w:p>
    <w:p w14:paraId="723153BE">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69668B65">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1DFE86C6">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8850EAE">
      <w:pPr>
        <w:autoSpaceDE w:val="0"/>
        <w:autoSpaceDN w:val="0"/>
        <w:adjustRightInd w:val="0"/>
        <w:spacing w:line="360" w:lineRule="auto"/>
        <w:jc w:val="center"/>
        <w:rPr>
          <w:rFonts w:ascii="宋体" w:hAnsi="宋体" w:eastAsia="宋体" w:cs="Times New Roman"/>
          <w:b/>
          <w:color w:val="000000" w:themeColor="text1"/>
          <w:kern w:val="0"/>
          <w:sz w:val="52"/>
          <w:szCs w:val="96"/>
          <w:highlight w:val="none"/>
          <w14:textFill>
            <w14:solidFill>
              <w14:schemeClr w14:val="tx1"/>
            </w14:solidFill>
          </w14:textFill>
        </w:rPr>
      </w:pPr>
      <w:r>
        <w:rPr>
          <w:rFonts w:hint="eastAsia" w:ascii="宋体" w:hAnsi="宋体" w:eastAsia="宋体" w:cs="Times New Roman"/>
          <w:b/>
          <w:color w:val="000000" w:themeColor="text1"/>
          <w:kern w:val="0"/>
          <w:sz w:val="52"/>
          <w:szCs w:val="96"/>
          <w:highlight w:val="none"/>
          <w14:textFill>
            <w14:solidFill>
              <w14:schemeClr w14:val="tx1"/>
            </w14:solidFill>
          </w14:textFill>
        </w:rPr>
        <w:t>东莞市水务集团科技发展有限公司屋顶分布式光伏发电（一期）采购项目</w:t>
      </w:r>
    </w:p>
    <w:p w14:paraId="3390FE41">
      <w:pPr>
        <w:autoSpaceDE w:val="0"/>
        <w:autoSpaceDN w:val="0"/>
        <w:adjustRightInd w:val="0"/>
        <w:spacing w:line="360" w:lineRule="auto"/>
        <w:jc w:val="center"/>
        <w:rPr>
          <w:rFonts w:ascii="宋体" w:hAnsi="宋体" w:eastAsia="宋体" w:cs="Times New Roman"/>
          <w:bCs/>
          <w:color w:val="000000" w:themeColor="text1"/>
          <w:kern w:val="0"/>
          <w:sz w:val="52"/>
          <w:szCs w:val="52"/>
          <w:highlight w:val="none"/>
          <w14:textFill>
            <w14:solidFill>
              <w14:schemeClr w14:val="tx1"/>
            </w14:solidFill>
          </w14:textFill>
        </w:rPr>
      </w:pPr>
    </w:p>
    <w:p w14:paraId="5C76E3AC">
      <w:pPr>
        <w:autoSpaceDE w:val="0"/>
        <w:autoSpaceDN w:val="0"/>
        <w:adjustRightInd w:val="0"/>
        <w:spacing w:before="840" w:beforeLines="350" w:after="360" w:afterLines="150" w:line="360" w:lineRule="auto"/>
        <w:jc w:val="center"/>
        <w:rPr>
          <w:rFonts w:ascii="宋体" w:hAnsi="宋体" w:eastAsia="宋体" w:cs="Times New Roman"/>
          <w:b/>
          <w:bCs/>
          <w:color w:val="000000" w:themeColor="text1"/>
          <w:spacing w:val="60"/>
          <w:kern w:val="0"/>
          <w:sz w:val="52"/>
          <w:szCs w:val="52"/>
          <w:highlight w:val="none"/>
          <w14:textFill>
            <w14:solidFill>
              <w14:schemeClr w14:val="tx1"/>
            </w14:solidFill>
          </w14:textFill>
        </w:rPr>
      </w:pPr>
      <w:r>
        <w:rPr>
          <w:rFonts w:hint="eastAsia" w:ascii="宋体" w:hAnsi="宋体" w:eastAsia="宋体" w:cs="Times New Roman"/>
          <w:b/>
          <w:bCs/>
          <w:color w:val="000000" w:themeColor="text1"/>
          <w:spacing w:val="60"/>
          <w:kern w:val="0"/>
          <w:sz w:val="52"/>
          <w:szCs w:val="52"/>
          <w:highlight w:val="none"/>
          <w14:textFill>
            <w14:solidFill>
              <w14:schemeClr w14:val="tx1"/>
            </w14:solidFill>
          </w14:textFill>
        </w:rPr>
        <w:t>采购合同</w:t>
      </w:r>
    </w:p>
    <w:p w14:paraId="58091214">
      <w:pPr>
        <w:autoSpaceDE w:val="0"/>
        <w:autoSpaceDN w:val="0"/>
        <w:adjustRightInd w:val="0"/>
        <w:spacing w:line="360" w:lineRule="auto"/>
        <w:jc w:val="center"/>
        <w:rPr>
          <w:rFonts w:ascii="宋体" w:hAnsi="宋体" w:eastAsia="宋体" w:cs="Times New Roman"/>
          <w:b/>
          <w:bCs/>
          <w:color w:val="000000" w:themeColor="text1"/>
          <w:kern w:val="0"/>
          <w:sz w:val="24"/>
          <w:szCs w:val="21"/>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14:textFill>
            <w14:solidFill>
              <w14:schemeClr w14:val="tx1"/>
            </w14:solidFill>
          </w14:textFill>
        </w:rPr>
        <w:t>（合同编号：       ）</w:t>
      </w:r>
    </w:p>
    <w:p w14:paraId="6F0765E0">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09DC2FB3">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bookmarkStart w:id="502" w:name="OLE_LINK244"/>
    </w:p>
    <w:p w14:paraId="5F1E9A1A">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340ABA80">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bookmarkEnd w:id="502"/>
    <w:p w14:paraId="1AA19F49">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bookmarkStart w:id="503" w:name="OLE_LINK433"/>
      <w:r>
        <w:rPr>
          <w:rFonts w:hint="eastAsia" w:ascii="宋体" w:hAnsi="宋体" w:eastAsia="宋体" w:cs="Times New Roman"/>
          <w:b/>
          <w:bCs/>
          <w:color w:val="000000" w:themeColor="text1"/>
          <w:kern w:val="0"/>
          <w:sz w:val="28"/>
          <w:szCs w:val="28"/>
          <w:highlight w:val="none"/>
          <w:u w:val="single"/>
          <w14:textFill>
            <w14:solidFill>
              <w14:schemeClr w14:val="tx1"/>
            </w14:solidFill>
          </w14:textFill>
        </w:rPr>
        <w:t>东莞市水务集团科技发展有限公司</w:t>
      </w:r>
      <w:bookmarkEnd w:id="503"/>
      <w:r>
        <w:rPr>
          <w:rFonts w:hint="eastAsia" w:ascii="宋体" w:hAnsi="宋体" w:eastAsia="宋体" w:cs="Times New Roman"/>
          <w:b/>
          <w:bCs/>
          <w:color w:val="000000" w:themeColor="text1"/>
          <w:kern w:val="0"/>
          <w:sz w:val="28"/>
          <w:szCs w:val="28"/>
          <w:highlight w:val="none"/>
          <w:u w:val="single"/>
          <w14:textFill>
            <w14:solidFill>
              <w14:schemeClr w14:val="tx1"/>
            </w14:solidFill>
          </w14:textFill>
        </w:rPr>
        <w:t xml:space="preserve"> </w:t>
      </w:r>
      <w:r>
        <w:rPr>
          <w:rFonts w:ascii="宋体" w:hAnsi="宋体" w:eastAsia="宋体" w:cs="Times New Roman"/>
          <w:b/>
          <w:bCs/>
          <w:color w:val="000000" w:themeColor="text1"/>
          <w:kern w:val="0"/>
          <w:sz w:val="28"/>
          <w:szCs w:val="28"/>
          <w:highlight w:val="none"/>
          <w14:textFill>
            <w14:solidFill>
              <w14:schemeClr w14:val="tx1"/>
            </w14:solidFill>
          </w14:textFill>
        </w:rPr>
        <w:t xml:space="preserve"> </w:t>
      </w:r>
    </w:p>
    <w:p w14:paraId="456884BE">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55B942F7">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p>
    <w:p w14:paraId="3F4AE4AF">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签订日期：   年   月   日</w:t>
      </w:r>
    </w:p>
    <w:p w14:paraId="3733D714">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5ACEFB5F">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518E54EF">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5C5D4477">
      <w:pPr>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1187BCD">
      <w:pPr>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3521089">
      <w:pPr>
        <w:adjustRightInd w:val="0"/>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bookmarkStart w:id="504" w:name="OLE_LINK245"/>
      <w:r>
        <w:rPr>
          <w:rFonts w:hint="eastAsia" w:ascii="宋体" w:hAnsi="宋体" w:eastAsia="宋体" w:cs="宋体"/>
          <w:color w:val="000000" w:themeColor="text1"/>
          <w:szCs w:val="21"/>
          <w:highlight w:val="none"/>
          <w14:textFill>
            <w14:solidFill>
              <w14:schemeClr w14:val="tx1"/>
            </w14:solidFill>
          </w14:textFill>
        </w:rPr>
        <w:t>根据《中华人民共和国民法典》及   年   月   日通知的东莞市水务集团科技发展有限公司屋顶分布式光伏发电（一期）采购项目中标结果（招标编号：   )和招标文件的要求，经双方协商一致，签订本合同。</w:t>
      </w:r>
    </w:p>
    <w:bookmarkEnd w:id="504"/>
    <w:p w14:paraId="1E511FEE">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2942A95E">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第一条 </w:t>
      </w:r>
      <w:bookmarkStart w:id="505" w:name="OLE_LINK76"/>
      <w:r>
        <w:rPr>
          <w:rFonts w:hint="eastAsia" w:ascii="宋体" w:hAnsi="宋体" w:eastAsia="宋体" w:cs="宋体"/>
          <w:b/>
          <w:color w:val="000000" w:themeColor="text1"/>
          <w:szCs w:val="21"/>
          <w:highlight w:val="none"/>
          <w14:textFill>
            <w14:solidFill>
              <w14:schemeClr w14:val="tx1"/>
            </w14:solidFill>
          </w14:textFill>
        </w:rPr>
        <w:t>合同项目</w:t>
      </w:r>
      <w:bookmarkEnd w:id="505"/>
    </w:p>
    <w:p w14:paraId="7D684A4F">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1、项目地址：第四水厂和第六水厂综合楼、宿舍等屋顶。第四水厂地址：东莞市高埗镇高埗沿江南路150号；第六水厂地址：东莞市东城街道莞龙路东城段21号；屋顶总面积：23576.89㎡。</w:t>
      </w:r>
    </w:p>
    <w:p w14:paraId="24F7A203">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2、装机容量：4.46MWp（其中第四水厂1.86MWp，第六水厂2.6MWp）。</w:t>
      </w:r>
    </w:p>
    <w:p w14:paraId="4B0F1F23">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3、安装方式：阳光棚（包含垃圾清理、防水、配电房改造）、自发自用，余电上网。</w:t>
      </w:r>
    </w:p>
    <w:p w14:paraId="1E2A5796">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4、变压器容量：第四水厂：共10台变压器（5台主用5台备用），变压器容量共4760KVA；第六水厂：共10台变压器（5台主用5台备用），变压器容量共10600KVA。</w:t>
      </w:r>
    </w:p>
    <w:p w14:paraId="596ECF1C">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5、合</w:t>
      </w:r>
      <w:bookmarkStart w:id="506" w:name="OLE_LINK279"/>
      <w:r>
        <w:rPr>
          <w:rFonts w:hint="eastAsia" w:ascii="宋体" w:hAnsi="宋体" w:eastAsia="宋体" w:cs="宋体"/>
          <w:color w:val="000000" w:themeColor="text1"/>
          <w:szCs w:val="21"/>
          <w:highlight w:val="none"/>
          <w14:textFill>
            <w14:solidFill>
              <w14:schemeClr w14:val="tx1"/>
            </w14:solidFill>
          </w14:textFill>
        </w:rPr>
        <w:t>同货物清单：详见附件</w:t>
      </w:r>
      <w:bookmarkEnd w:id="506"/>
      <w:r>
        <w:rPr>
          <w:rFonts w:hint="eastAsia" w:ascii="宋体" w:hAnsi="宋体" w:eastAsia="宋体" w:cs="宋体"/>
          <w:color w:val="000000" w:themeColor="text1"/>
          <w:szCs w:val="21"/>
          <w:highlight w:val="none"/>
          <w14:textFill>
            <w14:solidFill>
              <w14:schemeClr w14:val="tx1"/>
            </w14:solidFill>
          </w14:textFill>
        </w:rPr>
        <w:t>1投标报价表。</w:t>
      </w:r>
    </w:p>
    <w:p w14:paraId="0B0C592A">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6、完工期要求：自合同签订之日起，</w:t>
      </w:r>
      <w:bookmarkStart w:id="507" w:name="OLE_LINK280"/>
      <w:r>
        <w:rPr>
          <w:rFonts w:hint="eastAsia" w:ascii="宋体" w:hAnsi="宋体" w:eastAsia="宋体" w:cs="宋体"/>
          <w:color w:val="000000" w:themeColor="text1"/>
          <w:szCs w:val="21"/>
          <w:highlight w:val="none"/>
          <w14:textFill>
            <w14:solidFill>
              <w14:schemeClr w14:val="tx1"/>
            </w14:solidFill>
          </w14:textFill>
        </w:rPr>
        <w:t>乙方应于</w:t>
      </w:r>
      <w:bookmarkEnd w:id="507"/>
      <w:r>
        <w:rPr>
          <w:rFonts w:hint="eastAsia" w:ascii="宋体" w:hAnsi="宋体" w:eastAsia="宋体" w:cs="宋体"/>
          <w:color w:val="000000" w:themeColor="text1"/>
          <w:szCs w:val="21"/>
          <w:highlight w:val="none"/>
          <w14:textFill>
            <w14:solidFill>
              <w14:schemeClr w14:val="tx1"/>
            </w14:solidFill>
          </w14:textFill>
        </w:rPr>
        <w:t>100日历天内完成全部服务内容（包括但不限于设计、报装、采购、安装及安装所需的一切配套施工、并网及相应安全、监控、清洗、运维设施安装至实现并网送电审批通过）。如因各方原因延误的，乙方应尽最大可能增配人员或实施条件进行赶工，保证按约定工期按质按量顺利完工。</w:t>
      </w:r>
    </w:p>
    <w:p w14:paraId="73C55AA0">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bookmarkStart w:id="508" w:name="OLE_LINK512"/>
      <w:bookmarkStart w:id="509" w:name="OLE_LINK455"/>
      <w:r>
        <w:rPr>
          <w:rFonts w:hint="eastAsia" w:ascii="宋体" w:hAnsi="宋体" w:eastAsia="宋体" w:cs="宋体"/>
          <w:color w:val="000000" w:themeColor="text1"/>
          <w:szCs w:val="21"/>
          <w:highlight w:val="none"/>
          <w14:textFill>
            <w14:solidFill>
              <w14:schemeClr w14:val="tx1"/>
            </w14:solidFill>
          </w14:textFill>
        </w:rPr>
        <w:t>运维期：1年，自项目全部并网审批通过开始正式送电之日起计算。</w:t>
      </w:r>
      <w:bookmarkEnd w:id="508"/>
    </w:p>
    <w:bookmarkEnd w:id="509"/>
    <w:p w14:paraId="75329911">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bookmarkStart w:id="510" w:name="OLE_LINK277"/>
    </w:p>
    <w:bookmarkEnd w:id="510"/>
    <w:p w14:paraId="31272593">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第二条 </w:t>
      </w:r>
      <w:bookmarkStart w:id="511" w:name="OLE_LINK77"/>
      <w:r>
        <w:rPr>
          <w:rFonts w:hint="eastAsia" w:ascii="宋体" w:hAnsi="宋体" w:eastAsia="宋体" w:cs="宋体"/>
          <w:b/>
          <w:color w:val="000000" w:themeColor="text1"/>
          <w:szCs w:val="21"/>
          <w:highlight w:val="none"/>
          <w14:textFill>
            <w14:solidFill>
              <w14:schemeClr w14:val="tx1"/>
            </w14:solidFill>
          </w14:textFill>
        </w:rPr>
        <w:t>合同价及销项税额</w:t>
      </w:r>
      <w:bookmarkEnd w:id="511"/>
    </w:p>
    <w:p w14:paraId="45D950BE">
      <w:pPr>
        <w:pStyle w:val="2"/>
        <w:tabs>
          <w:tab w:val="left" w:pos="9008"/>
        </w:tabs>
        <w:snapToGrid w:val="0"/>
        <w:spacing w:line="360" w:lineRule="auto"/>
        <w:ind w:right="0" w:firstLine="420" w:firstLineChars="200"/>
        <w:jc w:val="both"/>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l、本合同价（即销售额，不含乙方销项税额）为</w:t>
      </w:r>
      <w:r>
        <w:rPr>
          <w:rFonts w:hint="eastAsia" w:hAnsi="宋体" w:cs="宋体"/>
          <w:b w:val="0"/>
          <w:bCs w:val="0"/>
          <w:color w:val="000000" w:themeColor="text1"/>
          <w:sz w:val="21"/>
          <w:szCs w:val="21"/>
          <w:highlight w:val="none"/>
          <w:u w:val="single"/>
          <w:lang w:val="en-US"/>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元（大写人民币</w:t>
      </w:r>
      <w:r>
        <w:rPr>
          <w:rFonts w:hint="eastAsia" w:hAnsi="宋体" w:cs="宋体"/>
          <w:b w:val="0"/>
          <w:bCs w:val="0"/>
          <w:color w:val="000000" w:themeColor="text1"/>
          <w:sz w:val="21"/>
          <w:szCs w:val="21"/>
          <w:highlight w:val="none"/>
          <w:u w:val="single"/>
          <w:lang w:val="en-US"/>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），包含但不限于：（1）光伏系统的设计服务费（</w:t>
      </w:r>
      <w:r>
        <w:rPr>
          <w:rFonts w:hint="eastAsia" w:hAnsi="宋体" w:cs="宋体"/>
          <w:b w:val="0"/>
          <w:bCs w:val="0"/>
          <w:color w:val="000000" w:themeColor="text1"/>
          <w:sz w:val="21"/>
          <w:szCs w:val="21"/>
          <w:highlight w:val="none"/>
          <w:lang w:val="en-US"/>
          <w14:textFill>
            <w14:solidFill>
              <w14:schemeClr w14:val="tx1"/>
            </w14:solidFill>
          </w14:textFill>
        </w:rPr>
        <w:t>包括深化设计费用</w:t>
      </w:r>
      <w:r>
        <w:rPr>
          <w:rFonts w:hint="eastAsia" w:hAnsi="宋体" w:cs="宋体"/>
          <w:b w:val="0"/>
          <w:bCs w:val="0"/>
          <w:color w:val="000000" w:themeColor="text1"/>
          <w:sz w:val="21"/>
          <w:szCs w:val="21"/>
          <w:highlight w:val="none"/>
          <w14:textFill>
            <w14:solidFill>
              <w14:schemeClr w14:val="tx1"/>
            </w14:solidFill>
          </w14:textFill>
        </w:rPr>
        <w:t>）、货物及零配件成本费、运输费、包装费、装卸费、搬运（含二次搬运）费、保险费、安装费及安装设备所需的配件等费用、安装所需的一切配套施工费用、调试费、材料费、验收费（含验收所需的专家费、会务费、差旅费、验收材料费等）、人工费、技术培训费、技术服务（包括技术资料、图纸的提供等）、其它保障光伏系统稳定运行所必须的相关工作费用、质保期设备保修保养费等；（2）运维一年费用（含日常办公费用、巡检费、设备设施维修养护/清洗费、设备运营所需的维修及耗材费用、人员工资、员工保险、利润（管理酬金）等一切费用）；（3）供货货物及其工艺所有制造方、使用方应支付的对专有技术、商标权、专利权和版权、设计或其他知识产权而需要向其他方支付的版税；（</w:t>
      </w:r>
      <w:r>
        <w:rPr>
          <w:rFonts w:hint="eastAsia" w:hAnsi="宋体" w:cs="宋体"/>
          <w:b w:val="0"/>
          <w:bCs w:val="0"/>
          <w:color w:val="000000" w:themeColor="text1"/>
          <w:sz w:val="21"/>
          <w:szCs w:val="21"/>
          <w:highlight w:val="none"/>
          <w:lang w:val="en-US"/>
          <w14:textFill>
            <w14:solidFill>
              <w14:schemeClr w14:val="tx1"/>
            </w14:solidFill>
          </w14:textFill>
        </w:rPr>
        <w:t>4</w:t>
      </w:r>
      <w:r>
        <w:rPr>
          <w:rFonts w:hint="eastAsia" w:hAnsi="宋体" w:cs="宋体"/>
          <w:b w:val="0"/>
          <w:bCs w:val="0"/>
          <w:color w:val="000000" w:themeColor="text1"/>
          <w:sz w:val="21"/>
          <w:szCs w:val="21"/>
          <w:highlight w:val="none"/>
          <w14:textFill>
            <w14:solidFill>
              <w14:schemeClr w14:val="tx1"/>
            </w14:solidFill>
          </w14:textFill>
        </w:rPr>
        <w:t>）日常技术指导，免费的质保服务，包括但不限于免费现场质量问题处理或更换失效产品；（</w:t>
      </w:r>
      <w:r>
        <w:rPr>
          <w:rFonts w:hint="eastAsia" w:hAnsi="宋体" w:cs="宋体"/>
          <w:b w:val="0"/>
          <w:bCs w:val="0"/>
          <w:color w:val="000000" w:themeColor="text1"/>
          <w:sz w:val="21"/>
          <w:szCs w:val="21"/>
          <w:highlight w:val="none"/>
          <w:lang w:val="en-US"/>
          <w14:textFill>
            <w14:solidFill>
              <w14:schemeClr w14:val="tx1"/>
            </w14:solidFill>
          </w14:textFill>
        </w:rPr>
        <w:t>5</w:t>
      </w:r>
      <w:r>
        <w:rPr>
          <w:rFonts w:hint="eastAsia" w:hAnsi="宋体" w:cs="宋体"/>
          <w:b w:val="0"/>
          <w:bCs w:val="0"/>
          <w:color w:val="000000" w:themeColor="text1"/>
          <w:sz w:val="21"/>
          <w:szCs w:val="21"/>
          <w:highlight w:val="none"/>
          <w14:textFill>
            <w14:solidFill>
              <w14:schemeClr w14:val="tx1"/>
            </w14:solidFill>
          </w14:textFill>
        </w:rPr>
        <w:t>）合理利润、乙方销项税额以外的税费及合同实施过程中的应预见和不可预见费用等完成合同规定责任和义务、达到合同目的的一切费用等；（</w:t>
      </w:r>
      <w:r>
        <w:rPr>
          <w:rFonts w:hint="eastAsia" w:hAnsi="宋体" w:cs="宋体"/>
          <w:b w:val="0"/>
          <w:bCs w:val="0"/>
          <w:color w:val="000000" w:themeColor="text1"/>
          <w:sz w:val="21"/>
          <w:szCs w:val="21"/>
          <w:highlight w:val="none"/>
          <w:lang w:val="en-US"/>
          <w14:textFill>
            <w14:solidFill>
              <w14:schemeClr w14:val="tx1"/>
            </w14:solidFill>
          </w14:textFill>
        </w:rPr>
        <w:t>6</w:t>
      </w:r>
      <w:r>
        <w:rPr>
          <w:rFonts w:hint="eastAsia" w:hAnsi="宋体" w:cs="宋体"/>
          <w:b w:val="0"/>
          <w:bCs w:val="0"/>
          <w:color w:val="000000" w:themeColor="text1"/>
          <w:sz w:val="21"/>
          <w:szCs w:val="21"/>
          <w:highlight w:val="none"/>
          <w14:textFill>
            <w14:solidFill>
              <w14:schemeClr w14:val="tx1"/>
            </w14:solidFill>
          </w14:textFill>
        </w:rPr>
        <w:t>）法律法规、商业公认、招标文件规定由乙方承担的其他直接及间接费用。在本合同履行过程中，合同价（即销售额，不含乙方销项税额）不随法律法规政策、物价人工、工期调整而进行调整，未经甲方书面确认，乙方无权增加任何费用。若出现合同约定的销售折扣</w:t>
      </w:r>
      <w:r>
        <w:rPr>
          <w:rFonts w:hint="eastAsia" w:hAnsi="宋体" w:cs="宋体"/>
          <w:b w:val="0"/>
          <w:bCs w:val="0"/>
          <w:color w:val="000000" w:themeColor="text1"/>
          <w:sz w:val="21"/>
          <w:szCs w:val="21"/>
          <w:highlight w:val="none"/>
          <w:lang w:val="en-US"/>
          <w14:textFill>
            <w14:solidFill>
              <w14:schemeClr w14:val="tx1"/>
            </w14:solidFill>
          </w14:textFill>
        </w:rPr>
        <w:t>情</w:t>
      </w:r>
      <w:r>
        <w:rPr>
          <w:rFonts w:hint="eastAsia" w:hAnsi="宋体" w:cs="宋体"/>
          <w:b w:val="0"/>
          <w:bCs w:val="0"/>
          <w:color w:val="000000" w:themeColor="text1"/>
          <w:sz w:val="21"/>
          <w:szCs w:val="21"/>
          <w:highlight w:val="none"/>
          <w14:textFill>
            <w14:solidFill>
              <w14:schemeClr w14:val="tx1"/>
            </w14:solidFill>
          </w14:textFill>
        </w:rPr>
        <w:t>形，甲、乙双方协商一致后降低合同价。</w:t>
      </w:r>
    </w:p>
    <w:p w14:paraId="3CFB68C8">
      <w:pPr>
        <w:pStyle w:val="2"/>
        <w:tabs>
          <w:tab w:val="left" w:pos="9008"/>
        </w:tabs>
        <w:snapToGrid w:val="0"/>
        <w:spacing w:line="360" w:lineRule="auto"/>
        <w:ind w:right="0" w:firstLine="420" w:firstLineChars="200"/>
        <w:jc w:val="both"/>
        <w:rPr>
          <w:rFonts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本项目以暂定总价、固定每瓦单价总承包，根据最终容量及</w:t>
      </w:r>
      <w:bookmarkStart w:id="512" w:name="OLE_LINK456"/>
      <w:r>
        <w:rPr>
          <w:rFonts w:hint="eastAsia" w:hAnsi="宋体" w:cs="宋体"/>
          <w:b w:val="0"/>
          <w:bCs w:val="0"/>
          <w:color w:val="000000" w:themeColor="text1"/>
          <w:sz w:val="21"/>
          <w:szCs w:val="21"/>
          <w:highlight w:val="none"/>
          <w:lang w:val="en-US"/>
          <w14:textFill>
            <w14:solidFill>
              <w14:schemeClr w14:val="tx1"/>
            </w14:solidFill>
          </w14:textFill>
        </w:rPr>
        <w:t>本合同约定</w:t>
      </w:r>
      <w:bookmarkEnd w:id="512"/>
      <w:r>
        <w:rPr>
          <w:rFonts w:hint="eastAsia" w:hAnsi="宋体" w:cs="宋体"/>
          <w:b w:val="0"/>
          <w:bCs w:val="0"/>
          <w:color w:val="000000" w:themeColor="text1"/>
          <w:sz w:val="21"/>
          <w:szCs w:val="21"/>
          <w:highlight w:val="none"/>
          <w:lang w:val="en-US"/>
          <w14:textFill>
            <w14:solidFill>
              <w14:schemeClr w14:val="tx1"/>
            </w14:solidFill>
          </w14:textFill>
        </w:rPr>
        <w:t>作相应调整。中标</w:t>
      </w:r>
      <w:bookmarkStart w:id="513" w:name="OLE_LINK375"/>
      <w:r>
        <w:rPr>
          <w:rFonts w:hint="eastAsia" w:hAnsi="宋体" w:cs="宋体"/>
          <w:b w:val="0"/>
          <w:bCs w:val="0"/>
          <w:color w:val="000000" w:themeColor="text1"/>
          <w:sz w:val="21"/>
          <w:szCs w:val="21"/>
          <w:highlight w:val="none"/>
          <w:lang w:val="en-US"/>
          <w14:textFill>
            <w14:solidFill>
              <w14:schemeClr w14:val="tx1"/>
            </w14:solidFill>
          </w14:textFill>
        </w:rPr>
        <w:t>固定每瓦单价</w:t>
      </w:r>
      <w:bookmarkEnd w:id="513"/>
      <w:r>
        <w:rPr>
          <w:rFonts w:hint="eastAsia" w:hAnsi="宋体" w:cs="宋体"/>
          <w:b w:val="0"/>
          <w:bCs w:val="0"/>
          <w:color w:val="000000" w:themeColor="text1"/>
          <w:sz w:val="21"/>
          <w:szCs w:val="21"/>
          <w:highlight w:val="none"/>
          <w14:textFill>
            <w14:solidFill>
              <w14:schemeClr w14:val="tx1"/>
            </w14:solidFill>
          </w14:textFill>
        </w:rPr>
        <w:t>为</w:t>
      </w:r>
      <w:r>
        <w:rPr>
          <w:rFonts w:hint="eastAsia" w:hAnsi="宋体" w:cs="宋体"/>
          <w:b w:val="0"/>
          <w:bCs w:val="0"/>
          <w:color w:val="000000" w:themeColor="text1"/>
          <w:sz w:val="21"/>
          <w:szCs w:val="21"/>
          <w:highlight w:val="none"/>
          <w:u w:val="single"/>
          <w:lang w:val="en-US"/>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元（大写人民币</w:t>
      </w:r>
      <w:r>
        <w:rPr>
          <w:rFonts w:hint="eastAsia" w:hAnsi="宋体" w:cs="宋体"/>
          <w:b w:val="0"/>
          <w:bCs w:val="0"/>
          <w:color w:val="000000" w:themeColor="text1"/>
          <w:sz w:val="21"/>
          <w:szCs w:val="21"/>
          <w:highlight w:val="none"/>
          <w:u w:val="single"/>
          <w:lang w:val="en-US"/>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）。注：</w:t>
      </w:r>
      <w:r>
        <w:rPr>
          <w:rFonts w:hint="eastAsia" w:hAnsi="宋体" w:cs="宋体"/>
          <w:b w:val="0"/>
          <w:bCs w:val="0"/>
          <w:color w:val="000000" w:themeColor="text1"/>
          <w:sz w:val="21"/>
          <w:szCs w:val="21"/>
          <w:highlight w:val="none"/>
          <w:lang w:val="en-US"/>
          <w14:textFill>
            <w14:solidFill>
              <w14:schemeClr w14:val="tx1"/>
            </w14:solidFill>
          </w14:textFill>
        </w:rPr>
        <w:t>①经甲方书面提出或确认组件及支架安装数量变化时，按照实际装机容量结算；</w:t>
      </w:r>
      <w:r>
        <w:rPr>
          <w:rFonts w:hint="eastAsia" w:hAnsi="宋体" w:cs="宋体"/>
          <w:b w:val="0"/>
          <w:bCs w:val="0"/>
          <w:color w:val="000000" w:themeColor="text1"/>
          <w:sz w:val="21"/>
          <w:szCs w:val="21"/>
          <w:highlight w:val="none"/>
          <w14:textFill>
            <w14:solidFill>
              <w14:schemeClr w14:val="tx1"/>
            </w14:solidFill>
          </w14:textFill>
        </w:rPr>
        <w:t>在组件</w:t>
      </w:r>
      <w:bookmarkStart w:id="514" w:name="OLE_LINK457"/>
      <w:r>
        <w:rPr>
          <w:rFonts w:hint="eastAsia" w:hAnsi="宋体" w:cs="宋体"/>
          <w:b w:val="0"/>
          <w:bCs w:val="0"/>
          <w:color w:val="000000" w:themeColor="text1"/>
          <w:sz w:val="21"/>
          <w:szCs w:val="21"/>
          <w:highlight w:val="none"/>
          <w14:textFill>
            <w14:solidFill>
              <w14:schemeClr w14:val="tx1"/>
            </w14:solidFill>
          </w14:textFill>
        </w:rPr>
        <w:t>及支架安装数</w:t>
      </w:r>
      <w:bookmarkEnd w:id="514"/>
      <w:r>
        <w:rPr>
          <w:rFonts w:hint="eastAsia" w:hAnsi="宋体" w:cs="宋体"/>
          <w:b w:val="0"/>
          <w:bCs w:val="0"/>
          <w:color w:val="000000" w:themeColor="text1"/>
          <w:sz w:val="21"/>
          <w:szCs w:val="21"/>
          <w:highlight w:val="none"/>
          <w14:textFill>
            <w14:solidFill>
              <w14:schemeClr w14:val="tx1"/>
            </w14:solidFill>
          </w14:textFill>
        </w:rPr>
        <w:t>量不变的情况下，如果因单块组件容量增大导致实际装机容量增大，仍按单块组件590Wp计算总装机容量来结算总价，如组件单块容量不变，安装组件数量增</w:t>
      </w:r>
      <w:r>
        <w:rPr>
          <w:rFonts w:hint="eastAsia" w:hAnsi="宋体" w:cs="宋体"/>
          <w:b w:val="0"/>
          <w:bCs w:val="0"/>
          <w:color w:val="000000" w:themeColor="text1"/>
          <w:sz w:val="21"/>
          <w:szCs w:val="21"/>
          <w:highlight w:val="none"/>
          <w:lang w:val="en-US"/>
          <w14:textFill>
            <w14:solidFill>
              <w14:schemeClr w14:val="tx1"/>
            </w14:solidFill>
          </w14:textFill>
        </w:rPr>
        <w:t>减</w:t>
      </w:r>
      <w:r>
        <w:rPr>
          <w:rFonts w:hint="eastAsia" w:hAnsi="宋体" w:cs="宋体"/>
          <w:b w:val="0"/>
          <w:bCs w:val="0"/>
          <w:color w:val="000000" w:themeColor="text1"/>
          <w:sz w:val="21"/>
          <w:szCs w:val="21"/>
          <w:highlight w:val="none"/>
          <w14:textFill>
            <w14:solidFill>
              <w14:schemeClr w14:val="tx1"/>
            </w14:solidFill>
          </w14:textFill>
        </w:rPr>
        <w:t>，应按照实际装机容量结算。中标固定每瓦单价=中标报价总价÷装机容量（四舍五入保留小数点后3位小数），按中标固定每瓦单价×实际装机容量进行结算。②合同暂定价格仅为便于计算使用，不作为</w:t>
      </w:r>
      <w:r>
        <w:rPr>
          <w:rFonts w:hint="eastAsia" w:hAnsi="宋体" w:cs="宋体"/>
          <w:b w:val="0"/>
          <w:bCs w:val="0"/>
          <w:color w:val="000000" w:themeColor="text1"/>
          <w:sz w:val="21"/>
          <w:szCs w:val="21"/>
          <w:highlight w:val="none"/>
          <w:lang w:val="en-US"/>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最终采购实施数量的保证。</w:t>
      </w:r>
      <w:r>
        <w:rPr>
          <w:rFonts w:hint="eastAsia" w:hAnsi="宋体" w:cs="宋体"/>
          <w:b w:val="0"/>
          <w:bCs w:val="0"/>
          <w:color w:val="000000" w:themeColor="text1"/>
          <w:sz w:val="21"/>
          <w:szCs w:val="21"/>
          <w:highlight w:val="none"/>
          <w:lang w:val="en-US"/>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的实际需求数量以实际装机容量为准，按实结算。在履行期内，</w:t>
      </w:r>
      <w:r>
        <w:rPr>
          <w:rFonts w:hint="eastAsia" w:hAnsi="宋体" w:cs="宋体"/>
          <w:b w:val="0"/>
          <w:bCs w:val="0"/>
          <w:color w:val="000000" w:themeColor="text1"/>
          <w:sz w:val="21"/>
          <w:szCs w:val="21"/>
          <w:highlight w:val="none"/>
          <w:lang w:val="en-US"/>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不得因</w:t>
      </w:r>
      <w:r>
        <w:rPr>
          <w:rFonts w:hint="eastAsia" w:hAnsi="宋体" w:cs="宋体"/>
          <w:b w:val="0"/>
          <w:bCs w:val="0"/>
          <w:color w:val="000000" w:themeColor="text1"/>
          <w:sz w:val="21"/>
          <w:szCs w:val="21"/>
          <w:highlight w:val="none"/>
          <w:lang w:val="en-US"/>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实际采购实施数量的减少或增加而要求</w:t>
      </w:r>
      <w:r>
        <w:rPr>
          <w:rFonts w:hint="eastAsia" w:hAnsi="宋体" w:cs="宋体"/>
          <w:b w:val="0"/>
          <w:bCs w:val="0"/>
          <w:color w:val="000000" w:themeColor="text1"/>
          <w:sz w:val="21"/>
          <w:szCs w:val="21"/>
          <w:highlight w:val="none"/>
          <w:lang w:val="en-US"/>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作出任何形式的补偿或赔偿，或要求</w:t>
      </w:r>
      <w:r>
        <w:rPr>
          <w:rFonts w:hint="eastAsia" w:hAnsi="宋体" w:cs="宋体"/>
          <w:b w:val="0"/>
          <w:bCs w:val="0"/>
          <w:color w:val="000000" w:themeColor="text1"/>
          <w:sz w:val="21"/>
          <w:szCs w:val="21"/>
          <w:highlight w:val="none"/>
          <w:lang w:val="en-US"/>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按暂定数量采购相应货物。</w:t>
      </w:r>
    </w:p>
    <w:p w14:paraId="13EF9FBE">
      <w:pPr>
        <w:pStyle w:val="2"/>
        <w:tabs>
          <w:tab w:val="left" w:pos="2766"/>
          <w:tab w:val="left" w:pos="5888"/>
          <w:tab w:val="left" w:pos="8696"/>
          <w:tab w:val="left" w:pos="9074"/>
        </w:tabs>
        <w:snapToGrid w:val="0"/>
        <w:spacing w:line="360" w:lineRule="auto"/>
        <w:ind w:right="0" w:firstLine="420" w:firstLineChars="200"/>
        <w:jc w:val="both"/>
        <w:rPr>
          <w:rFonts w:hAnsi="宋体" w:cs="宋体"/>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2、依法计得并根据本合同约定确定的销项税额由甲方承担。根据《中华人民共和国增值税暂行条例》（国务院令第691号修订版）及当前税务部门的相关规定，本合同项目的增值税税率为</w:t>
      </w:r>
      <w:r>
        <w:rPr>
          <w:rFonts w:hint="eastAsia" w:hAnsi="宋体" w:cs="宋体"/>
          <w:b w:val="0"/>
          <w:bCs w:val="0"/>
          <w:color w:val="000000" w:themeColor="text1"/>
          <w:sz w:val="21"/>
          <w:szCs w:val="21"/>
          <w:highlight w:val="none"/>
          <w:u w:val="single"/>
          <w:lang w:val="en-US"/>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，对应的销项税额为</w:t>
      </w:r>
      <w:r>
        <w:rPr>
          <w:rFonts w:hint="eastAsia" w:hAnsi="宋体" w:cs="宋体"/>
          <w:b w:val="0"/>
          <w:bCs w:val="0"/>
          <w:color w:val="000000" w:themeColor="text1"/>
          <w:sz w:val="21"/>
          <w:szCs w:val="21"/>
          <w:highlight w:val="none"/>
          <w:u w:val="single"/>
          <w:lang w:val="en-US"/>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元（大写人民币</w:t>
      </w:r>
      <w:r>
        <w:rPr>
          <w:rFonts w:hint="eastAsia" w:hAnsi="宋体" w:cs="宋体"/>
          <w:b w:val="0"/>
          <w:bCs w:val="0"/>
          <w:color w:val="000000" w:themeColor="text1"/>
          <w:sz w:val="21"/>
          <w:szCs w:val="21"/>
          <w:highlight w:val="none"/>
          <w:u w:val="single"/>
          <w:lang w:val="en-US"/>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在本合同履行过程中，税收政策变动导致增值税税率调整，依法应调整销项税额的，依法调整；但因乙方未按合同约定工期完工、未根据合同约定提供合法、完整的请款资料、项目验收不合格导致的返工或退货、项目验收合格前的非正常损耗等原因导致销项税额增加的，相应损失由乙方承担。</w:t>
      </w:r>
    </w:p>
    <w:p w14:paraId="6AD002C1">
      <w:pPr>
        <w:pStyle w:val="2"/>
        <w:snapToGrid w:val="0"/>
        <w:spacing w:line="360" w:lineRule="auto"/>
        <w:ind w:right="0" w:firstLine="420" w:firstLineChars="200"/>
        <w:jc w:val="both"/>
        <w:rPr>
          <w:rFonts w:hAnsi="宋体" w:cs="宋体"/>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因</w:t>
      </w:r>
      <w:r>
        <w:rPr>
          <w:rFonts w:hint="eastAsia" w:hAnsi="宋体" w:cs="宋体"/>
          <w:b w:val="0"/>
          <w:bCs w:val="0"/>
          <w:color w:val="000000" w:themeColor="text1"/>
          <w:sz w:val="21"/>
          <w:szCs w:val="21"/>
          <w:highlight w:val="none"/>
          <w14:textFill>
            <w14:solidFill>
              <w14:schemeClr w14:val="tx1"/>
            </w14:solidFill>
          </w14:textFill>
        </w:rPr>
        <w:t>乙方未按法定税率计算税额或未根据本合同约定出具对应税额的增值税专用发票等乙方原因导致甲方多支付税额的，乙方必须退还甲方，给甲方造成损失的，乙方须向甲方赔偿相应损失。</w:t>
      </w:r>
    </w:p>
    <w:p w14:paraId="490691EF">
      <w:pPr>
        <w:pStyle w:val="2"/>
        <w:numPr>
          <w:ilvl w:val="0"/>
          <w:numId w:val="3"/>
        </w:numPr>
        <w:tabs>
          <w:tab w:val="left" w:pos="3331"/>
          <w:tab w:val="left" w:pos="6460"/>
        </w:tabs>
        <w:snapToGrid w:val="0"/>
        <w:spacing w:line="360" w:lineRule="auto"/>
        <w:ind w:right="0" w:firstLine="420" w:firstLineChars="200"/>
        <w:jc w:val="both"/>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合同价税合计为</w:t>
      </w:r>
      <w:r>
        <w:rPr>
          <w:rFonts w:hint="eastAsia" w:hAnsi="宋体" w:cs="宋体"/>
          <w:b w:val="0"/>
          <w:bCs w:val="0"/>
          <w:color w:val="000000" w:themeColor="text1"/>
          <w:sz w:val="21"/>
          <w:szCs w:val="21"/>
          <w:highlight w:val="none"/>
          <w:u w:val="single"/>
          <w:lang w:val="en-US"/>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元（大写人民币</w:t>
      </w:r>
      <w:r>
        <w:rPr>
          <w:rFonts w:hint="eastAsia" w:hAnsi="宋体" w:cs="宋体"/>
          <w:b w:val="0"/>
          <w:bCs w:val="0"/>
          <w:color w:val="000000" w:themeColor="text1"/>
          <w:sz w:val="21"/>
          <w:szCs w:val="21"/>
          <w:highlight w:val="none"/>
          <w:u w:val="single"/>
          <w:lang w:val="en-US"/>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），合同履行期间根据本条第2项规定调整销项税额的，结算合同价税合计对应调整。</w:t>
      </w:r>
    </w:p>
    <w:p w14:paraId="1C19665A">
      <w:pPr>
        <w:pStyle w:val="22"/>
        <w:tabs>
          <w:tab w:val="left" w:pos="0"/>
        </w:tabs>
        <w:adjustRightInd w:val="0"/>
        <w:spacing w:line="360" w:lineRule="auto"/>
        <w:ind w:firstLine="420"/>
        <w:textAlignment w:val="baseline"/>
        <w:rPr>
          <w:rFonts w:hAnsi="宋体" w:cs="宋体"/>
          <w:color w:val="000000" w:themeColor="text1"/>
          <w:szCs w:val="21"/>
          <w:highlight w:val="none"/>
          <w14:textFill>
            <w14:solidFill>
              <w14:schemeClr w14:val="tx1"/>
            </w14:solidFill>
          </w14:textFill>
        </w:rPr>
      </w:pPr>
    </w:p>
    <w:p w14:paraId="15784D16">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bookmarkStart w:id="515" w:name="OLE_LINK248"/>
      <w:r>
        <w:rPr>
          <w:rFonts w:hint="eastAsia" w:ascii="宋体" w:hAnsi="宋体" w:eastAsia="宋体" w:cs="宋体"/>
          <w:b/>
          <w:color w:val="000000" w:themeColor="text1"/>
          <w:szCs w:val="21"/>
          <w:highlight w:val="none"/>
          <w14:textFill>
            <w14:solidFill>
              <w14:schemeClr w14:val="tx1"/>
            </w14:solidFill>
          </w14:textFill>
        </w:rPr>
        <w:t xml:space="preserve">第三条 </w:t>
      </w:r>
      <w:bookmarkStart w:id="516" w:name="OLE_LINK78"/>
      <w:r>
        <w:rPr>
          <w:rFonts w:hint="eastAsia" w:ascii="宋体" w:hAnsi="宋体" w:eastAsia="宋体" w:cs="宋体"/>
          <w:b/>
          <w:color w:val="000000" w:themeColor="text1"/>
          <w:szCs w:val="21"/>
          <w:highlight w:val="none"/>
          <w14:textFill>
            <w14:solidFill>
              <w14:schemeClr w14:val="tx1"/>
            </w14:solidFill>
          </w14:textFill>
        </w:rPr>
        <w:t>付款方式</w:t>
      </w:r>
      <w:bookmarkEnd w:id="516"/>
    </w:p>
    <w:bookmarkEnd w:id="515"/>
    <w:p w14:paraId="4331F5EC">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1</w:t>
      </w:r>
      <w:r>
        <w:rPr>
          <w:rFonts w:hint="eastAsia" w:hAnsi="宋体" w:cs="宋体"/>
          <w:b w:val="0"/>
          <w:bCs w:val="0"/>
          <w:color w:val="000000" w:themeColor="text1"/>
          <w:sz w:val="21"/>
          <w:szCs w:val="21"/>
          <w:highlight w:val="none"/>
          <w14:textFill>
            <w14:solidFill>
              <w14:schemeClr w14:val="tx1"/>
            </w14:solidFill>
          </w14:textFill>
        </w:rPr>
        <w:t>、合同的履约过程中，乙方根据本合同约定需向甲方支付违约金、赔偿金、或其他应付费用等款项的，乙方必须先向甲方支付相关款项后，</w:t>
      </w:r>
      <w:r>
        <w:rPr>
          <w:rFonts w:hint="eastAsia" w:hAnsi="宋体" w:cs="宋体"/>
          <w:b w:val="0"/>
          <w:bCs w:val="0"/>
          <w:color w:val="000000" w:themeColor="text1"/>
          <w:sz w:val="21"/>
          <w:szCs w:val="21"/>
          <w:highlight w:val="none"/>
          <w:lang w:val="en-US"/>
          <w14:textFill>
            <w14:solidFill>
              <w14:schemeClr w14:val="tx1"/>
            </w14:solidFill>
          </w14:textFill>
        </w:rPr>
        <w:t>甲</w:t>
      </w:r>
      <w:r>
        <w:rPr>
          <w:rFonts w:hint="eastAsia" w:hAnsi="宋体" w:cs="宋体"/>
          <w:b w:val="0"/>
          <w:bCs w:val="0"/>
          <w:color w:val="000000" w:themeColor="text1"/>
          <w:sz w:val="21"/>
          <w:szCs w:val="21"/>
          <w:highlight w:val="none"/>
          <w14:textFill>
            <w14:solidFill>
              <w14:schemeClr w14:val="tx1"/>
            </w14:solidFill>
          </w14:textFill>
        </w:rPr>
        <w:t>方才根据本合同向乙方支付合同价和税额。若因乙方未能支付前述费用，影响项目实施的，</w:t>
      </w:r>
      <w:r>
        <w:rPr>
          <w:rFonts w:hint="eastAsia" w:hAnsi="宋体" w:cs="宋体"/>
          <w:b w:val="0"/>
          <w:bCs w:val="0"/>
          <w:color w:val="000000" w:themeColor="text1"/>
          <w:sz w:val="21"/>
          <w:szCs w:val="21"/>
          <w:highlight w:val="none"/>
          <w:lang w:val="en-US"/>
          <w14:textFill>
            <w14:solidFill>
              <w14:schemeClr w14:val="tx1"/>
            </w14:solidFill>
          </w14:textFill>
        </w:rPr>
        <w:t>甲</w:t>
      </w:r>
      <w:r>
        <w:rPr>
          <w:rFonts w:hint="eastAsia" w:hAnsi="宋体" w:cs="宋体"/>
          <w:b w:val="0"/>
          <w:bCs w:val="0"/>
          <w:color w:val="000000" w:themeColor="text1"/>
          <w:sz w:val="21"/>
          <w:szCs w:val="21"/>
          <w:highlight w:val="none"/>
          <w14:textFill>
            <w14:solidFill>
              <w14:schemeClr w14:val="tx1"/>
            </w14:solidFill>
          </w14:textFill>
        </w:rPr>
        <w:t>方有权启用履约担保或直接从未付合同款项、质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保证金中直接扣除，</w:t>
      </w:r>
      <w:r>
        <w:rPr>
          <w:rFonts w:hint="eastAsia" w:hAnsi="宋体" w:cs="宋体"/>
          <w:b w:val="0"/>
          <w:bCs w:val="0"/>
          <w:color w:val="000000" w:themeColor="text1"/>
          <w:sz w:val="21"/>
          <w:szCs w:val="21"/>
          <w:highlight w:val="none"/>
          <w:lang w:val="en-US"/>
          <w14:textFill>
            <w14:solidFill>
              <w14:schemeClr w14:val="tx1"/>
            </w14:solidFill>
          </w14:textFill>
        </w:rPr>
        <w:t>且</w:t>
      </w:r>
      <w:r>
        <w:rPr>
          <w:rFonts w:hint="eastAsia" w:hAnsi="宋体" w:cs="宋体"/>
          <w:b w:val="0"/>
          <w:bCs w:val="0"/>
          <w:color w:val="000000" w:themeColor="text1"/>
          <w:sz w:val="21"/>
          <w:szCs w:val="21"/>
          <w:highlight w:val="none"/>
          <w14:textFill>
            <w14:solidFill>
              <w14:schemeClr w14:val="tx1"/>
            </w14:solidFill>
          </w14:textFill>
        </w:rPr>
        <w:t>乙方必须按照扣除前述费用前的合同价（销售额）开具增值税专用发票，保证增值税税额符合法律规定。</w:t>
      </w:r>
    </w:p>
    <w:p w14:paraId="6EB429A9">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2、</w:t>
      </w:r>
      <w:r>
        <w:rPr>
          <w:rFonts w:hint="eastAsia" w:hAnsi="宋体" w:cs="宋体"/>
          <w:b w:val="0"/>
          <w:bCs w:val="0"/>
          <w:color w:val="000000" w:themeColor="text1"/>
          <w:sz w:val="21"/>
          <w:szCs w:val="21"/>
          <w:highlight w:val="none"/>
          <w14:textFill>
            <w14:solidFill>
              <w14:schemeClr w14:val="tx1"/>
            </w14:solidFill>
          </w14:textFill>
        </w:rPr>
        <w:t>本项目的</w:t>
      </w:r>
      <w:r>
        <w:rPr>
          <w:rFonts w:hint="eastAsia" w:hAnsi="宋体" w:cs="宋体"/>
          <w:b w:val="0"/>
          <w:bCs w:val="0"/>
          <w:color w:val="000000" w:themeColor="text1"/>
          <w:sz w:val="21"/>
          <w:szCs w:val="21"/>
          <w:highlight w:val="none"/>
          <w:lang w:val="en-US"/>
          <w14:textFill>
            <w14:solidFill>
              <w14:schemeClr w14:val="tx1"/>
            </w14:solidFill>
          </w14:textFill>
        </w:rPr>
        <w:t>合同价</w:t>
      </w:r>
      <w:r>
        <w:rPr>
          <w:rFonts w:hint="eastAsia" w:hAnsi="宋体" w:cs="宋体"/>
          <w:b w:val="0"/>
          <w:bCs w:val="0"/>
          <w:color w:val="000000" w:themeColor="text1"/>
          <w:sz w:val="21"/>
          <w:szCs w:val="21"/>
          <w:highlight w:val="none"/>
          <w14:textFill>
            <w14:solidFill>
              <w14:schemeClr w14:val="tx1"/>
            </w14:solidFill>
          </w14:textFill>
        </w:rPr>
        <w:t>为</w:t>
      </w:r>
      <w:r>
        <w:rPr>
          <w:rFonts w:hint="eastAsia" w:hAnsi="宋体" w:cs="宋体"/>
          <w:b w:val="0"/>
          <w:bCs w:val="0"/>
          <w:color w:val="000000" w:themeColor="text1"/>
          <w:sz w:val="21"/>
          <w:szCs w:val="21"/>
          <w:highlight w:val="none"/>
          <w:lang w:val="en-US"/>
          <w14:textFill>
            <w14:solidFill>
              <w14:schemeClr w14:val="tx1"/>
            </w14:solidFill>
          </w14:textFill>
        </w:rPr>
        <w:t>固定单价</w:t>
      </w:r>
      <w:r>
        <w:rPr>
          <w:rFonts w:hint="eastAsia" w:hAnsi="宋体" w:cs="宋体"/>
          <w:b w:val="0"/>
          <w:bCs w:val="0"/>
          <w:color w:val="000000" w:themeColor="text1"/>
          <w:sz w:val="21"/>
          <w:szCs w:val="21"/>
          <w:highlight w:val="none"/>
          <w14:textFill>
            <w14:solidFill>
              <w14:schemeClr w14:val="tx1"/>
            </w14:solidFill>
          </w14:textFill>
        </w:rPr>
        <w:t>包干，未经甲方书面确认，乙方无权另行收取其它任何费用。</w:t>
      </w:r>
    </w:p>
    <w:p w14:paraId="10AF2AD0">
      <w:pPr>
        <w:pStyle w:val="2"/>
        <w:snapToGrid w:val="0"/>
        <w:spacing w:line="360" w:lineRule="auto"/>
        <w:ind w:right="0" w:firstLine="420" w:firstLineChars="200"/>
        <w:jc w:val="left"/>
        <w:rPr>
          <w:rFonts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3、付款方式：</w:t>
      </w:r>
    </w:p>
    <w:p w14:paraId="2B0A2F20">
      <w:pPr>
        <w:pStyle w:val="2"/>
        <w:snapToGrid w:val="0"/>
        <w:spacing w:line="360" w:lineRule="auto"/>
        <w:ind w:right="0" w:firstLine="420" w:firstLineChars="200"/>
        <w:jc w:val="left"/>
        <w:rPr>
          <w:rFonts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（1）第一次付款：签订合同后15天内，支付暂定合同金额的30%；</w:t>
      </w:r>
    </w:p>
    <w:p w14:paraId="40BEB5FE">
      <w:pPr>
        <w:pStyle w:val="2"/>
        <w:snapToGrid w:val="0"/>
        <w:spacing w:line="360" w:lineRule="auto"/>
        <w:ind w:right="0" w:firstLine="420" w:firstLineChars="200"/>
        <w:jc w:val="left"/>
        <w:rPr>
          <w:rFonts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2）第二次付款：办理完成项目相关的报批、报建、报装申报手续及施工所需许可、证件、批件，包括但不限于办理施工许可证（或临时施工许可或夜间施工）、报监手续、余泥排放证、排水手续、排水接驳、排水许可证等及交纳散装水泥专项资金等工作，完成监控系统（甲方负责人指定位置）安装并投运。提交全套合同约定的施工图设计文件、工程的主设备（组件、逆变器）全部进场并交接验收合格后，甲方向乙方支付至暂定合同金额的70%；</w:t>
      </w:r>
    </w:p>
    <w:p w14:paraId="6F58A32B">
      <w:pPr>
        <w:pStyle w:val="2"/>
        <w:snapToGrid w:val="0"/>
        <w:spacing w:line="360" w:lineRule="auto"/>
        <w:ind w:right="0" w:firstLine="420" w:firstLineChars="200"/>
        <w:jc w:val="left"/>
        <w:rPr>
          <w:rFonts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（4）第三次付款：项目现场安装施工完毕初步验收合格并经相关部门验收并网送电后，甲方向乙方支付至暂定合同金额的80%。</w:t>
      </w:r>
    </w:p>
    <w:p w14:paraId="367896EB">
      <w:pPr>
        <w:pStyle w:val="2"/>
        <w:snapToGrid w:val="0"/>
        <w:spacing w:line="360" w:lineRule="auto"/>
        <w:ind w:right="0" w:firstLine="420" w:firstLineChars="200"/>
        <w:jc w:val="left"/>
        <w:rPr>
          <w:rFonts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（5）第四次付款：本项目</w:t>
      </w:r>
      <w:bookmarkStart w:id="517" w:name="OLE_LINK481"/>
      <w:r>
        <w:rPr>
          <w:rFonts w:hint="eastAsia" w:hAnsi="宋体" w:cs="宋体"/>
          <w:b w:val="0"/>
          <w:bCs w:val="0"/>
          <w:color w:val="000000" w:themeColor="text1"/>
          <w:sz w:val="21"/>
          <w:szCs w:val="21"/>
          <w:highlight w:val="none"/>
          <w:lang w:val="en-US"/>
          <w14:textFill>
            <w14:solidFill>
              <w14:schemeClr w14:val="tx1"/>
            </w14:solidFill>
          </w14:textFill>
        </w:rPr>
        <w:t>验收并网送电</w:t>
      </w:r>
      <w:bookmarkEnd w:id="517"/>
      <w:bookmarkStart w:id="518" w:name="OLE_LINK463"/>
      <w:r>
        <w:rPr>
          <w:rFonts w:hint="eastAsia" w:hAnsi="宋体" w:cs="宋体"/>
          <w:b w:val="0"/>
          <w:bCs w:val="0"/>
          <w:color w:val="000000" w:themeColor="text1"/>
          <w:sz w:val="21"/>
          <w:szCs w:val="21"/>
          <w:highlight w:val="none"/>
          <w:lang w:val="en-US"/>
          <w14:textFill>
            <w14:solidFill>
              <w14:schemeClr w14:val="tx1"/>
            </w14:solidFill>
          </w14:textFill>
        </w:rPr>
        <w:t>后</w:t>
      </w:r>
      <w:bookmarkEnd w:id="518"/>
      <w:r>
        <w:rPr>
          <w:rFonts w:hint="eastAsia" w:hAnsi="宋体" w:cs="宋体"/>
          <w:b w:val="0"/>
          <w:bCs w:val="0"/>
          <w:color w:val="000000" w:themeColor="text1"/>
          <w:sz w:val="21"/>
          <w:szCs w:val="21"/>
          <w:highlight w:val="none"/>
          <w:lang w:val="en-US"/>
          <w14:textFill>
            <w14:solidFill>
              <w14:schemeClr w14:val="tx1"/>
            </w14:solidFill>
          </w14:textFill>
        </w:rPr>
        <w:t>递交全套竣工图设计文件及项目资料，经甲方最终验收合格确认后，甲方向乙方支付至合同总结算金额的90%；</w:t>
      </w:r>
    </w:p>
    <w:p w14:paraId="4B42773C">
      <w:pPr>
        <w:pStyle w:val="2"/>
        <w:snapToGrid w:val="0"/>
        <w:spacing w:line="360" w:lineRule="auto"/>
        <w:ind w:right="0" w:firstLine="420" w:firstLineChars="200"/>
        <w:jc w:val="left"/>
        <w:rPr>
          <w:rFonts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（6）第五次付款：1年运维期结束后支付至合同总结算金额的97%，剩余合同总结算金额的3%为质保金。</w:t>
      </w:r>
    </w:p>
    <w:p w14:paraId="4FE505AC">
      <w:pPr>
        <w:pStyle w:val="2"/>
        <w:snapToGrid w:val="0"/>
        <w:spacing w:line="360" w:lineRule="auto"/>
        <w:ind w:right="0" w:firstLine="420" w:firstLineChars="200"/>
        <w:jc w:val="left"/>
        <w:rPr>
          <w:rFonts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注：结算价款的( 3% )留作质量保修金。在乙方按本项目合同约定履行质量保修义务的前提下，甲方于项目整体最终验收合格之日起届满二年且收到乙方提交的质量保修保函之后，甲方将剩余的质量保修金无息退还给乙方。如乙方未按本项目合同约定履行质量保修义务的，甲方有权不予或推迟向乙方退还质量保修金。甲方向乙方退还质量保修金前，乙方须向甲方提交担保金额为质量保修金同等金额的无条件、见索即付、不可撤销</w:t>
      </w:r>
      <w:bookmarkStart w:id="519" w:name="OLE_LINK282"/>
      <w:r>
        <w:rPr>
          <w:rFonts w:hint="eastAsia" w:hAnsi="宋体" w:cs="宋体"/>
          <w:b w:val="0"/>
          <w:bCs w:val="0"/>
          <w:color w:val="000000" w:themeColor="text1"/>
          <w:sz w:val="21"/>
          <w:szCs w:val="21"/>
          <w:highlight w:val="none"/>
          <w:lang w:val="en-US"/>
          <w14:textFill>
            <w14:solidFill>
              <w14:schemeClr w14:val="tx1"/>
            </w14:solidFill>
          </w14:textFill>
        </w:rPr>
        <w:t>质量保修</w:t>
      </w:r>
      <w:bookmarkEnd w:id="519"/>
      <w:r>
        <w:rPr>
          <w:rFonts w:hint="eastAsia" w:hAnsi="宋体" w:cs="宋体"/>
          <w:b w:val="0"/>
          <w:bCs w:val="0"/>
          <w:color w:val="000000" w:themeColor="text1"/>
          <w:sz w:val="21"/>
          <w:szCs w:val="21"/>
          <w:highlight w:val="none"/>
          <w:lang w:val="en-US"/>
          <w14:textFill>
            <w14:solidFill>
              <w14:schemeClr w14:val="tx1"/>
            </w14:solidFill>
          </w14:textFill>
        </w:rPr>
        <w:t>保函。质量保修保函的有效期为项目整体最终验收合格届满二年之日起 1 年。</w:t>
      </w:r>
    </w:p>
    <w:p w14:paraId="20177F43">
      <w:pPr>
        <w:pStyle w:val="2"/>
        <w:snapToGrid w:val="0"/>
        <w:spacing w:line="360" w:lineRule="auto"/>
        <w:ind w:right="0" w:firstLine="420" w:firstLineChars="200"/>
        <w:jc w:val="both"/>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4</w:t>
      </w:r>
      <w:r>
        <w:rPr>
          <w:rFonts w:hint="eastAsia" w:hAnsi="宋体" w:cs="宋体"/>
          <w:b w:val="0"/>
          <w:bCs w:val="0"/>
          <w:color w:val="000000" w:themeColor="text1"/>
          <w:sz w:val="21"/>
          <w:szCs w:val="21"/>
          <w:highlight w:val="none"/>
          <w14:textFill>
            <w14:solidFill>
              <w14:schemeClr w14:val="tx1"/>
            </w14:solidFill>
          </w14:textFill>
        </w:rPr>
        <w:t>、</w:t>
      </w:r>
      <w:r>
        <w:rPr>
          <w:rFonts w:hint="eastAsia" w:hAnsi="宋体" w:cs="宋体"/>
          <w:b w:val="0"/>
          <w:bCs w:val="0"/>
          <w:color w:val="000000" w:themeColor="text1"/>
          <w:sz w:val="21"/>
          <w:szCs w:val="21"/>
          <w:highlight w:val="none"/>
          <w:lang w:val="en-US"/>
          <w14:textFill>
            <w14:solidFill>
              <w14:schemeClr w14:val="tx1"/>
            </w14:solidFill>
          </w14:textFill>
        </w:rPr>
        <w:t>乙方</w:t>
      </w:r>
      <w:r>
        <w:rPr>
          <w:rFonts w:hint="eastAsia" w:hAnsi="宋体" w:cs="宋体"/>
          <w:b w:val="0"/>
          <w:bCs w:val="0"/>
          <w:color w:val="000000" w:themeColor="text1"/>
          <w:sz w:val="21"/>
          <w:szCs w:val="21"/>
          <w:highlight w:val="none"/>
          <w14:textFill>
            <w14:solidFill>
              <w14:schemeClr w14:val="tx1"/>
            </w14:solidFill>
          </w14:textFill>
        </w:rPr>
        <w:t>按</w:t>
      </w:r>
      <w:r>
        <w:rPr>
          <w:rFonts w:hint="eastAsia" w:hAnsi="宋体" w:cs="宋体"/>
          <w:b w:val="0"/>
          <w:bCs w:val="0"/>
          <w:color w:val="000000" w:themeColor="text1"/>
          <w:sz w:val="21"/>
          <w:szCs w:val="21"/>
          <w:highlight w:val="none"/>
          <w:lang w:val="en-US"/>
          <w14:textFill>
            <w14:solidFill>
              <w14:schemeClr w14:val="tx1"/>
            </w14:solidFill>
          </w14:textFill>
        </w:rPr>
        <w:t>要求</w:t>
      </w:r>
      <w:r>
        <w:rPr>
          <w:rFonts w:hint="eastAsia" w:hAnsi="宋体" w:cs="宋体"/>
          <w:b w:val="0"/>
          <w:bCs w:val="0"/>
          <w:color w:val="000000" w:themeColor="text1"/>
          <w:sz w:val="21"/>
          <w:szCs w:val="21"/>
          <w:highlight w:val="none"/>
          <w14:textFill>
            <w14:solidFill>
              <w14:schemeClr w14:val="tx1"/>
            </w14:solidFill>
          </w14:textFill>
        </w:rPr>
        <w:t>提供甲方增值税专用发票、请款报告等请款资料，未按要求开发票的将无法支付</w:t>
      </w:r>
      <w:r>
        <w:rPr>
          <w:rFonts w:hint="eastAsia" w:hAnsi="宋体" w:cs="宋体"/>
          <w:b w:val="0"/>
          <w:bCs w:val="0"/>
          <w:color w:val="000000" w:themeColor="text1"/>
          <w:sz w:val="21"/>
          <w:szCs w:val="21"/>
          <w:highlight w:val="none"/>
          <w:lang w:val="en-US"/>
          <w14:textFill>
            <w14:solidFill>
              <w14:schemeClr w14:val="tx1"/>
            </w14:solidFill>
          </w14:textFill>
        </w:rPr>
        <w:t>款项</w:t>
      </w:r>
      <w:r>
        <w:rPr>
          <w:rFonts w:hint="eastAsia" w:hAnsi="宋体" w:cs="宋体"/>
          <w:b w:val="0"/>
          <w:bCs w:val="0"/>
          <w:color w:val="000000" w:themeColor="text1"/>
          <w:sz w:val="21"/>
          <w:szCs w:val="21"/>
          <w:highlight w:val="none"/>
          <w14:textFill>
            <w14:solidFill>
              <w14:schemeClr w14:val="tx1"/>
            </w14:solidFill>
          </w14:textFill>
        </w:rPr>
        <w:t>。</w:t>
      </w:r>
    </w:p>
    <w:p w14:paraId="4079F6C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5、甲方开票信息及甲乙双方银行账户</w:t>
      </w:r>
    </w:p>
    <w:p w14:paraId="21FCBDB5">
      <w:pPr>
        <w:tabs>
          <w:tab w:val="left" w:pos="1080"/>
        </w:tabs>
        <w:spacing w:line="360" w:lineRule="auto"/>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（1）甲方开票信息及银行账户</w:t>
      </w:r>
    </w:p>
    <w:p w14:paraId="78068FEF">
      <w:pPr>
        <w:snapToGrid w:val="0"/>
        <w:spacing w:line="360" w:lineRule="auto"/>
        <w:ind w:firstLine="1050" w:firstLineChars="5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p w14:paraId="2ECCB318">
      <w:pPr>
        <w:snapToGrid w:val="0"/>
        <w:spacing w:line="360" w:lineRule="auto"/>
        <w:ind w:firstLine="1050" w:firstLineChars="5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银行账号：</w:t>
      </w:r>
    </w:p>
    <w:p w14:paraId="7DFF6F84">
      <w:pPr>
        <w:snapToGrid w:val="0"/>
        <w:spacing w:line="360" w:lineRule="auto"/>
        <w:ind w:firstLine="1050" w:firstLineChars="5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p w14:paraId="4B6605F3">
      <w:pPr>
        <w:tabs>
          <w:tab w:val="left" w:pos="1080"/>
        </w:tabs>
        <w:spacing w:line="360" w:lineRule="auto"/>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（2）乙方确认的银行账户</w:t>
      </w:r>
    </w:p>
    <w:p w14:paraId="23FF23CE">
      <w:pPr>
        <w:snapToGrid w:val="0"/>
        <w:spacing w:line="360" w:lineRule="auto"/>
        <w:ind w:firstLine="1050" w:firstLineChars="5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p w14:paraId="0E0D583A">
      <w:pPr>
        <w:snapToGrid w:val="0"/>
        <w:spacing w:line="360" w:lineRule="auto"/>
        <w:ind w:firstLine="1050" w:firstLineChars="5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银行账户：</w:t>
      </w:r>
    </w:p>
    <w:p w14:paraId="30FE5A00">
      <w:pPr>
        <w:snapToGrid w:val="0"/>
        <w:spacing w:line="360" w:lineRule="auto"/>
        <w:ind w:firstLine="1050" w:firstLineChars="5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银行账号：</w:t>
      </w:r>
    </w:p>
    <w:p w14:paraId="28CF7CEE">
      <w:pPr>
        <w:spacing w:line="360" w:lineRule="auto"/>
        <w:ind w:firstLine="422" w:firstLineChars="200"/>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特别约定：乙方开具增值税专用发票时，应依法根据《中华人民共和国增值税暂行条例》（国务院令第691号修订版）及当前税务部门的相关规定开具相对应税率的等额增值税专用发票。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w:t>
      </w:r>
      <w:r>
        <w:rPr>
          <w:rFonts w:hint="eastAsia" w:ascii="宋体" w:hAnsi="宋体" w:eastAsia="宋体" w:cs="宋体"/>
          <w:b/>
          <w:color w:val="000000" w:themeColor="text1"/>
          <w:szCs w:val="21"/>
          <w:highlight w:val="none"/>
          <w:u w:val="single"/>
          <w14:textFill>
            <w14:solidFill>
              <w14:schemeClr w14:val="tx1"/>
            </w14:solidFill>
          </w14:textFill>
        </w:rPr>
        <w:t xml:space="preserve"> 【税率】</w:t>
      </w:r>
      <w:r>
        <w:rPr>
          <w:rFonts w:hint="eastAsia" w:ascii="宋体" w:hAnsi="宋体" w:eastAsia="宋体" w:cs="宋体"/>
          <w:b/>
          <w:color w:val="000000" w:themeColor="text1"/>
          <w:szCs w:val="21"/>
          <w:highlight w:val="none"/>
          <w14:textFill>
            <w14:solidFill>
              <w14:schemeClr w14:val="tx1"/>
            </w14:solidFill>
          </w14:textFill>
        </w:rPr>
        <w:t>%）”，对于多出的税款金额，乙方自愿放弃。</w:t>
      </w:r>
    </w:p>
    <w:p w14:paraId="3AF88284">
      <w:pPr>
        <w:pStyle w:val="22"/>
        <w:tabs>
          <w:tab w:val="left" w:pos="0"/>
        </w:tabs>
        <w:adjustRightInd w:val="0"/>
        <w:spacing w:line="360" w:lineRule="auto"/>
        <w:ind w:firstLine="420"/>
        <w:textAlignment w:val="baseline"/>
        <w:rPr>
          <w:rFonts w:hAnsi="宋体" w:cs="宋体"/>
          <w:color w:val="000000" w:themeColor="text1"/>
          <w:szCs w:val="21"/>
          <w:highlight w:val="none"/>
          <w14:textFill>
            <w14:solidFill>
              <w14:schemeClr w14:val="tx1"/>
            </w14:solidFill>
          </w14:textFill>
        </w:rPr>
      </w:pPr>
    </w:p>
    <w:p w14:paraId="6AB3C370">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bookmarkStart w:id="520" w:name="OLE_LINK250"/>
      <w:r>
        <w:rPr>
          <w:rFonts w:hint="eastAsia" w:ascii="宋体" w:hAnsi="宋体" w:eastAsia="宋体" w:cs="宋体"/>
          <w:b/>
          <w:color w:val="000000" w:themeColor="text1"/>
          <w:szCs w:val="21"/>
          <w:highlight w:val="none"/>
          <w14:textFill>
            <w14:solidFill>
              <w14:schemeClr w14:val="tx1"/>
            </w14:solidFill>
          </w14:textFill>
        </w:rPr>
        <w:t xml:space="preserve">第四条 </w:t>
      </w:r>
      <w:bookmarkStart w:id="521" w:name="OLE_LINK79"/>
      <w:r>
        <w:rPr>
          <w:rFonts w:hint="eastAsia" w:ascii="宋体" w:hAnsi="宋体" w:eastAsia="宋体" w:cs="宋体"/>
          <w:b/>
          <w:color w:val="000000" w:themeColor="text1"/>
          <w:szCs w:val="21"/>
          <w:highlight w:val="none"/>
          <w14:textFill>
            <w14:solidFill>
              <w14:schemeClr w14:val="tx1"/>
            </w14:solidFill>
          </w14:textFill>
        </w:rPr>
        <w:t>合同组成</w:t>
      </w:r>
      <w:bookmarkEnd w:id="521"/>
    </w:p>
    <w:bookmarkEnd w:id="520"/>
    <w:p w14:paraId="0D5D9674">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利于甲方的约定为准。</w:t>
      </w:r>
    </w:p>
    <w:p w14:paraId="5A618FCB">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6BD64CAA">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bookmarkStart w:id="522" w:name="OLE_LINK249"/>
      <w:r>
        <w:rPr>
          <w:rFonts w:hint="eastAsia" w:ascii="宋体" w:hAnsi="宋体" w:eastAsia="宋体" w:cs="宋体"/>
          <w:b/>
          <w:color w:val="000000" w:themeColor="text1"/>
          <w:szCs w:val="21"/>
          <w:highlight w:val="none"/>
          <w14:textFill>
            <w14:solidFill>
              <w14:schemeClr w14:val="tx1"/>
            </w14:solidFill>
          </w14:textFill>
        </w:rPr>
        <w:t xml:space="preserve">第五条 </w:t>
      </w:r>
      <w:bookmarkStart w:id="523" w:name="OLE_LINK80"/>
      <w:r>
        <w:rPr>
          <w:rFonts w:hint="eastAsia" w:ascii="宋体" w:hAnsi="宋体" w:eastAsia="宋体" w:cs="宋体"/>
          <w:b/>
          <w:color w:val="000000" w:themeColor="text1"/>
          <w:szCs w:val="21"/>
          <w:highlight w:val="none"/>
          <w14:textFill>
            <w14:solidFill>
              <w14:schemeClr w14:val="tx1"/>
            </w14:solidFill>
          </w14:textFill>
        </w:rPr>
        <w:t>产品质量要求</w:t>
      </w:r>
      <w:bookmarkEnd w:id="523"/>
    </w:p>
    <w:bookmarkEnd w:id="522"/>
    <w:p w14:paraId="17480182">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1</w:t>
      </w:r>
      <w:r>
        <w:rPr>
          <w:rFonts w:hint="eastAsia" w:hAnsi="宋体" w:cs="宋体"/>
          <w:b w:val="0"/>
          <w:bCs w:val="0"/>
          <w:color w:val="000000" w:themeColor="text1"/>
          <w:sz w:val="21"/>
          <w:szCs w:val="21"/>
          <w:highlight w:val="none"/>
          <w14:textFill>
            <w14:solidFill>
              <w14:schemeClr w14:val="tx1"/>
            </w14:solidFill>
          </w14:textFill>
        </w:rPr>
        <w:t>、乙方保证所提供货物</w:t>
      </w:r>
      <w:r>
        <w:rPr>
          <w:rFonts w:hint="eastAsia" w:hAnsi="宋体" w:cs="宋体"/>
          <w:b w:val="0"/>
          <w:bCs w:val="0"/>
          <w:color w:val="000000" w:themeColor="text1"/>
          <w:sz w:val="21"/>
          <w:szCs w:val="21"/>
          <w:highlight w:val="none"/>
          <w:lang w:val="en-US"/>
          <w14:textFill>
            <w14:solidFill>
              <w14:schemeClr w14:val="tx1"/>
            </w14:solidFill>
          </w14:textFill>
        </w:rPr>
        <w:t>必须是原厂生产的、非组装的、全新的、未使用过的产品(含零部件、配件、随机工具等)，随机配备的所有配件必须为原厂原配，表面无划伤、无碰撞的痕迹</w:t>
      </w:r>
      <w:r>
        <w:rPr>
          <w:rFonts w:hint="eastAsia" w:hAnsi="宋体" w:cs="宋体"/>
          <w:b w:val="0"/>
          <w:bCs w:val="0"/>
          <w:color w:val="000000" w:themeColor="text1"/>
          <w:sz w:val="21"/>
          <w:szCs w:val="21"/>
          <w:highlight w:val="none"/>
          <w14:textFill>
            <w14:solidFill>
              <w14:schemeClr w14:val="tx1"/>
            </w14:solidFill>
          </w14:textFill>
        </w:rPr>
        <w:t>，并完全符合甲方招标文件、用户需求书要求及乙方投标文件承诺的质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、规格标准；同时乙方所提供货物，必须符合国家有关法律法规和环保、主管部门要求及甲方的技术要求，不存在侵犯第三人知识产权及其他合法权益的</w:t>
      </w:r>
      <w:r>
        <w:rPr>
          <w:rFonts w:hint="eastAsia" w:hAnsi="宋体" w:cs="宋体"/>
          <w:b w:val="0"/>
          <w:bCs w:val="0"/>
          <w:color w:val="000000" w:themeColor="text1"/>
          <w:sz w:val="21"/>
          <w:szCs w:val="21"/>
          <w:highlight w:val="none"/>
          <w:lang w:val="en-US"/>
          <w14:textFill>
            <w14:solidFill>
              <w14:schemeClr w14:val="tx1"/>
            </w14:solidFill>
          </w14:textFill>
        </w:rPr>
        <w:t>情</w:t>
      </w:r>
      <w:r>
        <w:rPr>
          <w:rFonts w:hint="eastAsia" w:hAnsi="宋体" w:cs="宋体"/>
          <w:b w:val="0"/>
          <w:bCs w:val="0"/>
          <w:color w:val="000000" w:themeColor="text1"/>
          <w:sz w:val="21"/>
          <w:szCs w:val="21"/>
          <w:highlight w:val="none"/>
          <w14:textFill>
            <w14:solidFill>
              <w14:schemeClr w14:val="tx1"/>
            </w14:solidFill>
          </w14:textFill>
        </w:rPr>
        <w:t>况。</w:t>
      </w:r>
      <w:r>
        <w:rPr>
          <w:rFonts w:hint="eastAsia" w:hAnsi="宋体" w:cs="宋体"/>
          <w:b w:val="0"/>
          <w:bCs w:val="0"/>
          <w:color w:val="000000" w:themeColor="text1"/>
          <w:sz w:val="21"/>
          <w:szCs w:val="21"/>
          <w:highlight w:val="none"/>
          <w:lang w:val="en-US"/>
          <w14:textFill>
            <w14:solidFill>
              <w14:schemeClr w14:val="tx1"/>
            </w14:solidFill>
          </w14:textFill>
        </w:rPr>
        <w:t>有原厂包装的，应附有合格证、货物出厂质量合格证明书、技术说明等。</w:t>
      </w:r>
      <w:r>
        <w:rPr>
          <w:rFonts w:hint="eastAsia" w:hAnsi="宋体" w:cs="宋体"/>
          <w:b w:val="0"/>
          <w:bCs w:val="0"/>
          <w:color w:val="000000" w:themeColor="text1"/>
          <w:sz w:val="21"/>
          <w:szCs w:val="21"/>
          <w:highlight w:val="none"/>
          <w14:textFill>
            <w14:solidFill>
              <w14:schemeClr w14:val="tx1"/>
            </w14:solidFill>
          </w14:textFill>
        </w:rPr>
        <w:t>乙方应当提供货物的</w:t>
      </w:r>
      <w:r>
        <w:rPr>
          <w:rFonts w:hint="eastAsia" w:hAnsi="宋体" w:cs="宋体"/>
          <w:b w:val="0"/>
          <w:bCs w:val="0"/>
          <w:color w:val="000000" w:themeColor="text1"/>
          <w:sz w:val="21"/>
          <w:szCs w:val="21"/>
          <w:highlight w:val="none"/>
          <w:lang w:val="en-US"/>
          <w14:textFill>
            <w14:solidFill>
              <w14:schemeClr w14:val="tx1"/>
            </w14:solidFill>
          </w14:textFill>
        </w:rPr>
        <w:t>质量</w:t>
      </w:r>
      <w:r>
        <w:rPr>
          <w:rFonts w:hint="eastAsia" w:hAnsi="宋体" w:cs="宋体"/>
          <w:b w:val="0"/>
          <w:bCs w:val="0"/>
          <w:color w:val="000000" w:themeColor="text1"/>
          <w:sz w:val="21"/>
          <w:szCs w:val="21"/>
          <w:highlight w:val="none"/>
          <w14:textFill>
            <w14:solidFill>
              <w14:schemeClr w14:val="tx1"/>
            </w14:solidFill>
          </w14:textFill>
        </w:rPr>
        <w:t>检验单位出具的检验报告原件（检验报告合格）、出厂合格证明材料、产品性能使用说明书，并具备主管部门的质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认证文件等。</w:t>
      </w:r>
    </w:p>
    <w:p w14:paraId="406E937F">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2</w:t>
      </w:r>
      <w:r>
        <w:rPr>
          <w:rFonts w:hint="eastAsia" w:hAnsi="宋体" w:cs="宋体"/>
          <w:b w:val="0"/>
          <w:bCs w:val="0"/>
          <w:color w:val="000000" w:themeColor="text1"/>
          <w:sz w:val="21"/>
          <w:szCs w:val="21"/>
          <w:highlight w:val="none"/>
          <w14:textFill>
            <w14:solidFill>
              <w14:schemeClr w14:val="tx1"/>
            </w14:solidFill>
          </w14:textFill>
        </w:rPr>
        <w:t>、所有货物应具</w:t>
      </w:r>
      <w:r>
        <w:rPr>
          <w:rFonts w:hint="eastAsia" w:hAnsi="宋体" w:cs="宋体"/>
          <w:b w:val="0"/>
          <w:bCs w:val="0"/>
          <w:color w:val="000000" w:themeColor="text1"/>
          <w:sz w:val="21"/>
          <w:szCs w:val="21"/>
          <w:highlight w:val="none"/>
          <w:lang w:val="en-US"/>
          <w14:textFill>
            <w14:solidFill>
              <w14:schemeClr w14:val="tx1"/>
            </w14:solidFill>
          </w14:textFill>
        </w:rPr>
        <w:t>备</w:t>
      </w:r>
      <w:r>
        <w:rPr>
          <w:rFonts w:hint="eastAsia" w:hAnsi="宋体" w:cs="宋体"/>
          <w:b w:val="0"/>
          <w:bCs w:val="0"/>
          <w:color w:val="000000" w:themeColor="text1"/>
          <w:sz w:val="21"/>
          <w:szCs w:val="21"/>
          <w:highlight w:val="none"/>
          <w14:textFill>
            <w14:solidFill>
              <w14:schemeClr w14:val="tx1"/>
            </w14:solidFill>
          </w14:textFill>
        </w:rPr>
        <w:t>该类产品的功能要求，无瑕疵和缺陷，质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为合格产品，同时有明确的生产厂商或制造厂商。</w:t>
      </w:r>
    </w:p>
    <w:p w14:paraId="6D1D3C9C">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3</w:t>
      </w:r>
      <w:r>
        <w:rPr>
          <w:rFonts w:hint="eastAsia" w:hAnsi="宋体" w:cs="宋体"/>
          <w:b w:val="0"/>
          <w:bCs w:val="0"/>
          <w:color w:val="000000" w:themeColor="text1"/>
          <w:sz w:val="21"/>
          <w:szCs w:val="21"/>
          <w:highlight w:val="none"/>
          <w14:textFill>
            <w14:solidFill>
              <w14:schemeClr w14:val="tx1"/>
            </w14:solidFill>
          </w14:textFill>
        </w:rPr>
        <w:t>、所有货物必须是全新的，所有设备运输到达</w:t>
      </w:r>
      <w:r>
        <w:rPr>
          <w:rFonts w:hint="eastAsia" w:hAnsi="宋体" w:cs="宋体"/>
          <w:b w:val="0"/>
          <w:bCs w:val="0"/>
          <w:color w:val="000000" w:themeColor="text1"/>
          <w:sz w:val="21"/>
          <w:szCs w:val="21"/>
          <w:highlight w:val="none"/>
          <w:lang w:val="en-US"/>
          <w14:textFill>
            <w14:solidFill>
              <w14:schemeClr w14:val="tx1"/>
            </w14:solidFill>
          </w14:textFill>
        </w:rPr>
        <w:t>现场</w:t>
      </w:r>
      <w:r>
        <w:rPr>
          <w:rFonts w:hint="eastAsia" w:hAnsi="宋体" w:cs="宋体"/>
          <w:b w:val="0"/>
          <w:bCs w:val="0"/>
          <w:color w:val="000000" w:themeColor="text1"/>
          <w:sz w:val="21"/>
          <w:szCs w:val="21"/>
          <w:highlight w:val="none"/>
          <w14:textFill>
            <w14:solidFill>
              <w14:schemeClr w14:val="tx1"/>
            </w14:solidFill>
          </w14:textFill>
        </w:rPr>
        <w:t>时的包装必须是原</w:t>
      </w:r>
      <w:r>
        <w:rPr>
          <w:rFonts w:hint="eastAsia" w:hAnsi="宋体" w:cs="宋体"/>
          <w:b w:val="0"/>
          <w:bCs w:val="0"/>
          <w:color w:val="000000" w:themeColor="text1"/>
          <w:sz w:val="21"/>
          <w:szCs w:val="21"/>
          <w:highlight w:val="none"/>
          <w:lang w:val="en-US"/>
          <w14:textFill>
            <w14:solidFill>
              <w14:schemeClr w14:val="tx1"/>
            </w14:solidFill>
          </w14:textFill>
        </w:rPr>
        <w:t>厂</w:t>
      </w:r>
      <w:r>
        <w:rPr>
          <w:rFonts w:hint="eastAsia" w:hAnsi="宋体" w:cs="宋体"/>
          <w:b w:val="0"/>
          <w:bCs w:val="0"/>
          <w:color w:val="000000" w:themeColor="text1"/>
          <w:sz w:val="21"/>
          <w:szCs w:val="21"/>
          <w:highlight w:val="none"/>
          <w14:textFill>
            <w14:solidFill>
              <w14:schemeClr w14:val="tx1"/>
            </w14:solidFill>
          </w14:textFill>
        </w:rPr>
        <w:t>完</w:t>
      </w:r>
      <w:r>
        <w:rPr>
          <w:rFonts w:hint="eastAsia" w:hAnsi="宋体" w:cs="宋体"/>
          <w:b w:val="0"/>
          <w:bCs w:val="0"/>
          <w:color w:val="000000" w:themeColor="text1"/>
          <w:sz w:val="21"/>
          <w:szCs w:val="21"/>
          <w:highlight w:val="none"/>
          <w:lang w:val="en-US"/>
          <w14:textFill>
            <w14:solidFill>
              <w14:schemeClr w14:val="tx1"/>
            </w14:solidFill>
          </w14:textFill>
        </w:rPr>
        <w:t>整</w:t>
      </w:r>
      <w:r>
        <w:rPr>
          <w:rFonts w:hint="eastAsia" w:hAnsi="宋体" w:cs="宋体"/>
          <w:b w:val="0"/>
          <w:bCs w:val="0"/>
          <w:color w:val="000000" w:themeColor="text1"/>
          <w:sz w:val="21"/>
          <w:szCs w:val="21"/>
          <w:highlight w:val="none"/>
          <w14:textFill>
            <w14:solidFill>
              <w14:schemeClr w14:val="tx1"/>
            </w14:solidFill>
          </w14:textFill>
        </w:rPr>
        <w:t>的，</w:t>
      </w:r>
      <w:r>
        <w:rPr>
          <w:rFonts w:hint="eastAsia" w:hAnsi="宋体" w:cs="宋体"/>
          <w:b w:val="0"/>
          <w:bCs w:val="0"/>
          <w:color w:val="000000" w:themeColor="text1"/>
          <w:sz w:val="21"/>
          <w:szCs w:val="21"/>
          <w:highlight w:val="none"/>
          <w:lang w:val="en-US"/>
          <w14:textFill>
            <w14:solidFill>
              <w14:schemeClr w14:val="tx1"/>
            </w14:solidFill>
          </w14:textFill>
        </w:rPr>
        <w:t>由</w:t>
      </w:r>
      <w:r>
        <w:rPr>
          <w:rFonts w:hint="eastAsia" w:hAnsi="宋体" w:cs="宋体"/>
          <w:b w:val="0"/>
          <w:bCs w:val="0"/>
          <w:color w:val="000000" w:themeColor="text1"/>
          <w:sz w:val="21"/>
          <w:szCs w:val="21"/>
          <w:highlight w:val="none"/>
          <w14:textFill>
            <w14:solidFill>
              <w14:schemeClr w14:val="tx1"/>
            </w14:solidFill>
          </w14:textFill>
        </w:rPr>
        <w:t>甲方签收后方可拆包安装。</w:t>
      </w:r>
    </w:p>
    <w:p w14:paraId="15AB25D5">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4</w:t>
      </w:r>
      <w:r>
        <w:rPr>
          <w:rFonts w:hint="eastAsia" w:hAnsi="宋体" w:cs="宋体"/>
          <w:b w:val="0"/>
          <w:bCs w:val="0"/>
          <w:color w:val="000000" w:themeColor="text1"/>
          <w:sz w:val="21"/>
          <w:szCs w:val="21"/>
          <w:highlight w:val="none"/>
          <w14:textFill>
            <w14:solidFill>
              <w14:schemeClr w14:val="tx1"/>
            </w14:solidFill>
          </w14:textFill>
        </w:rPr>
        <w:t>、所有货物、设备须满足国家及行业环保和质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标准。</w:t>
      </w:r>
    </w:p>
    <w:p w14:paraId="61D72B47">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5</w:t>
      </w:r>
      <w:r>
        <w:rPr>
          <w:rFonts w:hint="eastAsia" w:hAnsi="宋体" w:cs="宋体"/>
          <w:b w:val="0"/>
          <w:bCs w:val="0"/>
          <w:color w:val="000000" w:themeColor="text1"/>
          <w:sz w:val="21"/>
          <w:szCs w:val="21"/>
          <w:highlight w:val="none"/>
          <w14:textFill>
            <w14:solidFill>
              <w14:schemeClr w14:val="tx1"/>
            </w14:solidFill>
          </w14:textFill>
        </w:rPr>
        <w:t>、货物的规格、参数必须和《用户需求书》规定及投标文件响应内容要求</w:t>
      </w:r>
      <w:r>
        <w:rPr>
          <w:rFonts w:hint="eastAsia" w:hAnsi="宋体" w:cs="宋体"/>
          <w:b w:val="0"/>
          <w:bCs w:val="0"/>
          <w:color w:val="000000" w:themeColor="text1"/>
          <w:sz w:val="21"/>
          <w:szCs w:val="21"/>
          <w:highlight w:val="none"/>
          <w:lang w:val="en-US"/>
          <w14:textFill>
            <w14:solidFill>
              <w14:schemeClr w14:val="tx1"/>
            </w14:solidFill>
          </w14:textFill>
        </w:rPr>
        <w:t>一</w:t>
      </w:r>
      <w:r>
        <w:rPr>
          <w:rFonts w:hint="eastAsia" w:hAnsi="宋体" w:cs="宋体"/>
          <w:b w:val="0"/>
          <w:bCs w:val="0"/>
          <w:color w:val="000000" w:themeColor="text1"/>
          <w:sz w:val="21"/>
          <w:szCs w:val="21"/>
          <w:highlight w:val="none"/>
          <w14:textFill>
            <w14:solidFill>
              <w14:schemeClr w14:val="tx1"/>
            </w14:solidFill>
          </w14:textFill>
        </w:rPr>
        <w:t>致。</w:t>
      </w:r>
    </w:p>
    <w:p w14:paraId="16A426E6">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327512CF">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第六条 </w:t>
      </w:r>
      <w:bookmarkStart w:id="524" w:name="OLE_LINK81"/>
      <w:r>
        <w:rPr>
          <w:rFonts w:hint="eastAsia" w:ascii="宋体" w:hAnsi="宋体" w:eastAsia="宋体" w:cs="宋体"/>
          <w:b/>
          <w:color w:val="000000" w:themeColor="text1"/>
          <w:szCs w:val="21"/>
          <w:highlight w:val="none"/>
          <w14:textFill>
            <w14:solidFill>
              <w14:schemeClr w14:val="tx1"/>
            </w14:solidFill>
          </w14:textFill>
        </w:rPr>
        <w:t>包装、运输</w:t>
      </w:r>
      <w:bookmarkEnd w:id="524"/>
    </w:p>
    <w:p w14:paraId="505F4D17">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1</w:t>
      </w:r>
      <w:r>
        <w:rPr>
          <w:rFonts w:hint="eastAsia" w:hAnsi="宋体" w:cs="宋体"/>
          <w:b w:val="0"/>
          <w:bCs w:val="0"/>
          <w:color w:val="000000" w:themeColor="text1"/>
          <w:sz w:val="21"/>
          <w:szCs w:val="21"/>
          <w:highlight w:val="none"/>
          <w14:textFill>
            <w14:solidFill>
              <w14:schemeClr w14:val="tx1"/>
            </w14:solidFill>
          </w14:textFill>
        </w:rPr>
        <w:t>、本合同项下货物的包装均应有良好的防湿、防锈、防潮、防雨、防腐及防碰撞的措施，且货物的包装、运输方式均应符合国家及行业相关标准及规定。</w:t>
      </w:r>
    </w:p>
    <w:p w14:paraId="731D468A">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2、乙方运输的所有货物要符合有关标准规定的</w:t>
      </w:r>
      <w:r>
        <w:rPr>
          <w:rFonts w:hint="eastAsia" w:hAnsi="宋体" w:cs="宋体"/>
          <w:b w:val="0"/>
          <w:bCs w:val="0"/>
          <w:color w:val="000000" w:themeColor="text1"/>
          <w:sz w:val="21"/>
          <w:szCs w:val="21"/>
          <w:highlight w:val="none"/>
          <w:lang w:val="en-US"/>
          <w14:textFill>
            <w14:solidFill>
              <w14:schemeClr w14:val="tx1"/>
            </w14:solidFill>
          </w14:textFill>
        </w:rPr>
        <w:t>具</w:t>
      </w:r>
      <w:r>
        <w:rPr>
          <w:rFonts w:hint="eastAsia" w:hAnsi="宋体" w:cs="宋体"/>
          <w:b w:val="0"/>
          <w:bCs w:val="0"/>
          <w:color w:val="000000" w:themeColor="text1"/>
          <w:sz w:val="21"/>
          <w:szCs w:val="21"/>
          <w:highlight w:val="none"/>
          <w14:textFill>
            <w14:solidFill>
              <w14:schemeClr w14:val="tx1"/>
            </w14:solidFill>
          </w14:textFill>
        </w:rPr>
        <w:t>有适合长途运输、多次</w:t>
      </w:r>
      <w:r>
        <w:rPr>
          <w:rFonts w:hint="eastAsia" w:hAnsi="宋体" w:cs="宋体"/>
          <w:b w:val="0"/>
          <w:bCs w:val="0"/>
          <w:color w:val="000000" w:themeColor="text1"/>
          <w:sz w:val="21"/>
          <w:szCs w:val="21"/>
          <w:highlight w:val="none"/>
          <w:lang w:val="en-US"/>
          <w14:textFill>
            <w14:solidFill>
              <w14:schemeClr w14:val="tx1"/>
            </w14:solidFill>
          </w14:textFill>
        </w:rPr>
        <w:t>搬</w:t>
      </w:r>
      <w:r>
        <w:rPr>
          <w:rFonts w:hint="eastAsia" w:hAnsi="宋体" w:cs="宋体"/>
          <w:b w:val="0"/>
          <w:bCs w:val="0"/>
          <w:color w:val="000000" w:themeColor="text1"/>
          <w:sz w:val="21"/>
          <w:szCs w:val="21"/>
          <w:highlight w:val="none"/>
          <w14:textFill>
            <w14:solidFill>
              <w14:schemeClr w14:val="tx1"/>
            </w14:solidFill>
          </w14:textFill>
        </w:rPr>
        <w:t>运和装卸的坚固包装。包装应按设备特点，按</w:t>
      </w:r>
      <w:r>
        <w:rPr>
          <w:rFonts w:hint="eastAsia" w:hAnsi="宋体" w:cs="宋体"/>
          <w:b w:val="0"/>
          <w:bCs w:val="0"/>
          <w:color w:val="000000" w:themeColor="text1"/>
          <w:sz w:val="21"/>
          <w:szCs w:val="21"/>
          <w:highlight w:val="none"/>
          <w:lang w:val="en-US"/>
          <w14:textFill>
            <w14:solidFill>
              <w14:schemeClr w14:val="tx1"/>
            </w14:solidFill>
          </w14:textFill>
        </w:rPr>
        <w:t>需</w:t>
      </w:r>
      <w:r>
        <w:rPr>
          <w:rFonts w:hint="eastAsia" w:hAnsi="宋体" w:cs="宋体"/>
          <w:b w:val="0"/>
          <w:bCs w:val="0"/>
          <w:color w:val="000000" w:themeColor="text1"/>
          <w:sz w:val="21"/>
          <w:szCs w:val="21"/>
          <w:highlight w:val="none"/>
          <w14:textFill>
            <w14:solidFill>
              <w14:schemeClr w14:val="tx1"/>
            </w14:solidFill>
          </w14:textFill>
        </w:rPr>
        <w:t>要分别采取对应的保护措施，以保证货物在没有任何损坏和腐蚀的</w:t>
      </w:r>
      <w:r>
        <w:rPr>
          <w:rFonts w:hint="eastAsia" w:hAnsi="宋体" w:cs="宋体"/>
          <w:b w:val="0"/>
          <w:bCs w:val="0"/>
          <w:color w:val="000000" w:themeColor="text1"/>
          <w:sz w:val="21"/>
          <w:szCs w:val="21"/>
          <w:highlight w:val="none"/>
          <w:lang w:val="en-US"/>
          <w14:textFill>
            <w14:solidFill>
              <w14:schemeClr w14:val="tx1"/>
            </w14:solidFill>
          </w14:textFill>
        </w:rPr>
        <w:t>情</w:t>
      </w:r>
      <w:r>
        <w:rPr>
          <w:rFonts w:hint="eastAsia" w:hAnsi="宋体" w:cs="宋体"/>
          <w:b w:val="0"/>
          <w:bCs w:val="0"/>
          <w:color w:val="000000" w:themeColor="text1"/>
          <w:sz w:val="21"/>
          <w:szCs w:val="21"/>
          <w:highlight w:val="none"/>
          <w14:textFill>
            <w14:solidFill>
              <w14:schemeClr w14:val="tx1"/>
            </w14:solidFill>
          </w14:textFill>
        </w:rPr>
        <w:t>况下安全运抵甲方指定收货地点。</w:t>
      </w:r>
    </w:p>
    <w:p w14:paraId="45281E82">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3、每件包装箱内，应附有装箱单、合格证、产品出厂质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合格证明书、技术说明以及甲方要求的其他合格证明文件或资料。</w:t>
      </w:r>
    </w:p>
    <w:p w14:paraId="2F273D2A">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4、各种设备的松散零星部件应采用可靠安全的包装方式，装入尺寸适当的箱内，并尽可能整车发运。栅格式箱子或类似的包装，只能用</w:t>
      </w:r>
      <w:r>
        <w:rPr>
          <w:rFonts w:hint="eastAsia" w:hAnsi="宋体" w:cs="宋体"/>
          <w:b w:val="0"/>
          <w:bCs w:val="0"/>
          <w:color w:val="000000" w:themeColor="text1"/>
          <w:sz w:val="21"/>
          <w:szCs w:val="21"/>
          <w:highlight w:val="none"/>
          <w:lang w:val="en-US"/>
          <w14:textFill>
            <w14:solidFill>
              <w14:schemeClr w14:val="tx1"/>
            </w14:solidFill>
          </w14:textFill>
        </w:rPr>
        <w:t>于</w:t>
      </w:r>
      <w:r>
        <w:rPr>
          <w:rFonts w:hint="eastAsia" w:hAnsi="宋体" w:cs="宋体"/>
          <w:b w:val="0"/>
          <w:bCs w:val="0"/>
          <w:color w:val="000000" w:themeColor="text1"/>
          <w:sz w:val="21"/>
          <w:szCs w:val="21"/>
          <w:highlight w:val="none"/>
          <w14:textFill>
            <w14:solidFill>
              <w14:schemeClr w14:val="tx1"/>
            </w14:solidFill>
          </w14:textFill>
        </w:rPr>
        <w:t>盛装不至于被偷窃或被其他物品或雨水造成损坏的设备及零部件。</w:t>
      </w:r>
    </w:p>
    <w:p w14:paraId="0F62493B">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5、本合同项下货物由于包装不良、运输方式不当或非法运输造成的事故、损失、行政处罚和由此产生的其他全部费用均由乙方全部承担。</w:t>
      </w:r>
    </w:p>
    <w:p w14:paraId="48A00F29">
      <w:pPr>
        <w:pStyle w:val="2"/>
        <w:snapToGrid w:val="0"/>
        <w:spacing w:line="360" w:lineRule="auto"/>
        <w:ind w:right="0" w:firstLine="420" w:firstLineChars="200"/>
        <w:jc w:val="left"/>
        <w:rPr>
          <w:rFonts w:hAnsi="宋体" w:cs="宋体"/>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6、运输过程中发生的货物毁损、灭失等所有</w:t>
      </w:r>
      <w:r>
        <w:rPr>
          <w:rFonts w:hint="eastAsia" w:hAnsi="宋体" w:cs="宋体"/>
          <w:b w:val="0"/>
          <w:bCs w:val="0"/>
          <w:color w:val="000000" w:themeColor="text1"/>
          <w:sz w:val="21"/>
          <w:szCs w:val="21"/>
          <w:highlight w:val="none"/>
          <w:lang w:val="en-US"/>
          <w14:textFill>
            <w14:solidFill>
              <w14:schemeClr w14:val="tx1"/>
            </w14:solidFill>
          </w14:textFill>
        </w:rPr>
        <w:t>相关</w:t>
      </w:r>
      <w:r>
        <w:rPr>
          <w:rFonts w:hint="eastAsia" w:hAnsi="宋体" w:cs="宋体"/>
          <w:b w:val="0"/>
          <w:bCs w:val="0"/>
          <w:color w:val="000000" w:themeColor="text1"/>
          <w:sz w:val="21"/>
          <w:szCs w:val="21"/>
          <w:highlight w:val="none"/>
          <w14:textFill>
            <w14:solidFill>
              <w14:schemeClr w14:val="tx1"/>
            </w14:solidFill>
          </w14:textFill>
        </w:rPr>
        <w:t>风险和责任由乙方自行承担。</w:t>
      </w:r>
    </w:p>
    <w:p w14:paraId="3F72709C">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2456ECE9">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第七条 </w:t>
      </w:r>
      <w:bookmarkStart w:id="525" w:name="OLE_LINK82"/>
      <w:r>
        <w:rPr>
          <w:rFonts w:hint="eastAsia" w:ascii="宋体" w:hAnsi="宋体" w:eastAsia="宋体" w:cs="宋体"/>
          <w:b/>
          <w:color w:val="000000" w:themeColor="text1"/>
          <w:szCs w:val="21"/>
          <w:highlight w:val="none"/>
          <w14:textFill>
            <w14:solidFill>
              <w14:schemeClr w14:val="tx1"/>
            </w14:solidFill>
          </w14:textFill>
        </w:rPr>
        <w:t>保险</w:t>
      </w:r>
      <w:bookmarkEnd w:id="525"/>
    </w:p>
    <w:p w14:paraId="35CB7120">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应负责为本合同项下所有货物购买相应的商业保险，并向甲方提供投保证明，投保保险金额应不低于相应设备发票金额的110%，保险费已包含在合同价中。如因乙方未能投保或保险人不予承担相应责任而货物在经甲方项目整体最终验收合格前的运输、装卸、现场照管、安装等过程中发生毁损、灭失的风险由乙方自行承担。</w:t>
      </w:r>
    </w:p>
    <w:p w14:paraId="58BFA13B">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一旦上述货物发生保险事故，乙方除依法向保险人请求赔偿保险金外，应继续依约向甲方提供满足项目要求的货物，由此造成逾期完工的，乙方应</w:t>
      </w:r>
      <w:bookmarkStart w:id="526" w:name="OLE_LINK466"/>
      <w:r>
        <w:rPr>
          <w:rFonts w:hint="eastAsia" w:ascii="宋体" w:hAnsi="宋体" w:eastAsia="宋体" w:cs="宋体"/>
          <w:color w:val="000000" w:themeColor="text1"/>
          <w:szCs w:val="21"/>
          <w:highlight w:val="none"/>
          <w14:textFill>
            <w14:solidFill>
              <w14:schemeClr w14:val="tx1"/>
            </w14:solidFill>
          </w14:textFill>
        </w:rPr>
        <w:t>按合同</w:t>
      </w:r>
      <w:bookmarkEnd w:id="526"/>
      <w:r>
        <w:rPr>
          <w:rFonts w:hint="eastAsia" w:ascii="宋体" w:hAnsi="宋体" w:eastAsia="宋体" w:cs="宋体"/>
          <w:color w:val="000000" w:themeColor="text1"/>
          <w:szCs w:val="21"/>
          <w:highlight w:val="none"/>
          <w14:textFill>
            <w14:solidFill>
              <w14:schemeClr w14:val="tx1"/>
            </w14:solidFill>
          </w14:textFill>
        </w:rPr>
        <w:t>约定承担违约责任。</w:t>
      </w:r>
    </w:p>
    <w:p w14:paraId="4A992EA6">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719F6474">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第八条 </w:t>
      </w:r>
      <w:bookmarkStart w:id="527" w:name="OLE_LINK83"/>
      <w:r>
        <w:rPr>
          <w:rFonts w:hint="eastAsia" w:ascii="宋体" w:hAnsi="宋体" w:eastAsia="宋体" w:cs="宋体"/>
          <w:b/>
          <w:color w:val="000000" w:themeColor="text1"/>
          <w:szCs w:val="21"/>
          <w:highlight w:val="none"/>
          <w14:textFill>
            <w14:solidFill>
              <w14:schemeClr w14:val="tx1"/>
            </w14:solidFill>
          </w14:textFill>
        </w:rPr>
        <w:t>货物的交付</w:t>
      </w:r>
      <w:bookmarkEnd w:id="527"/>
    </w:p>
    <w:p w14:paraId="0ADDA14B">
      <w:pPr>
        <w:adjustRightInd w:val="0"/>
        <w:spacing w:line="360" w:lineRule="auto"/>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bookmarkStart w:id="528" w:name="OLE_LINK467"/>
      <w:r>
        <w:rPr>
          <w:rFonts w:hint="eastAsia" w:ascii="宋体" w:hAnsi="宋体" w:eastAsia="宋体" w:cs="宋体"/>
          <w:bCs/>
          <w:color w:val="000000" w:themeColor="text1"/>
          <w:szCs w:val="21"/>
          <w:highlight w:val="none"/>
          <w14:textFill>
            <w14:solidFill>
              <w14:schemeClr w14:val="tx1"/>
            </w14:solidFill>
          </w14:textFill>
        </w:rPr>
        <w:t>供货及安装界限：乙方所供货物除了用户需求中所含货物，还应包含：技术文件和图纸资料、维护维修手册（包含维护项目和周期）、备品备件市场通用型号清单、产品检测报告文件。所采购设备的运输、安装调试、试运行工作由乙方负责。</w:t>
      </w:r>
    </w:p>
    <w:bookmarkEnd w:id="528"/>
    <w:p w14:paraId="73816421">
      <w:pPr>
        <w:adjustRightInd w:val="0"/>
        <w:spacing w:line="360" w:lineRule="auto"/>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2、交货地点及责任：</w:t>
      </w:r>
    </w:p>
    <w:p w14:paraId="45EB346F">
      <w:pPr>
        <w:adjustRightInd w:val="0"/>
        <w:spacing w:line="360" w:lineRule="auto"/>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乙方负责按甲方要求的时间供货运输至甲方于东莞市内指定地点，包括到场设备搬卸和安全措施，乙方负责将所供货物在调试验收后二次运输装卸至东莞市内甲方指定交货地点。设备相关运输、装卸、安装调试试运行、保险等费用已包含在投标报价总价中。甲方如需变更交货地点，甲方应在原定的最后交货日1天前通知乙方。乙方负责将货物运输至甲方指定位置。</w:t>
      </w:r>
    </w:p>
    <w:p w14:paraId="6B475645">
      <w:pPr>
        <w:adjustRightInd w:val="0"/>
        <w:spacing w:line="360" w:lineRule="auto"/>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乙方所供的货物送至现场，如甲方检查发现有任何质量问题（如外观有损伤），乙方必须立即以同样型号的货物在甲方商定的时间内更换，确保其使用。</w:t>
      </w:r>
    </w:p>
    <w:p w14:paraId="2AC58E01">
      <w:pPr>
        <w:adjustRightInd w:val="0"/>
        <w:spacing w:line="360" w:lineRule="auto"/>
        <w:ind w:firstLine="420"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合同范围内所供货物在经甲方对本项目最终验收合格前（包含运输、装卸、现场照管、安装），货物的损耗、毁损、灭失的风险和责任均由乙方自行承担。</w:t>
      </w:r>
    </w:p>
    <w:p w14:paraId="77E5766E">
      <w:pPr>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3、运输方式：由乙方自行选择适当的运输方式，并承担全部费用。</w:t>
      </w:r>
    </w:p>
    <w:p w14:paraId="38FD5166">
      <w:pPr>
        <w:pStyle w:val="2"/>
        <w:snapToGrid w:val="0"/>
        <w:spacing w:line="360" w:lineRule="auto"/>
        <w:ind w:right="0" w:firstLine="422" w:firstLineChars="200"/>
        <w:jc w:val="both"/>
        <w:rPr>
          <w:rFonts w:hAnsi="宋体" w:cs="宋体"/>
          <w:b w:val="0"/>
          <w:bCs w:val="0"/>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14:textFill>
            <w14:solidFill>
              <w14:schemeClr w14:val="tx1"/>
            </w14:solidFill>
          </w14:textFill>
        </w:rPr>
        <w:t>4</w:t>
      </w:r>
      <w:r>
        <w:rPr>
          <w:rFonts w:hint="eastAsia" w:hAnsi="宋体" w:cs="宋体"/>
          <w:color w:val="000000" w:themeColor="text1"/>
          <w:sz w:val="21"/>
          <w:szCs w:val="21"/>
          <w:highlight w:val="none"/>
          <w14:textFill>
            <w14:solidFill>
              <w14:schemeClr w14:val="tx1"/>
            </w14:solidFill>
          </w14:textFill>
        </w:rPr>
        <w:t>、在交货地点的卸货责任及费用，由乙方承担。</w:t>
      </w:r>
    </w:p>
    <w:p w14:paraId="69287E35">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517EB462">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第九条 </w:t>
      </w:r>
      <w:bookmarkStart w:id="529" w:name="OLE_LINK88"/>
      <w:r>
        <w:rPr>
          <w:rFonts w:hint="eastAsia" w:ascii="宋体" w:hAnsi="宋体" w:eastAsia="宋体" w:cs="宋体"/>
          <w:b/>
          <w:color w:val="000000" w:themeColor="text1"/>
          <w:szCs w:val="21"/>
          <w:highlight w:val="none"/>
          <w14:textFill>
            <w14:solidFill>
              <w14:schemeClr w14:val="tx1"/>
            </w14:solidFill>
          </w14:textFill>
        </w:rPr>
        <w:t>安装、调试</w:t>
      </w:r>
      <w:bookmarkEnd w:id="529"/>
    </w:p>
    <w:p w14:paraId="04DAFA7B">
      <w:pPr>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1、乙方应在交接验收合格后，及时开展并完成全部设备的安装，且经甲方初步验收合格。乙方负责在甲方要求的时间内完成单机试运转、项目整体运转，以及性能考核的技术指导工作。</w:t>
      </w:r>
    </w:p>
    <w:p w14:paraId="5FC80338">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在货物安装、调试过程中，乙方应遵守甲方现场的管理规定，并遵守工程施工、安全生产、消防安全的有关管理规定，采取必要的安全防范措施，消除事故隐患，并随时接受甲方（或甲方委托的第三方）安全检查人员的监督检查。在乙方搬运、拆卸、安装、调试、验收过程中所产生的安全责任（包括但不限于对协助人员、施工人员、第三方所造成的财物毁损、人员损伤，以及防火、防电、防盗责任等），乙方应承担全部赔偿责任及相关法律责任，与甲方无关；如因此造成甲方损失的，乙方应按甲方实际损失款项的【2】倍标准进行赔偿。</w:t>
      </w:r>
    </w:p>
    <w:p w14:paraId="17306093">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负责安装、调试，并及时解决安装、调试、试运行中出现的由乙方供货设备导致的问题，相关问题的解决时长以不影响工期为原则，若造成工期延误的，甲方有权追究乙方逾期交货的责任，即每逾期一日，乙方应按合同暂定总价（含税）的5‰向甲方支付违约金。乙方逾期超过30日的，甲方可单方解除本合同，无论甲方是否解除本合同，乙方除支付前述逾期违约金外，还应按合同暂定总价（含税）的5%向甲方支付赔偿金。该部分金额不足以弥补甲方损失的，甲方还有权另行追偿。</w:t>
      </w:r>
    </w:p>
    <w:p w14:paraId="35F5AA17">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乙方现场施工需服从、配合甲方的安全文明施工管理，并与甲方签订安全生产协议。由于乙方原因造成甲方或其他第三方参建单位人员伤亡、财物损失或者被监督部门行政处罚，乙方须承担相应赔偿责任。事故若经认定或调处使甲方对外负担经济支出的，乙方承诺给予全部补偿。</w:t>
      </w:r>
    </w:p>
    <w:p w14:paraId="2C8B0129">
      <w:pPr>
        <w:spacing w:line="360" w:lineRule="auto"/>
        <w:ind w:firstLine="371" w:firstLineChars="177"/>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kern w:val="0"/>
          <w:szCs w:val="21"/>
          <w:highlight w:val="none"/>
          <w:lang w:val="zh-CN"/>
          <w14:textFill>
            <w14:solidFill>
              <w14:schemeClr w14:val="tx1"/>
            </w14:solidFill>
          </w14:textFill>
        </w:rPr>
        <w:t>应严格按照国家有关安全文明施工的标准与规范制定安全文明施工操作规程，配备必要的安全生产和劳动保护设施，加强对施工作业人员的施工安全教育培训，对他们的安全负责。</w:t>
      </w:r>
    </w:p>
    <w:p w14:paraId="6BB83C56">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kern w:val="0"/>
          <w:szCs w:val="21"/>
          <w:highlight w:val="none"/>
          <w:lang w:val="zh-CN"/>
          <w14:textFill>
            <w14:solidFill>
              <w14:schemeClr w14:val="tx1"/>
            </w14:solidFill>
          </w14:textFill>
        </w:rPr>
        <w:t>应对合同工程的安全文明施工负责，采取有效的安全措施消除安全事故隐患，并接受和配合依法实施的监督检查。</w:t>
      </w:r>
    </w:p>
    <w:p w14:paraId="15EFA329">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7、乙方应遵守国家有关环境保护、卫生监督的法律法规，采取有效措施，保证施工场地达到环境保护、卫生部门的管理要求，为现场自有人员提供并维护干净卫生的生活设施，保持施工场地的清洁整齐。</w:t>
      </w:r>
    </w:p>
    <w:p w14:paraId="25530F5F">
      <w:pPr>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为保证合同设备的性能、满足招标文件要求功能且长期、稳定、正常运行要求所需要的，除施工图纸设计的预留洞口、预埋件、回填、防水外，需要另行发生的开（补）洞口、增加预埋件、填缝、回填材料、水管、电路接驳、安全装置、防水等，均由乙方自行负责，其费用包括在合同价中。</w:t>
      </w:r>
    </w:p>
    <w:p w14:paraId="7E81812E">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4945C177">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bookmarkStart w:id="530" w:name="OLE_LINK258"/>
      <w:r>
        <w:rPr>
          <w:rFonts w:hint="eastAsia" w:ascii="宋体" w:hAnsi="宋体" w:eastAsia="宋体" w:cs="宋体"/>
          <w:b/>
          <w:color w:val="000000" w:themeColor="text1"/>
          <w:szCs w:val="21"/>
          <w:highlight w:val="none"/>
          <w14:textFill>
            <w14:solidFill>
              <w14:schemeClr w14:val="tx1"/>
            </w14:solidFill>
          </w14:textFill>
        </w:rPr>
        <w:t xml:space="preserve">第十条 </w:t>
      </w:r>
      <w:bookmarkEnd w:id="530"/>
      <w:bookmarkStart w:id="531" w:name="OLE_LINK90"/>
      <w:r>
        <w:rPr>
          <w:rFonts w:hint="eastAsia" w:ascii="宋体" w:hAnsi="宋体" w:eastAsia="宋体" w:cs="宋体"/>
          <w:b/>
          <w:color w:val="000000" w:themeColor="text1"/>
          <w:szCs w:val="21"/>
          <w:highlight w:val="none"/>
          <w14:textFill>
            <w14:solidFill>
              <w14:schemeClr w14:val="tx1"/>
            </w14:solidFill>
          </w14:textFill>
        </w:rPr>
        <w:t>验收</w:t>
      </w:r>
      <w:bookmarkEnd w:id="531"/>
    </w:p>
    <w:p w14:paraId="141BC089">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1、验收分为货到交货地点的交接验收，货物完成安装、单机试运转的初步验收，和</w:t>
      </w:r>
      <w:bookmarkStart w:id="532" w:name="OLE_LINK288"/>
      <w:bookmarkStart w:id="533" w:name="OLE_LINK418"/>
      <w:r>
        <w:rPr>
          <w:rFonts w:hint="eastAsia" w:ascii="宋体" w:hAnsi="宋体" w:eastAsia="宋体" w:cs="宋体"/>
          <w:color w:val="000000" w:themeColor="text1"/>
          <w:szCs w:val="21"/>
          <w:highlight w:val="none"/>
          <w14:textFill>
            <w14:solidFill>
              <w14:schemeClr w14:val="tx1"/>
            </w14:solidFill>
          </w14:textFill>
        </w:rPr>
        <w:t>项目整体运转</w:t>
      </w:r>
      <w:bookmarkEnd w:id="532"/>
      <w:bookmarkStart w:id="534" w:name="OLE_LINK415"/>
      <w:r>
        <w:rPr>
          <w:rFonts w:hint="eastAsia" w:ascii="宋体" w:hAnsi="宋体" w:eastAsia="宋体" w:cs="宋体"/>
          <w:color w:val="000000" w:themeColor="text1"/>
          <w:highlight w:val="none"/>
          <w14:textFill>
            <w14:solidFill>
              <w14:schemeClr w14:val="tx1"/>
            </w14:solidFill>
          </w14:textFill>
        </w:rPr>
        <w:t>且并网送电</w:t>
      </w:r>
      <w:bookmarkEnd w:id="533"/>
      <w:bookmarkEnd w:id="534"/>
      <w:r>
        <w:rPr>
          <w:rFonts w:hint="eastAsia" w:ascii="宋体" w:hAnsi="宋体" w:eastAsia="宋体" w:cs="宋体"/>
          <w:color w:val="000000" w:themeColor="text1"/>
          <w:szCs w:val="21"/>
          <w:highlight w:val="none"/>
          <w14:textFill>
            <w14:solidFill>
              <w14:schemeClr w14:val="tx1"/>
            </w14:solidFill>
          </w14:textFill>
        </w:rPr>
        <w:t>的并网验收以及最终验收，并符合</w:t>
      </w:r>
      <w:r>
        <w:rPr>
          <w:rFonts w:hint="eastAsia" w:ascii="宋体" w:hAnsi="宋体" w:eastAsia="宋体" w:cs="宋体"/>
          <w:color w:val="000000" w:themeColor="text1"/>
          <w:kern w:val="0"/>
          <w:szCs w:val="21"/>
          <w:highlight w:val="none"/>
          <w14:textFill>
            <w14:solidFill>
              <w14:schemeClr w14:val="tx1"/>
            </w14:solidFill>
          </w14:textFill>
        </w:rPr>
        <w:t>国家、省或行业现行的</w:t>
      </w:r>
      <w:r>
        <w:rPr>
          <w:rFonts w:hint="eastAsia" w:ascii="宋体" w:hAnsi="宋体" w:eastAsia="宋体" w:cs="宋体"/>
          <w:color w:val="000000" w:themeColor="text1"/>
          <w:szCs w:val="21"/>
          <w:highlight w:val="none"/>
          <w14:textFill>
            <w14:solidFill>
              <w14:schemeClr w14:val="tx1"/>
            </w14:solidFill>
          </w14:textFill>
        </w:rPr>
        <w:t>相关规范。</w:t>
      </w:r>
    </w:p>
    <w:p w14:paraId="07B5F421">
      <w:pPr>
        <w:pStyle w:val="22"/>
        <w:tabs>
          <w:tab w:val="left" w:pos="0"/>
        </w:tabs>
        <w:adjustRightInd w:val="0"/>
        <w:spacing w:line="360" w:lineRule="auto"/>
        <w:ind w:firstLine="422"/>
        <w:textAlignment w:val="baseline"/>
        <w:rPr>
          <w:rFonts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2、交接验收：</w:t>
      </w:r>
    </w:p>
    <w:p w14:paraId="6A635DD8">
      <w:pPr>
        <w:pStyle w:val="22"/>
        <w:tabs>
          <w:tab w:val="left" w:pos="0"/>
        </w:tabs>
        <w:adjustRightInd w:val="0"/>
        <w:spacing w:line="360" w:lineRule="auto"/>
        <w:ind w:firstLine="422"/>
        <w:textAlignment w:val="baseline"/>
        <w:rPr>
          <w:rFonts w:hAnsi="宋体" w:cs="宋体"/>
          <w:color w:val="000000" w:themeColor="text1"/>
          <w:szCs w:val="21"/>
          <w:highlight w:val="none"/>
          <w:lang w:val="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lang w:val="zh-CN"/>
          <w14:textFill>
            <w14:solidFill>
              <w14:schemeClr w14:val="tx1"/>
            </w14:solidFill>
          </w14:textFill>
        </w:rPr>
        <w:t>货物运抵交货地点现场后</w:t>
      </w:r>
      <w:bookmarkStart w:id="535" w:name="OLE_LINK289"/>
      <w:r>
        <w:rPr>
          <w:rFonts w:hint="eastAsia" w:hAnsi="宋体" w:cs="宋体"/>
          <w:color w:val="000000" w:themeColor="text1"/>
          <w:szCs w:val="21"/>
          <w:highlight w:val="none"/>
          <w:u w:val="single"/>
          <w14:textFill>
            <w14:solidFill>
              <w14:schemeClr w14:val="tx1"/>
            </w14:solidFill>
          </w14:textFill>
        </w:rPr>
        <w:t xml:space="preserve"> 7 </w:t>
      </w:r>
      <w:r>
        <w:rPr>
          <w:rFonts w:hint="eastAsia" w:hAnsi="宋体" w:cs="宋体"/>
          <w:color w:val="000000" w:themeColor="text1"/>
          <w:szCs w:val="21"/>
          <w:highlight w:val="none"/>
          <w14:textFill>
            <w14:solidFill>
              <w14:schemeClr w14:val="tx1"/>
            </w14:solidFill>
          </w14:textFill>
        </w:rPr>
        <w:t>日内</w:t>
      </w:r>
      <w:bookmarkEnd w:id="535"/>
      <w:r>
        <w:rPr>
          <w:rFonts w:hint="eastAsia" w:hAnsi="宋体" w:cs="宋体"/>
          <w:color w:val="000000" w:themeColor="text1"/>
          <w:szCs w:val="21"/>
          <w:highlight w:val="none"/>
          <w:lang w:val="zh-CN"/>
          <w14:textFill>
            <w14:solidFill>
              <w14:schemeClr w14:val="tx1"/>
            </w14:solidFill>
          </w14:textFill>
        </w:rPr>
        <w:t>，</w:t>
      </w:r>
      <w:bookmarkStart w:id="536" w:name="OLE_LINK252"/>
      <w:r>
        <w:rPr>
          <w:rFonts w:hint="eastAsia" w:hAnsi="宋体" w:cs="宋体"/>
          <w:color w:val="000000" w:themeColor="text1"/>
          <w:szCs w:val="21"/>
          <w:highlight w:val="none"/>
          <w14:textFill>
            <w14:solidFill>
              <w14:schemeClr w14:val="tx1"/>
            </w14:solidFill>
          </w14:textFill>
        </w:rPr>
        <w:t>甲方（或甲方委托的第三方）</w:t>
      </w:r>
      <w:bookmarkEnd w:id="536"/>
      <w:r>
        <w:rPr>
          <w:rFonts w:hint="eastAsia" w:hAnsi="宋体" w:cs="宋体"/>
          <w:color w:val="000000" w:themeColor="text1"/>
          <w:szCs w:val="21"/>
          <w:highlight w:val="none"/>
          <w14:textFill>
            <w14:solidFill>
              <w14:schemeClr w14:val="tx1"/>
            </w14:solidFill>
          </w14:textFill>
        </w:rPr>
        <w:t>、乙方代表共同开箱验货。甲方（或甲方委托的第三方）</w:t>
      </w:r>
      <w:r>
        <w:rPr>
          <w:rFonts w:hint="eastAsia" w:hAnsi="宋体" w:cs="宋体"/>
          <w:color w:val="000000" w:themeColor="text1"/>
          <w:szCs w:val="21"/>
          <w:highlight w:val="none"/>
          <w:lang w:val="zh-CN"/>
          <w14:textFill>
            <w14:solidFill>
              <w14:schemeClr w14:val="tx1"/>
            </w14:solidFill>
          </w14:textFill>
        </w:rPr>
        <w:t>按照本合同及招标文件、投标文件、制造图纸、</w:t>
      </w:r>
      <w:r>
        <w:rPr>
          <w:rFonts w:hint="eastAsia" w:hAnsi="宋体" w:cs="宋体"/>
          <w:color w:val="000000" w:themeColor="text1"/>
          <w:szCs w:val="21"/>
          <w:highlight w:val="none"/>
          <w14:textFill>
            <w14:solidFill>
              <w14:schemeClr w14:val="tx1"/>
            </w14:solidFill>
          </w14:textFill>
        </w:rPr>
        <w:t>国家相关法律法规以及规范的要求</w:t>
      </w:r>
      <w:r>
        <w:rPr>
          <w:rFonts w:hint="eastAsia" w:hAnsi="宋体" w:cs="宋体"/>
          <w:color w:val="000000" w:themeColor="text1"/>
          <w:szCs w:val="21"/>
          <w:highlight w:val="none"/>
          <w:lang w:val="zh-CN"/>
          <w14:textFill>
            <w14:solidFill>
              <w14:schemeClr w14:val="tx1"/>
            </w14:solidFill>
          </w14:textFill>
        </w:rPr>
        <w:t>等相关的规定，对货物的品种、品牌、产地、型号规格、数量、外观质量、资料等进行清点和检查，并根据清点和检查情况作详细的记录。</w:t>
      </w:r>
    </w:p>
    <w:p w14:paraId="011408BB">
      <w:pPr>
        <w:pStyle w:val="22"/>
        <w:tabs>
          <w:tab w:val="left" w:pos="0"/>
        </w:tabs>
        <w:adjustRightInd w:val="0"/>
        <w:spacing w:line="360" w:lineRule="auto"/>
        <w:ind w:firstLine="422"/>
        <w:textAlignment w:val="baseline"/>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若乙方所提供的设备或部件为国外制造，应提供原产地证书、报关资料等必备证明资料。根据法律法规的规定，在货物入境过程中需要实施检验检疫的入境商品，经入境管理部门检验后，如有相关证明的，乙方应提供入境货物检验检疫证明。</w:t>
      </w:r>
    </w:p>
    <w:p w14:paraId="789F9891">
      <w:pPr>
        <w:pStyle w:val="22"/>
        <w:tabs>
          <w:tab w:val="left" w:pos="0"/>
        </w:tabs>
        <w:adjustRightInd w:val="0"/>
        <w:spacing w:line="360" w:lineRule="auto"/>
        <w:ind w:firstLine="420" w:firstLineChars="200"/>
        <w:textAlignment w:val="baseline"/>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w:t>
      </w:r>
      <w:r>
        <w:rPr>
          <w:rFonts w:hint="eastAsia" w:hAnsi="宋体" w:cs="宋体"/>
          <w:color w:val="000000" w:themeColor="text1"/>
          <w:szCs w:val="21"/>
          <w:highlight w:val="none"/>
          <w:lang w:val="zh-CN"/>
          <w14:textFill>
            <w14:solidFill>
              <w14:schemeClr w14:val="tx1"/>
            </w14:solidFill>
          </w14:textFill>
        </w:rPr>
        <w:t>如发现货物的品种、品牌、产地、型号规格、数量、外观质量、资料与合同约定或招标文件规定不符，</w:t>
      </w:r>
      <w:r>
        <w:rPr>
          <w:rFonts w:hint="eastAsia" w:hAnsi="宋体" w:cs="宋体"/>
          <w:color w:val="000000" w:themeColor="text1"/>
          <w:szCs w:val="21"/>
          <w:highlight w:val="none"/>
          <w14:textFill>
            <w14:solidFill>
              <w14:schemeClr w14:val="tx1"/>
            </w14:solidFill>
          </w14:textFill>
        </w:rPr>
        <w:t>或货物短缺、质次、损坏等问题，应作详细纪录，甲方有权拒绝收货并拒绝付款，或由乙方在甲方规定的时间内立即、无条件为甲方免费调换或补齐。调换或补齐后的货物，甲方有权按照本条有关验收的规定进行验收，由此产生的制造、修理和运费及保险费均应由乙方</w:t>
      </w:r>
      <w:bookmarkStart w:id="537" w:name="OLE_LINK417"/>
      <w:r>
        <w:rPr>
          <w:rFonts w:hint="eastAsia" w:hAnsi="宋体" w:cs="宋体"/>
          <w:color w:val="000000" w:themeColor="text1"/>
          <w:szCs w:val="21"/>
          <w:highlight w:val="none"/>
          <w14:textFill>
            <w14:solidFill>
              <w14:schemeClr w14:val="tx1"/>
            </w14:solidFill>
          </w14:textFill>
        </w:rPr>
        <w:t>承担</w:t>
      </w:r>
      <w:bookmarkEnd w:id="537"/>
      <w:r>
        <w:rPr>
          <w:rFonts w:hint="eastAsia" w:hAnsi="宋体" w:cs="宋体"/>
          <w:color w:val="000000" w:themeColor="text1"/>
          <w:szCs w:val="21"/>
          <w:highlight w:val="none"/>
          <w14:textFill>
            <w14:solidFill>
              <w14:schemeClr w14:val="tx1"/>
            </w14:solidFill>
          </w14:textFill>
        </w:rPr>
        <w:t>，与甲方无关。以上调换、更换、补齐货物的时间包含在甲乙双方约定的交货时间内。</w:t>
      </w:r>
    </w:p>
    <w:p w14:paraId="1DACDA15">
      <w:pPr>
        <w:pStyle w:val="22"/>
        <w:tabs>
          <w:tab w:val="left" w:pos="0"/>
        </w:tabs>
        <w:adjustRightInd w:val="0"/>
        <w:spacing w:line="360" w:lineRule="auto"/>
        <w:ind w:firstLine="420" w:firstLineChars="200"/>
        <w:textAlignment w:val="baseline"/>
        <w:rPr>
          <w:rFonts w:hAnsi="宋体" w:cs="宋体"/>
          <w:color w:val="000000" w:themeColor="text1"/>
          <w:szCs w:val="21"/>
          <w:highlight w:val="none"/>
          <w:lang w:val="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由于非甲方原因而引起的设备或部件的修理或更换的时间，应以不影响工期为原则进行，若造成工期延误的，甲方有权追究乙方逾期责任，即每逾期一日，乙方应按合同暂定总价（含税）的5‰向甲方支付违约金。乙方逾期超过30日的，甲方可单方解除本合同，无论甲方是否解除本合同，乙方除支付前述逾期违约金外，还应按合同暂定总价（含税）的5%向甲方支付赔偿金。该部分金额不足以弥补甲方损失的，甲方有权另行追偿。</w:t>
      </w:r>
    </w:p>
    <w:p w14:paraId="0B3709C2">
      <w:pPr>
        <w:pStyle w:val="22"/>
        <w:tabs>
          <w:tab w:val="left" w:pos="0"/>
        </w:tabs>
        <w:adjustRightInd w:val="0"/>
        <w:spacing w:line="360" w:lineRule="auto"/>
        <w:ind w:firstLine="420" w:firstLineChars="200"/>
        <w:textAlignment w:val="baseline"/>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（5）交接验收合格后，甲方</w:t>
      </w:r>
      <w:r>
        <w:rPr>
          <w:rFonts w:hint="eastAsia" w:hAnsi="宋体" w:cs="宋体"/>
          <w:color w:val="000000" w:themeColor="text1"/>
          <w:szCs w:val="21"/>
          <w:highlight w:val="none"/>
          <w:lang w:val="zh-CN"/>
          <w14:textFill>
            <w14:solidFill>
              <w14:schemeClr w14:val="tx1"/>
            </w14:solidFill>
          </w14:textFill>
        </w:rPr>
        <w:t>出具相关签收手续。</w:t>
      </w:r>
    </w:p>
    <w:p w14:paraId="597E1ECF">
      <w:pPr>
        <w:pStyle w:val="22"/>
        <w:tabs>
          <w:tab w:val="left" w:pos="0"/>
        </w:tabs>
        <w:adjustRightInd w:val="0"/>
        <w:spacing w:line="360" w:lineRule="auto"/>
        <w:ind w:firstLine="422" w:firstLineChars="200"/>
        <w:textAlignment w:val="baseline"/>
        <w:rPr>
          <w:rFonts w:hAnsi="宋体" w:cs="宋体"/>
          <w:b/>
          <w:color w:val="000000" w:themeColor="text1"/>
          <w:szCs w:val="21"/>
          <w:highlight w:val="none"/>
          <w14:textFill>
            <w14:solidFill>
              <w14:schemeClr w14:val="tx1"/>
            </w14:solidFill>
          </w14:textFill>
        </w:rPr>
      </w:pPr>
      <w:bookmarkStart w:id="538" w:name="OLE_LINK473"/>
      <w:r>
        <w:rPr>
          <w:rFonts w:hint="eastAsia" w:hAnsi="宋体" w:cs="宋体"/>
          <w:b/>
          <w:bCs/>
          <w:color w:val="000000" w:themeColor="text1"/>
          <w:szCs w:val="21"/>
          <w:highlight w:val="none"/>
          <w14:textFill>
            <w14:solidFill>
              <w14:schemeClr w14:val="tx1"/>
            </w14:solidFill>
          </w14:textFill>
        </w:rPr>
        <w:t>3、初步验收：</w:t>
      </w:r>
      <w:bookmarkEnd w:id="538"/>
    </w:p>
    <w:p w14:paraId="5670C20A">
      <w:pPr>
        <w:pStyle w:val="22"/>
        <w:tabs>
          <w:tab w:val="left" w:pos="0"/>
        </w:tabs>
        <w:adjustRightInd w:val="0"/>
        <w:spacing w:line="360" w:lineRule="auto"/>
        <w:ind w:firstLine="420" w:firstLineChars="200"/>
        <w:textAlignment w:val="baseline"/>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（1）合同项下货物在完成全部安装、逐一单机试运转及性能测试合格后，甲方（含甲方委托的第三方）、乙方一起对设备的</w:t>
      </w:r>
      <w:r>
        <w:rPr>
          <w:rFonts w:hint="eastAsia" w:hAnsi="宋体" w:cs="宋体"/>
          <w:color w:val="000000" w:themeColor="text1"/>
          <w:szCs w:val="21"/>
          <w:highlight w:val="none"/>
          <w:lang w:val="zh-CN"/>
          <w14:textFill>
            <w14:solidFill>
              <w14:schemeClr w14:val="tx1"/>
            </w14:solidFill>
          </w14:textFill>
        </w:rPr>
        <w:t>完整性</w:t>
      </w:r>
      <w:r>
        <w:rPr>
          <w:rFonts w:hint="eastAsia" w:hAnsi="宋体" w:cs="宋体"/>
          <w:color w:val="000000" w:themeColor="text1"/>
          <w:szCs w:val="21"/>
          <w:highlight w:val="none"/>
          <w14:textFill>
            <w14:solidFill>
              <w14:schemeClr w14:val="tx1"/>
            </w14:solidFill>
          </w14:textFill>
        </w:rPr>
        <w:t>，安装与设计图纸符合性和合理性、单机试运转的测试结果进行初步检验。</w:t>
      </w:r>
    </w:p>
    <w:p w14:paraId="3ED0E77A">
      <w:pPr>
        <w:pStyle w:val="22"/>
        <w:tabs>
          <w:tab w:val="left" w:pos="0"/>
        </w:tabs>
        <w:adjustRightInd w:val="0"/>
        <w:spacing w:line="360" w:lineRule="auto"/>
        <w:ind w:firstLine="420" w:firstLineChars="200"/>
        <w:textAlignment w:val="baseline"/>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（2）乙方在货物安装、单机试运转过程中，应做好详细的检验、测试记录和试验结果，检验结果应符合</w:t>
      </w:r>
      <w:r>
        <w:rPr>
          <w:rFonts w:hint="eastAsia" w:hAnsi="宋体" w:cs="宋体"/>
          <w:color w:val="000000" w:themeColor="text1"/>
          <w:szCs w:val="21"/>
          <w:highlight w:val="none"/>
          <w:lang w:val="zh-CN"/>
          <w14:textFill>
            <w14:solidFill>
              <w14:schemeClr w14:val="tx1"/>
            </w14:solidFill>
          </w14:textFill>
        </w:rPr>
        <w:t>本合同及招标文件、投标文件、制造图纸、</w:t>
      </w:r>
      <w:r>
        <w:rPr>
          <w:rFonts w:hint="eastAsia" w:hAnsi="宋体" w:cs="宋体"/>
          <w:color w:val="000000" w:themeColor="text1"/>
          <w:szCs w:val="21"/>
          <w:highlight w:val="none"/>
          <w14:textFill>
            <w14:solidFill>
              <w14:schemeClr w14:val="tx1"/>
            </w14:solidFill>
          </w14:textFill>
        </w:rPr>
        <w:t>国家相关法律法规以及规范的</w:t>
      </w:r>
      <w:r>
        <w:rPr>
          <w:rFonts w:hint="eastAsia" w:hAnsi="宋体" w:cs="宋体"/>
          <w:color w:val="000000" w:themeColor="text1"/>
          <w:szCs w:val="21"/>
          <w:highlight w:val="none"/>
          <w:lang w:val="zh-CN"/>
          <w14:textFill>
            <w14:solidFill>
              <w14:schemeClr w14:val="tx1"/>
            </w14:solidFill>
          </w14:textFill>
        </w:rPr>
        <w:t>规定标准。（当多个标准不一致时，以最高标准作为验收标准）。</w:t>
      </w:r>
      <w:r>
        <w:rPr>
          <w:rFonts w:hint="eastAsia" w:hAnsi="宋体" w:cs="宋体"/>
          <w:color w:val="000000" w:themeColor="text1"/>
          <w:szCs w:val="21"/>
          <w:highlight w:val="none"/>
          <w14:textFill>
            <w14:solidFill>
              <w14:schemeClr w14:val="tx1"/>
            </w14:solidFill>
          </w14:textFill>
        </w:rPr>
        <w:t xml:space="preserve"> </w:t>
      </w:r>
    </w:p>
    <w:p w14:paraId="6F4D1819">
      <w:pPr>
        <w:pStyle w:val="22"/>
        <w:tabs>
          <w:tab w:val="left" w:pos="0"/>
        </w:tabs>
        <w:adjustRightInd w:val="0"/>
        <w:spacing w:line="360" w:lineRule="auto"/>
        <w:ind w:firstLine="420" w:firstLineChars="200"/>
        <w:textAlignment w:val="baseline"/>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（3）达到验收标准，甲、乙双方及相关单位共同签署初步验收记录。乙方同时提供单机试运转报告、测试报告等资料。 </w:t>
      </w:r>
    </w:p>
    <w:p w14:paraId="7BA25CAE">
      <w:pPr>
        <w:pStyle w:val="22"/>
        <w:tabs>
          <w:tab w:val="left" w:pos="0"/>
        </w:tabs>
        <w:adjustRightInd w:val="0"/>
        <w:spacing w:line="360" w:lineRule="auto"/>
        <w:ind w:firstLine="422"/>
        <w:textAlignment w:val="baseline"/>
        <w:rPr>
          <w:rFonts w:hAnsi="宋体" w:cs="宋体"/>
          <w:b/>
          <w:bCs/>
          <w:color w:val="000000" w:themeColor="text1"/>
          <w:szCs w:val="21"/>
          <w:highlight w:val="none"/>
          <w14:textFill>
            <w14:solidFill>
              <w14:schemeClr w14:val="tx1"/>
            </w14:solidFill>
          </w14:textFill>
        </w:rPr>
      </w:pPr>
      <w:bookmarkStart w:id="539" w:name="OLE_LINK474"/>
      <w:r>
        <w:rPr>
          <w:rFonts w:hint="eastAsia" w:hAnsi="宋体" w:cs="宋体"/>
          <w:b/>
          <w:bCs/>
          <w:color w:val="000000" w:themeColor="text1"/>
          <w:szCs w:val="21"/>
          <w:highlight w:val="none"/>
          <w14:textFill>
            <w14:solidFill>
              <w14:schemeClr w14:val="tx1"/>
            </w14:solidFill>
          </w14:textFill>
        </w:rPr>
        <w:t>4、并网验收：</w:t>
      </w:r>
      <w:bookmarkEnd w:id="539"/>
    </w:p>
    <w:p w14:paraId="1ECA8B1B">
      <w:pPr>
        <w:pStyle w:val="22"/>
        <w:tabs>
          <w:tab w:val="left" w:pos="0"/>
        </w:tabs>
        <w:adjustRightInd w:val="0"/>
        <w:spacing w:line="360" w:lineRule="auto"/>
        <w:ind w:firstLine="422"/>
        <w:textAlignment w:val="baseline"/>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在设备调试初步验收合格后乙方应根据甲方要求时间内完成整体性能验收，执行国家、省或行业现行的质量验收标准及规范，须达到合格标准，并通过当地相关供电部门的并网验收可启动送电即为并网验收合格。</w:t>
      </w:r>
    </w:p>
    <w:p w14:paraId="5B474314">
      <w:pPr>
        <w:pStyle w:val="22"/>
        <w:tabs>
          <w:tab w:val="left" w:pos="0"/>
        </w:tabs>
        <w:adjustRightInd w:val="0"/>
        <w:spacing w:line="360" w:lineRule="auto"/>
        <w:ind w:firstLine="422"/>
        <w:textAlignment w:val="baseline"/>
        <w:rPr>
          <w:rFonts w:hAnsi="宋体" w:cs="宋体"/>
          <w:color w:val="000000" w:themeColor="text1"/>
          <w:szCs w:val="21"/>
          <w:highlight w:val="none"/>
          <w14:textFill>
            <w14:solidFill>
              <w14:schemeClr w14:val="tx1"/>
            </w14:solidFill>
          </w14:textFill>
        </w:rPr>
      </w:pPr>
      <w:bookmarkStart w:id="540" w:name="OLE_LINK476"/>
      <w:r>
        <w:rPr>
          <w:rFonts w:hint="eastAsia" w:hAnsi="宋体" w:cs="宋体"/>
          <w:b/>
          <w:bCs/>
          <w:color w:val="000000" w:themeColor="text1"/>
          <w:szCs w:val="21"/>
          <w:highlight w:val="none"/>
          <w14:textFill>
            <w14:solidFill>
              <w14:schemeClr w14:val="tx1"/>
            </w14:solidFill>
          </w14:textFill>
        </w:rPr>
        <w:t>5</w:t>
      </w:r>
      <w:bookmarkStart w:id="541" w:name="OLE_LINK475"/>
      <w:r>
        <w:rPr>
          <w:rFonts w:hint="eastAsia" w:hAnsi="宋体" w:cs="宋体"/>
          <w:b/>
          <w:bCs/>
          <w:color w:val="000000" w:themeColor="text1"/>
          <w:szCs w:val="21"/>
          <w:highlight w:val="none"/>
          <w14:textFill>
            <w14:solidFill>
              <w14:schemeClr w14:val="tx1"/>
            </w14:solidFill>
          </w14:textFill>
        </w:rPr>
        <w:t>、最终验收：</w:t>
      </w:r>
      <w:bookmarkEnd w:id="540"/>
    </w:p>
    <w:bookmarkEnd w:id="541"/>
    <w:p w14:paraId="57E53FEA">
      <w:pPr>
        <w:pStyle w:val="22"/>
        <w:tabs>
          <w:tab w:val="left" w:pos="0"/>
        </w:tabs>
        <w:adjustRightInd w:val="0"/>
        <w:spacing w:line="360" w:lineRule="auto"/>
        <w:ind w:firstLine="422"/>
        <w:textAlignment w:val="baseline"/>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（1）本项目在验收并网送电后递交全套竣工图设计文件及项目所有资料文档，经甲方验收合格的，甲方向乙方出具书面的验收合格报告。当乙方取得甲方出具的书面最终验收合格报告，视为最终验收合格。</w:t>
      </w:r>
    </w:p>
    <w:p w14:paraId="10D1D232">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甲方在进行任何一次验收时发现货物或安装不符合相关要求的，可拒绝验收或要求乙方承担免费更换或退货或重新安装责任（注：对货物质量问题不符的，应更换新品，不得以维修修复代替），乙方应在3日内自行拆除、更换新品、运回或重新安装，甲方不承担因验收造成的产品损耗且不对产品承担保管责任，因此产生的一切费用及风险由乙方承担。</w:t>
      </w:r>
    </w:p>
    <w:p w14:paraId="5C798800">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7、甲方根据本条规定对货物所做出的验收，仅作为起算付款及质保期之用，不视为双方对于货物质量的最终认可，乙方仍应在质保期内对产品质量承担保证责任。</w:t>
      </w:r>
    </w:p>
    <w:p w14:paraId="3D635EE9">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8、货物在最终验收合格至移交之日前，其损耗、毁损、灭失等风险及责任由乙方承担，如因发生前述情形，导致不能通过甲方验收移交的，乙方应按甲方要求予以免费更换或退货。</w:t>
      </w:r>
    </w:p>
    <w:p w14:paraId="283CF49A">
      <w:pPr>
        <w:pStyle w:val="22"/>
        <w:tabs>
          <w:tab w:val="left" w:pos="0"/>
        </w:tabs>
        <w:adjustRightInd w:val="0"/>
        <w:spacing w:line="360" w:lineRule="auto"/>
        <w:ind w:firstLine="422"/>
        <w:textAlignment w:val="baseline"/>
        <w:rPr>
          <w:rFonts w:hAnsi="宋体" w:cs="宋体"/>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9、任一验收过程中，</w:t>
      </w:r>
      <w:r>
        <w:rPr>
          <w:rFonts w:hint="eastAsia" w:hAnsi="宋体" w:cs="宋体"/>
          <w:color w:val="000000" w:themeColor="text1"/>
          <w:szCs w:val="21"/>
          <w:highlight w:val="none"/>
          <w14:textFill>
            <w14:solidFill>
              <w14:schemeClr w14:val="tx1"/>
            </w14:solidFill>
          </w14:textFill>
        </w:rPr>
        <w:t>如对检验记录不能取得一致意见时，可委托项目所在地具有资质的第三方检验机构联合进行检验或鉴定，相关费用先由乙方垫付，最终费用由责任方承担。</w:t>
      </w:r>
    </w:p>
    <w:p w14:paraId="45807742">
      <w:pPr>
        <w:pStyle w:val="22"/>
        <w:tabs>
          <w:tab w:val="left" w:pos="0"/>
        </w:tabs>
        <w:adjustRightInd w:val="0"/>
        <w:spacing w:line="360" w:lineRule="auto"/>
        <w:textAlignment w:val="baseline"/>
        <w:rPr>
          <w:rFonts w:hAnsi="宋体" w:cs="宋体"/>
          <w:b/>
          <w:color w:val="000000" w:themeColor="text1"/>
          <w:szCs w:val="21"/>
          <w:highlight w:val="none"/>
          <w14:textFill>
            <w14:solidFill>
              <w14:schemeClr w14:val="tx1"/>
            </w14:solidFill>
          </w14:textFill>
        </w:rPr>
      </w:pPr>
    </w:p>
    <w:p w14:paraId="6C6C0B78">
      <w:pPr>
        <w:pStyle w:val="22"/>
        <w:tabs>
          <w:tab w:val="left" w:pos="0"/>
        </w:tabs>
        <w:adjustRightInd w:val="0"/>
        <w:spacing w:line="360" w:lineRule="auto"/>
        <w:ind w:firstLine="422"/>
        <w:textAlignment w:val="baseline"/>
        <w:rPr>
          <w:rFonts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第十一条 项目照管</w:t>
      </w:r>
    </w:p>
    <w:p w14:paraId="0800FB66">
      <w:pPr>
        <w:pStyle w:val="22"/>
        <w:tabs>
          <w:tab w:val="left" w:pos="0"/>
        </w:tabs>
        <w:adjustRightInd w:val="0"/>
        <w:spacing w:line="360" w:lineRule="auto"/>
        <w:ind w:firstLine="420" w:firstLineChars="200"/>
        <w:textAlignment w:val="baseline"/>
        <w:rPr>
          <w:rFonts w:hAnsi="宋体" w:cs="宋体"/>
          <w:bCs/>
          <w:color w:val="000000" w:themeColor="text1"/>
          <w:szCs w:val="21"/>
          <w:highlight w:val="none"/>
          <w14:textFill>
            <w14:solidFill>
              <w14:schemeClr w14:val="tx1"/>
            </w14:solidFill>
          </w14:textFill>
        </w:rPr>
      </w:pPr>
      <w:bookmarkStart w:id="542" w:name="OLE_LINK484"/>
      <w:r>
        <w:rPr>
          <w:rFonts w:hint="eastAsia" w:hAnsi="宋体" w:cs="宋体"/>
          <w:bCs/>
          <w:color w:val="000000" w:themeColor="text1"/>
          <w:szCs w:val="21"/>
          <w:highlight w:val="none"/>
          <w14:textFill>
            <w14:solidFill>
              <w14:schemeClr w14:val="tx1"/>
            </w14:solidFill>
          </w14:textFill>
        </w:rPr>
        <w:t>从本合同签订之日起，乙方应全面负责照管合同项目及运至现场将用于和安装在合同项目中的材料和设备设施等，直到合同双方当事人确认项目移交之日止。此后，项目的照管即转由甲方负责。如在整个项目移交前，合同双方当事人已经确认移交或甲方提前接管其中任一单位项目，则从确认移交或提前接管之日起乙方无须对该单位项目负责照管，而转由甲方负责。但乙方应继续负责照管尚未完成的项目和将用于或安装在合同项目中的材料和设备设施等，直至完成上述工作并经合同双方当事人确认整个项目移交之日止。乙方在负责项目照管期间，如因自身原因造成合同项目或其任何部分，以及材料和工程设备设施或临时设施的损坏，乙方应自费修复上述损坏或更新更换，保证合同项目质量达到合同约定的标准。</w:t>
      </w:r>
    </w:p>
    <w:bookmarkEnd w:id="542"/>
    <w:p w14:paraId="28B934D3">
      <w:pPr>
        <w:pStyle w:val="22"/>
        <w:tabs>
          <w:tab w:val="left" w:pos="0"/>
        </w:tabs>
        <w:adjustRightInd w:val="0"/>
        <w:spacing w:line="360" w:lineRule="auto"/>
        <w:textAlignment w:val="baseline"/>
        <w:rPr>
          <w:rFonts w:hAnsi="宋体" w:cs="宋体"/>
          <w:b/>
          <w:color w:val="000000" w:themeColor="text1"/>
          <w:szCs w:val="21"/>
          <w:highlight w:val="none"/>
          <w14:textFill>
            <w14:solidFill>
              <w14:schemeClr w14:val="tx1"/>
            </w14:solidFill>
          </w14:textFill>
        </w:rPr>
      </w:pPr>
      <w:bookmarkStart w:id="543" w:name="OLE_LINK482"/>
    </w:p>
    <w:bookmarkEnd w:id="543"/>
    <w:p w14:paraId="642C420A">
      <w:pPr>
        <w:pStyle w:val="22"/>
        <w:tabs>
          <w:tab w:val="left" w:pos="0"/>
        </w:tabs>
        <w:adjustRightInd w:val="0"/>
        <w:spacing w:line="360" w:lineRule="auto"/>
        <w:ind w:firstLine="422"/>
        <w:textAlignment w:val="baseline"/>
        <w:rPr>
          <w:rFonts w:hAnsi="宋体" w:cs="宋体"/>
          <w:b/>
          <w:color w:val="000000" w:themeColor="text1"/>
          <w:szCs w:val="21"/>
          <w:highlight w:val="none"/>
          <w14:textFill>
            <w14:solidFill>
              <w14:schemeClr w14:val="tx1"/>
            </w14:solidFill>
          </w14:textFill>
        </w:rPr>
      </w:pPr>
      <w:bookmarkStart w:id="544" w:name="OLE_LINK483"/>
      <w:r>
        <w:rPr>
          <w:rFonts w:hint="eastAsia" w:hAnsi="宋体" w:cs="宋体"/>
          <w:b/>
          <w:color w:val="000000" w:themeColor="text1"/>
          <w:szCs w:val="21"/>
          <w:highlight w:val="none"/>
          <w14:textFill>
            <w14:solidFill>
              <w14:schemeClr w14:val="tx1"/>
            </w14:solidFill>
          </w14:textFill>
        </w:rPr>
        <w:t xml:space="preserve">第十二条 </w:t>
      </w:r>
      <w:bookmarkStart w:id="545" w:name="OLE_LINK92"/>
      <w:r>
        <w:rPr>
          <w:rFonts w:hint="eastAsia" w:hAnsi="宋体" w:cs="宋体"/>
          <w:b/>
          <w:color w:val="000000" w:themeColor="text1"/>
          <w:szCs w:val="21"/>
          <w:highlight w:val="none"/>
          <w14:textFill>
            <w14:solidFill>
              <w14:schemeClr w14:val="tx1"/>
            </w14:solidFill>
          </w14:textFill>
        </w:rPr>
        <w:t>技术服务、设计联络、设计技术要求和培训</w:t>
      </w:r>
      <w:bookmarkEnd w:id="545"/>
    </w:p>
    <w:bookmarkEnd w:id="544"/>
    <w:p w14:paraId="10EE6D1A">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1、技术服务、设计联络、设计技术要求</w:t>
      </w:r>
    </w:p>
    <w:p w14:paraId="25DC2E67">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设计质量要求：本项目的设计过程和成果必须符合国家、广东省、东莞市颁布的有关设计方面的现行标准、规范、规程、定额、办法，满足甲方的相关功能需求，并通过甲方及有关部门或专业审图机构的审查。在设计过程中，如果国家或有关部门颁发了新的技术标准或规范，应采用新的标准或规范进行设计。</w:t>
      </w:r>
    </w:p>
    <w:p w14:paraId="0AECE27D">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（2）乙方应及时提供与本合同设备有关的工程设计、检验、土建（如有）、安装、调试、验收、试验、运行、检修、运维等相应的技术指导、技术配合、技术培训等全过程的服务。</w:t>
      </w:r>
    </w:p>
    <w:p w14:paraId="3CB98A4F">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在施工图设计阶段，乙方有义务根据实际情况派遣具有丰富经验的专业技术人员到东莞市参加设计联络会议进行技术交流，包括参加设计会签及校核和审查会议，以完成施工图设计。所需的费用均由乙方负责。设计联络的确切日期由</w:t>
      </w:r>
      <w:bookmarkStart w:id="546" w:name="OLE_LINK420"/>
      <w:r>
        <w:rPr>
          <w:rFonts w:hint="eastAsia" w:ascii="宋体" w:hAnsi="宋体" w:eastAsia="宋体" w:cs="宋体"/>
          <w:color w:val="000000" w:themeColor="text1"/>
          <w:szCs w:val="21"/>
          <w:highlight w:val="none"/>
          <w14:textFill>
            <w14:solidFill>
              <w14:schemeClr w14:val="tx1"/>
            </w14:solidFill>
          </w14:textFill>
        </w:rPr>
        <w:t>甲方确定。</w:t>
      </w:r>
    </w:p>
    <w:p w14:paraId="34FBDBAE">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（4）甲方有权将乙方</w:t>
      </w:r>
      <w:bookmarkEnd w:id="546"/>
      <w:r>
        <w:rPr>
          <w:rFonts w:hint="eastAsia" w:ascii="宋体" w:hAnsi="宋体" w:eastAsia="宋体" w:cs="宋体"/>
          <w:color w:val="000000" w:themeColor="text1"/>
          <w:szCs w:val="21"/>
          <w:highlight w:val="none"/>
          <w14:textFill>
            <w14:solidFill>
              <w14:schemeClr w14:val="tx1"/>
            </w14:solidFill>
          </w14:textFill>
        </w:rPr>
        <w:t>所提供的一切与本合同设备有关的资料分发给与本项目有关的各方，并不由此而构成任何侵权，亦无需事先取得乙方的同意，但双方不得向任何与本项目无关的第三方提供。</w:t>
      </w:r>
    </w:p>
    <w:p w14:paraId="3D277A07">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乙方须对一切与本合同有关（包括外购）的供货、设备及技术接口、技术服务等问题负全部责任。凡与本合同设备相连接的其它设备装置，乙方有提供接口和技术配合的义务，并不由此而向甲方主张发生合同价格以外的任何费用。</w:t>
      </w:r>
    </w:p>
    <w:p w14:paraId="2E8133E3">
      <w:pPr>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（6）由于乙方技术服务人员对安装的疏忽和错误以及乙方未按要求派人指导而造成的直接损失应由乙方负责。造成甲方损失的，乙方需足额赔偿。</w:t>
      </w:r>
    </w:p>
    <w:p w14:paraId="2DB06109">
      <w:pPr>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2、人员培训</w:t>
      </w:r>
    </w:p>
    <w:p w14:paraId="62875A61">
      <w:pPr>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（1）现场培训：指在合同履行期间，乙方派专人对操作工人进行培训，务必使这些受训人员能胜任这些设备的检验、运行和维护工作。</w:t>
      </w:r>
    </w:p>
    <w:p w14:paraId="7DA31958">
      <w:pPr>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（2）培训地点规模：由甲方指定，乙方应</w:t>
      </w:r>
      <w:bookmarkStart w:id="547" w:name="OLE_LINK261"/>
      <w:r>
        <w:rPr>
          <w:rFonts w:hint="eastAsia" w:ascii="宋体" w:hAnsi="宋体" w:eastAsia="宋体" w:cs="宋体"/>
          <w:color w:val="000000" w:themeColor="text1"/>
          <w:szCs w:val="21"/>
          <w:highlight w:val="none"/>
          <w14:textFill>
            <w14:solidFill>
              <w14:schemeClr w14:val="tx1"/>
            </w14:solidFill>
          </w14:textFill>
        </w:rPr>
        <w:t>提前 15 日</w:t>
      </w:r>
      <w:bookmarkEnd w:id="547"/>
      <w:r>
        <w:rPr>
          <w:rFonts w:hint="eastAsia" w:ascii="宋体" w:hAnsi="宋体" w:eastAsia="宋体" w:cs="宋体"/>
          <w:color w:val="000000" w:themeColor="text1"/>
          <w:szCs w:val="21"/>
          <w:highlight w:val="none"/>
          <w14:textFill>
            <w14:solidFill>
              <w14:schemeClr w14:val="tx1"/>
            </w14:solidFill>
          </w14:textFill>
        </w:rPr>
        <w:t>提供完整的书面培训计划和方案，列明提供培训的技术人员名单及资质，以及培训完成后甲方人员可达到的水平等。</w:t>
      </w:r>
    </w:p>
    <w:p w14:paraId="75104A90">
      <w:pPr>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培训内容：乙方为甲方免费提供操作及维护培训，主要内容为货物的基本结构、性能、主要部件的构造及原理，日常使用操作、保养与管理，常见故障的原因分析与排除，紧急情况的处理等。进口设备由外籍技术人员给甲方技术人员进行培训时，乙方必须聘请专业的翻译人员，并提供相关的中英文资料。</w:t>
      </w:r>
    </w:p>
    <w:p w14:paraId="0D09716C">
      <w:pPr>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（4）培训次数：不低于【】次，每次不低于【】天，具体根据甲方需求确定。</w:t>
      </w:r>
    </w:p>
    <w:p w14:paraId="3E51007F">
      <w:pPr>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（5）培训费用：培训费用由乙方承担，该费用已包含在合同价中。</w:t>
      </w:r>
    </w:p>
    <w:p w14:paraId="448CCDD2">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68C0C847">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第十三条 </w:t>
      </w:r>
      <w:bookmarkStart w:id="548" w:name="OLE_LINK93"/>
      <w:r>
        <w:rPr>
          <w:rFonts w:hint="eastAsia" w:ascii="宋体" w:hAnsi="宋体" w:eastAsia="宋体" w:cs="宋体"/>
          <w:b/>
          <w:color w:val="000000" w:themeColor="text1"/>
          <w:szCs w:val="21"/>
          <w:highlight w:val="none"/>
          <w14:textFill>
            <w14:solidFill>
              <w14:schemeClr w14:val="tx1"/>
            </w14:solidFill>
          </w14:textFill>
        </w:rPr>
        <w:t>质保期及售后服务</w:t>
      </w:r>
      <w:bookmarkEnd w:id="548"/>
    </w:p>
    <w:p w14:paraId="46D04793">
      <w:pPr>
        <w:pStyle w:val="2"/>
        <w:spacing w:line="360" w:lineRule="auto"/>
        <w:ind w:firstLine="422" w:firstLineChars="200"/>
        <w:jc w:val="left"/>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14:textFill>
            <w14:solidFill>
              <w14:schemeClr w14:val="tx1"/>
            </w14:solidFill>
          </w14:textFill>
        </w:rPr>
        <w:t>1、</w:t>
      </w:r>
      <w:bookmarkStart w:id="549" w:name="OLE_LINK423"/>
      <w:bookmarkStart w:id="550" w:name="OLE_LINK422"/>
      <w:r>
        <w:rPr>
          <w:rFonts w:hint="eastAsia" w:hAnsi="宋体" w:cs="宋体"/>
          <w:color w:val="000000" w:themeColor="text1"/>
          <w:sz w:val="21"/>
          <w:szCs w:val="21"/>
          <w:highlight w:val="none"/>
          <w14:textFill>
            <w14:solidFill>
              <w14:schemeClr w14:val="tx1"/>
            </w14:solidFill>
          </w14:textFill>
        </w:rPr>
        <w:t>质保期为项目整体最终验收合格后2年，如个体设备有更高要求的，遵循更高要求</w:t>
      </w:r>
      <w:bookmarkEnd w:id="549"/>
      <w:bookmarkEnd w:id="550"/>
      <w:r>
        <w:rPr>
          <w:rFonts w:hint="eastAsia" w:hAnsi="宋体" w:cs="宋体"/>
          <w:color w:val="000000" w:themeColor="text1"/>
          <w:sz w:val="21"/>
          <w:szCs w:val="21"/>
          <w:highlight w:val="none"/>
          <w:lang w:val="en-US"/>
          <w14:textFill>
            <w14:solidFill>
              <w14:schemeClr w14:val="tx1"/>
            </w14:solidFill>
          </w14:textFill>
        </w:rPr>
        <w:t>。</w:t>
      </w:r>
      <w:r>
        <w:rPr>
          <w:rFonts w:hint="eastAsia" w:hAnsi="宋体" w:cs="宋体"/>
          <w:color w:val="000000" w:themeColor="text1"/>
          <w:sz w:val="21"/>
          <w:szCs w:val="21"/>
          <w:highlight w:val="none"/>
          <w14:textFill>
            <w14:solidFill>
              <w14:schemeClr w14:val="tx1"/>
            </w14:solidFill>
          </w14:textFill>
        </w:rPr>
        <w:t>若在该质保期间任何部件需进行更换，则该部件质保期应从更换日起重新计算。质保期内，乙方对本项目供货、安装质量进行免费保修，免费保修包括但不限于由乙方承担完成质保期的工作而产生的运费、购置费、测试费、人工费等各项费用。</w:t>
      </w:r>
    </w:p>
    <w:p w14:paraId="3F56AEF0">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质保期内乙方应提供免费上门维修、保养及其他售后服务，对设备出现的不符合合同要求的或有瑕疵之处提供免费维修或更换配件服务，经维修、更换配件后的设备质保期从维修或更换并经甲方验收合格后重新计算。</w:t>
      </w:r>
    </w:p>
    <w:p w14:paraId="7B821389">
      <w:pPr>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bookmarkStart w:id="551" w:name="OLE_LINK292"/>
      <w:r>
        <w:rPr>
          <w:rFonts w:hint="eastAsia" w:ascii="宋体" w:hAnsi="宋体" w:eastAsia="宋体" w:cs="宋体"/>
          <w:color w:val="000000" w:themeColor="text1"/>
          <w:szCs w:val="21"/>
          <w:highlight w:val="none"/>
          <w14:textFill>
            <w14:solidFill>
              <w14:schemeClr w14:val="tx1"/>
            </w14:solidFill>
          </w14:textFill>
        </w:rPr>
        <w:t>在质保期内乙方应负责设备的保养，</w:t>
      </w:r>
      <w:bookmarkStart w:id="552" w:name="OLE_LINK262"/>
      <w:r>
        <w:rPr>
          <w:rFonts w:hint="eastAsia" w:ascii="宋体" w:hAnsi="宋体" w:eastAsia="宋体" w:cs="宋体"/>
          <w:color w:val="000000" w:themeColor="text1"/>
          <w:szCs w:val="21"/>
          <w:highlight w:val="none"/>
          <w14:textFill>
            <w14:solidFill>
              <w14:schemeClr w14:val="tx1"/>
            </w14:solidFill>
          </w14:textFill>
        </w:rPr>
        <w:t>并实施每年至少两次（至少半年为一周期）的整体检查</w:t>
      </w:r>
      <w:bookmarkEnd w:id="552"/>
      <w:r>
        <w:rPr>
          <w:rFonts w:hint="eastAsia" w:ascii="宋体" w:hAnsi="宋体" w:eastAsia="宋体" w:cs="宋体"/>
          <w:color w:val="000000" w:themeColor="text1"/>
          <w:szCs w:val="21"/>
          <w:highlight w:val="none"/>
          <w14:textFill>
            <w14:solidFill>
              <w14:schemeClr w14:val="tx1"/>
            </w14:solidFill>
          </w14:textFill>
        </w:rPr>
        <w:t>，并在每次检查后【15】日内向甲方提供书面的检查报告。质保期间如在正常操作情况下，任何机件因设计不当、材质缺陷或制造欠佳等因素而发生故障，</w:t>
      </w:r>
      <w:bookmarkStart w:id="553" w:name="OLE_LINK263"/>
      <w:r>
        <w:rPr>
          <w:rFonts w:hint="eastAsia" w:ascii="宋体" w:hAnsi="宋体" w:eastAsia="宋体" w:cs="宋体"/>
          <w:color w:val="000000" w:themeColor="text1"/>
          <w:szCs w:val="21"/>
          <w:highlight w:val="none"/>
          <w14:textFill>
            <w14:solidFill>
              <w14:schemeClr w14:val="tx1"/>
            </w14:solidFill>
          </w14:textFill>
        </w:rPr>
        <w:t>乙方应在接到报修通知后</w:t>
      </w:r>
      <w:r>
        <w:rPr>
          <w:rFonts w:hint="eastAsia" w:ascii="宋体" w:hAnsi="宋体" w:eastAsia="宋体" w:cs="宋体"/>
          <w:b/>
          <w:color w:val="000000" w:themeColor="text1"/>
          <w:szCs w:val="21"/>
          <w:highlight w:val="none"/>
          <w:u w:val="single"/>
          <w14:textFill>
            <w14:solidFill>
              <w14:schemeClr w14:val="tx1"/>
            </w14:solidFill>
          </w14:textFill>
        </w:rPr>
        <w:t xml:space="preserve"> 1 </w:t>
      </w:r>
      <w:r>
        <w:rPr>
          <w:rFonts w:hint="eastAsia" w:ascii="宋体" w:hAnsi="宋体" w:eastAsia="宋体" w:cs="宋体"/>
          <w:b/>
          <w:color w:val="000000" w:themeColor="text1"/>
          <w:szCs w:val="21"/>
          <w:highlight w:val="none"/>
          <w14:textFill>
            <w14:solidFill>
              <w14:schemeClr w14:val="tx1"/>
            </w14:solidFill>
          </w14:textFill>
        </w:rPr>
        <w:t>小时</w:t>
      </w:r>
      <w:r>
        <w:rPr>
          <w:rFonts w:hint="eastAsia" w:ascii="宋体" w:hAnsi="宋体" w:eastAsia="宋体" w:cs="宋体"/>
          <w:color w:val="000000" w:themeColor="text1"/>
          <w:szCs w:val="21"/>
          <w:highlight w:val="none"/>
          <w14:textFill>
            <w14:solidFill>
              <w14:schemeClr w14:val="tx1"/>
            </w14:solidFill>
          </w14:textFill>
        </w:rPr>
        <w:t>内予以响应，</w:t>
      </w:r>
      <w:r>
        <w:rPr>
          <w:rFonts w:hint="eastAsia" w:ascii="宋体" w:hAnsi="宋体" w:eastAsia="宋体" w:cs="宋体"/>
          <w:b/>
          <w:color w:val="000000" w:themeColor="text1"/>
          <w:szCs w:val="21"/>
          <w:highlight w:val="none"/>
          <w:u w:val="single"/>
          <w14:textFill>
            <w14:solidFill>
              <w14:schemeClr w14:val="tx1"/>
            </w14:solidFill>
          </w14:textFill>
        </w:rPr>
        <w:t xml:space="preserve"> 3 </w:t>
      </w:r>
      <w:r>
        <w:rPr>
          <w:rFonts w:hint="eastAsia" w:ascii="宋体" w:hAnsi="宋体" w:eastAsia="宋体" w:cs="宋体"/>
          <w:b/>
          <w:color w:val="000000" w:themeColor="text1"/>
          <w:szCs w:val="21"/>
          <w:highlight w:val="none"/>
          <w14:textFill>
            <w14:solidFill>
              <w14:schemeClr w14:val="tx1"/>
            </w14:solidFill>
          </w14:textFill>
        </w:rPr>
        <w:t>小时</w:t>
      </w:r>
      <w:r>
        <w:rPr>
          <w:rFonts w:hint="eastAsia" w:ascii="宋体" w:hAnsi="宋体" w:eastAsia="宋体" w:cs="宋体"/>
          <w:color w:val="000000" w:themeColor="text1"/>
          <w:szCs w:val="21"/>
          <w:highlight w:val="none"/>
          <w14:textFill>
            <w14:solidFill>
              <w14:schemeClr w14:val="tx1"/>
            </w14:solidFill>
          </w14:textFill>
        </w:rPr>
        <w:t>内到场修复故障，2日内不能维修的</w:t>
      </w:r>
      <w:bookmarkEnd w:id="553"/>
      <w:r>
        <w:rPr>
          <w:rFonts w:hint="eastAsia" w:ascii="宋体" w:hAnsi="宋体" w:eastAsia="宋体" w:cs="宋体"/>
          <w:color w:val="000000" w:themeColor="text1"/>
          <w:szCs w:val="21"/>
          <w:highlight w:val="none"/>
          <w14:textFill>
            <w14:solidFill>
              <w14:schemeClr w14:val="tx1"/>
            </w14:solidFill>
          </w14:textFill>
        </w:rPr>
        <w:t>，应提供替代设备供甲方临时使用。</w:t>
      </w:r>
      <w:bookmarkEnd w:id="551"/>
      <w:r>
        <w:rPr>
          <w:rFonts w:hint="eastAsia" w:ascii="宋体" w:hAnsi="宋体" w:eastAsia="宋体" w:cs="宋体"/>
          <w:color w:val="000000" w:themeColor="text1"/>
          <w:szCs w:val="21"/>
          <w:highlight w:val="none"/>
          <w14:textFill>
            <w14:solidFill>
              <w14:schemeClr w14:val="tx1"/>
            </w14:solidFill>
          </w14:textFill>
        </w:rPr>
        <w:t>如乙方未在规定的期限内修复，甲方有权采取必要措施</w:t>
      </w:r>
      <w:r>
        <w:rPr>
          <w:rFonts w:hint="eastAsia" w:ascii="宋体" w:hAnsi="宋体" w:eastAsia="宋体" w:cs="宋体"/>
          <w:color w:val="000000" w:themeColor="text1"/>
          <w:szCs w:val="21"/>
          <w:highlight w:val="none"/>
          <w:lang w:eastAsia="zh-Hans"/>
          <w14:textFill>
            <w14:solidFill>
              <w14:schemeClr w14:val="tx1"/>
            </w14:solidFill>
          </w14:textFill>
        </w:rPr>
        <w:t>如</w:t>
      </w:r>
      <w:r>
        <w:rPr>
          <w:rFonts w:hint="eastAsia" w:ascii="宋体" w:hAnsi="宋体" w:eastAsia="宋体" w:cs="宋体"/>
          <w:color w:val="000000" w:themeColor="text1"/>
          <w:szCs w:val="21"/>
          <w:highlight w:val="none"/>
          <w14:textFill>
            <w14:solidFill>
              <w14:schemeClr w14:val="tx1"/>
            </w14:solidFill>
          </w14:textFill>
        </w:rPr>
        <w:t>另行委托第三方对设备进行维修，由此产生的风险和费用由乙方承担，且甲方有权从质保金中直接予以扣除或有权从质量保函中提取质保金予以支付维护、修复等费用。质保金不足以支付的，不足部分由乙方承担，如造成其他损失的，乙方还应承担赔偿责任。</w:t>
      </w:r>
    </w:p>
    <w:p w14:paraId="4834739E">
      <w:pPr>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在质保期内，甲方有权拒绝使用带有缺陷的或与合同要求不符的设备或零件，这些设备或零件由乙方负责免费修好或更换，甲方不承担因其产生的费用。甲方如发现产品的质量、规格、性能、数量等与本招标文件规定不符，或发现产品无论由于任何原因存在隐藏缺陷、瑕疵、工艺问题或使用不良的材料的，或产品出现质量问题的，乙方应根据甲方指示承担免费更换或退货责任。</w:t>
      </w:r>
    </w:p>
    <w:p w14:paraId="1F445030">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在质保期内，如设备出现故障（7天内）无法修复，或一个故障累计出现超过两次（含两次），或货物累计经三次维修后仍无法正常运行的，乙方应无条件根据甲方要求承担免费更换或退货责任以满足正常运行的需求，由此产生的费用由乙方承担，包括但不限于运输费用、搬运费用、采购费用等全部费用。</w:t>
      </w:r>
    </w:p>
    <w:p w14:paraId="1AC50879">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bookmarkStart w:id="554" w:name="OLE_LINK294"/>
      <w:r>
        <w:rPr>
          <w:rFonts w:hint="eastAsia" w:ascii="宋体" w:hAnsi="宋体" w:eastAsia="宋体" w:cs="宋体"/>
          <w:color w:val="000000" w:themeColor="text1"/>
          <w:szCs w:val="21"/>
          <w:highlight w:val="none"/>
          <w14:textFill>
            <w14:solidFill>
              <w14:schemeClr w14:val="tx1"/>
            </w14:solidFill>
          </w14:textFill>
        </w:rPr>
        <w:t>6、质保期内全部服务费（含更换零部件，达到招标文件及合同约定条件的更换货物或退货）和维修费用及乙方技术服务人员的一切费用由乙方全部自理，甲方有权向乙方索赔在质保期内设备缺陷导致的损失。质保期满后的维修，乙方同意只收取合理的零件成本费用。</w:t>
      </w:r>
    </w:p>
    <w:bookmarkEnd w:id="554"/>
    <w:p w14:paraId="13E2C4EE">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7、乙方应建立质量跟踪档案，</w:t>
      </w:r>
      <w:bookmarkStart w:id="555" w:name="OLE_LINK264"/>
      <w:r>
        <w:rPr>
          <w:rFonts w:hint="eastAsia" w:ascii="宋体" w:hAnsi="宋体" w:eastAsia="宋体" w:cs="宋体"/>
          <w:color w:val="000000" w:themeColor="text1"/>
          <w:szCs w:val="21"/>
          <w:highlight w:val="none"/>
          <w14:textFill>
            <w14:solidFill>
              <w14:schemeClr w14:val="tx1"/>
            </w14:solidFill>
          </w14:textFill>
        </w:rPr>
        <w:t>对甲方进行每月一次的定期回访（电话或现场）</w:t>
      </w:r>
      <w:bookmarkEnd w:id="555"/>
      <w:r>
        <w:rPr>
          <w:rFonts w:hint="eastAsia" w:ascii="宋体" w:hAnsi="宋体" w:eastAsia="宋体" w:cs="宋体"/>
          <w:color w:val="000000" w:themeColor="text1"/>
          <w:szCs w:val="21"/>
          <w:highlight w:val="none"/>
          <w14:textFill>
            <w14:solidFill>
              <w14:schemeClr w14:val="tx1"/>
            </w14:solidFill>
          </w14:textFill>
        </w:rPr>
        <w:t>，以保证货物的正常运行。</w:t>
      </w:r>
    </w:p>
    <w:p w14:paraId="7DA9900F">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8、乙方未按上述要求提供售后服务的，甲方有权要求其他第三方提供相关服务，因此产生的费用（</w:t>
      </w:r>
      <w:r>
        <w:rPr>
          <w:rFonts w:hint="eastAsia" w:ascii="宋体" w:hAnsi="宋体" w:eastAsia="宋体" w:cs="宋体"/>
          <w:color w:val="000000" w:themeColor="text1"/>
          <w:szCs w:val="21"/>
          <w:highlight w:val="none"/>
          <w:lang w:eastAsia="zh-Hans"/>
          <w14:textFill>
            <w14:solidFill>
              <w14:schemeClr w14:val="tx1"/>
            </w14:solidFill>
          </w14:textFill>
        </w:rPr>
        <w:t>包括但不限于本合同所约定的总价款、</w:t>
      </w:r>
      <w:r>
        <w:rPr>
          <w:rFonts w:hint="eastAsia" w:ascii="宋体" w:hAnsi="宋体" w:eastAsia="宋体" w:cs="宋体"/>
          <w:color w:val="000000" w:themeColor="text1"/>
          <w:szCs w:val="21"/>
          <w:highlight w:val="none"/>
          <w14:textFill>
            <w14:solidFill>
              <w14:schemeClr w14:val="tx1"/>
            </w14:solidFill>
          </w14:textFill>
        </w:rPr>
        <w:t>第三方提供服务的费用、</w:t>
      </w:r>
      <w:r>
        <w:rPr>
          <w:rFonts w:hint="eastAsia" w:ascii="宋体" w:hAnsi="宋体" w:eastAsia="宋体" w:cs="宋体"/>
          <w:color w:val="000000" w:themeColor="text1"/>
          <w:szCs w:val="21"/>
          <w:highlight w:val="none"/>
          <w:lang w:eastAsia="zh-Hans"/>
          <w14:textFill>
            <w14:solidFill>
              <w14:schemeClr w14:val="tx1"/>
            </w14:solidFill>
          </w14:textFill>
        </w:rPr>
        <w:t>甲方为维护自身权益所支付的律师费、诉讼费、</w:t>
      </w:r>
      <w:r>
        <w:rPr>
          <w:rFonts w:hint="eastAsia" w:ascii="宋体" w:hAnsi="宋体" w:eastAsia="宋体" w:cs="宋体"/>
          <w:color w:val="000000" w:themeColor="text1"/>
          <w:szCs w:val="21"/>
          <w:highlight w:val="none"/>
          <w14:textFill>
            <w14:solidFill>
              <w14:schemeClr w14:val="tx1"/>
            </w14:solidFill>
          </w14:textFill>
        </w:rPr>
        <w:t>财产保全责任保险费/担保费、</w:t>
      </w:r>
      <w:r>
        <w:rPr>
          <w:rFonts w:hint="eastAsia" w:ascii="宋体" w:hAnsi="宋体" w:eastAsia="宋体" w:cs="宋体"/>
          <w:color w:val="000000" w:themeColor="text1"/>
          <w:szCs w:val="21"/>
          <w:highlight w:val="none"/>
          <w:lang w:eastAsia="zh-Hans"/>
          <w14:textFill>
            <w14:solidFill>
              <w14:schemeClr w14:val="tx1"/>
            </w14:solidFill>
          </w14:textFill>
        </w:rPr>
        <w:t>鉴定费、差旅费等</w:t>
      </w:r>
      <w:r>
        <w:rPr>
          <w:rFonts w:hint="eastAsia" w:ascii="宋体" w:hAnsi="宋体" w:eastAsia="宋体" w:cs="宋体"/>
          <w:color w:val="000000" w:themeColor="text1"/>
          <w:szCs w:val="21"/>
          <w:highlight w:val="none"/>
          <w14:textFill>
            <w14:solidFill>
              <w14:schemeClr w14:val="tx1"/>
            </w14:solidFill>
          </w14:textFill>
        </w:rPr>
        <w:t>）全部由乙方承担。</w:t>
      </w:r>
    </w:p>
    <w:p w14:paraId="6D089917">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9、乙方需提供“设备故障率控制方式”的运维说明书，指导甲方对设备的运维管理，尽可能减少设备的故障率。</w:t>
      </w:r>
      <w:bookmarkStart w:id="556" w:name="OLE_LINK291"/>
    </w:p>
    <w:bookmarkEnd w:id="556"/>
    <w:p w14:paraId="7DE5FB1E">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7ADFA029">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第十四条 </w:t>
      </w:r>
      <w:bookmarkStart w:id="557" w:name="OLE_LINK94"/>
      <w:r>
        <w:rPr>
          <w:rFonts w:hint="eastAsia" w:ascii="宋体" w:hAnsi="宋体" w:eastAsia="宋体" w:cs="宋体"/>
          <w:b/>
          <w:color w:val="000000" w:themeColor="text1"/>
          <w:szCs w:val="21"/>
          <w:highlight w:val="none"/>
          <w14:textFill>
            <w14:solidFill>
              <w14:schemeClr w14:val="tx1"/>
            </w14:solidFill>
          </w14:textFill>
        </w:rPr>
        <w:t>项目运维</w:t>
      </w:r>
      <w:bookmarkEnd w:id="557"/>
    </w:p>
    <w:p w14:paraId="7010453E">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1、光伏系统</w:t>
      </w:r>
      <w:bookmarkStart w:id="558" w:name="OLE_LINK486"/>
      <w:r>
        <w:rPr>
          <w:rFonts w:hint="eastAsia" w:ascii="宋体" w:hAnsi="宋体" w:eastAsia="宋体" w:cs="宋体"/>
          <w:color w:val="000000" w:themeColor="text1"/>
          <w:szCs w:val="21"/>
          <w:highlight w:val="none"/>
          <w14:textFill>
            <w14:solidFill>
              <w14:schemeClr w14:val="tx1"/>
            </w14:solidFill>
          </w14:textFill>
        </w:rPr>
        <w:t>在并网验收的同时（不迟于并网验收通过）</w:t>
      </w:r>
      <w:bookmarkEnd w:id="558"/>
      <w:bookmarkStart w:id="559" w:name="OLE_LINK295"/>
      <w:r>
        <w:rPr>
          <w:rFonts w:hint="eastAsia" w:ascii="宋体" w:hAnsi="宋体" w:eastAsia="宋体" w:cs="宋体"/>
          <w:color w:val="000000" w:themeColor="text1"/>
          <w:szCs w:val="21"/>
          <w:highlight w:val="none"/>
          <w14:textFill>
            <w14:solidFill>
              <w14:schemeClr w14:val="tx1"/>
            </w14:solidFill>
          </w14:textFill>
        </w:rPr>
        <w:t>，</w:t>
      </w:r>
      <w:bookmarkEnd w:id="559"/>
      <w:r>
        <w:rPr>
          <w:rFonts w:hint="eastAsia" w:ascii="宋体" w:hAnsi="宋体" w:eastAsia="宋体" w:cs="宋体"/>
          <w:color w:val="000000" w:themeColor="text1"/>
          <w:szCs w:val="21"/>
          <w:highlight w:val="none"/>
          <w14:textFill>
            <w14:solidFill>
              <w14:schemeClr w14:val="tx1"/>
            </w14:solidFill>
          </w14:textFill>
        </w:rPr>
        <w:t>乙方应结合用户需求及投标文件向甲方提交相应的运维制度，成立专门的管理团队，编制运维方案，确保光伏设施的安全运行</w:t>
      </w:r>
      <w:bookmarkStart w:id="560" w:name="OLE_LINK296"/>
      <w:r>
        <w:rPr>
          <w:rFonts w:hint="eastAsia" w:ascii="宋体" w:hAnsi="宋体" w:eastAsia="宋体" w:cs="宋体"/>
          <w:color w:val="000000" w:themeColor="text1"/>
          <w:szCs w:val="21"/>
          <w:highlight w:val="none"/>
          <w14:textFill>
            <w14:solidFill>
              <w14:schemeClr w14:val="tx1"/>
            </w14:solidFill>
          </w14:textFill>
        </w:rPr>
        <w:t>；</w:t>
      </w:r>
      <w:bookmarkEnd w:id="560"/>
      <w:r>
        <w:rPr>
          <w:rFonts w:hint="eastAsia" w:ascii="宋体" w:hAnsi="宋体" w:eastAsia="宋体" w:cs="宋体"/>
          <w:color w:val="000000" w:themeColor="text1"/>
          <w:szCs w:val="21"/>
          <w:highlight w:val="none"/>
          <w14:textFill>
            <w14:solidFill>
              <w14:schemeClr w14:val="tx1"/>
            </w14:solidFill>
          </w14:textFill>
        </w:rPr>
        <w:t>乙方在质保期内需配合甲方安全运维部门进行运维管理。</w:t>
      </w:r>
    </w:p>
    <w:p w14:paraId="3B3D6192">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bookmarkStart w:id="561" w:name="OLE_LINK488"/>
      <w:r>
        <w:rPr>
          <w:rFonts w:hint="eastAsia" w:ascii="宋体" w:hAnsi="宋体" w:eastAsia="宋体" w:cs="宋体"/>
          <w:color w:val="000000" w:themeColor="text1"/>
          <w:szCs w:val="21"/>
          <w:highlight w:val="none"/>
          <w14:textFill>
            <w14:solidFill>
              <w14:schemeClr w14:val="tx1"/>
            </w14:solidFill>
          </w14:textFill>
        </w:rPr>
        <w:t>2、运维基本要求：</w:t>
      </w:r>
    </w:p>
    <w:p w14:paraId="3CD4F63B">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bookmarkStart w:id="562" w:name="OLE_LINK487"/>
      <w:r>
        <w:rPr>
          <w:rFonts w:hint="eastAsia" w:ascii="宋体" w:hAnsi="宋体" w:eastAsia="宋体" w:cs="宋体"/>
          <w:color w:val="000000" w:themeColor="text1"/>
          <w:szCs w:val="21"/>
          <w:highlight w:val="none"/>
          <w14:textFill>
            <w14:solidFill>
              <w14:schemeClr w14:val="tx1"/>
            </w14:solidFill>
          </w14:textFill>
        </w:rPr>
        <w:t>1、乙方负责对项目运行的安全维护</w:t>
      </w:r>
    </w:p>
    <w:p w14:paraId="50F70741">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（1）严格按照国家及地方有关规定规范、用户需求书及投标文件承诺的要求进行项目设备设施运行和维护。</w:t>
      </w:r>
    </w:p>
    <w:p w14:paraId="2FDE2FF1">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（2）每月定期不少于</w:t>
      </w:r>
      <w:bookmarkStart w:id="563" w:name="OLE_LINK489"/>
      <w:r>
        <w:rPr>
          <w:rFonts w:hint="eastAsia" w:ascii="宋体" w:hAnsi="宋体" w:eastAsia="宋体" w:cs="宋体"/>
          <w:color w:val="000000" w:themeColor="text1"/>
          <w:szCs w:val="21"/>
          <w:highlight w:val="none"/>
          <w:u w:val="single"/>
          <w14:textFill>
            <w14:solidFill>
              <w14:schemeClr w14:val="tx1"/>
            </w14:solidFill>
          </w14:textFill>
        </w:rPr>
        <w:t xml:space="preserve">  </w:t>
      </w:r>
      <w:bookmarkEnd w:id="563"/>
      <w:r>
        <w:rPr>
          <w:rFonts w:hint="eastAsia" w:ascii="宋体" w:hAnsi="宋体" w:eastAsia="宋体" w:cs="宋体"/>
          <w:color w:val="000000" w:themeColor="text1"/>
          <w:szCs w:val="21"/>
          <w:highlight w:val="none"/>
          <w14:textFill>
            <w14:solidFill>
              <w14:schemeClr w14:val="tx1"/>
            </w14:solidFill>
          </w14:textFill>
        </w:rPr>
        <w:t>次进行设备现场维护，现场维护至少包括以下内容：</w:t>
      </w:r>
    </w:p>
    <w:p w14:paraId="79E1F688">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①检查各仪表是否有效，按相关要求定期添加更换分析剂；</w:t>
      </w:r>
    </w:p>
    <w:p w14:paraId="6CBBB245">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②检查各设备的运行状态和主要技术参数，判断运行是否正常；</w:t>
      </w:r>
    </w:p>
    <w:p w14:paraId="77B2EC70">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③检查设备情况，检查内外部管线路是否通畅，组件是否清洁，必要时进行清洗，检查自动清洗装置是否运行正常，</w:t>
      </w:r>
    </w:p>
    <w:p w14:paraId="262569C5">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④检查站房内防水、电路系统、通讯系统是否正常；</w:t>
      </w:r>
    </w:p>
    <w:p w14:paraId="04575F65">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⑤对数据存储／控制系统/通讯系统/计量系统工作状态进行检查，观察数据采集传输系统、计量运行情况，对数据进行抽样检查，对比分析数据是否准确、一致；</w:t>
      </w:r>
    </w:p>
    <w:p w14:paraId="26F35B58">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⑥检查项目接地情况、防雷措施、防水情况等。</w:t>
      </w:r>
    </w:p>
    <w:p w14:paraId="6103F48A">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（3）负责运营维护期间的项目照管，对项目设备设施出现的毁损、灭失、耗材等无条件（含不可抗力）进行更换（注：原厂供应）、维修等，确保项目运行正常并承担费用。</w:t>
      </w:r>
    </w:p>
    <w:p w14:paraId="6FC94D76">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2、乙方负责设备与主要器材的故障处理</w:t>
      </w:r>
    </w:p>
    <w:p w14:paraId="18ADA753">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（1）项目发现故障或接到故障通知，应在1小时内响应，3小时内赶到现场进行处理；对故障通知的处理结果要及时返回。</w:t>
      </w:r>
    </w:p>
    <w:p w14:paraId="58F8CD94">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（2）设备若出现故障，2日内可修复的，由乙方进行现场维修；2日内不可修复的应更换设备，保障设备的正常运行。</w:t>
      </w:r>
    </w:p>
    <w:p w14:paraId="5BF389F8">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（3）项目设备出现异常时，需即时填写异常情况报告并提供给甲方及相关监督单位。</w:t>
      </w:r>
    </w:p>
    <w:p w14:paraId="2900DBD1">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3、乙方需对项目设备运营、维护、故障处理、异常数据、校准比对等运营管理工作填写相关报告。报告分现场文档和上交甲方文档两部分，包括但不限于有：</w:t>
      </w:r>
    </w:p>
    <w:p w14:paraId="20FDA9E8">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（1）现场保存文档：《现场巡检记录表》、《维护维修记录表》、《异常情况报告表》、《异常情况处理表》等。</w:t>
      </w:r>
    </w:p>
    <w:p w14:paraId="3E6BFFF9">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（2）上交甲方文档：《月维护报告》、《异常情况报告表》、《异常情况处理表》等。</w:t>
      </w:r>
    </w:p>
    <w:p w14:paraId="5047D35D">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3、在运维期间，乙方无权擅自停运项目。若乙方因项目设施维护之目的，需应提前10日向甲方提交停运的书面申请，经甲方批准后实施。</w:t>
      </w:r>
    </w:p>
    <w:p w14:paraId="6E8483CE">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因乙方的原因导致项目停运、发电量减损的，则乙方需要赔偿甲方相应时段损失的发电量相应售电收入损失及相应各类补贴损失，其中损失发电量按照前一个自然月日均发电量予以折算；导致设备设施毁损的，应承担恢复责任。</w:t>
      </w:r>
    </w:p>
    <w:p w14:paraId="6CC15AB0">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5、项目的移交</w:t>
      </w:r>
    </w:p>
    <w:p w14:paraId="50C0FEA8">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（1）移交日期</w:t>
      </w:r>
    </w:p>
    <w:p w14:paraId="16F66274">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本项目运营维护期间届满后，乙方应将本项目无偿移交给甲方。</w:t>
      </w:r>
    </w:p>
    <w:p w14:paraId="052BB371">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本项目的移交日为：本项目并网送电之日起一年期满后的第二天。</w:t>
      </w:r>
    </w:p>
    <w:p w14:paraId="788FAB79">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（2）移交范围</w:t>
      </w:r>
    </w:p>
    <w:p w14:paraId="3AB22E5A">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①乙方应将以下范围，无偿移交给甲方或其指定的执行机构：</w:t>
      </w:r>
    </w:p>
    <w:p w14:paraId="60A91407">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设备设施、所有零备件和配件、运营和维护项目设施所要求的在用各类管理章程和运营手册知识产权等无形资产（包括以许可方式取得的）包括专有技术、生产档案、技术档案、文秘档案、图书资料、设计图纸、文件和其它资料，以使本项目能平稳地正常地继续运营。</w:t>
      </w:r>
    </w:p>
    <w:p w14:paraId="51722882">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②涉及到本项目的任何移交，甲方与乙方必须签署移交备忘录，以示移交完毕。</w:t>
      </w:r>
    </w:p>
    <w:p w14:paraId="2388E682">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（3）移交程序及条件</w:t>
      </w:r>
    </w:p>
    <w:p w14:paraId="55FFD68D">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①在本项目运营维护届满前三个月内，甲乙双方须成立本项目移交小组，负责商定项目移交的程序与内容，并处理项目移交过程中的各项事宜。</w:t>
      </w:r>
    </w:p>
    <w:p w14:paraId="52D6CA72">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在本项目的移交日前1个月内，乙方应对本项目进行一次恢复性检查。其恢复性检查时间与内容安排应得到甲方认可，恢复性检查后乙方应在甲方参与下对本项目进行性能测试，经检验的功能参数应恢复至良好正常运行状态。乙方在本项目建设期间所安装设备不符合国家和合同规定的，甲方有权要求乙方在移交前按规定更换合格设备。</w:t>
      </w:r>
    </w:p>
    <w:p w14:paraId="15214E7C">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③在本项目移交日前1个月内，乙方应免费对甲方确定的运营机构的人员进行培训，以便在本项目移交后，这些人员能从事本项目的技术及管理工作和保证项目的正常运作。</w:t>
      </w:r>
    </w:p>
    <w:p w14:paraId="39CCA112">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（4）项目移交的违约责任</w:t>
      </w:r>
    </w:p>
    <w:p w14:paraId="7A4C07F4">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①项目运营维护届满，乙方无故未按期办理项目移交的，每迟延一日，甲方向乙方收取违约金   万元，且甲方有权没收履约担保。导致甲方无法正常接管运营的，所造成的经济损失甲方有权要求乙方按装机容量核定发电量折算市电售价的两倍要求乙方支付电费损失，同时，甲方有权启动诉讼要求乙方移交外，并可按本合同暂定价的20%要求乙方承担违约责任。造成甲方损失的，甲方有权继续向乙方进行追偿。</w:t>
      </w:r>
    </w:p>
    <w:bookmarkEnd w:id="561"/>
    <w:bookmarkEnd w:id="562"/>
    <w:p w14:paraId="51DA025E">
      <w:pPr>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bookmarkStart w:id="564" w:name="OLE_LINK491"/>
      <w:r>
        <w:rPr>
          <w:rFonts w:hint="eastAsia" w:ascii="宋体" w:hAnsi="宋体" w:eastAsia="宋体" w:cs="宋体"/>
          <w:color w:val="000000" w:themeColor="text1"/>
          <w:szCs w:val="21"/>
          <w:highlight w:val="none"/>
          <w14:textFill>
            <w14:solidFill>
              <w14:schemeClr w14:val="tx1"/>
            </w14:solidFill>
          </w14:textFill>
        </w:rPr>
        <w:t>运营期后</w:t>
      </w:r>
      <w:r>
        <w:rPr>
          <w:rFonts w:ascii="宋体" w:hAnsi="宋体" w:eastAsia="宋体" w:cs="宋体"/>
          <w:color w:val="000000" w:themeColor="text1"/>
          <w:szCs w:val="21"/>
          <w:highlight w:val="none"/>
          <w14:textFill>
            <w14:solidFill>
              <w14:schemeClr w14:val="tx1"/>
            </w14:solidFill>
          </w14:textFill>
        </w:rPr>
        <w:t>质保期内</w:t>
      </w:r>
      <w:bookmarkEnd w:id="564"/>
      <w:r>
        <w:rPr>
          <w:rFonts w:hint="eastAsia" w:ascii="宋体" w:hAnsi="宋体" w:eastAsia="宋体" w:cs="宋体"/>
          <w:color w:val="000000" w:themeColor="text1"/>
          <w:szCs w:val="21"/>
          <w:highlight w:val="none"/>
          <w14:textFill>
            <w14:solidFill>
              <w14:schemeClr w14:val="tx1"/>
            </w14:solidFill>
          </w14:textFill>
        </w:rPr>
        <w:t>乙方应确保光伏系统安全、稳定、可靠运行，定期派人检查、监管和记录项目的运行情况，并定期汇总给甲方安全运维部门。</w:t>
      </w:r>
    </w:p>
    <w:p w14:paraId="3399AB30">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7、乙方承诺对光伏系统提供质保期内维修保养服务，并承担维修保养费用。</w:t>
      </w:r>
    </w:p>
    <w:p w14:paraId="29491E84">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75246BC4">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bookmarkStart w:id="565" w:name="OLE_LINK293"/>
      <w:r>
        <w:rPr>
          <w:rFonts w:hint="eastAsia" w:ascii="宋体" w:hAnsi="宋体" w:eastAsia="宋体" w:cs="宋体"/>
          <w:b/>
          <w:color w:val="000000" w:themeColor="text1"/>
          <w:szCs w:val="21"/>
          <w:highlight w:val="none"/>
          <w14:textFill>
            <w14:solidFill>
              <w14:schemeClr w14:val="tx1"/>
            </w14:solidFill>
          </w14:textFill>
        </w:rPr>
        <w:t xml:space="preserve">第十五条 </w:t>
      </w:r>
      <w:bookmarkStart w:id="566" w:name="OLE_LINK95"/>
      <w:r>
        <w:rPr>
          <w:rFonts w:hint="eastAsia" w:ascii="宋体" w:hAnsi="宋体" w:eastAsia="宋体" w:cs="宋体"/>
          <w:b/>
          <w:color w:val="000000" w:themeColor="text1"/>
          <w:szCs w:val="21"/>
          <w:highlight w:val="none"/>
          <w14:textFill>
            <w14:solidFill>
              <w14:schemeClr w14:val="tx1"/>
            </w14:solidFill>
          </w14:textFill>
        </w:rPr>
        <w:t>履约担保</w:t>
      </w:r>
      <w:bookmarkEnd w:id="565"/>
      <w:bookmarkEnd w:id="566"/>
    </w:p>
    <w:p w14:paraId="114738CA">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1、乙方应当根据招标文件的规定在签订本合同前向</w:t>
      </w:r>
      <w:r>
        <w:rPr>
          <w:rFonts w:hint="eastAsia" w:hAnsi="宋体" w:cs="宋体"/>
          <w:b w:val="0"/>
          <w:bCs w:val="0"/>
          <w:color w:val="000000" w:themeColor="text1"/>
          <w:sz w:val="21"/>
          <w:szCs w:val="21"/>
          <w:highlight w:val="none"/>
          <w:lang w:val="en-US"/>
          <w14:textFill>
            <w14:solidFill>
              <w14:schemeClr w14:val="tx1"/>
            </w14:solidFill>
          </w14:textFill>
        </w:rPr>
        <w:t>甲方</w:t>
      </w:r>
      <w:r>
        <w:rPr>
          <w:rFonts w:hint="eastAsia" w:hAnsi="宋体" w:cs="宋体"/>
          <w:b w:val="0"/>
          <w:bCs w:val="0"/>
          <w:color w:val="000000" w:themeColor="text1"/>
          <w:sz w:val="21"/>
          <w:szCs w:val="21"/>
          <w:highlight w:val="none"/>
          <w14:textFill>
            <w14:solidFill>
              <w14:schemeClr w14:val="tx1"/>
            </w14:solidFill>
          </w14:textFill>
        </w:rPr>
        <w:t>提供履约担保，履约担保形式及金额由乙方从以下方式中任选一种：</w:t>
      </w:r>
    </w:p>
    <w:p w14:paraId="745A5726">
      <w:pPr>
        <w:pStyle w:val="2"/>
        <w:tabs>
          <w:tab w:val="left" w:pos="5504"/>
        </w:tabs>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口履约保证金（银行转账形式）金额为</w:t>
      </w:r>
      <w:r>
        <w:rPr>
          <w:rFonts w:hint="eastAsia" w:hAnsi="宋体" w:cs="宋体"/>
          <w:b w:val="0"/>
          <w:bCs w:val="0"/>
          <w:color w:val="000000" w:themeColor="text1"/>
          <w:sz w:val="21"/>
          <w:szCs w:val="21"/>
          <w:highlight w:val="none"/>
          <w:u w:val="single"/>
          <w14:textFill>
            <w14:solidFill>
              <w14:schemeClr w14:val="tx1"/>
            </w14:solidFill>
          </w14:textFill>
        </w:rPr>
        <w:t>人民币</w:t>
      </w:r>
      <w:r>
        <w:rPr>
          <w:rFonts w:hint="eastAsia" w:hAnsi="宋体" w:cs="宋体"/>
          <w:color w:val="000000" w:themeColor="text1"/>
          <w:sz w:val="21"/>
          <w:szCs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lang w:val="en-US"/>
          <w14:textFill>
            <w14:solidFill>
              <w14:schemeClr w14:val="tx1"/>
            </w14:solidFill>
          </w14:textFill>
        </w:rPr>
        <w:t xml:space="preserve"> </w:t>
      </w:r>
      <w:r>
        <w:rPr>
          <w:rFonts w:hint="eastAsia" w:hAnsi="宋体" w:cs="宋体"/>
          <w:b w:val="0"/>
          <w:bCs w:val="0"/>
          <w:color w:val="000000" w:themeColor="text1"/>
          <w:sz w:val="21"/>
          <w:szCs w:val="21"/>
          <w:highlight w:val="none"/>
          <w14:textFill>
            <w14:solidFill>
              <w14:schemeClr w14:val="tx1"/>
            </w14:solidFill>
          </w14:textFill>
        </w:rPr>
        <w:t>；</w:t>
      </w:r>
    </w:p>
    <w:p w14:paraId="48CE4EBB">
      <w:pPr>
        <w:pStyle w:val="2"/>
        <w:tabs>
          <w:tab w:val="left" w:pos="4657"/>
          <w:tab w:val="left" w:pos="4874"/>
        </w:tabs>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bookmarkStart w:id="567" w:name="OLE_LINK265"/>
      <w:r>
        <w:rPr>
          <w:rFonts w:hint="eastAsia" w:hAnsi="宋体" w:cs="宋体"/>
          <w:b w:val="0"/>
          <w:bCs w:val="0"/>
          <w:color w:val="000000" w:themeColor="text1"/>
          <w:sz w:val="21"/>
          <w:szCs w:val="21"/>
          <w:highlight w:val="none"/>
          <w14:textFill>
            <w14:solidFill>
              <w14:schemeClr w14:val="tx1"/>
            </w14:solidFill>
          </w14:textFill>
        </w:rPr>
        <w:t>口</w:t>
      </w:r>
      <w:bookmarkEnd w:id="567"/>
      <w:r>
        <w:rPr>
          <w:rFonts w:hint="eastAsia" w:hAnsi="宋体" w:cs="宋体"/>
          <w:b w:val="0"/>
          <w:bCs w:val="0"/>
          <w:color w:val="000000" w:themeColor="text1"/>
          <w:sz w:val="21"/>
          <w:szCs w:val="21"/>
          <w:highlight w:val="none"/>
          <w14:textFill>
            <w14:solidFill>
              <w14:schemeClr w14:val="tx1"/>
            </w14:solidFill>
          </w14:textFill>
        </w:rPr>
        <w:t>银行不可撤销履约保函金额为</w:t>
      </w:r>
      <w:r>
        <w:rPr>
          <w:rFonts w:hint="eastAsia" w:hAnsi="宋体" w:cs="宋体"/>
          <w:b w:val="0"/>
          <w:bCs w:val="0"/>
          <w:color w:val="000000" w:themeColor="text1"/>
          <w:sz w:val="21"/>
          <w:szCs w:val="21"/>
          <w:highlight w:val="none"/>
          <w:u w:val="single"/>
          <w:lang w:val="en-US"/>
          <w14:textFill>
            <w14:solidFill>
              <w14:schemeClr w14:val="tx1"/>
            </w14:solidFill>
          </w14:textFill>
        </w:rPr>
        <w:t xml:space="preserve">人民币      </w:t>
      </w:r>
      <w:r>
        <w:rPr>
          <w:rFonts w:hint="eastAsia" w:hAnsi="宋体" w:cs="宋体"/>
          <w:b w:val="0"/>
          <w:bCs w:val="0"/>
          <w:color w:val="000000" w:themeColor="text1"/>
          <w:sz w:val="21"/>
          <w:szCs w:val="21"/>
          <w:highlight w:val="none"/>
          <w14:textFill>
            <w14:solidFill>
              <w14:schemeClr w14:val="tx1"/>
            </w14:solidFill>
          </w14:textFill>
        </w:rPr>
        <w:t>；</w:t>
      </w:r>
    </w:p>
    <w:p w14:paraId="2DAF3493">
      <w:pPr>
        <w:autoSpaceDE w:val="0"/>
        <w:autoSpaceDN w:val="0"/>
        <w:adjustRightInd w:val="0"/>
        <w:spacing w:line="360" w:lineRule="auto"/>
        <w:ind w:firstLine="420" w:firstLineChars="200"/>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bidi="ar"/>
          <w14:textFill>
            <w14:solidFill>
              <w14:schemeClr w14:val="tx1"/>
            </w14:solidFill>
          </w14:textFill>
        </w:rPr>
        <w:t>□履约保证保险凭证金额为人民币</w:t>
      </w:r>
      <w:r>
        <w:rPr>
          <w:rFonts w:hint="eastAsia" w:ascii="宋体" w:hAnsi="宋体" w:eastAsia="宋体" w:cs="Times New Roman"/>
          <w:bCs/>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bCs/>
          <w:color w:val="000000" w:themeColor="text1"/>
          <w:kern w:val="0"/>
          <w:szCs w:val="21"/>
          <w:highlight w:val="none"/>
          <w:lang w:bidi="ar"/>
          <w14:textFill>
            <w14:solidFill>
              <w14:schemeClr w14:val="tx1"/>
            </w14:solidFill>
          </w14:textFill>
        </w:rPr>
        <w:t>；</w:t>
      </w:r>
    </w:p>
    <w:p w14:paraId="3580C0AC">
      <w:pPr>
        <w:pStyle w:val="2"/>
        <w:tabs>
          <w:tab w:val="left" w:pos="4657"/>
          <w:tab w:val="left" w:pos="4874"/>
        </w:tabs>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口担保公司履约担保书金额为</w:t>
      </w:r>
      <w:r>
        <w:rPr>
          <w:rFonts w:hint="eastAsia" w:hAnsi="宋体" w:cs="宋体"/>
          <w:b w:val="0"/>
          <w:bCs w:val="0"/>
          <w:color w:val="000000" w:themeColor="text1"/>
          <w:sz w:val="21"/>
          <w:szCs w:val="21"/>
          <w:highlight w:val="none"/>
          <w:u w:val="single"/>
          <w:lang w:val="en-US"/>
          <w14:textFill>
            <w14:solidFill>
              <w14:schemeClr w14:val="tx1"/>
            </w14:solidFill>
          </w14:textFill>
        </w:rPr>
        <w:t xml:space="preserve">人民币 </w:t>
      </w:r>
      <w:r>
        <w:rPr>
          <w:rFonts w:hint="eastAsia" w:hAnsi="宋体" w:cs="宋体"/>
          <w:b w:val="0"/>
          <w:bCs w:val="0"/>
          <w:color w:val="000000" w:themeColor="text1"/>
          <w:sz w:val="21"/>
          <w:szCs w:val="21"/>
          <w:highlight w:val="none"/>
          <w14:textFill>
            <w14:solidFill>
              <w14:schemeClr w14:val="tx1"/>
            </w14:solidFill>
          </w14:textFill>
        </w:rPr>
        <w:t>；</w:t>
      </w:r>
    </w:p>
    <w:p w14:paraId="276C5516">
      <w:pPr>
        <w:pStyle w:val="2"/>
        <w:tabs>
          <w:tab w:val="left" w:pos="7171"/>
        </w:tabs>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2、履约担保用</w:t>
      </w:r>
      <w:r>
        <w:rPr>
          <w:rFonts w:hint="eastAsia" w:hAnsi="宋体" w:cs="宋体"/>
          <w:b w:val="0"/>
          <w:bCs w:val="0"/>
          <w:color w:val="000000" w:themeColor="text1"/>
          <w:sz w:val="21"/>
          <w:szCs w:val="21"/>
          <w:highlight w:val="none"/>
          <w:lang w:val="en-US"/>
          <w14:textFill>
            <w14:solidFill>
              <w14:schemeClr w14:val="tx1"/>
            </w14:solidFill>
          </w14:textFill>
        </w:rPr>
        <w:t>于</w:t>
      </w:r>
      <w:r>
        <w:rPr>
          <w:rFonts w:hint="eastAsia" w:hAnsi="宋体" w:cs="宋体"/>
          <w:b w:val="0"/>
          <w:bCs w:val="0"/>
          <w:color w:val="000000" w:themeColor="text1"/>
          <w:sz w:val="21"/>
          <w:szCs w:val="21"/>
          <w:highlight w:val="none"/>
          <w14:textFill>
            <w14:solidFill>
              <w14:schemeClr w14:val="tx1"/>
            </w14:solidFill>
          </w14:textFill>
        </w:rPr>
        <w:t>补偿甲方因乙方不能完全履行其合同义务而蒙受的损失或其他合同约定的事项，如发生下列任一</w:t>
      </w:r>
      <w:r>
        <w:rPr>
          <w:rFonts w:hint="eastAsia" w:hAnsi="宋体" w:cs="宋体"/>
          <w:b w:val="0"/>
          <w:bCs w:val="0"/>
          <w:color w:val="000000" w:themeColor="text1"/>
          <w:sz w:val="21"/>
          <w:szCs w:val="21"/>
          <w:highlight w:val="none"/>
          <w:lang w:val="en-US"/>
          <w14:textFill>
            <w14:solidFill>
              <w14:schemeClr w14:val="tx1"/>
            </w14:solidFill>
          </w14:textFill>
        </w:rPr>
        <w:t>情</w:t>
      </w:r>
      <w:r>
        <w:rPr>
          <w:rFonts w:hint="eastAsia" w:hAnsi="宋体" w:cs="宋体"/>
          <w:b w:val="0"/>
          <w:bCs w:val="0"/>
          <w:color w:val="000000" w:themeColor="text1"/>
          <w:sz w:val="21"/>
          <w:szCs w:val="21"/>
          <w:highlight w:val="none"/>
          <w14:textFill>
            <w14:solidFill>
              <w14:schemeClr w14:val="tx1"/>
            </w14:solidFill>
          </w14:textFill>
        </w:rPr>
        <w:t>况时，甲方除有权依合同追究乙方给甲方造成的损失责任外，同时有权提取履约担保并进行相应处理：</w:t>
      </w:r>
    </w:p>
    <w:p w14:paraId="0208F53A">
      <w:pPr>
        <w:pStyle w:val="2"/>
        <w:numPr>
          <w:ilvl w:val="0"/>
          <w:numId w:val="4"/>
        </w:numPr>
        <w:snapToGrid w:val="0"/>
        <w:spacing w:line="360" w:lineRule="auto"/>
        <w:ind w:right="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未经甲方书面同意，乙方将本合同部分或全部的权利义务转让给第三人，甲方可依法没收其</w:t>
      </w:r>
      <w:r>
        <w:rPr>
          <w:rFonts w:hint="eastAsia" w:hAnsi="宋体" w:cs="宋体"/>
          <w:b w:val="0"/>
          <w:bCs w:val="0"/>
          <w:color w:val="000000" w:themeColor="text1"/>
          <w:sz w:val="21"/>
          <w:szCs w:val="21"/>
          <w:highlight w:val="none"/>
          <w:lang w:val="en-US"/>
          <w14:textFill>
            <w14:solidFill>
              <w14:schemeClr w14:val="tx1"/>
            </w14:solidFill>
          </w14:textFill>
        </w:rPr>
        <w:t>履</w:t>
      </w:r>
      <w:r>
        <w:rPr>
          <w:rFonts w:hint="eastAsia" w:hAnsi="宋体" w:cs="宋体"/>
          <w:b w:val="0"/>
          <w:bCs w:val="0"/>
          <w:color w:val="000000" w:themeColor="text1"/>
          <w:sz w:val="21"/>
          <w:szCs w:val="21"/>
          <w:highlight w:val="none"/>
          <w14:textFill>
            <w14:solidFill>
              <w14:schemeClr w14:val="tx1"/>
            </w14:solidFill>
          </w14:textFill>
        </w:rPr>
        <w:t>约担保。</w:t>
      </w:r>
    </w:p>
    <w:p w14:paraId="2CB46972">
      <w:pPr>
        <w:pStyle w:val="2"/>
        <w:numPr>
          <w:ilvl w:val="0"/>
          <w:numId w:val="4"/>
        </w:numPr>
        <w:snapToGrid w:val="0"/>
        <w:spacing w:line="360" w:lineRule="auto"/>
        <w:ind w:right="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在合同履行期间，乙方怠</w:t>
      </w:r>
      <w:r>
        <w:rPr>
          <w:rFonts w:hint="eastAsia" w:hAnsi="宋体" w:cs="宋体"/>
          <w:b w:val="0"/>
          <w:bCs w:val="0"/>
          <w:color w:val="000000" w:themeColor="text1"/>
          <w:sz w:val="21"/>
          <w:szCs w:val="21"/>
          <w:highlight w:val="none"/>
          <w:lang w:val="en-US"/>
          <w14:textFill>
            <w14:solidFill>
              <w14:schemeClr w14:val="tx1"/>
            </w14:solidFill>
          </w14:textFill>
        </w:rPr>
        <w:t>于</w:t>
      </w:r>
      <w:r>
        <w:rPr>
          <w:rFonts w:hint="eastAsia" w:hAnsi="宋体" w:cs="宋体"/>
          <w:b w:val="0"/>
          <w:bCs w:val="0"/>
          <w:color w:val="000000" w:themeColor="text1"/>
          <w:sz w:val="21"/>
          <w:szCs w:val="21"/>
          <w:highlight w:val="none"/>
          <w14:textFill>
            <w14:solidFill>
              <w14:schemeClr w14:val="tx1"/>
            </w14:solidFill>
          </w14:textFill>
        </w:rPr>
        <w:t>履行合同义务，经甲方通知或要求承担含税合同价5%的违约金后仍拒不改正的，甲方可依法没收或适当扣除其履约担保。</w:t>
      </w:r>
    </w:p>
    <w:p w14:paraId="203DF6D0">
      <w:pPr>
        <w:pStyle w:val="2"/>
        <w:numPr>
          <w:ilvl w:val="0"/>
          <w:numId w:val="4"/>
        </w:numPr>
        <w:snapToGrid w:val="0"/>
        <w:spacing w:line="360" w:lineRule="auto"/>
        <w:ind w:right="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在合同履行期间，因乙方货物、</w:t>
      </w:r>
      <w:r>
        <w:rPr>
          <w:rFonts w:hint="eastAsia" w:hAnsi="宋体" w:cs="宋体"/>
          <w:b w:val="0"/>
          <w:bCs w:val="0"/>
          <w:color w:val="000000" w:themeColor="text1"/>
          <w:sz w:val="21"/>
          <w:szCs w:val="21"/>
          <w:highlight w:val="none"/>
          <w:lang w:val="en-US"/>
          <w14:textFill>
            <w14:solidFill>
              <w14:schemeClr w14:val="tx1"/>
            </w14:solidFill>
          </w14:textFill>
        </w:rPr>
        <w:t>运营维护</w:t>
      </w:r>
      <w:r>
        <w:rPr>
          <w:rFonts w:hint="eastAsia" w:hAnsi="宋体" w:cs="宋体"/>
          <w:b w:val="0"/>
          <w:bCs w:val="0"/>
          <w:color w:val="000000" w:themeColor="text1"/>
          <w:sz w:val="21"/>
          <w:szCs w:val="21"/>
          <w:highlight w:val="none"/>
          <w14:textFill>
            <w14:solidFill>
              <w14:schemeClr w14:val="tx1"/>
            </w14:solidFill>
          </w14:textFill>
        </w:rPr>
        <w:t>服务质量问题造成损害、侵权损失（包括但不限于甲方（含其人员）经济损失、乙方所</w:t>
      </w:r>
      <w:r>
        <w:rPr>
          <w:rFonts w:hint="eastAsia" w:hAnsi="宋体" w:cs="宋体"/>
          <w:b w:val="0"/>
          <w:bCs w:val="0"/>
          <w:color w:val="000000" w:themeColor="text1"/>
          <w:sz w:val="21"/>
          <w:szCs w:val="21"/>
          <w:highlight w:val="none"/>
          <w:lang w:val="en-US"/>
          <w14:textFill>
            <w14:solidFill>
              <w14:schemeClr w14:val="tx1"/>
            </w14:solidFill>
          </w14:textFill>
        </w:rPr>
        <w:t>雇</w:t>
      </w:r>
      <w:r>
        <w:rPr>
          <w:rFonts w:hint="eastAsia" w:hAnsi="宋体" w:cs="宋体"/>
          <w:b w:val="0"/>
          <w:bCs w:val="0"/>
          <w:color w:val="000000" w:themeColor="text1"/>
          <w:sz w:val="21"/>
          <w:szCs w:val="21"/>
          <w:highlight w:val="none"/>
          <w14:textFill>
            <w14:solidFill>
              <w14:schemeClr w14:val="tx1"/>
            </w14:solidFill>
          </w14:textFill>
        </w:rPr>
        <w:t>人员及第三人人身财产损失等）、拖欠供应商货款或与其所</w:t>
      </w:r>
      <w:r>
        <w:rPr>
          <w:rFonts w:hint="eastAsia" w:hAnsi="宋体" w:cs="宋体"/>
          <w:b w:val="0"/>
          <w:bCs w:val="0"/>
          <w:color w:val="000000" w:themeColor="text1"/>
          <w:sz w:val="21"/>
          <w:szCs w:val="21"/>
          <w:highlight w:val="none"/>
          <w:lang w:val="en-US"/>
          <w14:textFill>
            <w14:solidFill>
              <w14:schemeClr w14:val="tx1"/>
            </w14:solidFill>
          </w14:textFill>
        </w:rPr>
        <w:t>雇</w:t>
      </w:r>
      <w:r>
        <w:rPr>
          <w:rFonts w:hint="eastAsia" w:hAnsi="宋体" w:cs="宋体"/>
          <w:b w:val="0"/>
          <w:bCs w:val="0"/>
          <w:color w:val="000000" w:themeColor="text1"/>
          <w:sz w:val="21"/>
          <w:szCs w:val="21"/>
          <w:highlight w:val="none"/>
          <w14:textFill>
            <w14:solidFill>
              <w14:schemeClr w14:val="tx1"/>
            </w14:solidFill>
          </w14:textFill>
        </w:rPr>
        <w:t>用员工发生劳资纠纷、上访、闹事或其他影响甲方生产经营等情况而其未及时妥善处理的，甲方有权使用履约担保予以支付或作出相应处理，由此产生的一切法律后果由乙方承担。</w:t>
      </w:r>
    </w:p>
    <w:p w14:paraId="04323D1E">
      <w:pPr>
        <w:pStyle w:val="2"/>
        <w:numPr>
          <w:ilvl w:val="0"/>
          <w:numId w:val="4"/>
        </w:numPr>
        <w:snapToGrid w:val="0"/>
        <w:spacing w:line="360" w:lineRule="auto"/>
        <w:ind w:right="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在合同履行期间，乙方违约产生的违约金、赔偿、罚款或其他应付费用等款项，甲方有权</w:t>
      </w:r>
      <w:r>
        <w:rPr>
          <w:rFonts w:hint="eastAsia" w:hAnsi="宋体" w:cs="宋体"/>
          <w:b w:val="0"/>
          <w:bCs w:val="0"/>
          <w:color w:val="000000" w:themeColor="text1"/>
          <w:sz w:val="21"/>
          <w:szCs w:val="21"/>
          <w:highlight w:val="none"/>
          <w:lang w:val="en-US"/>
          <w14:textFill>
            <w14:solidFill>
              <w14:schemeClr w14:val="tx1"/>
            </w14:solidFill>
          </w14:textFill>
        </w:rPr>
        <w:t>直接</w:t>
      </w:r>
      <w:r>
        <w:rPr>
          <w:rFonts w:hint="eastAsia" w:hAnsi="宋体" w:cs="宋体"/>
          <w:b w:val="0"/>
          <w:bCs w:val="0"/>
          <w:color w:val="000000" w:themeColor="text1"/>
          <w:sz w:val="21"/>
          <w:szCs w:val="21"/>
          <w:highlight w:val="none"/>
          <w14:textFill>
            <w14:solidFill>
              <w14:schemeClr w14:val="tx1"/>
            </w14:solidFill>
          </w14:textFill>
        </w:rPr>
        <w:t>从未付货物款项中扣除或使用履约担保予以支付。</w:t>
      </w:r>
    </w:p>
    <w:p w14:paraId="165F5A2E">
      <w:pPr>
        <w:pStyle w:val="2"/>
        <w:numPr>
          <w:ilvl w:val="0"/>
          <w:numId w:val="4"/>
        </w:numPr>
        <w:snapToGrid w:val="0"/>
        <w:spacing w:line="360" w:lineRule="auto"/>
        <w:ind w:right="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合同期内，乙方不能及时完成合同某项义务的，甲方有权使用履约担保用于处理该项</w:t>
      </w:r>
      <w:r>
        <w:rPr>
          <w:rFonts w:hint="eastAsia" w:hAnsi="宋体" w:cs="宋体"/>
          <w:b w:val="0"/>
          <w:bCs w:val="0"/>
          <w:color w:val="000000" w:themeColor="text1"/>
          <w:sz w:val="21"/>
          <w:szCs w:val="21"/>
          <w:highlight w:val="none"/>
          <w:lang w:val="en-US"/>
          <w14:textFill>
            <w14:solidFill>
              <w14:schemeClr w14:val="tx1"/>
            </w14:solidFill>
          </w14:textFill>
        </w:rPr>
        <w:t>目工</w:t>
      </w:r>
      <w:r>
        <w:rPr>
          <w:rFonts w:hint="eastAsia" w:hAnsi="宋体" w:cs="宋体"/>
          <w:b w:val="0"/>
          <w:bCs w:val="0"/>
          <w:color w:val="000000" w:themeColor="text1"/>
          <w:sz w:val="21"/>
          <w:szCs w:val="21"/>
          <w:highlight w:val="none"/>
          <w14:textFill>
            <w14:solidFill>
              <w14:schemeClr w14:val="tx1"/>
            </w14:solidFill>
          </w14:textFill>
        </w:rPr>
        <w:t>作。</w:t>
      </w:r>
    </w:p>
    <w:p w14:paraId="6313459D">
      <w:pPr>
        <w:pStyle w:val="2"/>
        <w:numPr>
          <w:ilvl w:val="0"/>
          <w:numId w:val="4"/>
        </w:numPr>
        <w:snapToGrid w:val="0"/>
        <w:spacing w:line="360" w:lineRule="auto"/>
        <w:ind w:right="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其他根据本合同约定或法律规定，甲方</w:t>
      </w:r>
      <w:r>
        <w:rPr>
          <w:rFonts w:hint="eastAsia" w:hAnsi="宋体" w:cs="宋体"/>
          <w:b w:val="0"/>
          <w:bCs w:val="0"/>
          <w:color w:val="000000" w:themeColor="text1"/>
          <w:sz w:val="21"/>
          <w:szCs w:val="21"/>
          <w:highlight w:val="none"/>
          <w:lang w:val="en-US"/>
          <w14:textFill>
            <w14:solidFill>
              <w14:schemeClr w14:val="tx1"/>
            </w14:solidFill>
          </w14:textFill>
        </w:rPr>
        <w:t>可</w:t>
      </w:r>
      <w:r>
        <w:rPr>
          <w:rFonts w:hint="eastAsia" w:hAnsi="宋体" w:cs="宋体"/>
          <w:b w:val="0"/>
          <w:bCs w:val="0"/>
          <w:color w:val="000000" w:themeColor="text1"/>
          <w:sz w:val="21"/>
          <w:szCs w:val="21"/>
          <w:highlight w:val="none"/>
          <w14:textFill>
            <w14:solidFill>
              <w14:schemeClr w14:val="tx1"/>
            </w14:solidFill>
          </w14:textFill>
        </w:rPr>
        <w:t>使用履约担保的情形。</w:t>
      </w:r>
    </w:p>
    <w:p w14:paraId="75628CFF">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3、在乙方完成本合同项下全部货物的供货，经甲方最终验收合格且结算完毕后二十八</w:t>
      </w:r>
      <w:r>
        <w:rPr>
          <w:rFonts w:hint="eastAsia" w:hAnsi="宋体" w:cs="宋体"/>
          <w:b w:val="0"/>
          <w:bCs w:val="0"/>
          <w:color w:val="000000" w:themeColor="text1"/>
          <w:sz w:val="21"/>
          <w:szCs w:val="21"/>
          <w:highlight w:val="none"/>
          <w:lang w:val="en-US"/>
          <w14:textFill>
            <w14:solidFill>
              <w14:schemeClr w14:val="tx1"/>
            </w14:solidFill>
          </w14:textFill>
        </w:rPr>
        <w:t>（28）</w:t>
      </w:r>
      <w:r>
        <w:rPr>
          <w:rFonts w:hint="eastAsia" w:hAnsi="宋体" w:cs="宋体"/>
          <w:b w:val="0"/>
          <w:bCs w:val="0"/>
          <w:color w:val="000000" w:themeColor="text1"/>
          <w:sz w:val="21"/>
          <w:szCs w:val="21"/>
          <w:highlight w:val="none"/>
          <w14:textFill>
            <w14:solidFill>
              <w14:schemeClr w14:val="tx1"/>
            </w14:solidFill>
          </w14:textFill>
        </w:rPr>
        <w:t>日内，经甲方确认，乙方可向甲方提交退回履约担保的申请。甲方审核无异议后，办理履约担保退还手续，履约保证金形式提交的履约担保余额退回时一律以银行转账的形式无息退回到乙方的账户。</w:t>
      </w:r>
    </w:p>
    <w:p w14:paraId="60C8013B">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4、如乙方提供不可撤销银行履约保函（或履约保证保险或</w:t>
      </w:r>
      <w:r>
        <w:rPr>
          <w:rFonts w:hint="eastAsia" w:hAnsi="宋体" w:cs="宋体"/>
          <w:b w:val="0"/>
          <w:bCs w:val="0"/>
          <w:color w:val="000000" w:themeColor="text1"/>
          <w:sz w:val="21"/>
          <w:szCs w:val="21"/>
          <w:highlight w:val="none"/>
          <w:lang w:val="en-US"/>
          <w14:textFill>
            <w14:solidFill>
              <w14:schemeClr w14:val="tx1"/>
            </w14:solidFill>
          </w14:textFill>
        </w:rPr>
        <w:t>担</w:t>
      </w:r>
      <w:r>
        <w:rPr>
          <w:rFonts w:hint="eastAsia" w:hAnsi="宋体" w:cs="宋体"/>
          <w:b w:val="0"/>
          <w:bCs w:val="0"/>
          <w:color w:val="000000" w:themeColor="text1"/>
          <w:sz w:val="21"/>
          <w:szCs w:val="21"/>
          <w:highlight w:val="none"/>
          <w14:textFill>
            <w14:solidFill>
              <w14:schemeClr w14:val="tx1"/>
            </w14:solidFill>
          </w14:textFill>
        </w:rPr>
        <w:t>保公司履约担保书）作为履约担保的，不可</w:t>
      </w:r>
      <w:r>
        <w:rPr>
          <w:rFonts w:hint="eastAsia" w:hAnsi="宋体" w:cs="宋体"/>
          <w:b w:val="0"/>
          <w:bCs w:val="0"/>
          <w:color w:val="000000" w:themeColor="text1"/>
          <w:sz w:val="21"/>
          <w:szCs w:val="21"/>
          <w:highlight w:val="none"/>
          <w:lang w:val="en-US"/>
          <w14:textFill>
            <w14:solidFill>
              <w14:schemeClr w14:val="tx1"/>
            </w14:solidFill>
          </w14:textFill>
        </w:rPr>
        <w:t>撤</w:t>
      </w:r>
      <w:r>
        <w:rPr>
          <w:rFonts w:hint="eastAsia" w:hAnsi="宋体" w:cs="宋体"/>
          <w:b w:val="0"/>
          <w:bCs w:val="0"/>
          <w:color w:val="000000" w:themeColor="text1"/>
          <w:sz w:val="21"/>
          <w:szCs w:val="21"/>
          <w:highlight w:val="none"/>
          <w14:textFill>
            <w14:solidFill>
              <w14:schemeClr w14:val="tx1"/>
            </w14:solidFill>
          </w14:textFill>
        </w:rPr>
        <w:t>销银行履约保函（或履约保证保险或担保公司履约担保书）应从合同签</w:t>
      </w:r>
      <w:bookmarkStart w:id="568" w:name="OLE_LINK444"/>
      <w:r>
        <w:rPr>
          <w:rFonts w:hint="eastAsia" w:hAnsi="宋体" w:cs="宋体"/>
          <w:b w:val="0"/>
          <w:bCs w:val="0"/>
          <w:color w:val="000000" w:themeColor="text1"/>
          <w:sz w:val="21"/>
          <w:szCs w:val="21"/>
          <w:highlight w:val="none"/>
          <w14:textFill>
            <w14:solidFill>
              <w14:schemeClr w14:val="tx1"/>
            </w14:solidFill>
          </w14:textFill>
        </w:rPr>
        <w:t>订之日起</w:t>
      </w:r>
      <w:bookmarkStart w:id="569" w:name="OLE_LINK445"/>
      <w:r>
        <w:rPr>
          <w:rFonts w:hint="eastAsia" w:hAnsi="宋体" w:cs="宋体"/>
          <w:b w:val="0"/>
          <w:bCs w:val="0"/>
          <w:color w:val="000000" w:themeColor="text1"/>
          <w:sz w:val="21"/>
          <w:szCs w:val="21"/>
          <w:highlight w:val="none"/>
          <w14:textFill>
            <w14:solidFill>
              <w14:schemeClr w14:val="tx1"/>
            </w14:solidFill>
          </w14:textFill>
        </w:rPr>
        <w:t>至</w:t>
      </w:r>
      <w:bookmarkStart w:id="570" w:name="OLE_LINK443"/>
      <w:r>
        <w:rPr>
          <w:rFonts w:hint="eastAsia" w:hAnsi="宋体" w:cs="宋体"/>
          <w:b w:val="0"/>
          <w:bCs w:val="0"/>
          <w:color w:val="000000" w:themeColor="text1"/>
          <w:sz w:val="21"/>
          <w:szCs w:val="21"/>
          <w:highlight w:val="none"/>
          <w:lang w:val="en-US"/>
          <w14:textFill>
            <w14:solidFill>
              <w14:schemeClr w14:val="tx1"/>
            </w14:solidFill>
          </w14:textFill>
        </w:rPr>
        <w:t>依法完成本项目的所有合同义务</w:t>
      </w:r>
      <w:bookmarkEnd w:id="568"/>
      <w:bookmarkEnd w:id="569"/>
      <w:bookmarkEnd w:id="570"/>
      <w:r>
        <w:rPr>
          <w:rFonts w:hint="eastAsia" w:hAnsi="宋体" w:cs="宋体"/>
          <w:b w:val="0"/>
          <w:bCs w:val="0"/>
          <w:color w:val="000000" w:themeColor="text1"/>
          <w:sz w:val="21"/>
          <w:szCs w:val="21"/>
          <w:highlight w:val="none"/>
          <w14:textFill>
            <w14:solidFill>
              <w14:schemeClr w14:val="tx1"/>
            </w14:solidFill>
          </w14:textFill>
        </w:rPr>
        <w:t>且</w:t>
      </w:r>
      <w:r>
        <w:rPr>
          <w:rFonts w:hint="eastAsia" w:hAnsi="宋体" w:cs="宋体"/>
          <w:b w:val="0"/>
          <w:bCs w:val="0"/>
          <w:color w:val="000000" w:themeColor="text1"/>
          <w:sz w:val="21"/>
          <w:szCs w:val="21"/>
          <w:highlight w:val="none"/>
          <w:lang w:val="en-US"/>
          <w14:textFill>
            <w14:solidFill>
              <w14:schemeClr w14:val="tx1"/>
            </w14:solidFill>
          </w14:textFill>
        </w:rPr>
        <w:t>双方</w:t>
      </w:r>
      <w:r>
        <w:rPr>
          <w:rFonts w:hint="eastAsia" w:hAnsi="宋体" w:cs="宋体"/>
          <w:b w:val="0"/>
          <w:bCs w:val="0"/>
          <w:color w:val="000000" w:themeColor="text1"/>
          <w:sz w:val="21"/>
          <w:szCs w:val="21"/>
          <w:highlight w:val="none"/>
          <w14:textFill>
            <w14:solidFill>
              <w14:schemeClr w14:val="tx1"/>
            </w14:solidFill>
          </w14:textFill>
        </w:rPr>
        <w:t>结算完毕后28日内保待有效。如不可撤销银行履约保函（或履约保证保险或担保公司履约担保书）在规定有效期届满时而乙方未完成全部供货（含最终验收合格）并结算完毕的，乙方必须在不可撤销银行履约保函（或履约保证保险或担保公司履约担保书）到期15日前无条件办理办妥符合甲方要求的延期手续或重新提供不可撤销银行履约保</w:t>
      </w:r>
      <w:r>
        <w:rPr>
          <w:rFonts w:hint="eastAsia" w:hAnsi="宋体" w:cs="宋体"/>
          <w:b w:val="0"/>
          <w:bCs w:val="0"/>
          <w:color w:val="000000" w:themeColor="text1"/>
          <w:sz w:val="21"/>
          <w:szCs w:val="21"/>
          <w:highlight w:val="none"/>
          <w:lang w:val="en-US"/>
          <w14:textFill>
            <w14:solidFill>
              <w14:schemeClr w14:val="tx1"/>
            </w14:solidFill>
          </w14:textFill>
        </w:rPr>
        <w:t>函</w:t>
      </w:r>
      <w:r>
        <w:rPr>
          <w:rFonts w:hint="eastAsia" w:hAnsi="宋体" w:cs="宋体"/>
          <w:b w:val="0"/>
          <w:bCs w:val="0"/>
          <w:color w:val="000000" w:themeColor="text1"/>
          <w:sz w:val="21"/>
          <w:szCs w:val="21"/>
          <w:highlight w:val="none"/>
          <w14:textFill>
            <w14:solidFill>
              <w14:schemeClr w14:val="tx1"/>
            </w14:solidFill>
          </w14:textFill>
        </w:rPr>
        <w:t>（或履约保证保险或担保公司履约担保书）；否则视为乙方违约，甲方有权在不可撤销银行</w:t>
      </w:r>
      <w:r>
        <w:rPr>
          <w:rFonts w:hint="eastAsia" w:hAnsi="宋体" w:cs="宋体"/>
          <w:b w:val="0"/>
          <w:bCs w:val="0"/>
          <w:color w:val="000000" w:themeColor="text1"/>
          <w:sz w:val="21"/>
          <w:szCs w:val="21"/>
          <w:highlight w:val="none"/>
          <w:lang w:val="en-US"/>
          <w14:textFill>
            <w14:solidFill>
              <w14:schemeClr w14:val="tx1"/>
            </w14:solidFill>
          </w14:textFill>
        </w:rPr>
        <w:t>履</w:t>
      </w:r>
      <w:r>
        <w:rPr>
          <w:rFonts w:hint="eastAsia" w:hAnsi="宋体" w:cs="宋体"/>
          <w:b w:val="0"/>
          <w:bCs w:val="0"/>
          <w:color w:val="000000" w:themeColor="text1"/>
          <w:sz w:val="21"/>
          <w:szCs w:val="21"/>
          <w:highlight w:val="none"/>
          <w14:textFill>
            <w14:solidFill>
              <w14:schemeClr w14:val="tx1"/>
            </w14:solidFill>
          </w14:textFill>
        </w:rPr>
        <w:t>约保函（或履约保证保险或担保公司履约担保书）到期前向出具</w:t>
      </w:r>
      <w:r>
        <w:rPr>
          <w:rFonts w:hint="eastAsia" w:hAnsi="宋体" w:cs="宋体"/>
          <w:b w:val="0"/>
          <w:bCs w:val="0"/>
          <w:color w:val="000000" w:themeColor="text1"/>
          <w:sz w:val="21"/>
          <w:szCs w:val="21"/>
          <w:highlight w:val="none"/>
          <w:lang w:val="en-US"/>
          <w14:textFill>
            <w14:solidFill>
              <w14:schemeClr w14:val="tx1"/>
            </w14:solidFill>
          </w14:textFill>
        </w:rPr>
        <w:t>履</w:t>
      </w:r>
      <w:r>
        <w:rPr>
          <w:rFonts w:hint="eastAsia" w:hAnsi="宋体" w:cs="宋体"/>
          <w:b w:val="0"/>
          <w:bCs w:val="0"/>
          <w:color w:val="000000" w:themeColor="text1"/>
          <w:sz w:val="21"/>
          <w:szCs w:val="21"/>
          <w:highlight w:val="none"/>
          <w14:textFill>
            <w14:solidFill>
              <w14:schemeClr w14:val="tx1"/>
            </w14:solidFill>
          </w14:textFill>
        </w:rPr>
        <w:t>约担保的机构提取履约担保。在不可撤销银行履约保函（或履约保证保险或担保公司履约担保书）到期后乙方未按甲方要求重新提供的，甲方有权要求乙方以履约担保金额为限承担违约金，违约金甲方可直接从未付款项中扣除。</w:t>
      </w:r>
    </w:p>
    <w:p w14:paraId="73E4122B">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5、在合同</w:t>
      </w:r>
      <w:r>
        <w:rPr>
          <w:rFonts w:hint="eastAsia" w:hAnsi="宋体" w:cs="宋体"/>
          <w:b w:val="0"/>
          <w:bCs w:val="0"/>
          <w:color w:val="000000" w:themeColor="text1"/>
          <w:sz w:val="21"/>
          <w:szCs w:val="21"/>
          <w:highlight w:val="none"/>
          <w:lang w:val="en-US"/>
          <w14:textFill>
            <w14:solidFill>
              <w14:schemeClr w14:val="tx1"/>
            </w14:solidFill>
          </w14:textFill>
        </w:rPr>
        <w:t>履</w:t>
      </w:r>
      <w:r>
        <w:rPr>
          <w:rFonts w:hint="eastAsia" w:hAnsi="宋体" w:cs="宋体"/>
          <w:b w:val="0"/>
          <w:bCs w:val="0"/>
          <w:color w:val="000000" w:themeColor="text1"/>
          <w:sz w:val="21"/>
          <w:szCs w:val="21"/>
          <w:highlight w:val="none"/>
          <w14:textFill>
            <w14:solidFill>
              <w14:schemeClr w14:val="tx1"/>
            </w14:solidFill>
          </w14:textFill>
        </w:rPr>
        <w:t>行过程中，不论何种原因导致履约担保数额不符合招标文件要求的，乙</w:t>
      </w:r>
      <w:r>
        <w:rPr>
          <w:rFonts w:hint="eastAsia" w:hAnsi="宋体" w:cs="宋体"/>
          <w:b w:val="0"/>
          <w:bCs w:val="0"/>
          <w:color w:val="000000" w:themeColor="text1"/>
          <w:sz w:val="21"/>
          <w:szCs w:val="21"/>
          <w:highlight w:val="none"/>
          <w:lang w:val="en-US"/>
          <w14:textFill>
            <w14:solidFill>
              <w14:schemeClr w14:val="tx1"/>
            </w14:solidFill>
          </w14:textFill>
        </w:rPr>
        <w:t>方</w:t>
      </w:r>
      <w:r>
        <w:rPr>
          <w:rFonts w:hint="eastAsia" w:hAnsi="宋体" w:cs="宋体"/>
          <w:b w:val="0"/>
          <w:bCs w:val="0"/>
          <w:color w:val="000000" w:themeColor="text1"/>
          <w:sz w:val="21"/>
          <w:szCs w:val="21"/>
          <w:highlight w:val="none"/>
          <w14:textFill>
            <w14:solidFill>
              <w14:schemeClr w14:val="tx1"/>
            </w14:solidFill>
          </w14:textFill>
        </w:rPr>
        <w:t>应当在5日内予以补足。逾期不予补足的，甲</w:t>
      </w:r>
      <w:r>
        <w:rPr>
          <w:rFonts w:hint="eastAsia" w:hAnsi="宋体" w:cs="宋体"/>
          <w:b w:val="0"/>
          <w:bCs w:val="0"/>
          <w:color w:val="000000" w:themeColor="text1"/>
          <w:sz w:val="21"/>
          <w:szCs w:val="21"/>
          <w:highlight w:val="none"/>
          <w:lang w:val="en-US"/>
          <w14:textFill>
            <w14:solidFill>
              <w14:schemeClr w14:val="tx1"/>
            </w14:solidFill>
          </w14:textFill>
        </w:rPr>
        <w:t>方</w:t>
      </w:r>
      <w:r>
        <w:rPr>
          <w:rFonts w:hint="eastAsia" w:hAnsi="宋体" w:cs="宋体"/>
          <w:b w:val="0"/>
          <w:bCs w:val="0"/>
          <w:color w:val="000000" w:themeColor="text1"/>
          <w:sz w:val="21"/>
          <w:szCs w:val="21"/>
          <w:highlight w:val="none"/>
          <w14:textFill>
            <w14:solidFill>
              <w14:schemeClr w14:val="tx1"/>
            </w14:solidFill>
          </w14:textFill>
        </w:rPr>
        <w:t>有权按需补足的金额要求乙方承担违约金，并要求限期补足。如乙方仍不补足的，甲方有权单方解除合同。</w:t>
      </w:r>
    </w:p>
    <w:p w14:paraId="0F99DE61">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1CF4F24D">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第十六条 </w:t>
      </w:r>
      <w:bookmarkStart w:id="571" w:name="OLE_LINK99"/>
      <w:r>
        <w:rPr>
          <w:rFonts w:hint="eastAsia" w:ascii="宋体" w:hAnsi="宋体" w:eastAsia="宋体" w:cs="宋体"/>
          <w:b/>
          <w:color w:val="000000" w:themeColor="text1"/>
          <w:szCs w:val="21"/>
          <w:highlight w:val="none"/>
          <w14:textFill>
            <w14:solidFill>
              <w14:schemeClr w14:val="tx1"/>
            </w14:solidFill>
          </w14:textFill>
        </w:rPr>
        <w:t>技术资料</w:t>
      </w:r>
      <w:bookmarkEnd w:id="571"/>
    </w:p>
    <w:p w14:paraId="7C003D40">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应按《用户需求书》的要求向甲方提供完整的所有供货设备的必要技术资料。乙方必须保证技术资料符合项目安装需求，如因乙方提供的技术资料错误导致设备无法安装的，由此造成的一切损失由乙方承担。具体技术资料要求按照招标文件用户需求书的规定执行。</w:t>
      </w:r>
    </w:p>
    <w:p w14:paraId="303AB2D1">
      <w:pPr>
        <w:adjustRightIn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2、乙方在设备交货的同时应提供最终设备的全套（简体中文，如是外文应附中文译本）资料（含纸质和电子文件）给甲方，包括但不限于：</w:t>
      </w:r>
    </w:p>
    <w:p w14:paraId="56EACB6C">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（1）完整的装箱单、产品出厂检验合格证书（含主要元器件的出厂合格证）、出厂试验报告、检验报告（或测试性能、测试报告）；</w:t>
      </w:r>
    </w:p>
    <w:p w14:paraId="088AE3BA">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（2）产品说明书；</w:t>
      </w:r>
    </w:p>
    <w:p w14:paraId="534F02DA">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（3）质量保证书、保修保证书；</w:t>
      </w:r>
    </w:p>
    <w:p w14:paraId="192D4C73">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（4）各单体设备技术规格及说明；</w:t>
      </w:r>
    </w:p>
    <w:p w14:paraId="79DA96CA">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（5）安装调试、维修、保养手册等招标文件用户需求书规定数量和类型的技术资料；</w:t>
      </w:r>
    </w:p>
    <w:p w14:paraId="51D7BA5E">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（6）与货物使用、维护或检验等所需的相关其他文件；</w:t>
      </w:r>
    </w:p>
    <w:p w14:paraId="5C159312">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（7）符合国家规定的验收标准、厂方标准及验收手册；</w:t>
      </w:r>
    </w:p>
    <w:p w14:paraId="42B7FB19">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（8）甲方要求提供的其他检验检测报告等。</w:t>
      </w:r>
    </w:p>
    <w:p w14:paraId="2728B497">
      <w:pPr>
        <w:adjustRightInd w:val="0"/>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3、乙方</w:t>
      </w:r>
      <w:r>
        <w:rPr>
          <w:rFonts w:hint="eastAsia" w:ascii="宋体" w:hAnsi="宋体" w:eastAsia="宋体" w:cs="宋体"/>
          <w:color w:val="000000" w:themeColor="text1"/>
          <w:szCs w:val="21"/>
          <w:highlight w:val="none"/>
          <w14:textFill>
            <w14:solidFill>
              <w14:schemeClr w14:val="tx1"/>
            </w14:solidFill>
          </w14:textFill>
        </w:rPr>
        <w:t>必须保证在设备使用寿命内，甲方无偿获得PLC通讯、</w:t>
      </w:r>
      <w:bookmarkStart w:id="572" w:name="OLE_LINK298"/>
      <w:r>
        <w:rPr>
          <w:rFonts w:hint="eastAsia" w:ascii="宋体" w:hAnsi="宋体" w:eastAsia="宋体" w:cs="宋体"/>
          <w:color w:val="000000" w:themeColor="text1"/>
          <w:szCs w:val="21"/>
          <w:highlight w:val="none"/>
          <w14:textFill>
            <w14:solidFill>
              <w14:schemeClr w14:val="tx1"/>
            </w14:solidFill>
          </w14:textFill>
        </w:rPr>
        <w:t>现场实时监测数据、APP监控等</w:t>
      </w:r>
      <w:bookmarkEnd w:id="572"/>
      <w:r>
        <w:rPr>
          <w:rFonts w:hint="eastAsia" w:ascii="宋体" w:hAnsi="宋体" w:eastAsia="宋体" w:cs="宋体"/>
          <w:color w:val="000000" w:themeColor="text1"/>
          <w:szCs w:val="21"/>
          <w:highlight w:val="none"/>
          <w14:textFill>
            <w14:solidFill>
              <w14:schemeClr w14:val="tx1"/>
            </w14:solidFill>
          </w14:textFill>
        </w:rPr>
        <w:t>软件的知识产权，相关程序均不得设置密码（或免费向甲方提供密码）、随机附带的软件程序等不得设置妨碍设备正常工作的后门程序。涉及设备正常使用、维护的一切软件在设备验收时也应一并交付甲方。</w:t>
      </w:r>
    </w:p>
    <w:p w14:paraId="5FA4DBC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4、乙方在完成最终验收合格后1个月内，</w:t>
      </w:r>
      <w:bookmarkStart w:id="573" w:name="OLE_LINK299"/>
      <w:r>
        <w:rPr>
          <w:rFonts w:hint="eastAsia" w:ascii="宋体" w:hAnsi="宋体" w:eastAsia="宋体" w:cs="宋体"/>
          <w:color w:val="000000" w:themeColor="text1"/>
          <w:szCs w:val="21"/>
          <w:highlight w:val="none"/>
          <w14:textFill>
            <w14:solidFill>
              <w14:schemeClr w14:val="tx1"/>
            </w14:solidFill>
          </w14:textFill>
        </w:rPr>
        <w:t>向甲方移交</w:t>
      </w:r>
      <w:bookmarkStart w:id="574" w:name="OLE_LINK297"/>
      <w:r>
        <w:rPr>
          <w:rFonts w:hint="eastAsia" w:ascii="宋体" w:hAnsi="宋体" w:eastAsia="宋体" w:cs="宋体"/>
          <w:color w:val="000000" w:themeColor="text1"/>
          <w:szCs w:val="21"/>
          <w:highlight w:val="none"/>
          <w14:textFill>
            <w14:solidFill>
              <w14:schemeClr w14:val="tx1"/>
            </w14:solidFill>
          </w14:textFill>
        </w:rPr>
        <w:t>四套</w:t>
      </w:r>
      <w:bookmarkEnd w:id="574"/>
      <w:r>
        <w:rPr>
          <w:rFonts w:hint="eastAsia" w:ascii="宋体" w:hAnsi="宋体" w:eastAsia="宋体" w:cs="宋体"/>
          <w:color w:val="000000" w:themeColor="text1"/>
          <w:szCs w:val="21"/>
          <w:highlight w:val="none"/>
          <w14:textFill>
            <w14:solidFill>
              <w14:schemeClr w14:val="tx1"/>
            </w14:solidFill>
          </w14:textFill>
        </w:rPr>
        <w:t>符合</w:t>
      </w:r>
      <w:r>
        <w:rPr>
          <w:rFonts w:hint="eastAsia" w:ascii="宋体" w:hAnsi="宋体" w:eastAsia="宋体" w:cs="宋体"/>
          <w:color w:val="000000" w:themeColor="text1"/>
          <w:kern w:val="0"/>
          <w:szCs w:val="21"/>
          <w:highlight w:val="none"/>
          <w14:textFill>
            <w14:solidFill>
              <w14:schemeClr w14:val="tx1"/>
            </w14:solidFill>
          </w14:textFill>
        </w:rPr>
        <w:t>国家、省或行业现行的质量验收标准及规范</w:t>
      </w:r>
      <w:r>
        <w:rPr>
          <w:rFonts w:hint="eastAsia" w:ascii="宋体" w:hAnsi="宋体" w:eastAsia="宋体" w:cs="宋体"/>
          <w:color w:val="000000" w:themeColor="text1"/>
          <w:szCs w:val="21"/>
          <w:highlight w:val="none"/>
          <w14:textFill>
            <w14:solidFill>
              <w14:schemeClr w14:val="tx1"/>
            </w14:solidFill>
          </w14:textFill>
        </w:rPr>
        <w:t xml:space="preserve">的完工资料和一套电子档扫描件（以光盘或U盘作为存储介质交付）。 </w:t>
      </w:r>
      <w:bookmarkEnd w:id="573"/>
    </w:p>
    <w:p w14:paraId="52900961">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7AC4AEE4">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第十七条 </w:t>
      </w:r>
      <w:bookmarkStart w:id="575" w:name="OLE_LINK100"/>
      <w:r>
        <w:rPr>
          <w:rFonts w:hint="eastAsia" w:ascii="宋体" w:hAnsi="宋体" w:eastAsia="宋体" w:cs="宋体"/>
          <w:b/>
          <w:color w:val="000000" w:themeColor="text1"/>
          <w:szCs w:val="21"/>
          <w:highlight w:val="none"/>
          <w14:textFill>
            <w14:solidFill>
              <w14:schemeClr w14:val="tx1"/>
            </w14:solidFill>
          </w14:textFill>
        </w:rPr>
        <w:t>权利保证</w:t>
      </w:r>
      <w:bookmarkEnd w:id="575"/>
    </w:p>
    <w:p w14:paraId="66766D2B">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bookmarkStart w:id="576" w:name="OLE_LINK266"/>
      <w:r>
        <w:rPr>
          <w:rFonts w:hint="eastAsia" w:ascii="宋体" w:hAnsi="宋体" w:eastAsia="宋体" w:cs="宋体"/>
          <w:color w:val="000000" w:themeColor="text1"/>
          <w:szCs w:val="21"/>
          <w:highlight w:val="none"/>
          <w14:textFill>
            <w14:solidFill>
              <w14:schemeClr w14:val="tx1"/>
            </w14:solidFill>
          </w14:textFill>
        </w:rPr>
        <w:t>1、</w:t>
      </w:r>
      <w:bookmarkStart w:id="577" w:name="OLE_LINK268"/>
      <w:r>
        <w:rPr>
          <w:rFonts w:hint="eastAsia" w:ascii="宋体" w:hAnsi="宋体" w:eastAsia="宋体" w:cs="宋体"/>
          <w:color w:val="000000" w:themeColor="text1"/>
          <w:szCs w:val="21"/>
          <w:highlight w:val="none"/>
          <w14:textFill>
            <w14:solidFill>
              <w14:schemeClr w14:val="tx1"/>
            </w14:solidFill>
          </w14:textFill>
        </w:rPr>
        <w:t>乙方</w:t>
      </w:r>
      <w:bookmarkStart w:id="578" w:name="OLE_LINK269"/>
      <w:r>
        <w:rPr>
          <w:rFonts w:hint="eastAsia" w:ascii="宋体" w:hAnsi="宋体" w:eastAsia="宋体" w:cs="宋体"/>
          <w:color w:val="000000" w:themeColor="text1"/>
          <w:szCs w:val="21"/>
          <w:highlight w:val="none"/>
          <w14:textFill>
            <w14:solidFill>
              <w14:schemeClr w14:val="tx1"/>
            </w14:solidFill>
          </w14:textFill>
        </w:rPr>
        <w:t>应</w:t>
      </w:r>
      <w:bookmarkEnd w:id="578"/>
      <w:r>
        <w:rPr>
          <w:rFonts w:hint="eastAsia" w:ascii="宋体" w:hAnsi="宋体" w:eastAsia="宋体" w:cs="宋体"/>
          <w:color w:val="000000" w:themeColor="text1"/>
          <w:szCs w:val="21"/>
          <w:highlight w:val="none"/>
          <w14:textFill>
            <w14:solidFill>
              <w14:schemeClr w14:val="tx1"/>
            </w14:solidFill>
          </w14:textFill>
        </w:rPr>
        <w:t>保证合同项下提供的货物不侵犯任何第三方的专利、商标、版权以及其它权利，否则，乙方须承担因此产生的全部责任及费用，如因此造成甲方损失的，乙方应予以足额赔偿。</w:t>
      </w:r>
      <w:bookmarkEnd w:id="577"/>
    </w:p>
    <w:bookmarkEnd w:id="576"/>
    <w:p w14:paraId="6846ECB3">
      <w:pPr>
        <w:adjustRightInd w:val="0"/>
        <w:spacing w:line="360" w:lineRule="auto"/>
        <w:ind w:firstLine="373" w:firstLineChars="177"/>
        <w:rPr>
          <w:rFonts w:ascii="宋体" w:hAnsi="宋体" w:eastAsia="宋体" w:cs="宋体"/>
          <w:b/>
          <w:bCs/>
          <w:color w:val="000000" w:themeColor="text1"/>
          <w:szCs w:val="21"/>
          <w:highlight w:val="none"/>
          <w14:textFill>
            <w14:solidFill>
              <w14:schemeClr w14:val="tx1"/>
            </w14:solidFill>
          </w14:textFill>
        </w:rPr>
      </w:pPr>
      <w:bookmarkStart w:id="579" w:name="OLE_LINK267"/>
      <w:r>
        <w:rPr>
          <w:rFonts w:hint="eastAsia" w:ascii="宋体" w:hAnsi="宋体" w:eastAsia="宋体" w:cs="宋体"/>
          <w:b/>
          <w:bCs/>
          <w:color w:val="000000" w:themeColor="text1"/>
          <w:szCs w:val="21"/>
          <w:highlight w:val="none"/>
          <w14:textFill>
            <w14:solidFill>
              <w14:schemeClr w14:val="tx1"/>
            </w14:solidFill>
          </w14:textFill>
        </w:rPr>
        <w:t>2、乙方</w:t>
      </w:r>
      <w:bookmarkStart w:id="580" w:name="OLE_LINK270"/>
      <w:r>
        <w:rPr>
          <w:rFonts w:hint="eastAsia" w:ascii="宋体" w:hAnsi="宋体" w:eastAsia="宋体" w:cs="宋体"/>
          <w:b/>
          <w:bCs/>
          <w:color w:val="000000" w:themeColor="text1"/>
          <w:szCs w:val="21"/>
          <w:highlight w:val="none"/>
          <w14:textFill>
            <w14:solidFill>
              <w14:schemeClr w14:val="tx1"/>
            </w14:solidFill>
          </w14:textFill>
        </w:rPr>
        <w:t>须</w:t>
      </w:r>
      <w:bookmarkEnd w:id="580"/>
      <w:r>
        <w:rPr>
          <w:rFonts w:hint="eastAsia" w:ascii="宋体" w:hAnsi="宋体" w:eastAsia="宋体" w:cs="宋体"/>
          <w:b/>
          <w:bCs/>
          <w:color w:val="000000" w:themeColor="text1"/>
          <w:szCs w:val="21"/>
          <w:highlight w:val="none"/>
          <w14:textFill>
            <w14:solidFill>
              <w14:schemeClr w14:val="tx1"/>
            </w14:solidFill>
          </w14:textFill>
        </w:rPr>
        <w:t xml:space="preserve">保证其向甲方提供的所有软硬件系统不会侵犯任何第三方的知识产权。乙方应保证甲方免于遭受因第三方提起侵权索赔而产生的任何损失，如果任何第三方向甲方提起侵权索赔，乙方应负责与之交涉并承担因此引起的一切法律责任。因乙方提供的软硬件侵犯第三方知识产权，导致甲方无法正常使用的，乙方应向甲方支付合同总价（含税）的20%作为违约金，并赔偿甲方因此产生的全部损失。 </w:t>
      </w:r>
    </w:p>
    <w:bookmarkEnd w:id="579"/>
    <w:p w14:paraId="03F38651">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30748B7F">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第十八条 </w:t>
      </w:r>
      <w:bookmarkStart w:id="581" w:name="OLE_LINK101"/>
      <w:r>
        <w:rPr>
          <w:rFonts w:hint="eastAsia" w:ascii="宋体" w:hAnsi="宋体" w:eastAsia="宋体" w:cs="宋体"/>
          <w:b/>
          <w:color w:val="000000" w:themeColor="text1"/>
          <w:szCs w:val="21"/>
          <w:highlight w:val="none"/>
          <w14:textFill>
            <w14:solidFill>
              <w14:schemeClr w14:val="tx1"/>
            </w14:solidFill>
          </w14:textFill>
        </w:rPr>
        <w:t>不可抗力</w:t>
      </w:r>
      <w:bookmarkEnd w:id="581"/>
    </w:p>
    <w:p w14:paraId="02185837">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7AFCD79F">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50E8DDF5">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第十九条 </w:t>
      </w:r>
      <w:bookmarkStart w:id="582" w:name="OLE_LINK102"/>
      <w:r>
        <w:rPr>
          <w:rFonts w:hint="eastAsia" w:ascii="宋体" w:hAnsi="宋体" w:eastAsia="宋体" w:cs="宋体"/>
          <w:b/>
          <w:color w:val="000000" w:themeColor="text1"/>
          <w:szCs w:val="21"/>
          <w:highlight w:val="none"/>
          <w14:textFill>
            <w14:solidFill>
              <w14:schemeClr w14:val="tx1"/>
            </w14:solidFill>
          </w14:textFill>
        </w:rPr>
        <w:t>索赔</w:t>
      </w:r>
      <w:bookmarkEnd w:id="582"/>
    </w:p>
    <w:p w14:paraId="1097DFD7">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l、在货物验收、使用过程中，甲方如对货物（包括但不限于其规格、数</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等）有异议的，有权向乙</w:t>
      </w:r>
      <w:r>
        <w:rPr>
          <w:rFonts w:hint="eastAsia" w:hAnsi="宋体" w:cs="宋体"/>
          <w:b w:val="0"/>
          <w:bCs w:val="0"/>
          <w:color w:val="000000" w:themeColor="text1"/>
          <w:sz w:val="21"/>
          <w:szCs w:val="21"/>
          <w:highlight w:val="none"/>
          <w:lang w:val="en-US"/>
          <w14:textFill>
            <w14:solidFill>
              <w14:schemeClr w14:val="tx1"/>
            </w14:solidFill>
          </w14:textFill>
        </w:rPr>
        <w:t>方</w:t>
      </w:r>
      <w:r>
        <w:rPr>
          <w:rFonts w:hint="eastAsia" w:hAnsi="宋体" w:cs="宋体"/>
          <w:b w:val="0"/>
          <w:bCs w:val="0"/>
          <w:color w:val="000000" w:themeColor="text1"/>
          <w:sz w:val="21"/>
          <w:szCs w:val="21"/>
          <w:highlight w:val="none"/>
          <w14:textFill>
            <w14:solidFill>
              <w14:schemeClr w14:val="tx1"/>
            </w14:solidFill>
          </w14:textFill>
        </w:rPr>
        <w:t>提出索赔，乙方应在</w:t>
      </w:r>
      <w:r>
        <w:rPr>
          <w:rFonts w:hint="eastAsia" w:hAnsi="宋体" w:cs="宋体"/>
          <w:b w:val="0"/>
          <w:bCs w:val="0"/>
          <w:color w:val="000000" w:themeColor="text1"/>
          <w:sz w:val="21"/>
          <w:szCs w:val="21"/>
          <w:highlight w:val="none"/>
          <w:lang w:val="en-US"/>
          <w14:textFill>
            <w14:solidFill>
              <w14:schemeClr w14:val="tx1"/>
            </w14:solidFill>
          </w14:textFill>
        </w:rPr>
        <w:t>甲</w:t>
      </w:r>
      <w:r>
        <w:rPr>
          <w:rFonts w:hint="eastAsia" w:hAnsi="宋体" w:cs="宋体"/>
          <w:b w:val="0"/>
          <w:bCs w:val="0"/>
          <w:color w:val="000000" w:themeColor="text1"/>
          <w:sz w:val="21"/>
          <w:szCs w:val="21"/>
          <w:highlight w:val="none"/>
          <w14:textFill>
            <w14:solidFill>
              <w14:schemeClr w14:val="tx1"/>
            </w14:solidFill>
          </w14:textFill>
        </w:rPr>
        <w:t>方发出索赔通知后7日内作出答复，并与甲方现场确认货物的质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问题后进行理赔；乙方根据合同约定应承担更换或退货责任的，乙方应立即根据本合同的约定承担免费更换或退货责任。逾期更换或退货，乙方需按</w:t>
      </w:r>
      <w:bookmarkStart w:id="583" w:name="OLE_LINK492"/>
      <w:r>
        <w:rPr>
          <w:rFonts w:hint="eastAsia" w:hAnsi="宋体" w:cs="宋体"/>
          <w:b w:val="0"/>
          <w:bCs w:val="0"/>
          <w:color w:val="000000" w:themeColor="text1"/>
          <w:sz w:val="21"/>
          <w:szCs w:val="21"/>
          <w:highlight w:val="none"/>
          <w:lang w:val="en-US"/>
          <w14:textFill>
            <w14:solidFill>
              <w14:schemeClr w14:val="tx1"/>
            </w14:solidFill>
          </w14:textFill>
        </w:rPr>
        <w:t>合同约定</w:t>
      </w:r>
      <w:bookmarkEnd w:id="583"/>
      <w:r>
        <w:rPr>
          <w:rFonts w:hint="eastAsia" w:hAnsi="宋体" w:cs="宋体"/>
          <w:b w:val="0"/>
          <w:bCs w:val="0"/>
          <w:color w:val="000000" w:themeColor="text1"/>
          <w:sz w:val="21"/>
          <w:szCs w:val="21"/>
          <w:highlight w:val="none"/>
          <w14:textFill>
            <w14:solidFill>
              <w14:schemeClr w14:val="tx1"/>
            </w14:solidFill>
          </w14:textFill>
        </w:rPr>
        <w:t>承担违约责任。</w:t>
      </w:r>
    </w:p>
    <w:p w14:paraId="2D72FACC">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2、如双方对货物的质量问题存在争议的，双方同意在</w:t>
      </w:r>
      <w:r>
        <w:rPr>
          <w:rFonts w:hint="eastAsia" w:hAnsi="宋体" w:cs="宋体"/>
          <w:b w:val="0"/>
          <w:bCs w:val="0"/>
          <w:color w:val="000000" w:themeColor="text1"/>
          <w:sz w:val="21"/>
          <w:szCs w:val="21"/>
          <w:highlight w:val="none"/>
          <w:lang w:val="en-US"/>
          <w14:textFill>
            <w14:solidFill>
              <w14:schemeClr w14:val="tx1"/>
            </w14:solidFill>
          </w14:textFill>
        </w:rPr>
        <w:t>质量</w:t>
      </w:r>
      <w:r>
        <w:rPr>
          <w:rFonts w:hint="eastAsia" w:hAnsi="宋体" w:cs="宋体"/>
          <w:b w:val="0"/>
          <w:bCs w:val="0"/>
          <w:color w:val="000000" w:themeColor="text1"/>
          <w:sz w:val="21"/>
          <w:szCs w:val="21"/>
          <w:highlight w:val="none"/>
          <w14:textFill>
            <w14:solidFill>
              <w14:schemeClr w14:val="tx1"/>
            </w14:solidFill>
          </w14:textFill>
        </w:rPr>
        <w:t>问题发生后7日内提交货物交付地的第三方检验机构进行质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鉴定后确认，鉴定费</w:t>
      </w:r>
      <w:r>
        <w:rPr>
          <w:rFonts w:hint="eastAsia" w:hAnsi="宋体" w:cs="宋体"/>
          <w:b w:val="0"/>
          <w:bCs w:val="0"/>
          <w:color w:val="000000" w:themeColor="text1"/>
          <w:sz w:val="21"/>
          <w:szCs w:val="21"/>
          <w:highlight w:val="none"/>
          <w:lang w:val="en-US"/>
          <w14:textFill>
            <w14:solidFill>
              <w14:schemeClr w14:val="tx1"/>
            </w14:solidFill>
          </w14:textFill>
        </w:rPr>
        <w:t>由</w:t>
      </w:r>
      <w:r>
        <w:rPr>
          <w:rFonts w:hint="eastAsia" w:hAnsi="宋体" w:cs="宋体"/>
          <w:b w:val="0"/>
          <w:bCs w:val="0"/>
          <w:color w:val="000000" w:themeColor="text1"/>
          <w:sz w:val="21"/>
          <w:szCs w:val="21"/>
          <w:highlight w:val="none"/>
          <w14:textFill>
            <w14:solidFill>
              <w14:schemeClr w14:val="tx1"/>
            </w14:solidFill>
          </w14:textFill>
        </w:rPr>
        <w:t>乙方先行垫付，鉴定结果确定后，质</w:t>
      </w:r>
      <w:r>
        <w:rPr>
          <w:rFonts w:hint="eastAsia" w:hAnsi="宋体" w:cs="宋体"/>
          <w:b w:val="0"/>
          <w:bCs w:val="0"/>
          <w:color w:val="000000" w:themeColor="text1"/>
          <w:sz w:val="21"/>
          <w:szCs w:val="21"/>
          <w:highlight w:val="none"/>
          <w:lang w:val="en-US"/>
          <w14:textFill>
            <w14:solidFill>
              <w14:schemeClr w14:val="tx1"/>
            </w14:solidFill>
          </w14:textFill>
        </w:rPr>
        <w:t>量</w:t>
      </w:r>
      <w:r>
        <w:rPr>
          <w:rFonts w:hint="eastAsia" w:hAnsi="宋体" w:cs="宋体"/>
          <w:b w:val="0"/>
          <w:bCs w:val="0"/>
          <w:color w:val="000000" w:themeColor="text1"/>
          <w:sz w:val="21"/>
          <w:szCs w:val="21"/>
          <w:highlight w:val="none"/>
          <w14:textFill>
            <w14:solidFill>
              <w14:schemeClr w14:val="tx1"/>
            </w14:solidFill>
          </w14:textFill>
        </w:rPr>
        <w:t>符合合同（含附件）约定的，鉴定费由甲方承担，否则由乙方承担。</w:t>
      </w:r>
    </w:p>
    <w:p w14:paraId="2F0C26B9">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3、如果乙方对甲方提出的异议及索赔负有责任，乙方应按照甲方同意的下列一种或多种方式解决索赔事宜：</w:t>
      </w:r>
    </w:p>
    <w:p w14:paraId="00364D0B">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(1)根据甲方要求予以退货，在甲方发出退货通知后7日内将退货货物运回，返还甲方已支付的全部货款（含合同价及税费），并承担因此产生的全部费用和本合同约定的违约金，以及赔偿因此给甲方造成的损失。</w:t>
      </w:r>
    </w:p>
    <w:p w14:paraId="3E365D90">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(2)根据甲方要求承担货物的更换责任，乙方应</w:t>
      </w:r>
      <w:r>
        <w:rPr>
          <w:rFonts w:hint="eastAsia" w:hAnsi="宋体" w:cs="宋体"/>
          <w:b w:val="0"/>
          <w:bCs w:val="0"/>
          <w:color w:val="000000" w:themeColor="text1"/>
          <w:sz w:val="21"/>
          <w:szCs w:val="21"/>
          <w:highlight w:val="none"/>
          <w:lang w:val="en-US"/>
          <w14:textFill>
            <w14:solidFill>
              <w14:schemeClr w14:val="tx1"/>
            </w14:solidFill>
          </w14:textFill>
        </w:rPr>
        <w:t>于</w:t>
      </w:r>
      <w:r>
        <w:rPr>
          <w:rFonts w:hint="eastAsia" w:hAnsi="宋体" w:cs="宋体"/>
          <w:b w:val="0"/>
          <w:bCs w:val="0"/>
          <w:color w:val="000000" w:themeColor="text1"/>
          <w:sz w:val="21"/>
          <w:szCs w:val="21"/>
          <w:highlight w:val="none"/>
          <w14:textFill>
            <w14:solidFill>
              <w14:schemeClr w14:val="tx1"/>
            </w14:solidFill>
          </w14:textFill>
        </w:rPr>
        <w:t>甲方发出更换通知后7日内更换</w:t>
      </w:r>
      <w:r>
        <w:rPr>
          <w:rFonts w:hint="eastAsia" w:hAnsi="宋体" w:cs="宋体"/>
          <w:b w:val="0"/>
          <w:bCs w:val="0"/>
          <w:color w:val="000000" w:themeColor="text1"/>
          <w:sz w:val="21"/>
          <w:szCs w:val="21"/>
          <w:highlight w:val="none"/>
          <w:lang w:val="en-US"/>
          <w14:textFill>
            <w14:solidFill>
              <w14:schemeClr w14:val="tx1"/>
            </w14:solidFill>
          </w14:textFill>
        </w:rPr>
        <w:t>全</w:t>
      </w:r>
      <w:r>
        <w:rPr>
          <w:rFonts w:hint="eastAsia" w:hAnsi="宋体" w:cs="宋体"/>
          <w:b w:val="0"/>
          <w:bCs w:val="0"/>
          <w:color w:val="000000" w:themeColor="text1"/>
          <w:sz w:val="21"/>
          <w:szCs w:val="21"/>
          <w:highlight w:val="none"/>
          <w14:textFill>
            <w14:solidFill>
              <w14:schemeClr w14:val="tx1"/>
            </w14:solidFill>
          </w14:textFill>
        </w:rPr>
        <w:t>新并符合本合同的规定的货物，乙方应承担因此产生的全部费用并赔偿甲方因此遭受的损失，更换货物的质保期应按本合同的相关规定重新计算。</w:t>
      </w:r>
    </w:p>
    <w:p w14:paraId="46B02A7D">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(3)甲方可根据货物低劣程度、损坏程度以及甲方所遭受损失的数额，要求乙方降低货物的价格，即按销售折扣减少合同价（销售额）。</w:t>
      </w:r>
    </w:p>
    <w:p w14:paraId="6F5AE914">
      <w:pPr>
        <w:snapToGrid w:val="0"/>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(4)当甲方损失无法计算时，乙方同意按含税合同价的20%计算赔偿金。</w:t>
      </w:r>
    </w:p>
    <w:p w14:paraId="0DACA525">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(5)如果在甲方发出索赔通知后30天内，乙方未作书面答复，上述索赔应视为已被乙方接受。甲方将启动履约担保支付或从未付货款中扣除索赔金额。如果该等款项不足以补偿索赔金额，甲方有权向乙方提出不足部分的补偿。</w:t>
      </w:r>
    </w:p>
    <w:p w14:paraId="3348401A">
      <w:pPr>
        <w:pStyle w:val="2"/>
        <w:snapToGrid w:val="0"/>
        <w:spacing w:line="360" w:lineRule="auto"/>
        <w:ind w:right="0" w:firstLine="420" w:firstLineChars="200"/>
        <w:jc w:val="left"/>
        <w:rPr>
          <w:rFonts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4、光伏组件安装时，乙方必须对甲方屋面做好相应的保护措施，避免安装过程中对甲方屋面造成损坏(尤其是屋面的防水层、油漆层)。如不慎造成损坏，乙方必须无条件维修好并承担所需全部费用。若由此造成屋面漏水的，乙方应按照甲方遭受的连带损失统一进行赔偿。</w:t>
      </w:r>
    </w:p>
    <w:p w14:paraId="75D0001B">
      <w:pPr>
        <w:pStyle w:val="2"/>
        <w:snapToGrid w:val="0"/>
        <w:spacing w:line="360" w:lineRule="auto"/>
        <w:ind w:right="0" w:firstLine="420" w:firstLineChars="200"/>
        <w:jc w:val="left"/>
        <w:rPr>
          <w:rFonts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5、在安装过程中严禁直接踩踏光伏组件（包括边框），如有损坏需无条件进行更换并承担所需全部费用。</w:t>
      </w:r>
    </w:p>
    <w:p w14:paraId="47A103C5">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071A6F11">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第二十条 </w:t>
      </w:r>
      <w:bookmarkStart w:id="584" w:name="OLE_LINK105"/>
      <w:r>
        <w:rPr>
          <w:rFonts w:hint="eastAsia" w:ascii="宋体" w:hAnsi="宋体" w:eastAsia="宋体" w:cs="宋体"/>
          <w:b/>
          <w:color w:val="000000" w:themeColor="text1"/>
          <w:szCs w:val="21"/>
          <w:highlight w:val="none"/>
          <w14:textFill>
            <w14:solidFill>
              <w14:schemeClr w14:val="tx1"/>
            </w14:solidFill>
          </w14:textFill>
        </w:rPr>
        <w:t>违约责任</w:t>
      </w:r>
      <w:bookmarkEnd w:id="584"/>
    </w:p>
    <w:p w14:paraId="1C239221">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未在甲方要求或约定的时间内完成交货（部分交货视为未完成交货），或未按时完成安装、调试并经甲方最终验收合格的，或未在规定的时间内承担相应的更换、退货责任以及其他未按照合同约定时间完成服务内容的，每逾期一日，应按合同总价（含税）的5‰向甲方支付违约金。乙方逾期超过_</w:t>
      </w:r>
      <w:r>
        <w:rPr>
          <w:rFonts w:hint="eastAsia" w:ascii="宋体" w:hAnsi="宋体" w:eastAsia="宋体" w:cs="宋体"/>
          <w:color w:val="000000" w:themeColor="text1"/>
          <w:szCs w:val="21"/>
          <w:highlight w:val="none"/>
          <w:u w:val="singl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_日的，甲方可单方解除本合同，无论甲方是否解除本合同，乙方除支付前述逾期违约金外，还应按合同总价（含税）的5%向甲方支付赔偿金。该部分金额不足以弥补甲方损失的，甲方还有权另行追偿。</w:t>
      </w:r>
    </w:p>
    <w:p w14:paraId="1BA9C33F">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所交货物（包括但不限于品种、型号、规格、质量、性能）不符合合同规定的，甲方有权拒收，并要求乙方免费予以更换或退货，同时乙方应向甲方支付该批货款金额（含税）的5%的违约金。若因乙方原因导致乙方无法按照本合同约定供货的，甲方有权单方解除合同，且有权要求乙方支付合同总价（含税）【20%】的违约金。</w:t>
      </w:r>
    </w:p>
    <w:p w14:paraId="5AB417C2">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未按约定履行培训或质保期及售后服务义务的，甲方有权要求限期改正，如逾期仍未改正的，甲方有权另行委托第三方进行培训或售后质保等，由此产生的全部费用及损失由乙方承担；且甲方有权视违约情况给予每次人民币5000元至20000元违约处罚。合同期间连续或累计达3次违反培训或售后质保服务义务的，甲方有权解除合同，且剩余款项无需再支付，同时甲方有权没收质保金，甲方有权没收履约担保。</w:t>
      </w:r>
    </w:p>
    <w:p w14:paraId="4A005F71">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乙方未按约定履行运营维护义务的，甲方有权要求限期改正，逾期仍未改正的，每次人民币5000元至20000元违约处罚。运维期间连续或累计达3次违反运营维护义务的，甲方有权选择解除合同，且剩余款项无需再支付，同时有权没收履约担保。</w:t>
      </w:r>
    </w:p>
    <w:p w14:paraId="0B5A5675">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5、无论是否在质保期内，因货物质量问题发生安全事故或引起其他损失、造成不良后果的，乙方应承担全部责任及损失赔偿。</w:t>
      </w:r>
    </w:p>
    <w:p w14:paraId="23B38944">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乙方不得拖欠第三方任何款项，否则，甲方有权从合同应付款中或启动履约担保直接支付给第三方。若造成甲方参加诉讼，相关费用（包括但不限于诉讼费、财产保全责任保险费/担保费、律师费、鉴定费、公证费、交通住宿费等全部）及损失全部由乙方承担，甲方有权在合同价款中直接扣除或启动履约担保予以支付。如导致甲方对外承担责任的，甲方有权解除本合同，并有权要求乙方支付甲方对外承担费用，同时并应按甲方对外承担费用2倍赔偿甲方损失，如不足以赔偿的，应按甲方实际损失赔偿。</w:t>
      </w:r>
    </w:p>
    <w:p w14:paraId="39A5C979">
      <w:pPr>
        <w:spacing w:line="360" w:lineRule="auto"/>
        <w:ind w:firstLine="371" w:firstLineChars="177"/>
        <w:rPr>
          <w:rFonts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eastAsia="zh-Hans"/>
          <w14:textFill>
            <w14:solidFill>
              <w14:schemeClr w14:val="tx1"/>
            </w14:solidFill>
          </w14:textFill>
        </w:rPr>
        <w:t>在本合同履行期限内，乙方未经甲方书面同意即将本合同约定项下的全部项目或部分项目转包给第三方的，</w:t>
      </w:r>
      <w:r>
        <w:rPr>
          <w:rFonts w:hint="eastAsia" w:ascii="宋体" w:hAnsi="宋体" w:eastAsia="宋体" w:cs="宋体"/>
          <w:color w:val="000000" w:themeColor="text1"/>
          <w:szCs w:val="21"/>
          <w:highlight w:val="none"/>
          <w14:textFill>
            <w14:solidFill>
              <w14:schemeClr w14:val="tx1"/>
            </w14:solidFill>
          </w14:textFill>
        </w:rPr>
        <w:t>甲方</w:t>
      </w:r>
      <w:r>
        <w:rPr>
          <w:rFonts w:hint="eastAsia" w:ascii="宋体" w:hAnsi="宋体" w:eastAsia="宋体" w:cs="宋体"/>
          <w:color w:val="000000" w:themeColor="text1"/>
          <w:szCs w:val="21"/>
          <w:highlight w:val="none"/>
          <w:lang w:eastAsia="zh-Hans"/>
          <w14:textFill>
            <w14:solidFill>
              <w14:schemeClr w14:val="tx1"/>
            </w14:solidFill>
          </w14:textFill>
        </w:rPr>
        <w:t>有权单方解除本合同</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Hans"/>
          <w14:textFill>
            <w14:solidFill>
              <w14:schemeClr w14:val="tx1"/>
            </w14:solidFill>
          </w14:textFill>
        </w:rPr>
        <w:t>且</w:t>
      </w:r>
      <w:r>
        <w:rPr>
          <w:rFonts w:hint="eastAsia" w:ascii="宋体" w:hAnsi="宋体" w:eastAsia="宋体" w:cs="宋体"/>
          <w:color w:val="000000" w:themeColor="text1"/>
          <w:szCs w:val="21"/>
          <w:highlight w:val="none"/>
          <w14:textFill>
            <w14:solidFill>
              <w14:schemeClr w14:val="tx1"/>
            </w14:solidFill>
          </w14:textFill>
        </w:rPr>
        <w:t>甲方</w:t>
      </w:r>
      <w:r>
        <w:rPr>
          <w:rFonts w:hint="eastAsia" w:ascii="宋体" w:hAnsi="宋体" w:eastAsia="宋体" w:cs="宋体"/>
          <w:color w:val="000000" w:themeColor="text1"/>
          <w:szCs w:val="21"/>
          <w:highlight w:val="none"/>
          <w:lang w:eastAsia="zh-Hans"/>
          <w14:textFill>
            <w14:solidFill>
              <w14:schemeClr w14:val="tx1"/>
            </w14:solidFill>
          </w14:textFill>
        </w:rPr>
        <w:t>有权要求乙方</w:t>
      </w:r>
      <w:r>
        <w:rPr>
          <w:rFonts w:hint="eastAsia" w:ascii="宋体" w:hAnsi="宋体" w:eastAsia="宋体" w:cs="宋体"/>
          <w:color w:val="000000" w:themeColor="text1"/>
          <w:szCs w:val="21"/>
          <w:highlight w:val="none"/>
          <w14:textFill>
            <w14:solidFill>
              <w14:schemeClr w14:val="tx1"/>
            </w14:solidFill>
          </w14:textFill>
        </w:rPr>
        <w:t>合同总价（含税）</w:t>
      </w:r>
      <w:r>
        <w:rPr>
          <w:rFonts w:hint="eastAsia" w:ascii="宋体" w:hAnsi="宋体" w:eastAsia="宋体" w:cs="宋体"/>
          <w:color w:val="000000" w:themeColor="text1"/>
          <w:szCs w:val="21"/>
          <w:highlight w:val="none"/>
          <w:lang w:eastAsia="zh-Hans"/>
          <w14:textFill>
            <w14:solidFill>
              <w14:schemeClr w14:val="tx1"/>
            </w14:solidFill>
          </w14:textFill>
        </w:rPr>
        <w:t>的【20】%承担违约责任。</w:t>
      </w:r>
    </w:p>
    <w:p w14:paraId="282F03A5">
      <w:pPr>
        <w:spacing w:line="360" w:lineRule="auto"/>
        <w:ind w:firstLine="371" w:firstLineChars="177"/>
        <w:rPr>
          <w:rFonts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eastAsia="zh-Hans"/>
          <w14:textFill>
            <w14:solidFill>
              <w14:schemeClr w14:val="tx1"/>
            </w14:solidFill>
          </w14:textFill>
        </w:rPr>
        <w:t>乙方违反本合同任意一项约定，均视为乙方严重违约。甲方有权单方解除本合同、</w:t>
      </w:r>
      <w:r>
        <w:rPr>
          <w:rFonts w:hint="eastAsia" w:ascii="宋体" w:hAnsi="宋体" w:eastAsia="宋体" w:cs="宋体"/>
          <w:color w:val="000000" w:themeColor="text1"/>
          <w:szCs w:val="21"/>
          <w:highlight w:val="none"/>
          <w14:textFill>
            <w14:solidFill>
              <w14:schemeClr w14:val="tx1"/>
            </w14:solidFill>
          </w14:textFill>
        </w:rPr>
        <w:t>甲方有权没收</w:t>
      </w:r>
      <w:r>
        <w:rPr>
          <w:rFonts w:hint="eastAsia" w:ascii="宋体" w:hAnsi="宋体" w:eastAsia="宋体" w:cs="宋体"/>
          <w:color w:val="000000" w:themeColor="text1"/>
          <w:szCs w:val="21"/>
          <w:highlight w:val="none"/>
          <w:lang w:eastAsia="zh-Hans"/>
          <w14:textFill>
            <w14:solidFill>
              <w14:schemeClr w14:val="tx1"/>
            </w14:solidFill>
          </w14:textFill>
        </w:rPr>
        <w:t>履约</w:t>
      </w:r>
      <w:r>
        <w:rPr>
          <w:rFonts w:hint="eastAsia" w:ascii="宋体" w:hAnsi="宋体" w:eastAsia="宋体" w:cs="宋体"/>
          <w:color w:val="000000" w:themeColor="text1"/>
          <w:szCs w:val="21"/>
          <w:highlight w:val="none"/>
          <w14:textFill>
            <w14:solidFill>
              <w14:schemeClr w14:val="tx1"/>
            </w14:solidFill>
          </w14:textFill>
        </w:rPr>
        <w:t>担保</w:t>
      </w:r>
      <w:r>
        <w:rPr>
          <w:rFonts w:hint="eastAsia" w:ascii="宋体" w:hAnsi="宋体" w:eastAsia="宋体" w:cs="宋体"/>
          <w:color w:val="000000" w:themeColor="text1"/>
          <w:szCs w:val="21"/>
          <w:highlight w:val="none"/>
          <w:lang w:eastAsia="zh-Hans"/>
          <w14:textFill>
            <w14:solidFill>
              <w14:schemeClr w14:val="tx1"/>
            </w14:solidFill>
          </w14:textFill>
        </w:rPr>
        <w:t>且要求乙方按</w:t>
      </w:r>
      <w:r>
        <w:rPr>
          <w:rFonts w:hint="eastAsia" w:ascii="宋体" w:hAnsi="宋体" w:eastAsia="宋体" w:cs="宋体"/>
          <w:color w:val="000000" w:themeColor="text1"/>
          <w:szCs w:val="21"/>
          <w:highlight w:val="none"/>
          <w14:textFill>
            <w14:solidFill>
              <w14:schemeClr w14:val="tx1"/>
            </w14:solidFill>
          </w14:textFill>
        </w:rPr>
        <w:t>合同总价（含税）</w:t>
      </w:r>
      <w:r>
        <w:rPr>
          <w:rFonts w:hint="eastAsia" w:ascii="宋体" w:hAnsi="宋体" w:eastAsia="宋体" w:cs="宋体"/>
          <w:color w:val="000000" w:themeColor="text1"/>
          <w:szCs w:val="21"/>
          <w:highlight w:val="none"/>
          <w:lang w:eastAsia="zh-Hans"/>
          <w14:textFill>
            <w14:solidFill>
              <w14:schemeClr w14:val="tx1"/>
            </w14:solidFill>
          </w14:textFill>
        </w:rPr>
        <w:t>的【20】%承担违约责任。</w:t>
      </w:r>
    </w:p>
    <w:p w14:paraId="2EAB9EDE">
      <w:pPr>
        <w:spacing w:line="360" w:lineRule="auto"/>
        <w:ind w:firstLine="371" w:firstLineChars="177"/>
        <w:rPr>
          <w:rFonts w:ascii="宋体" w:hAnsi="宋体" w:eastAsia="宋体" w:cs="宋体"/>
          <w:color w:val="000000" w:themeColor="text1"/>
          <w:szCs w:val="21"/>
          <w:highlight w:val="none"/>
          <w:lang w:eastAsia="zh-Han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eastAsia="zh-Hans"/>
          <w14:textFill>
            <w14:solidFill>
              <w14:schemeClr w14:val="tx1"/>
            </w14:solidFill>
          </w14:textFill>
        </w:rPr>
        <w:t>因乙方违反本合同约定导致甲方权益受损的，甲方为维护自身权益所支付的所有费用均由乙方承担，包括但不限于甲方为此支付的</w:t>
      </w:r>
      <w:r>
        <w:rPr>
          <w:rFonts w:hint="eastAsia" w:ascii="宋体" w:hAnsi="宋体" w:eastAsia="宋体" w:cs="宋体"/>
          <w:color w:val="000000" w:themeColor="text1"/>
          <w:szCs w:val="21"/>
          <w:highlight w:val="none"/>
          <w14:textFill>
            <w14:solidFill>
              <w14:schemeClr w14:val="tx1"/>
            </w14:solidFill>
          </w14:textFill>
        </w:rPr>
        <w:t>诉讼费、律师费、鉴定费、公证费、交通住宿费、财产保全责任保险费、调查取证费等全部</w:t>
      </w:r>
      <w:r>
        <w:rPr>
          <w:rFonts w:hint="eastAsia" w:ascii="宋体" w:hAnsi="宋体" w:eastAsia="宋体" w:cs="宋体"/>
          <w:color w:val="000000" w:themeColor="text1"/>
          <w:szCs w:val="21"/>
          <w:highlight w:val="none"/>
          <w:lang w:eastAsia="zh-Hans"/>
          <w14:textFill>
            <w14:solidFill>
              <w14:schemeClr w14:val="tx1"/>
            </w14:solidFill>
          </w14:textFill>
        </w:rPr>
        <w:t>费用。</w:t>
      </w:r>
    </w:p>
    <w:p w14:paraId="08FA80E5">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0D2F874B">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w:t>
      </w:r>
      <w:bookmarkStart w:id="585" w:name="OLE_LINK432"/>
      <w:r>
        <w:rPr>
          <w:rFonts w:hint="eastAsia" w:ascii="宋体" w:hAnsi="宋体" w:eastAsia="宋体" w:cs="宋体"/>
          <w:b/>
          <w:color w:val="000000" w:themeColor="text1"/>
          <w:szCs w:val="21"/>
          <w:highlight w:val="none"/>
          <w14:textFill>
            <w14:solidFill>
              <w14:schemeClr w14:val="tx1"/>
            </w14:solidFill>
          </w14:textFill>
        </w:rPr>
        <w:t>二十</w:t>
      </w:r>
      <w:bookmarkEnd w:id="585"/>
      <w:r>
        <w:rPr>
          <w:rFonts w:hint="eastAsia" w:ascii="宋体" w:hAnsi="宋体" w:eastAsia="宋体" w:cs="宋体"/>
          <w:b/>
          <w:color w:val="000000" w:themeColor="text1"/>
          <w:szCs w:val="21"/>
          <w:highlight w:val="none"/>
          <w14:textFill>
            <w14:solidFill>
              <w14:schemeClr w14:val="tx1"/>
            </w14:solidFill>
          </w14:textFill>
        </w:rPr>
        <w:t xml:space="preserve">一条 </w:t>
      </w:r>
      <w:bookmarkStart w:id="586" w:name="OLE_LINK106"/>
      <w:r>
        <w:rPr>
          <w:rFonts w:hint="eastAsia" w:ascii="宋体" w:hAnsi="宋体" w:eastAsia="宋体" w:cs="宋体"/>
          <w:b/>
          <w:color w:val="000000" w:themeColor="text1"/>
          <w:szCs w:val="21"/>
          <w:highlight w:val="none"/>
          <w14:textFill>
            <w14:solidFill>
              <w14:schemeClr w14:val="tx1"/>
            </w14:solidFill>
          </w14:textFill>
        </w:rPr>
        <w:t>争议解决</w:t>
      </w:r>
      <w:bookmarkEnd w:id="586"/>
    </w:p>
    <w:p w14:paraId="73660144">
      <w:pPr>
        <w:pStyle w:val="2"/>
        <w:snapToGrid w:val="0"/>
        <w:spacing w:line="360" w:lineRule="auto"/>
        <w:ind w:right="0" w:firstLine="420" w:firstLineChars="20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1、</w:t>
      </w:r>
      <w:r>
        <w:rPr>
          <w:rFonts w:hint="eastAsia" w:hAnsi="宋体" w:cs="宋体"/>
          <w:b w:val="0"/>
          <w:bCs w:val="0"/>
          <w:color w:val="000000" w:themeColor="text1"/>
          <w:sz w:val="21"/>
          <w:szCs w:val="21"/>
          <w:highlight w:val="none"/>
          <w14:textFill>
            <w14:solidFill>
              <w14:schemeClr w14:val="tx1"/>
            </w14:solidFill>
          </w14:textFill>
        </w:rPr>
        <w:t>双方在履约中发生争执和分歧，双方应通过友好协商解决，如不能通过友好协商解决的，任何一方均可向甲方住所地有管辖权的人民法院提起诉讼解决。</w:t>
      </w:r>
    </w:p>
    <w:p w14:paraId="2B4B704F">
      <w:pPr>
        <w:pStyle w:val="2"/>
        <w:snapToGrid w:val="0"/>
        <w:spacing w:line="360" w:lineRule="auto"/>
        <w:ind w:right="0" w:firstLine="420" w:firstLineChars="200"/>
        <w:jc w:val="left"/>
        <w:rPr>
          <w:rFonts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2、因一方违约，导致另一方为解决纠纷而产生的所有费用（包括但不限于律师费、诉讼费、财产保全费、财产保全担保费、执行费、公证费、鉴定费、差旅费等）均由违约一方承担。</w:t>
      </w:r>
    </w:p>
    <w:p w14:paraId="0820620A">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5D5DDD37">
      <w:pPr>
        <w:pStyle w:val="2"/>
        <w:snapToGrid w:val="0"/>
        <w:spacing w:line="360" w:lineRule="auto"/>
        <w:ind w:right="0" w:firstLine="422" w:firstLineChars="200"/>
        <w:jc w:val="both"/>
        <w:rPr>
          <w:rFonts w:hAnsi="宋体" w:cs="宋体"/>
          <w:color w:val="000000" w:themeColor="text1"/>
          <w:sz w:val="21"/>
          <w:szCs w:val="21"/>
          <w:highlight w:val="none"/>
          <w:lang w:val="en-US"/>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w:t>
      </w:r>
      <w:r>
        <w:rPr>
          <w:rFonts w:hint="eastAsia" w:hAnsi="宋体" w:cs="宋体"/>
          <w:color w:val="000000" w:themeColor="text1"/>
          <w:sz w:val="21"/>
          <w:szCs w:val="21"/>
          <w:highlight w:val="none"/>
          <w:lang w:val="en-US"/>
          <w14:textFill>
            <w14:solidFill>
              <w14:schemeClr w14:val="tx1"/>
            </w14:solidFill>
          </w14:textFill>
        </w:rPr>
        <w:t>二十二</w:t>
      </w:r>
      <w:r>
        <w:rPr>
          <w:rFonts w:hint="eastAsia" w:hAnsi="宋体" w:cs="宋体"/>
          <w:color w:val="000000" w:themeColor="text1"/>
          <w:sz w:val="21"/>
          <w:szCs w:val="21"/>
          <w:highlight w:val="none"/>
          <w14:textFill>
            <w14:solidFill>
              <w14:schemeClr w14:val="tx1"/>
            </w14:solidFill>
          </w14:textFill>
        </w:rPr>
        <w:t>条</w:t>
      </w:r>
      <w:r>
        <w:rPr>
          <w:rFonts w:hint="eastAsia" w:hAnsi="宋体" w:cs="宋体"/>
          <w:color w:val="000000" w:themeColor="text1"/>
          <w:sz w:val="21"/>
          <w:szCs w:val="21"/>
          <w:highlight w:val="none"/>
          <w:lang w:val="en-US"/>
          <w14:textFill>
            <w14:solidFill>
              <w14:schemeClr w14:val="tx1"/>
            </w14:solidFill>
          </w14:textFill>
        </w:rPr>
        <w:t xml:space="preserve"> </w:t>
      </w:r>
      <w:bookmarkStart w:id="587" w:name="OLE_LINK111"/>
      <w:r>
        <w:rPr>
          <w:rFonts w:hint="eastAsia" w:hAnsi="宋体" w:cs="宋体"/>
          <w:color w:val="000000" w:themeColor="text1"/>
          <w:sz w:val="21"/>
          <w:szCs w:val="21"/>
          <w:highlight w:val="none"/>
          <w:lang w:val="en-US"/>
          <w14:textFill>
            <w14:solidFill>
              <w14:schemeClr w14:val="tx1"/>
            </w14:solidFill>
          </w14:textFill>
        </w:rPr>
        <w:t>送达</w:t>
      </w:r>
      <w:bookmarkEnd w:id="587"/>
    </w:p>
    <w:p w14:paraId="74FC8109">
      <w:pPr>
        <w:pStyle w:val="2"/>
        <w:snapToGrid w:val="0"/>
        <w:spacing w:line="360" w:lineRule="auto"/>
        <w:ind w:right="0" w:firstLine="420" w:firstLineChars="200"/>
        <w:jc w:val="both"/>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 xml:space="preserve">1、甲乙双方就本合同中涉及各类通知、协议等文件以及就合同发生纠纷时相关文件和法律文书送达时的送达地址及法律后果作如下约定： </w:t>
      </w:r>
    </w:p>
    <w:p w14:paraId="15EF325B">
      <w:pPr>
        <w:pStyle w:val="2"/>
        <w:snapToGrid w:val="0"/>
        <w:spacing w:line="360" w:lineRule="auto"/>
        <w:ind w:right="0" w:firstLine="420" w:firstLineChars="200"/>
        <w:jc w:val="both"/>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 xml:space="preserve">甲方确认其有效的送达地址为【】；联系人：【】；联系电话【】。 </w:t>
      </w:r>
    </w:p>
    <w:p w14:paraId="146B78BF">
      <w:pPr>
        <w:pStyle w:val="2"/>
        <w:snapToGrid w:val="0"/>
        <w:spacing w:line="360" w:lineRule="auto"/>
        <w:ind w:right="0" w:firstLine="420" w:firstLineChars="200"/>
        <w:jc w:val="both"/>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乙方确认其有效的送达地址为【 】；联系人：【】；联系电话【】。</w:t>
      </w:r>
    </w:p>
    <w:p w14:paraId="7A03E6E3">
      <w:pPr>
        <w:pStyle w:val="2"/>
        <w:snapToGrid w:val="0"/>
        <w:spacing w:line="360" w:lineRule="auto"/>
        <w:ind w:right="0" w:firstLine="420" w:firstLineChars="200"/>
        <w:jc w:val="both"/>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2BD98D1">
      <w:pPr>
        <w:pStyle w:val="2"/>
        <w:snapToGrid w:val="0"/>
        <w:spacing w:line="360" w:lineRule="auto"/>
        <w:ind w:right="0" w:firstLine="420" w:firstLineChars="200"/>
        <w:jc w:val="both"/>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3E9C3143">
      <w:pPr>
        <w:pStyle w:val="2"/>
        <w:snapToGrid w:val="0"/>
        <w:spacing w:line="360" w:lineRule="auto"/>
        <w:ind w:right="0" w:firstLine="420" w:firstLineChars="200"/>
        <w:jc w:val="both"/>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3、甲方的送达地址需要变更时应当履行及时通知的义务，应提前【</w:t>
      </w:r>
      <w:r>
        <w:rPr>
          <w:rFonts w:hint="eastAsia" w:hAnsi="宋体" w:cs="宋体"/>
          <w:b w:val="0"/>
          <w:bCs w:val="0"/>
          <w:color w:val="000000" w:themeColor="text1"/>
          <w:sz w:val="21"/>
          <w:szCs w:val="21"/>
          <w:highlight w:val="none"/>
          <w:lang w:val="en-US"/>
          <w14:textFill>
            <w14:solidFill>
              <w14:schemeClr w14:val="tx1"/>
            </w14:solidFill>
          </w14:textFill>
        </w:rPr>
        <w:t>3</w:t>
      </w:r>
      <w:r>
        <w:rPr>
          <w:rFonts w:hint="eastAsia" w:hAnsi="宋体" w:cs="宋体"/>
          <w:b w:val="0"/>
          <w:bCs w:val="0"/>
          <w:color w:val="000000" w:themeColor="text1"/>
          <w:sz w:val="21"/>
          <w:szCs w:val="21"/>
          <w:highlight w:val="none"/>
          <w14:textFill>
            <w14:solidFill>
              <w14:schemeClr w14:val="tx1"/>
            </w14:solidFill>
          </w14:textFill>
        </w:rPr>
        <w:t xml:space="preserve"> 】个工作日通过【 </w:t>
      </w:r>
      <w:r>
        <w:rPr>
          <w:rFonts w:hint="eastAsia" w:hAnsi="宋体" w:cs="宋体"/>
          <w:b w:val="0"/>
          <w:bCs w:val="0"/>
          <w:color w:val="000000" w:themeColor="text1"/>
          <w:sz w:val="21"/>
          <w:szCs w:val="21"/>
          <w:highlight w:val="none"/>
          <w:lang w:val="en-US"/>
          <w14:textFill>
            <w14:solidFill>
              <w14:schemeClr w14:val="tx1"/>
            </w14:solidFill>
          </w14:textFill>
        </w:rPr>
        <w:t>电话</w:t>
      </w:r>
      <w:r>
        <w:rPr>
          <w:rFonts w:hint="eastAsia" w:hAnsi="宋体" w:cs="宋体"/>
          <w:b w:val="0"/>
          <w:bCs w:val="0"/>
          <w:color w:val="000000" w:themeColor="text1"/>
          <w:sz w:val="21"/>
          <w:szCs w:val="21"/>
          <w:highlight w:val="none"/>
          <w14:textFill>
            <w14:solidFill>
              <w14:schemeClr w14:val="tx1"/>
            </w14:solidFill>
          </w14:textFill>
        </w:rPr>
        <w:t>】 的方式向乙方进行通知；乙方的送达地址需要变更时应当履行及时通知的义务，应提前【</w:t>
      </w:r>
      <w:r>
        <w:rPr>
          <w:rFonts w:hint="eastAsia" w:hAnsi="宋体" w:cs="宋体"/>
          <w:b w:val="0"/>
          <w:bCs w:val="0"/>
          <w:color w:val="000000" w:themeColor="text1"/>
          <w:sz w:val="21"/>
          <w:szCs w:val="21"/>
          <w:highlight w:val="none"/>
          <w:lang w:val="en-US"/>
          <w14:textFill>
            <w14:solidFill>
              <w14:schemeClr w14:val="tx1"/>
            </w14:solidFill>
          </w14:textFill>
        </w:rPr>
        <w:t>3</w:t>
      </w:r>
      <w:r>
        <w:rPr>
          <w:rFonts w:hint="eastAsia" w:hAnsi="宋体" w:cs="宋体"/>
          <w:b w:val="0"/>
          <w:bCs w:val="0"/>
          <w:color w:val="000000" w:themeColor="text1"/>
          <w:sz w:val="21"/>
          <w:szCs w:val="21"/>
          <w:highlight w:val="none"/>
          <w14:textFill>
            <w14:solidFill>
              <w14:schemeClr w14:val="tx1"/>
            </w14:solidFill>
          </w14:textFill>
        </w:rPr>
        <w:t xml:space="preserve"> 】个工作日通过【 </w:t>
      </w:r>
      <w:r>
        <w:rPr>
          <w:rFonts w:hint="eastAsia" w:hAnsi="宋体" w:cs="宋体"/>
          <w:b w:val="0"/>
          <w:bCs w:val="0"/>
          <w:color w:val="000000" w:themeColor="text1"/>
          <w:sz w:val="21"/>
          <w:szCs w:val="21"/>
          <w:highlight w:val="none"/>
          <w:lang w:val="en-US"/>
          <w14:textFill>
            <w14:solidFill>
              <w14:schemeClr w14:val="tx1"/>
            </w14:solidFill>
          </w14:textFill>
        </w:rPr>
        <w:t>电话</w:t>
      </w:r>
      <w:r>
        <w:rPr>
          <w:rFonts w:hint="eastAsia" w:hAnsi="宋体" w:cs="宋体"/>
          <w:b w:val="0"/>
          <w:bCs w:val="0"/>
          <w:color w:val="000000" w:themeColor="text1"/>
          <w:sz w:val="21"/>
          <w:szCs w:val="21"/>
          <w:highlight w:val="none"/>
          <w14:textFill>
            <w14:solidFill>
              <w14:schemeClr w14:val="tx1"/>
            </w14:solidFill>
          </w14:textFill>
        </w:rPr>
        <w:t>】的方式向甲方进行通知。</w:t>
      </w:r>
    </w:p>
    <w:p w14:paraId="091ABF0C">
      <w:pPr>
        <w:pStyle w:val="2"/>
        <w:snapToGrid w:val="0"/>
        <w:spacing w:line="360" w:lineRule="auto"/>
        <w:ind w:right="0" w:firstLine="420" w:firstLineChars="200"/>
        <w:jc w:val="both"/>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 xml:space="preserve"> 4、本条款具有独立法律效力，不因合同其他条款的无效而无效。</w:t>
      </w:r>
    </w:p>
    <w:p w14:paraId="621FE275">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p>
    <w:p w14:paraId="7C3F9E0F">
      <w:pPr>
        <w:adjustRightInd w:val="0"/>
        <w:spacing w:line="360" w:lineRule="auto"/>
        <w:ind w:firstLine="373" w:firstLineChars="17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第二十三条 其他</w:t>
      </w:r>
    </w:p>
    <w:p w14:paraId="2F9F9372">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1、在本合同履行过程中，乙方不得消极怠工或拒不履行合同义务（包括但不限于交货、指导安装、安装、指导调试、调试、培训、技术支持、售后、现场配合等），否则将视为乙方违约，除按</w:t>
      </w:r>
      <w:bookmarkStart w:id="588" w:name="OLE_LINK271"/>
      <w:r>
        <w:rPr>
          <w:rFonts w:hint="eastAsia" w:ascii="宋体" w:hAnsi="宋体" w:eastAsia="宋体" w:cs="宋体"/>
          <w:color w:val="000000" w:themeColor="text1"/>
          <w:szCs w:val="21"/>
          <w:highlight w:val="none"/>
          <w14:textFill>
            <w14:solidFill>
              <w14:schemeClr w14:val="tx1"/>
            </w14:solidFill>
          </w14:textFill>
        </w:rPr>
        <w:t>本合同</w:t>
      </w:r>
      <w:bookmarkEnd w:id="588"/>
      <w:r>
        <w:rPr>
          <w:rFonts w:hint="eastAsia" w:ascii="宋体" w:hAnsi="宋体" w:eastAsia="宋体" w:cs="宋体"/>
          <w:color w:val="000000" w:themeColor="text1"/>
          <w:szCs w:val="21"/>
          <w:highlight w:val="none"/>
          <w14:textFill>
            <w14:solidFill>
              <w14:schemeClr w14:val="tx1"/>
            </w14:solidFill>
          </w14:textFill>
        </w:rPr>
        <w:t>约定追究违约责任外，甲方仍有权就违约事宜向乙方提出改正的通知，如在甲方限期内乙方仍拒不改正的，甲方有权单方解除合同，甲方有权要求其按合同总价（含税）的20%支付违约金，并有权依法委托有资质的第三方继续履行本合同义务，由此造成的一切损失（包括但不限于再行采购的费用、委托第三人继续履行时超出本合同费用部分等）由乙方全部承担。</w:t>
      </w:r>
    </w:p>
    <w:p w14:paraId="17E848C5">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53C6490">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3、合同履约过程中，若发现</w:t>
      </w:r>
      <w:r>
        <w:rPr>
          <w:rFonts w:hint="eastAsia" w:ascii="宋体" w:hAnsi="宋体" w:eastAsia="宋体" w:cs="宋体"/>
          <w:color w:val="000000" w:themeColor="text1"/>
          <w:szCs w:val="21"/>
          <w:highlight w:val="none"/>
          <w:lang w:val="zh-CN"/>
          <w14:textFill>
            <w14:solidFill>
              <w14:schemeClr w14:val="tx1"/>
            </w14:solidFill>
          </w14:textFill>
        </w:rPr>
        <w:t>同一种货物存在有选择性的报价或不是固定的报价的，或存在</w:t>
      </w:r>
      <w:r>
        <w:rPr>
          <w:rFonts w:hint="eastAsia" w:ascii="宋体" w:hAnsi="宋体" w:eastAsia="宋体" w:cs="宋体"/>
          <w:color w:val="000000" w:themeColor="text1"/>
          <w:szCs w:val="21"/>
          <w:highlight w:val="none"/>
          <w14:textFill>
            <w14:solidFill>
              <w14:schemeClr w14:val="tx1"/>
            </w14:solidFill>
          </w14:textFill>
        </w:rPr>
        <w:t>多种理解方式的情况发生时，按最有利甲方的方式解释。</w:t>
      </w:r>
    </w:p>
    <w:p w14:paraId="38EACE97">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在合同履行期间，若发现乙方投标文件更改或删除了招标文件用户需求书招标设备清单内的项目或数量等情况时，并不能免除乙方按照图纸、标准与规范实施合同的任何责任，并将视为该项费用已包括在合同价款内，甲方不另行向乙方支付费用。</w:t>
      </w:r>
    </w:p>
    <w:p w14:paraId="23044E60">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双方确认合同签订后开展本项目工作存在的一切风险(包括项目取消、项目延期或停工、项目调整、项目范围及内容调整、服务范围及内容调整、总投资额调整等)，项目实施过程中因发生上述风险时甲方有权单方解除或变更合同，不视为甲方违约，乙方承诺不因上述风险的发生而向甲方提出申请费用(或补偿费用、赔偿等)。若因上述风险的发生导致本合同解除或终止时，以合同解除或终止之日为标准先由双方协商退货处理，无法协商一致的按乙方实际已安装的组件进行结算，甲方无需对其他未安装或未交付货物及服务折算支付或补偿/赔偿。</w:t>
      </w:r>
    </w:p>
    <w:p w14:paraId="773F7258">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6、本合同壹式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份，甲方执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份，乙方执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份，招标代理机构</w:t>
      </w:r>
      <w:r>
        <w:rPr>
          <w:rFonts w:hint="eastAsia" w:ascii="宋体" w:hAnsi="宋体" w:eastAsia="宋体" w:cs="宋体"/>
          <w:color w:val="000000" w:themeColor="text1"/>
          <w:szCs w:val="21"/>
          <w:highlight w:val="none"/>
          <w:u w:val="single"/>
          <w14:textFill>
            <w14:solidFill>
              <w14:schemeClr w14:val="tx1"/>
            </w14:solidFill>
          </w14:textFill>
        </w:rPr>
        <w:t xml:space="preserve"> 壹 </w:t>
      </w:r>
      <w:r>
        <w:rPr>
          <w:rFonts w:hint="eastAsia" w:ascii="宋体" w:hAnsi="宋体" w:eastAsia="宋体" w:cs="宋体"/>
          <w:color w:val="000000" w:themeColor="text1"/>
          <w:szCs w:val="21"/>
          <w:highlight w:val="none"/>
          <w14:textFill>
            <w14:solidFill>
              <w14:schemeClr w14:val="tx1"/>
            </w14:solidFill>
          </w14:textFill>
        </w:rPr>
        <w:t>份，均具有同等法律效力。</w:t>
      </w:r>
    </w:p>
    <w:p w14:paraId="58128005">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7、本合同自甲乙双方法定代表人或负责人签字并盖章之日起生效，至全部合同义务履行完毕时终止。</w:t>
      </w:r>
    </w:p>
    <w:p w14:paraId="58C628F1">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本合同所有附件及本项目的招标文件、答疑文件、投标文件、补充通知及相关承诺、协议等均为本合同有效组成部分，与本合同同具法律效力，该等文件与本合同正文约定不一致的，以有利于甲方的约定为准。</w:t>
      </w:r>
    </w:p>
    <w:p w14:paraId="451D7952">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甲方依据本合同条款对乙方处以违约金、赔偿金、扣款、其他应付费用等款项的，乙方应在收到违约（赔偿、扣款或其他应付费用等款项）处理通知书之日起的五个工作日内书面授权乙方相关工作人员将款项交至甲方指定账户（须备注本项目名称），甲方向乙方提供收据。如乙方未按上述要求交纳违约金、赔偿、扣款等款项的，甲方不予审批乙方当期的请款。</w:t>
      </w:r>
    </w:p>
    <w:p w14:paraId="16C41B7A">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开户名称：</w:t>
      </w:r>
    </w:p>
    <w:p w14:paraId="7C5EE53E">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p w14:paraId="5F8D7821">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银行账号：</w:t>
      </w:r>
    </w:p>
    <w:p w14:paraId="51466686">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bookmarkStart w:id="589" w:name="OLE_LINK272"/>
      <w:r>
        <w:rPr>
          <w:rFonts w:hint="eastAsia" w:ascii="宋体" w:hAnsi="宋体" w:eastAsia="宋体" w:cs="宋体"/>
          <w:color w:val="000000" w:themeColor="text1"/>
          <w:szCs w:val="21"/>
          <w:highlight w:val="none"/>
          <w14:textFill>
            <w14:solidFill>
              <w14:schemeClr w14:val="tx1"/>
            </w14:solidFill>
          </w14:textFill>
        </w:rPr>
        <w:t>10、本合同未尽事宜，由双方协商处理。</w:t>
      </w:r>
    </w:p>
    <w:bookmarkEnd w:id="589"/>
    <w:p w14:paraId="14D80909">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合同附件：</w:t>
      </w:r>
    </w:p>
    <w:p w14:paraId="3EDF5664">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1.投标报价表</w:t>
      </w:r>
    </w:p>
    <w:p w14:paraId="1902160B">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2.用户需求书</w:t>
      </w:r>
    </w:p>
    <w:p w14:paraId="00146410">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3.中标通知书</w:t>
      </w:r>
    </w:p>
    <w:p w14:paraId="294F78E7">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bookmarkStart w:id="590" w:name="OLE_LINK312"/>
      <w:r>
        <w:rPr>
          <w:rFonts w:hint="eastAsia" w:ascii="宋体" w:hAnsi="宋体" w:eastAsia="宋体" w:cs="宋体"/>
          <w:color w:val="000000" w:themeColor="text1"/>
          <w:szCs w:val="21"/>
          <w:highlight w:val="none"/>
          <w14:textFill>
            <w14:solidFill>
              <w14:schemeClr w14:val="tx1"/>
            </w14:solidFill>
          </w14:textFill>
        </w:rPr>
        <w:t>安全生产管理协议</w:t>
      </w:r>
      <w:bookmarkEnd w:id="590"/>
    </w:p>
    <w:p w14:paraId="68DE0D82">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bookmarkStart w:id="591" w:name="OLE_LINK113"/>
      <w:r>
        <w:rPr>
          <w:rFonts w:hint="eastAsia" w:ascii="宋体" w:hAnsi="宋体" w:eastAsia="宋体" w:cs="宋体"/>
          <w:color w:val="000000" w:themeColor="text1"/>
          <w:szCs w:val="21"/>
          <w:highlight w:val="none"/>
          <w14:textFill>
            <w14:solidFill>
              <w14:schemeClr w14:val="tx1"/>
            </w14:solidFill>
          </w14:textFill>
        </w:rPr>
        <w:t>廉洁协议书</w:t>
      </w:r>
      <w:bookmarkEnd w:id="591"/>
    </w:p>
    <w:p w14:paraId="29B928AB">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6.履约担保</w:t>
      </w:r>
    </w:p>
    <w:p w14:paraId="3F59E5F0">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bookmarkStart w:id="592" w:name="OLE_LINK302"/>
      <w:r>
        <w:rPr>
          <w:rFonts w:hint="eastAsia" w:ascii="宋体" w:hAnsi="宋体" w:eastAsia="宋体" w:cs="宋体"/>
          <w:color w:val="000000" w:themeColor="text1"/>
          <w:szCs w:val="21"/>
          <w:highlight w:val="none"/>
          <w14:textFill>
            <w14:solidFill>
              <w14:schemeClr w14:val="tx1"/>
            </w14:solidFill>
          </w14:textFill>
        </w:rPr>
        <w:t>质量保修保函</w:t>
      </w:r>
      <w:bookmarkEnd w:id="592"/>
    </w:p>
    <w:p w14:paraId="76D6FC67">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bookmarkStart w:id="593" w:name="OLE_LINK273"/>
      <w:r>
        <w:rPr>
          <w:rFonts w:hint="eastAsia" w:ascii="宋体" w:hAnsi="宋体" w:eastAsia="宋体" w:cs="宋体"/>
          <w:color w:val="000000" w:themeColor="text1"/>
          <w:szCs w:val="21"/>
          <w:highlight w:val="none"/>
          <w14:textFill>
            <w14:solidFill>
              <w14:schemeClr w14:val="tx1"/>
            </w14:solidFill>
          </w14:textFill>
        </w:rPr>
        <w:t>8.招标文件（另附）</w:t>
      </w:r>
    </w:p>
    <w:p w14:paraId="309E01EA">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9.投标文件（另附）</w:t>
      </w:r>
    </w:p>
    <w:bookmarkEnd w:id="593"/>
    <w:p w14:paraId="38BC49A5">
      <w:pPr>
        <w:adjustRightInd w:val="0"/>
        <w:spacing w:line="360" w:lineRule="auto"/>
        <w:ind w:firstLine="373" w:firstLineChars="177"/>
        <w:rPr>
          <w:rFonts w:ascii="宋体" w:hAnsi="宋体" w:eastAsia="宋体" w:cs="宋体"/>
          <w:color w:val="000000" w:themeColor="text1"/>
          <w:szCs w:val="21"/>
          <w:highlight w:val="none"/>
          <w14:textFill>
            <w14:solidFill>
              <w14:schemeClr w14:val="tx1"/>
            </w14:solidFill>
          </w14:textFill>
        </w:rPr>
      </w:pPr>
      <w:bookmarkStart w:id="594" w:name="OLE_LINK274"/>
      <w:r>
        <w:rPr>
          <w:rFonts w:hint="eastAsia" w:ascii="宋体" w:hAnsi="宋体" w:eastAsia="宋体" w:cs="Times New Roman"/>
          <w:b/>
          <w:bCs/>
          <w:color w:val="000000" w:themeColor="text1"/>
          <w:kern w:val="0"/>
          <w:szCs w:val="21"/>
          <w:highlight w:val="none"/>
          <w14:textFill>
            <w14:solidFill>
              <w14:schemeClr w14:val="tx1"/>
            </w14:solidFill>
          </w14:textFill>
        </w:rPr>
        <w:t>(以下无正文)</w:t>
      </w:r>
    </w:p>
    <w:p w14:paraId="2A621E67">
      <w:pPr>
        <w:adjustRightIn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p>
    <w:p w14:paraId="113518A2">
      <w:pPr>
        <w:snapToGrid w:val="0"/>
        <w:spacing w:line="560" w:lineRule="exact"/>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br w:type="page"/>
      </w:r>
    </w:p>
    <w:p w14:paraId="3CFEAFB5">
      <w:pPr>
        <w:pStyle w:val="2"/>
        <w:snapToGrid w:val="0"/>
        <w:spacing w:line="560" w:lineRule="exact"/>
        <w:ind w:right="0"/>
        <w:jc w:val="left"/>
        <w:rPr>
          <w:rFonts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甲方：</w:t>
      </w:r>
      <w:r>
        <w:rPr>
          <w:rFonts w:hint="eastAsia" w:hAnsi="宋体" w:cs="宋体"/>
          <w:b w:val="0"/>
          <w:bCs w:val="0"/>
          <w:color w:val="000000" w:themeColor="text1"/>
          <w:sz w:val="21"/>
          <w:szCs w:val="21"/>
          <w:highlight w:val="none"/>
          <w:lang w:val="en-US"/>
          <w14:textFill>
            <w14:solidFill>
              <w14:schemeClr w14:val="tx1"/>
            </w14:solidFill>
          </w14:textFill>
        </w:rPr>
        <w:t xml:space="preserve">     </w:t>
      </w:r>
    </w:p>
    <w:p w14:paraId="11A776B8">
      <w:pPr>
        <w:pStyle w:val="2"/>
        <w:snapToGrid w:val="0"/>
        <w:spacing w:line="560" w:lineRule="exact"/>
        <w:ind w:right="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法定代表（或负责）人：</w:t>
      </w:r>
      <w:r>
        <w:rPr>
          <w:rFonts w:hint="eastAsia" w:hAnsi="宋体" w:cs="宋体"/>
          <w:b w:val="0"/>
          <w:bCs w:val="0"/>
          <w:color w:val="000000" w:themeColor="text1"/>
          <w:sz w:val="21"/>
          <w:szCs w:val="21"/>
          <w:highlight w:val="none"/>
          <w:lang w:val="en-US"/>
          <w14:textFill>
            <w14:solidFill>
              <w14:schemeClr w14:val="tx1"/>
            </w14:solidFill>
          </w14:textFill>
        </w:rPr>
        <w:t xml:space="preserve">                   </w:t>
      </w:r>
    </w:p>
    <w:p w14:paraId="60821AA7">
      <w:pPr>
        <w:pStyle w:val="2"/>
        <w:snapToGrid w:val="0"/>
        <w:spacing w:line="560" w:lineRule="exact"/>
        <w:ind w:right="0"/>
        <w:jc w:val="left"/>
        <w:rPr>
          <w:rFonts w:hAnsi="宋体" w:cs="宋体"/>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 xml:space="preserve">                     </w:t>
      </w:r>
    </w:p>
    <w:p w14:paraId="7A456024">
      <w:pPr>
        <w:snapToGrid w:val="0"/>
        <w:spacing w:line="560" w:lineRule="exact"/>
        <w:rPr>
          <w:rFonts w:ascii="宋体" w:hAnsi="宋体" w:eastAsia="宋体" w:cs="宋体"/>
          <w:color w:val="000000" w:themeColor="text1"/>
          <w:szCs w:val="21"/>
          <w:highlight w:val="none"/>
          <w14:textFill>
            <w14:solidFill>
              <w14:schemeClr w14:val="tx1"/>
            </w14:solidFill>
          </w14:textFill>
        </w:rPr>
      </w:pPr>
    </w:p>
    <w:p w14:paraId="52863F5C">
      <w:pPr>
        <w:rPr>
          <w:rFonts w:ascii="宋体" w:hAnsi="宋体" w:eastAsia="宋体" w:cs="宋体"/>
          <w:color w:val="000000" w:themeColor="text1"/>
          <w:szCs w:val="21"/>
          <w:highlight w:val="none"/>
          <w14:textFill>
            <w14:solidFill>
              <w14:schemeClr w14:val="tx1"/>
            </w14:solidFill>
          </w14:textFill>
        </w:rPr>
      </w:pPr>
    </w:p>
    <w:p w14:paraId="0339970D">
      <w:pPr>
        <w:rPr>
          <w:rFonts w:ascii="宋体" w:hAnsi="宋体" w:eastAsia="宋体" w:cs="宋体"/>
          <w:color w:val="000000" w:themeColor="text1"/>
          <w:szCs w:val="21"/>
          <w:highlight w:val="none"/>
          <w14:textFill>
            <w14:solidFill>
              <w14:schemeClr w14:val="tx1"/>
            </w14:solidFill>
          </w14:textFill>
        </w:rPr>
      </w:pPr>
    </w:p>
    <w:p w14:paraId="53646D0B">
      <w:pPr>
        <w:pStyle w:val="2"/>
        <w:snapToGrid w:val="0"/>
        <w:spacing w:line="560" w:lineRule="exact"/>
        <w:ind w:right="0"/>
        <w:jc w:val="left"/>
        <w:rPr>
          <w:rFonts w:hAnsi="宋体" w:cs="宋体"/>
          <w:color w:val="000000" w:themeColor="text1"/>
          <w:sz w:val="21"/>
          <w:szCs w:val="21"/>
          <w:highlight w:val="none"/>
          <w14:textFill>
            <w14:solidFill>
              <w14:schemeClr w14:val="tx1"/>
            </w14:solidFill>
          </w14:textFill>
        </w:rPr>
      </w:pPr>
    </w:p>
    <w:p w14:paraId="4EB815FD">
      <w:pPr>
        <w:pStyle w:val="2"/>
        <w:snapToGrid w:val="0"/>
        <w:spacing w:line="560" w:lineRule="exact"/>
        <w:ind w:right="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lang w:val="en-US"/>
          <w14:textFill>
            <w14:solidFill>
              <w14:schemeClr w14:val="tx1"/>
            </w14:solidFill>
          </w14:textFill>
        </w:rPr>
        <w:t>乙</w:t>
      </w:r>
      <w:r>
        <w:rPr>
          <w:rFonts w:hint="eastAsia" w:hAnsi="宋体" w:cs="宋体"/>
          <w:b w:val="0"/>
          <w:bCs w:val="0"/>
          <w:color w:val="000000" w:themeColor="text1"/>
          <w:sz w:val="21"/>
          <w:szCs w:val="21"/>
          <w:highlight w:val="none"/>
          <w14:textFill>
            <w14:solidFill>
              <w14:schemeClr w14:val="tx1"/>
            </w14:solidFill>
          </w14:textFill>
        </w:rPr>
        <w:t>方：</w:t>
      </w:r>
    </w:p>
    <w:p w14:paraId="07307756">
      <w:pPr>
        <w:pStyle w:val="2"/>
        <w:snapToGrid w:val="0"/>
        <w:spacing w:line="560" w:lineRule="exact"/>
        <w:ind w:right="0"/>
        <w:jc w:val="left"/>
        <w:rPr>
          <w:rFonts w:hAnsi="宋体" w:cs="宋体"/>
          <w:b w:val="0"/>
          <w:bCs w:val="0"/>
          <w:color w:val="000000" w:themeColor="text1"/>
          <w:sz w:val="21"/>
          <w:szCs w:val="21"/>
          <w:highlight w:val="none"/>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法定代表（或负责）人：</w:t>
      </w:r>
    </w:p>
    <w:p w14:paraId="695ECB59">
      <w:pPr>
        <w:pStyle w:val="2"/>
        <w:snapToGrid w:val="0"/>
        <w:spacing w:line="560" w:lineRule="exact"/>
        <w:ind w:right="0"/>
        <w:jc w:val="left"/>
        <w:rPr>
          <w:rFonts w:hAnsi="宋体" w:cs="宋体"/>
          <w:b w:val="0"/>
          <w:bCs w:val="0"/>
          <w:color w:val="000000" w:themeColor="text1"/>
          <w:sz w:val="21"/>
          <w:szCs w:val="21"/>
          <w:highlight w:val="none"/>
          <w14:textFill>
            <w14:solidFill>
              <w14:schemeClr w14:val="tx1"/>
            </w14:solidFill>
          </w14:textFill>
        </w:rPr>
      </w:pPr>
    </w:p>
    <w:p w14:paraId="74ABFC81">
      <w:pPr>
        <w:pStyle w:val="2"/>
        <w:snapToGrid w:val="0"/>
        <w:spacing w:line="560" w:lineRule="exact"/>
        <w:ind w:right="0"/>
        <w:jc w:val="left"/>
        <w:rPr>
          <w:rFonts w:hAnsi="宋体" w:cs="宋体"/>
          <w:b w:val="0"/>
          <w:bCs w:val="0"/>
          <w:color w:val="000000" w:themeColor="text1"/>
          <w:sz w:val="21"/>
          <w:szCs w:val="21"/>
          <w:highlight w:val="none"/>
          <w14:textFill>
            <w14:solidFill>
              <w14:schemeClr w14:val="tx1"/>
            </w14:solidFill>
          </w14:textFill>
        </w:rPr>
      </w:pPr>
    </w:p>
    <w:p w14:paraId="0502E5A4">
      <w:pPr>
        <w:rPr>
          <w:rFonts w:ascii="宋体" w:hAnsi="宋体" w:eastAsia="宋体" w:cs="宋体"/>
          <w:color w:val="000000" w:themeColor="text1"/>
          <w:szCs w:val="21"/>
          <w:highlight w:val="none"/>
          <w14:textFill>
            <w14:solidFill>
              <w14:schemeClr w14:val="tx1"/>
            </w14:solidFill>
          </w14:textFill>
        </w:rPr>
      </w:pPr>
    </w:p>
    <w:p w14:paraId="5B3072F5">
      <w:pPr>
        <w:pStyle w:val="2"/>
        <w:snapToGrid w:val="0"/>
        <w:spacing w:line="560" w:lineRule="exact"/>
        <w:ind w:right="0"/>
        <w:jc w:val="left"/>
        <w:rPr>
          <w:rFonts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签约日期：</w:t>
      </w:r>
      <w:r>
        <w:rPr>
          <w:rFonts w:hint="eastAsia" w:hAnsi="宋体" w:cs="宋体"/>
          <w:b w:val="0"/>
          <w:bCs w:val="0"/>
          <w:color w:val="000000" w:themeColor="text1"/>
          <w:sz w:val="21"/>
          <w:szCs w:val="21"/>
          <w:highlight w:val="none"/>
          <w:lang w:val="en-US"/>
          <w14:textFill>
            <w14:solidFill>
              <w14:schemeClr w14:val="tx1"/>
            </w14:solidFill>
          </w14:textFill>
        </w:rPr>
        <w:t xml:space="preserve">  年    月     日       </w:t>
      </w:r>
    </w:p>
    <w:p w14:paraId="6CB70B8D">
      <w:pPr>
        <w:pStyle w:val="2"/>
        <w:snapToGrid w:val="0"/>
        <w:spacing w:line="560" w:lineRule="exact"/>
        <w:ind w:right="0"/>
        <w:jc w:val="left"/>
        <w:rPr>
          <w:rFonts w:hAnsi="宋体" w:cs="宋体"/>
          <w:b w:val="0"/>
          <w:bCs w:val="0"/>
          <w:color w:val="000000" w:themeColor="text1"/>
          <w:sz w:val="21"/>
          <w:szCs w:val="21"/>
          <w:highlight w:val="none"/>
          <w:lang w:val="en-US"/>
          <w14:textFill>
            <w14:solidFill>
              <w14:schemeClr w14:val="tx1"/>
            </w14:solidFill>
          </w14:textFill>
        </w:rPr>
      </w:pPr>
      <w:r>
        <w:rPr>
          <w:rFonts w:hint="eastAsia" w:hAnsi="宋体" w:cs="宋体"/>
          <w:b w:val="0"/>
          <w:bCs w:val="0"/>
          <w:color w:val="000000" w:themeColor="text1"/>
          <w:sz w:val="21"/>
          <w:szCs w:val="21"/>
          <w:highlight w:val="none"/>
          <w14:textFill>
            <w14:solidFill>
              <w14:schemeClr w14:val="tx1"/>
            </w14:solidFill>
          </w14:textFill>
        </w:rPr>
        <w:t>签约地点：</w:t>
      </w:r>
      <w:r>
        <w:rPr>
          <w:rFonts w:hint="eastAsia" w:hAnsi="宋体" w:cs="宋体"/>
          <w:b w:val="0"/>
          <w:bCs w:val="0"/>
          <w:color w:val="000000" w:themeColor="text1"/>
          <w:sz w:val="21"/>
          <w:szCs w:val="21"/>
          <w:highlight w:val="none"/>
          <w:lang w:val="en-US"/>
          <w14:textFill>
            <w14:solidFill>
              <w14:schemeClr w14:val="tx1"/>
            </w14:solidFill>
          </w14:textFill>
        </w:rPr>
        <w:t>广东省东莞市</w:t>
      </w:r>
    </w:p>
    <w:p w14:paraId="4543054D">
      <w:pPr>
        <w:rPr>
          <w:rFonts w:ascii="宋体" w:hAnsi="宋体" w:eastAsia="宋体" w:cs="宋体"/>
          <w:color w:val="000000" w:themeColor="text1"/>
          <w:szCs w:val="21"/>
          <w:highlight w:val="none"/>
          <w14:textFill>
            <w14:solidFill>
              <w14:schemeClr w14:val="tx1"/>
            </w14:solidFill>
          </w14:textFill>
        </w:rPr>
      </w:pPr>
      <w:bookmarkStart w:id="595" w:name="OLE_LINK275"/>
      <w:r>
        <w:rPr>
          <w:rFonts w:hint="eastAsia" w:ascii="宋体" w:hAnsi="宋体" w:eastAsia="宋体" w:cs="宋体"/>
          <w:color w:val="000000" w:themeColor="text1"/>
          <w:szCs w:val="21"/>
          <w:highlight w:val="none"/>
          <w14:textFill>
            <w14:solidFill>
              <w14:schemeClr w14:val="tx1"/>
            </w14:solidFill>
          </w14:textFill>
        </w:rPr>
        <w:br w:type="page"/>
      </w:r>
    </w:p>
    <w:p w14:paraId="372F3629">
      <w:pPr>
        <w:wordWrap w:val="0"/>
        <w:spacing w:line="360" w:lineRule="auto"/>
        <w:rPr>
          <w:rFonts w:ascii="宋体" w:hAnsi="宋体" w:eastAsia="宋体" w:cs="宋体"/>
          <w:b/>
          <w:bCs/>
          <w:color w:val="000000" w:themeColor="text1"/>
          <w:szCs w:val="21"/>
          <w:highlight w:val="none"/>
          <w14:textFill>
            <w14:solidFill>
              <w14:schemeClr w14:val="tx1"/>
            </w14:solidFill>
          </w14:textFill>
        </w:rPr>
      </w:pPr>
      <w:bookmarkStart w:id="596" w:name="OLE_LINK276"/>
      <w:r>
        <w:rPr>
          <w:rFonts w:hint="eastAsia" w:ascii="宋体" w:hAnsi="宋体" w:eastAsia="宋体" w:cs="宋体"/>
          <w:b/>
          <w:bCs/>
          <w:color w:val="000000" w:themeColor="text1"/>
          <w:szCs w:val="21"/>
          <w:highlight w:val="none"/>
          <w14:textFill>
            <w14:solidFill>
              <w14:schemeClr w14:val="tx1"/>
            </w14:solidFill>
          </w14:textFill>
        </w:rPr>
        <w:t>附件4：安全生产管理协议</w:t>
      </w:r>
    </w:p>
    <w:p w14:paraId="293D9EE8">
      <w:pPr>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597" w:name="OLE_LINK434"/>
      <w:r>
        <w:rPr>
          <w:rFonts w:hint="eastAsia" w:ascii="宋体" w:hAnsi="宋体" w:eastAsia="宋体" w:cs="宋体"/>
          <w:b/>
          <w:bCs/>
          <w:color w:val="000000" w:themeColor="text1"/>
          <w:sz w:val="36"/>
          <w:szCs w:val="36"/>
          <w:highlight w:val="none"/>
          <w14:textFill>
            <w14:solidFill>
              <w14:schemeClr w14:val="tx1"/>
            </w14:solidFill>
          </w14:textFill>
        </w:rPr>
        <w:t>安全生产管理协议</w:t>
      </w:r>
    </w:p>
    <w:bookmarkEnd w:id="597"/>
    <w:p w14:paraId="3C060638">
      <w:pPr>
        <w:spacing w:line="360" w:lineRule="auto"/>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E296750">
      <w:pPr>
        <w:pStyle w:val="32"/>
        <w:shd w:val="clear" w:color="auto" w:fill="FFFFFF"/>
        <w:spacing w:line="360" w:lineRule="auto"/>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乙方：</w:t>
      </w:r>
      <w:r>
        <w:rPr>
          <w:rFonts w:hint="eastAsia" w:ascii="宋体" w:hAnsi="宋体" w:cs="宋体"/>
          <w:color w:val="000000" w:themeColor="text1"/>
          <w:highlight w:val="none"/>
          <w:u w:val="single"/>
          <w14:textFill>
            <w14:solidFill>
              <w14:schemeClr w14:val="tx1"/>
            </w14:solidFill>
          </w14:textFill>
        </w:rPr>
        <w:t xml:space="preserve">                             </w:t>
      </w:r>
    </w:p>
    <w:p w14:paraId="256D412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6B694DE1">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bookmarkStart w:id="598" w:name="OLE_LINK428"/>
      <w:r>
        <w:rPr>
          <w:rFonts w:hint="eastAsia" w:ascii="宋体" w:hAnsi="宋体" w:eastAsia="宋体" w:cs="宋体"/>
          <w:color w:val="000000" w:themeColor="text1"/>
          <w:szCs w:val="21"/>
          <w:highlight w:val="none"/>
          <w14:textFill>
            <w14:solidFill>
              <w14:schemeClr w14:val="tx1"/>
            </w14:solidFill>
          </w14:textFill>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w:t>
      </w:r>
    </w:p>
    <w:bookmarkEnd w:id="598"/>
    <w:p w14:paraId="41DDB357">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7135DB28">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3、乙方使用被派遣劳动者的，应当将被派遣劳动者纳入本单位从业人员统一管理，对被派遣劳动者进行岗位安全操作规程和安全操作技能的教育和培训。</w:t>
      </w:r>
    </w:p>
    <w:p w14:paraId="3A258378">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bookmarkStart w:id="599" w:name="OLE_LINK429"/>
      <w:r>
        <w:rPr>
          <w:rFonts w:hint="eastAsia" w:ascii="宋体" w:hAnsi="宋体" w:eastAsia="宋体" w:cs="宋体"/>
          <w:color w:val="000000" w:themeColor="text1"/>
          <w:szCs w:val="21"/>
          <w:highlight w:val="none"/>
          <w14:textFill>
            <w14:solidFill>
              <w14:schemeClr w14:val="tx1"/>
            </w14:solidFill>
          </w14:textFill>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4C3168D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5、乙方应当教育和督促从业人员严格执行本单位的安全生产规章制度和安全操作规程；并向从业人员如实告知作业场所和工作岗位存在的危险因素、防范措施以及事故应急措施。</w:t>
      </w:r>
    </w:p>
    <w:bookmarkEnd w:id="599"/>
    <w:p w14:paraId="1E8FB63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6、乙方应严格遵守国家、地方政府有关安全生产及劳动保护的法律法规、标准、规定，贯彻执行甲方的各项安全管理规章制度。</w:t>
      </w:r>
    </w:p>
    <w:p w14:paraId="0A4DC847">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7、乙方依法参加工伤保险，为从业人员缴纳保险费，并应当为从事危险作业的人员办理意外伤害保险。</w:t>
      </w:r>
    </w:p>
    <w:p w14:paraId="65090809">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26861C9C">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204504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7A87C7AB">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解除合同，并要求乙方清退出场。</w:t>
      </w:r>
    </w:p>
    <w:p w14:paraId="4603E734">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1EC99F04">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13、在施工过程中，需要进行动土、动火、登高、吊装、断路、进入限制性空间等危险性较高的作业时，乙方的施工负责人、专职或兼职安全员必须现场确认，确保安全后，方可开始施工。</w:t>
      </w:r>
    </w:p>
    <w:p w14:paraId="37E63039">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14、因乙方原因，造成乙方损失，由乙方自负，给甲方造成财产损失和人员伤害，乙方要负全部责任，并全额赔偿甲方。</w:t>
      </w:r>
    </w:p>
    <w:p w14:paraId="14D4D76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15、非因甲方原因，造成乙方损失的，甲方不承担任何责任，由乙方自行承担全部责任。</w:t>
      </w:r>
    </w:p>
    <w:p w14:paraId="44580B9E">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16、乙方应严格遵守法律法规以及甲方的安全管理要求，并接受甲方的安全生产工作协调和监督，积极消除安全隐患。安全管理的基本要求包括但不限于以下条款：</w:t>
      </w:r>
    </w:p>
    <w:p w14:paraId="00C282A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①禁火区内严禁吸烟、动火。有火灾危险的作业区域，乙方必须配置足够的灭火设施。</w:t>
      </w:r>
    </w:p>
    <w:p w14:paraId="411AAA0A">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②焊接、气割作业时两瓶距离必须达到5M及以上，气瓶距可能产生火花的电器、设备和其它火源的间距必须达到10M及以上。</w:t>
      </w:r>
    </w:p>
    <w:p w14:paraId="36FA210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③严禁在厂内道路、消防通道内搭建临时建筑或堆放物资。</w:t>
      </w:r>
    </w:p>
    <w:p w14:paraId="34D1848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④施工场所的电动工具、电焊机等须有漏电保护器和相应的安全防护装置。</w:t>
      </w:r>
    </w:p>
    <w:p w14:paraId="64D5DBFF">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⑤施工现场及居住室、办公室内的用电设施必须符合要求，严禁电线乱接、乱拉，刀闸和开关无盖，在电器设施上堆放物品。</w:t>
      </w:r>
    </w:p>
    <w:p w14:paraId="7B65C53C">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⑥防雷、防静电设施及用电设施要有良好接地。</w:t>
      </w:r>
    </w:p>
    <w:p w14:paraId="0A4C9BD1">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⑦施工现场的危险区域，如临边、深坑、土方堆填区等，必须设置围栏和危险标志，夜间要设信号灯。</w:t>
      </w:r>
    </w:p>
    <w:p w14:paraId="38024EB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4B924EEB">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46EA6D0E">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A668A34">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17、乙方必须接受甲方的检查与监督，并应主动配合，做好安全工作，凡有违反上述协议的即视为乙方违约，甲方有权视情况从工程结算款/服务价款中扣除（1000-2000）元/次作为违约金。</w:t>
      </w:r>
    </w:p>
    <w:p w14:paraId="3AD0B7BF">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18、乙方对施工过程中潜在的安全风险不明确的，不可盲目施工，否则，造成的不良后果由乙方独自承担。</w:t>
      </w:r>
    </w:p>
    <w:p w14:paraId="7425DF78">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19、本协议一式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份，甲方执</w:t>
      </w:r>
      <w:bookmarkStart w:id="600" w:name="OLE_LINK431"/>
      <w:r>
        <w:rPr>
          <w:rFonts w:hint="eastAsia" w:ascii="宋体" w:hAnsi="宋体" w:eastAsia="宋体" w:cs="宋体"/>
          <w:color w:val="000000" w:themeColor="text1"/>
          <w:szCs w:val="21"/>
          <w:highlight w:val="none"/>
          <w:u w:val="single"/>
          <w14:textFill>
            <w14:solidFill>
              <w14:schemeClr w14:val="tx1"/>
            </w14:solidFill>
          </w14:textFill>
        </w:rPr>
        <w:t xml:space="preserve">   </w:t>
      </w:r>
      <w:bookmarkEnd w:id="600"/>
      <w:r>
        <w:rPr>
          <w:rFonts w:hint="eastAsia" w:ascii="宋体" w:hAnsi="宋体" w:eastAsia="宋体" w:cs="宋体"/>
          <w:color w:val="000000" w:themeColor="text1"/>
          <w:szCs w:val="21"/>
          <w:highlight w:val="none"/>
          <w14:textFill>
            <w14:solidFill>
              <w14:schemeClr w14:val="tx1"/>
            </w14:solidFill>
          </w14:textFill>
        </w:rPr>
        <w:t>份，乙方执</w:t>
      </w:r>
      <w:bookmarkStart w:id="601" w:name="OLE_LINK430"/>
      <w:r>
        <w:rPr>
          <w:rFonts w:hint="eastAsia" w:ascii="宋体" w:hAnsi="宋体" w:eastAsia="宋体" w:cs="宋体"/>
          <w:color w:val="000000" w:themeColor="text1"/>
          <w:szCs w:val="21"/>
          <w:highlight w:val="none"/>
          <w:u w:val="single"/>
          <w14:textFill>
            <w14:solidFill>
              <w14:schemeClr w14:val="tx1"/>
            </w14:solidFill>
          </w14:textFill>
        </w:rPr>
        <w:t xml:space="preserve">   </w:t>
      </w:r>
      <w:bookmarkEnd w:id="601"/>
      <w:r>
        <w:rPr>
          <w:rFonts w:hint="eastAsia" w:ascii="宋体" w:hAnsi="宋体" w:eastAsia="宋体" w:cs="宋体"/>
          <w:color w:val="000000" w:themeColor="text1"/>
          <w:szCs w:val="21"/>
          <w:highlight w:val="none"/>
          <w14:textFill>
            <w14:solidFill>
              <w14:schemeClr w14:val="tx1"/>
            </w14:solidFill>
          </w14:textFill>
        </w:rPr>
        <w:t>份，自双方法定代表人或负责人签字后生效。</w:t>
      </w:r>
    </w:p>
    <w:p w14:paraId="6BFAEA90">
      <w:pPr>
        <w:spacing w:line="360" w:lineRule="auto"/>
        <w:rPr>
          <w:rFonts w:ascii="宋体" w:hAnsi="宋体" w:eastAsia="宋体" w:cs="宋体"/>
          <w:color w:val="000000" w:themeColor="text1"/>
          <w:szCs w:val="21"/>
          <w:highlight w:val="none"/>
          <w14:textFill>
            <w14:solidFill>
              <w14:schemeClr w14:val="tx1"/>
            </w14:solidFill>
          </w14:textFill>
        </w:rPr>
      </w:pPr>
    </w:p>
    <w:p w14:paraId="14058CC7">
      <w:pPr>
        <w:spacing w:line="360" w:lineRule="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乙方声明：</w:t>
      </w:r>
    </w:p>
    <w:p w14:paraId="33F6688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乙方已认真阅读协议内容，对协议条款、</w:t>
      </w:r>
      <w:r>
        <w:rPr>
          <w:rFonts w:hint="eastAsia" w:ascii="宋体" w:hAnsi="宋体" w:eastAsia="宋体" w:cs="宋体"/>
          <w:color w:val="000000" w:themeColor="text1"/>
          <w:szCs w:val="21"/>
          <w:highlight w:val="none"/>
          <w:u w:val="single"/>
          <w14:textFill>
            <w14:solidFill>
              <w14:schemeClr w14:val="tx1"/>
            </w14:solidFill>
          </w14:textFill>
        </w:rPr>
        <w:t>东莞市水务集团科技发展有限公司</w:t>
      </w:r>
      <w:r>
        <w:rPr>
          <w:rFonts w:hint="eastAsia" w:ascii="宋体" w:hAnsi="宋体" w:eastAsia="宋体" w:cs="宋体"/>
          <w:color w:val="000000" w:themeColor="text1"/>
          <w:szCs w:val="21"/>
          <w:highlight w:val="none"/>
          <w14:textFill>
            <w14:solidFill>
              <w14:schemeClr w14:val="tx1"/>
            </w14:solidFill>
          </w14:textFill>
        </w:rPr>
        <w:t>的安全管理要求、安全风险充分理解，并自愿承担因违约造成的一切后果。</w:t>
      </w:r>
    </w:p>
    <w:p w14:paraId="0F14489A">
      <w:pPr>
        <w:spacing w:line="360" w:lineRule="auto"/>
        <w:rPr>
          <w:rFonts w:ascii="宋体" w:hAnsi="宋体" w:eastAsia="宋体" w:cs="宋体"/>
          <w:color w:val="000000" w:themeColor="text1"/>
          <w:szCs w:val="21"/>
          <w:highlight w:val="none"/>
          <w14:textFill>
            <w14:solidFill>
              <w14:schemeClr w14:val="tx1"/>
            </w14:solidFill>
          </w14:textFill>
        </w:rPr>
      </w:pPr>
    </w:p>
    <w:p w14:paraId="1831FBB6">
      <w:pPr>
        <w:spacing w:line="360" w:lineRule="auto"/>
        <w:ind w:firstLine="424" w:firstLineChars="201"/>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 xml:space="preserve">  </w:t>
      </w:r>
    </w:p>
    <w:p w14:paraId="50923EB2">
      <w:pPr>
        <w:pStyle w:val="2"/>
        <w:spacing w:line="360" w:lineRule="auto"/>
        <w:rPr>
          <w:rFonts w:hAnsi="宋体" w:cs="宋体"/>
          <w:color w:val="000000" w:themeColor="text1"/>
          <w:sz w:val="21"/>
          <w:szCs w:val="21"/>
          <w:highlight w:val="none"/>
          <w14:textFill>
            <w14:solidFill>
              <w14:schemeClr w14:val="tx1"/>
            </w14:solidFill>
          </w14:textFill>
        </w:rPr>
      </w:pPr>
    </w:p>
    <w:p w14:paraId="157C1ABE">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甲方（盖章）：                                   乙方（盖章）：</w:t>
      </w:r>
    </w:p>
    <w:p w14:paraId="551AA9F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p>
    <w:p w14:paraId="7AF73262">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法定代表（或负责人）：                           法定代表（或负责人）：</w:t>
      </w:r>
    </w:p>
    <w:p w14:paraId="7854C8A4">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p>
    <w:p w14:paraId="67A24345">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签订日期：    年  月  日</w:t>
      </w:r>
    </w:p>
    <w:p w14:paraId="56FBAC78">
      <w:pPr>
        <w:spacing w:line="360" w:lineRule="auto"/>
        <w:rPr>
          <w:color w:val="000000" w:themeColor="text1"/>
          <w:szCs w:val="21"/>
          <w:highlight w:val="none"/>
          <w14:textFill>
            <w14:solidFill>
              <w14:schemeClr w14:val="tx1"/>
            </w14:solidFill>
          </w14:textFill>
        </w:rPr>
      </w:pPr>
    </w:p>
    <w:p w14:paraId="101461D8">
      <w:pPr>
        <w:wordWrap w:val="0"/>
        <w:spacing w:line="360" w:lineRule="auto"/>
        <w:rPr>
          <w:rFonts w:ascii="宋体" w:hAnsi="宋体" w:eastAsia="宋体" w:cs="宋体"/>
          <w:b/>
          <w:bCs/>
          <w:color w:val="000000" w:themeColor="text1"/>
          <w:szCs w:val="21"/>
          <w:highlight w:val="none"/>
          <w14:textFill>
            <w14:solidFill>
              <w14:schemeClr w14:val="tx1"/>
            </w14:solidFill>
          </w14:textFill>
        </w:rPr>
      </w:pPr>
    </w:p>
    <w:p w14:paraId="78FA64AC">
      <w:pPr>
        <w:wordWrap w:val="0"/>
        <w:spacing w:line="360" w:lineRule="auto"/>
        <w:rPr>
          <w:rFonts w:ascii="宋体" w:hAnsi="宋体" w:eastAsia="宋体" w:cs="宋体"/>
          <w:b/>
          <w:bCs/>
          <w:color w:val="000000" w:themeColor="text1"/>
          <w:szCs w:val="21"/>
          <w:highlight w:val="none"/>
          <w14:textFill>
            <w14:solidFill>
              <w14:schemeClr w14:val="tx1"/>
            </w14:solidFill>
          </w14:textFill>
        </w:rPr>
      </w:pPr>
    </w:p>
    <w:p w14:paraId="38F50615">
      <w:pPr>
        <w:rPr>
          <w:rFonts w:ascii="宋体" w:hAnsi="宋体" w:eastAsia="宋体" w:cs="宋体"/>
          <w:b/>
          <w:bCs/>
          <w:color w:val="000000" w:themeColor="text1"/>
          <w:szCs w:val="21"/>
          <w:highlight w:val="none"/>
          <w14:textFill>
            <w14:solidFill>
              <w14:schemeClr w14:val="tx1"/>
            </w14:solidFill>
          </w14:textFill>
        </w:rPr>
      </w:pPr>
      <w:bookmarkStart w:id="602" w:name="OLE_LINK311"/>
      <w:r>
        <w:rPr>
          <w:rFonts w:hint="eastAsia" w:ascii="宋体" w:hAnsi="宋体" w:eastAsia="宋体" w:cs="宋体"/>
          <w:b/>
          <w:bCs/>
          <w:color w:val="000000" w:themeColor="text1"/>
          <w:szCs w:val="21"/>
          <w:highlight w:val="none"/>
          <w14:textFill>
            <w14:solidFill>
              <w14:schemeClr w14:val="tx1"/>
            </w14:solidFill>
          </w14:textFill>
        </w:rPr>
        <w:br w:type="page"/>
      </w:r>
    </w:p>
    <w:p w14:paraId="2AF7272D">
      <w:pPr>
        <w:wordWrap w:val="0"/>
        <w:spacing w:line="360" w:lineRule="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附件5：廉洁协议书</w:t>
      </w:r>
    </w:p>
    <w:bookmarkEnd w:id="596"/>
    <w:bookmarkEnd w:id="602"/>
    <w:p w14:paraId="66A6B120">
      <w:pPr>
        <w:spacing w:line="360" w:lineRule="auto"/>
        <w:jc w:val="center"/>
        <w:rPr>
          <w:rFonts w:ascii="宋体" w:hAnsi="宋体" w:eastAsia="宋体" w:cs="宋体"/>
          <w:b/>
          <w:bCs/>
          <w:color w:val="000000" w:themeColor="text1"/>
          <w:szCs w:val="21"/>
          <w:highlight w:val="none"/>
          <w14:textFill>
            <w14:solidFill>
              <w14:schemeClr w14:val="tx1"/>
            </w14:solidFill>
          </w14:textFill>
        </w:rPr>
      </w:pPr>
      <w:bookmarkStart w:id="603" w:name="OLE_LINK435"/>
      <w:r>
        <w:rPr>
          <w:rFonts w:hint="eastAsia" w:ascii="宋体" w:hAnsi="宋体" w:eastAsia="宋体" w:cs="宋体"/>
          <w:b/>
          <w:bCs/>
          <w:color w:val="000000" w:themeColor="text1"/>
          <w:sz w:val="24"/>
          <w:szCs w:val="24"/>
          <w:highlight w:val="none"/>
          <w14:textFill>
            <w14:solidFill>
              <w14:schemeClr w14:val="tx1"/>
            </w14:solidFill>
          </w14:textFill>
        </w:rPr>
        <w:t>廉洁协议书</w:t>
      </w:r>
      <w:bookmarkEnd w:id="603"/>
    </w:p>
    <w:p w14:paraId="23E61947">
      <w:pPr>
        <w:spacing w:line="360" w:lineRule="auto"/>
        <w:rPr>
          <w:rFonts w:ascii="宋体" w:hAnsi="宋体" w:eastAsia="宋体" w:cs="宋体"/>
          <w:color w:val="000000" w:themeColor="text1"/>
          <w:szCs w:val="21"/>
          <w:highlight w:val="none"/>
          <w14:textFill>
            <w14:solidFill>
              <w14:schemeClr w14:val="tx1"/>
            </w14:solidFill>
          </w14:textFill>
        </w:rPr>
      </w:pPr>
    </w:p>
    <w:p w14:paraId="4D648DE9">
      <w:pPr>
        <w:wordWrap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项目名称：东莞市水务集团科技发展有限公司屋顶分布式光伏发电（一期）采购项目（招标编号：    ）</w:t>
      </w:r>
    </w:p>
    <w:p w14:paraId="25A50AAC">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甲方：东莞市水务集团科技发展有限公司</w:t>
      </w:r>
    </w:p>
    <w:p w14:paraId="479738F5">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w:t>
      </w:r>
    </w:p>
    <w:p w14:paraId="0F70EBF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7A1A32B5">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第一条  甲乙双方的权利和义务</w:t>
      </w:r>
    </w:p>
    <w:p w14:paraId="5A1835E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（一）严格遵守党和国家有关法律法规等有关廉洁从业规定。</w:t>
      </w:r>
    </w:p>
    <w:p w14:paraId="6DD7B06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（二）严格执行本项目的合同文件，自觉按合同办事。</w:t>
      </w:r>
    </w:p>
    <w:p w14:paraId="0697846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7DBF891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（四）建立健全廉洁制度，开展廉洁教育，设立廉洁监督公示牌，公布举报电话，监督并认真查处违法违纪行为。</w:t>
      </w:r>
    </w:p>
    <w:p w14:paraId="37FADBC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（五）发现对方在业务活动中有违反廉洁规定的行为，有及时提醒对方纠正的权利和义务。</w:t>
      </w:r>
    </w:p>
    <w:p w14:paraId="2DCDF93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（六）发现对方严重违反本协议义务条款的行为，有向其上级有关部门举报、建议给予处理并要求告知处理结果的权利。</w:t>
      </w:r>
    </w:p>
    <w:p w14:paraId="51DDCAD4">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第二条  甲方的义务</w:t>
      </w:r>
    </w:p>
    <w:p w14:paraId="44BB14C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（一）甲方及其工作人员不得索要或接受乙方的礼金、有价证券和贵重物品，不得在乙方报销任何应由甲方或个人支付的费用。</w:t>
      </w:r>
    </w:p>
    <w:p w14:paraId="581940D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（二）甲方工作人员不得参加乙方安排的高消费宴请和娱乐活动；不得接受乙方提供的通讯工具、交通工具和高档办公用品。</w:t>
      </w:r>
    </w:p>
    <w:p w14:paraId="5BD8EEB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（三）甲方及其工作人员不得要求或者接受乙方为其住房装修、婚丧嫁娶活动、家属或亲友的工作安排以及出国出境、旅游等提供方便。</w:t>
      </w:r>
    </w:p>
    <w:p w14:paraId="2C4BADD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（四）甲方工作人员不得向乙方介绍其家属或者亲友（包括家属或亲友开办的公司企业）从事于本项目涉及的经济业务活动。</w:t>
      </w:r>
    </w:p>
    <w:p w14:paraId="6E57E6A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（五）甲方及其工作人员不得以任何理由向乙方推荐分包单位，不得要求乙方购买合同规定外的材料和设备。</w:t>
      </w:r>
    </w:p>
    <w:p w14:paraId="3D3818D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（六）甲方及其工作人员不得进行违反廉洁规定的其他活动。</w:t>
      </w:r>
    </w:p>
    <w:p w14:paraId="2C1EB6B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315481EB">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第三条  乙方义务</w:t>
      </w:r>
    </w:p>
    <w:p w14:paraId="1208DC6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（一）乙方不得以任何理由向甲方及其工作人员馈赠礼金、有价证券、贵重礼品，或报销应由甲方单位或个人支付的任何费用。</w:t>
      </w:r>
    </w:p>
    <w:p w14:paraId="78FB3E1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（二）乙方及其工作人员不得以考察、参观、洽谈业务、签订合同等的借口邀请甲方及其工作人员参加高消费的宴请、娱乐和健身等活动。</w:t>
      </w:r>
    </w:p>
    <w:p w14:paraId="5989014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（三）乙方不得为甲方单位和个人购置或提供通讯工具、交通工具和高档办公用品等。</w:t>
      </w:r>
    </w:p>
    <w:p w14:paraId="7803827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（四）乙方及其工作人员不得为甲方工作人员购买、装修、维修私人住房、汽车等。</w:t>
      </w:r>
    </w:p>
    <w:p w14:paraId="39B128D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（五）乙方及其工作人员不得为甲方工作人员的婚丧嫁娶、家属或亲友的工作安排，及出国出境提供方便以及报销任何私人消费的费用。</w:t>
      </w:r>
    </w:p>
    <w:p w14:paraId="5C785B4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（六）乙方及其工作人员不得进行影响甲方及其工作人员公正执行合同和履行职务的其他活动。</w:t>
      </w:r>
    </w:p>
    <w:p w14:paraId="105396B5">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1C94949">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第四条  违约责任</w:t>
      </w:r>
    </w:p>
    <w:p w14:paraId="520D63D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（一）甲方违反本协议第一、第二条给乙方单位造成经济损失的，应予以赔偿。</w:t>
      </w:r>
    </w:p>
    <w:p w14:paraId="66BB0AC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（二）乙方违反本协议第一、第三条给甲方单位造成经济损失的，应予以赔偿。</w:t>
      </w:r>
    </w:p>
    <w:p w14:paraId="3099B443">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第五条  监督检查</w:t>
      </w:r>
    </w:p>
    <w:p w14:paraId="13A52FC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甲乙双方的廉洁从业行为由双方或双方上级单位的纪检、监察部门负责监督，对本协议履行情况进行检查。</w:t>
      </w:r>
    </w:p>
    <w:p w14:paraId="4325C88B">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第六条 举报信访受理</w:t>
      </w:r>
    </w:p>
    <w:p w14:paraId="1B8B56A3">
      <w:pPr>
        <w:spacing w:line="360" w:lineRule="auto"/>
        <w:ind w:firstLine="56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（一）举报受理部门：东莞市水务集团有限公司纪检监察部。</w:t>
      </w:r>
    </w:p>
    <w:p w14:paraId="4B877265">
      <w:pPr>
        <w:spacing w:line="360" w:lineRule="auto"/>
        <w:ind w:firstLine="56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（二）举报电话：（0769）23076092。</w:t>
      </w:r>
    </w:p>
    <w:p w14:paraId="263C7BF6">
      <w:pPr>
        <w:spacing w:line="360" w:lineRule="auto"/>
        <w:ind w:firstLine="56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（三）举报邮箱：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"mailto:jcsj@dgswjt.cn。" </w:instrText>
      </w:r>
      <w:r>
        <w:rPr>
          <w:color w:val="000000" w:themeColor="text1"/>
          <w:highlight w:val="none"/>
          <w14:textFill>
            <w14:solidFill>
              <w14:schemeClr w14:val="tx1"/>
            </w14:solidFill>
          </w14:textFill>
        </w:rPr>
        <w:fldChar w:fldCharType="separate"/>
      </w:r>
      <w:r>
        <w:rPr>
          <w:rStyle w:val="43"/>
          <w:rFonts w:hint="eastAsia" w:ascii="宋体" w:hAnsi="宋体" w:eastAsia="宋体" w:cs="宋体"/>
          <w:color w:val="000000" w:themeColor="text1"/>
          <w:sz w:val="21"/>
          <w:szCs w:val="21"/>
          <w:highlight w:val="none"/>
          <w14:textFill>
            <w14:solidFill>
              <w14:schemeClr w14:val="tx1"/>
            </w14:solidFill>
          </w14:textFill>
        </w:rPr>
        <w:t>jcsj@dgswjt.cn。</w:t>
      </w:r>
      <w:r>
        <w:rPr>
          <w:rStyle w:val="43"/>
          <w:rFonts w:hint="eastAsia" w:ascii="宋体" w:hAnsi="宋体" w:eastAsia="宋体" w:cs="宋体"/>
          <w:color w:val="000000" w:themeColor="text1"/>
          <w:sz w:val="21"/>
          <w:szCs w:val="21"/>
          <w:highlight w:val="none"/>
          <w14:textFill>
            <w14:solidFill>
              <w14:schemeClr w14:val="tx1"/>
            </w14:solidFill>
          </w14:textFill>
        </w:rPr>
        <w:fldChar w:fldCharType="end"/>
      </w:r>
    </w:p>
    <w:p w14:paraId="796C5C16">
      <w:pPr>
        <w:spacing w:line="360" w:lineRule="auto"/>
        <w:ind w:firstLine="56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（四）信访地址：广东省东莞市东城街道育华路1号。</w:t>
      </w:r>
    </w:p>
    <w:p w14:paraId="4D15C262">
      <w:pPr>
        <w:spacing w:line="360" w:lineRule="auto"/>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第七条 其他</w:t>
      </w:r>
    </w:p>
    <w:p w14:paraId="56CF1652">
      <w:pPr>
        <w:spacing w:line="360" w:lineRule="auto"/>
        <w:ind w:firstLine="56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本协议有效期为甲乙双方签字并加盖公章之日起至该工程/采购项目竣工验收完毕，质保期/服务期满后止。本协议一式陆份，甲方执叁份，乙方执贰份，招标代理执壹份。均具有同等效力。</w:t>
      </w:r>
    </w:p>
    <w:p w14:paraId="61983721">
      <w:pPr>
        <w:pStyle w:val="28"/>
        <w:spacing w:line="360" w:lineRule="auto"/>
        <w:rPr>
          <w:rFonts w:ascii="宋体" w:hAnsi="宋体" w:eastAsia="宋体" w:cs="宋体"/>
          <w:color w:val="000000" w:themeColor="text1"/>
          <w:szCs w:val="21"/>
          <w:highlight w:val="none"/>
          <w14:textFill>
            <w14:solidFill>
              <w14:schemeClr w14:val="tx1"/>
            </w14:solidFill>
          </w14:textFill>
        </w:rPr>
      </w:pPr>
    </w:p>
    <w:p w14:paraId="2787EA0C">
      <w:pPr>
        <w:spacing w:line="360" w:lineRule="auto"/>
        <w:ind w:firstLine="56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甲方：东莞市水务集团科技发展有限公司    </w:t>
      </w:r>
    </w:p>
    <w:p w14:paraId="242A87E8">
      <w:pPr>
        <w:spacing w:line="360" w:lineRule="auto"/>
        <w:ind w:firstLine="56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法定代表（或负责）人：                  </w:t>
      </w:r>
    </w:p>
    <w:p w14:paraId="0EAC95F1">
      <w:pPr>
        <w:spacing w:line="360" w:lineRule="auto"/>
        <w:ind w:firstLine="560"/>
        <w:rPr>
          <w:rFonts w:ascii="宋体" w:hAnsi="宋体" w:eastAsia="宋体" w:cs="宋体"/>
          <w:color w:val="000000" w:themeColor="text1"/>
          <w:szCs w:val="21"/>
          <w:highlight w:val="none"/>
          <w14:textFill>
            <w14:solidFill>
              <w14:schemeClr w14:val="tx1"/>
            </w14:solidFill>
          </w14:textFill>
        </w:rPr>
      </w:pPr>
    </w:p>
    <w:p w14:paraId="0E00FD0B">
      <w:pPr>
        <w:spacing w:line="360" w:lineRule="auto"/>
        <w:ind w:firstLine="56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w:t>
      </w:r>
    </w:p>
    <w:p w14:paraId="56F85534">
      <w:pPr>
        <w:spacing w:line="360" w:lineRule="auto"/>
        <w:ind w:firstLine="56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法定代表（或负责）人：</w:t>
      </w:r>
    </w:p>
    <w:p w14:paraId="0FE98D4D">
      <w:pPr>
        <w:spacing w:line="360" w:lineRule="auto"/>
        <w:rPr>
          <w:rFonts w:ascii="宋体" w:hAnsi="宋体" w:eastAsia="宋体" w:cs="宋体"/>
          <w:color w:val="000000" w:themeColor="text1"/>
          <w:szCs w:val="21"/>
          <w:highlight w:val="none"/>
          <w14:textFill>
            <w14:solidFill>
              <w14:schemeClr w14:val="tx1"/>
            </w14:solidFill>
          </w14:textFill>
        </w:rPr>
      </w:pPr>
    </w:p>
    <w:p w14:paraId="0DDE7B8C">
      <w:pPr>
        <w:spacing w:line="360" w:lineRule="auto"/>
        <w:ind w:firstLine="560"/>
        <w:rPr>
          <w:rFonts w:ascii="宋体" w:hAnsi="宋体" w:eastAsia="宋体" w:cs="宋体"/>
          <w:color w:val="000000" w:themeColor="text1"/>
          <w:szCs w:val="21"/>
          <w:highlight w:val="none"/>
          <w14:textFill>
            <w14:solidFill>
              <w14:schemeClr w14:val="tx1"/>
            </w14:solidFill>
          </w14:textFill>
        </w:rPr>
      </w:pPr>
      <w:bookmarkStart w:id="604" w:name="OLE_LINK300"/>
      <w:r>
        <w:rPr>
          <w:rFonts w:hint="eastAsia" w:ascii="宋体" w:hAnsi="宋体" w:eastAsia="宋体" w:cs="宋体"/>
          <w:color w:val="000000" w:themeColor="text1"/>
          <w:szCs w:val="21"/>
          <w:highlight w:val="none"/>
          <w14:textFill>
            <w14:solidFill>
              <w14:schemeClr w14:val="tx1"/>
            </w14:solidFill>
          </w14:textFill>
        </w:rPr>
        <w:t xml:space="preserve">签约日期： 年   月   日  </w:t>
      </w:r>
    </w:p>
    <w:bookmarkEnd w:id="604"/>
    <w:p w14:paraId="2B3662A8">
      <w:pPr>
        <w:spacing w:line="360" w:lineRule="auto"/>
        <w:ind w:firstLine="56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签约地点：广东省东莞市</w:t>
      </w:r>
      <w:bookmarkEnd w:id="595"/>
      <w:bookmarkStart w:id="605" w:name="_Toc143199570"/>
      <w:bookmarkStart w:id="606" w:name="_Toc30397"/>
    </w:p>
    <w:p w14:paraId="607394BB">
      <w:pPr>
        <w:wordWrap w:val="0"/>
        <w:spacing w:line="360" w:lineRule="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附件7</w:t>
      </w:r>
      <w:bookmarkStart w:id="607" w:name="OLE_LINK303"/>
      <w:r>
        <w:rPr>
          <w:rFonts w:hint="eastAsia" w:ascii="宋体" w:hAnsi="宋体" w:eastAsia="宋体" w:cs="宋体"/>
          <w:b/>
          <w:bCs/>
          <w:color w:val="000000" w:themeColor="text1"/>
          <w:szCs w:val="21"/>
          <w:highlight w:val="none"/>
          <w14:textFill>
            <w14:solidFill>
              <w14:schemeClr w14:val="tx1"/>
            </w14:solidFill>
          </w14:textFill>
        </w:rPr>
        <w:t>：质量保修</w:t>
      </w:r>
      <w:bookmarkEnd w:id="607"/>
      <w:r>
        <w:rPr>
          <w:rFonts w:hint="eastAsia" w:ascii="宋体" w:hAnsi="宋体" w:eastAsia="宋体" w:cs="宋体"/>
          <w:b/>
          <w:bCs/>
          <w:color w:val="000000" w:themeColor="text1"/>
          <w:szCs w:val="21"/>
          <w:highlight w:val="none"/>
          <w14:textFill>
            <w14:solidFill>
              <w14:schemeClr w14:val="tx1"/>
            </w14:solidFill>
          </w14:textFill>
        </w:rPr>
        <w:t>保函格式</w:t>
      </w:r>
      <w:bookmarkEnd w:id="605"/>
      <w:bookmarkEnd w:id="606"/>
    </w:p>
    <w:p w14:paraId="4D1DB1A2">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w:t>
      </w:r>
      <w:bookmarkStart w:id="608" w:name="OLE_LINK304"/>
      <w:bookmarkStart w:id="609" w:name="OLE_LINK308"/>
      <w:r>
        <w:rPr>
          <w:rFonts w:hint="eastAsia" w:ascii="宋体" w:hAnsi="宋体" w:eastAsia="宋体" w:cs="Times New Roman"/>
          <w:b/>
          <w:color w:val="000000" w:themeColor="text1"/>
          <w:kern w:val="0"/>
          <w:sz w:val="30"/>
          <w:szCs w:val="30"/>
          <w:highlight w:val="none"/>
          <w14:textFill>
            <w14:solidFill>
              <w14:schemeClr w14:val="tx1"/>
            </w14:solidFill>
          </w14:textFill>
        </w:rPr>
        <w:t>质量保修</w:t>
      </w:r>
      <w:bookmarkEnd w:id="608"/>
      <w:r>
        <w:rPr>
          <w:rFonts w:hint="eastAsia" w:ascii="宋体" w:hAnsi="宋体" w:eastAsia="宋体" w:cs="Times New Roman"/>
          <w:b/>
          <w:color w:val="000000" w:themeColor="text1"/>
          <w:kern w:val="0"/>
          <w:sz w:val="30"/>
          <w:szCs w:val="30"/>
          <w:highlight w:val="none"/>
          <w14:textFill>
            <w14:solidFill>
              <w14:schemeClr w14:val="tx1"/>
            </w14:solidFill>
          </w14:textFill>
        </w:rPr>
        <w:t>保</w:t>
      </w:r>
      <w:bookmarkEnd w:id="609"/>
      <w:r>
        <w:rPr>
          <w:rFonts w:hint="eastAsia" w:ascii="宋体" w:hAnsi="宋体" w:eastAsia="宋体" w:cs="Times New Roman"/>
          <w:b/>
          <w:color w:val="000000" w:themeColor="text1"/>
          <w:kern w:val="0"/>
          <w:sz w:val="30"/>
          <w:szCs w:val="30"/>
          <w:highlight w:val="none"/>
          <w14:textFill>
            <w14:solidFill>
              <w14:schemeClr w14:val="tx1"/>
            </w14:solidFill>
          </w14:textFill>
        </w:rPr>
        <w:t>函</w:t>
      </w:r>
    </w:p>
    <w:p w14:paraId="07347CAE">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039FD71D">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14:paraId="260C13FB">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3867509C">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6E8C5500">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w:t>
      </w:r>
      <w:bookmarkStart w:id="610" w:name="OLE_LINK305"/>
      <w:r>
        <w:rPr>
          <w:rFonts w:hint="eastAsia" w:ascii="宋体" w:hAnsi="宋体" w:eastAsia="宋体" w:cs="宋体"/>
          <w:color w:val="000000" w:themeColor="text1"/>
          <w:kern w:val="0"/>
          <w:szCs w:val="21"/>
          <w:highlight w:val="none"/>
          <w14:textFill>
            <w14:solidFill>
              <w14:schemeClr w14:val="tx1"/>
            </w14:solidFill>
          </w14:textFill>
        </w:rPr>
        <w:t>、</w:t>
      </w:r>
      <w:bookmarkStart w:id="611" w:name="OLE_LINK309"/>
      <w:r>
        <w:rPr>
          <w:rFonts w:hint="eastAsia" w:ascii="宋体" w:hAnsi="宋体" w:eastAsia="宋体" w:cs="宋体"/>
          <w:color w:val="000000" w:themeColor="text1"/>
          <w:kern w:val="0"/>
          <w:szCs w:val="21"/>
          <w:highlight w:val="none"/>
          <w14:textFill>
            <w14:solidFill>
              <w14:schemeClr w14:val="tx1"/>
            </w14:solidFill>
          </w14:textFill>
        </w:rPr>
        <w:t>见索即付、</w:t>
      </w:r>
      <w:bookmarkEnd w:id="610"/>
      <w:bookmarkEnd w:id="611"/>
      <w:r>
        <w:rPr>
          <w:rFonts w:hint="eastAsia" w:ascii="宋体" w:hAnsi="宋体" w:eastAsia="宋体" w:cs="宋体"/>
          <w:color w:val="000000" w:themeColor="text1"/>
          <w:kern w:val="0"/>
          <w:szCs w:val="21"/>
          <w:highlight w:val="none"/>
          <w14:textFill>
            <w14:solidFill>
              <w14:schemeClr w14:val="tx1"/>
            </w14:solidFill>
          </w14:textFill>
        </w:rPr>
        <w:t>不可撤销银行质量保修保函，作为申请人履行上述合同的担保。</w:t>
      </w:r>
    </w:p>
    <w:p w14:paraId="18A5C329">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见索即付、不可撤销地在受益人出具本保函原件且提出因申请人没有履行上述合同规定，而要求我方承担保证责任后，在保函限额内向受益人支付不超过人民币（大写）_________（¥_______元）的款项。</w:t>
      </w:r>
    </w:p>
    <w:p w14:paraId="2A3CAD93">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74DBA449">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293A7417">
      <w:pPr>
        <w:widowControl/>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w:t>
      </w:r>
      <w:bookmarkStart w:id="612" w:name="OLE_LINK310"/>
      <w:r>
        <w:rPr>
          <w:rFonts w:hint="eastAsia" w:ascii="宋体" w:hAnsi="宋体" w:eastAsia="宋体" w:cs="Times New Roman"/>
          <w:color w:val="000000" w:themeColor="text1"/>
          <w:kern w:val="0"/>
          <w:szCs w:val="21"/>
          <w:highlight w:val="none"/>
          <w14:textFill>
            <w14:solidFill>
              <w14:schemeClr w14:val="tx1"/>
            </w14:solidFill>
          </w14:textFill>
        </w:rPr>
        <w:t>自项目整体最终验收合格届满二年之日起</w:t>
      </w:r>
      <w:bookmarkStart w:id="613" w:name="OLE_LINK306"/>
      <w:r>
        <w:rPr>
          <w:rFonts w:hint="eastAsia" w:ascii="宋体" w:hAnsi="宋体" w:eastAsia="宋体" w:cs="Times New Roman"/>
          <w:color w:val="000000" w:themeColor="text1"/>
          <w:kern w:val="0"/>
          <w:szCs w:val="21"/>
          <w:highlight w:val="none"/>
          <w14:textFill>
            <w14:solidFill>
              <w14:schemeClr w14:val="tx1"/>
            </w14:solidFill>
          </w14:textFill>
        </w:rPr>
        <w:t xml:space="preserve"> 1 </w:t>
      </w:r>
      <w:bookmarkEnd w:id="613"/>
      <w:r>
        <w:rPr>
          <w:rFonts w:hint="eastAsia" w:ascii="宋体" w:hAnsi="宋体" w:eastAsia="宋体" w:cs="Times New Roman"/>
          <w:color w:val="000000" w:themeColor="text1"/>
          <w:kern w:val="0"/>
          <w:szCs w:val="21"/>
          <w:highlight w:val="none"/>
          <w14:textFill>
            <w14:solidFill>
              <w14:schemeClr w14:val="tx1"/>
            </w14:solidFill>
          </w14:textFill>
        </w:rPr>
        <w:t>年</w:t>
      </w:r>
      <w:bookmarkEnd w:id="612"/>
      <w:r>
        <w:rPr>
          <w:rFonts w:hint="eastAsia" w:ascii="宋体" w:hAnsi="宋体" w:eastAsia="宋体" w:cs="Times New Roman"/>
          <w:color w:val="000000" w:themeColor="text1"/>
          <w:kern w:val="0"/>
          <w:szCs w:val="21"/>
          <w:highlight w:val="none"/>
          <w14:textFill>
            <w14:solidFill>
              <w14:schemeClr w14:val="tx1"/>
            </w14:solidFill>
          </w14:textFill>
        </w:rPr>
        <w:t>保持有效。</w:t>
      </w:r>
    </w:p>
    <w:p w14:paraId="42845BAA">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6ABD6345">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7E963816">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14:paraId="63F2A504">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14:paraId="6EB18290">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14:paraId="2AEAAEAC">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083BC6BE">
      <w:pPr>
        <w:pStyle w:val="33"/>
        <w:spacing w:before="0" w:beforeAutospacing="0" w:after="0" w:afterAutospacing="0" w:line="360" w:lineRule="auto"/>
        <w:jc w:val="center"/>
        <w:rPr>
          <w:rFonts w:eastAsia="宋体" w:cs="宋体"/>
          <w:b/>
          <w:color w:val="000000" w:themeColor="text1"/>
          <w:sz w:val="21"/>
          <w:szCs w:val="21"/>
          <w:highlight w:val="none"/>
          <w14:textFill>
            <w14:solidFill>
              <w14:schemeClr w14:val="tx1"/>
            </w14:solidFill>
          </w14:textFill>
        </w:rPr>
      </w:pPr>
    </w:p>
    <w:p w14:paraId="78441AB9">
      <w:pPr>
        <w:pStyle w:val="33"/>
        <w:spacing w:before="0" w:beforeAutospacing="0" w:after="0" w:afterAutospacing="0" w:line="360" w:lineRule="auto"/>
        <w:jc w:val="center"/>
        <w:rPr>
          <w:rFonts w:eastAsia="宋体" w:cs="宋体"/>
          <w:b/>
          <w:color w:val="000000" w:themeColor="text1"/>
          <w:sz w:val="21"/>
          <w:szCs w:val="21"/>
          <w:highlight w:val="none"/>
          <w14:textFill>
            <w14:solidFill>
              <w14:schemeClr w14:val="tx1"/>
            </w14:solidFill>
          </w14:textFill>
        </w:rPr>
      </w:pPr>
    </w:p>
    <w:p w14:paraId="67C211C8">
      <w:pP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br w:type="page"/>
      </w:r>
    </w:p>
    <w:p w14:paraId="1B311920">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担保公司质量保修担保书</w:t>
      </w:r>
    </w:p>
    <w:p w14:paraId="459D9094">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48C06132">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14:paraId="175D966E">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hint="eastAsia" w:ascii="宋体" w:hAnsi="宋体" w:eastAsia="宋体" w:cs="宋体"/>
          <w:color w:val="000000" w:themeColor="text1"/>
          <w:kern w:val="0"/>
          <w:szCs w:val="21"/>
          <w:highlight w:val="none"/>
          <w14:textFill>
            <w14:solidFill>
              <w14:schemeClr w14:val="tx1"/>
            </w14:solidFill>
          </w14:textFill>
        </w:rPr>
        <w:t>见索即付、</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7C60B693">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无条件、见索即付、不可撤销地在受益人出具本担保书原件且提出因申请人没有履行上述合同规定，在担保书限额内向受益人支付不超过人民币（大写）_________（¥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14:paraId="25492395">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01E6E07A">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应自项目整体最终验收合格届满二年之日起 1 年保持有效。</w:t>
      </w:r>
    </w:p>
    <w:p w14:paraId="113E5787">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1FB09A28">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14:paraId="5516BF48">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14:paraId="64B50352">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14:paraId="0F4D5CA6">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14:paraId="25E80973">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p w14:paraId="51BF3CA5">
      <w:pPr>
        <w:spacing w:line="360" w:lineRule="auto"/>
        <w:ind w:firstLine="560"/>
        <w:rPr>
          <w:rFonts w:ascii="宋体" w:hAnsi="宋体" w:eastAsia="宋体" w:cs="Times New Roman"/>
          <w:b/>
          <w:bCs/>
          <w:color w:val="000000" w:themeColor="text1"/>
          <w:kern w:val="0"/>
          <w:szCs w:val="21"/>
          <w:highlight w:val="none"/>
          <w14:textFill>
            <w14:solidFill>
              <w14:schemeClr w14:val="tx1"/>
            </w14:solidFill>
          </w14:textFill>
        </w:rPr>
      </w:pPr>
    </w:p>
    <w:bookmarkEnd w:id="594"/>
    <w:p w14:paraId="308664CD">
      <w:pPr>
        <w:pageBreakBefore/>
        <w:spacing w:before="120" w:beforeLines="50" w:after="120" w:afterLines="50" w:line="360" w:lineRule="auto"/>
        <w:ind w:firstLine="640"/>
        <w:jc w:val="center"/>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614" w:name="_Toc447045090"/>
      <w:bookmarkStart w:id="615" w:name="_Toc447044479"/>
      <w:bookmarkStart w:id="616" w:name="_Toc22246"/>
      <w:bookmarkStart w:id="617" w:name="_Toc447044603"/>
      <w:bookmarkStart w:id="618" w:name="_Toc4016"/>
      <w:bookmarkStart w:id="619" w:name="_Toc142508360"/>
      <w:bookmarkStart w:id="620" w:name="_Toc512353083"/>
      <w:bookmarkStart w:id="621" w:name="_Toc24427_WPSOffice_Level1"/>
      <w:r>
        <w:rPr>
          <w:rFonts w:hint="eastAsia" w:ascii="宋体" w:hAnsi="宋体" w:eastAsia="宋体" w:cs="Times New Roman"/>
          <w:b/>
          <w:bCs/>
          <w:color w:val="000000" w:themeColor="text1"/>
          <w:sz w:val="32"/>
          <w:szCs w:val="32"/>
          <w:highlight w:val="none"/>
          <w:lang w:val="zh-CN"/>
          <w14:textFill>
            <w14:solidFill>
              <w14:schemeClr w14:val="tx1"/>
            </w14:solidFill>
          </w14:textFill>
        </w:rPr>
        <w:t>第五篇</w:t>
      </w:r>
      <w:r>
        <w:rPr>
          <w:rFonts w:ascii="宋体" w:hAnsi="宋体" w:eastAsia="宋体" w:cs="Times New Roman"/>
          <w:b/>
          <w:bCs/>
          <w:color w:val="000000" w:themeColor="text1"/>
          <w:sz w:val="32"/>
          <w:szCs w:val="32"/>
          <w:highlight w:val="none"/>
          <w:lang w:val="zh-CN"/>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相关保函格式</w:t>
      </w:r>
      <w:bookmarkEnd w:id="614"/>
      <w:bookmarkEnd w:id="615"/>
      <w:bookmarkEnd w:id="616"/>
      <w:bookmarkEnd w:id="617"/>
      <w:bookmarkEnd w:id="618"/>
      <w:bookmarkEnd w:id="619"/>
      <w:bookmarkEnd w:id="620"/>
      <w:bookmarkEnd w:id="621"/>
      <w:bookmarkStart w:id="622" w:name="_Toc447044480"/>
      <w:bookmarkStart w:id="623" w:name="_Toc447044604"/>
      <w:bookmarkStart w:id="624" w:name="_Toc447045091"/>
    </w:p>
    <w:p w14:paraId="2ED5E4AA">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bookmarkStart w:id="625" w:name="_Toc26521_WPSOffice_Level2"/>
      <w:r>
        <w:rPr>
          <w:rFonts w:hint="eastAsia" w:ascii="宋体" w:hAnsi="宋体" w:eastAsia="宋体" w:cs="Times New Roman"/>
          <w:b/>
          <w:color w:val="000000" w:themeColor="text1"/>
          <w:kern w:val="0"/>
          <w:sz w:val="28"/>
          <w:szCs w:val="28"/>
          <w:highlight w:val="none"/>
          <w14:textFill>
            <w14:solidFill>
              <w14:schemeClr w14:val="tx1"/>
            </w14:solidFill>
          </w14:textFill>
        </w:rPr>
        <w:t>一、</w:t>
      </w:r>
      <w:bookmarkStart w:id="626" w:name="OLE_LINK114"/>
      <w:r>
        <w:rPr>
          <w:rFonts w:hint="eastAsia" w:ascii="宋体" w:hAnsi="宋体" w:eastAsia="宋体" w:cs="Times New Roman"/>
          <w:b/>
          <w:color w:val="000000" w:themeColor="text1"/>
          <w:kern w:val="0"/>
          <w:sz w:val="28"/>
          <w:szCs w:val="28"/>
          <w:highlight w:val="none"/>
          <w14:textFill>
            <w14:solidFill>
              <w14:schemeClr w14:val="tx1"/>
            </w14:solidFill>
          </w14:textFill>
        </w:rPr>
        <w:t>不可撤销银行履约保函格</w:t>
      </w:r>
      <w:bookmarkEnd w:id="626"/>
      <w:r>
        <w:rPr>
          <w:rFonts w:hint="eastAsia" w:ascii="宋体" w:hAnsi="宋体" w:eastAsia="宋体" w:cs="Times New Roman"/>
          <w:b/>
          <w:color w:val="000000" w:themeColor="text1"/>
          <w:kern w:val="0"/>
          <w:sz w:val="28"/>
          <w:szCs w:val="28"/>
          <w:highlight w:val="none"/>
          <w14:textFill>
            <w14:solidFill>
              <w14:schemeClr w14:val="tx1"/>
            </w14:solidFill>
          </w14:textFill>
        </w:rPr>
        <w:t>式</w:t>
      </w:r>
      <w:bookmarkEnd w:id="622"/>
      <w:bookmarkEnd w:id="623"/>
      <w:bookmarkEnd w:id="624"/>
      <w:bookmarkEnd w:id="625"/>
    </w:p>
    <w:p w14:paraId="5EB21F94">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bookmarkStart w:id="627" w:name="OLE_LINK116"/>
      <w:bookmarkStart w:id="628" w:name="OLE_LINK301"/>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bookmarkEnd w:id="627"/>
    </w:p>
    <w:p w14:paraId="72725817">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27AA56B4">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14:paraId="4CCD040B">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7020ECDD">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3A2BD671">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3ECE8624">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13FCEBCC">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68EEA6FB">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2688DC07">
      <w:pPr>
        <w:widowControl/>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应从合同签订之日起至依法完成本项目的所有合同义务且双方结算完毕后二十八（28）日内保持有效。</w:t>
      </w:r>
    </w:p>
    <w:p w14:paraId="6B6DC125">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6C97A904">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113BF2F8">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14:paraId="43E4D8F4">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14:paraId="3D63DFB5">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14:paraId="3B89FF24">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bookmarkEnd w:id="628"/>
    <w:p w14:paraId="380DE07F">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076A2881">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42255066">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40F94956">
      <w:pPr>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14:textFill>
            <w14:solidFill>
              <w14:schemeClr w14:val="tx1"/>
            </w14:solidFill>
          </w14:textFill>
        </w:rPr>
        <w:t>二、履约保证保险凭证格式</w:t>
      </w:r>
    </w:p>
    <w:p w14:paraId="367F508B">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p>
    <w:p w14:paraId="4D41B857">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bookmarkStart w:id="629" w:name="OLE_LINK117"/>
      <w:r>
        <w:rPr>
          <w:rFonts w:hint="eastAsia" w:ascii="宋体" w:hAnsi="宋体" w:eastAsia="宋体" w:cs="Times New Roman"/>
          <w:b/>
          <w:color w:val="000000" w:themeColor="text1"/>
          <w:kern w:val="0"/>
          <w:sz w:val="30"/>
          <w:szCs w:val="30"/>
          <w:highlight w:val="none"/>
          <w14:textFill>
            <w14:solidFill>
              <w14:schemeClr w14:val="tx1"/>
            </w14:solidFill>
          </w14:textFill>
        </w:rPr>
        <w:t>履约保证保险凭证</w:t>
      </w:r>
      <w:bookmarkEnd w:id="629"/>
    </w:p>
    <w:p w14:paraId="6D49C542">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42216525">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编号：</w:t>
      </w:r>
    </w:p>
    <w:p w14:paraId="16321323">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（下称“受益人”）： </w:t>
      </w:r>
    </w:p>
    <w:p w14:paraId="1A14DF43">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2DC5D400">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14:textFill>
            <w14:solidFill>
              <w14:schemeClr w14:val="tx1"/>
            </w14:solidFill>
          </w14:textFill>
        </w:rPr>
        <w:t>。我方已接受申请人的请求，并出具《履约保证保险》保险单。</w:t>
      </w:r>
      <w:r>
        <w:rPr>
          <w:rFonts w:ascii="宋体" w:hAnsi="宋体" w:eastAsia="宋体" w:cs="宋体"/>
          <w:color w:val="000000" w:themeColor="text1"/>
          <w:kern w:val="0"/>
          <w:szCs w:val="21"/>
          <w:highlight w:val="none"/>
          <w14:textFill>
            <w14:solidFill>
              <w14:schemeClr w14:val="tx1"/>
            </w14:solidFill>
          </w14:textFill>
        </w:rPr>
        <w:t xml:space="preserve"> </w:t>
      </w:r>
    </w:p>
    <w:p w14:paraId="1962C27E">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一、保证保险金额 </w:t>
      </w:r>
    </w:p>
    <w:p w14:paraId="7CCC21FA">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元 （</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3E407B97">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二、保证保险的责任范围 </w:t>
      </w:r>
    </w:p>
    <w:p w14:paraId="4AD22ECA">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14:textFill>
            <w14:solidFill>
              <w14:schemeClr w14:val="tx1"/>
            </w14:solidFill>
          </w14:textFill>
        </w:rPr>
        <w:t xml:space="preserve">履行相关义务，给贵方造成损失的，贵方可向我方提出索赔，我方按照保险合同的约定承担损失赔偿责任。 </w:t>
      </w:r>
    </w:p>
    <w:p w14:paraId="7C59DA8A">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三、代偿的安排 </w:t>
      </w:r>
    </w:p>
    <w:p w14:paraId="1E21D433">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2D669F1">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四、生效时间 </w:t>
      </w:r>
    </w:p>
    <w:p w14:paraId="46AB0BFB">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本保险凭证自我方法定代表人（或其授权代理人）签字并加盖保险承保章之日起生效。 </w:t>
      </w:r>
    </w:p>
    <w:p w14:paraId="2AF77653">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五、其他</w:t>
      </w:r>
    </w:p>
    <w:p w14:paraId="72831555">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14:textFill>
            <w14:solidFill>
              <w14:schemeClr w14:val="tx1"/>
            </w14:solidFill>
          </w14:textFill>
        </w:rPr>
        <w:t>履约保证保险</w:t>
      </w:r>
      <w:r>
        <w:rPr>
          <w:rFonts w:hint="eastAsia" w:ascii="宋体" w:hAnsi="宋体" w:eastAsia="宋体" w:cs="Times New Roman"/>
          <w:color w:val="000000" w:themeColor="text1"/>
          <w:kern w:val="0"/>
          <w:szCs w:val="21"/>
          <w:highlight w:val="none"/>
          <w14:textFill>
            <w14:solidFill>
              <w14:schemeClr w14:val="tx1"/>
            </w14:solidFill>
          </w14:textFill>
        </w:rPr>
        <w:t>应</w:t>
      </w:r>
      <w:bookmarkStart w:id="630" w:name="OLE_LINK389"/>
      <w:r>
        <w:rPr>
          <w:rFonts w:hint="eastAsia" w:ascii="宋体" w:hAnsi="宋体" w:eastAsia="宋体" w:cs="Times New Roman"/>
          <w:color w:val="000000" w:themeColor="text1"/>
          <w:kern w:val="0"/>
          <w:szCs w:val="21"/>
          <w:highlight w:val="none"/>
          <w14:textFill>
            <w14:solidFill>
              <w14:schemeClr w14:val="tx1"/>
            </w14:solidFill>
          </w14:textFill>
        </w:rPr>
        <w:t>从合同签订之日起至依法完成本项目的所有合同义务且双方结算完毕后二十八（28）日内</w:t>
      </w:r>
      <w:bookmarkEnd w:id="630"/>
      <w:r>
        <w:rPr>
          <w:rFonts w:hint="eastAsia" w:ascii="宋体" w:hAnsi="宋体" w:eastAsia="宋体" w:cs="Times New Roman"/>
          <w:color w:val="000000" w:themeColor="text1"/>
          <w:kern w:val="0"/>
          <w:szCs w:val="21"/>
          <w:highlight w:val="none"/>
          <w14:textFill>
            <w14:solidFill>
              <w14:schemeClr w14:val="tx1"/>
            </w14:solidFill>
          </w14:textFill>
        </w:rPr>
        <w:t>保持有效。</w:t>
      </w:r>
    </w:p>
    <w:p w14:paraId="29D64D26">
      <w:pPr>
        <w:pStyle w:val="5"/>
        <w:rPr>
          <w:color w:val="000000" w:themeColor="text1"/>
          <w:highlight w:val="none"/>
          <w14:textFill>
            <w14:solidFill>
              <w14:schemeClr w14:val="tx1"/>
            </w14:solidFill>
          </w14:textFill>
        </w:rPr>
      </w:pPr>
    </w:p>
    <w:p w14:paraId="1D5A7A9B">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w:t>
      </w:r>
      <w:r>
        <w:rPr>
          <w:rFonts w:ascii="宋体" w:hAnsi="宋体" w:eastAsia="宋体" w:cs="宋体"/>
          <w:color w:val="000000" w:themeColor="text1"/>
          <w:kern w:val="0"/>
          <w:szCs w:val="21"/>
          <w:highlight w:val="none"/>
          <w14:textFill>
            <w14:solidFill>
              <w14:schemeClr w14:val="tx1"/>
            </w14:solidFill>
          </w14:textFill>
        </w:rPr>
        <w:t xml:space="preserve">XXX </w:t>
      </w:r>
      <w:r>
        <w:rPr>
          <w:rFonts w:hint="eastAsia" w:ascii="宋体" w:hAnsi="宋体" w:eastAsia="宋体" w:cs="宋体"/>
          <w:color w:val="000000" w:themeColor="text1"/>
          <w:kern w:val="0"/>
          <w:szCs w:val="21"/>
          <w:highlight w:val="none"/>
          <w14:textFill>
            <w14:solidFill>
              <w14:schemeClr w14:val="tx1"/>
            </w14:solidFill>
          </w14:textFill>
        </w:rPr>
        <w:t>保险有限公司履约保证保险（</w:t>
      </w:r>
      <w:r>
        <w:rPr>
          <w:rFonts w:ascii="宋体" w:hAnsi="宋体" w:eastAsia="宋体" w:cs="宋体"/>
          <w:color w:val="000000" w:themeColor="text1"/>
          <w:kern w:val="0"/>
          <w:szCs w:val="21"/>
          <w:highlight w:val="none"/>
          <w14:textFill>
            <w14:solidFill>
              <w14:schemeClr w14:val="tx1"/>
            </w14:solidFill>
          </w14:textFill>
        </w:rPr>
        <w:t xml:space="preserve">X </w:t>
      </w:r>
      <w:r>
        <w:rPr>
          <w:rFonts w:hint="eastAsia" w:ascii="宋体" w:hAnsi="宋体" w:eastAsia="宋体" w:cs="宋体"/>
          <w:color w:val="000000" w:themeColor="text1"/>
          <w:kern w:val="0"/>
          <w:szCs w:val="21"/>
          <w:highlight w:val="none"/>
          <w14:textFill>
            <w14:solidFill>
              <w14:schemeClr w14:val="tx1"/>
            </w14:solidFill>
          </w14:textFill>
        </w:rPr>
        <w:t xml:space="preserve">款）条款》及保单 </w:t>
      </w:r>
    </w:p>
    <w:p w14:paraId="331E50F2">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2D141614">
      <w:pPr>
        <w:autoSpaceDE w:val="0"/>
        <w:autoSpaceDN w:val="0"/>
        <w:adjustRightInd w:val="0"/>
        <w:spacing w:line="360" w:lineRule="auto"/>
        <w:ind w:firstLine="437"/>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保险人：（盖章）</w:t>
      </w:r>
    </w:p>
    <w:p w14:paraId="769FBFA6">
      <w:pPr>
        <w:autoSpaceDE w:val="0"/>
        <w:autoSpaceDN w:val="0"/>
        <w:adjustRightInd w:val="0"/>
        <w:spacing w:line="360" w:lineRule="auto"/>
        <w:ind w:firstLine="437"/>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法定代表人或授权代理人：</w:t>
      </w:r>
      <w:r>
        <w:rPr>
          <w:rFonts w:ascii="宋体" w:hAnsi="宋体" w:eastAsia="宋体" w:cs="宋体"/>
          <w:color w:val="000000" w:themeColor="text1"/>
          <w:kern w:val="0"/>
          <w:szCs w:val="21"/>
          <w:highlight w:val="none"/>
          <w14:textFill>
            <w14:solidFill>
              <w14:schemeClr w14:val="tx1"/>
            </w14:solidFill>
          </w14:textFill>
        </w:rPr>
        <w:t xml:space="preserve">________ </w:t>
      </w:r>
    </w:p>
    <w:p w14:paraId="698840F5">
      <w:pPr>
        <w:jc w:val="righ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r>
        <w:rPr>
          <w:rFonts w:hint="eastAsia" w:ascii="宋体" w:hAnsi="宋体" w:eastAsia="宋体" w:cs="Times New Roman"/>
          <w:b/>
          <w:color w:val="000000" w:themeColor="text1"/>
          <w:kern w:val="0"/>
          <w:sz w:val="28"/>
          <w:szCs w:val="28"/>
          <w:highlight w:val="none"/>
          <w14:textFill>
            <w14:solidFill>
              <w14:schemeClr w14:val="tx1"/>
            </w14:solidFill>
          </w14:textFill>
        </w:rPr>
        <w:br w:type="page"/>
      </w:r>
    </w:p>
    <w:p w14:paraId="2B30E85F">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14:textFill>
            <w14:solidFill>
              <w14:schemeClr w14:val="tx1"/>
            </w14:solidFill>
          </w14:textFill>
        </w:rPr>
        <w:t>三、担保公司履约担保书格式</w:t>
      </w:r>
    </w:p>
    <w:p w14:paraId="0E4F5789">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bookmarkStart w:id="631" w:name="OLE_LINK118"/>
      <w:bookmarkStart w:id="632" w:name="OLE_LINK307"/>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bookmarkEnd w:id="631"/>
    </w:p>
    <w:p w14:paraId="14DDE024">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1EEC6F7D">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14:paraId="6F7DE0E7">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4B29FD98">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14:paraId="24F29DD7">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0A9E10FC">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w:t>
      </w:r>
      <w:bookmarkStart w:id="633" w:name="OLE_LINK388"/>
      <w:r>
        <w:rPr>
          <w:rFonts w:hint="eastAsia" w:ascii="宋体" w:hAnsi="宋体" w:eastAsia="宋体" w:cs="Times New Roman"/>
          <w:color w:val="000000" w:themeColor="text1"/>
          <w:kern w:val="0"/>
          <w:szCs w:val="21"/>
          <w:highlight w:val="none"/>
          <w14:textFill>
            <w14:solidFill>
              <w14:schemeClr w14:val="tx1"/>
            </w14:solidFill>
          </w14:textFill>
        </w:rPr>
        <w:t>从合同签订之日起至依法完成本项目的所有合同义务且双方结算完毕后二十八（28）日内</w:t>
      </w:r>
      <w:bookmarkEnd w:id="633"/>
      <w:r>
        <w:rPr>
          <w:rFonts w:hint="eastAsia" w:ascii="宋体" w:hAnsi="宋体" w:eastAsia="宋体" w:cs="Times New Roman"/>
          <w:color w:val="000000" w:themeColor="text1"/>
          <w:kern w:val="0"/>
          <w:szCs w:val="21"/>
          <w:highlight w:val="none"/>
          <w14:textFill>
            <w14:solidFill>
              <w14:schemeClr w14:val="tx1"/>
            </w14:solidFill>
          </w14:textFill>
        </w:rPr>
        <w:t>保持有效。</w:t>
      </w:r>
    </w:p>
    <w:p w14:paraId="6CFE38C9">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6FD55B6C">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14:paraId="6721275B">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14:paraId="7DEFC843">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14:paraId="72E2BC5B">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14:paraId="7F60DF5F">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bookmarkEnd w:id="632"/>
    <w:p w14:paraId="42664A81">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69450E9A">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194E1EB0">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64FBF943">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31966971">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7257CF51">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2DB94A4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634" w:name="_Toc486167708"/>
      <w:bookmarkStart w:id="635" w:name="_Toc450662895"/>
      <w:bookmarkStart w:id="636" w:name="_Toc142508361"/>
      <w:bookmarkStart w:id="637" w:name="_Toc12794"/>
      <w:bookmarkStart w:id="638" w:name="_Toc32761_WPSOffice_Level1"/>
      <w:bookmarkStart w:id="639" w:name="_Toc28486"/>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634"/>
      <w:bookmarkEnd w:id="635"/>
      <w:bookmarkEnd w:id="636"/>
      <w:bookmarkEnd w:id="637"/>
      <w:bookmarkEnd w:id="638"/>
      <w:bookmarkEnd w:id="639"/>
    </w:p>
    <w:p w14:paraId="3862E5A6">
      <w:pPr>
        <w:pStyle w:val="19"/>
        <w:spacing w:line="360" w:lineRule="auto"/>
        <w:jc w:val="center"/>
        <w:rPr>
          <w:rFonts w:ascii="宋体" w:hAnsi="宋体" w:cs="宋体"/>
          <w:b/>
          <w:color w:val="000000" w:themeColor="text1"/>
          <w:kern w:val="0"/>
          <w:sz w:val="32"/>
          <w:szCs w:val="32"/>
          <w:highlight w:val="none"/>
          <w14:textFill>
            <w14:solidFill>
              <w14:schemeClr w14:val="tx1"/>
            </w14:solidFill>
          </w14:textFill>
        </w:rPr>
      </w:pPr>
      <w:bookmarkStart w:id="640" w:name="_Toc533708121"/>
      <w:bookmarkStart w:id="641" w:name="_Toc140596921"/>
      <w:bookmarkStart w:id="642" w:name="_Toc21133_WPSOffice_Level2"/>
      <w:bookmarkStart w:id="643" w:name="_Toc94107202"/>
      <w:bookmarkStart w:id="644" w:name="_Toc102860411"/>
      <w:bookmarkStart w:id="645" w:name="_Toc102860067"/>
      <w:bookmarkStart w:id="646" w:name="_Toc104991868"/>
      <w:bookmarkStart w:id="647" w:name="_Toc142508362"/>
      <w:bookmarkStart w:id="648" w:name="_Toc486167709"/>
      <w:bookmarkStart w:id="649" w:name="_Toc1977721"/>
      <w:r>
        <w:rPr>
          <w:rFonts w:hint="eastAsia" w:ascii="宋体" w:hAnsi="宋体" w:cs="宋体"/>
          <w:b/>
          <w:color w:val="000000" w:themeColor="text1"/>
          <w:kern w:val="0"/>
          <w:sz w:val="32"/>
          <w:szCs w:val="32"/>
          <w:highlight w:val="none"/>
          <w14:textFill>
            <w14:solidFill>
              <w14:schemeClr w14:val="tx1"/>
            </w14:solidFill>
          </w14:textFill>
        </w:rPr>
        <w:br w:type="page"/>
      </w:r>
    </w:p>
    <w:p w14:paraId="4510EE11">
      <w:pPr>
        <w:pStyle w:val="19"/>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3589D712">
      <w:pPr>
        <w:pStyle w:val="19"/>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040C9FAA">
      <w:pPr>
        <w:pStyle w:val="19"/>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7355F33A">
      <w:pPr>
        <w:pStyle w:val="19"/>
        <w:spacing w:line="360" w:lineRule="auto"/>
        <w:jc w:val="center"/>
        <w:rPr>
          <w:rFonts w:ascii="宋体" w:hAnsi="宋体" w:cs="宋体"/>
          <w:color w:val="000000" w:themeColor="text1"/>
          <w:sz w:val="84"/>
          <w:highlight w:val="none"/>
          <w14:textFill>
            <w14:solidFill>
              <w14:schemeClr w14:val="tx1"/>
            </w14:solidFill>
          </w14:textFill>
        </w:rPr>
      </w:pPr>
    </w:p>
    <w:p w14:paraId="4360FA4C">
      <w:pPr>
        <w:pStyle w:val="19"/>
        <w:spacing w:line="360" w:lineRule="auto"/>
        <w:jc w:val="center"/>
        <w:rPr>
          <w:rFonts w:ascii="宋体" w:hAnsi="宋体" w:cs="宋体"/>
          <w:color w:val="000000" w:themeColor="text1"/>
          <w:sz w:val="84"/>
          <w:highlight w:val="none"/>
          <w14:textFill>
            <w14:solidFill>
              <w14:schemeClr w14:val="tx1"/>
            </w14:solidFill>
          </w14:textFill>
        </w:rPr>
      </w:pPr>
      <w:r>
        <w:rPr>
          <w:rFonts w:hint="eastAsia" w:ascii="宋体" w:hAnsi="宋体" w:cs="宋体"/>
          <w:color w:val="000000" w:themeColor="text1"/>
          <w:sz w:val="84"/>
          <w:highlight w:val="none"/>
          <w14:textFill>
            <w14:solidFill>
              <w14:schemeClr w14:val="tx1"/>
            </w14:solidFill>
          </w14:textFill>
        </w:rPr>
        <w:t>投 标 文 件</w:t>
      </w:r>
    </w:p>
    <w:p w14:paraId="7A6F03C2">
      <w:pPr>
        <w:pStyle w:val="19"/>
        <w:spacing w:line="360" w:lineRule="auto"/>
        <w:rPr>
          <w:rFonts w:ascii="宋体" w:hAnsi="宋体" w:cs="宋体"/>
          <w:color w:val="000000" w:themeColor="text1"/>
          <w:highlight w:val="none"/>
          <w14:textFill>
            <w14:solidFill>
              <w14:schemeClr w14:val="tx1"/>
            </w14:solidFill>
          </w14:textFill>
        </w:rPr>
      </w:pPr>
    </w:p>
    <w:p w14:paraId="0FF014A1">
      <w:pPr>
        <w:pStyle w:val="19"/>
        <w:spacing w:line="360" w:lineRule="auto"/>
        <w:rPr>
          <w:rFonts w:ascii="宋体" w:hAnsi="宋体" w:cs="宋体"/>
          <w:color w:val="000000" w:themeColor="text1"/>
          <w:highlight w:val="none"/>
          <w14:textFill>
            <w14:solidFill>
              <w14:schemeClr w14:val="tx1"/>
            </w14:solidFill>
          </w14:textFill>
        </w:rPr>
      </w:pPr>
    </w:p>
    <w:p w14:paraId="08540E60">
      <w:pPr>
        <w:pStyle w:val="19"/>
        <w:spacing w:line="360" w:lineRule="auto"/>
        <w:rPr>
          <w:rFonts w:ascii="宋体" w:hAnsi="宋体" w:cs="宋体"/>
          <w:color w:val="000000" w:themeColor="text1"/>
          <w:highlight w:val="none"/>
          <w14:textFill>
            <w14:solidFill>
              <w14:schemeClr w14:val="tx1"/>
            </w14:solidFill>
          </w14:textFill>
        </w:rPr>
      </w:pPr>
    </w:p>
    <w:p w14:paraId="1BB840F5">
      <w:pPr>
        <w:pStyle w:val="19"/>
        <w:spacing w:line="360" w:lineRule="auto"/>
        <w:rPr>
          <w:rFonts w:ascii="宋体" w:hAnsi="宋体" w:cs="宋体"/>
          <w:color w:val="000000" w:themeColor="text1"/>
          <w:highlight w:val="none"/>
          <w14:textFill>
            <w14:solidFill>
              <w14:schemeClr w14:val="tx1"/>
            </w14:solidFill>
          </w14:textFill>
        </w:rPr>
      </w:pPr>
    </w:p>
    <w:p w14:paraId="06A0C6CE">
      <w:pPr>
        <w:pStyle w:val="19"/>
        <w:spacing w:line="360" w:lineRule="auto"/>
        <w:rPr>
          <w:rFonts w:ascii="宋体" w:hAnsi="宋体" w:cs="宋体"/>
          <w:color w:val="000000" w:themeColor="text1"/>
          <w:highlight w:val="none"/>
          <w14:textFill>
            <w14:solidFill>
              <w14:schemeClr w14:val="tx1"/>
            </w14:solidFill>
          </w14:textFill>
        </w:rPr>
      </w:pPr>
    </w:p>
    <w:p w14:paraId="60F79178">
      <w:pPr>
        <w:pStyle w:val="19"/>
        <w:spacing w:line="360" w:lineRule="auto"/>
        <w:rPr>
          <w:rFonts w:ascii="宋体" w:hAnsi="宋体" w:cs="宋体"/>
          <w:color w:val="000000" w:themeColor="text1"/>
          <w:highlight w:val="none"/>
          <w14:textFill>
            <w14:solidFill>
              <w14:schemeClr w14:val="tx1"/>
            </w14:solidFill>
          </w14:textFill>
        </w:rPr>
      </w:pPr>
    </w:p>
    <w:p w14:paraId="1494911F">
      <w:pPr>
        <w:pStyle w:val="19"/>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招标编号：</w:t>
      </w:r>
      <w:r>
        <w:rPr>
          <w:rFonts w:hint="eastAsia" w:ascii="宋体" w:hAnsi="宋体" w:cs="宋体"/>
          <w:color w:val="000000" w:themeColor="text1"/>
          <w:sz w:val="30"/>
          <w:highlight w:val="none"/>
          <w:u w:val="single"/>
          <w14:textFill>
            <w14:solidFill>
              <w14:schemeClr w14:val="tx1"/>
            </w14:solidFill>
          </w14:textFill>
        </w:rPr>
        <w:t xml:space="preserve">                      </w:t>
      </w:r>
    </w:p>
    <w:p w14:paraId="229014A6">
      <w:pPr>
        <w:pStyle w:val="19"/>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项目名称：</w:t>
      </w:r>
      <w:r>
        <w:rPr>
          <w:rFonts w:hint="eastAsia" w:ascii="宋体" w:hAnsi="宋体" w:cs="宋体"/>
          <w:color w:val="000000" w:themeColor="text1"/>
          <w:sz w:val="30"/>
          <w:highlight w:val="none"/>
          <w:u w:val="single"/>
          <w14:textFill>
            <w14:solidFill>
              <w14:schemeClr w14:val="tx1"/>
            </w14:solidFill>
          </w14:textFill>
        </w:rPr>
        <w:t xml:space="preserve">                      </w:t>
      </w:r>
    </w:p>
    <w:p w14:paraId="0C74FB9A">
      <w:pPr>
        <w:pStyle w:val="19"/>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投标文件内容：</w:t>
      </w:r>
      <w:r>
        <w:rPr>
          <w:rFonts w:hint="eastAsia" w:ascii="宋体" w:hAnsi="宋体" w:cs="宋体"/>
          <w:color w:val="000000" w:themeColor="text1"/>
          <w:sz w:val="30"/>
          <w:highlight w:val="none"/>
          <w:u w:val="single"/>
          <w14:textFill>
            <w14:solidFill>
              <w14:schemeClr w14:val="tx1"/>
            </w14:solidFill>
          </w14:textFill>
        </w:rPr>
        <w:t xml:space="preserve"> 投标文件商务部分 </w:t>
      </w:r>
    </w:p>
    <w:p w14:paraId="7EE4E782">
      <w:pPr>
        <w:pStyle w:val="19"/>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招标人：</w:t>
      </w:r>
      <w:r>
        <w:rPr>
          <w:rFonts w:hint="eastAsia" w:ascii="宋体" w:hAnsi="宋体" w:cs="宋体"/>
          <w:color w:val="000000" w:themeColor="text1"/>
          <w:sz w:val="30"/>
          <w:highlight w:val="none"/>
          <w:u w:val="single"/>
          <w14:textFill>
            <w14:solidFill>
              <w14:schemeClr w14:val="tx1"/>
            </w14:solidFill>
          </w14:textFill>
        </w:rPr>
        <w:t xml:space="preserve">                        </w:t>
      </w:r>
    </w:p>
    <w:p w14:paraId="2E9258A5">
      <w:pPr>
        <w:pStyle w:val="19"/>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投标人：</w:t>
      </w:r>
      <w:r>
        <w:rPr>
          <w:rFonts w:hint="eastAsia" w:ascii="宋体" w:hAnsi="宋体" w:cs="宋体"/>
          <w:color w:val="000000" w:themeColor="text1"/>
          <w:sz w:val="30"/>
          <w:highlight w:val="none"/>
          <w:u w:val="single"/>
          <w14:textFill>
            <w14:solidFill>
              <w14:schemeClr w14:val="tx1"/>
            </w14:solidFill>
          </w14:textFill>
        </w:rPr>
        <w:t xml:space="preserve">                        </w:t>
      </w:r>
    </w:p>
    <w:p w14:paraId="3F5F7381">
      <w:pPr>
        <w:pStyle w:val="19"/>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日  期：</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年</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月</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日</w:t>
      </w:r>
    </w:p>
    <w:p w14:paraId="4BDEF33B">
      <w:pPr>
        <w:pStyle w:val="19"/>
        <w:spacing w:line="360" w:lineRule="auto"/>
        <w:rPr>
          <w:rFonts w:ascii="宋体" w:hAnsi="宋体" w:cs="宋体"/>
          <w:color w:val="000000" w:themeColor="text1"/>
          <w:highlight w:val="none"/>
          <w14:textFill>
            <w14:solidFill>
              <w14:schemeClr w14:val="tx1"/>
            </w14:solidFill>
          </w14:textFill>
        </w:rPr>
      </w:pPr>
    </w:p>
    <w:p w14:paraId="4325F055">
      <w:pPr>
        <w:pStyle w:val="1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2181B4D0">
      <w:pPr>
        <w:pStyle w:val="19"/>
        <w:spacing w:line="360" w:lineRule="auto"/>
        <w:rPr>
          <w:rFonts w:ascii="宋体" w:hAnsi="宋体" w:cs="宋体"/>
          <w:color w:val="000000" w:themeColor="text1"/>
          <w:highlight w:val="none"/>
          <w14:textFill>
            <w14:solidFill>
              <w14:schemeClr w14:val="tx1"/>
            </w14:solidFill>
          </w14:textFill>
        </w:rPr>
      </w:pPr>
    </w:p>
    <w:p w14:paraId="0802516E">
      <w:pPr>
        <w:pBdr>
          <w:bottom w:val="single" w:color="auto" w:sz="6" w:space="0"/>
        </w:pBdr>
        <w:spacing w:line="480" w:lineRule="auto"/>
        <w:ind w:firstLine="472" w:firstLineChars="224"/>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582D8B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BFA8F79">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365EFCBC">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751281B9">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招标文件上的满分值</w:t>
            </w:r>
          </w:p>
        </w:tc>
        <w:tc>
          <w:tcPr>
            <w:tcW w:w="2136" w:type="pct"/>
            <w:tcBorders>
              <w:left w:val="single" w:color="auto" w:sz="4" w:space="0"/>
            </w:tcBorders>
            <w:vAlign w:val="center"/>
          </w:tcPr>
          <w:p w14:paraId="620796B5">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6E0C4C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648B1BF">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0DD7DE5B">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2D7A071A">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3D6F3335">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4A4EBA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8CD5EDD">
            <w:pP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29BD38A7">
            <w:pPr>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5B331584">
            <w:pP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51CD414B">
            <w:pPr>
              <w:adjustRightInd w:val="0"/>
              <w:snapToGrid w:val="0"/>
              <w:spacing w:line="360" w:lineRule="auto"/>
              <w:ind w:firstLine="105" w:firstLineChars="50"/>
              <w:rPr>
                <w:rFonts w:ascii="宋体" w:hAnsi="宋体" w:eastAsia="宋体" w:cs="宋体"/>
                <w:bCs/>
                <w:color w:val="000000" w:themeColor="text1"/>
                <w:szCs w:val="21"/>
                <w:highlight w:val="none"/>
                <w14:textFill>
                  <w14:solidFill>
                    <w14:schemeClr w14:val="tx1"/>
                  </w14:solidFill>
                </w14:textFill>
              </w:rPr>
            </w:pPr>
          </w:p>
        </w:tc>
      </w:tr>
      <w:tr w14:paraId="48FB7A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9429772">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1AB8DD83">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4116B00C">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1E6CA4D0">
            <w:pPr>
              <w:spacing w:line="360" w:lineRule="auto"/>
              <w:ind w:firstLine="8" w:firstLineChars="4"/>
              <w:rPr>
                <w:rFonts w:ascii="宋体" w:hAnsi="宋体" w:eastAsia="宋体" w:cs="宋体"/>
                <w:bCs/>
                <w:color w:val="000000" w:themeColor="text1"/>
                <w:szCs w:val="21"/>
                <w:highlight w:val="none"/>
                <w14:textFill>
                  <w14:solidFill>
                    <w14:schemeClr w14:val="tx1"/>
                  </w14:solidFill>
                </w14:textFill>
              </w:rPr>
            </w:pPr>
          </w:p>
        </w:tc>
      </w:tr>
      <w:tr w14:paraId="3A0DCB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2A9CA98">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76CE1A22">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5BCD805D">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75C24CEB">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3337BE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E35AED7">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2C813464">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73C3A256">
            <w:pPr>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bl>
    <w:p w14:paraId="7C90EE67">
      <w:pPr>
        <w:pStyle w:val="19"/>
        <w:spacing w:line="360" w:lineRule="auto"/>
        <w:rPr>
          <w:rFonts w:ascii="宋体" w:hAnsi="宋体" w:cs="宋体"/>
          <w:color w:val="000000" w:themeColor="text1"/>
          <w:highlight w:val="none"/>
          <w14:textFill>
            <w14:solidFill>
              <w14:schemeClr w14:val="tx1"/>
            </w14:solidFill>
          </w14:textFill>
        </w:rPr>
      </w:pPr>
    </w:p>
    <w:p w14:paraId="5F16D5F5">
      <w:pPr>
        <w:pStyle w:val="19"/>
        <w:spacing w:line="360" w:lineRule="auto"/>
        <w:rPr>
          <w:rFonts w:ascii="宋体" w:hAnsi="宋体" w:cs="宋体"/>
          <w:color w:val="000000" w:themeColor="text1"/>
          <w:highlight w:val="none"/>
          <w14:textFill>
            <w14:solidFill>
              <w14:schemeClr w14:val="tx1"/>
            </w14:solidFill>
          </w14:textFill>
        </w:rPr>
      </w:pPr>
    </w:p>
    <w:p w14:paraId="0A1B119E">
      <w:pPr>
        <w:widowControl/>
        <w:jc w:val="left"/>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B7F864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50" w:name="_Toc18591"/>
      <w:bookmarkStart w:id="651" w:name="_Toc23254"/>
      <w:bookmarkStart w:id="652" w:name="_Toc18706"/>
      <w:bookmarkStart w:id="653" w:name="_Toc13477"/>
      <w:bookmarkStart w:id="654" w:name="_Toc13331"/>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7650491B">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655"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655"/>
    </w:p>
    <w:p w14:paraId="01118ACC">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19065C80">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14:textFill>
            <w14:solidFill>
              <w14:schemeClr w14:val="tx1"/>
            </w14:solidFill>
          </w14:textFill>
        </w:rPr>
        <w:t>东莞市水务集团科技发展有限公司</w:t>
      </w:r>
    </w:p>
    <w:p w14:paraId="24174A4F">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2C8A7355">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14:textFill>
            <w14:solidFill>
              <w14:schemeClr w14:val="tx1"/>
            </w14:solidFill>
          </w14:textFill>
        </w:rPr>
        <w:t>东莞市水务集团科技发展有限公司屋顶分布式光伏发电（一期）采购项目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广建咨询（东招）2024-0133号</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56774FAB">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3A3835C4">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14:paraId="19736BE2">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14:paraId="7BFE821B">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6DD2512C">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广建咨询（东招）2024-0133号</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3880FF7E">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w:t>
      </w:r>
      <w:r>
        <w:rPr>
          <w:rFonts w:hint="eastAsia" w:ascii="宋体" w:hAnsi="宋体" w:eastAsia="宋体" w:cs="宋体"/>
          <w:color w:val="000000" w:themeColor="text1"/>
          <w:szCs w:val="21"/>
          <w:highlight w:val="none"/>
          <w14:textFill>
            <w14:solidFill>
              <w14:schemeClr w14:val="tx1"/>
            </w14:solidFill>
          </w14:textFill>
        </w:rPr>
        <w:t>为从投标文件提交截止之日起90日历天</w:t>
      </w:r>
      <w:r>
        <w:rPr>
          <w:rFonts w:hint="eastAsia" w:ascii="宋体" w:hAnsi="宋体" w:eastAsia="宋体" w:cs="宋体"/>
          <w:color w:val="000000" w:themeColor="text1"/>
          <w:szCs w:val="21"/>
          <w:highlight w:val="none"/>
          <w:lang w:val="zh-CN"/>
          <w14:textFill>
            <w14:solidFill>
              <w14:schemeClr w14:val="tx1"/>
            </w14:solidFill>
          </w14:textFill>
        </w:rPr>
        <w:t>，如中标，有效期将延至合同终止日为止；</w:t>
      </w:r>
    </w:p>
    <w:p w14:paraId="47D65E03">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05E17FBF">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36EE7005">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744C3B0B">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2B81FCEC">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34D0C12D">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478FB436">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6F0165CA">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23AADEFC">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w:t>
      </w:r>
      <w:r>
        <w:rPr>
          <w:rFonts w:hint="eastAsia" w:ascii="宋体" w:hAnsi="宋体" w:eastAsia="宋体" w:cs="宋体"/>
          <w:color w:val="000000" w:themeColor="text1"/>
          <w:szCs w:val="21"/>
          <w:highlight w:val="none"/>
          <w14:textFill>
            <w14:solidFill>
              <w14:schemeClr w14:val="tx1"/>
            </w14:solidFill>
          </w14:textFill>
        </w:rPr>
        <w:t>一</w:t>
      </w:r>
      <w:r>
        <w:rPr>
          <w:rFonts w:hint="eastAsia" w:ascii="宋体" w:hAnsi="宋体" w:eastAsia="宋体" w:cs="宋体"/>
          <w:color w:val="000000" w:themeColor="text1"/>
          <w:szCs w:val="21"/>
          <w:highlight w:val="none"/>
          <w:lang w:val="zh-CN"/>
          <w14:textFill>
            <w14:solidFill>
              <w14:schemeClr w14:val="tx1"/>
            </w14:solidFill>
          </w14:textFill>
        </w:rPr>
        <w:t>）我方与其他投标人不存在单位负责人为同一人或者存在控股、管理关系。</w:t>
      </w:r>
    </w:p>
    <w:p w14:paraId="6D3932E6">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w:t>
      </w:r>
      <w:r>
        <w:rPr>
          <w:rFonts w:hint="eastAsia" w:ascii="宋体" w:hAnsi="宋体" w:eastAsia="宋体" w:cs="宋体"/>
          <w:color w:val="000000" w:themeColor="text1"/>
          <w:szCs w:val="21"/>
          <w:highlight w:val="none"/>
          <w14:textFill>
            <w14:solidFill>
              <w14:schemeClr w14:val="tx1"/>
            </w14:solidFill>
          </w14:textFill>
        </w:rPr>
        <w:t>二</w:t>
      </w:r>
      <w:r>
        <w:rPr>
          <w:rFonts w:hint="eastAsia" w:ascii="宋体" w:hAnsi="宋体" w:eastAsia="宋体" w:cs="宋体"/>
          <w:color w:val="000000" w:themeColor="text1"/>
          <w:szCs w:val="21"/>
          <w:highlight w:val="none"/>
          <w:lang w:val="zh-CN"/>
          <w14:textFill>
            <w14:solidFill>
              <w14:schemeClr w14:val="tx1"/>
            </w14:solidFill>
          </w14:textFill>
        </w:rPr>
        <w:t>）所有与本投标有关的函件请发往下列地址：</w:t>
      </w:r>
    </w:p>
    <w:p w14:paraId="46629B17">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4FE48CCF">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0DFAB7AB">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6664E61F">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47DD2CA5">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0B0699AD">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17422C43">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60A8B279">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42D3A54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656" w:name="_Toc533708122"/>
      <w:bookmarkStart w:id="657" w:name="_Toc20704"/>
      <w:bookmarkStart w:id="658" w:name="_Toc1977722"/>
      <w:bookmarkStart w:id="659" w:name="_Toc102860068"/>
      <w:bookmarkStart w:id="660" w:name="_Toc142508363"/>
      <w:bookmarkStart w:id="661" w:name="_Toc7211"/>
      <w:bookmarkStart w:id="662" w:name="_Toc102860412"/>
      <w:bookmarkStart w:id="663" w:name="_Toc8696"/>
      <w:bookmarkStart w:id="664" w:name="_Toc104991869"/>
      <w:bookmarkStart w:id="665" w:name="_Toc18633"/>
      <w:bookmarkStart w:id="666" w:name="_Toc486167710"/>
      <w:bookmarkStart w:id="667" w:name="_Toc140596922"/>
      <w:bookmarkStart w:id="668" w:name="_Toc94107203"/>
      <w:bookmarkStart w:id="669" w:name="_Toc28613_WPSOffice_Level2"/>
      <w:bookmarkStart w:id="670" w:name="_Toc26795"/>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C7835B0">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14:paraId="3AB070D0">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1DE4A72B">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14:textFill>
            <w14:solidFill>
              <w14:schemeClr w14:val="tx1"/>
            </w14:solidFill>
          </w14:textFill>
        </w:rPr>
        <w:t>东莞市水务集团科技发展有限公司屋顶分布式光伏发电（一期）采购项目</w:t>
      </w:r>
      <w:r>
        <w:rPr>
          <w:rFonts w:hint="eastAsia" w:ascii="宋体" w:hAnsi="宋体" w:eastAsia="宋体" w:cs="Times New Roman"/>
          <w:color w:val="000000" w:themeColor="text1"/>
          <w:kern w:val="0"/>
          <w:szCs w:val="21"/>
          <w:highlight w:val="none"/>
          <w14:textFill>
            <w14:solidFill>
              <w14:schemeClr w14:val="tx1"/>
            </w14:solidFill>
          </w14:textFill>
        </w:rPr>
        <w:t>（招标编号：广建咨询（东招）2024-0133号）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67EDDAA9">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款约定按时提供原件核查的，因此导致我方无法参与东莞市水务集团有限公司相关招标采购活动的，由我方自行承担全部后果。</w:t>
      </w:r>
    </w:p>
    <w:p w14:paraId="2AEA6E85">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7E9EB815">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2A0900AE">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366BE136">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63ABB1D3">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14:paraId="4CD1EA5B">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2C1884D2">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43AC2503">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3E14AAD3">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671" w:name="_Toc326768876"/>
      <w:bookmarkStart w:id="672" w:name="_Toc316896755"/>
      <w:bookmarkStart w:id="673" w:name="_Toc311032584"/>
    </w:p>
    <w:p w14:paraId="39EA261D">
      <w:pPr>
        <w:pageBreakBefore/>
        <w:autoSpaceDE w:val="0"/>
        <w:autoSpaceDN w:val="0"/>
        <w:adjustRightInd w:val="0"/>
        <w:spacing w:line="360" w:lineRule="auto"/>
        <w:jc w:val="left"/>
        <w:outlineLvl w:val="2"/>
        <w:rPr>
          <w:rFonts w:ascii="宋体" w:hAnsi="宋体" w:eastAsia="宋体" w:cs="宋体"/>
          <w:b/>
          <w:color w:val="000000" w:themeColor="text1"/>
          <w:kern w:val="44"/>
          <w:sz w:val="32"/>
          <w:szCs w:val="32"/>
          <w:highlight w:val="none"/>
          <w14:textFill>
            <w14:solidFill>
              <w14:schemeClr w14:val="tx1"/>
            </w14:solidFill>
          </w14:textFill>
        </w:rPr>
      </w:pPr>
      <w:bookmarkStart w:id="674" w:name="_Toc12590"/>
      <w:bookmarkStart w:id="675" w:name="_Toc86764083"/>
      <w:bookmarkStart w:id="676" w:name="_Toc102860413"/>
      <w:bookmarkStart w:id="677" w:name="_Toc142508364"/>
      <w:bookmarkStart w:id="678" w:name="_Toc94107204"/>
      <w:bookmarkStart w:id="679" w:name="_Toc140596923"/>
      <w:bookmarkStart w:id="680" w:name="_Toc12371"/>
      <w:bookmarkStart w:id="681" w:name="_Toc82182546"/>
      <w:bookmarkStart w:id="682" w:name="_Toc104991870"/>
      <w:bookmarkStart w:id="683" w:name="_Toc9778"/>
      <w:bookmarkStart w:id="684" w:name="_Toc102860069"/>
      <w:bookmarkStart w:id="685" w:name="_Toc32131"/>
      <w:bookmarkStart w:id="686" w:name="_Toc2363"/>
      <w:bookmarkStart w:id="687" w:name="_Toc486167711"/>
      <w:bookmarkStart w:id="688" w:name="_Toc1977723"/>
      <w:bookmarkStart w:id="689" w:name="_Toc533708123"/>
      <w:bookmarkStart w:id="690" w:name="_Toc7024_WPSOffice_Level2"/>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674"/>
      <w:bookmarkEnd w:id="675"/>
      <w:bookmarkEnd w:id="676"/>
      <w:bookmarkEnd w:id="677"/>
      <w:bookmarkEnd w:id="678"/>
      <w:bookmarkEnd w:id="679"/>
      <w:bookmarkEnd w:id="680"/>
      <w:bookmarkEnd w:id="681"/>
      <w:bookmarkEnd w:id="682"/>
      <w:bookmarkEnd w:id="683"/>
      <w:bookmarkEnd w:id="684"/>
      <w:bookmarkEnd w:id="685"/>
      <w:bookmarkEnd w:id="686"/>
    </w:p>
    <w:p w14:paraId="66C4E89F">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2B1CFD8B">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致东莞市水务集团科技发展有限公司：</w:t>
      </w:r>
    </w:p>
    <w:p w14:paraId="123798E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14:textFill>
            <w14:solidFill>
              <w14:schemeClr w14:val="tx1"/>
            </w14:solidFill>
          </w14:textFill>
        </w:rPr>
        <w:t>东莞市水务集团科技发展有限公司屋顶分布式光伏发电（一期）采购项目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广建咨询（东招）2024-0133号</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79F1ED3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51258D1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28A2F4B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E91E06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D5A887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531134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6BDFF9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6202E11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23818FF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C7CA61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14FC6C0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32C9918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79DFBB7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172851A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00D2143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165E6EE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3FD257F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0386346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4E94368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6FC588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13、我方承诺接受招标人的检查与监督，并主动配合，做好安全工作，凡有违反上述条款的即视为我方违约，招标人有权视情况从货物/服务价款中扣除（1000-2000）元/次作为违约金。</w:t>
      </w:r>
    </w:p>
    <w:p w14:paraId="39DCB5B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6335022D">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03A1757B">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6424B032">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6E885710">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7F80E609">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91" w:name="_Toc86764084"/>
      <w:bookmarkStart w:id="692" w:name="_Toc104991871"/>
      <w:bookmarkStart w:id="693" w:name="_Toc102860070"/>
      <w:bookmarkStart w:id="694" w:name="_Toc94107205"/>
      <w:bookmarkStart w:id="695" w:name="_Toc102860414"/>
      <w:bookmarkStart w:id="696" w:name="_Toc82182547"/>
      <w:bookmarkStart w:id="697" w:name="_Toc142508365"/>
      <w:bookmarkStart w:id="698" w:name="_Toc140596924"/>
      <w:bookmarkStart w:id="699" w:name="_Toc11611"/>
      <w:bookmarkStart w:id="700" w:name="_Toc24704"/>
      <w:bookmarkStart w:id="701" w:name="_Toc6287"/>
      <w:bookmarkStart w:id="702" w:name="_Toc15684"/>
      <w:bookmarkStart w:id="703" w:name="_Toc3993"/>
      <w:r>
        <w:rPr>
          <w:rFonts w:hint="eastAsia" w:ascii="宋体" w:hAnsi="宋体" w:eastAsia="宋体" w:cs="宋体"/>
          <w:b/>
          <w:color w:val="000000" w:themeColor="text1"/>
          <w:kern w:val="44"/>
          <w:sz w:val="32"/>
          <w:szCs w:val="32"/>
          <w:highlight w:val="none"/>
          <w14:textFill>
            <w14:solidFill>
              <w14:schemeClr w14:val="tx1"/>
            </w14:solidFill>
          </w14:textFill>
        </w:rPr>
        <w:t>四</w:t>
      </w:r>
      <w:bookmarkEnd w:id="691"/>
      <w:bookmarkEnd w:id="692"/>
      <w:bookmarkEnd w:id="693"/>
      <w:bookmarkEnd w:id="694"/>
      <w:bookmarkEnd w:id="695"/>
      <w:bookmarkEnd w:id="696"/>
      <w:bookmarkEnd w:id="697"/>
      <w:bookmarkEnd w:id="698"/>
      <w:bookmarkStart w:id="704" w:name="_Toc140596925"/>
      <w:bookmarkStart w:id="705" w:name="_Toc102860071"/>
      <w:bookmarkStart w:id="706" w:name="_Toc142508366"/>
      <w:bookmarkStart w:id="707" w:name="_Toc94107206"/>
      <w:bookmarkStart w:id="708" w:name="_Toc102860415"/>
      <w:bookmarkStart w:id="709" w:name="_Toc104991872"/>
      <w:r>
        <w:rPr>
          <w:rFonts w:hint="eastAsia" w:ascii="宋体" w:hAnsi="宋体" w:eastAsia="宋体" w:cs="宋体"/>
          <w:b/>
          <w:color w:val="000000" w:themeColor="text1"/>
          <w:kern w:val="0"/>
          <w:sz w:val="32"/>
          <w:szCs w:val="32"/>
          <w:highlight w:val="none"/>
          <w14:textFill>
            <w14:solidFill>
              <w14:schemeClr w14:val="tx1"/>
            </w14:solidFill>
          </w14:textFill>
        </w:rPr>
        <w:t>、投标报价表格式</w:t>
      </w:r>
      <w:bookmarkEnd w:id="687"/>
      <w:bookmarkEnd w:id="688"/>
      <w:bookmarkEnd w:id="689"/>
      <w:bookmarkEnd w:id="690"/>
      <w:bookmarkEnd w:id="699"/>
      <w:bookmarkEnd w:id="700"/>
      <w:bookmarkEnd w:id="701"/>
      <w:bookmarkEnd w:id="702"/>
      <w:bookmarkEnd w:id="703"/>
      <w:bookmarkEnd w:id="704"/>
      <w:bookmarkEnd w:id="705"/>
      <w:bookmarkEnd w:id="706"/>
      <w:bookmarkEnd w:id="707"/>
      <w:bookmarkEnd w:id="708"/>
      <w:bookmarkEnd w:id="709"/>
    </w:p>
    <w:p w14:paraId="0F05F6C3">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710" w:name="_Toc140596926"/>
      <w:bookmarkStart w:id="711" w:name="_Toc22653"/>
      <w:bookmarkStart w:id="712" w:name="_Toc1105"/>
      <w:bookmarkStart w:id="713" w:name="_Toc2395_WPSOffice_Level3"/>
      <w:bookmarkStart w:id="714" w:name="_Toc102860072"/>
      <w:bookmarkStart w:id="715" w:name="_Toc18589"/>
      <w:bookmarkStart w:id="716" w:name="_Toc104991873"/>
      <w:bookmarkStart w:id="717" w:name="_Toc94107207"/>
      <w:bookmarkStart w:id="718" w:name="_Toc102860416"/>
      <w:bookmarkStart w:id="719" w:name="_Toc32074"/>
      <w:bookmarkStart w:id="720" w:name="_Toc31924"/>
      <w:bookmarkStart w:id="721" w:name="_Toc142508367"/>
      <w:r>
        <w:rPr>
          <w:rFonts w:hint="eastAsia" w:ascii="宋体" w:hAnsi="宋体" w:eastAsia="宋体" w:cs="宋体"/>
          <w:b/>
          <w:color w:val="000000" w:themeColor="text1"/>
          <w:kern w:val="0"/>
          <w:sz w:val="30"/>
          <w:szCs w:val="30"/>
          <w:highlight w:val="none"/>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.1 </w:t>
      </w:r>
      <w:r>
        <w:rPr>
          <w:rFonts w:hint="eastAsia" w:ascii="宋体" w:hAnsi="宋体" w:eastAsia="宋体" w:cs="宋体"/>
          <w:b/>
          <w:color w:val="000000" w:themeColor="text1"/>
          <w:kern w:val="0"/>
          <w:sz w:val="30"/>
          <w:szCs w:val="30"/>
          <w:highlight w:val="none"/>
          <w14:textFill>
            <w14:solidFill>
              <w14:schemeClr w14:val="tx1"/>
            </w14:solidFill>
          </w14:textFill>
        </w:rPr>
        <w:t>投标报价表</w:t>
      </w:r>
      <w:bookmarkEnd w:id="710"/>
      <w:bookmarkEnd w:id="711"/>
      <w:bookmarkEnd w:id="712"/>
      <w:bookmarkEnd w:id="713"/>
      <w:bookmarkEnd w:id="714"/>
      <w:bookmarkEnd w:id="715"/>
      <w:bookmarkEnd w:id="716"/>
      <w:bookmarkEnd w:id="717"/>
      <w:bookmarkEnd w:id="718"/>
      <w:bookmarkEnd w:id="719"/>
      <w:bookmarkEnd w:id="720"/>
      <w:bookmarkEnd w:id="721"/>
    </w:p>
    <w:p w14:paraId="72D84452">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14:paraId="6DC1E171">
      <w:pPr>
        <w:spacing w:line="360" w:lineRule="auto"/>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14:textFill>
            <w14:solidFill>
              <w14:schemeClr w14:val="tx1"/>
            </w14:solidFill>
          </w14:textFill>
        </w:rPr>
        <w:t>东莞市水务集团科技发展有限公司屋顶分布式光伏发电（一期）采购项目</w:t>
      </w:r>
    </w:p>
    <w:p w14:paraId="41F29C5E">
      <w:pPr>
        <w:spacing w:line="360" w:lineRule="auto"/>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14:textFill>
            <w14:solidFill>
              <w14:schemeClr w14:val="tx1"/>
            </w14:solidFill>
          </w14:textFill>
        </w:rPr>
        <w:t>广建咨询（东招）2024-0133号</w:t>
      </w:r>
    </w:p>
    <w:tbl>
      <w:tblPr>
        <w:tblStyle w:val="37"/>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9"/>
        <w:gridCol w:w="2607"/>
        <w:gridCol w:w="2441"/>
        <w:gridCol w:w="2549"/>
        <w:gridCol w:w="1840"/>
      </w:tblGrid>
      <w:tr w14:paraId="0199E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48" w:type="pct"/>
            <w:tcBorders>
              <w:top w:val="single" w:color="auto" w:sz="4" w:space="0"/>
              <w:left w:val="single" w:color="auto" w:sz="4" w:space="0"/>
              <w:bottom w:val="single" w:color="auto" w:sz="4" w:space="0"/>
              <w:right w:val="single" w:color="auto" w:sz="4" w:space="0"/>
            </w:tcBorders>
            <w:vAlign w:val="center"/>
          </w:tcPr>
          <w:p w14:paraId="1365A6C8">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bookmarkStart w:id="722" w:name="OLE_LINK40" w:colFirst="3" w:colLast="3"/>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1257" w:type="pct"/>
            <w:tcBorders>
              <w:top w:val="single" w:color="auto" w:sz="4" w:space="0"/>
              <w:left w:val="single" w:color="auto" w:sz="4" w:space="0"/>
              <w:bottom w:val="single" w:color="auto" w:sz="4" w:space="0"/>
              <w:right w:val="single" w:color="auto" w:sz="4" w:space="0"/>
            </w:tcBorders>
            <w:vAlign w:val="center"/>
          </w:tcPr>
          <w:p w14:paraId="3DBBF7F6">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名称</w:t>
            </w:r>
          </w:p>
        </w:tc>
        <w:tc>
          <w:tcPr>
            <w:tcW w:w="1177" w:type="pct"/>
            <w:tcBorders>
              <w:top w:val="single" w:color="auto" w:sz="4" w:space="0"/>
              <w:left w:val="single" w:color="auto" w:sz="4" w:space="0"/>
              <w:bottom w:val="single" w:color="auto" w:sz="4" w:space="0"/>
              <w:right w:val="single" w:color="auto" w:sz="4" w:space="0"/>
            </w:tcBorders>
            <w:vAlign w:val="center"/>
          </w:tcPr>
          <w:p w14:paraId="6F245FC5">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投标报价总价</w:t>
            </w:r>
          </w:p>
          <w:p w14:paraId="617B0CBD">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w:t>
            </w:r>
            <w:bookmarkStart w:id="723" w:name="OLE_LINK384"/>
            <w:r>
              <w:rPr>
                <w:rFonts w:hint="eastAsia" w:ascii="宋体" w:hAnsi="宋体" w:eastAsia="宋体" w:cs="Times New Roman"/>
                <w:b/>
                <w:color w:val="000000" w:themeColor="text1"/>
                <w:kern w:val="0"/>
                <w:szCs w:val="21"/>
                <w:highlight w:val="none"/>
                <w14:textFill>
                  <w14:solidFill>
                    <w14:schemeClr w14:val="tx1"/>
                  </w14:solidFill>
                </w14:textFill>
              </w:rPr>
              <w:t>不含销项税，</w:t>
            </w:r>
            <w:bookmarkEnd w:id="723"/>
            <w:r>
              <w:rPr>
                <w:rFonts w:hint="eastAsia" w:ascii="宋体" w:hAnsi="宋体" w:eastAsia="宋体" w:cs="Times New Roman"/>
                <w:b/>
                <w:color w:val="000000" w:themeColor="text1"/>
                <w:kern w:val="0"/>
                <w:szCs w:val="21"/>
                <w:highlight w:val="none"/>
                <w14:textFill>
                  <w14:solidFill>
                    <w14:schemeClr w14:val="tx1"/>
                  </w14:solidFill>
                </w14:textFill>
              </w:rPr>
              <w:t>元）</w:t>
            </w:r>
          </w:p>
        </w:tc>
        <w:tc>
          <w:tcPr>
            <w:tcW w:w="1229" w:type="pct"/>
            <w:tcBorders>
              <w:top w:val="single" w:color="auto" w:sz="4" w:space="0"/>
              <w:left w:val="single" w:color="auto" w:sz="4" w:space="0"/>
              <w:bottom w:val="single" w:color="auto" w:sz="4" w:space="0"/>
              <w:right w:val="single" w:color="auto" w:sz="4" w:space="0"/>
            </w:tcBorders>
            <w:vAlign w:val="center"/>
          </w:tcPr>
          <w:p w14:paraId="48A49862">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bookmarkStart w:id="724" w:name="OLE_LINK376"/>
            <w:r>
              <w:rPr>
                <w:rFonts w:hint="eastAsia" w:ascii="宋体" w:hAnsi="宋体" w:eastAsia="宋体" w:cs="Times New Roman"/>
                <w:b/>
                <w:color w:val="000000" w:themeColor="text1"/>
                <w:kern w:val="0"/>
                <w:szCs w:val="21"/>
                <w:highlight w:val="none"/>
                <w14:textFill>
                  <w14:solidFill>
                    <w14:schemeClr w14:val="tx1"/>
                  </w14:solidFill>
                </w14:textFill>
              </w:rPr>
              <w:t>固定每瓦单价</w:t>
            </w:r>
            <w:bookmarkEnd w:id="724"/>
            <w:r>
              <w:rPr>
                <w:rFonts w:hint="eastAsia" w:ascii="宋体" w:hAnsi="宋体" w:eastAsia="宋体" w:cs="Times New Roman"/>
                <w:b/>
                <w:color w:val="000000" w:themeColor="text1"/>
                <w:kern w:val="0"/>
                <w:szCs w:val="21"/>
                <w:highlight w:val="none"/>
                <w14:textFill>
                  <w14:solidFill>
                    <w14:schemeClr w14:val="tx1"/>
                  </w14:solidFill>
                </w14:textFill>
              </w:rPr>
              <w:t>（不含销项税，元）</w:t>
            </w:r>
          </w:p>
        </w:tc>
        <w:tc>
          <w:tcPr>
            <w:tcW w:w="887" w:type="pct"/>
            <w:tcBorders>
              <w:top w:val="single" w:color="auto" w:sz="4" w:space="0"/>
              <w:left w:val="single" w:color="auto" w:sz="4" w:space="0"/>
              <w:bottom w:val="single" w:color="auto" w:sz="4" w:space="0"/>
              <w:right w:val="single" w:color="auto" w:sz="4" w:space="0"/>
            </w:tcBorders>
            <w:vAlign w:val="center"/>
          </w:tcPr>
          <w:p w14:paraId="6D76CCC1">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14:paraId="3A30E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48" w:type="pct"/>
            <w:tcBorders>
              <w:top w:val="single" w:color="auto" w:sz="4" w:space="0"/>
              <w:left w:val="single" w:color="auto" w:sz="4" w:space="0"/>
              <w:right w:val="single" w:color="auto" w:sz="4" w:space="0"/>
            </w:tcBorders>
            <w:vAlign w:val="center"/>
          </w:tcPr>
          <w:p w14:paraId="08BA512A">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p>
        </w:tc>
        <w:tc>
          <w:tcPr>
            <w:tcW w:w="1257" w:type="pct"/>
            <w:tcBorders>
              <w:top w:val="single" w:color="auto" w:sz="4" w:space="0"/>
              <w:left w:val="single" w:color="auto" w:sz="4" w:space="0"/>
              <w:right w:val="single" w:color="auto" w:sz="4" w:space="0"/>
            </w:tcBorders>
            <w:vAlign w:val="center"/>
          </w:tcPr>
          <w:p w14:paraId="6EC8794B">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东莞市水务集团科技发展有限公司屋顶分布式光伏发电（一期）采购项目</w:t>
            </w:r>
          </w:p>
        </w:tc>
        <w:tc>
          <w:tcPr>
            <w:tcW w:w="1177" w:type="pct"/>
            <w:tcBorders>
              <w:top w:val="single" w:color="auto" w:sz="4" w:space="0"/>
              <w:left w:val="single" w:color="auto" w:sz="4" w:space="0"/>
              <w:right w:val="single" w:color="auto" w:sz="4" w:space="0"/>
            </w:tcBorders>
            <w:vAlign w:val="center"/>
          </w:tcPr>
          <w:p w14:paraId="1BE23111">
            <w:pPr>
              <w:tabs>
                <w:tab w:val="left" w:pos="8610"/>
              </w:tabs>
              <w:spacing w:line="360" w:lineRule="auto"/>
              <w:rPr>
                <w:rFonts w:ascii="宋体" w:hAnsi="宋体" w:eastAsia="宋体" w:cs="Times New Roman"/>
                <w:color w:val="000000" w:themeColor="text1"/>
                <w:kern w:val="0"/>
                <w:szCs w:val="21"/>
                <w:highlight w:val="none"/>
                <w14:textFill>
                  <w14:solidFill>
                    <w14:schemeClr w14:val="tx1"/>
                  </w14:solidFill>
                </w14:textFill>
              </w:rPr>
            </w:pPr>
            <w:bookmarkStart w:id="725" w:name="OLE_LINK43"/>
            <w:r>
              <w:rPr>
                <w:rFonts w:hint="eastAsia" w:ascii="宋体" w:hAnsi="宋体" w:eastAsia="宋体" w:cs="Times New Roman"/>
                <w:color w:val="000000" w:themeColor="text1"/>
                <w:kern w:val="0"/>
                <w:szCs w:val="21"/>
                <w:highlight w:val="none"/>
                <w14:textFill>
                  <w14:solidFill>
                    <w14:schemeClr w14:val="tx1"/>
                  </w14:solidFill>
                </w14:textFill>
              </w:rPr>
              <w:t>小写（人民币）：</w:t>
            </w:r>
            <w:bookmarkEnd w:id="725"/>
          </w:p>
        </w:tc>
        <w:tc>
          <w:tcPr>
            <w:tcW w:w="1229" w:type="pct"/>
            <w:tcBorders>
              <w:top w:val="single" w:color="auto" w:sz="4" w:space="0"/>
              <w:left w:val="single" w:color="auto" w:sz="4" w:space="0"/>
              <w:right w:val="single" w:color="auto" w:sz="4" w:space="0"/>
            </w:tcBorders>
            <w:vAlign w:val="center"/>
          </w:tcPr>
          <w:p w14:paraId="4F8109F4">
            <w:pPr>
              <w:tabs>
                <w:tab w:val="left" w:pos="8610"/>
              </w:tabs>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小写（人民币）：</w:t>
            </w:r>
          </w:p>
        </w:tc>
        <w:tc>
          <w:tcPr>
            <w:tcW w:w="887" w:type="pct"/>
            <w:tcBorders>
              <w:top w:val="single" w:color="auto" w:sz="4" w:space="0"/>
              <w:left w:val="single" w:color="auto" w:sz="4" w:space="0"/>
              <w:right w:val="single" w:color="auto" w:sz="4" w:space="0"/>
            </w:tcBorders>
            <w:vAlign w:val="center"/>
          </w:tcPr>
          <w:p w14:paraId="2467B8FF">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726" w:name="OLE_LINK382"/>
            <w:bookmarkStart w:id="727" w:name="OLE_LINK383"/>
            <w:bookmarkStart w:id="728" w:name="OLE_LINK45"/>
            <w:r>
              <w:rPr>
                <w:rFonts w:hint="eastAsia" w:ascii="宋体" w:hAnsi="宋体" w:eastAsia="宋体" w:cs="Times New Roman"/>
                <w:color w:val="000000" w:themeColor="text1"/>
                <w:kern w:val="0"/>
                <w:szCs w:val="21"/>
                <w:highlight w:val="none"/>
                <w14:textFill>
                  <w14:solidFill>
                    <w14:schemeClr w14:val="tx1"/>
                  </w14:solidFill>
                </w14:textFill>
              </w:rPr>
              <w:t>固定每瓦单价=投标报价总价÷装机容量（四舍五入保留小数点后3位小数）</w:t>
            </w:r>
            <w:bookmarkEnd w:id="726"/>
            <w:r>
              <w:rPr>
                <w:rFonts w:hint="eastAsia" w:ascii="宋体" w:hAnsi="宋体" w:eastAsia="宋体" w:cs="Times New Roman"/>
                <w:color w:val="000000" w:themeColor="text1"/>
                <w:kern w:val="0"/>
                <w:szCs w:val="21"/>
                <w:highlight w:val="none"/>
                <w14:textFill>
                  <w14:solidFill>
                    <w14:schemeClr w14:val="tx1"/>
                  </w14:solidFill>
                </w14:textFill>
              </w:rPr>
              <w:t>，装机容量：</w:t>
            </w:r>
            <w:bookmarkStart w:id="729" w:name="OLE_LINK377"/>
            <w:r>
              <w:rPr>
                <w:rFonts w:hint="eastAsia" w:ascii="宋体" w:hAnsi="宋体" w:eastAsia="宋体" w:cs="Times New Roman"/>
                <w:color w:val="000000" w:themeColor="text1"/>
                <w:kern w:val="0"/>
                <w:szCs w:val="21"/>
                <w:highlight w:val="none"/>
                <w14:textFill>
                  <w14:solidFill>
                    <w14:schemeClr w14:val="tx1"/>
                  </w14:solidFill>
                </w14:textFill>
              </w:rPr>
              <w:t>4.46MWp</w:t>
            </w:r>
            <w:bookmarkEnd w:id="727"/>
            <w:bookmarkEnd w:id="729"/>
            <w:r>
              <w:rPr>
                <w:rFonts w:hint="eastAsia" w:ascii="宋体" w:hAnsi="宋体" w:eastAsia="宋体" w:cs="Times New Roman"/>
                <w:color w:val="000000" w:themeColor="text1"/>
                <w:kern w:val="0"/>
                <w:szCs w:val="21"/>
                <w:highlight w:val="none"/>
                <w14:textFill>
                  <w14:solidFill>
                    <w14:schemeClr w14:val="tx1"/>
                  </w14:solidFill>
                </w14:textFill>
              </w:rPr>
              <w:t>。</w:t>
            </w:r>
            <w:bookmarkEnd w:id="728"/>
          </w:p>
        </w:tc>
      </w:tr>
      <w:bookmarkEnd w:id="722"/>
    </w:tbl>
    <w:p w14:paraId="007EAB91">
      <w:pPr>
        <w:rPr>
          <w:rFonts w:ascii="宋体" w:hAnsi="宋体" w:eastAsia="宋体" w:cs="宋体"/>
          <w:color w:val="000000" w:themeColor="text1"/>
          <w:kern w:val="0"/>
          <w:sz w:val="20"/>
          <w:szCs w:val="21"/>
          <w:highlight w:val="none"/>
          <w14:textFill>
            <w14:solidFill>
              <w14:schemeClr w14:val="tx1"/>
            </w14:solidFill>
          </w14:textFill>
        </w:rPr>
      </w:pPr>
    </w:p>
    <w:p w14:paraId="16888AC2">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0F3FE6FC">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kern w:val="0"/>
          <w:szCs w:val="21"/>
          <w:highlight w:val="none"/>
          <w:u w:val="single"/>
          <w14:textFill>
            <w14:solidFill>
              <w14:schemeClr w14:val="tx1"/>
            </w14:solidFill>
          </w14:textFill>
        </w:rPr>
        <w:t>91</w:t>
      </w:r>
      <w:r>
        <w:rPr>
          <w:rFonts w:hint="eastAsia" w:ascii="宋体" w:hAnsi="宋体" w:eastAsia="宋体" w:cs="Times New Roman"/>
          <w:b/>
          <w:color w:val="000000" w:themeColor="text1"/>
          <w:kern w:val="0"/>
          <w:szCs w:val="21"/>
          <w:highlight w:val="none"/>
          <w:u w:val="single"/>
          <w14:textFill>
            <w14:solidFill>
              <w14:schemeClr w14:val="tx1"/>
            </w14:solidFill>
          </w14:textFill>
        </w:rPr>
        <w:t>号修订版）规定的销售额</w:t>
      </w:r>
      <w:r>
        <w:rPr>
          <w:rFonts w:hint="eastAsia" w:ascii="宋体" w:hAnsi="宋体" w:eastAsia="宋体" w:cs="Times New Roman"/>
          <w:color w:val="000000" w:themeColor="text1"/>
          <w:kern w:val="0"/>
          <w:szCs w:val="21"/>
          <w:highlight w:val="none"/>
          <w14:textFill>
            <w14:solidFill>
              <w14:schemeClr w14:val="tx1"/>
            </w14:solidFill>
          </w14:textFill>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000000" w:themeColor="text1"/>
          <w:szCs w:val="21"/>
          <w:highlight w:val="none"/>
          <w:lang w:val="zh-CN"/>
          <w14:textFill>
            <w14:solidFill>
              <w14:schemeClr w14:val="tx1"/>
            </w14:solidFill>
          </w14:textFill>
        </w:rPr>
        <w:t>本采购项目的销项税额由招标人承担</w:t>
      </w:r>
      <w:r>
        <w:rPr>
          <w:rFonts w:hint="eastAsia" w:ascii="宋体" w:hAnsi="宋体" w:eastAsia="宋体" w:cs="Times New Roman"/>
          <w:color w:val="000000" w:themeColor="text1"/>
          <w:kern w:val="0"/>
          <w:szCs w:val="21"/>
          <w:highlight w:val="none"/>
          <w14:textFill>
            <w14:solidFill>
              <w14:schemeClr w14:val="tx1"/>
            </w14:solidFill>
          </w14:textFill>
        </w:rPr>
        <w:t>，不计入投标报价。</w:t>
      </w:r>
    </w:p>
    <w:p w14:paraId="218CFA7F">
      <w:pPr>
        <w:autoSpaceDE w:val="0"/>
        <w:autoSpaceDN w:val="0"/>
        <w:adjustRightInd w:val="0"/>
        <w:snapToGrid w:val="0"/>
        <w:spacing w:line="360" w:lineRule="auto"/>
        <w:ind w:left="607" w:leftChars="18" w:hanging="569" w:hangingChars="270"/>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ascii="宋体" w:hAnsi="宋体" w:eastAsia="宋体" w:cs="Times New Roman"/>
          <w:b/>
          <w:bCs/>
          <w:color w:val="000000" w:themeColor="text1"/>
          <w:kern w:val="0"/>
          <w:szCs w:val="21"/>
          <w:highlight w:val="none"/>
          <w14:textFill>
            <w14:solidFill>
              <w14:schemeClr w14:val="tx1"/>
            </w14:solidFill>
          </w14:textFill>
        </w:rPr>
        <w:t>2</w:t>
      </w:r>
      <w:r>
        <w:rPr>
          <w:rFonts w:hint="eastAsia" w:ascii="宋体" w:hAnsi="宋体" w:eastAsia="宋体" w:cs="Times New Roman"/>
          <w:b/>
          <w:bCs/>
          <w:color w:val="000000" w:themeColor="text1"/>
          <w:kern w:val="0"/>
          <w:szCs w:val="21"/>
          <w:highlight w:val="none"/>
          <w14:textFill>
            <w14:solidFill>
              <w14:schemeClr w14:val="tx1"/>
            </w14:solidFill>
          </w14:textFill>
        </w:rPr>
        <w:t>）投标人的投标报价高于</w:t>
      </w:r>
      <w:bookmarkStart w:id="730" w:name="OLE_LINK37"/>
      <w:bookmarkStart w:id="731" w:name="OLE_LINK36"/>
      <w:r>
        <w:rPr>
          <w:rFonts w:hint="eastAsia" w:ascii="宋体" w:hAnsi="宋体" w:eastAsia="宋体" w:cs="宋体"/>
          <w:b/>
          <w:color w:val="000000" w:themeColor="text1"/>
          <w:kern w:val="0"/>
          <w:szCs w:val="21"/>
          <w:highlight w:val="none"/>
          <w14:textFill>
            <w14:solidFill>
              <w14:schemeClr w14:val="tx1"/>
            </w14:solidFill>
          </w14:textFill>
        </w:rPr>
        <w:t>本项目总采购限价的或投标单价报价高于单价采购限价的</w:t>
      </w:r>
      <w:bookmarkEnd w:id="730"/>
      <w:bookmarkEnd w:id="731"/>
      <w:r>
        <w:rPr>
          <w:rFonts w:hint="eastAsia" w:ascii="宋体" w:hAnsi="宋体" w:eastAsia="宋体" w:cs="Times New Roman"/>
          <w:b/>
          <w:bCs/>
          <w:color w:val="000000" w:themeColor="text1"/>
          <w:kern w:val="0"/>
          <w:szCs w:val="21"/>
          <w:highlight w:val="none"/>
          <w14:textFill>
            <w14:solidFill>
              <w14:schemeClr w14:val="tx1"/>
            </w14:solidFill>
          </w14:textFill>
        </w:rPr>
        <w:t>，该投标人的投标文件将被视为无效投标。</w:t>
      </w:r>
    </w:p>
    <w:p w14:paraId="3872AB06">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当投标报价表内投标报价总价与按固定每瓦单价计算的总价不一致的，以投标报价总价为准，修正固定每瓦单价金额；本投标报价表报价与分项报价明细表报价不一致的，以本投标报价表为准。对不同文字文本投标文件的解释发生异议的，以中文文本为准。</w:t>
      </w:r>
    </w:p>
    <w:p w14:paraId="2217CEF3">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w:t>
      </w:r>
    </w:p>
    <w:p w14:paraId="066B0045">
      <w:pPr>
        <w:autoSpaceDE w:val="0"/>
        <w:autoSpaceDN w:val="0"/>
        <w:adjustRightInd w:val="0"/>
        <w:snapToGrid w:val="0"/>
        <w:spacing w:line="360" w:lineRule="auto"/>
        <w:ind w:left="605" w:leftChars="18" w:hanging="567" w:hangingChars="270"/>
        <w:jc w:val="left"/>
        <w:rPr>
          <w:rFonts w:ascii="宋体" w:hAnsi="宋体" w:eastAsia="宋体" w:cs="Times New Roman"/>
          <w:bCs/>
          <w:color w:val="000000" w:themeColor="text1"/>
          <w:kern w:val="0"/>
          <w:szCs w:val="21"/>
          <w:highlight w:val="none"/>
          <w:lang w:val="zh-CN"/>
          <w14:textFill>
            <w14:solidFill>
              <w14:schemeClr w14:val="tx1"/>
            </w14:solidFill>
          </w14:textFill>
        </w:rPr>
      </w:pP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ascii="宋体" w:hAnsi="宋体" w:eastAsia="宋体" w:cs="Times New Roman"/>
          <w:bCs/>
          <w:color w:val="000000" w:themeColor="text1"/>
          <w:kern w:val="0"/>
          <w:szCs w:val="21"/>
          <w:highlight w:val="none"/>
          <w:lang w:val="zh-CN"/>
          <w14:textFill>
            <w14:solidFill>
              <w14:schemeClr w14:val="tx1"/>
            </w14:solidFill>
          </w14:textFill>
        </w:rPr>
        <w:t>5</w:t>
      </w: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报价保留小数点后两位。</w:t>
      </w:r>
    </w:p>
    <w:p w14:paraId="51F60F30">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67B18026">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1F8E183C">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294474E3">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000000" w:themeColor="text1"/>
          <w:sz w:val="30"/>
          <w:szCs w:val="30"/>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br w:type="page"/>
      </w:r>
      <w:bookmarkStart w:id="732" w:name="_Toc8842"/>
      <w:bookmarkStart w:id="733" w:name="_Toc30859"/>
      <w:bookmarkStart w:id="734" w:name="_Toc94107208"/>
      <w:bookmarkStart w:id="735" w:name="_Toc23177"/>
      <w:bookmarkStart w:id="736" w:name="_Toc102860417"/>
      <w:bookmarkStart w:id="737" w:name="_Toc104991874"/>
      <w:bookmarkStart w:id="738" w:name="_Toc140596927"/>
      <w:bookmarkStart w:id="739" w:name="_Toc102860073"/>
      <w:bookmarkStart w:id="740" w:name="_Toc5213"/>
      <w:bookmarkStart w:id="741" w:name="_Toc142508368"/>
      <w:bookmarkStart w:id="742" w:name="_Toc27734"/>
      <w:r>
        <w:rPr>
          <w:rFonts w:hint="eastAsia" w:ascii="宋体" w:hAnsi="宋体" w:eastAsia="宋体" w:cs="宋体"/>
          <w:b/>
          <w:color w:val="000000" w:themeColor="text1"/>
          <w:kern w:val="0"/>
          <w:sz w:val="30"/>
          <w:szCs w:val="30"/>
          <w:highlight w:val="none"/>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.2 </w:t>
      </w:r>
      <w:r>
        <w:rPr>
          <w:rFonts w:hint="eastAsia" w:ascii="宋体" w:hAnsi="宋体" w:eastAsia="宋体" w:cs="宋体"/>
          <w:b/>
          <w:color w:val="000000" w:themeColor="text1"/>
          <w:kern w:val="0"/>
          <w:sz w:val="30"/>
          <w:szCs w:val="30"/>
          <w:highlight w:val="none"/>
          <w14:textFill>
            <w14:solidFill>
              <w14:schemeClr w14:val="tx1"/>
            </w14:solidFill>
          </w14:textFill>
        </w:rPr>
        <w:t>分项</w:t>
      </w:r>
      <w:r>
        <w:rPr>
          <w:rFonts w:ascii="宋体" w:hAnsi="宋体" w:eastAsia="宋体" w:cs="宋体"/>
          <w:b/>
          <w:color w:val="000000" w:themeColor="text1"/>
          <w:kern w:val="0"/>
          <w:sz w:val="30"/>
          <w:szCs w:val="30"/>
          <w:highlight w:val="none"/>
          <w14:textFill>
            <w14:solidFill>
              <w14:schemeClr w14:val="tx1"/>
            </w14:solidFill>
          </w14:textFill>
        </w:rPr>
        <w:t>报价表</w:t>
      </w:r>
      <w:bookmarkEnd w:id="732"/>
      <w:bookmarkEnd w:id="733"/>
      <w:bookmarkEnd w:id="734"/>
      <w:bookmarkEnd w:id="735"/>
      <w:bookmarkEnd w:id="736"/>
      <w:bookmarkEnd w:id="737"/>
      <w:bookmarkEnd w:id="738"/>
      <w:bookmarkEnd w:id="739"/>
      <w:bookmarkEnd w:id="740"/>
      <w:bookmarkEnd w:id="741"/>
      <w:bookmarkEnd w:id="742"/>
    </w:p>
    <w:p w14:paraId="4245000E">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分项</w:t>
      </w:r>
      <w:r>
        <w:rPr>
          <w:rFonts w:ascii="宋体" w:hAnsi="宋体" w:eastAsia="宋体" w:cs="宋体"/>
          <w:b/>
          <w:bCs/>
          <w:color w:val="000000" w:themeColor="text1"/>
          <w:sz w:val="30"/>
          <w:szCs w:val="30"/>
          <w:highlight w:val="none"/>
          <w:lang w:val="zh-CN"/>
          <w14:textFill>
            <w14:solidFill>
              <w14:schemeClr w14:val="tx1"/>
            </w14:solidFill>
          </w14:textFill>
        </w:rPr>
        <w:t>报价表</w:t>
      </w:r>
    </w:p>
    <w:p w14:paraId="6C1FFFE3">
      <w:pPr>
        <w:spacing w:line="360" w:lineRule="auto"/>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14:textFill>
            <w14:solidFill>
              <w14:schemeClr w14:val="tx1"/>
            </w14:solidFill>
          </w14:textFill>
        </w:rPr>
        <w:t>东莞市水务集团科技发展有限公司屋顶分布式光伏发电（一期）采购项目</w:t>
      </w:r>
    </w:p>
    <w:p w14:paraId="22A88966">
      <w:pPr>
        <w:spacing w:line="360" w:lineRule="auto"/>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14:textFill>
            <w14:solidFill>
              <w14:schemeClr w14:val="tx1"/>
            </w14:solidFill>
          </w14:textFill>
        </w:rPr>
        <w:t>广建咨询（东招）2024-0133号</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958"/>
        <w:gridCol w:w="660"/>
        <w:gridCol w:w="1103"/>
        <w:gridCol w:w="1352"/>
        <w:gridCol w:w="993"/>
        <w:gridCol w:w="962"/>
        <w:gridCol w:w="1103"/>
        <w:gridCol w:w="873"/>
        <w:gridCol w:w="667"/>
      </w:tblGrid>
      <w:tr w14:paraId="7882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6ABD11E">
            <w:pPr>
              <w:autoSpaceDE w:val="0"/>
              <w:autoSpaceDN w:val="0"/>
              <w:adjustRightInd w:val="0"/>
              <w:spacing w:line="400" w:lineRule="exact"/>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货物明细表</w:t>
            </w:r>
          </w:p>
        </w:tc>
      </w:tr>
      <w:tr w14:paraId="286FC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7" w:type="pct"/>
            <w:tcBorders>
              <w:top w:val="single" w:color="auto" w:sz="4" w:space="0"/>
              <w:left w:val="single" w:color="auto" w:sz="4" w:space="0"/>
              <w:bottom w:val="single" w:color="auto" w:sz="4" w:space="0"/>
              <w:right w:val="single" w:color="auto" w:sz="4" w:space="0"/>
            </w:tcBorders>
            <w:vAlign w:val="center"/>
          </w:tcPr>
          <w:p w14:paraId="363EF1EA">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944" w:type="pct"/>
            <w:tcBorders>
              <w:top w:val="single" w:color="auto" w:sz="4" w:space="0"/>
              <w:left w:val="single" w:color="auto" w:sz="4" w:space="0"/>
              <w:bottom w:val="single" w:color="auto" w:sz="4" w:space="0"/>
              <w:right w:val="single" w:color="auto" w:sz="4" w:space="0"/>
            </w:tcBorders>
            <w:vAlign w:val="center"/>
          </w:tcPr>
          <w:p w14:paraId="27D36D82">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货物名称</w:t>
            </w:r>
          </w:p>
        </w:tc>
        <w:tc>
          <w:tcPr>
            <w:tcW w:w="318" w:type="pct"/>
            <w:tcBorders>
              <w:top w:val="single" w:color="auto" w:sz="4" w:space="0"/>
              <w:left w:val="single" w:color="auto" w:sz="4" w:space="0"/>
              <w:bottom w:val="single" w:color="auto" w:sz="4" w:space="0"/>
              <w:right w:val="single" w:color="auto" w:sz="4" w:space="0"/>
            </w:tcBorders>
            <w:vAlign w:val="center"/>
          </w:tcPr>
          <w:p w14:paraId="751CE359">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品牌</w:t>
            </w:r>
          </w:p>
        </w:tc>
        <w:tc>
          <w:tcPr>
            <w:tcW w:w="532" w:type="pct"/>
            <w:tcBorders>
              <w:top w:val="single" w:color="auto" w:sz="4" w:space="0"/>
              <w:left w:val="single" w:color="auto" w:sz="4" w:space="0"/>
              <w:bottom w:val="single" w:color="auto" w:sz="4" w:space="0"/>
              <w:right w:val="single" w:color="auto" w:sz="4" w:space="0"/>
            </w:tcBorders>
            <w:vAlign w:val="center"/>
          </w:tcPr>
          <w:p w14:paraId="704AC657">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产地</w:t>
            </w:r>
          </w:p>
        </w:tc>
        <w:tc>
          <w:tcPr>
            <w:tcW w:w="652" w:type="pct"/>
            <w:tcBorders>
              <w:top w:val="single" w:color="auto" w:sz="4" w:space="0"/>
              <w:left w:val="single" w:color="auto" w:sz="4" w:space="0"/>
              <w:bottom w:val="single" w:color="auto" w:sz="4" w:space="0"/>
              <w:right w:val="single" w:color="auto" w:sz="4" w:space="0"/>
            </w:tcBorders>
            <w:vAlign w:val="center"/>
          </w:tcPr>
          <w:p w14:paraId="7FA7DEEE">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规格、型号</w:t>
            </w:r>
          </w:p>
        </w:tc>
        <w:tc>
          <w:tcPr>
            <w:tcW w:w="479" w:type="pct"/>
            <w:tcBorders>
              <w:top w:val="single" w:color="auto" w:sz="4" w:space="0"/>
              <w:left w:val="single" w:color="auto" w:sz="4" w:space="0"/>
              <w:bottom w:val="single" w:color="auto" w:sz="4" w:space="0"/>
              <w:right w:val="single" w:color="auto" w:sz="4" w:space="0"/>
            </w:tcBorders>
            <w:vAlign w:val="center"/>
          </w:tcPr>
          <w:p w14:paraId="66203CE1">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单位</w:t>
            </w:r>
          </w:p>
        </w:tc>
        <w:tc>
          <w:tcPr>
            <w:tcW w:w="464" w:type="pct"/>
            <w:tcBorders>
              <w:top w:val="single" w:color="auto" w:sz="4" w:space="0"/>
              <w:left w:val="single" w:color="auto" w:sz="4" w:space="0"/>
              <w:bottom w:val="single" w:color="auto" w:sz="4" w:space="0"/>
              <w:right w:val="single" w:color="auto" w:sz="4" w:space="0"/>
            </w:tcBorders>
            <w:vAlign w:val="center"/>
          </w:tcPr>
          <w:p w14:paraId="7DCC7DA5">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数量</w:t>
            </w:r>
          </w:p>
        </w:tc>
        <w:tc>
          <w:tcPr>
            <w:tcW w:w="532" w:type="pct"/>
            <w:tcBorders>
              <w:top w:val="single" w:color="auto" w:sz="4" w:space="0"/>
              <w:left w:val="single" w:color="auto" w:sz="4" w:space="0"/>
              <w:bottom w:val="single" w:color="auto" w:sz="4" w:space="0"/>
              <w:right w:val="single" w:color="auto" w:sz="4" w:space="0"/>
            </w:tcBorders>
            <w:vAlign w:val="center"/>
          </w:tcPr>
          <w:p w14:paraId="28FD1116">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不含税综合</w:t>
            </w:r>
            <w:r>
              <w:rPr>
                <w:rFonts w:ascii="宋体" w:hAnsi="宋体" w:eastAsia="宋体" w:cs="Times New Roman"/>
                <w:b/>
                <w:color w:val="000000" w:themeColor="text1"/>
                <w:kern w:val="0"/>
                <w:szCs w:val="21"/>
                <w:highlight w:val="none"/>
                <w14:textFill>
                  <w14:solidFill>
                    <w14:schemeClr w14:val="tx1"/>
                  </w14:solidFill>
                </w14:textFill>
              </w:rPr>
              <w:t>单价</w:t>
            </w:r>
          </w:p>
          <w:p w14:paraId="0F85536F">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（元）</w:t>
            </w:r>
          </w:p>
        </w:tc>
        <w:tc>
          <w:tcPr>
            <w:tcW w:w="421" w:type="pct"/>
            <w:tcBorders>
              <w:top w:val="single" w:color="auto" w:sz="4" w:space="0"/>
              <w:left w:val="single" w:color="auto" w:sz="4" w:space="0"/>
              <w:bottom w:val="single" w:color="auto" w:sz="4" w:space="0"/>
              <w:right w:val="single" w:color="auto" w:sz="4" w:space="0"/>
            </w:tcBorders>
            <w:vAlign w:val="center"/>
          </w:tcPr>
          <w:p w14:paraId="08DE8605">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不含税</w:t>
            </w:r>
            <w:r>
              <w:rPr>
                <w:rFonts w:ascii="宋体" w:hAnsi="宋体" w:eastAsia="宋体" w:cs="Times New Roman"/>
                <w:b/>
                <w:color w:val="000000" w:themeColor="text1"/>
                <w:kern w:val="0"/>
                <w:szCs w:val="21"/>
                <w:highlight w:val="none"/>
                <w14:textFill>
                  <w14:solidFill>
                    <w14:schemeClr w14:val="tx1"/>
                  </w14:solidFill>
                </w14:textFill>
              </w:rPr>
              <w:t>小计（元）</w:t>
            </w:r>
          </w:p>
        </w:tc>
        <w:tc>
          <w:tcPr>
            <w:tcW w:w="321" w:type="pct"/>
            <w:tcBorders>
              <w:top w:val="single" w:color="auto" w:sz="4" w:space="0"/>
              <w:left w:val="single" w:color="auto" w:sz="4" w:space="0"/>
              <w:bottom w:val="single" w:color="auto" w:sz="4" w:space="0"/>
              <w:right w:val="single" w:color="auto" w:sz="4" w:space="0"/>
            </w:tcBorders>
            <w:vAlign w:val="center"/>
          </w:tcPr>
          <w:p w14:paraId="5BC8263C">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备注</w:t>
            </w:r>
          </w:p>
        </w:tc>
      </w:tr>
      <w:tr w14:paraId="477F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7" w:type="pct"/>
            <w:tcBorders>
              <w:top w:val="single" w:color="auto" w:sz="4" w:space="0"/>
              <w:left w:val="single" w:color="auto" w:sz="4" w:space="0"/>
              <w:bottom w:val="single" w:color="auto" w:sz="4" w:space="0"/>
              <w:right w:val="single" w:color="auto" w:sz="4" w:space="0"/>
            </w:tcBorders>
            <w:vAlign w:val="center"/>
          </w:tcPr>
          <w:p w14:paraId="62A75C8B">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1</w:t>
            </w:r>
          </w:p>
        </w:tc>
        <w:tc>
          <w:tcPr>
            <w:tcW w:w="944" w:type="pct"/>
            <w:tcBorders>
              <w:top w:val="single" w:color="auto" w:sz="4" w:space="0"/>
              <w:left w:val="single" w:color="auto" w:sz="4" w:space="0"/>
              <w:bottom w:val="single" w:color="auto" w:sz="4" w:space="0"/>
              <w:right w:val="single" w:color="auto" w:sz="4" w:space="0"/>
            </w:tcBorders>
          </w:tcPr>
          <w:p w14:paraId="49962773">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2074304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246D1B4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52" w:type="pct"/>
            <w:tcBorders>
              <w:top w:val="single" w:color="auto" w:sz="4" w:space="0"/>
              <w:left w:val="single" w:color="auto" w:sz="4" w:space="0"/>
              <w:bottom w:val="single" w:color="auto" w:sz="4" w:space="0"/>
              <w:right w:val="single" w:color="auto" w:sz="4" w:space="0"/>
            </w:tcBorders>
            <w:vAlign w:val="center"/>
          </w:tcPr>
          <w:p w14:paraId="08BBC2C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9" w:type="pct"/>
            <w:tcBorders>
              <w:top w:val="single" w:color="auto" w:sz="4" w:space="0"/>
              <w:left w:val="single" w:color="auto" w:sz="4" w:space="0"/>
              <w:bottom w:val="single" w:color="auto" w:sz="4" w:space="0"/>
              <w:right w:val="single" w:color="auto" w:sz="4" w:space="0"/>
            </w:tcBorders>
            <w:vAlign w:val="center"/>
          </w:tcPr>
          <w:p w14:paraId="262BA27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vAlign w:val="center"/>
          </w:tcPr>
          <w:p w14:paraId="73053B3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2ABED5A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21" w:type="pct"/>
            <w:tcBorders>
              <w:top w:val="single" w:color="auto" w:sz="4" w:space="0"/>
              <w:left w:val="single" w:color="auto" w:sz="4" w:space="0"/>
              <w:bottom w:val="single" w:color="auto" w:sz="4" w:space="0"/>
              <w:right w:val="single" w:color="auto" w:sz="4" w:space="0"/>
            </w:tcBorders>
            <w:vAlign w:val="center"/>
          </w:tcPr>
          <w:p w14:paraId="7618160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1" w:type="pct"/>
            <w:tcBorders>
              <w:top w:val="single" w:color="auto" w:sz="4" w:space="0"/>
              <w:left w:val="single" w:color="auto" w:sz="4" w:space="0"/>
              <w:bottom w:val="single" w:color="auto" w:sz="4" w:space="0"/>
              <w:right w:val="single" w:color="auto" w:sz="4" w:space="0"/>
            </w:tcBorders>
            <w:vAlign w:val="center"/>
          </w:tcPr>
          <w:p w14:paraId="1510FB2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21E1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7" w:type="pct"/>
            <w:tcBorders>
              <w:top w:val="single" w:color="auto" w:sz="4" w:space="0"/>
              <w:left w:val="single" w:color="auto" w:sz="4" w:space="0"/>
              <w:bottom w:val="single" w:color="auto" w:sz="4" w:space="0"/>
              <w:right w:val="single" w:color="auto" w:sz="4" w:space="0"/>
            </w:tcBorders>
            <w:vAlign w:val="center"/>
          </w:tcPr>
          <w:p w14:paraId="6F6351E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2</w:t>
            </w:r>
          </w:p>
        </w:tc>
        <w:tc>
          <w:tcPr>
            <w:tcW w:w="944" w:type="pct"/>
            <w:tcBorders>
              <w:top w:val="single" w:color="auto" w:sz="4" w:space="0"/>
              <w:left w:val="single" w:color="auto" w:sz="4" w:space="0"/>
              <w:bottom w:val="single" w:color="auto" w:sz="4" w:space="0"/>
              <w:right w:val="single" w:color="auto" w:sz="4" w:space="0"/>
            </w:tcBorders>
          </w:tcPr>
          <w:p w14:paraId="504ACE1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60D0E58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4901529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52" w:type="pct"/>
            <w:tcBorders>
              <w:top w:val="single" w:color="auto" w:sz="4" w:space="0"/>
              <w:left w:val="single" w:color="auto" w:sz="4" w:space="0"/>
              <w:bottom w:val="single" w:color="auto" w:sz="4" w:space="0"/>
              <w:right w:val="single" w:color="auto" w:sz="4" w:space="0"/>
            </w:tcBorders>
            <w:vAlign w:val="center"/>
          </w:tcPr>
          <w:p w14:paraId="52CA44B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9" w:type="pct"/>
            <w:tcBorders>
              <w:top w:val="single" w:color="auto" w:sz="4" w:space="0"/>
              <w:left w:val="single" w:color="auto" w:sz="4" w:space="0"/>
              <w:bottom w:val="single" w:color="auto" w:sz="4" w:space="0"/>
              <w:right w:val="single" w:color="auto" w:sz="4" w:space="0"/>
            </w:tcBorders>
            <w:vAlign w:val="center"/>
          </w:tcPr>
          <w:p w14:paraId="34BA325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vAlign w:val="center"/>
          </w:tcPr>
          <w:p w14:paraId="6629E6A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7081A31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21" w:type="pct"/>
            <w:tcBorders>
              <w:top w:val="single" w:color="auto" w:sz="4" w:space="0"/>
              <w:left w:val="single" w:color="auto" w:sz="4" w:space="0"/>
              <w:bottom w:val="single" w:color="auto" w:sz="4" w:space="0"/>
              <w:right w:val="single" w:color="auto" w:sz="4" w:space="0"/>
            </w:tcBorders>
            <w:vAlign w:val="center"/>
          </w:tcPr>
          <w:p w14:paraId="385A020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1" w:type="pct"/>
            <w:tcBorders>
              <w:top w:val="single" w:color="auto" w:sz="4" w:space="0"/>
              <w:left w:val="single" w:color="auto" w:sz="4" w:space="0"/>
              <w:bottom w:val="single" w:color="auto" w:sz="4" w:space="0"/>
              <w:right w:val="single" w:color="auto" w:sz="4" w:space="0"/>
            </w:tcBorders>
            <w:vAlign w:val="center"/>
          </w:tcPr>
          <w:p w14:paraId="700C45D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7FBE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5901280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w:t>
            </w:r>
          </w:p>
        </w:tc>
        <w:tc>
          <w:tcPr>
            <w:tcW w:w="944" w:type="pct"/>
            <w:tcBorders>
              <w:top w:val="single" w:color="auto" w:sz="4" w:space="0"/>
              <w:left w:val="single" w:color="auto" w:sz="4" w:space="0"/>
              <w:bottom w:val="single" w:color="auto" w:sz="4" w:space="0"/>
              <w:right w:val="single" w:color="auto" w:sz="4" w:space="0"/>
            </w:tcBorders>
          </w:tcPr>
          <w:p w14:paraId="1C6A385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31FF3AB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277D512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52" w:type="pct"/>
            <w:tcBorders>
              <w:top w:val="single" w:color="auto" w:sz="4" w:space="0"/>
              <w:left w:val="single" w:color="auto" w:sz="4" w:space="0"/>
              <w:bottom w:val="single" w:color="auto" w:sz="4" w:space="0"/>
              <w:right w:val="single" w:color="auto" w:sz="4" w:space="0"/>
            </w:tcBorders>
            <w:vAlign w:val="center"/>
          </w:tcPr>
          <w:p w14:paraId="0D9F45F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9" w:type="pct"/>
            <w:tcBorders>
              <w:top w:val="single" w:color="auto" w:sz="4" w:space="0"/>
              <w:left w:val="single" w:color="auto" w:sz="4" w:space="0"/>
              <w:bottom w:val="single" w:color="auto" w:sz="4" w:space="0"/>
              <w:right w:val="single" w:color="auto" w:sz="4" w:space="0"/>
            </w:tcBorders>
            <w:vAlign w:val="center"/>
          </w:tcPr>
          <w:p w14:paraId="324C1E2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vAlign w:val="center"/>
          </w:tcPr>
          <w:p w14:paraId="2D2D769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442B501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21" w:type="pct"/>
            <w:tcBorders>
              <w:top w:val="single" w:color="auto" w:sz="4" w:space="0"/>
              <w:left w:val="single" w:color="auto" w:sz="4" w:space="0"/>
              <w:bottom w:val="single" w:color="auto" w:sz="4" w:space="0"/>
              <w:right w:val="single" w:color="auto" w:sz="4" w:space="0"/>
            </w:tcBorders>
            <w:vAlign w:val="center"/>
          </w:tcPr>
          <w:p w14:paraId="4CABE53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1" w:type="pct"/>
            <w:tcBorders>
              <w:top w:val="single" w:color="auto" w:sz="4" w:space="0"/>
              <w:left w:val="single" w:color="auto" w:sz="4" w:space="0"/>
              <w:bottom w:val="single" w:color="auto" w:sz="4" w:space="0"/>
              <w:right w:val="single" w:color="auto" w:sz="4" w:space="0"/>
            </w:tcBorders>
            <w:vAlign w:val="center"/>
          </w:tcPr>
          <w:p w14:paraId="7985093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2A59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5D6696A8">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p>
        </w:tc>
        <w:tc>
          <w:tcPr>
            <w:tcW w:w="944" w:type="pct"/>
            <w:tcBorders>
              <w:top w:val="single" w:color="auto" w:sz="4" w:space="0"/>
              <w:left w:val="single" w:color="auto" w:sz="4" w:space="0"/>
              <w:bottom w:val="single" w:color="auto" w:sz="4" w:space="0"/>
              <w:right w:val="single" w:color="auto" w:sz="4" w:space="0"/>
            </w:tcBorders>
          </w:tcPr>
          <w:p w14:paraId="43AE9B80">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1C9049A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66656DF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52" w:type="pct"/>
            <w:tcBorders>
              <w:top w:val="single" w:color="auto" w:sz="4" w:space="0"/>
              <w:left w:val="single" w:color="auto" w:sz="4" w:space="0"/>
              <w:bottom w:val="single" w:color="auto" w:sz="4" w:space="0"/>
              <w:right w:val="single" w:color="auto" w:sz="4" w:space="0"/>
            </w:tcBorders>
            <w:vAlign w:val="center"/>
          </w:tcPr>
          <w:p w14:paraId="5C37A93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9" w:type="pct"/>
            <w:tcBorders>
              <w:top w:val="single" w:color="auto" w:sz="4" w:space="0"/>
              <w:left w:val="single" w:color="auto" w:sz="4" w:space="0"/>
              <w:bottom w:val="single" w:color="auto" w:sz="4" w:space="0"/>
              <w:right w:val="single" w:color="auto" w:sz="4" w:space="0"/>
            </w:tcBorders>
            <w:vAlign w:val="center"/>
          </w:tcPr>
          <w:p w14:paraId="5E62933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vAlign w:val="center"/>
          </w:tcPr>
          <w:p w14:paraId="06B5A93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0228E0A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21" w:type="pct"/>
            <w:tcBorders>
              <w:top w:val="single" w:color="auto" w:sz="4" w:space="0"/>
              <w:left w:val="single" w:color="auto" w:sz="4" w:space="0"/>
              <w:bottom w:val="single" w:color="auto" w:sz="4" w:space="0"/>
              <w:right w:val="single" w:color="auto" w:sz="4" w:space="0"/>
            </w:tcBorders>
            <w:vAlign w:val="center"/>
          </w:tcPr>
          <w:p w14:paraId="753FE37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1" w:type="pct"/>
            <w:tcBorders>
              <w:top w:val="single" w:color="auto" w:sz="4" w:space="0"/>
              <w:left w:val="single" w:color="auto" w:sz="4" w:space="0"/>
              <w:bottom w:val="single" w:color="auto" w:sz="4" w:space="0"/>
              <w:right w:val="single" w:color="auto" w:sz="4" w:space="0"/>
            </w:tcBorders>
            <w:vAlign w:val="center"/>
          </w:tcPr>
          <w:p w14:paraId="2F06939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7878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56C4EF74">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w:t>
            </w:r>
          </w:p>
        </w:tc>
        <w:tc>
          <w:tcPr>
            <w:tcW w:w="944" w:type="pct"/>
            <w:tcBorders>
              <w:top w:val="single" w:color="auto" w:sz="4" w:space="0"/>
              <w:left w:val="single" w:color="auto" w:sz="4" w:space="0"/>
              <w:bottom w:val="single" w:color="auto" w:sz="4" w:space="0"/>
              <w:right w:val="single" w:color="auto" w:sz="4" w:space="0"/>
            </w:tcBorders>
          </w:tcPr>
          <w:p w14:paraId="5C230ED4">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47FCC51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4722CB2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52" w:type="pct"/>
            <w:tcBorders>
              <w:top w:val="single" w:color="auto" w:sz="4" w:space="0"/>
              <w:left w:val="single" w:color="auto" w:sz="4" w:space="0"/>
              <w:bottom w:val="single" w:color="auto" w:sz="4" w:space="0"/>
              <w:right w:val="single" w:color="auto" w:sz="4" w:space="0"/>
            </w:tcBorders>
            <w:vAlign w:val="center"/>
          </w:tcPr>
          <w:p w14:paraId="1CD8FE1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9" w:type="pct"/>
            <w:tcBorders>
              <w:top w:val="single" w:color="auto" w:sz="4" w:space="0"/>
              <w:left w:val="single" w:color="auto" w:sz="4" w:space="0"/>
              <w:bottom w:val="single" w:color="auto" w:sz="4" w:space="0"/>
              <w:right w:val="single" w:color="auto" w:sz="4" w:space="0"/>
            </w:tcBorders>
            <w:vAlign w:val="center"/>
          </w:tcPr>
          <w:p w14:paraId="4B98D7E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vAlign w:val="center"/>
          </w:tcPr>
          <w:p w14:paraId="419EA19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7DA8EE7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21" w:type="pct"/>
            <w:tcBorders>
              <w:top w:val="single" w:color="auto" w:sz="4" w:space="0"/>
              <w:left w:val="single" w:color="auto" w:sz="4" w:space="0"/>
              <w:bottom w:val="single" w:color="auto" w:sz="4" w:space="0"/>
              <w:right w:val="single" w:color="auto" w:sz="4" w:space="0"/>
            </w:tcBorders>
            <w:vAlign w:val="center"/>
          </w:tcPr>
          <w:p w14:paraId="54D0832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1" w:type="pct"/>
            <w:tcBorders>
              <w:top w:val="single" w:color="auto" w:sz="4" w:space="0"/>
              <w:left w:val="single" w:color="auto" w:sz="4" w:space="0"/>
              <w:bottom w:val="single" w:color="auto" w:sz="4" w:space="0"/>
              <w:right w:val="single" w:color="auto" w:sz="4" w:space="0"/>
            </w:tcBorders>
            <w:vAlign w:val="center"/>
          </w:tcPr>
          <w:p w14:paraId="5E442CD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4193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7" w:type="pct"/>
            <w:tcBorders>
              <w:top w:val="single" w:color="auto" w:sz="4" w:space="0"/>
              <w:left w:val="single" w:color="auto" w:sz="4" w:space="0"/>
              <w:bottom w:val="single" w:color="auto" w:sz="4" w:space="0"/>
              <w:right w:val="single" w:color="auto" w:sz="4" w:space="0"/>
            </w:tcBorders>
            <w:vAlign w:val="center"/>
          </w:tcPr>
          <w:p w14:paraId="4E6AD28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w:t>
            </w:r>
          </w:p>
        </w:tc>
        <w:tc>
          <w:tcPr>
            <w:tcW w:w="944" w:type="pct"/>
            <w:tcBorders>
              <w:top w:val="single" w:color="auto" w:sz="4" w:space="0"/>
              <w:left w:val="single" w:color="auto" w:sz="4" w:space="0"/>
              <w:bottom w:val="single" w:color="auto" w:sz="4" w:space="0"/>
              <w:right w:val="single" w:color="auto" w:sz="4" w:space="0"/>
            </w:tcBorders>
            <w:vAlign w:val="center"/>
          </w:tcPr>
          <w:p w14:paraId="731C6C79">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247A447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01A128E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52" w:type="pct"/>
            <w:tcBorders>
              <w:top w:val="single" w:color="auto" w:sz="4" w:space="0"/>
              <w:left w:val="single" w:color="auto" w:sz="4" w:space="0"/>
              <w:bottom w:val="single" w:color="auto" w:sz="4" w:space="0"/>
              <w:right w:val="single" w:color="auto" w:sz="4" w:space="0"/>
            </w:tcBorders>
            <w:vAlign w:val="center"/>
          </w:tcPr>
          <w:p w14:paraId="1EABDF9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9" w:type="pct"/>
            <w:tcBorders>
              <w:top w:val="single" w:color="auto" w:sz="4" w:space="0"/>
              <w:left w:val="single" w:color="auto" w:sz="4" w:space="0"/>
              <w:bottom w:val="single" w:color="auto" w:sz="4" w:space="0"/>
              <w:right w:val="single" w:color="auto" w:sz="4" w:space="0"/>
            </w:tcBorders>
            <w:vAlign w:val="center"/>
          </w:tcPr>
          <w:p w14:paraId="42ACA4DA">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464" w:type="pct"/>
            <w:tcBorders>
              <w:top w:val="single" w:color="auto" w:sz="4" w:space="0"/>
              <w:left w:val="single" w:color="auto" w:sz="4" w:space="0"/>
              <w:bottom w:val="single" w:color="auto" w:sz="4" w:space="0"/>
              <w:right w:val="single" w:color="auto" w:sz="4" w:space="0"/>
            </w:tcBorders>
            <w:vAlign w:val="center"/>
          </w:tcPr>
          <w:p w14:paraId="743D291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695ED42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21" w:type="pct"/>
            <w:tcBorders>
              <w:top w:val="single" w:color="auto" w:sz="4" w:space="0"/>
              <w:left w:val="single" w:color="auto" w:sz="4" w:space="0"/>
              <w:bottom w:val="single" w:color="auto" w:sz="4" w:space="0"/>
              <w:right w:val="single" w:color="auto" w:sz="4" w:space="0"/>
            </w:tcBorders>
            <w:vAlign w:val="center"/>
          </w:tcPr>
          <w:p w14:paraId="75FE23B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1" w:type="pct"/>
            <w:tcBorders>
              <w:top w:val="single" w:color="auto" w:sz="4" w:space="0"/>
              <w:left w:val="single" w:color="auto" w:sz="4" w:space="0"/>
              <w:bottom w:val="single" w:color="auto" w:sz="4" w:space="0"/>
              <w:right w:val="single" w:color="auto" w:sz="4" w:space="0"/>
            </w:tcBorders>
            <w:vAlign w:val="center"/>
          </w:tcPr>
          <w:p w14:paraId="31AC7F1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31AA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258" w:type="pct"/>
            <w:gridSpan w:val="8"/>
            <w:tcBorders>
              <w:top w:val="single" w:color="auto" w:sz="4" w:space="0"/>
              <w:left w:val="single" w:color="auto" w:sz="4" w:space="0"/>
              <w:bottom w:val="single" w:color="auto" w:sz="4" w:space="0"/>
              <w:right w:val="single" w:color="auto" w:sz="4" w:space="0"/>
            </w:tcBorders>
            <w:vAlign w:val="center"/>
          </w:tcPr>
          <w:p w14:paraId="5269C23B">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合计（不含税，元）</w:t>
            </w:r>
          </w:p>
        </w:tc>
        <w:tc>
          <w:tcPr>
            <w:tcW w:w="742" w:type="pct"/>
            <w:gridSpan w:val="2"/>
            <w:tcBorders>
              <w:top w:val="single" w:color="auto" w:sz="4" w:space="0"/>
              <w:left w:val="single" w:color="auto" w:sz="4" w:space="0"/>
              <w:bottom w:val="single" w:color="auto" w:sz="4" w:space="0"/>
              <w:right w:val="single" w:color="auto" w:sz="4" w:space="0"/>
            </w:tcBorders>
            <w:vAlign w:val="center"/>
          </w:tcPr>
          <w:p w14:paraId="3E4D2C52">
            <w:pPr>
              <w:spacing w:line="400" w:lineRule="exact"/>
              <w:rPr>
                <w:rFonts w:ascii="宋体" w:hAnsi="宋体" w:eastAsia="宋体" w:cs="Times New Roman"/>
                <w:color w:val="000000" w:themeColor="text1"/>
                <w:kern w:val="0"/>
                <w:szCs w:val="21"/>
                <w:highlight w:val="none"/>
                <w14:textFill>
                  <w14:solidFill>
                    <w14:schemeClr w14:val="tx1"/>
                  </w14:solidFill>
                </w14:textFill>
              </w:rPr>
            </w:pPr>
          </w:p>
        </w:tc>
      </w:tr>
    </w:tbl>
    <w:p w14:paraId="6871FF4D">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p>
    <w:p w14:paraId="785C26CE">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02499404">
      <w:pPr>
        <w:autoSpaceDE w:val="0"/>
        <w:autoSpaceDN w:val="0"/>
        <w:adjustRightInd w:val="0"/>
        <w:spacing w:line="360" w:lineRule="auto"/>
        <w:ind w:left="462" w:leftChars="18" w:hanging="424" w:hangingChars="20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（1）此表为投标报价表的分项报价表，投标人应根据项目招标范围内分项实际内容的数量填写和扩展本报价表。</w:t>
      </w:r>
    </w:p>
    <w:p w14:paraId="5BC01593">
      <w:pPr>
        <w:autoSpaceDE w:val="0"/>
        <w:autoSpaceDN w:val="0"/>
        <w:adjustRightInd w:val="0"/>
        <w:spacing w:line="360" w:lineRule="auto"/>
        <w:ind w:left="462" w:leftChars="18" w:hanging="424" w:hangingChars="20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7308841D">
      <w:pPr>
        <w:autoSpaceDE w:val="0"/>
        <w:autoSpaceDN w:val="0"/>
        <w:adjustRightInd w:val="0"/>
        <w:spacing w:line="360" w:lineRule="auto"/>
        <w:ind w:left="462" w:leftChars="18"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（3）报价保留小数点后两位。</w:t>
      </w:r>
    </w:p>
    <w:p w14:paraId="28C149F8">
      <w:pPr>
        <w:autoSpaceDE w:val="0"/>
        <w:autoSpaceDN w:val="0"/>
        <w:adjustRightInd w:val="0"/>
        <w:spacing w:line="360" w:lineRule="auto"/>
        <w:ind w:firstLine="315" w:firstLineChars="150"/>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投标人：（加盖投标人法人公章）</w:t>
      </w:r>
    </w:p>
    <w:p w14:paraId="1A3F6545">
      <w:pPr>
        <w:autoSpaceDE w:val="0"/>
        <w:autoSpaceDN w:val="0"/>
        <w:adjustRightInd w:val="0"/>
        <w:spacing w:line="360" w:lineRule="auto"/>
        <w:ind w:right="275" w:rightChars="131"/>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0D1CC80F">
      <w:pPr>
        <w:autoSpaceDE w:val="0"/>
        <w:autoSpaceDN w:val="0"/>
        <w:adjustRightInd w:val="0"/>
        <w:spacing w:line="360" w:lineRule="auto"/>
        <w:ind w:firstLine="5668" w:firstLineChars="2362"/>
        <w:rPr>
          <w:rFonts w:ascii="宋体" w:hAnsi="宋体" w:eastAsia="宋体" w:cs="Times New Roman"/>
          <w:color w:val="000000" w:themeColor="text1"/>
          <w:sz w:val="24"/>
          <w:szCs w:val="24"/>
          <w:highlight w:val="none"/>
          <w:lang w:val="zh-CN"/>
          <w14:textFill>
            <w14:solidFill>
              <w14:schemeClr w14:val="tx1"/>
            </w14:solidFill>
          </w14:textFill>
        </w:rPr>
      </w:pPr>
    </w:p>
    <w:p w14:paraId="24339F93">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br w:type="page"/>
      </w:r>
      <w:bookmarkStart w:id="743" w:name="_Toc102860418"/>
      <w:bookmarkStart w:id="744" w:name="_Toc1977725"/>
      <w:bookmarkStart w:id="745" w:name="_Toc94107209"/>
      <w:bookmarkStart w:id="746" w:name="_Toc24015"/>
      <w:bookmarkStart w:id="747" w:name="_Toc2755"/>
      <w:bookmarkStart w:id="748" w:name="_Toc140596928"/>
      <w:bookmarkStart w:id="749" w:name="_Toc18828"/>
      <w:bookmarkStart w:id="750" w:name="_Toc11308"/>
      <w:bookmarkStart w:id="751" w:name="_Toc102860074"/>
      <w:bookmarkStart w:id="752" w:name="_Toc32727"/>
      <w:bookmarkStart w:id="753" w:name="_Toc142508369"/>
      <w:bookmarkStart w:id="754" w:name="_Toc104991875"/>
      <w:bookmarkStart w:id="755" w:name="_Toc533708124"/>
      <w:bookmarkStart w:id="756" w:name="_Toc486167712"/>
      <w:bookmarkStart w:id="757" w:name="_Toc20759_WPSOffice_Level2"/>
      <w:r>
        <w:rPr>
          <w:rFonts w:hint="eastAsia" w:ascii="宋体" w:hAnsi="宋体" w:eastAsia="宋体" w:cs="宋体"/>
          <w:b/>
          <w:bCs/>
          <w:color w:val="000000" w:themeColor="text1"/>
          <w:sz w:val="30"/>
          <w:szCs w:val="30"/>
          <w:highlight w:val="none"/>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743"/>
      <w:bookmarkEnd w:id="744"/>
      <w:bookmarkEnd w:id="745"/>
      <w:bookmarkEnd w:id="746"/>
      <w:bookmarkEnd w:id="747"/>
      <w:bookmarkEnd w:id="748"/>
      <w:bookmarkEnd w:id="749"/>
      <w:bookmarkEnd w:id="750"/>
      <w:bookmarkEnd w:id="751"/>
      <w:bookmarkEnd w:id="752"/>
      <w:bookmarkEnd w:id="753"/>
      <w:bookmarkEnd w:id="754"/>
    </w:p>
    <w:p w14:paraId="6B7D7FC0">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758" w:name="_Toc30491"/>
      <w:bookmarkStart w:id="759" w:name="_Toc10466"/>
      <w:bookmarkStart w:id="760" w:name="_Toc7217"/>
      <w:bookmarkStart w:id="761" w:name="_Toc140596929"/>
      <w:bookmarkStart w:id="762" w:name="_Toc94107210"/>
      <w:bookmarkStart w:id="763" w:name="_Toc142508370"/>
      <w:bookmarkStart w:id="764" w:name="_Toc102860419"/>
      <w:bookmarkStart w:id="765" w:name="_Toc102860075"/>
      <w:bookmarkStart w:id="766" w:name="_Toc104991876"/>
      <w:bookmarkStart w:id="767" w:name="_Toc28382"/>
      <w:bookmarkStart w:id="768" w:name="_Toc31420"/>
      <w:bookmarkStart w:id="769" w:name="_Toc1977726"/>
      <w:r>
        <w:rPr>
          <w:rFonts w:hint="eastAsia" w:ascii="宋体" w:hAnsi="宋体" w:eastAsia="宋体" w:cs="宋体"/>
          <w:b/>
          <w:color w:val="000000" w:themeColor="text1"/>
          <w:kern w:val="0"/>
          <w:sz w:val="30"/>
          <w:szCs w:val="30"/>
          <w:highlight w:val="none"/>
          <w14:textFill>
            <w14:solidFill>
              <w14:schemeClr w14:val="tx1"/>
            </w14:solidFill>
          </w14:textFill>
        </w:rPr>
        <w:t>5.1 多证合一营业执照（或事业单位法人证书）复印件</w:t>
      </w:r>
      <w:bookmarkEnd w:id="758"/>
      <w:bookmarkEnd w:id="759"/>
      <w:bookmarkEnd w:id="760"/>
      <w:bookmarkEnd w:id="761"/>
      <w:bookmarkEnd w:id="762"/>
      <w:bookmarkEnd w:id="763"/>
      <w:bookmarkEnd w:id="764"/>
      <w:bookmarkEnd w:id="765"/>
      <w:bookmarkEnd w:id="766"/>
      <w:bookmarkEnd w:id="767"/>
      <w:bookmarkEnd w:id="768"/>
    </w:p>
    <w:p w14:paraId="489ACF2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5877501">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000000" w:themeColor="text1"/>
          <w:kern w:val="0"/>
          <w:szCs w:val="21"/>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p>
    <w:p w14:paraId="18E22DF0">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770" w:name="_Toc104991877"/>
      <w:bookmarkStart w:id="771" w:name="_Toc102860076"/>
      <w:bookmarkStart w:id="772" w:name="_Toc102860420"/>
      <w:bookmarkStart w:id="773" w:name="_Toc26345"/>
      <w:bookmarkStart w:id="774" w:name="_Toc2134"/>
      <w:bookmarkStart w:id="775" w:name="_Toc142508371"/>
      <w:bookmarkStart w:id="776" w:name="_Toc94107211"/>
      <w:bookmarkStart w:id="777" w:name="_Toc9489"/>
      <w:bookmarkStart w:id="778" w:name="_Toc140596930"/>
      <w:bookmarkStart w:id="779" w:name="_Toc28160"/>
      <w:bookmarkStart w:id="780" w:name="_Toc16695"/>
      <w:r>
        <w:rPr>
          <w:rFonts w:hint="eastAsia" w:ascii="宋体" w:hAnsi="宋体" w:eastAsia="宋体" w:cs="宋体"/>
          <w:b/>
          <w:color w:val="000000" w:themeColor="text1"/>
          <w:kern w:val="0"/>
          <w:sz w:val="30"/>
          <w:szCs w:val="30"/>
          <w:highlight w:val="none"/>
          <w14:textFill>
            <w14:solidFill>
              <w14:schemeClr w14:val="tx1"/>
            </w14:solidFill>
          </w14:textFill>
        </w:rPr>
        <w:t>5.2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770"/>
      <w:bookmarkEnd w:id="771"/>
      <w:bookmarkEnd w:id="772"/>
      <w:bookmarkEnd w:id="773"/>
      <w:bookmarkEnd w:id="774"/>
      <w:bookmarkEnd w:id="775"/>
      <w:bookmarkEnd w:id="776"/>
      <w:bookmarkEnd w:id="777"/>
      <w:bookmarkEnd w:id="778"/>
      <w:bookmarkEnd w:id="779"/>
      <w:bookmarkEnd w:id="780"/>
    </w:p>
    <w:p w14:paraId="38090CA8">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781" w:name="_Toc25306"/>
      <w:bookmarkStart w:id="782" w:name="_Toc94107212"/>
      <w:bookmarkStart w:id="783" w:name="_Toc21657"/>
      <w:bookmarkStart w:id="784" w:name="_Toc102860077"/>
      <w:bookmarkStart w:id="785" w:name="_Toc142508372"/>
      <w:bookmarkStart w:id="786" w:name="_Toc104991878"/>
      <w:bookmarkStart w:id="787" w:name="_Toc644"/>
      <w:bookmarkStart w:id="788" w:name="_Toc140596931"/>
      <w:bookmarkStart w:id="789" w:name="_Toc9851"/>
      <w:bookmarkStart w:id="790" w:name="_Toc102860421"/>
      <w:bookmarkStart w:id="791" w:name="_Toc5607"/>
      <w:r>
        <w:rPr>
          <w:rFonts w:hint="eastAsia" w:ascii="宋体" w:hAnsi="宋体" w:eastAsia="宋体" w:cs="宋体"/>
          <w:b/>
          <w:color w:val="000000" w:themeColor="text1"/>
          <w:kern w:val="0"/>
          <w:sz w:val="30"/>
          <w:szCs w:val="30"/>
          <w:highlight w:val="none"/>
          <w14:textFill>
            <w14:solidFill>
              <w14:schemeClr w14:val="tx1"/>
            </w14:solidFill>
          </w14:textFill>
        </w:rPr>
        <w:t>5.3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781"/>
      <w:bookmarkEnd w:id="782"/>
      <w:bookmarkEnd w:id="783"/>
      <w:bookmarkEnd w:id="784"/>
      <w:bookmarkEnd w:id="785"/>
      <w:bookmarkEnd w:id="786"/>
      <w:bookmarkEnd w:id="787"/>
      <w:bookmarkEnd w:id="788"/>
      <w:bookmarkEnd w:id="789"/>
      <w:bookmarkEnd w:id="790"/>
      <w:bookmarkEnd w:id="791"/>
    </w:p>
    <w:p w14:paraId="4E3752E9">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755"/>
      <w:bookmarkEnd w:id="756"/>
      <w:bookmarkEnd w:id="757"/>
      <w:bookmarkEnd w:id="769"/>
    </w:p>
    <w:p w14:paraId="3B74923B">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14:paraId="021AB642">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792"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793" w:name="_Toc45995270"/>
      <w:bookmarkStart w:id="794" w:name="_Toc36971359"/>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792"/>
    </w:p>
    <w:bookmarkEnd w:id="793"/>
    <w:bookmarkEnd w:id="794"/>
    <w:p w14:paraId="55CEA6C4">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73E08E29">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08BAAD63">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7C9A776B">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4CE43683">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6A0C1621">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6CB9E852">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3312870E">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68D3E1E6">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238E2F24">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7EBDC55"/>
                          <w:p w14:paraId="3E708916"/>
                          <w:p w14:paraId="7E47F385"/>
                          <w:p w14:paraId="2956300D"/>
                          <w:p w14:paraId="6A7E2A94">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7EBDC55"/>
                    <w:p w14:paraId="3E708916"/>
                    <w:p w14:paraId="7E47F385"/>
                    <w:p w14:paraId="2956300D"/>
                    <w:p w14:paraId="6A7E2A94">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315242D"/>
                          <w:p w14:paraId="1D19B9C0"/>
                          <w:p w14:paraId="7EF7C7B3"/>
                          <w:p w14:paraId="02B50CC7"/>
                          <w:p w14:paraId="76B7CD63">
                            <w:pPr>
                              <w:jc w:val="center"/>
                              <w:rPr>
                                <w:szCs w:val="21"/>
                              </w:rPr>
                            </w:pPr>
                            <w:r>
                              <w:rPr>
                                <w:rFonts w:hint="eastAsia"/>
                                <w:szCs w:val="21"/>
                              </w:rPr>
                              <w:t>法定代表人身份证反面</w:t>
                            </w:r>
                          </w:p>
                          <w:p w14:paraId="044F376C">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315242D"/>
                    <w:p w14:paraId="1D19B9C0"/>
                    <w:p w14:paraId="7EF7C7B3"/>
                    <w:p w14:paraId="02B50CC7"/>
                    <w:p w14:paraId="76B7CD63">
                      <w:pPr>
                        <w:jc w:val="center"/>
                        <w:rPr>
                          <w:szCs w:val="21"/>
                        </w:rPr>
                      </w:pPr>
                      <w:r>
                        <w:rPr>
                          <w:rFonts w:hint="eastAsia"/>
                          <w:szCs w:val="21"/>
                        </w:rPr>
                        <w:t>法定代表人身份证反面</w:t>
                      </w:r>
                    </w:p>
                    <w:p w14:paraId="044F376C">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3E5AD77"/>
                          <w:p w14:paraId="3D3C757D"/>
                          <w:p w14:paraId="53740C48"/>
                          <w:p w14:paraId="26081820"/>
                          <w:p w14:paraId="1F9241AB">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23E5AD77"/>
                    <w:p w14:paraId="3D3C757D"/>
                    <w:p w14:paraId="53740C48"/>
                    <w:p w14:paraId="26081820"/>
                    <w:p w14:paraId="1F9241AB">
                      <w:pPr>
                        <w:jc w:val="center"/>
                      </w:pPr>
                      <w:r>
                        <w:rPr>
                          <w:rFonts w:hint="eastAsia"/>
                        </w:rPr>
                        <w:t>身份证正面</w:t>
                      </w:r>
                    </w:p>
                  </w:txbxContent>
                </v:textbox>
              </v:shape>
            </w:pict>
          </mc:Fallback>
        </mc:AlternateContent>
      </w:r>
    </w:p>
    <w:p w14:paraId="20B331D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58C2D66">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DB6542F">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6C85669">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EA7AAA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149839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C4AB61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9384F9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0525FC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3300105">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13A40678">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1698EFCE">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04346CE2">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671"/>
      <w:bookmarkEnd w:id="672"/>
      <w:bookmarkEnd w:id="673"/>
      <w:bookmarkStart w:id="795" w:name="_Toc486167713"/>
      <w:bookmarkStart w:id="796" w:name="_Toc533708125"/>
      <w:bookmarkStart w:id="797" w:name="_Toc1977727"/>
      <w:bookmarkStart w:id="798" w:name="_Toc6240_WPSOffice_Level2"/>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795"/>
      <w:bookmarkEnd w:id="796"/>
      <w:bookmarkEnd w:id="797"/>
      <w:bookmarkEnd w:id="798"/>
    </w:p>
    <w:p w14:paraId="6A41D2AC">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7A3BEFA4">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799"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799"/>
    </w:p>
    <w:p w14:paraId="68655AA4">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13532D5B">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致：东莞市水务集团科技发展有限公司</w:t>
      </w:r>
    </w:p>
    <w:p w14:paraId="78FFC57C">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14:textFill>
            <w14:solidFill>
              <w14:schemeClr w14:val="tx1"/>
            </w14:solidFill>
          </w14:textFill>
        </w:rPr>
        <w:t>东莞市水务集团科技发展有限公司屋顶分布式光伏发电（一期）采购项目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广建咨询（东招）2024-0133号</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0748268D">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75FBB67A">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54945C8E">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5AAFA5B3">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1F74B65F">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5B851508">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1B84A86E">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4B3E333E">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2C409C9A">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45C499EF">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2252456F">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493E847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D7E54DE"/>
                          <w:p w14:paraId="228ACBB3"/>
                          <w:p w14:paraId="41B56007"/>
                          <w:p w14:paraId="6631C9C0"/>
                          <w:p w14:paraId="1F15C975">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6D7E54DE"/>
                    <w:p w14:paraId="228ACBB3"/>
                    <w:p w14:paraId="41B56007"/>
                    <w:p w14:paraId="6631C9C0"/>
                    <w:p w14:paraId="1F15C975">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752C4A3"/>
                          <w:p w14:paraId="6D4E8E4F"/>
                          <w:p w14:paraId="79B65885"/>
                          <w:p w14:paraId="636ECED7"/>
                          <w:p w14:paraId="2D01F6EE">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6752C4A3"/>
                    <w:p w14:paraId="6D4E8E4F"/>
                    <w:p w14:paraId="79B65885"/>
                    <w:p w14:paraId="636ECED7"/>
                    <w:p w14:paraId="2D01F6EE">
                      <w:pPr>
                        <w:jc w:val="center"/>
                        <w:rPr>
                          <w:rFonts w:hAnsi="宋体"/>
                        </w:rPr>
                      </w:pPr>
                      <w:r>
                        <w:rPr>
                          <w:rFonts w:hint="eastAsia" w:hAnsi="宋体"/>
                        </w:rPr>
                        <w:t>法定代表人身份证正面</w:t>
                      </w:r>
                    </w:p>
                  </w:txbxContent>
                </v:textbox>
              </v:shape>
            </w:pict>
          </mc:Fallback>
        </mc:AlternateContent>
      </w:r>
    </w:p>
    <w:p w14:paraId="7E6CE4E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297698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5B875F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092BD0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86B95A1">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2582FA2">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C28342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bookmarkStart w:id="800" w:name="OLE_LINK402"/>
    </w:p>
    <w:bookmarkEnd w:id="800"/>
    <w:p w14:paraId="2D651E3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B444B31">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3220E05"/>
                          <w:p w14:paraId="4C807BE1">
                            <w:pPr>
                              <w:jc w:val="center"/>
                              <w:rPr>
                                <w:rFonts w:hAnsi="宋体"/>
                                <w:color w:val="FF0000"/>
                              </w:rPr>
                            </w:pPr>
                          </w:p>
                          <w:p w14:paraId="781D4B11">
                            <w:pPr>
                              <w:jc w:val="center"/>
                              <w:rPr>
                                <w:rFonts w:hAnsi="宋体"/>
                                <w:color w:val="FF0000"/>
                              </w:rPr>
                            </w:pPr>
                          </w:p>
                          <w:p w14:paraId="16D5C456">
                            <w:pPr>
                              <w:jc w:val="center"/>
                              <w:rPr>
                                <w:rFonts w:hAnsi="宋体"/>
                                <w:color w:val="FF0000"/>
                              </w:rPr>
                            </w:pPr>
                          </w:p>
                          <w:p w14:paraId="21D9E625">
                            <w:pPr>
                              <w:jc w:val="center"/>
                            </w:pPr>
                            <w:r>
                              <w:rPr>
                                <w:rFonts w:hint="eastAsia" w:hAnsi="宋体"/>
                              </w:rPr>
                              <w:t>被授权人身份证反面</w:t>
                            </w:r>
                          </w:p>
                          <w:p w14:paraId="3F5ED72F"/>
                          <w:p w14:paraId="3471F35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03220E05"/>
                    <w:p w14:paraId="4C807BE1">
                      <w:pPr>
                        <w:jc w:val="center"/>
                        <w:rPr>
                          <w:rFonts w:hAnsi="宋体"/>
                          <w:color w:val="FF0000"/>
                        </w:rPr>
                      </w:pPr>
                    </w:p>
                    <w:p w14:paraId="781D4B11">
                      <w:pPr>
                        <w:jc w:val="center"/>
                        <w:rPr>
                          <w:rFonts w:hAnsi="宋体"/>
                          <w:color w:val="FF0000"/>
                        </w:rPr>
                      </w:pPr>
                    </w:p>
                    <w:p w14:paraId="16D5C456">
                      <w:pPr>
                        <w:jc w:val="center"/>
                        <w:rPr>
                          <w:rFonts w:hAnsi="宋体"/>
                          <w:color w:val="FF0000"/>
                        </w:rPr>
                      </w:pPr>
                    </w:p>
                    <w:p w14:paraId="21D9E625">
                      <w:pPr>
                        <w:jc w:val="center"/>
                      </w:pPr>
                      <w:r>
                        <w:rPr>
                          <w:rFonts w:hint="eastAsia" w:hAnsi="宋体"/>
                        </w:rPr>
                        <w:t>被授权人身份证反面</w:t>
                      </w:r>
                    </w:p>
                    <w:p w14:paraId="3F5ED72F"/>
                    <w:p w14:paraId="3471F354"/>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0A6BFF8"/>
                          <w:p w14:paraId="281F691C">
                            <w:pPr>
                              <w:jc w:val="center"/>
                              <w:rPr>
                                <w:rFonts w:hAnsi="宋体"/>
                                <w:color w:val="FF0000"/>
                              </w:rPr>
                            </w:pPr>
                          </w:p>
                          <w:p w14:paraId="58100CBF">
                            <w:pPr>
                              <w:jc w:val="center"/>
                              <w:rPr>
                                <w:rFonts w:hAnsi="宋体"/>
                                <w:color w:val="FF0000"/>
                              </w:rPr>
                            </w:pPr>
                          </w:p>
                          <w:p w14:paraId="7AC5D05A">
                            <w:pPr>
                              <w:jc w:val="center"/>
                              <w:rPr>
                                <w:rFonts w:hAnsi="宋体"/>
                                <w:color w:val="FF0000"/>
                              </w:rPr>
                            </w:pPr>
                          </w:p>
                          <w:p w14:paraId="11D70C27">
                            <w:pPr>
                              <w:jc w:val="center"/>
                            </w:pPr>
                            <w:r>
                              <w:rPr>
                                <w:rFonts w:hint="eastAsia" w:hAnsi="宋体"/>
                              </w:rPr>
                              <w:t>被授权人身份证正面</w:t>
                            </w:r>
                          </w:p>
                          <w:p w14:paraId="01F9E699"/>
                          <w:p w14:paraId="6B10386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0A6BFF8"/>
                    <w:p w14:paraId="281F691C">
                      <w:pPr>
                        <w:jc w:val="center"/>
                        <w:rPr>
                          <w:rFonts w:hAnsi="宋体"/>
                          <w:color w:val="FF0000"/>
                        </w:rPr>
                      </w:pPr>
                    </w:p>
                    <w:p w14:paraId="58100CBF">
                      <w:pPr>
                        <w:jc w:val="center"/>
                        <w:rPr>
                          <w:rFonts w:hAnsi="宋体"/>
                          <w:color w:val="FF0000"/>
                        </w:rPr>
                      </w:pPr>
                    </w:p>
                    <w:p w14:paraId="7AC5D05A">
                      <w:pPr>
                        <w:jc w:val="center"/>
                        <w:rPr>
                          <w:rFonts w:hAnsi="宋体"/>
                          <w:color w:val="FF0000"/>
                        </w:rPr>
                      </w:pPr>
                    </w:p>
                    <w:p w14:paraId="11D70C27">
                      <w:pPr>
                        <w:jc w:val="center"/>
                      </w:pPr>
                      <w:r>
                        <w:rPr>
                          <w:rFonts w:hint="eastAsia" w:hAnsi="宋体"/>
                        </w:rPr>
                        <w:t>被授权人身份证正面</w:t>
                      </w:r>
                    </w:p>
                    <w:p w14:paraId="01F9E699"/>
                    <w:p w14:paraId="6B10386C"/>
                  </w:txbxContent>
                </v:textbox>
              </v:shape>
            </w:pict>
          </mc:Fallback>
        </mc:AlternateContent>
      </w:r>
    </w:p>
    <w:p w14:paraId="2605674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857C56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A3D5D4F">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F31657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50E177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45EF09D">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69F274F4">
      <w:pPr>
        <w:pStyle w:val="5"/>
        <w:pageBreakBefore/>
        <w:spacing w:line="360" w:lineRule="auto"/>
        <w:rPr>
          <w:rFonts w:hAnsi="宋体" w:cs="宋体"/>
          <w:b/>
          <w:color w:val="000000" w:themeColor="text1"/>
          <w:sz w:val="30"/>
          <w:szCs w:val="30"/>
          <w:highlight w:val="none"/>
          <w14:textFill>
            <w14:solidFill>
              <w14:schemeClr w14:val="tx1"/>
            </w14:solidFill>
          </w14:textFill>
        </w:rPr>
      </w:pPr>
      <w:bookmarkStart w:id="801" w:name="_Toc15355"/>
      <w:bookmarkStart w:id="802" w:name="_Toc29117"/>
      <w:bookmarkStart w:id="803" w:name="_Toc30553"/>
      <w:bookmarkStart w:id="804" w:name="OLE_LINK405"/>
      <w:bookmarkStart w:id="805" w:name="_Toc30070"/>
      <w:bookmarkStart w:id="806" w:name="_Toc8338"/>
      <w:bookmarkStart w:id="807" w:name="_Toc104991880"/>
      <w:bookmarkStart w:id="808" w:name="_Toc1977730"/>
      <w:bookmarkStart w:id="809" w:name="_Toc142508373"/>
      <w:bookmarkStart w:id="810" w:name="_Toc94107214"/>
      <w:bookmarkStart w:id="811" w:name="_Toc140596933"/>
      <w:r>
        <w:rPr>
          <w:rFonts w:hint="eastAsia" w:hAnsi="宋体" w:cs="宋体"/>
          <w:b/>
          <w:color w:val="000000" w:themeColor="text1"/>
          <w:sz w:val="30"/>
          <w:szCs w:val="30"/>
          <w:highlight w:val="none"/>
          <w14:textFill>
            <w14:solidFill>
              <w14:schemeClr w14:val="tx1"/>
            </w14:solidFill>
          </w14:textFill>
        </w:rPr>
        <w:t>5.4 本项目的特定资格要求</w:t>
      </w:r>
      <w:bookmarkEnd w:id="801"/>
      <w:bookmarkEnd w:id="802"/>
      <w:bookmarkEnd w:id="803"/>
    </w:p>
    <w:p w14:paraId="157D9779">
      <w:pPr>
        <w:spacing w:line="360" w:lineRule="auto"/>
        <w:ind w:firstLine="420" w:firstLineChars="200"/>
        <w:rPr>
          <w:rFonts w:ascii="宋体" w:hAnsi="宋体" w:eastAsia="宋体" w:cs="宋体"/>
          <w:color w:val="000000" w:themeColor="text1"/>
          <w:highlight w:val="none"/>
          <w14:textFill>
            <w14:solidFill>
              <w14:schemeClr w14:val="tx1"/>
            </w14:solidFill>
          </w14:textFill>
        </w:rPr>
      </w:pPr>
      <w:bookmarkStart w:id="812" w:name="OLE_LINK404"/>
      <w:r>
        <w:rPr>
          <w:rFonts w:hint="eastAsia" w:hAnsi="宋体" w:eastAsia="宋体"/>
          <w:bCs/>
          <w:color w:val="000000" w:themeColor="text1"/>
          <w:szCs w:val="21"/>
          <w:highlight w:val="none"/>
          <w:lang w:val="zh-CN"/>
          <w14:textFill>
            <w14:solidFill>
              <w14:schemeClr w14:val="tx1"/>
            </w14:solidFill>
          </w14:textFill>
        </w:rPr>
        <w:t>（</w:t>
      </w:r>
      <w:r>
        <w:rPr>
          <w:rFonts w:hint="eastAsia" w:hAnsi="宋体" w:eastAsia="宋体"/>
          <w:bCs/>
          <w:color w:val="000000" w:themeColor="text1"/>
          <w:szCs w:val="21"/>
          <w:highlight w:val="none"/>
          <w14:textFill>
            <w14:solidFill>
              <w14:schemeClr w14:val="tx1"/>
            </w14:solidFill>
          </w14:textFill>
        </w:rPr>
        <w:t>1</w:t>
      </w:r>
      <w:r>
        <w:rPr>
          <w:rFonts w:hint="eastAsia" w:hAnsi="宋体" w:eastAsia="宋体"/>
          <w:bCs/>
          <w:color w:val="000000" w:themeColor="text1"/>
          <w:szCs w:val="21"/>
          <w:highlight w:val="none"/>
          <w:lang w:val="zh-CN"/>
          <w14:textFill>
            <w14:solidFill>
              <w14:schemeClr w14:val="tx1"/>
            </w14:solidFill>
          </w14:textFill>
        </w:rPr>
        <w:t>）</w:t>
      </w:r>
      <w:r>
        <w:rPr>
          <w:rFonts w:hint="eastAsia" w:hAnsi="宋体" w:eastAsia="宋体"/>
          <w:bCs/>
          <w:color w:val="000000" w:themeColor="text1"/>
          <w:szCs w:val="21"/>
          <w:highlight w:val="none"/>
          <w14:textFill>
            <w14:solidFill>
              <w14:schemeClr w14:val="tx1"/>
            </w14:solidFill>
          </w14:textFill>
        </w:rPr>
        <w:t>供货安装</w:t>
      </w:r>
      <w:r>
        <w:rPr>
          <w:rFonts w:hint="eastAsia" w:hAnsi="宋体" w:eastAsia="宋体"/>
          <w:bCs/>
          <w:color w:val="000000" w:themeColor="text1"/>
          <w:szCs w:val="21"/>
          <w:highlight w:val="none"/>
          <w:lang w:val="zh-CN"/>
          <w14:textFill>
            <w14:solidFill>
              <w14:schemeClr w14:val="tx1"/>
            </w14:solidFill>
          </w14:textFill>
        </w:rPr>
        <w:t>资质：①具有以下其中一种资质：a）电力工程施工总承包</w:t>
      </w:r>
      <w:r>
        <w:rPr>
          <w:rFonts w:hint="eastAsia" w:hAnsi="宋体" w:eastAsia="宋体"/>
          <w:bCs/>
          <w:color w:val="000000" w:themeColor="text1"/>
          <w:szCs w:val="21"/>
          <w:highlight w:val="none"/>
          <w14:textFill>
            <w14:solidFill>
              <w14:schemeClr w14:val="tx1"/>
            </w14:solidFill>
          </w14:textFill>
        </w:rPr>
        <w:t>乙级</w:t>
      </w:r>
      <w:r>
        <w:rPr>
          <w:rFonts w:hint="eastAsia" w:hAnsi="宋体" w:eastAsia="宋体"/>
          <w:bCs/>
          <w:color w:val="000000" w:themeColor="text1"/>
          <w:szCs w:val="21"/>
          <w:highlight w:val="none"/>
          <w:lang w:val="zh-CN"/>
          <w14:textFill>
            <w14:solidFill>
              <w14:schemeClr w14:val="tx1"/>
            </w14:solidFill>
          </w14:textFill>
        </w:rPr>
        <w:t>（或以上）企业资质；</w:t>
      </w:r>
      <w:r>
        <w:rPr>
          <w:rFonts w:hint="eastAsia" w:hAnsi="宋体" w:eastAsia="宋体"/>
          <w:bCs/>
          <w:color w:val="000000" w:themeColor="text1"/>
          <w:szCs w:val="21"/>
          <w:highlight w:val="none"/>
          <w14:textFill>
            <w14:solidFill>
              <w14:schemeClr w14:val="tx1"/>
            </w14:solidFill>
          </w14:textFill>
        </w:rPr>
        <w:t>b</w:t>
      </w:r>
      <w:r>
        <w:rPr>
          <w:rFonts w:hint="eastAsia" w:hAnsi="宋体" w:eastAsia="宋体"/>
          <w:bCs/>
          <w:color w:val="000000" w:themeColor="text1"/>
          <w:szCs w:val="21"/>
          <w:highlight w:val="none"/>
          <w:lang w:val="zh-CN"/>
          <w14:textFill>
            <w14:solidFill>
              <w14:schemeClr w14:val="tx1"/>
            </w14:solidFill>
          </w14:textFill>
        </w:rPr>
        <w:t>）输变电工程专业承包</w:t>
      </w:r>
      <w:r>
        <w:rPr>
          <w:rFonts w:hint="eastAsia" w:hAnsi="宋体" w:eastAsia="宋体"/>
          <w:bCs/>
          <w:color w:val="000000" w:themeColor="text1"/>
          <w:szCs w:val="21"/>
          <w:highlight w:val="none"/>
          <w14:textFill>
            <w14:solidFill>
              <w14:schemeClr w14:val="tx1"/>
            </w14:solidFill>
          </w14:textFill>
        </w:rPr>
        <w:t>乙级</w:t>
      </w:r>
      <w:r>
        <w:rPr>
          <w:rFonts w:hint="eastAsia" w:hAnsi="宋体" w:eastAsia="宋体"/>
          <w:bCs/>
          <w:color w:val="000000" w:themeColor="text1"/>
          <w:szCs w:val="21"/>
          <w:highlight w:val="none"/>
          <w:lang w:val="zh-CN"/>
          <w14:textFill>
            <w14:solidFill>
              <w14:schemeClr w14:val="tx1"/>
            </w14:solidFill>
          </w14:textFill>
        </w:rPr>
        <w:t>（或以上）企业资质；【</w:t>
      </w:r>
      <w:r>
        <w:rPr>
          <w:rFonts w:hint="eastAsia" w:hAnsi="宋体" w:eastAsia="宋体"/>
          <w:bCs/>
          <w:color w:val="000000" w:themeColor="text1"/>
          <w:szCs w:val="21"/>
          <w:highlight w:val="none"/>
          <w14:textFill>
            <w14:solidFill>
              <w14:schemeClr w14:val="tx1"/>
            </w14:solidFill>
          </w14:textFill>
        </w:rPr>
        <w:t>或更换资质证书前有效期内：</w:t>
      </w:r>
      <w:r>
        <w:rPr>
          <w:rFonts w:hint="eastAsia" w:hAnsi="宋体" w:eastAsia="宋体"/>
          <w:bCs/>
          <w:color w:val="000000" w:themeColor="text1"/>
          <w:szCs w:val="21"/>
          <w:highlight w:val="none"/>
          <w:lang w:val="zh-CN"/>
          <w14:textFill>
            <w14:solidFill>
              <w14:schemeClr w14:val="tx1"/>
            </w14:solidFill>
          </w14:textFill>
        </w:rPr>
        <w:t>电力工程施工总承包三级（或以上）企业资质；</w:t>
      </w:r>
      <w:r>
        <w:rPr>
          <w:rFonts w:hint="eastAsia" w:hAnsi="宋体" w:eastAsia="宋体"/>
          <w:bCs/>
          <w:color w:val="000000" w:themeColor="text1"/>
          <w:szCs w:val="21"/>
          <w:highlight w:val="none"/>
          <w14:textFill>
            <w14:solidFill>
              <w14:schemeClr w14:val="tx1"/>
            </w14:solidFill>
          </w14:textFill>
        </w:rPr>
        <w:t>或</w:t>
      </w:r>
      <w:r>
        <w:rPr>
          <w:rFonts w:hint="eastAsia" w:hAnsi="宋体" w:eastAsia="宋体"/>
          <w:bCs/>
          <w:color w:val="000000" w:themeColor="text1"/>
          <w:szCs w:val="21"/>
          <w:highlight w:val="none"/>
          <w:lang w:val="zh-CN"/>
          <w14:textFill>
            <w14:solidFill>
              <w14:schemeClr w14:val="tx1"/>
            </w14:solidFill>
          </w14:textFill>
        </w:rPr>
        <w:t>输变电工程专业承包三级（或以上）企业资质】；②具有《承装（修、试）电力设施许可证》承装类别五级或以上资质；③具有在效期内的《安全生产许可证》。（</w:t>
      </w:r>
      <w:r>
        <w:rPr>
          <w:rFonts w:hint="eastAsia" w:hAnsi="宋体" w:eastAsia="宋体"/>
          <w:bCs/>
          <w:color w:val="000000" w:themeColor="text1"/>
          <w:szCs w:val="21"/>
          <w:highlight w:val="none"/>
          <w14:textFill>
            <w14:solidFill>
              <w14:schemeClr w14:val="tx1"/>
            </w14:solidFill>
          </w14:textFill>
        </w:rPr>
        <w:t>2</w:t>
      </w:r>
      <w:r>
        <w:rPr>
          <w:rFonts w:hint="eastAsia" w:hAnsi="宋体" w:eastAsia="宋体"/>
          <w:bCs/>
          <w:color w:val="000000" w:themeColor="text1"/>
          <w:szCs w:val="21"/>
          <w:highlight w:val="none"/>
          <w:lang w:val="zh-CN"/>
          <w14:textFill>
            <w14:solidFill>
              <w14:schemeClr w14:val="tx1"/>
            </w14:solidFill>
          </w14:textFill>
        </w:rPr>
        <w:t>）设计资质：具有有效期内工程设计综合</w:t>
      </w:r>
      <w:r>
        <w:rPr>
          <w:rFonts w:hint="eastAsia" w:hAnsi="宋体" w:eastAsia="宋体"/>
          <w:bCs/>
          <w:color w:val="000000" w:themeColor="text1"/>
          <w:szCs w:val="21"/>
          <w:highlight w:val="none"/>
          <w14:textFill>
            <w14:solidFill>
              <w14:schemeClr w14:val="tx1"/>
            </w14:solidFill>
          </w14:textFill>
        </w:rPr>
        <w:t>甲级</w:t>
      </w:r>
      <w:r>
        <w:rPr>
          <w:rFonts w:hint="eastAsia" w:hAnsi="宋体" w:eastAsia="宋体"/>
          <w:bCs/>
          <w:color w:val="000000" w:themeColor="text1"/>
          <w:szCs w:val="21"/>
          <w:highlight w:val="none"/>
          <w:lang w:val="zh-CN"/>
          <w14:textFill>
            <w14:solidFill>
              <w14:schemeClr w14:val="tx1"/>
            </w14:solidFill>
          </w14:textFill>
        </w:rPr>
        <w:t>资质，或</w:t>
      </w:r>
      <w:r>
        <w:rPr>
          <w:rFonts w:hint="eastAsia" w:ascii="宋体" w:hAnsi="宋体" w:eastAsia="宋体"/>
          <w:bCs/>
          <w:color w:val="000000" w:themeColor="text1"/>
          <w:szCs w:val="21"/>
          <w:highlight w:val="none"/>
          <w:lang w:val="zh-CN"/>
          <w14:textFill>
            <w14:solidFill>
              <w14:schemeClr w14:val="tx1"/>
            </w14:solidFill>
          </w14:textFill>
        </w:rPr>
        <w:t>工程设计电力行业</w:t>
      </w:r>
      <w:r>
        <w:rPr>
          <w:rFonts w:hint="eastAsia" w:hAnsi="宋体" w:eastAsia="宋体"/>
          <w:bCs/>
          <w:color w:val="000000" w:themeColor="text1"/>
          <w:szCs w:val="21"/>
          <w:highlight w:val="none"/>
          <w:lang w:val="zh-CN"/>
          <w14:textFill>
            <w14:solidFill>
              <w14:schemeClr w14:val="tx1"/>
            </w14:solidFill>
          </w14:textFill>
        </w:rPr>
        <w:t>乙级（或以上）资质，或</w:t>
      </w:r>
      <w:r>
        <w:rPr>
          <w:rFonts w:hint="eastAsia" w:ascii="宋体" w:hAnsi="宋体" w:eastAsia="宋体"/>
          <w:bCs/>
          <w:color w:val="000000" w:themeColor="text1"/>
          <w:szCs w:val="21"/>
          <w:highlight w:val="none"/>
          <w:lang w:val="zh-CN"/>
          <w14:textFill>
            <w14:solidFill>
              <w14:schemeClr w14:val="tx1"/>
            </w14:solidFill>
          </w14:textFill>
        </w:rPr>
        <w:t>工程设计电力行业（送</w:t>
      </w:r>
      <w:r>
        <w:rPr>
          <w:rFonts w:hint="eastAsia" w:ascii="宋体" w:hAnsi="宋体" w:eastAsia="宋体"/>
          <w:bCs/>
          <w:color w:val="000000" w:themeColor="text1"/>
          <w:szCs w:val="21"/>
          <w:highlight w:val="none"/>
          <w14:textFill>
            <w14:solidFill>
              <w14:schemeClr w14:val="tx1"/>
            </w14:solidFill>
          </w14:textFill>
        </w:rPr>
        <w:t>变</w:t>
      </w:r>
      <w:r>
        <w:rPr>
          <w:rFonts w:hint="eastAsia" w:ascii="宋体" w:hAnsi="宋体" w:eastAsia="宋体"/>
          <w:bCs/>
          <w:color w:val="000000" w:themeColor="text1"/>
          <w:szCs w:val="21"/>
          <w:highlight w:val="none"/>
          <w:lang w:val="zh-CN"/>
          <w14:textFill>
            <w14:solidFill>
              <w14:schemeClr w14:val="tx1"/>
            </w14:solidFill>
          </w14:textFill>
        </w:rPr>
        <w:t>电工程）专业</w:t>
      </w:r>
      <w:r>
        <w:rPr>
          <w:rFonts w:hint="eastAsia" w:hAnsi="宋体" w:eastAsia="宋体"/>
          <w:bCs/>
          <w:color w:val="000000" w:themeColor="text1"/>
          <w:szCs w:val="21"/>
          <w:highlight w:val="none"/>
          <w:lang w:val="zh-CN"/>
          <w14:textFill>
            <w14:solidFill>
              <w14:schemeClr w14:val="tx1"/>
            </w14:solidFill>
          </w14:textFill>
        </w:rPr>
        <w:t>乙级（或以上）资质，或</w:t>
      </w:r>
      <w:r>
        <w:rPr>
          <w:rFonts w:hint="eastAsia" w:ascii="宋体" w:hAnsi="宋体" w:eastAsia="宋体"/>
          <w:bCs/>
          <w:color w:val="000000" w:themeColor="text1"/>
          <w:szCs w:val="21"/>
          <w:highlight w:val="none"/>
          <w:lang w:val="zh-CN"/>
          <w14:textFill>
            <w14:solidFill>
              <w14:schemeClr w14:val="tx1"/>
            </w14:solidFill>
          </w14:textFill>
        </w:rPr>
        <w:t>工程设计电力行业（新能源发电</w:t>
      </w:r>
      <w:r>
        <w:rPr>
          <w:rFonts w:hint="eastAsia" w:ascii="宋体" w:hAnsi="宋体" w:eastAsia="宋体"/>
          <w:bCs/>
          <w:color w:val="000000" w:themeColor="text1"/>
          <w:szCs w:val="21"/>
          <w:highlight w:val="none"/>
          <w14:textFill>
            <w14:solidFill>
              <w14:schemeClr w14:val="tx1"/>
            </w14:solidFill>
          </w14:textFill>
        </w:rPr>
        <w:t>工程</w:t>
      </w:r>
      <w:r>
        <w:rPr>
          <w:rFonts w:hint="eastAsia" w:ascii="宋体" w:hAnsi="宋体" w:eastAsia="宋体"/>
          <w:bCs/>
          <w:color w:val="000000" w:themeColor="text1"/>
          <w:szCs w:val="21"/>
          <w:highlight w:val="none"/>
          <w:lang w:val="zh-CN"/>
          <w14:textFill>
            <w14:solidFill>
              <w14:schemeClr w14:val="tx1"/>
            </w14:solidFill>
          </w14:textFill>
        </w:rPr>
        <w:t>）专业</w:t>
      </w:r>
      <w:r>
        <w:rPr>
          <w:rFonts w:hint="eastAsia" w:hAnsi="宋体" w:eastAsia="宋体"/>
          <w:bCs/>
          <w:color w:val="000000" w:themeColor="text1"/>
          <w:szCs w:val="21"/>
          <w:highlight w:val="none"/>
          <w:lang w:val="zh-CN"/>
          <w14:textFill>
            <w14:solidFill>
              <w14:schemeClr w14:val="tx1"/>
            </w14:solidFill>
          </w14:textFill>
        </w:rPr>
        <w:t>乙级（或以上）资质【</w:t>
      </w:r>
      <w:r>
        <w:rPr>
          <w:rFonts w:hint="eastAsia" w:hAnsi="宋体" w:eastAsia="宋体"/>
          <w:bCs/>
          <w:color w:val="000000" w:themeColor="text1"/>
          <w:szCs w:val="21"/>
          <w:highlight w:val="none"/>
          <w14:textFill>
            <w14:solidFill>
              <w14:schemeClr w14:val="tx1"/>
            </w14:solidFill>
          </w14:textFill>
        </w:rPr>
        <w:t>或更换资质证书前有效期内</w:t>
      </w:r>
      <w:r>
        <w:rPr>
          <w:rFonts w:hint="eastAsia" w:ascii="宋体" w:hAnsi="宋体" w:eastAsia="宋体"/>
          <w:bCs/>
          <w:color w:val="000000" w:themeColor="text1"/>
          <w:szCs w:val="21"/>
          <w:highlight w:val="none"/>
          <w:lang w:val="zh-CN"/>
          <w14:textFill>
            <w14:solidFill>
              <w14:schemeClr w14:val="tx1"/>
            </w14:solidFill>
          </w14:textFill>
        </w:rPr>
        <w:t>：工程设计综合资质，或工程设计电力行业乙级（或以上）资质，或工程设计电力行业（送电工程或变电工程）专业丙级（或以上）资质，或工程设计电力行业（新能源发电）专业乙级资质</w:t>
      </w:r>
      <w:r>
        <w:rPr>
          <w:rFonts w:hint="eastAsia" w:hAnsi="宋体" w:eastAsia="宋体"/>
          <w:bCs/>
          <w:color w:val="000000" w:themeColor="text1"/>
          <w:szCs w:val="21"/>
          <w:highlight w:val="none"/>
          <w:lang w:val="zh-CN"/>
          <w14:textFill>
            <w14:solidFill>
              <w14:schemeClr w14:val="tx1"/>
            </w14:solidFill>
          </w14:textFill>
        </w:rPr>
        <w:t>】</w:t>
      </w:r>
      <w:r>
        <w:rPr>
          <w:rFonts w:hint="eastAsia" w:ascii="宋体" w:hAnsi="宋体" w:eastAsia="宋体"/>
          <w:bCs/>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【投标人提供以上资质证书复印件】</w:t>
      </w:r>
    </w:p>
    <w:bookmarkEnd w:id="804"/>
    <w:bookmarkEnd w:id="812"/>
    <w:p w14:paraId="0E28C6D7">
      <w:pPr>
        <w:pStyle w:val="5"/>
        <w:pageBreakBefore/>
        <w:spacing w:line="360" w:lineRule="auto"/>
        <w:rPr>
          <w:rFonts w:hAnsi="宋体"/>
          <w:b/>
          <w:color w:val="000000" w:themeColor="text1"/>
          <w:sz w:val="30"/>
          <w:szCs w:val="30"/>
          <w:highlight w:val="none"/>
          <w:lang w:val="zh-CN"/>
          <w14:textFill>
            <w14:solidFill>
              <w14:schemeClr w14:val="tx1"/>
            </w14:solidFill>
          </w14:textFill>
        </w:rPr>
      </w:pPr>
      <w:bookmarkStart w:id="813" w:name="_Toc31909"/>
      <w:bookmarkStart w:id="814" w:name="_Toc19135"/>
      <w:bookmarkStart w:id="815" w:name="_Toc30354"/>
      <w:r>
        <w:rPr>
          <w:rFonts w:hint="eastAsia" w:hAnsi="宋体" w:cs="宋体"/>
          <w:b/>
          <w:color w:val="000000" w:themeColor="text1"/>
          <w:sz w:val="30"/>
          <w:szCs w:val="30"/>
          <w:highlight w:val="none"/>
          <w14:textFill>
            <w14:solidFill>
              <w14:schemeClr w14:val="tx1"/>
            </w14:solidFill>
          </w14:textFill>
        </w:rPr>
        <w:t>5.5</w:t>
      </w:r>
      <w:r>
        <w:rPr>
          <w:rFonts w:hAnsi="宋体" w:cs="宋体"/>
          <w:b/>
          <w:color w:val="000000" w:themeColor="text1"/>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资格业绩</w:t>
      </w:r>
      <w:bookmarkStart w:id="816" w:name="OLE_LINK48"/>
      <w:r>
        <w:rPr>
          <w:rFonts w:hint="eastAsia" w:hAnsi="宋体"/>
          <w:b/>
          <w:bCs/>
          <w:color w:val="000000" w:themeColor="text1"/>
          <w:sz w:val="32"/>
          <w:szCs w:val="32"/>
          <w:highlight w:val="none"/>
          <w14:textFill>
            <w14:solidFill>
              <w14:schemeClr w14:val="tx1"/>
            </w14:solidFill>
          </w14:textFill>
        </w:rPr>
        <w:t>【投标人提供一份2019年1月1日以来</w:t>
      </w:r>
      <w:bookmarkStart w:id="817" w:name="OLE_LINK69"/>
      <w:r>
        <w:rPr>
          <w:rFonts w:hint="eastAsia" w:hAnsi="宋体"/>
          <w:b/>
          <w:bCs/>
          <w:color w:val="000000" w:themeColor="text1"/>
          <w:sz w:val="32"/>
          <w:szCs w:val="32"/>
          <w:highlight w:val="none"/>
          <w14:textFill>
            <w14:solidFill>
              <w14:schemeClr w14:val="tx1"/>
            </w14:solidFill>
          </w14:textFill>
        </w:rPr>
        <w:t>屋顶分布式光伏发电的</w:t>
      </w:r>
      <w:bookmarkEnd w:id="817"/>
      <w:r>
        <w:rPr>
          <w:rFonts w:hint="eastAsia" w:hAnsi="宋体" w:cs="宋体"/>
          <w:b/>
          <w:bCs/>
          <w:color w:val="000000" w:themeColor="text1"/>
          <w:sz w:val="32"/>
          <w:szCs w:val="32"/>
          <w:highlight w:val="none"/>
          <w14:textFill>
            <w14:solidFill>
              <w14:schemeClr w14:val="tx1"/>
            </w14:solidFill>
          </w14:textFill>
        </w:rPr>
        <w:t>业绩</w:t>
      </w:r>
      <w:r>
        <w:rPr>
          <w:rFonts w:hint="eastAsia" w:hAnsi="宋体"/>
          <w:b/>
          <w:bCs/>
          <w:color w:val="000000" w:themeColor="text1"/>
          <w:sz w:val="32"/>
          <w:szCs w:val="32"/>
          <w:highlight w:val="none"/>
          <w14:textFill>
            <w14:solidFill>
              <w14:schemeClr w14:val="tx1"/>
            </w14:solidFill>
          </w14:textFill>
        </w:rPr>
        <w:t>（合同签订日期为2019年1月1日或以后）</w:t>
      </w:r>
      <w:bookmarkEnd w:id="805"/>
      <w:bookmarkEnd w:id="806"/>
      <w:bookmarkEnd w:id="816"/>
      <w:r>
        <w:rPr>
          <w:rFonts w:hint="eastAsia" w:hAnsi="宋体"/>
          <w:b/>
          <w:bCs/>
          <w:color w:val="000000" w:themeColor="text1"/>
          <w:sz w:val="32"/>
          <w:szCs w:val="32"/>
          <w:highlight w:val="none"/>
          <w14:textFill>
            <w14:solidFill>
              <w14:schemeClr w14:val="tx1"/>
            </w14:solidFill>
          </w14:textFill>
        </w:rPr>
        <w:t>】</w:t>
      </w:r>
      <w:bookmarkEnd w:id="813"/>
      <w:bookmarkEnd w:id="814"/>
      <w:bookmarkEnd w:id="815"/>
    </w:p>
    <w:p w14:paraId="4D60DD54">
      <w:pPr>
        <w:spacing w:line="360" w:lineRule="auto"/>
        <w:rPr>
          <w:rFonts w:hAnsi="宋体"/>
          <w:color w:val="000000" w:themeColor="text1"/>
          <w:szCs w:val="21"/>
          <w:highlight w:val="none"/>
          <w:lang w:val="zh-CN"/>
          <w14:textFill>
            <w14:solidFill>
              <w14:schemeClr w14:val="tx1"/>
            </w14:solidFill>
          </w14:textFill>
        </w:rPr>
      </w:pPr>
    </w:p>
    <w:tbl>
      <w:tblPr>
        <w:tblStyle w:val="37"/>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70"/>
        <w:gridCol w:w="1116"/>
        <w:gridCol w:w="1439"/>
        <w:gridCol w:w="1439"/>
        <w:gridCol w:w="932"/>
        <w:gridCol w:w="736"/>
        <w:gridCol w:w="780"/>
        <w:gridCol w:w="1035"/>
        <w:gridCol w:w="833"/>
      </w:tblGrid>
      <w:tr w14:paraId="171C7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522" w:type="pct"/>
            <w:tcBorders>
              <w:top w:val="single" w:color="auto" w:sz="4" w:space="0"/>
              <w:left w:val="single" w:color="auto" w:sz="4" w:space="0"/>
              <w:bottom w:val="single" w:color="auto" w:sz="4" w:space="0"/>
              <w:right w:val="single" w:color="auto" w:sz="4" w:space="0"/>
            </w:tcBorders>
            <w:vAlign w:val="center"/>
          </w:tcPr>
          <w:p w14:paraId="1817B456">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601" w:type="pct"/>
            <w:tcBorders>
              <w:top w:val="single" w:color="auto" w:sz="4" w:space="0"/>
              <w:left w:val="single" w:color="auto" w:sz="4" w:space="0"/>
              <w:bottom w:val="single" w:color="auto" w:sz="4" w:space="0"/>
              <w:right w:val="single" w:color="auto" w:sz="4" w:space="0"/>
            </w:tcBorders>
            <w:vAlign w:val="center"/>
          </w:tcPr>
          <w:p w14:paraId="606E1265">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79C48DA5">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775" w:type="pct"/>
            <w:tcBorders>
              <w:top w:val="single" w:color="auto" w:sz="4" w:space="0"/>
              <w:left w:val="single" w:color="auto" w:sz="4" w:space="0"/>
              <w:bottom w:val="single" w:color="auto" w:sz="4" w:space="0"/>
              <w:right w:val="single" w:color="auto" w:sz="4" w:space="0"/>
            </w:tcBorders>
            <w:vAlign w:val="center"/>
          </w:tcPr>
          <w:p w14:paraId="047AF4CC">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775" w:type="pct"/>
            <w:tcBorders>
              <w:top w:val="single" w:color="auto" w:sz="4" w:space="0"/>
              <w:left w:val="single" w:color="auto" w:sz="4" w:space="0"/>
              <w:bottom w:val="single" w:color="auto" w:sz="4" w:space="0"/>
              <w:right w:val="single" w:color="auto" w:sz="4" w:space="0"/>
            </w:tcBorders>
            <w:vAlign w:val="center"/>
          </w:tcPr>
          <w:p w14:paraId="7C0DE157">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合同标的货物品牌</w:t>
            </w:r>
          </w:p>
        </w:tc>
        <w:tc>
          <w:tcPr>
            <w:tcW w:w="502" w:type="pct"/>
            <w:tcBorders>
              <w:top w:val="single" w:color="auto" w:sz="4" w:space="0"/>
              <w:left w:val="single" w:color="auto" w:sz="4" w:space="0"/>
              <w:bottom w:val="single" w:color="auto" w:sz="4" w:space="0"/>
              <w:right w:val="single" w:color="auto" w:sz="4" w:space="0"/>
            </w:tcBorders>
            <w:vAlign w:val="center"/>
          </w:tcPr>
          <w:p w14:paraId="3B8ABF64">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396" w:type="pct"/>
            <w:tcBorders>
              <w:top w:val="single" w:color="auto" w:sz="4" w:space="0"/>
              <w:left w:val="single" w:color="auto" w:sz="4" w:space="0"/>
              <w:bottom w:val="single" w:color="auto" w:sz="4" w:space="0"/>
              <w:right w:val="single" w:color="auto" w:sz="4" w:space="0"/>
            </w:tcBorders>
            <w:vAlign w:val="center"/>
          </w:tcPr>
          <w:p w14:paraId="54DD31AC">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签约</w:t>
            </w:r>
          </w:p>
          <w:p w14:paraId="44C7853A">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日期</w:t>
            </w:r>
          </w:p>
        </w:tc>
        <w:tc>
          <w:tcPr>
            <w:tcW w:w="420" w:type="pct"/>
            <w:tcBorders>
              <w:top w:val="single" w:color="auto" w:sz="4" w:space="0"/>
              <w:left w:val="single" w:color="auto" w:sz="4" w:space="0"/>
              <w:bottom w:val="single" w:color="auto" w:sz="4" w:space="0"/>
              <w:right w:val="single" w:color="auto" w:sz="4" w:space="0"/>
            </w:tcBorders>
            <w:vAlign w:val="center"/>
          </w:tcPr>
          <w:p w14:paraId="354ED192">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2BCA9D2A">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557" w:type="pct"/>
            <w:tcBorders>
              <w:top w:val="single" w:color="auto" w:sz="4" w:space="0"/>
              <w:left w:val="single" w:color="auto" w:sz="4" w:space="0"/>
              <w:bottom w:val="single" w:color="auto" w:sz="4" w:space="0"/>
              <w:right w:val="single" w:color="auto" w:sz="4" w:space="0"/>
            </w:tcBorders>
            <w:vAlign w:val="center"/>
          </w:tcPr>
          <w:p w14:paraId="16FC26E8">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448" w:type="pct"/>
            <w:tcBorders>
              <w:top w:val="single" w:color="auto" w:sz="4" w:space="0"/>
              <w:left w:val="single" w:color="auto" w:sz="4" w:space="0"/>
              <w:bottom w:val="single" w:color="auto" w:sz="4" w:space="0"/>
              <w:right w:val="single" w:color="auto" w:sz="4" w:space="0"/>
            </w:tcBorders>
            <w:vAlign w:val="center"/>
          </w:tcPr>
          <w:p w14:paraId="626D532B">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40341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522" w:type="pct"/>
            <w:tcBorders>
              <w:top w:val="single" w:color="auto" w:sz="4" w:space="0"/>
              <w:left w:val="single" w:color="auto" w:sz="4" w:space="0"/>
              <w:bottom w:val="single" w:color="auto" w:sz="4" w:space="0"/>
              <w:right w:val="single" w:color="auto" w:sz="4" w:space="0"/>
            </w:tcBorders>
            <w:vAlign w:val="center"/>
          </w:tcPr>
          <w:p w14:paraId="3B1A96A0">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601" w:type="pct"/>
            <w:tcBorders>
              <w:top w:val="single" w:color="auto" w:sz="4" w:space="0"/>
              <w:left w:val="single" w:color="auto" w:sz="4" w:space="0"/>
              <w:bottom w:val="single" w:color="auto" w:sz="4" w:space="0"/>
              <w:right w:val="single" w:color="auto" w:sz="4" w:space="0"/>
            </w:tcBorders>
            <w:vAlign w:val="center"/>
          </w:tcPr>
          <w:p w14:paraId="06113CB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75" w:type="pct"/>
            <w:tcBorders>
              <w:top w:val="single" w:color="auto" w:sz="4" w:space="0"/>
              <w:left w:val="single" w:color="auto" w:sz="4" w:space="0"/>
              <w:bottom w:val="single" w:color="auto" w:sz="4" w:space="0"/>
              <w:right w:val="single" w:color="auto" w:sz="4" w:space="0"/>
            </w:tcBorders>
            <w:vAlign w:val="center"/>
          </w:tcPr>
          <w:p w14:paraId="5E51E72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75" w:type="pct"/>
            <w:tcBorders>
              <w:top w:val="single" w:color="auto" w:sz="4" w:space="0"/>
              <w:left w:val="single" w:color="auto" w:sz="4" w:space="0"/>
              <w:bottom w:val="single" w:color="auto" w:sz="4" w:space="0"/>
              <w:right w:val="single" w:color="auto" w:sz="4" w:space="0"/>
            </w:tcBorders>
            <w:vAlign w:val="center"/>
          </w:tcPr>
          <w:p w14:paraId="071CC9D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2" w:type="pct"/>
            <w:tcBorders>
              <w:top w:val="single" w:color="auto" w:sz="4" w:space="0"/>
              <w:left w:val="single" w:color="auto" w:sz="4" w:space="0"/>
              <w:bottom w:val="single" w:color="auto" w:sz="4" w:space="0"/>
              <w:right w:val="single" w:color="auto" w:sz="4" w:space="0"/>
            </w:tcBorders>
          </w:tcPr>
          <w:p w14:paraId="7678D3D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6" w:type="pct"/>
            <w:tcBorders>
              <w:top w:val="single" w:color="auto" w:sz="4" w:space="0"/>
              <w:left w:val="single" w:color="auto" w:sz="4" w:space="0"/>
              <w:bottom w:val="single" w:color="auto" w:sz="4" w:space="0"/>
              <w:right w:val="single" w:color="auto" w:sz="4" w:space="0"/>
            </w:tcBorders>
            <w:vAlign w:val="center"/>
          </w:tcPr>
          <w:p w14:paraId="1463AD8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4F06015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57" w:type="pct"/>
            <w:tcBorders>
              <w:top w:val="single" w:color="auto" w:sz="4" w:space="0"/>
              <w:left w:val="single" w:color="auto" w:sz="4" w:space="0"/>
              <w:bottom w:val="single" w:color="auto" w:sz="4" w:space="0"/>
              <w:right w:val="single" w:color="auto" w:sz="4" w:space="0"/>
            </w:tcBorders>
            <w:vAlign w:val="center"/>
          </w:tcPr>
          <w:p w14:paraId="346D6D5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8" w:type="pct"/>
            <w:tcBorders>
              <w:top w:val="single" w:color="auto" w:sz="4" w:space="0"/>
              <w:left w:val="single" w:color="auto" w:sz="4" w:space="0"/>
              <w:bottom w:val="single" w:color="auto" w:sz="4" w:space="0"/>
              <w:right w:val="single" w:color="auto" w:sz="4" w:space="0"/>
            </w:tcBorders>
            <w:vAlign w:val="center"/>
          </w:tcPr>
          <w:p w14:paraId="6509B36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163FE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522" w:type="pct"/>
            <w:tcBorders>
              <w:top w:val="single" w:color="auto" w:sz="4" w:space="0"/>
              <w:left w:val="single" w:color="auto" w:sz="4" w:space="0"/>
              <w:bottom w:val="single" w:color="auto" w:sz="4" w:space="0"/>
              <w:right w:val="single" w:color="auto" w:sz="4" w:space="0"/>
            </w:tcBorders>
            <w:vAlign w:val="center"/>
          </w:tcPr>
          <w:p w14:paraId="29E502A3">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601" w:type="pct"/>
            <w:tcBorders>
              <w:top w:val="single" w:color="auto" w:sz="4" w:space="0"/>
              <w:left w:val="single" w:color="auto" w:sz="4" w:space="0"/>
              <w:bottom w:val="single" w:color="auto" w:sz="4" w:space="0"/>
              <w:right w:val="single" w:color="auto" w:sz="4" w:space="0"/>
            </w:tcBorders>
            <w:vAlign w:val="center"/>
          </w:tcPr>
          <w:p w14:paraId="51A2E34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75" w:type="pct"/>
            <w:tcBorders>
              <w:top w:val="single" w:color="auto" w:sz="4" w:space="0"/>
              <w:left w:val="single" w:color="auto" w:sz="4" w:space="0"/>
              <w:bottom w:val="single" w:color="auto" w:sz="4" w:space="0"/>
              <w:right w:val="single" w:color="auto" w:sz="4" w:space="0"/>
            </w:tcBorders>
            <w:vAlign w:val="center"/>
          </w:tcPr>
          <w:p w14:paraId="70F71B1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75" w:type="pct"/>
            <w:tcBorders>
              <w:top w:val="single" w:color="auto" w:sz="4" w:space="0"/>
              <w:left w:val="single" w:color="auto" w:sz="4" w:space="0"/>
              <w:bottom w:val="single" w:color="auto" w:sz="4" w:space="0"/>
              <w:right w:val="single" w:color="auto" w:sz="4" w:space="0"/>
            </w:tcBorders>
            <w:vAlign w:val="center"/>
          </w:tcPr>
          <w:p w14:paraId="52D7804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2" w:type="pct"/>
            <w:tcBorders>
              <w:top w:val="single" w:color="auto" w:sz="4" w:space="0"/>
              <w:left w:val="single" w:color="auto" w:sz="4" w:space="0"/>
              <w:bottom w:val="single" w:color="auto" w:sz="4" w:space="0"/>
              <w:right w:val="single" w:color="auto" w:sz="4" w:space="0"/>
            </w:tcBorders>
          </w:tcPr>
          <w:p w14:paraId="3060D06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6" w:type="pct"/>
            <w:tcBorders>
              <w:top w:val="single" w:color="auto" w:sz="4" w:space="0"/>
              <w:left w:val="single" w:color="auto" w:sz="4" w:space="0"/>
              <w:bottom w:val="single" w:color="auto" w:sz="4" w:space="0"/>
              <w:right w:val="single" w:color="auto" w:sz="4" w:space="0"/>
            </w:tcBorders>
            <w:vAlign w:val="center"/>
          </w:tcPr>
          <w:p w14:paraId="0D26CFA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24F8751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57" w:type="pct"/>
            <w:tcBorders>
              <w:top w:val="single" w:color="auto" w:sz="4" w:space="0"/>
              <w:left w:val="single" w:color="auto" w:sz="4" w:space="0"/>
              <w:bottom w:val="single" w:color="auto" w:sz="4" w:space="0"/>
              <w:right w:val="single" w:color="auto" w:sz="4" w:space="0"/>
            </w:tcBorders>
            <w:vAlign w:val="center"/>
          </w:tcPr>
          <w:p w14:paraId="6AB1854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8" w:type="pct"/>
            <w:tcBorders>
              <w:top w:val="single" w:color="auto" w:sz="4" w:space="0"/>
              <w:left w:val="single" w:color="auto" w:sz="4" w:space="0"/>
              <w:bottom w:val="single" w:color="auto" w:sz="4" w:space="0"/>
              <w:right w:val="single" w:color="auto" w:sz="4" w:space="0"/>
            </w:tcBorders>
            <w:vAlign w:val="center"/>
          </w:tcPr>
          <w:p w14:paraId="37536B1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7E9B0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522" w:type="pct"/>
            <w:tcBorders>
              <w:top w:val="single" w:color="auto" w:sz="4" w:space="0"/>
              <w:left w:val="single" w:color="auto" w:sz="4" w:space="0"/>
              <w:bottom w:val="single" w:color="auto" w:sz="4" w:space="0"/>
              <w:right w:val="single" w:color="auto" w:sz="4" w:space="0"/>
            </w:tcBorders>
            <w:vAlign w:val="center"/>
          </w:tcPr>
          <w:p w14:paraId="2B940FC6">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601" w:type="pct"/>
            <w:tcBorders>
              <w:top w:val="single" w:color="auto" w:sz="4" w:space="0"/>
              <w:left w:val="single" w:color="auto" w:sz="4" w:space="0"/>
              <w:bottom w:val="single" w:color="auto" w:sz="4" w:space="0"/>
              <w:right w:val="single" w:color="auto" w:sz="4" w:space="0"/>
            </w:tcBorders>
            <w:vAlign w:val="center"/>
          </w:tcPr>
          <w:p w14:paraId="6A2DFC2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75" w:type="pct"/>
            <w:tcBorders>
              <w:top w:val="single" w:color="auto" w:sz="4" w:space="0"/>
              <w:left w:val="single" w:color="auto" w:sz="4" w:space="0"/>
              <w:bottom w:val="single" w:color="auto" w:sz="4" w:space="0"/>
              <w:right w:val="single" w:color="auto" w:sz="4" w:space="0"/>
            </w:tcBorders>
            <w:vAlign w:val="center"/>
          </w:tcPr>
          <w:p w14:paraId="012EC96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75" w:type="pct"/>
            <w:tcBorders>
              <w:top w:val="single" w:color="auto" w:sz="4" w:space="0"/>
              <w:left w:val="single" w:color="auto" w:sz="4" w:space="0"/>
              <w:bottom w:val="single" w:color="auto" w:sz="4" w:space="0"/>
              <w:right w:val="single" w:color="auto" w:sz="4" w:space="0"/>
            </w:tcBorders>
            <w:vAlign w:val="center"/>
          </w:tcPr>
          <w:p w14:paraId="7AF1EDA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2" w:type="pct"/>
            <w:tcBorders>
              <w:top w:val="single" w:color="auto" w:sz="4" w:space="0"/>
              <w:left w:val="single" w:color="auto" w:sz="4" w:space="0"/>
              <w:bottom w:val="single" w:color="auto" w:sz="4" w:space="0"/>
              <w:right w:val="single" w:color="auto" w:sz="4" w:space="0"/>
            </w:tcBorders>
          </w:tcPr>
          <w:p w14:paraId="2E36189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6" w:type="pct"/>
            <w:tcBorders>
              <w:top w:val="single" w:color="auto" w:sz="4" w:space="0"/>
              <w:left w:val="single" w:color="auto" w:sz="4" w:space="0"/>
              <w:bottom w:val="single" w:color="auto" w:sz="4" w:space="0"/>
              <w:right w:val="single" w:color="auto" w:sz="4" w:space="0"/>
            </w:tcBorders>
            <w:vAlign w:val="center"/>
          </w:tcPr>
          <w:p w14:paraId="6C5991B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43393E2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57" w:type="pct"/>
            <w:tcBorders>
              <w:top w:val="single" w:color="auto" w:sz="4" w:space="0"/>
              <w:left w:val="single" w:color="auto" w:sz="4" w:space="0"/>
              <w:bottom w:val="single" w:color="auto" w:sz="4" w:space="0"/>
              <w:right w:val="single" w:color="auto" w:sz="4" w:space="0"/>
            </w:tcBorders>
            <w:vAlign w:val="center"/>
          </w:tcPr>
          <w:p w14:paraId="061147A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8" w:type="pct"/>
            <w:tcBorders>
              <w:top w:val="single" w:color="auto" w:sz="4" w:space="0"/>
              <w:left w:val="single" w:color="auto" w:sz="4" w:space="0"/>
              <w:bottom w:val="single" w:color="auto" w:sz="4" w:space="0"/>
              <w:right w:val="single" w:color="auto" w:sz="4" w:space="0"/>
            </w:tcBorders>
            <w:vAlign w:val="center"/>
          </w:tcPr>
          <w:p w14:paraId="5FF6154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7B37E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22" w:type="pct"/>
            <w:tcBorders>
              <w:top w:val="single" w:color="auto" w:sz="4" w:space="0"/>
              <w:left w:val="single" w:color="auto" w:sz="4" w:space="0"/>
              <w:bottom w:val="single" w:color="auto" w:sz="4" w:space="0"/>
              <w:right w:val="single" w:color="auto" w:sz="4" w:space="0"/>
            </w:tcBorders>
            <w:vAlign w:val="center"/>
          </w:tcPr>
          <w:p w14:paraId="1DA2D92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601" w:type="pct"/>
            <w:tcBorders>
              <w:top w:val="single" w:color="auto" w:sz="4" w:space="0"/>
              <w:left w:val="single" w:color="auto" w:sz="4" w:space="0"/>
              <w:bottom w:val="single" w:color="auto" w:sz="4" w:space="0"/>
              <w:right w:val="single" w:color="auto" w:sz="4" w:space="0"/>
            </w:tcBorders>
            <w:vAlign w:val="center"/>
          </w:tcPr>
          <w:p w14:paraId="0B71FE9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75" w:type="pct"/>
            <w:tcBorders>
              <w:top w:val="single" w:color="auto" w:sz="4" w:space="0"/>
              <w:left w:val="single" w:color="auto" w:sz="4" w:space="0"/>
              <w:bottom w:val="single" w:color="auto" w:sz="4" w:space="0"/>
              <w:right w:val="single" w:color="auto" w:sz="4" w:space="0"/>
            </w:tcBorders>
            <w:vAlign w:val="center"/>
          </w:tcPr>
          <w:p w14:paraId="2F40DAF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775" w:type="pct"/>
            <w:tcBorders>
              <w:top w:val="single" w:color="auto" w:sz="4" w:space="0"/>
              <w:left w:val="single" w:color="auto" w:sz="4" w:space="0"/>
              <w:bottom w:val="single" w:color="auto" w:sz="4" w:space="0"/>
              <w:right w:val="single" w:color="auto" w:sz="4" w:space="0"/>
            </w:tcBorders>
            <w:vAlign w:val="center"/>
          </w:tcPr>
          <w:p w14:paraId="661E30F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2" w:type="pct"/>
            <w:tcBorders>
              <w:top w:val="single" w:color="auto" w:sz="4" w:space="0"/>
              <w:left w:val="single" w:color="auto" w:sz="4" w:space="0"/>
              <w:bottom w:val="single" w:color="auto" w:sz="4" w:space="0"/>
              <w:right w:val="single" w:color="auto" w:sz="4" w:space="0"/>
            </w:tcBorders>
          </w:tcPr>
          <w:p w14:paraId="2F48724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6" w:type="pct"/>
            <w:tcBorders>
              <w:top w:val="single" w:color="auto" w:sz="4" w:space="0"/>
              <w:left w:val="single" w:color="auto" w:sz="4" w:space="0"/>
              <w:bottom w:val="single" w:color="auto" w:sz="4" w:space="0"/>
              <w:right w:val="single" w:color="auto" w:sz="4" w:space="0"/>
            </w:tcBorders>
            <w:vAlign w:val="center"/>
          </w:tcPr>
          <w:p w14:paraId="0954064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20" w:type="pct"/>
            <w:tcBorders>
              <w:top w:val="single" w:color="auto" w:sz="4" w:space="0"/>
              <w:left w:val="single" w:color="auto" w:sz="4" w:space="0"/>
              <w:bottom w:val="single" w:color="auto" w:sz="4" w:space="0"/>
              <w:right w:val="single" w:color="auto" w:sz="4" w:space="0"/>
            </w:tcBorders>
            <w:vAlign w:val="center"/>
          </w:tcPr>
          <w:p w14:paraId="7780888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57" w:type="pct"/>
            <w:tcBorders>
              <w:top w:val="single" w:color="auto" w:sz="4" w:space="0"/>
              <w:left w:val="single" w:color="auto" w:sz="4" w:space="0"/>
              <w:bottom w:val="single" w:color="auto" w:sz="4" w:space="0"/>
              <w:right w:val="single" w:color="auto" w:sz="4" w:space="0"/>
            </w:tcBorders>
            <w:vAlign w:val="center"/>
          </w:tcPr>
          <w:p w14:paraId="1902CDF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8" w:type="pct"/>
            <w:tcBorders>
              <w:top w:val="single" w:color="auto" w:sz="4" w:space="0"/>
              <w:left w:val="single" w:color="auto" w:sz="4" w:space="0"/>
              <w:bottom w:val="single" w:color="auto" w:sz="4" w:space="0"/>
              <w:right w:val="single" w:color="auto" w:sz="4" w:space="0"/>
            </w:tcBorders>
            <w:vAlign w:val="center"/>
          </w:tcPr>
          <w:p w14:paraId="1BA3EFE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29E1A14D">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p>
    <w:p w14:paraId="4FF5C6BC">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p>
    <w:p w14:paraId="22D60A3E">
      <w:pPr>
        <w:spacing w:line="360" w:lineRule="auto"/>
        <w:ind w:left="424" w:hanging="424"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作为投标人资格条件证明的业绩放置在此处</w:t>
      </w:r>
      <w:r>
        <w:rPr>
          <w:rFonts w:hint="eastAsia" w:ascii="宋体" w:hAnsi="宋体" w:eastAsia="宋体" w:cs="宋体"/>
          <w:color w:val="000000" w:themeColor="text1"/>
          <w:szCs w:val="21"/>
          <w:highlight w:val="none"/>
          <w:lang w:val="zh-CN"/>
          <w14:textFill>
            <w14:solidFill>
              <w14:schemeClr w14:val="tx1"/>
            </w14:solidFill>
          </w14:textFill>
        </w:rPr>
        <w:t>。</w:t>
      </w:r>
    </w:p>
    <w:p w14:paraId="0853AE3D">
      <w:pPr>
        <w:spacing w:line="360" w:lineRule="auto"/>
        <w:ind w:left="422" w:hanging="422"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（2）业绩须附合同</w:t>
      </w:r>
      <w:r>
        <w:rPr>
          <w:rFonts w:hint="eastAsia" w:ascii="宋体" w:hAnsi="宋体" w:eastAsia="宋体" w:cs="宋体"/>
          <w:color w:val="000000" w:themeColor="text1"/>
          <w:szCs w:val="21"/>
          <w:highlight w:val="none"/>
          <w14:textFill>
            <w14:solidFill>
              <w14:schemeClr w14:val="tx1"/>
            </w14:solidFill>
          </w14:textFill>
        </w:rPr>
        <w:t>复印件</w:t>
      </w:r>
      <w:r>
        <w:rPr>
          <w:rFonts w:hint="eastAsia" w:ascii="宋体" w:hAnsi="宋体" w:eastAsia="宋体" w:cs="宋体"/>
          <w:color w:val="000000" w:themeColor="text1"/>
          <w:szCs w:val="21"/>
          <w:highlight w:val="none"/>
          <w:lang w:val="zh-CN"/>
          <w14:textFill>
            <w14:solidFill>
              <w14:schemeClr w14:val="tx1"/>
            </w14:solidFill>
          </w14:textFill>
        </w:rPr>
        <w:t>和并网证明。</w:t>
      </w:r>
    </w:p>
    <w:p w14:paraId="0D50191A">
      <w:pPr>
        <w:tabs>
          <w:tab w:val="left" w:pos="567"/>
        </w:tabs>
        <w:autoSpaceDE w:val="0"/>
        <w:autoSpaceDN w:val="0"/>
        <w:adjustRightInd w:val="0"/>
        <w:spacing w:line="360" w:lineRule="auto"/>
        <w:jc w:val="left"/>
        <w:outlineLvl w:val="2"/>
        <w:rPr>
          <w:rFonts w:ascii="宋体" w:hAnsi="宋体" w:eastAsia="宋体" w:cs="宋体"/>
          <w:bCs/>
          <w:color w:val="000000" w:themeColor="text1"/>
          <w:szCs w:val="21"/>
          <w:highlight w:val="none"/>
          <w:lang w:val="zh-CN"/>
          <w14:textFill>
            <w14:solidFill>
              <w14:schemeClr w14:val="tx1"/>
            </w14:solidFill>
          </w14:textFill>
        </w:rPr>
      </w:pPr>
      <w:bookmarkStart w:id="818" w:name="_Toc27959"/>
      <w:bookmarkStart w:id="819" w:name="_Toc1010"/>
      <w:bookmarkStart w:id="820" w:name="_Toc8140"/>
      <w:bookmarkStart w:id="821" w:name="_Toc6253"/>
      <w:bookmarkStart w:id="822" w:name="_Toc14967"/>
      <w:r>
        <w:rPr>
          <w:rFonts w:hint="eastAsia" w:ascii="宋体" w:hAnsi="宋体" w:eastAsia="宋体" w:cs="宋体"/>
          <w:bCs/>
          <w:color w:val="000000" w:themeColor="text1"/>
          <w:szCs w:val="21"/>
          <w:highlight w:val="none"/>
          <w:lang w:val="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3</w:t>
      </w:r>
      <w:r>
        <w:rPr>
          <w:rFonts w:hint="eastAsia" w:ascii="宋体" w:hAnsi="宋体" w:eastAsia="宋体" w:cs="宋体"/>
          <w:bCs/>
          <w:color w:val="000000" w:themeColor="text1"/>
          <w:szCs w:val="21"/>
          <w:highlight w:val="none"/>
          <w:lang w:val="zh-CN"/>
          <w14:textFill>
            <w14:solidFill>
              <w14:schemeClr w14:val="tx1"/>
            </w14:solidFill>
          </w14:textFill>
        </w:rPr>
        <w:t>）若合同无法反映资格业绩条件（1.合同签订日期为2019年1月1日或以后；2.合同标的必须</w:t>
      </w:r>
      <w:r>
        <w:rPr>
          <w:rFonts w:hint="eastAsia" w:ascii="宋体" w:hAnsi="宋体" w:eastAsia="宋体" w:cs="宋体"/>
          <w:bCs/>
          <w:color w:val="000000" w:themeColor="text1"/>
          <w:szCs w:val="21"/>
          <w:highlight w:val="none"/>
          <w14:textFill>
            <w14:solidFill>
              <w14:schemeClr w14:val="tx1"/>
            </w14:solidFill>
          </w14:textFill>
        </w:rPr>
        <w:t>为</w:t>
      </w:r>
      <w:r>
        <w:rPr>
          <w:rFonts w:hint="eastAsia" w:ascii="宋体" w:hAnsi="宋体" w:eastAsia="宋体" w:cs="宋体"/>
          <w:bCs/>
          <w:color w:val="000000" w:themeColor="text1"/>
          <w:szCs w:val="21"/>
          <w:highlight w:val="none"/>
          <w:lang w:val="zh-CN"/>
          <w14:textFill>
            <w14:solidFill>
              <w14:schemeClr w14:val="tx1"/>
            </w14:solidFill>
          </w14:textFill>
        </w:rPr>
        <w:t>屋顶分布式光伏发电的</w:t>
      </w:r>
      <w:bookmarkStart w:id="823" w:name="OLE_LINK333"/>
      <w:r>
        <w:rPr>
          <w:rFonts w:hint="eastAsia" w:ascii="宋体" w:hAnsi="宋体" w:eastAsia="宋体" w:cs="宋体"/>
          <w:bCs/>
          <w:color w:val="000000" w:themeColor="text1"/>
          <w:szCs w:val="21"/>
          <w:highlight w:val="none"/>
          <w14:textFill>
            <w14:solidFill>
              <w14:schemeClr w14:val="tx1"/>
            </w14:solidFill>
          </w14:textFill>
        </w:rPr>
        <w:t>业绩</w:t>
      </w:r>
      <w:bookmarkEnd w:id="823"/>
      <w:r>
        <w:rPr>
          <w:rFonts w:hint="eastAsia" w:ascii="宋体" w:hAnsi="宋体" w:eastAsia="宋体" w:cs="宋体"/>
          <w:bCs/>
          <w:color w:val="000000" w:themeColor="text1"/>
          <w:szCs w:val="21"/>
          <w:highlight w:val="none"/>
          <w:lang w:val="zh-CN"/>
          <w14:textFill>
            <w14:solidFill>
              <w14:schemeClr w14:val="tx1"/>
            </w14:solidFill>
          </w14:textFill>
        </w:rPr>
        <w:t>），还需提供合同</w:t>
      </w:r>
      <w:r>
        <w:rPr>
          <w:rFonts w:hint="eastAsia" w:ascii="宋体" w:hAnsi="宋体" w:eastAsia="宋体" w:cs="宋体"/>
          <w:bCs/>
          <w:color w:val="000000" w:themeColor="text1"/>
          <w:szCs w:val="21"/>
          <w:highlight w:val="none"/>
          <w14:textFill>
            <w14:solidFill>
              <w14:schemeClr w14:val="tx1"/>
            </w14:solidFill>
          </w14:textFill>
        </w:rPr>
        <w:t>甲方</w:t>
      </w:r>
      <w:r>
        <w:rPr>
          <w:rFonts w:hint="eastAsia" w:ascii="宋体" w:hAnsi="宋体" w:eastAsia="宋体" w:cs="宋体"/>
          <w:bCs/>
          <w:color w:val="000000" w:themeColor="text1"/>
          <w:szCs w:val="21"/>
          <w:highlight w:val="none"/>
          <w:lang w:val="zh-CN"/>
          <w14:textFill>
            <w14:solidFill>
              <w14:schemeClr w14:val="tx1"/>
            </w14:solidFill>
          </w14:textFill>
        </w:rPr>
        <w:t>出具的书面补充说明文件复印件作为辅助证明（补充说明文件复印件能显示合同</w:t>
      </w:r>
      <w:r>
        <w:rPr>
          <w:rFonts w:hint="eastAsia" w:ascii="宋体" w:hAnsi="宋体" w:eastAsia="宋体" w:cs="宋体"/>
          <w:bCs/>
          <w:color w:val="000000" w:themeColor="text1"/>
          <w:szCs w:val="21"/>
          <w:highlight w:val="none"/>
          <w14:textFill>
            <w14:solidFill>
              <w14:schemeClr w14:val="tx1"/>
            </w14:solidFill>
          </w14:textFill>
        </w:rPr>
        <w:t>甲方</w:t>
      </w:r>
      <w:r>
        <w:rPr>
          <w:rFonts w:hint="eastAsia" w:ascii="宋体" w:hAnsi="宋体" w:eastAsia="宋体" w:cs="宋体"/>
          <w:bCs/>
          <w:color w:val="000000" w:themeColor="text1"/>
          <w:szCs w:val="21"/>
          <w:highlight w:val="none"/>
          <w:lang w:val="zh-CN"/>
          <w14:textFill>
            <w14:solidFill>
              <w14:schemeClr w14:val="tx1"/>
            </w14:solidFill>
          </w14:textFill>
        </w:rPr>
        <w:t>公章）。</w:t>
      </w:r>
      <w:bookmarkEnd w:id="818"/>
      <w:bookmarkEnd w:id="819"/>
      <w:bookmarkEnd w:id="820"/>
    </w:p>
    <w:p w14:paraId="54DFC419">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824" w:name="_Toc3854"/>
      <w:bookmarkStart w:id="825" w:name="_Toc20374"/>
      <w:bookmarkStart w:id="826" w:name="_Toc18908"/>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4</w:t>
      </w:r>
      <w:r>
        <w:rPr>
          <w:rFonts w:hint="eastAsia" w:ascii="宋体" w:hAnsi="宋体" w:eastAsia="宋体" w:cs="宋体"/>
          <w:b/>
          <w:color w:val="000000" w:themeColor="text1"/>
          <w:szCs w:val="21"/>
          <w:highlight w:val="none"/>
          <w:lang w:val="zh-CN"/>
          <w14:textFill>
            <w14:solidFill>
              <w14:schemeClr w14:val="tx1"/>
            </w14:solidFill>
          </w14:textFill>
        </w:rPr>
        <w:t>）</w:t>
      </w:r>
      <w:bookmarkEnd w:id="821"/>
      <w:bookmarkEnd w:id="822"/>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bookmarkEnd w:id="824"/>
      <w:bookmarkEnd w:id="825"/>
      <w:bookmarkEnd w:id="826"/>
    </w:p>
    <w:p w14:paraId="2772E221">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14:paraId="7D59C6CE">
      <w:pPr>
        <w:tabs>
          <w:tab w:val="left" w:pos="567"/>
        </w:tabs>
        <w:autoSpaceDE w:val="0"/>
        <w:autoSpaceDN w:val="0"/>
        <w:adjustRightInd w:val="0"/>
        <w:spacing w:line="360" w:lineRule="auto"/>
        <w:jc w:val="left"/>
        <w:outlineLvl w:val="2"/>
        <w:rPr>
          <w:rFonts w:ascii="宋体" w:hAnsi="宋体" w:eastAsia="宋体" w:cs="Times New Roman"/>
          <w:b/>
          <w:bCs/>
          <w:color w:val="000000" w:themeColor="text1"/>
          <w:sz w:val="32"/>
          <w:szCs w:val="32"/>
          <w:highlight w:val="none"/>
          <w:lang w:val="zh-CN"/>
          <w14:textFill>
            <w14:solidFill>
              <w14:schemeClr w14:val="tx1"/>
            </w14:solidFill>
          </w14:textFill>
        </w:rPr>
      </w:pPr>
      <w:bookmarkStart w:id="827" w:name="_Toc8979"/>
      <w:bookmarkStart w:id="828" w:name="_Toc32156"/>
      <w:bookmarkStart w:id="829" w:name="_Toc31879"/>
      <w:bookmarkStart w:id="830" w:name="_Toc6311"/>
      <w:bookmarkStart w:id="831" w:name="_Toc7507"/>
      <w:bookmarkStart w:id="832" w:name="OLE_LINK55"/>
      <w:r>
        <w:rPr>
          <w:rFonts w:hint="eastAsia" w:ascii="宋体" w:hAnsi="宋体" w:eastAsia="宋体" w:cs="宋体"/>
          <w:b/>
          <w:color w:val="000000" w:themeColor="text1"/>
          <w:kern w:val="0"/>
          <w:sz w:val="30"/>
          <w:szCs w:val="30"/>
          <w:highlight w:val="none"/>
          <w14:textFill>
            <w14:solidFill>
              <w14:schemeClr w14:val="tx1"/>
            </w14:solidFill>
          </w14:textFill>
        </w:rPr>
        <w:t>5.6 最近3年投标人牵涉的其他（失信和违法）处罚说明格式</w:t>
      </w:r>
      <w:bookmarkEnd w:id="807"/>
      <w:bookmarkEnd w:id="808"/>
      <w:bookmarkEnd w:id="809"/>
      <w:bookmarkEnd w:id="810"/>
      <w:bookmarkEnd w:id="811"/>
      <w:bookmarkEnd w:id="827"/>
      <w:bookmarkEnd w:id="828"/>
      <w:bookmarkEnd w:id="829"/>
      <w:bookmarkEnd w:id="830"/>
      <w:bookmarkEnd w:id="831"/>
    </w:p>
    <w:p w14:paraId="782CBD3A">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bookmarkStart w:id="833" w:name="OLE_LINK60"/>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bookmarkEnd w:id="833"/>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338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7644597">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0CCEA4E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6E97D1E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515BA0E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2304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18684DF">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00A43B4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3781D0B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0A315E8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5FCF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75926B3">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022E551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4683A98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440A724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79DD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D406644">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是否被认定为政府采购严重违法失信行为记录名单</w:t>
            </w:r>
          </w:p>
        </w:tc>
        <w:tc>
          <w:tcPr>
            <w:tcW w:w="1417" w:type="dxa"/>
            <w:vAlign w:val="center"/>
          </w:tcPr>
          <w:p w14:paraId="1AA0001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0731485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08B098A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34F602E3">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5CD98E43">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21338B57">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bookmarkEnd w:id="832"/>
    <w:p w14:paraId="51754AC4">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1BC229F5">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02D04CF0">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0C2437C2">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647BB32A">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78955119">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135530DC">
      <w:pPr>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br w:type="page"/>
      </w:r>
      <w:bookmarkStart w:id="834" w:name="_Toc13237"/>
      <w:bookmarkStart w:id="835" w:name="_Toc142508374"/>
      <w:bookmarkStart w:id="836" w:name="_Toc104991881"/>
      <w:bookmarkStart w:id="837" w:name="_Toc102860079"/>
      <w:bookmarkStart w:id="838" w:name="_Toc533708126"/>
      <w:bookmarkStart w:id="839" w:name="_Toc1977731"/>
      <w:bookmarkStart w:id="840" w:name="_Toc2031_WPSOffice_Level2"/>
      <w:bookmarkStart w:id="841" w:name="_Toc486167714"/>
      <w:bookmarkStart w:id="842" w:name="_Toc94107215"/>
      <w:bookmarkStart w:id="843" w:name="_Toc140596934"/>
      <w:bookmarkStart w:id="844" w:name="_Toc102860423"/>
    </w:p>
    <w:p w14:paraId="4640164D">
      <w:pPr>
        <w:tabs>
          <w:tab w:val="left" w:pos="567"/>
        </w:tabs>
        <w:autoSpaceDE w:val="0"/>
        <w:autoSpaceDN w:val="0"/>
        <w:adjustRightInd w:val="0"/>
        <w:spacing w:line="360" w:lineRule="auto"/>
        <w:jc w:val="left"/>
        <w:outlineLvl w:val="2"/>
        <w:rPr>
          <w:rFonts w:ascii="宋体" w:hAnsi="宋体" w:eastAsia="宋体" w:cs="Times New Roman"/>
          <w:b/>
          <w:bCs/>
          <w:color w:val="000000" w:themeColor="text1"/>
          <w:sz w:val="32"/>
          <w:szCs w:val="32"/>
          <w:highlight w:val="none"/>
          <w:lang w:val="zh-CN"/>
          <w14:textFill>
            <w14:solidFill>
              <w14:schemeClr w14:val="tx1"/>
            </w14:solidFill>
          </w14:textFill>
        </w:rPr>
      </w:pPr>
      <w:bookmarkStart w:id="845" w:name="_Toc18201"/>
      <w:bookmarkStart w:id="846" w:name="_Toc27948"/>
      <w:bookmarkStart w:id="847" w:name="_Toc7933"/>
      <w:bookmarkStart w:id="848" w:name="OLE_LINK56"/>
      <w:bookmarkStart w:id="849" w:name="OLE_LINK68"/>
      <w:bookmarkStart w:id="850" w:name="_Toc11148"/>
      <w:r>
        <w:rPr>
          <w:rFonts w:hint="eastAsia" w:ascii="宋体" w:hAnsi="宋体" w:eastAsia="宋体" w:cs="宋体"/>
          <w:b/>
          <w:color w:val="000000" w:themeColor="text1"/>
          <w:kern w:val="0"/>
          <w:sz w:val="30"/>
          <w:szCs w:val="30"/>
          <w:highlight w:val="none"/>
          <w14:textFill>
            <w14:solidFill>
              <w14:schemeClr w14:val="tx1"/>
            </w14:solidFill>
          </w14:textFill>
        </w:rPr>
        <w:t xml:space="preserve">5.7 </w:t>
      </w:r>
      <w:bookmarkStart w:id="851" w:name="OLE_LINK63"/>
      <w:r>
        <w:rPr>
          <w:rFonts w:hint="eastAsia" w:ascii="宋体" w:hAnsi="宋体" w:eastAsia="宋体" w:cs="宋体"/>
          <w:b/>
          <w:color w:val="000000" w:themeColor="text1"/>
          <w:kern w:val="0"/>
          <w:sz w:val="30"/>
          <w:szCs w:val="30"/>
          <w:highlight w:val="none"/>
          <w14:textFill>
            <w14:solidFill>
              <w14:schemeClr w14:val="tx1"/>
            </w14:solidFill>
          </w14:textFill>
        </w:rPr>
        <w:t>联合体共同投标协议书格式（当联合体投标时提供）</w:t>
      </w:r>
      <w:bookmarkEnd w:id="845"/>
      <w:bookmarkEnd w:id="846"/>
      <w:bookmarkEnd w:id="847"/>
      <w:bookmarkEnd w:id="851"/>
    </w:p>
    <w:bookmarkEnd w:id="848"/>
    <w:p w14:paraId="23A47286">
      <w:pPr>
        <w:pStyle w:val="203"/>
        <w:spacing w:line="360" w:lineRule="auto"/>
        <w:jc w:val="center"/>
        <w:outlineLvl w:val="3"/>
        <w:rPr>
          <w:rFonts w:hint="default" w:ascii="宋体" w:hAnsi="宋体" w:eastAsia="宋体" w:cs="宋体"/>
          <w:color w:val="000000" w:themeColor="text1"/>
          <w:sz w:val="30"/>
          <w:szCs w:val="30"/>
          <w:highlight w:val="none"/>
          <w14:textFill>
            <w14:solidFill>
              <w14:schemeClr w14:val="tx1"/>
            </w14:solidFill>
          </w14:textFill>
        </w:rPr>
      </w:pPr>
      <w:bookmarkStart w:id="852" w:name="OLE_LINK57"/>
      <w:bookmarkStart w:id="853" w:name="OLE_LINK61"/>
      <w:r>
        <w:rPr>
          <w:rFonts w:ascii="宋体" w:hAnsi="宋体" w:eastAsia="宋体" w:cs="宋体"/>
          <w:b/>
          <w:color w:val="000000" w:themeColor="text1"/>
          <w:sz w:val="30"/>
          <w:szCs w:val="30"/>
          <w:highlight w:val="none"/>
          <w14:textFill>
            <w14:solidFill>
              <w14:schemeClr w14:val="tx1"/>
            </w14:solidFill>
          </w14:textFill>
        </w:rPr>
        <w:t>联合体共同投标协议书</w:t>
      </w:r>
      <w:bookmarkEnd w:id="852"/>
    </w:p>
    <w:bookmarkEnd w:id="853"/>
    <w:p w14:paraId="76CA3D64">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立约方：</w:t>
      </w:r>
      <w:r>
        <w:rPr>
          <w:rFonts w:ascii="宋体" w:hAnsi="宋体" w:eastAsia="宋体" w:cs="宋体"/>
          <w:color w:val="000000" w:themeColor="text1"/>
          <w:sz w:val="21"/>
          <w:szCs w:val="21"/>
          <w:highlight w:val="none"/>
          <w:u w:val="single"/>
          <w14:textFill>
            <w14:solidFill>
              <w14:schemeClr w14:val="tx1"/>
            </w14:solidFill>
          </w14:textFill>
        </w:rPr>
        <w:t>（甲公司全称）</w:t>
      </w:r>
    </w:p>
    <w:p w14:paraId="47A226CE">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u w:val="single"/>
          <w14:textFill>
            <w14:solidFill>
              <w14:schemeClr w14:val="tx1"/>
            </w14:solidFill>
          </w14:textFill>
        </w:rPr>
        <w:t>（乙公司全称）</w:t>
      </w:r>
    </w:p>
    <w:p w14:paraId="32B781E1">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p>
    <w:p w14:paraId="44FE74CC">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u w:val="single"/>
          <w14:textFill>
            <w14:solidFill>
              <w14:schemeClr w14:val="tx1"/>
            </w14:solidFill>
          </w14:textFill>
        </w:rPr>
        <w:t>（甲公司全称）、（乙公司全称）</w:t>
      </w:r>
      <w:r>
        <w:rPr>
          <w:rFonts w:ascii="宋体" w:hAnsi="宋体" w:eastAsia="宋体" w:cs="宋体"/>
          <w:color w:val="000000" w:themeColor="text1"/>
          <w:sz w:val="21"/>
          <w:szCs w:val="21"/>
          <w:highlight w:val="none"/>
          <w14:textFill>
            <w14:solidFill>
              <w14:schemeClr w14:val="tx1"/>
            </w14:solidFill>
          </w14:textFill>
        </w:rPr>
        <w:t>自愿组成联合体，以一个投标人的身份共同参加（项目名称）（</w:t>
      </w:r>
      <w:r>
        <w:rPr>
          <w:rFonts w:ascii="宋体" w:hAnsi="宋体" w:eastAsia="宋体" w:cs="宋体"/>
          <w:color w:val="000000" w:themeColor="text1"/>
          <w:sz w:val="21"/>
          <w:szCs w:val="21"/>
          <w:highlight w:val="none"/>
          <w:lang w:eastAsia="zh-CN"/>
          <w14:textFill>
            <w14:solidFill>
              <w14:schemeClr w14:val="tx1"/>
            </w14:solidFill>
          </w14:textFill>
        </w:rPr>
        <w:t>招标</w:t>
      </w:r>
      <w:r>
        <w:rPr>
          <w:rFonts w:ascii="宋体" w:hAnsi="宋体" w:eastAsia="宋体" w:cs="宋体"/>
          <w:color w:val="000000" w:themeColor="text1"/>
          <w:sz w:val="21"/>
          <w:szCs w:val="21"/>
          <w:highlight w:val="none"/>
          <w14:textFill>
            <w14:solidFill>
              <w14:schemeClr w14:val="tx1"/>
            </w14:solidFill>
          </w14:textFill>
        </w:rPr>
        <w:t>编号）的</w:t>
      </w:r>
      <w:r>
        <w:rPr>
          <w:rFonts w:ascii="宋体" w:hAnsi="宋体" w:eastAsia="宋体" w:cs="宋体"/>
          <w:color w:val="000000" w:themeColor="text1"/>
          <w:sz w:val="21"/>
          <w:szCs w:val="21"/>
          <w:highlight w:val="none"/>
          <w:lang w:eastAsia="zh-CN"/>
          <w14:textFill>
            <w14:solidFill>
              <w14:schemeClr w14:val="tx1"/>
            </w14:solidFill>
          </w14:textFill>
        </w:rPr>
        <w:t>投标</w:t>
      </w:r>
      <w:r>
        <w:rPr>
          <w:rFonts w:ascii="宋体" w:hAnsi="宋体" w:eastAsia="宋体" w:cs="宋体"/>
          <w:color w:val="000000" w:themeColor="text1"/>
          <w:sz w:val="21"/>
          <w:szCs w:val="21"/>
          <w:highlight w:val="none"/>
          <w14:textFill>
            <w14:solidFill>
              <w14:schemeClr w14:val="tx1"/>
            </w14:solidFill>
          </w14:textFill>
        </w:rPr>
        <w:t>活动。经各方充分协商一致，就项目的</w:t>
      </w:r>
      <w:r>
        <w:rPr>
          <w:rFonts w:ascii="宋体" w:hAnsi="宋体" w:eastAsia="宋体" w:cs="宋体"/>
          <w:color w:val="000000" w:themeColor="text1"/>
          <w:sz w:val="21"/>
          <w:szCs w:val="21"/>
          <w:highlight w:val="none"/>
          <w:lang w:eastAsia="zh-CN"/>
          <w14:textFill>
            <w14:solidFill>
              <w14:schemeClr w14:val="tx1"/>
            </w14:solidFill>
          </w14:textFill>
        </w:rPr>
        <w:t>投标</w:t>
      </w:r>
      <w:r>
        <w:rPr>
          <w:rFonts w:ascii="宋体" w:hAnsi="宋体" w:eastAsia="宋体" w:cs="宋体"/>
          <w:color w:val="000000" w:themeColor="text1"/>
          <w:sz w:val="21"/>
          <w:szCs w:val="21"/>
          <w:highlight w:val="none"/>
          <w14:textFill>
            <w14:solidFill>
              <w14:schemeClr w14:val="tx1"/>
            </w14:solidFill>
          </w14:textFill>
        </w:rPr>
        <w:t>和合同实施阶段的有关事务协商一致订立协议如下：</w:t>
      </w:r>
    </w:p>
    <w:p w14:paraId="70D38AB3">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一、联合体各方关系</w:t>
      </w:r>
    </w:p>
    <w:p w14:paraId="7E7CF800">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u w:val="single"/>
          <w14:textFill>
            <w14:solidFill>
              <w14:schemeClr w14:val="tx1"/>
            </w14:solidFill>
          </w14:textFill>
        </w:rPr>
        <w:t>（甲公司全称）、（乙公司全称）</w:t>
      </w:r>
      <w:r>
        <w:rPr>
          <w:rFonts w:ascii="宋体" w:hAnsi="宋体" w:eastAsia="宋体" w:cs="宋体"/>
          <w:color w:val="000000" w:themeColor="text1"/>
          <w:sz w:val="21"/>
          <w:szCs w:val="21"/>
          <w:highlight w:val="none"/>
          <w14:textFill>
            <w14:solidFill>
              <w14:schemeClr w14:val="tx1"/>
            </w14:solidFill>
          </w14:textFill>
        </w:rPr>
        <w:t>共同组成一个联合体，以一个投标人的身份共同参加本项目的</w:t>
      </w:r>
      <w:r>
        <w:rPr>
          <w:rFonts w:ascii="宋体" w:hAnsi="宋体" w:eastAsia="宋体" w:cs="宋体"/>
          <w:color w:val="000000" w:themeColor="text1"/>
          <w:sz w:val="21"/>
          <w:szCs w:val="21"/>
          <w:highlight w:val="none"/>
          <w:lang w:eastAsia="zh-CN"/>
          <w14:textFill>
            <w14:solidFill>
              <w14:schemeClr w14:val="tx1"/>
            </w14:solidFill>
          </w14:textFill>
        </w:rPr>
        <w:t>投标</w:t>
      </w:r>
      <w:r>
        <w:rPr>
          <w:rFonts w:ascii="宋体" w:hAnsi="宋体" w:eastAsia="宋体" w:cs="宋体"/>
          <w:color w:val="000000" w:themeColor="text1"/>
          <w:sz w:val="21"/>
          <w:szCs w:val="21"/>
          <w:highlight w:val="none"/>
          <w14:textFill>
            <w14:solidFill>
              <w14:schemeClr w14:val="tx1"/>
            </w14:solidFill>
          </w14:textFill>
        </w:rPr>
        <w:t>。（甲公司全称）、（乙公司全称）作为联合体成员，若中标，联合体各方共同与（</w:t>
      </w:r>
      <w:r>
        <w:rPr>
          <w:rFonts w:ascii="宋体" w:hAnsi="宋体" w:eastAsia="宋体" w:cs="宋体"/>
          <w:color w:val="000000" w:themeColor="text1"/>
          <w:sz w:val="21"/>
          <w:szCs w:val="21"/>
          <w:highlight w:val="none"/>
          <w:lang w:eastAsia="zh-CN"/>
          <w14:textFill>
            <w14:solidFill>
              <w14:schemeClr w14:val="tx1"/>
            </w14:solidFill>
          </w14:textFill>
        </w:rPr>
        <w:t>招标</w:t>
      </w:r>
      <w:r>
        <w:rPr>
          <w:rFonts w:ascii="宋体" w:hAnsi="宋体" w:eastAsia="宋体" w:cs="宋体"/>
          <w:color w:val="000000" w:themeColor="text1"/>
          <w:sz w:val="21"/>
          <w:szCs w:val="21"/>
          <w:highlight w:val="none"/>
          <w14:textFill>
            <w14:solidFill>
              <w14:schemeClr w14:val="tx1"/>
            </w14:solidFill>
          </w14:textFill>
        </w:rPr>
        <w:t>人）签订采购合同。</w:t>
      </w:r>
    </w:p>
    <w:p w14:paraId="1B430553">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二、联合体内部有关事项约定如下：</w:t>
      </w:r>
    </w:p>
    <w:p w14:paraId="752FF539">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4BDF9520">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2.联合体将严格按照文件的各项要求，递交投标文件，切实执行一切合同文件，共同承担合同规定的一切义务和责任，同时按照内部职责的划分，承担自身所负的责任和风险，在法律上承担连带责任。</w:t>
      </w:r>
    </w:p>
    <w:p w14:paraId="5B68CB8F">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3.如果本联合体中标，</w:t>
      </w:r>
      <w:r>
        <w:rPr>
          <w:rFonts w:ascii="宋体" w:hAnsi="宋体" w:eastAsia="宋体" w:cs="宋体"/>
          <w:color w:val="000000" w:themeColor="text1"/>
          <w:sz w:val="21"/>
          <w:szCs w:val="21"/>
          <w:highlight w:val="none"/>
          <w:u w:val="single"/>
          <w14:textFill>
            <w14:solidFill>
              <w14:schemeClr w14:val="tx1"/>
            </w14:solidFill>
          </w14:textFill>
        </w:rPr>
        <w:t>（甲公司全称）</w:t>
      </w:r>
      <w:r>
        <w:rPr>
          <w:rFonts w:ascii="宋体" w:hAnsi="宋体" w:eastAsia="宋体" w:cs="宋体"/>
          <w:color w:val="000000" w:themeColor="text1"/>
          <w:sz w:val="21"/>
          <w:szCs w:val="21"/>
          <w:highlight w:val="none"/>
          <w14:textFill>
            <w14:solidFill>
              <w14:schemeClr w14:val="tx1"/>
            </w14:solidFill>
          </w14:textFill>
        </w:rPr>
        <w:t>负责本项目___________部分，</w:t>
      </w:r>
      <w:r>
        <w:rPr>
          <w:rFonts w:ascii="宋体" w:hAnsi="宋体" w:eastAsia="宋体" w:cs="宋体"/>
          <w:color w:val="000000" w:themeColor="text1"/>
          <w:sz w:val="21"/>
          <w:szCs w:val="21"/>
          <w:highlight w:val="none"/>
          <w:u w:val="single"/>
          <w14:textFill>
            <w14:solidFill>
              <w14:schemeClr w14:val="tx1"/>
            </w14:solidFill>
          </w14:textFill>
        </w:rPr>
        <w:t>（乙公司全称）</w:t>
      </w:r>
      <w:r>
        <w:rPr>
          <w:rFonts w:ascii="宋体" w:hAnsi="宋体" w:eastAsia="宋体" w:cs="宋体"/>
          <w:color w:val="000000" w:themeColor="text1"/>
          <w:sz w:val="21"/>
          <w:szCs w:val="21"/>
          <w:highlight w:val="none"/>
          <w14:textFill>
            <w14:solidFill>
              <w14:schemeClr w14:val="tx1"/>
            </w14:solidFill>
          </w14:textFill>
        </w:rPr>
        <w:t>负责本项目___________部分。</w:t>
      </w:r>
    </w:p>
    <w:p w14:paraId="5E560C1B">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4.如中标，联合体各方共同与（</w:t>
      </w:r>
      <w:r>
        <w:rPr>
          <w:rFonts w:ascii="宋体" w:hAnsi="宋体" w:eastAsia="宋体" w:cs="宋体"/>
          <w:color w:val="000000" w:themeColor="text1"/>
          <w:sz w:val="21"/>
          <w:szCs w:val="21"/>
          <w:highlight w:val="none"/>
          <w:lang w:eastAsia="zh-CN"/>
          <w14:textFill>
            <w14:solidFill>
              <w14:schemeClr w14:val="tx1"/>
            </w14:solidFill>
          </w14:textFill>
        </w:rPr>
        <w:t>招标</w:t>
      </w:r>
      <w:r>
        <w:rPr>
          <w:rFonts w:ascii="宋体" w:hAnsi="宋体" w:eastAsia="宋体" w:cs="宋体"/>
          <w:color w:val="000000" w:themeColor="text1"/>
          <w:sz w:val="21"/>
          <w:szCs w:val="21"/>
          <w:highlight w:val="none"/>
          <w14:textFill>
            <w14:solidFill>
              <w14:schemeClr w14:val="tx1"/>
            </w14:solidFill>
          </w14:textFill>
        </w:rPr>
        <w:t>人）签订合同书，并就中标项目向</w:t>
      </w:r>
      <w:r>
        <w:rPr>
          <w:rFonts w:ascii="宋体" w:hAnsi="宋体" w:eastAsia="宋体" w:cs="宋体"/>
          <w:color w:val="000000" w:themeColor="text1"/>
          <w:sz w:val="21"/>
          <w:szCs w:val="21"/>
          <w:highlight w:val="none"/>
          <w:lang w:eastAsia="zh-CN"/>
          <w14:textFill>
            <w14:solidFill>
              <w14:schemeClr w14:val="tx1"/>
            </w14:solidFill>
          </w14:textFill>
        </w:rPr>
        <w:t>招标</w:t>
      </w:r>
      <w:r>
        <w:rPr>
          <w:rFonts w:ascii="宋体" w:hAnsi="宋体" w:eastAsia="宋体" w:cs="宋体"/>
          <w:color w:val="000000" w:themeColor="text1"/>
          <w:sz w:val="21"/>
          <w:szCs w:val="21"/>
          <w:highlight w:val="none"/>
          <w14:textFill>
            <w14:solidFill>
              <w14:schemeClr w14:val="tx1"/>
            </w14:solidFill>
          </w14:textFill>
        </w:rPr>
        <w:t>人负责有连带的和各自的法律责任。</w:t>
      </w:r>
    </w:p>
    <w:p w14:paraId="261B5BE0">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三、联合体各方不得再以自己名义参与</w:t>
      </w:r>
      <w:bookmarkStart w:id="854" w:name="OLE_LINK66"/>
      <w:r>
        <w:rPr>
          <w:rFonts w:ascii="宋体" w:hAnsi="宋体" w:eastAsia="宋体" w:cs="宋体"/>
          <w:color w:val="000000" w:themeColor="text1"/>
          <w:sz w:val="21"/>
          <w:szCs w:val="21"/>
          <w:highlight w:val="none"/>
          <w14:textFill>
            <w14:solidFill>
              <w14:schemeClr w14:val="tx1"/>
            </w14:solidFill>
          </w14:textFill>
        </w:rPr>
        <w:t>本</w:t>
      </w:r>
      <w:bookmarkEnd w:id="854"/>
      <w:r>
        <w:rPr>
          <w:rFonts w:ascii="宋体" w:hAnsi="宋体" w:eastAsia="宋体" w:cs="宋体"/>
          <w:color w:val="000000" w:themeColor="text1"/>
          <w:sz w:val="21"/>
          <w:szCs w:val="21"/>
          <w:highlight w:val="none"/>
          <w:lang w:eastAsia="zh-CN"/>
          <w14:textFill>
            <w14:solidFill>
              <w14:schemeClr w14:val="tx1"/>
            </w14:solidFill>
          </w14:textFill>
        </w:rPr>
        <w:t>项目投标</w:t>
      </w:r>
      <w:r>
        <w:rPr>
          <w:rFonts w:ascii="宋体" w:hAnsi="宋体" w:eastAsia="宋体" w:cs="宋体"/>
          <w:color w:val="000000" w:themeColor="text1"/>
          <w:sz w:val="21"/>
          <w:szCs w:val="21"/>
          <w:highlight w:val="none"/>
          <w14:textFill>
            <w14:solidFill>
              <w14:schemeClr w14:val="tx1"/>
            </w14:solidFill>
          </w14:textFill>
        </w:rPr>
        <w:t>，联合体各方不能作为其它联合体或单独</w:t>
      </w:r>
      <w:r>
        <w:rPr>
          <w:rFonts w:ascii="宋体" w:hAnsi="宋体" w:eastAsia="宋体" w:cs="宋体"/>
          <w:color w:val="000000" w:themeColor="text1"/>
          <w:sz w:val="21"/>
          <w:szCs w:val="21"/>
          <w:highlight w:val="none"/>
          <w:lang w:eastAsia="zh-CN"/>
          <w14:textFill>
            <w14:solidFill>
              <w14:schemeClr w14:val="tx1"/>
            </w14:solidFill>
          </w14:textFill>
        </w:rPr>
        <w:t>投标</w:t>
      </w:r>
      <w:r>
        <w:rPr>
          <w:rFonts w:ascii="宋体" w:hAnsi="宋体" w:eastAsia="宋体" w:cs="宋体"/>
          <w:color w:val="000000" w:themeColor="text1"/>
          <w:sz w:val="21"/>
          <w:szCs w:val="21"/>
          <w:highlight w:val="none"/>
          <w14:textFill>
            <w14:solidFill>
              <w14:schemeClr w14:val="tx1"/>
            </w14:solidFill>
          </w14:textFill>
        </w:rPr>
        <w:t>单位的项目组成员参加本</w:t>
      </w:r>
      <w:r>
        <w:rPr>
          <w:rFonts w:ascii="宋体" w:hAnsi="宋体" w:eastAsia="宋体" w:cs="宋体"/>
          <w:color w:val="000000" w:themeColor="text1"/>
          <w:sz w:val="21"/>
          <w:szCs w:val="21"/>
          <w:highlight w:val="none"/>
          <w:lang w:eastAsia="zh-CN"/>
          <w14:textFill>
            <w14:solidFill>
              <w14:schemeClr w14:val="tx1"/>
            </w14:solidFill>
          </w14:textFill>
        </w:rPr>
        <w:t>项目投标</w:t>
      </w:r>
      <w:r>
        <w:rPr>
          <w:rFonts w:ascii="宋体" w:hAnsi="宋体" w:eastAsia="宋体" w:cs="宋体"/>
          <w:color w:val="000000" w:themeColor="text1"/>
          <w:sz w:val="21"/>
          <w:szCs w:val="21"/>
          <w:highlight w:val="none"/>
          <w14:textFill>
            <w14:solidFill>
              <w14:schemeClr w14:val="tx1"/>
            </w14:solidFill>
          </w14:textFill>
        </w:rPr>
        <w:t>。因发生上述问题导致联合体</w:t>
      </w:r>
      <w:r>
        <w:rPr>
          <w:rFonts w:ascii="宋体" w:hAnsi="宋体" w:eastAsia="宋体" w:cs="宋体"/>
          <w:color w:val="000000" w:themeColor="text1"/>
          <w:sz w:val="21"/>
          <w:szCs w:val="21"/>
          <w:highlight w:val="none"/>
          <w:lang w:eastAsia="zh-CN"/>
          <w14:textFill>
            <w14:solidFill>
              <w14:schemeClr w14:val="tx1"/>
            </w14:solidFill>
          </w14:textFill>
        </w:rPr>
        <w:t>投标</w:t>
      </w:r>
      <w:r>
        <w:rPr>
          <w:rFonts w:ascii="宋体" w:hAnsi="宋体" w:eastAsia="宋体" w:cs="宋体"/>
          <w:color w:val="000000" w:themeColor="text1"/>
          <w:sz w:val="21"/>
          <w:szCs w:val="21"/>
          <w:highlight w:val="none"/>
          <w14:textFill>
            <w14:solidFill>
              <w14:schemeClr w14:val="tx1"/>
            </w14:solidFill>
          </w14:textFill>
        </w:rPr>
        <w:t>成为无效报价，联合体的其他成员可追究其违约责任和经济损失。</w:t>
      </w:r>
    </w:p>
    <w:p w14:paraId="02A061B7">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四、联合体如因违约过失责任而导致</w:t>
      </w:r>
      <w:r>
        <w:rPr>
          <w:rFonts w:ascii="宋体" w:hAnsi="宋体" w:eastAsia="宋体" w:cs="宋体"/>
          <w:color w:val="000000" w:themeColor="text1"/>
          <w:sz w:val="21"/>
          <w:szCs w:val="21"/>
          <w:highlight w:val="none"/>
          <w:lang w:eastAsia="zh-CN"/>
          <w14:textFill>
            <w14:solidFill>
              <w14:schemeClr w14:val="tx1"/>
            </w14:solidFill>
          </w14:textFill>
        </w:rPr>
        <w:t>招标</w:t>
      </w:r>
      <w:r>
        <w:rPr>
          <w:rFonts w:ascii="宋体" w:hAnsi="宋体" w:eastAsia="宋体" w:cs="宋体"/>
          <w:color w:val="000000" w:themeColor="text1"/>
          <w:sz w:val="21"/>
          <w:szCs w:val="21"/>
          <w:highlight w:val="none"/>
          <w14:textFill>
            <w14:solidFill>
              <w14:schemeClr w14:val="tx1"/>
            </w14:solidFill>
          </w14:textFill>
        </w:rPr>
        <w:t>人经济损失或被索赔时，本联合体任何一方均同意无条件优先清偿</w:t>
      </w:r>
      <w:r>
        <w:rPr>
          <w:rFonts w:ascii="宋体" w:hAnsi="宋体" w:eastAsia="宋体" w:cs="宋体"/>
          <w:color w:val="000000" w:themeColor="text1"/>
          <w:sz w:val="21"/>
          <w:szCs w:val="21"/>
          <w:highlight w:val="none"/>
          <w:lang w:eastAsia="zh-CN"/>
          <w14:textFill>
            <w14:solidFill>
              <w14:schemeClr w14:val="tx1"/>
            </w14:solidFill>
          </w14:textFill>
        </w:rPr>
        <w:t>招标</w:t>
      </w:r>
      <w:r>
        <w:rPr>
          <w:rFonts w:ascii="宋体" w:hAnsi="宋体" w:eastAsia="宋体" w:cs="宋体"/>
          <w:color w:val="000000" w:themeColor="text1"/>
          <w:sz w:val="21"/>
          <w:szCs w:val="21"/>
          <w:highlight w:val="none"/>
          <w14:textFill>
            <w14:solidFill>
              <w14:schemeClr w14:val="tx1"/>
            </w14:solidFill>
          </w14:textFill>
        </w:rPr>
        <w:t>人的一切债务和经济赔偿。</w:t>
      </w:r>
    </w:p>
    <w:p w14:paraId="5DD16BF1">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4626DAD0">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六、本协议书正本一式_____份，随投标文件装订_____份，送</w:t>
      </w:r>
      <w:r>
        <w:rPr>
          <w:rFonts w:ascii="宋体" w:hAnsi="宋体" w:eastAsia="宋体" w:cs="宋体"/>
          <w:color w:val="000000" w:themeColor="text1"/>
          <w:sz w:val="21"/>
          <w:szCs w:val="21"/>
          <w:highlight w:val="none"/>
          <w:lang w:eastAsia="zh-CN"/>
          <w14:textFill>
            <w14:solidFill>
              <w14:schemeClr w14:val="tx1"/>
            </w14:solidFill>
          </w14:textFill>
        </w:rPr>
        <w:t>招标</w:t>
      </w:r>
      <w:r>
        <w:rPr>
          <w:rFonts w:ascii="宋体" w:hAnsi="宋体" w:eastAsia="宋体" w:cs="宋体"/>
          <w:color w:val="000000" w:themeColor="text1"/>
          <w:sz w:val="21"/>
          <w:szCs w:val="21"/>
          <w:highlight w:val="none"/>
          <w14:textFill>
            <w14:solidFill>
              <w14:schemeClr w14:val="tx1"/>
            </w14:solidFill>
          </w14:textFill>
        </w:rPr>
        <w:t>人_____份，联合体成员各一份；副本一式_____份，联合体成员各执_____份。</w:t>
      </w:r>
    </w:p>
    <w:p w14:paraId="5BA53B5F">
      <w:pPr>
        <w:pStyle w:val="203"/>
        <w:spacing w:line="360" w:lineRule="auto"/>
        <w:rPr>
          <w:rFonts w:hint="default" w:ascii="宋体" w:hAnsi="宋体" w:eastAsia="宋体" w:cs="宋体"/>
          <w:color w:val="000000" w:themeColor="text1"/>
          <w:sz w:val="21"/>
          <w:szCs w:val="21"/>
          <w:highlight w:val="none"/>
          <w14:textFill>
            <w14:solidFill>
              <w14:schemeClr w14:val="tx1"/>
            </w14:solidFill>
          </w14:textFill>
        </w:rPr>
      </w:pPr>
    </w:p>
    <w:p w14:paraId="6CE3953C">
      <w:pPr>
        <w:pStyle w:val="203"/>
        <w:spacing w:line="360" w:lineRule="auto"/>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甲公司全称：____（盖章）________，乙公司全称：____（盖章）________</w:t>
      </w:r>
    </w:p>
    <w:p w14:paraId="71E103F3">
      <w:pPr>
        <w:pStyle w:val="203"/>
        <w:spacing w:line="360" w:lineRule="auto"/>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 xml:space="preserve"> ____年____月 ____日，____年____月____日</w:t>
      </w:r>
    </w:p>
    <w:p w14:paraId="60616382">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注：1．联合</w:t>
      </w:r>
      <w:r>
        <w:rPr>
          <w:rFonts w:ascii="宋体" w:hAnsi="宋体" w:eastAsia="宋体" w:cs="宋体"/>
          <w:color w:val="000000" w:themeColor="text1"/>
          <w:sz w:val="21"/>
          <w:szCs w:val="21"/>
          <w:highlight w:val="none"/>
          <w:lang w:eastAsia="zh-CN"/>
          <w14:textFill>
            <w14:solidFill>
              <w14:schemeClr w14:val="tx1"/>
            </w14:solidFill>
          </w14:textFill>
        </w:rPr>
        <w:t>投标</w:t>
      </w:r>
      <w:r>
        <w:rPr>
          <w:rFonts w:ascii="宋体" w:hAnsi="宋体" w:eastAsia="宋体" w:cs="宋体"/>
          <w:color w:val="000000" w:themeColor="text1"/>
          <w:sz w:val="21"/>
          <w:szCs w:val="21"/>
          <w:highlight w:val="none"/>
          <w14:textFill>
            <w14:solidFill>
              <w14:schemeClr w14:val="tx1"/>
            </w14:solidFill>
          </w14:textFill>
        </w:rPr>
        <w:t>时需签本协议，联合体各方成员应在本协议上共同盖章确认。</w:t>
      </w:r>
    </w:p>
    <w:p w14:paraId="1333512A">
      <w:pPr>
        <w:pStyle w:val="203"/>
        <w:spacing w:line="360" w:lineRule="auto"/>
        <w:ind w:firstLine="48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2．本协议内容不得擅自修改。此协议将作为签订合同的附件之一。</w:t>
      </w:r>
    </w:p>
    <w:bookmarkEnd w:id="849"/>
    <w:p w14:paraId="32BD710E">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28A6F3CA">
      <w:pPr>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p>
    <w:p w14:paraId="27E34DB9">
      <w:pPr>
        <w:tabs>
          <w:tab w:val="left" w:pos="567"/>
        </w:tabs>
        <w:autoSpaceDE w:val="0"/>
        <w:autoSpaceDN w:val="0"/>
        <w:adjustRightInd w:val="0"/>
        <w:spacing w:line="360" w:lineRule="auto"/>
        <w:jc w:val="left"/>
        <w:outlineLvl w:val="2"/>
        <w:rPr>
          <w:rFonts w:ascii="宋体" w:hAnsi="宋体" w:eastAsia="宋体" w:cs="Times New Roman"/>
          <w:color w:val="000000" w:themeColor="text1"/>
          <w:kern w:val="0"/>
          <w:szCs w:val="21"/>
          <w:highlight w:val="none"/>
          <w:u w:val="single"/>
          <w14:textFill>
            <w14:solidFill>
              <w14:schemeClr w14:val="tx1"/>
            </w14:solidFill>
          </w14:textFill>
        </w:rPr>
      </w:pPr>
      <w:bookmarkStart w:id="855" w:name="_Toc8094"/>
      <w:bookmarkStart w:id="856" w:name="_Toc7385"/>
      <w:bookmarkStart w:id="857" w:name="_Toc4817"/>
      <w:r>
        <w:rPr>
          <w:rFonts w:hint="eastAsia" w:ascii="宋体" w:hAnsi="宋体" w:eastAsia="宋体" w:cs="宋体"/>
          <w:b/>
          <w:color w:val="000000" w:themeColor="text1"/>
          <w:sz w:val="32"/>
          <w:szCs w:val="32"/>
          <w:highlight w:val="none"/>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834"/>
      <w:bookmarkEnd w:id="835"/>
      <w:bookmarkEnd w:id="836"/>
      <w:bookmarkEnd w:id="837"/>
      <w:bookmarkEnd w:id="838"/>
      <w:bookmarkEnd w:id="839"/>
      <w:bookmarkEnd w:id="840"/>
      <w:bookmarkEnd w:id="841"/>
      <w:bookmarkEnd w:id="842"/>
      <w:bookmarkEnd w:id="843"/>
      <w:bookmarkEnd w:id="844"/>
      <w:bookmarkEnd w:id="850"/>
      <w:bookmarkEnd w:id="855"/>
      <w:bookmarkEnd w:id="856"/>
      <w:bookmarkEnd w:id="857"/>
    </w:p>
    <w:p w14:paraId="562974AB">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858"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858"/>
    </w:p>
    <w:p w14:paraId="0F6DA262">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7BFB5068">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73489892">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4311FD5E">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2431E162">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28A02519">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22BC0846">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22963741">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 ____</w:t>
      </w:r>
    </w:p>
    <w:p w14:paraId="77D27993">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608EE8BF">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6583DA66">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0E5E744B">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58A010AD">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0FAC95DE">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6AFE1108">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2FE04044">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490E3AF5">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41F8A311">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7A94A9C0">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34411E24">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412E1A6D">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20B8AF27">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68241FB1">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4CE0AFCD">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62C537E4">
      <w:pPr>
        <w:autoSpaceDE w:val="0"/>
        <w:autoSpaceDN w:val="0"/>
        <w:adjustRightInd w:val="0"/>
        <w:spacing w:line="360" w:lineRule="auto"/>
        <w:ind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42FE1FA9">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2A117D9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859" w:name="_Toc102860080"/>
      <w:bookmarkStart w:id="860" w:name="_Toc142508375"/>
      <w:bookmarkStart w:id="861" w:name="_Toc94107216"/>
      <w:bookmarkStart w:id="862" w:name="_Toc24722"/>
      <w:bookmarkStart w:id="863" w:name="_Toc102860424"/>
      <w:bookmarkStart w:id="864" w:name="_Toc140596935"/>
      <w:bookmarkStart w:id="865" w:name="_Toc4495"/>
      <w:bookmarkStart w:id="866" w:name="_Toc3711"/>
      <w:bookmarkStart w:id="867" w:name="_Toc9122"/>
      <w:bookmarkStart w:id="868" w:name="_Toc104991882"/>
      <w:bookmarkStart w:id="869" w:name="_Toc11386"/>
      <w:bookmarkStart w:id="870" w:name="_Toc533708128"/>
      <w:bookmarkStart w:id="871" w:name="_Toc9051_WPSOffice_Level2"/>
      <w:bookmarkStart w:id="872" w:name="_Toc1977733"/>
      <w:bookmarkStart w:id="873" w:name="_Toc486167715"/>
      <w:r>
        <w:rPr>
          <w:rFonts w:hint="eastAsia" w:ascii="宋体" w:hAnsi="宋体" w:eastAsia="宋体" w:cs="宋体"/>
          <w:b/>
          <w:color w:val="000000" w:themeColor="text1"/>
          <w:sz w:val="32"/>
          <w:szCs w:val="32"/>
          <w:highlight w:val="none"/>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859"/>
      <w:bookmarkEnd w:id="860"/>
      <w:bookmarkEnd w:id="861"/>
      <w:bookmarkEnd w:id="862"/>
      <w:bookmarkEnd w:id="863"/>
      <w:bookmarkEnd w:id="864"/>
      <w:bookmarkEnd w:id="865"/>
      <w:bookmarkEnd w:id="866"/>
      <w:bookmarkEnd w:id="867"/>
      <w:bookmarkEnd w:id="868"/>
      <w:bookmarkEnd w:id="869"/>
    </w:p>
    <w:p w14:paraId="7C0B2872">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531B9885">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1B8F0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4B710F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5E11B33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6815DBC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299DA9C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2087FA0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009D7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8C2AEC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bookmarkStart w:id="874" w:name="OLE_LINK73" w:colFirst="0" w:colLast="0"/>
            <w:r>
              <w:rPr>
                <w:rFonts w:hint="eastAsia" w:ascii="宋体" w:hAnsi="宋体" w:eastAsia="宋体" w:cs="宋体"/>
                <w:color w:val="000000" w:themeColor="text1"/>
                <w:kern w:val="0"/>
                <w:szCs w:val="21"/>
                <w:highlight w:val="none"/>
                <w14:textFill>
                  <w14:solidFill>
                    <w14:schemeClr w14:val="tx1"/>
                  </w14:solidFill>
                </w14:textFill>
              </w:rPr>
              <w:t>2021</w:t>
            </w:r>
          </w:p>
        </w:tc>
        <w:tc>
          <w:tcPr>
            <w:tcW w:w="1944" w:type="dxa"/>
            <w:vAlign w:val="center"/>
          </w:tcPr>
          <w:p w14:paraId="3FB6D77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6474B04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6B9C12B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5D86349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57633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41BFE5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2022</w:t>
            </w:r>
          </w:p>
        </w:tc>
        <w:tc>
          <w:tcPr>
            <w:tcW w:w="1944" w:type="dxa"/>
            <w:vAlign w:val="center"/>
          </w:tcPr>
          <w:p w14:paraId="30F8C1B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522D8A9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382A04D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3F09007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47164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3ADAD1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2023</w:t>
            </w:r>
          </w:p>
        </w:tc>
        <w:tc>
          <w:tcPr>
            <w:tcW w:w="1944" w:type="dxa"/>
            <w:vAlign w:val="center"/>
          </w:tcPr>
          <w:p w14:paraId="08D724D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40AD879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5C36FE1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44BDF96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bookmarkEnd w:id="874"/>
      <w:tr w14:paraId="5EA31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BDCD91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2280592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30E8662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32EB7431">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bookmarkStart w:id="875" w:name="OLE_LINK363"/>
    </w:p>
    <w:bookmarkEnd w:id="875"/>
    <w:p w14:paraId="0DD54B4E">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4AB69819">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59F5C9BA">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721DB0E3">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870"/>
    <w:bookmarkEnd w:id="871"/>
    <w:bookmarkEnd w:id="872"/>
    <w:bookmarkEnd w:id="873"/>
    <w:p w14:paraId="14C01CAC">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876" w:name="_Toc137"/>
      <w:bookmarkStart w:id="877" w:name="_Toc23325"/>
      <w:bookmarkStart w:id="878" w:name="_Toc15550"/>
      <w:bookmarkStart w:id="879" w:name="_Toc1977736"/>
      <w:bookmarkStart w:id="880" w:name="_Toc533708130"/>
      <w:bookmarkStart w:id="881" w:name="_Toc15551"/>
      <w:bookmarkStart w:id="882" w:name="_Toc140596936"/>
      <w:bookmarkStart w:id="883" w:name="_Toc94107217"/>
      <w:bookmarkStart w:id="884" w:name="_Toc142508376"/>
      <w:bookmarkStart w:id="885" w:name="_Toc102860425"/>
      <w:bookmarkStart w:id="886" w:name="_Toc102860081"/>
      <w:bookmarkStart w:id="887" w:name="_Toc486167716"/>
      <w:bookmarkStart w:id="888" w:name="_Toc20034"/>
      <w:bookmarkStart w:id="889" w:name="_Toc104991883"/>
      <w:bookmarkStart w:id="890" w:name="_Toc739_WPSOffice_Level2"/>
      <w:r>
        <w:rPr>
          <w:rFonts w:hint="eastAsia" w:ascii="宋体" w:hAnsi="宋体" w:eastAsia="宋体" w:cs="宋体"/>
          <w:b/>
          <w:color w:val="000000" w:themeColor="text1"/>
          <w:kern w:val="0"/>
          <w:sz w:val="32"/>
          <w:szCs w:val="32"/>
          <w:highlight w:val="none"/>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w:t>
      </w:r>
      <w:bookmarkStart w:id="891" w:name="OLE_LINK369"/>
      <w:r>
        <w:rPr>
          <w:rFonts w:hint="eastAsia" w:ascii="宋体" w:hAnsi="宋体" w:eastAsia="宋体" w:cs="宋体"/>
          <w:b/>
          <w:color w:val="000000" w:themeColor="text1"/>
          <w:kern w:val="0"/>
          <w:sz w:val="32"/>
          <w:szCs w:val="32"/>
          <w:highlight w:val="none"/>
          <w:lang w:val="zh-CN"/>
          <w14:textFill>
            <w14:solidFill>
              <w14:schemeClr w14:val="tx1"/>
            </w14:solidFill>
          </w14:textFill>
        </w:rPr>
        <w:t>标准化体系认证</w:t>
      </w:r>
      <w:bookmarkEnd w:id="876"/>
      <w:bookmarkEnd w:id="877"/>
      <w:bookmarkEnd w:id="878"/>
      <w:bookmarkEnd w:id="891"/>
    </w:p>
    <w:p w14:paraId="29189CBF">
      <w:pPr>
        <w:spacing w:line="360" w:lineRule="auto"/>
        <w:rPr>
          <w:rFonts w:ascii="宋体" w:hAnsi="宋体" w:eastAsia="宋体" w:cs="宋体"/>
          <w:color w:val="000000" w:themeColor="text1"/>
          <w:kern w:val="0"/>
          <w:szCs w:val="21"/>
          <w:highlight w:val="none"/>
          <w14:textFill>
            <w14:solidFill>
              <w14:schemeClr w14:val="tx1"/>
            </w14:solidFill>
          </w14:textFill>
        </w:rPr>
      </w:pPr>
      <w:bookmarkStart w:id="892" w:name="OLE_LINK364"/>
      <w:r>
        <w:rPr>
          <w:rFonts w:hint="eastAsia" w:ascii="宋体" w:hAnsi="宋体" w:eastAsia="宋体" w:cs="宋体"/>
          <w:color w:val="000000" w:themeColor="text1"/>
          <w:kern w:val="0"/>
          <w:szCs w:val="21"/>
          <w:highlight w:val="none"/>
          <w14:textFill>
            <w14:solidFill>
              <w14:schemeClr w14:val="tx1"/>
            </w14:solidFill>
          </w14:textFill>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bookmarkEnd w:id="892"/>
    <w:p w14:paraId="30420FF3">
      <w:pPr>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716A9878">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893" w:name="_Toc13859"/>
      <w:bookmarkStart w:id="894" w:name="_Toc25943"/>
      <w:bookmarkStart w:id="895" w:name="_Toc15638"/>
      <w:r>
        <w:rPr>
          <w:rFonts w:hint="eastAsia" w:ascii="宋体" w:hAnsi="宋体" w:eastAsia="宋体" w:cs="宋体"/>
          <w:b/>
          <w:color w:val="000000" w:themeColor="text1"/>
          <w:kern w:val="0"/>
          <w:sz w:val="32"/>
          <w:szCs w:val="32"/>
          <w:highlight w:val="none"/>
          <w14:textFill>
            <w14:solidFill>
              <w14:schemeClr w14:val="tx1"/>
            </w14:solidFill>
          </w14:textFill>
        </w:rPr>
        <w:t>九</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879"/>
      <w:bookmarkEnd w:id="880"/>
      <w:bookmarkEnd w:id="881"/>
      <w:bookmarkEnd w:id="882"/>
      <w:bookmarkEnd w:id="883"/>
      <w:bookmarkEnd w:id="884"/>
      <w:bookmarkEnd w:id="885"/>
      <w:bookmarkEnd w:id="886"/>
      <w:bookmarkEnd w:id="887"/>
      <w:bookmarkEnd w:id="888"/>
      <w:bookmarkEnd w:id="889"/>
      <w:bookmarkEnd w:id="890"/>
      <w:bookmarkEnd w:id="893"/>
      <w:bookmarkEnd w:id="894"/>
      <w:bookmarkEnd w:id="895"/>
    </w:p>
    <w:p w14:paraId="21682077">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896"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东莞市水务集团科技发展有限公司屋顶分布式光伏发电（一期）采购项目合同条款偏离表</w:t>
      </w:r>
      <w:bookmarkEnd w:id="896"/>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7F0E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2B24C3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14:paraId="7D22FC1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14:paraId="422F342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2BDC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611A023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425" w:type="dxa"/>
            <w:vAlign w:val="center"/>
          </w:tcPr>
          <w:p w14:paraId="3DD4DC1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55" w:type="dxa"/>
            <w:vAlign w:val="center"/>
          </w:tcPr>
          <w:p w14:paraId="2A0D2B5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14:paraId="5644642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14:paraId="18C3D55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3238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F445E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25" w:type="dxa"/>
            <w:vAlign w:val="center"/>
          </w:tcPr>
          <w:p w14:paraId="602ACAB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第一条</w:t>
            </w:r>
          </w:p>
        </w:tc>
        <w:tc>
          <w:tcPr>
            <w:tcW w:w="3055" w:type="dxa"/>
            <w:vAlign w:val="center"/>
          </w:tcPr>
          <w:p w14:paraId="64AEDA5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合同项目</w:t>
            </w:r>
          </w:p>
        </w:tc>
        <w:tc>
          <w:tcPr>
            <w:tcW w:w="1346" w:type="dxa"/>
            <w:vAlign w:val="center"/>
          </w:tcPr>
          <w:p w14:paraId="22FB26F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81329D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F97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8D064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25" w:type="dxa"/>
            <w:vAlign w:val="center"/>
          </w:tcPr>
          <w:p w14:paraId="5B368B1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第二条</w:t>
            </w:r>
          </w:p>
        </w:tc>
        <w:tc>
          <w:tcPr>
            <w:tcW w:w="3055" w:type="dxa"/>
            <w:vAlign w:val="center"/>
          </w:tcPr>
          <w:p w14:paraId="5683AFA6">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合同价及销项税额</w:t>
            </w:r>
          </w:p>
        </w:tc>
        <w:tc>
          <w:tcPr>
            <w:tcW w:w="1346" w:type="dxa"/>
            <w:vAlign w:val="center"/>
          </w:tcPr>
          <w:p w14:paraId="14F6648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B7B2DC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A8E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C2649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425" w:type="dxa"/>
            <w:vAlign w:val="center"/>
          </w:tcPr>
          <w:p w14:paraId="1999A80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第三条</w:t>
            </w:r>
          </w:p>
        </w:tc>
        <w:tc>
          <w:tcPr>
            <w:tcW w:w="3055" w:type="dxa"/>
            <w:vAlign w:val="center"/>
          </w:tcPr>
          <w:p w14:paraId="36D01712">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付款方式</w:t>
            </w:r>
          </w:p>
        </w:tc>
        <w:tc>
          <w:tcPr>
            <w:tcW w:w="1346" w:type="dxa"/>
            <w:vAlign w:val="center"/>
          </w:tcPr>
          <w:p w14:paraId="6811E80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20024C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784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EC5A5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425" w:type="dxa"/>
            <w:vAlign w:val="center"/>
          </w:tcPr>
          <w:p w14:paraId="3B51CE3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第四条</w:t>
            </w:r>
          </w:p>
        </w:tc>
        <w:tc>
          <w:tcPr>
            <w:tcW w:w="3055" w:type="dxa"/>
            <w:vAlign w:val="center"/>
          </w:tcPr>
          <w:p w14:paraId="4C60BFF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合同组成</w:t>
            </w:r>
          </w:p>
        </w:tc>
        <w:tc>
          <w:tcPr>
            <w:tcW w:w="1346" w:type="dxa"/>
            <w:vAlign w:val="center"/>
          </w:tcPr>
          <w:p w14:paraId="36B1321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6DC2BA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B50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E3175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425" w:type="dxa"/>
            <w:vAlign w:val="center"/>
          </w:tcPr>
          <w:p w14:paraId="240265A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第五条</w:t>
            </w:r>
          </w:p>
        </w:tc>
        <w:tc>
          <w:tcPr>
            <w:tcW w:w="3055" w:type="dxa"/>
            <w:vAlign w:val="center"/>
          </w:tcPr>
          <w:p w14:paraId="0B03836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产品质量要求</w:t>
            </w:r>
          </w:p>
        </w:tc>
        <w:tc>
          <w:tcPr>
            <w:tcW w:w="1346" w:type="dxa"/>
            <w:vAlign w:val="center"/>
          </w:tcPr>
          <w:p w14:paraId="20D3D87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A22FD0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060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B5412F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425" w:type="dxa"/>
            <w:vAlign w:val="center"/>
          </w:tcPr>
          <w:p w14:paraId="4367C85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第六条</w:t>
            </w:r>
          </w:p>
        </w:tc>
        <w:tc>
          <w:tcPr>
            <w:tcW w:w="3055" w:type="dxa"/>
            <w:vAlign w:val="center"/>
          </w:tcPr>
          <w:p w14:paraId="7F7DD086">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包装、运输</w:t>
            </w:r>
          </w:p>
        </w:tc>
        <w:tc>
          <w:tcPr>
            <w:tcW w:w="1346" w:type="dxa"/>
            <w:vAlign w:val="center"/>
          </w:tcPr>
          <w:p w14:paraId="18B5AED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D01929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43B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75AEF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425" w:type="dxa"/>
            <w:vAlign w:val="center"/>
          </w:tcPr>
          <w:p w14:paraId="10C6BD4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第七条</w:t>
            </w:r>
          </w:p>
        </w:tc>
        <w:tc>
          <w:tcPr>
            <w:tcW w:w="3055" w:type="dxa"/>
            <w:vAlign w:val="center"/>
          </w:tcPr>
          <w:p w14:paraId="335854CA">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保险</w:t>
            </w:r>
          </w:p>
        </w:tc>
        <w:tc>
          <w:tcPr>
            <w:tcW w:w="1346" w:type="dxa"/>
            <w:vAlign w:val="center"/>
          </w:tcPr>
          <w:p w14:paraId="5EB996D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0DD48B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473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1D424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425" w:type="dxa"/>
            <w:vAlign w:val="center"/>
          </w:tcPr>
          <w:p w14:paraId="3C83AF5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第八条</w:t>
            </w:r>
          </w:p>
        </w:tc>
        <w:tc>
          <w:tcPr>
            <w:tcW w:w="3055" w:type="dxa"/>
            <w:vAlign w:val="center"/>
          </w:tcPr>
          <w:p w14:paraId="22EACD3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货物的交付</w:t>
            </w:r>
          </w:p>
        </w:tc>
        <w:tc>
          <w:tcPr>
            <w:tcW w:w="1346" w:type="dxa"/>
            <w:vAlign w:val="center"/>
          </w:tcPr>
          <w:p w14:paraId="24CF6F5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4EEB3C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392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35151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425" w:type="dxa"/>
            <w:vAlign w:val="center"/>
          </w:tcPr>
          <w:p w14:paraId="5175FA3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第九条</w:t>
            </w:r>
          </w:p>
        </w:tc>
        <w:tc>
          <w:tcPr>
            <w:tcW w:w="3055" w:type="dxa"/>
            <w:vAlign w:val="center"/>
          </w:tcPr>
          <w:p w14:paraId="360C6C3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安装、调试</w:t>
            </w:r>
          </w:p>
        </w:tc>
        <w:tc>
          <w:tcPr>
            <w:tcW w:w="1346" w:type="dxa"/>
            <w:vAlign w:val="center"/>
          </w:tcPr>
          <w:p w14:paraId="15A147B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748EC0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C6C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30B2B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1425" w:type="dxa"/>
            <w:vAlign w:val="center"/>
          </w:tcPr>
          <w:p w14:paraId="24449D4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第十条</w:t>
            </w:r>
          </w:p>
        </w:tc>
        <w:tc>
          <w:tcPr>
            <w:tcW w:w="3055" w:type="dxa"/>
            <w:vAlign w:val="center"/>
          </w:tcPr>
          <w:p w14:paraId="77535AC0">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验收</w:t>
            </w:r>
          </w:p>
        </w:tc>
        <w:tc>
          <w:tcPr>
            <w:tcW w:w="1346" w:type="dxa"/>
            <w:vAlign w:val="center"/>
          </w:tcPr>
          <w:p w14:paraId="53CD786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C90DC9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C8A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137E7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425" w:type="dxa"/>
            <w:vAlign w:val="center"/>
          </w:tcPr>
          <w:p w14:paraId="39E7C55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第十一条</w:t>
            </w:r>
          </w:p>
        </w:tc>
        <w:tc>
          <w:tcPr>
            <w:tcW w:w="3055" w:type="dxa"/>
            <w:vAlign w:val="center"/>
          </w:tcPr>
          <w:p w14:paraId="0B899AB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项目照管</w:t>
            </w:r>
          </w:p>
        </w:tc>
        <w:tc>
          <w:tcPr>
            <w:tcW w:w="1346" w:type="dxa"/>
            <w:vAlign w:val="center"/>
          </w:tcPr>
          <w:p w14:paraId="3900C2E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D421E1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6DF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AA779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1425" w:type="dxa"/>
            <w:vAlign w:val="center"/>
          </w:tcPr>
          <w:p w14:paraId="78BBBC2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第十二条</w:t>
            </w:r>
          </w:p>
        </w:tc>
        <w:tc>
          <w:tcPr>
            <w:tcW w:w="3055" w:type="dxa"/>
            <w:vAlign w:val="center"/>
          </w:tcPr>
          <w:p w14:paraId="552E9A7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技术服务、设计联络、设计技术要求和培训</w:t>
            </w:r>
          </w:p>
        </w:tc>
        <w:tc>
          <w:tcPr>
            <w:tcW w:w="1346" w:type="dxa"/>
            <w:vAlign w:val="center"/>
          </w:tcPr>
          <w:p w14:paraId="77E8567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749020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93C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8226B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1425" w:type="dxa"/>
            <w:vAlign w:val="center"/>
          </w:tcPr>
          <w:p w14:paraId="0C14F4A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第十三条</w:t>
            </w:r>
          </w:p>
        </w:tc>
        <w:tc>
          <w:tcPr>
            <w:tcW w:w="3055" w:type="dxa"/>
            <w:vAlign w:val="center"/>
          </w:tcPr>
          <w:p w14:paraId="1AFA9C4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质保期及售后服务</w:t>
            </w:r>
          </w:p>
        </w:tc>
        <w:tc>
          <w:tcPr>
            <w:tcW w:w="1346" w:type="dxa"/>
            <w:vAlign w:val="center"/>
          </w:tcPr>
          <w:p w14:paraId="1B4977E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C89B04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467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957AE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1425" w:type="dxa"/>
            <w:vAlign w:val="center"/>
          </w:tcPr>
          <w:p w14:paraId="0997D2A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第十四条</w:t>
            </w:r>
          </w:p>
        </w:tc>
        <w:tc>
          <w:tcPr>
            <w:tcW w:w="3055" w:type="dxa"/>
            <w:vAlign w:val="center"/>
          </w:tcPr>
          <w:p w14:paraId="2078D3A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安全运维要求</w:t>
            </w:r>
          </w:p>
        </w:tc>
        <w:tc>
          <w:tcPr>
            <w:tcW w:w="1346" w:type="dxa"/>
            <w:vAlign w:val="center"/>
          </w:tcPr>
          <w:p w14:paraId="565D04C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98D7FA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980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26B442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425" w:type="dxa"/>
            <w:vAlign w:val="center"/>
          </w:tcPr>
          <w:p w14:paraId="0822DEC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第十五条</w:t>
            </w:r>
          </w:p>
        </w:tc>
        <w:tc>
          <w:tcPr>
            <w:tcW w:w="3055" w:type="dxa"/>
            <w:vAlign w:val="center"/>
          </w:tcPr>
          <w:p w14:paraId="3CC9DBE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履约担保</w:t>
            </w:r>
          </w:p>
        </w:tc>
        <w:tc>
          <w:tcPr>
            <w:tcW w:w="1346" w:type="dxa"/>
            <w:vAlign w:val="center"/>
          </w:tcPr>
          <w:p w14:paraId="2706E63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EB9D08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017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672A0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bookmarkStart w:id="897" w:name="OLE_LINK232"/>
            <w:r>
              <w:rPr>
                <w:rFonts w:hint="eastAsia" w:ascii="宋体" w:hAnsi="宋体" w:eastAsia="宋体" w:cs="宋体"/>
                <w:color w:val="000000" w:themeColor="text1"/>
                <w:kern w:val="0"/>
                <w:szCs w:val="21"/>
                <w:highlight w:val="none"/>
                <w14:textFill>
                  <w14:solidFill>
                    <w14:schemeClr w14:val="tx1"/>
                  </w14:solidFill>
                </w14:textFill>
              </w:rPr>
              <w:t>1</w:t>
            </w:r>
            <w:bookmarkEnd w:id="897"/>
            <w:r>
              <w:rPr>
                <w:rFonts w:hint="eastAsia" w:ascii="宋体" w:hAnsi="宋体" w:eastAsia="宋体" w:cs="宋体"/>
                <w:color w:val="000000" w:themeColor="text1"/>
                <w:kern w:val="0"/>
                <w:szCs w:val="21"/>
                <w:highlight w:val="none"/>
                <w14:textFill>
                  <w14:solidFill>
                    <w14:schemeClr w14:val="tx1"/>
                  </w14:solidFill>
                </w14:textFill>
              </w:rPr>
              <w:t>6</w:t>
            </w:r>
          </w:p>
        </w:tc>
        <w:tc>
          <w:tcPr>
            <w:tcW w:w="1425" w:type="dxa"/>
            <w:vAlign w:val="center"/>
          </w:tcPr>
          <w:p w14:paraId="07C4976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第十六条</w:t>
            </w:r>
          </w:p>
        </w:tc>
        <w:tc>
          <w:tcPr>
            <w:tcW w:w="3055" w:type="dxa"/>
            <w:vAlign w:val="center"/>
          </w:tcPr>
          <w:p w14:paraId="1BF2099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技术资料</w:t>
            </w:r>
          </w:p>
        </w:tc>
        <w:tc>
          <w:tcPr>
            <w:tcW w:w="1346" w:type="dxa"/>
            <w:vAlign w:val="center"/>
          </w:tcPr>
          <w:p w14:paraId="2F679DC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51CE20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5E1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38A31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17</w:t>
            </w:r>
          </w:p>
        </w:tc>
        <w:tc>
          <w:tcPr>
            <w:tcW w:w="1425" w:type="dxa"/>
            <w:vAlign w:val="center"/>
          </w:tcPr>
          <w:p w14:paraId="67D4FEB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第十七条</w:t>
            </w:r>
          </w:p>
        </w:tc>
        <w:tc>
          <w:tcPr>
            <w:tcW w:w="3055" w:type="dxa"/>
            <w:vAlign w:val="center"/>
          </w:tcPr>
          <w:p w14:paraId="713CCB7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权利保证</w:t>
            </w:r>
          </w:p>
        </w:tc>
        <w:tc>
          <w:tcPr>
            <w:tcW w:w="1346" w:type="dxa"/>
            <w:vAlign w:val="center"/>
          </w:tcPr>
          <w:p w14:paraId="44572A7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F03F52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2DF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63799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18</w:t>
            </w:r>
          </w:p>
        </w:tc>
        <w:tc>
          <w:tcPr>
            <w:tcW w:w="1425" w:type="dxa"/>
            <w:vAlign w:val="center"/>
          </w:tcPr>
          <w:p w14:paraId="473CB74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第十八条</w:t>
            </w:r>
          </w:p>
        </w:tc>
        <w:tc>
          <w:tcPr>
            <w:tcW w:w="3055" w:type="dxa"/>
            <w:vAlign w:val="center"/>
          </w:tcPr>
          <w:p w14:paraId="7F4EF5D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不可抗力</w:t>
            </w:r>
          </w:p>
        </w:tc>
        <w:tc>
          <w:tcPr>
            <w:tcW w:w="1346" w:type="dxa"/>
            <w:vAlign w:val="center"/>
          </w:tcPr>
          <w:p w14:paraId="1339AF3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703ABB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EB0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CDAC7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19</w:t>
            </w:r>
          </w:p>
        </w:tc>
        <w:tc>
          <w:tcPr>
            <w:tcW w:w="1425" w:type="dxa"/>
            <w:vAlign w:val="center"/>
          </w:tcPr>
          <w:p w14:paraId="415D642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第十九条</w:t>
            </w:r>
          </w:p>
        </w:tc>
        <w:tc>
          <w:tcPr>
            <w:tcW w:w="3055" w:type="dxa"/>
            <w:vAlign w:val="center"/>
          </w:tcPr>
          <w:p w14:paraId="36D75A9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索赔</w:t>
            </w:r>
          </w:p>
        </w:tc>
        <w:tc>
          <w:tcPr>
            <w:tcW w:w="1346" w:type="dxa"/>
            <w:vAlign w:val="center"/>
          </w:tcPr>
          <w:p w14:paraId="7EBA744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20C589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D61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4DA07F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20</w:t>
            </w:r>
          </w:p>
        </w:tc>
        <w:tc>
          <w:tcPr>
            <w:tcW w:w="1425" w:type="dxa"/>
            <w:vAlign w:val="center"/>
          </w:tcPr>
          <w:p w14:paraId="3B6F6CD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第二十条</w:t>
            </w:r>
          </w:p>
        </w:tc>
        <w:tc>
          <w:tcPr>
            <w:tcW w:w="3055" w:type="dxa"/>
            <w:vAlign w:val="center"/>
          </w:tcPr>
          <w:p w14:paraId="3CAE2D3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违约责任</w:t>
            </w:r>
          </w:p>
        </w:tc>
        <w:tc>
          <w:tcPr>
            <w:tcW w:w="1346" w:type="dxa"/>
            <w:vAlign w:val="center"/>
          </w:tcPr>
          <w:p w14:paraId="010AA0E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FCAAD2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062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45E20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21</w:t>
            </w:r>
          </w:p>
        </w:tc>
        <w:tc>
          <w:tcPr>
            <w:tcW w:w="1425" w:type="dxa"/>
            <w:vAlign w:val="center"/>
          </w:tcPr>
          <w:p w14:paraId="0BFD13B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第二十一条</w:t>
            </w:r>
          </w:p>
        </w:tc>
        <w:tc>
          <w:tcPr>
            <w:tcW w:w="3055" w:type="dxa"/>
            <w:vAlign w:val="center"/>
          </w:tcPr>
          <w:p w14:paraId="06EA1FE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争议解决</w:t>
            </w:r>
          </w:p>
        </w:tc>
        <w:tc>
          <w:tcPr>
            <w:tcW w:w="1346" w:type="dxa"/>
            <w:vAlign w:val="center"/>
          </w:tcPr>
          <w:p w14:paraId="5ED6EB9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619A1D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11B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88B5A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22</w:t>
            </w:r>
          </w:p>
        </w:tc>
        <w:tc>
          <w:tcPr>
            <w:tcW w:w="1425" w:type="dxa"/>
            <w:vAlign w:val="center"/>
          </w:tcPr>
          <w:p w14:paraId="3DAE398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bookmarkStart w:id="898" w:name="OLE_LINK119"/>
            <w:r>
              <w:rPr>
                <w:rFonts w:hint="eastAsia" w:ascii="宋体" w:hAnsi="宋体" w:eastAsia="宋体" w:cs="宋体"/>
                <w:color w:val="000000" w:themeColor="text1"/>
                <w:kern w:val="0"/>
                <w:szCs w:val="21"/>
                <w:highlight w:val="none"/>
                <w14:textFill>
                  <w14:solidFill>
                    <w14:schemeClr w14:val="tx1"/>
                  </w14:solidFill>
                </w14:textFill>
              </w:rPr>
              <w:t>第二十二条</w:t>
            </w:r>
            <w:bookmarkEnd w:id="898"/>
          </w:p>
        </w:tc>
        <w:tc>
          <w:tcPr>
            <w:tcW w:w="3055" w:type="dxa"/>
            <w:vAlign w:val="center"/>
          </w:tcPr>
          <w:p w14:paraId="5FE2237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送达</w:t>
            </w:r>
          </w:p>
        </w:tc>
        <w:tc>
          <w:tcPr>
            <w:tcW w:w="1346" w:type="dxa"/>
            <w:vAlign w:val="center"/>
          </w:tcPr>
          <w:p w14:paraId="01789A1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ABC9E8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1E4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492470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23</w:t>
            </w:r>
          </w:p>
        </w:tc>
        <w:tc>
          <w:tcPr>
            <w:tcW w:w="1425" w:type="dxa"/>
            <w:vAlign w:val="center"/>
          </w:tcPr>
          <w:p w14:paraId="4ABBA37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第二十三条</w:t>
            </w:r>
          </w:p>
        </w:tc>
        <w:tc>
          <w:tcPr>
            <w:tcW w:w="3055" w:type="dxa"/>
            <w:vAlign w:val="center"/>
          </w:tcPr>
          <w:p w14:paraId="1B7BA1C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其他</w:t>
            </w:r>
          </w:p>
        </w:tc>
        <w:tc>
          <w:tcPr>
            <w:tcW w:w="1346" w:type="dxa"/>
            <w:vAlign w:val="center"/>
          </w:tcPr>
          <w:p w14:paraId="70F9AE3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59EA31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BF1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5C8C7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24</w:t>
            </w:r>
          </w:p>
        </w:tc>
        <w:tc>
          <w:tcPr>
            <w:tcW w:w="1425" w:type="dxa"/>
            <w:vAlign w:val="center"/>
          </w:tcPr>
          <w:p w14:paraId="4E85B01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附件4</w:t>
            </w:r>
          </w:p>
        </w:tc>
        <w:tc>
          <w:tcPr>
            <w:tcW w:w="3055" w:type="dxa"/>
            <w:vAlign w:val="center"/>
          </w:tcPr>
          <w:p w14:paraId="79C1035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安全生产管理协议</w:t>
            </w:r>
          </w:p>
        </w:tc>
        <w:tc>
          <w:tcPr>
            <w:tcW w:w="1346" w:type="dxa"/>
            <w:vAlign w:val="center"/>
          </w:tcPr>
          <w:p w14:paraId="7CA95DF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887C73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055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F9523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25</w:t>
            </w:r>
          </w:p>
        </w:tc>
        <w:tc>
          <w:tcPr>
            <w:tcW w:w="1425" w:type="dxa"/>
            <w:vAlign w:val="center"/>
          </w:tcPr>
          <w:p w14:paraId="63D3C36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附件5</w:t>
            </w:r>
          </w:p>
        </w:tc>
        <w:tc>
          <w:tcPr>
            <w:tcW w:w="3055" w:type="dxa"/>
            <w:vAlign w:val="center"/>
          </w:tcPr>
          <w:p w14:paraId="4DFBFB7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廉洁协议书</w:t>
            </w:r>
          </w:p>
        </w:tc>
        <w:tc>
          <w:tcPr>
            <w:tcW w:w="1346" w:type="dxa"/>
            <w:vAlign w:val="center"/>
          </w:tcPr>
          <w:p w14:paraId="56EAF52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ECB826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528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E8206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26</w:t>
            </w:r>
          </w:p>
        </w:tc>
        <w:tc>
          <w:tcPr>
            <w:tcW w:w="1425" w:type="dxa"/>
            <w:vAlign w:val="center"/>
          </w:tcPr>
          <w:p w14:paraId="0A2FF70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附件7</w:t>
            </w:r>
          </w:p>
        </w:tc>
        <w:tc>
          <w:tcPr>
            <w:tcW w:w="3055" w:type="dxa"/>
            <w:vAlign w:val="center"/>
          </w:tcPr>
          <w:p w14:paraId="6D2542D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质量保修保函</w:t>
            </w:r>
          </w:p>
        </w:tc>
        <w:tc>
          <w:tcPr>
            <w:tcW w:w="1346" w:type="dxa"/>
            <w:vAlign w:val="center"/>
          </w:tcPr>
          <w:p w14:paraId="4982879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F97FF4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07C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A5DFC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27</w:t>
            </w:r>
          </w:p>
        </w:tc>
        <w:tc>
          <w:tcPr>
            <w:tcW w:w="1425" w:type="dxa"/>
            <w:vAlign w:val="center"/>
          </w:tcPr>
          <w:p w14:paraId="5986DC6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一</w:t>
            </w:r>
          </w:p>
        </w:tc>
        <w:tc>
          <w:tcPr>
            <w:tcW w:w="3055" w:type="dxa"/>
            <w:vAlign w:val="center"/>
          </w:tcPr>
          <w:p w14:paraId="25C1AEE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不可撤销银行履约保函</w:t>
            </w:r>
          </w:p>
        </w:tc>
        <w:tc>
          <w:tcPr>
            <w:tcW w:w="1346" w:type="dxa"/>
            <w:vAlign w:val="center"/>
          </w:tcPr>
          <w:p w14:paraId="125FFE8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7B471B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474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0AEAF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28</w:t>
            </w:r>
          </w:p>
        </w:tc>
        <w:tc>
          <w:tcPr>
            <w:tcW w:w="1425" w:type="dxa"/>
            <w:vAlign w:val="center"/>
          </w:tcPr>
          <w:p w14:paraId="51E51FD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二</w:t>
            </w:r>
          </w:p>
        </w:tc>
        <w:tc>
          <w:tcPr>
            <w:tcW w:w="3055" w:type="dxa"/>
            <w:vAlign w:val="center"/>
          </w:tcPr>
          <w:p w14:paraId="5E0406B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履约保证保险凭证</w:t>
            </w:r>
          </w:p>
        </w:tc>
        <w:tc>
          <w:tcPr>
            <w:tcW w:w="1346" w:type="dxa"/>
            <w:vAlign w:val="center"/>
          </w:tcPr>
          <w:p w14:paraId="5B83C6B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96A776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5D4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6664E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29</w:t>
            </w:r>
          </w:p>
        </w:tc>
        <w:tc>
          <w:tcPr>
            <w:tcW w:w="1425" w:type="dxa"/>
            <w:vAlign w:val="center"/>
          </w:tcPr>
          <w:p w14:paraId="2339820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三</w:t>
            </w:r>
          </w:p>
        </w:tc>
        <w:tc>
          <w:tcPr>
            <w:tcW w:w="3055" w:type="dxa"/>
            <w:vAlign w:val="center"/>
          </w:tcPr>
          <w:p w14:paraId="703E227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担保公司履约担保书</w:t>
            </w:r>
          </w:p>
        </w:tc>
        <w:tc>
          <w:tcPr>
            <w:tcW w:w="1346" w:type="dxa"/>
            <w:vAlign w:val="center"/>
          </w:tcPr>
          <w:p w14:paraId="1ABD9DA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755E8E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45788EF8">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3D119942">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673158A8">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6B232382">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3E162372">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725A9192">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178F80FB">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7753E93C">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69278AA5">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2CFED2DB">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46EBD926">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60F66C7B">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899" w:name="_Toc323"/>
      <w:bookmarkStart w:id="900" w:name="_Toc26517"/>
      <w:bookmarkStart w:id="901" w:name="_Toc104991884"/>
      <w:bookmarkStart w:id="902" w:name="_Toc102860082"/>
      <w:bookmarkStart w:id="903" w:name="_Toc2075"/>
      <w:bookmarkStart w:id="904" w:name="_Toc94107218"/>
      <w:bookmarkStart w:id="905" w:name="_Toc142508377"/>
      <w:bookmarkStart w:id="906" w:name="_Toc140596937"/>
      <w:bookmarkStart w:id="907" w:name="_Toc13348"/>
      <w:bookmarkStart w:id="908" w:name="_Toc14361"/>
      <w:bookmarkStart w:id="909" w:name="_Toc102860426"/>
      <w:bookmarkStart w:id="910" w:name="_Toc486167717"/>
      <w:bookmarkStart w:id="911" w:name="_Toc27980_WPSOffice_Level2"/>
      <w:r>
        <w:rPr>
          <w:rFonts w:hint="eastAsia" w:ascii="宋体" w:hAnsi="宋体" w:eastAsia="宋体" w:cs="宋体"/>
          <w:b/>
          <w:bCs/>
          <w:color w:val="000000" w:themeColor="text1"/>
          <w:kern w:val="0"/>
          <w:sz w:val="30"/>
          <w:szCs w:val="30"/>
          <w:highlight w:val="none"/>
          <w14:textFill>
            <w14:solidFill>
              <w14:schemeClr w14:val="tx1"/>
            </w14:solidFill>
          </w14:textFill>
        </w:rPr>
        <w:t>十</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899"/>
      <w:bookmarkEnd w:id="900"/>
      <w:bookmarkEnd w:id="901"/>
      <w:bookmarkEnd w:id="902"/>
      <w:bookmarkEnd w:id="903"/>
      <w:bookmarkEnd w:id="904"/>
      <w:bookmarkEnd w:id="905"/>
      <w:bookmarkEnd w:id="906"/>
      <w:bookmarkEnd w:id="907"/>
      <w:bookmarkEnd w:id="908"/>
      <w:bookmarkEnd w:id="909"/>
    </w:p>
    <w:p w14:paraId="68AC972D">
      <w:pPr>
        <w:autoSpaceDE w:val="0"/>
        <w:autoSpaceDN w:val="0"/>
        <w:adjustRightInd w:val="0"/>
        <w:spacing w:line="360" w:lineRule="auto"/>
        <w:ind w:firstLine="602"/>
        <w:jc w:val="center"/>
        <w:rPr>
          <w:rFonts w:ascii="宋体" w:hAnsi="宋体" w:eastAsia="宋体" w:cs="Times New Roman"/>
          <w:b/>
          <w:bCs/>
          <w:color w:val="000000" w:themeColor="text1"/>
          <w:sz w:val="30"/>
          <w:szCs w:val="30"/>
          <w:highlight w:val="none"/>
          <w:lang w:val="zh-CN"/>
          <w14:textFill>
            <w14:solidFill>
              <w14:schemeClr w14:val="tx1"/>
            </w14:solidFill>
          </w14:textFill>
        </w:rPr>
      </w:pPr>
      <w:bookmarkStart w:id="912" w:name="OLE_LINK124"/>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投标人</w:t>
      </w:r>
      <w:r>
        <w:rPr>
          <w:rFonts w:hint="eastAsia" w:ascii="宋体" w:hAnsi="宋体" w:eastAsia="宋体" w:cs="Times New Roman"/>
          <w:b/>
          <w:bCs/>
          <w:color w:val="000000" w:themeColor="text1"/>
          <w:sz w:val="30"/>
          <w:szCs w:val="30"/>
          <w:highlight w:val="none"/>
          <w14:textFill>
            <w14:solidFill>
              <w14:schemeClr w14:val="tx1"/>
            </w14:solidFill>
          </w14:textFill>
        </w:rPr>
        <w:t>2019</w:t>
      </w:r>
      <w:r>
        <w:rPr>
          <w:rFonts w:hint="eastAsia" w:ascii="宋体" w:hAnsi="宋体" w:eastAsia="宋体" w:cs="Times New Roman"/>
          <w:b/>
          <w:bCs/>
          <w:color w:val="000000" w:themeColor="text1"/>
          <w:sz w:val="30"/>
          <w:szCs w:val="30"/>
          <w:highlight w:val="none"/>
          <w:lang w:val="zh-CN"/>
          <w14:textFill>
            <w14:solidFill>
              <w14:schemeClr w14:val="tx1"/>
            </w14:solidFill>
          </w14:textFill>
        </w:rPr>
        <w:t>年</w:t>
      </w:r>
      <w:r>
        <w:rPr>
          <w:rFonts w:hint="eastAsia" w:ascii="宋体" w:hAnsi="宋体" w:eastAsia="宋体" w:cs="Times New Roman"/>
          <w:b/>
          <w:bCs/>
          <w:color w:val="000000" w:themeColor="text1"/>
          <w:sz w:val="30"/>
          <w:szCs w:val="30"/>
          <w:highlight w:val="none"/>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月</w:t>
      </w:r>
      <w:r>
        <w:rPr>
          <w:rFonts w:hint="eastAsia" w:ascii="宋体" w:hAnsi="宋体" w:eastAsia="宋体" w:cs="Times New Roman"/>
          <w:b/>
          <w:bCs/>
          <w:color w:val="000000" w:themeColor="text1"/>
          <w:sz w:val="30"/>
          <w:szCs w:val="30"/>
          <w:highlight w:val="none"/>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日</w:t>
      </w:r>
      <w:r>
        <w:rPr>
          <w:rFonts w:hint="eastAsia" w:ascii="宋体" w:hAnsi="宋体" w:eastAsia="宋体" w:cs="Times New Roman"/>
          <w:b/>
          <w:bCs/>
          <w:color w:val="000000" w:themeColor="text1"/>
          <w:sz w:val="30"/>
          <w:szCs w:val="30"/>
          <w:highlight w:val="none"/>
          <w14:textFill>
            <w14:solidFill>
              <w14:schemeClr w14:val="tx1"/>
            </w14:solidFill>
          </w14:textFill>
        </w:rPr>
        <w:t>以来</w:t>
      </w:r>
      <w:r>
        <w:rPr>
          <w:rFonts w:hint="eastAsia" w:ascii="宋体" w:hAnsi="宋体" w:eastAsia="宋体" w:cs="Times New Roman"/>
          <w:b/>
          <w:bCs/>
          <w:color w:val="000000" w:themeColor="text1"/>
          <w:sz w:val="30"/>
          <w:szCs w:val="30"/>
          <w:highlight w:val="none"/>
          <w:lang w:val="zh-CN"/>
          <w14:textFill>
            <w14:solidFill>
              <w14:schemeClr w14:val="tx1"/>
            </w14:solidFill>
          </w14:textFill>
        </w:rPr>
        <w:t>完成的屋顶分布式光伏发电业绩表</w:t>
      </w:r>
    </w:p>
    <w:bookmarkEnd w:id="912"/>
    <w:p w14:paraId="40309A26">
      <w:pPr>
        <w:autoSpaceDE w:val="0"/>
        <w:autoSpaceDN w:val="0"/>
        <w:adjustRightInd w:val="0"/>
        <w:spacing w:line="360" w:lineRule="auto"/>
        <w:ind w:firstLine="602"/>
        <w:jc w:val="center"/>
        <w:rPr>
          <w:rFonts w:ascii="宋体" w:hAnsi="宋体" w:eastAsia="宋体" w:cs="Times New Roman"/>
          <w:b/>
          <w:bCs/>
          <w:color w:val="000000" w:themeColor="text1"/>
          <w:sz w:val="30"/>
          <w:szCs w:val="30"/>
          <w:highlight w:val="none"/>
          <w14:textFill>
            <w14:solidFill>
              <w14:schemeClr w14:val="tx1"/>
            </w14:solidFill>
          </w14:textFill>
        </w:rPr>
      </w:pPr>
    </w:p>
    <w:tbl>
      <w:tblPr>
        <w:tblStyle w:val="37"/>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4"/>
        <w:gridCol w:w="755"/>
        <w:gridCol w:w="984"/>
        <w:gridCol w:w="961"/>
        <w:gridCol w:w="1250"/>
        <w:gridCol w:w="1250"/>
        <w:gridCol w:w="754"/>
        <w:gridCol w:w="754"/>
        <w:gridCol w:w="691"/>
        <w:gridCol w:w="733"/>
        <w:gridCol w:w="965"/>
        <w:gridCol w:w="633"/>
      </w:tblGrid>
      <w:tr w14:paraId="646D5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239686DD">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364" w:type="pct"/>
            <w:tcBorders>
              <w:top w:val="single" w:color="auto" w:sz="4" w:space="0"/>
              <w:left w:val="single" w:color="auto" w:sz="4" w:space="0"/>
              <w:bottom w:val="single" w:color="auto" w:sz="4" w:space="0"/>
              <w:right w:val="single" w:color="auto" w:sz="4" w:space="0"/>
            </w:tcBorders>
            <w:vAlign w:val="center"/>
          </w:tcPr>
          <w:p w14:paraId="60C084B4">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54AFE4FA">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474" w:type="pct"/>
            <w:tcBorders>
              <w:top w:val="single" w:color="auto" w:sz="4" w:space="0"/>
              <w:left w:val="single" w:color="auto" w:sz="4" w:space="0"/>
              <w:bottom w:val="single" w:color="auto" w:sz="4" w:space="0"/>
              <w:right w:val="single" w:color="auto" w:sz="4" w:space="0"/>
            </w:tcBorders>
            <w:vAlign w:val="center"/>
          </w:tcPr>
          <w:p w14:paraId="7AF020C3">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463" w:type="pct"/>
            <w:tcBorders>
              <w:top w:val="single" w:color="auto" w:sz="4" w:space="0"/>
              <w:left w:val="single" w:color="auto" w:sz="4" w:space="0"/>
              <w:bottom w:val="single" w:color="auto" w:sz="4" w:space="0"/>
              <w:right w:val="single" w:color="auto" w:sz="4" w:space="0"/>
            </w:tcBorders>
            <w:vAlign w:val="center"/>
          </w:tcPr>
          <w:p w14:paraId="6925BFCA">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合同标的货物品牌</w:t>
            </w:r>
          </w:p>
        </w:tc>
        <w:tc>
          <w:tcPr>
            <w:tcW w:w="602" w:type="pct"/>
            <w:tcBorders>
              <w:top w:val="single" w:color="auto" w:sz="4" w:space="0"/>
              <w:left w:val="single" w:color="auto" w:sz="4" w:space="0"/>
              <w:bottom w:val="single" w:color="auto" w:sz="4" w:space="0"/>
              <w:right w:val="single" w:color="auto" w:sz="4" w:space="0"/>
            </w:tcBorders>
            <w:vAlign w:val="center"/>
          </w:tcPr>
          <w:p w14:paraId="683B9866">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合同标的货物数量</w:t>
            </w:r>
          </w:p>
        </w:tc>
        <w:tc>
          <w:tcPr>
            <w:tcW w:w="602" w:type="pct"/>
            <w:tcBorders>
              <w:top w:val="single" w:color="auto" w:sz="4" w:space="0"/>
              <w:left w:val="single" w:color="auto" w:sz="4" w:space="0"/>
              <w:bottom w:val="single" w:color="auto" w:sz="4" w:space="0"/>
              <w:right w:val="single" w:color="auto" w:sz="4" w:space="0"/>
            </w:tcBorders>
            <w:vAlign w:val="center"/>
          </w:tcPr>
          <w:p w14:paraId="51527019">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单项合同</w:t>
            </w:r>
          </w:p>
          <w:p w14:paraId="62A35043">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金额（单位：万元）</w:t>
            </w:r>
          </w:p>
        </w:tc>
        <w:tc>
          <w:tcPr>
            <w:tcW w:w="363" w:type="pct"/>
            <w:tcBorders>
              <w:top w:val="single" w:color="auto" w:sz="4" w:space="0"/>
              <w:left w:val="single" w:color="auto" w:sz="4" w:space="0"/>
              <w:bottom w:val="single" w:color="auto" w:sz="4" w:space="0"/>
              <w:right w:val="single" w:color="auto" w:sz="4" w:space="0"/>
            </w:tcBorders>
            <w:vAlign w:val="center"/>
          </w:tcPr>
          <w:p w14:paraId="2E4B0ABC">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bookmarkStart w:id="913" w:name="OLE_LINK128"/>
            <w:r>
              <w:rPr>
                <w:rFonts w:hint="eastAsia" w:ascii="宋体" w:hAnsi="宋体" w:eastAsia="宋体" w:cs="Times New Roman"/>
                <w:color w:val="000000" w:themeColor="text1"/>
                <w:kern w:val="0"/>
                <w:szCs w:val="21"/>
                <w:highlight w:val="none"/>
                <w:lang w:val="zh-CN"/>
                <w14:textFill>
                  <w14:solidFill>
                    <w14:schemeClr w14:val="tx1"/>
                  </w14:solidFill>
                </w14:textFill>
              </w:rPr>
              <w:t>单项合同总装机容量</w:t>
            </w:r>
            <w:bookmarkEnd w:id="913"/>
          </w:p>
        </w:tc>
        <w:tc>
          <w:tcPr>
            <w:tcW w:w="363" w:type="pct"/>
            <w:tcBorders>
              <w:top w:val="single" w:color="auto" w:sz="4" w:space="0"/>
              <w:left w:val="single" w:color="auto" w:sz="4" w:space="0"/>
              <w:bottom w:val="single" w:color="auto" w:sz="4" w:space="0"/>
              <w:right w:val="single" w:color="auto" w:sz="4" w:space="0"/>
            </w:tcBorders>
            <w:vAlign w:val="center"/>
          </w:tcPr>
          <w:p w14:paraId="0FE79375">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333" w:type="pct"/>
            <w:tcBorders>
              <w:top w:val="single" w:color="auto" w:sz="4" w:space="0"/>
              <w:left w:val="single" w:color="auto" w:sz="4" w:space="0"/>
              <w:bottom w:val="single" w:color="auto" w:sz="4" w:space="0"/>
              <w:right w:val="single" w:color="auto" w:sz="4" w:space="0"/>
            </w:tcBorders>
            <w:vAlign w:val="center"/>
          </w:tcPr>
          <w:p w14:paraId="4210BC15">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签约</w:t>
            </w:r>
          </w:p>
          <w:p w14:paraId="170C3D89">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日期</w:t>
            </w:r>
          </w:p>
        </w:tc>
        <w:tc>
          <w:tcPr>
            <w:tcW w:w="353" w:type="pct"/>
            <w:tcBorders>
              <w:top w:val="single" w:color="auto" w:sz="4" w:space="0"/>
              <w:left w:val="single" w:color="auto" w:sz="4" w:space="0"/>
              <w:bottom w:val="single" w:color="auto" w:sz="4" w:space="0"/>
              <w:right w:val="single" w:color="auto" w:sz="4" w:space="0"/>
            </w:tcBorders>
            <w:vAlign w:val="center"/>
          </w:tcPr>
          <w:p w14:paraId="4BA16452">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0992766F">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465" w:type="pct"/>
            <w:tcBorders>
              <w:top w:val="single" w:color="auto" w:sz="4" w:space="0"/>
              <w:left w:val="single" w:color="auto" w:sz="4" w:space="0"/>
              <w:bottom w:val="single" w:color="auto" w:sz="4" w:space="0"/>
              <w:right w:val="single" w:color="auto" w:sz="4" w:space="0"/>
            </w:tcBorders>
            <w:vAlign w:val="center"/>
          </w:tcPr>
          <w:p w14:paraId="52D62F3A">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305" w:type="pct"/>
            <w:tcBorders>
              <w:top w:val="single" w:color="auto" w:sz="4" w:space="0"/>
              <w:left w:val="single" w:color="auto" w:sz="4" w:space="0"/>
              <w:bottom w:val="single" w:color="auto" w:sz="4" w:space="0"/>
              <w:right w:val="single" w:color="auto" w:sz="4" w:space="0"/>
            </w:tcBorders>
            <w:vAlign w:val="center"/>
          </w:tcPr>
          <w:p w14:paraId="7DDEB908">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22CBC1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519C4A3C">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364" w:type="pct"/>
            <w:tcBorders>
              <w:top w:val="single" w:color="auto" w:sz="4" w:space="0"/>
              <w:left w:val="single" w:color="auto" w:sz="4" w:space="0"/>
              <w:bottom w:val="single" w:color="auto" w:sz="4" w:space="0"/>
              <w:right w:val="single" w:color="auto" w:sz="4" w:space="0"/>
            </w:tcBorders>
            <w:vAlign w:val="center"/>
          </w:tcPr>
          <w:p w14:paraId="73D8C28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74" w:type="pct"/>
            <w:tcBorders>
              <w:top w:val="single" w:color="auto" w:sz="4" w:space="0"/>
              <w:left w:val="single" w:color="auto" w:sz="4" w:space="0"/>
              <w:bottom w:val="single" w:color="auto" w:sz="4" w:space="0"/>
              <w:right w:val="single" w:color="auto" w:sz="4" w:space="0"/>
            </w:tcBorders>
            <w:vAlign w:val="center"/>
          </w:tcPr>
          <w:p w14:paraId="5DAC847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63" w:type="pct"/>
            <w:tcBorders>
              <w:top w:val="single" w:color="auto" w:sz="4" w:space="0"/>
              <w:left w:val="single" w:color="auto" w:sz="4" w:space="0"/>
              <w:bottom w:val="single" w:color="auto" w:sz="4" w:space="0"/>
              <w:right w:val="single" w:color="auto" w:sz="4" w:space="0"/>
            </w:tcBorders>
            <w:vAlign w:val="center"/>
          </w:tcPr>
          <w:p w14:paraId="3E63DDE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02" w:type="pct"/>
            <w:tcBorders>
              <w:top w:val="single" w:color="auto" w:sz="4" w:space="0"/>
              <w:left w:val="single" w:color="auto" w:sz="4" w:space="0"/>
              <w:bottom w:val="single" w:color="auto" w:sz="4" w:space="0"/>
              <w:right w:val="single" w:color="auto" w:sz="4" w:space="0"/>
            </w:tcBorders>
            <w:vAlign w:val="center"/>
          </w:tcPr>
          <w:p w14:paraId="18455BC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02" w:type="pct"/>
            <w:tcBorders>
              <w:top w:val="single" w:color="auto" w:sz="4" w:space="0"/>
              <w:left w:val="single" w:color="auto" w:sz="4" w:space="0"/>
              <w:bottom w:val="single" w:color="auto" w:sz="4" w:space="0"/>
              <w:right w:val="single" w:color="auto" w:sz="4" w:space="0"/>
            </w:tcBorders>
            <w:vAlign w:val="center"/>
          </w:tcPr>
          <w:p w14:paraId="37DEF89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3" w:type="pct"/>
            <w:tcBorders>
              <w:top w:val="single" w:color="auto" w:sz="4" w:space="0"/>
              <w:left w:val="single" w:color="auto" w:sz="4" w:space="0"/>
              <w:bottom w:val="single" w:color="auto" w:sz="4" w:space="0"/>
              <w:right w:val="single" w:color="auto" w:sz="4" w:space="0"/>
            </w:tcBorders>
          </w:tcPr>
          <w:p w14:paraId="7FF2EEF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3" w:type="pct"/>
            <w:tcBorders>
              <w:top w:val="single" w:color="auto" w:sz="4" w:space="0"/>
              <w:left w:val="single" w:color="auto" w:sz="4" w:space="0"/>
              <w:bottom w:val="single" w:color="auto" w:sz="4" w:space="0"/>
              <w:right w:val="single" w:color="auto" w:sz="4" w:space="0"/>
            </w:tcBorders>
          </w:tcPr>
          <w:p w14:paraId="25C6C2E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33" w:type="pct"/>
            <w:tcBorders>
              <w:top w:val="single" w:color="auto" w:sz="4" w:space="0"/>
              <w:left w:val="single" w:color="auto" w:sz="4" w:space="0"/>
              <w:bottom w:val="single" w:color="auto" w:sz="4" w:space="0"/>
              <w:right w:val="single" w:color="auto" w:sz="4" w:space="0"/>
            </w:tcBorders>
            <w:vAlign w:val="center"/>
          </w:tcPr>
          <w:p w14:paraId="5530599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53" w:type="pct"/>
            <w:tcBorders>
              <w:top w:val="single" w:color="auto" w:sz="4" w:space="0"/>
              <w:left w:val="single" w:color="auto" w:sz="4" w:space="0"/>
              <w:bottom w:val="single" w:color="auto" w:sz="4" w:space="0"/>
              <w:right w:val="single" w:color="auto" w:sz="4" w:space="0"/>
            </w:tcBorders>
            <w:vAlign w:val="center"/>
          </w:tcPr>
          <w:p w14:paraId="3AEA7DE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vAlign w:val="center"/>
          </w:tcPr>
          <w:p w14:paraId="50ECE4A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05" w:type="pct"/>
            <w:tcBorders>
              <w:top w:val="single" w:color="auto" w:sz="4" w:space="0"/>
              <w:left w:val="single" w:color="auto" w:sz="4" w:space="0"/>
              <w:bottom w:val="single" w:color="auto" w:sz="4" w:space="0"/>
              <w:right w:val="single" w:color="auto" w:sz="4" w:space="0"/>
            </w:tcBorders>
            <w:vAlign w:val="center"/>
          </w:tcPr>
          <w:p w14:paraId="2B0CBD6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19C0D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7DCB79EE">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364" w:type="pct"/>
            <w:tcBorders>
              <w:top w:val="single" w:color="auto" w:sz="4" w:space="0"/>
              <w:left w:val="single" w:color="auto" w:sz="4" w:space="0"/>
              <w:bottom w:val="single" w:color="auto" w:sz="4" w:space="0"/>
              <w:right w:val="single" w:color="auto" w:sz="4" w:space="0"/>
            </w:tcBorders>
            <w:vAlign w:val="center"/>
          </w:tcPr>
          <w:p w14:paraId="02119A4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74" w:type="pct"/>
            <w:tcBorders>
              <w:top w:val="single" w:color="auto" w:sz="4" w:space="0"/>
              <w:left w:val="single" w:color="auto" w:sz="4" w:space="0"/>
              <w:bottom w:val="single" w:color="auto" w:sz="4" w:space="0"/>
              <w:right w:val="single" w:color="auto" w:sz="4" w:space="0"/>
            </w:tcBorders>
            <w:vAlign w:val="center"/>
          </w:tcPr>
          <w:p w14:paraId="785817D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63" w:type="pct"/>
            <w:tcBorders>
              <w:top w:val="single" w:color="auto" w:sz="4" w:space="0"/>
              <w:left w:val="single" w:color="auto" w:sz="4" w:space="0"/>
              <w:bottom w:val="single" w:color="auto" w:sz="4" w:space="0"/>
              <w:right w:val="single" w:color="auto" w:sz="4" w:space="0"/>
            </w:tcBorders>
            <w:vAlign w:val="center"/>
          </w:tcPr>
          <w:p w14:paraId="6696831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02" w:type="pct"/>
            <w:tcBorders>
              <w:top w:val="single" w:color="auto" w:sz="4" w:space="0"/>
              <w:left w:val="single" w:color="auto" w:sz="4" w:space="0"/>
              <w:bottom w:val="single" w:color="auto" w:sz="4" w:space="0"/>
              <w:right w:val="single" w:color="auto" w:sz="4" w:space="0"/>
            </w:tcBorders>
            <w:vAlign w:val="center"/>
          </w:tcPr>
          <w:p w14:paraId="37301C4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02" w:type="pct"/>
            <w:tcBorders>
              <w:top w:val="single" w:color="auto" w:sz="4" w:space="0"/>
              <w:left w:val="single" w:color="auto" w:sz="4" w:space="0"/>
              <w:bottom w:val="single" w:color="auto" w:sz="4" w:space="0"/>
              <w:right w:val="single" w:color="auto" w:sz="4" w:space="0"/>
            </w:tcBorders>
            <w:vAlign w:val="center"/>
          </w:tcPr>
          <w:p w14:paraId="4BBA244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3" w:type="pct"/>
            <w:tcBorders>
              <w:top w:val="single" w:color="auto" w:sz="4" w:space="0"/>
              <w:left w:val="single" w:color="auto" w:sz="4" w:space="0"/>
              <w:bottom w:val="single" w:color="auto" w:sz="4" w:space="0"/>
              <w:right w:val="single" w:color="auto" w:sz="4" w:space="0"/>
            </w:tcBorders>
          </w:tcPr>
          <w:p w14:paraId="3F0F09D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3" w:type="pct"/>
            <w:tcBorders>
              <w:top w:val="single" w:color="auto" w:sz="4" w:space="0"/>
              <w:left w:val="single" w:color="auto" w:sz="4" w:space="0"/>
              <w:bottom w:val="single" w:color="auto" w:sz="4" w:space="0"/>
              <w:right w:val="single" w:color="auto" w:sz="4" w:space="0"/>
            </w:tcBorders>
          </w:tcPr>
          <w:p w14:paraId="3EF8761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33" w:type="pct"/>
            <w:tcBorders>
              <w:top w:val="single" w:color="auto" w:sz="4" w:space="0"/>
              <w:left w:val="single" w:color="auto" w:sz="4" w:space="0"/>
              <w:bottom w:val="single" w:color="auto" w:sz="4" w:space="0"/>
              <w:right w:val="single" w:color="auto" w:sz="4" w:space="0"/>
            </w:tcBorders>
            <w:vAlign w:val="center"/>
          </w:tcPr>
          <w:p w14:paraId="5CD6F7B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53" w:type="pct"/>
            <w:tcBorders>
              <w:top w:val="single" w:color="auto" w:sz="4" w:space="0"/>
              <w:left w:val="single" w:color="auto" w:sz="4" w:space="0"/>
              <w:bottom w:val="single" w:color="auto" w:sz="4" w:space="0"/>
              <w:right w:val="single" w:color="auto" w:sz="4" w:space="0"/>
            </w:tcBorders>
            <w:vAlign w:val="center"/>
          </w:tcPr>
          <w:p w14:paraId="3DE9290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vAlign w:val="center"/>
          </w:tcPr>
          <w:p w14:paraId="34D6CDD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05" w:type="pct"/>
            <w:tcBorders>
              <w:top w:val="single" w:color="auto" w:sz="4" w:space="0"/>
              <w:left w:val="single" w:color="auto" w:sz="4" w:space="0"/>
              <w:bottom w:val="single" w:color="auto" w:sz="4" w:space="0"/>
              <w:right w:val="single" w:color="auto" w:sz="4" w:space="0"/>
            </w:tcBorders>
            <w:vAlign w:val="center"/>
          </w:tcPr>
          <w:p w14:paraId="2FA2F5E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0B031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164A965B">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364" w:type="pct"/>
            <w:tcBorders>
              <w:top w:val="single" w:color="auto" w:sz="4" w:space="0"/>
              <w:left w:val="single" w:color="auto" w:sz="4" w:space="0"/>
              <w:bottom w:val="single" w:color="auto" w:sz="4" w:space="0"/>
              <w:right w:val="single" w:color="auto" w:sz="4" w:space="0"/>
            </w:tcBorders>
            <w:vAlign w:val="center"/>
          </w:tcPr>
          <w:p w14:paraId="4676DF0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74" w:type="pct"/>
            <w:tcBorders>
              <w:top w:val="single" w:color="auto" w:sz="4" w:space="0"/>
              <w:left w:val="single" w:color="auto" w:sz="4" w:space="0"/>
              <w:bottom w:val="single" w:color="auto" w:sz="4" w:space="0"/>
              <w:right w:val="single" w:color="auto" w:sz="4" w:space="0"/>
            </w:tcBorders>
            <w:vAlign w:val="center"/>
          </w:tcPr>
          <w:p w14:paraId="5956CB5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63" w:type="pct"/>
            <w:tcBorders>
              <w:top w:val="single" w:color="auto" w:sz="4" w:space="0"/>
              <w:left w:val="single" w:color="auto" w:sz="4" w:space="0"/>
              <w:bottom w:val="single" w:color="auto" w:sz="4" w:space="0"/>
              <w:right w:val="single" w:color="auto" w:sz="4" w:space="0"/>
            </w:tcBorders>
            <w:vAlign w:val="center"/>
          </w:tcPr>
          <w:p w14:paraId="71C37A2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02" w:type="pct"/>
            <w:tcBorders>
              <w:top w:val="single" w:color="auto" w:sz="4" w:space="0"/>
              <w:left w:val="single" w:color="auto" w:sz="4" w:space="0"/>
              <w:bottom w:val="single" w:color="auto" w:sz="4" w:space="0"/>
              <w:right w:val="single" w:color="auto" w:sz="4" w:space="0"/>
            </w:tcBorders>
            <w:vAlign w:val="center"/>
          </w:tcPr>
          <w:p w14:paraId="733146A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02" w:type="pct"/>
            <w:tcBorders>
              <w:top w:val="single" w:color="auto" w:sz="4" w:space="0"/>
              <w:left w:val="single" w:color="auto" w:sz="4" w:space="0"/>
              <w:bottom w:val="single" w:color="auto" w:sz="4" w:space="0"/>
              <w:right w:val="single" w:color="auto" w:sz="4" w:space="0"/>
            </w:tcBorders>
            <w:vAlign w:val="center"/>
          </w:tcPr>
          <w:p w14:paraId="4470B93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3" w:type="pct"/>
            <w:tcBorders>
              <w:top w:val="single" w:color="auto" w:sz="4" w:space="0"/>
              <w:left w:val="single" w:color="auto" w:sz="4" w:space="0"/>
              <w:bottom w:val="single" w:color="auto" w:sz="4" w:space="0"/>
              <w:right w:val="single" w:color="auto" w:sz="4" w:space="0"/>
            </w:tcBorders>
          </w:tcPr>
          <w:p w14:paraId="337DEAD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3" w:type="pct"/>
            <w:tcBorders>
              <w:top w:val="single" w:color="auto" w:sz="4" w:space="0"/>
              <w:left w:val="single" w:color="auto" w:sz="4" w:space="0"/>
              <w:bottom w:val="single" w:color="auto" w:sz="4" w:space="0"/>
              <w:right w:val="single" w:color="auto" w:sz="4" w:space="0"/>
            </w:tcBorders>
          </w:tcPr>
          <w:p w14:paraId="00A60F2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33" w:type="pct"/>
            <w:tcBorders>
              <w:top w:val="single" w:color="auto" w:sz="4" w:space="0"/>
              <w:left w:val="single" w:color="auto" w:sz="4" w:space="0"/>
              <w:bottom w:val="single" w:color="auto" w:sz="4" w:space="0"/>
              <w:right w:val="single" w:color="auto" w:sz="4" w:space="0"/>
            </w:tcBorders>
            <w:vAlign w:val="center"/>
          </w:tcPr>
          <w:p w14:paraId="7D9EDEC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53" w:type="pct"/>
            <w:tcBorders>
              <w:top w:val="single" w:color="auto" w:sz="4" w:space="0"/>
              <w:left w:val="single" w:color="auto" w:sz="4" w:space="0"/>
              <w:bottom w:val="single" w:color="auto" w:sz="4" w:space="0"/>
              <w:right w:val="single" w:color="auto" w:sz="4" w:space="0"/>
            </w:tcBorders>
            <w:vAlign w:val="center"/>
          </w:tcPr>
          <w:p w14:paraId="52D5027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vAlign w:val="center"/>
          </w:tcPr>
          <w:p w14:paraId="50CD290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05" w:type="pct"/>
            <w:tcBorders>
              <w:top w:val="single" w:color="auto" w:sz="4" w:space="0"/>
              <w:left w:val="single" w:color="auto" w:sz="4" w:space="0"/>
              <w:bottom w:val="single" w:color="auto" w:sz="4" w:space="0"/>
              <w:right w:val="single" w:color="auto" w:sz="4" w:space="0"/>
            </w:tcBorders>
            <w:vAlign w:val="center"/>
          </w:tcPr>
          <w:p w14:paraId="69AC1DE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5E4B7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0FD2007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364" w:type="pct"/>
            <w:tcBorders>
              <w:top w:val="single" w:color="auto" w:sz="4" w:space="0"/>
              <w:left w:val="single" w:color="auto" w:sz="4" w:space="0"/>
              <w:bottom w:val="single" w:color="auto" w:sz="4" w:space="0"/>
              <w:right w:val="single" w:color="auto" w:sz="4" w:space="0"/>
            </w:tcBorders>
            <w:vAlign w:val="center"/>
          </w:tcPr>
          <w:p w14:paraId="0667B3C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74" w:type="pct"/>
            <w:tcBorders>
              <w:top w:val="single" w:color="auto" w:sz="4" w:space="0"/>
              <w:left w:val="single" w:color="auto" w:sz="4" w:space="0"/>
              <w:bottom w:val="single" w:color="auto" w:sz="4" w:space="0"/>
              <w:right w:val="single" w:color="auto" w:sz="4" w:space="0"/>
            </w:tcBorders>
            <w:vAlign w:val="center"/>
          </w:tcPr>
          <w:p w14:paraId="536808F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63" w:type="pct"/>
            <w:tcBorders>
              <w:top w:val="single" w:color="auto" w:sz="4" w:space="0"/>
              <w:left w:val="single" w:color="auto" w:sz="4" w:space="0"/>
              <w:bottom w:val="single" w:color="auto" w:sz="4" w:space="0"/>
              <w:right w:val="single" w:color="auto" w:sz="4" w:space="0"/>
            </w:tcBorders>
            <w:vAlign w:val="center"/>
          </w:tcPr>
          <w:p w14:paraId="592CF6B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02" w:type="pct"/>
            <w:tcBorders>
              <w:top w:val="single" w:color="auto" w:sz="4" w:space="0"/>
              <w:left w:val="single" w:color="auto" w:sz="4" w:space="0"/>
              <w:bottom w:val="single" w:color="auto" w:sz="4" w:space="0"/>
              <w:right w:val="single" w:color="auto" w:sz="4" w:space="0"/>
            </w:tcBorders>
            <w:vAlign w:val="center"/>
          </w:tcPr>
          <w:p w14:paraId="2D01EEE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02" w:type="pct"/>
            <w:tcBorders>
              <w:top w:val="single" w:color="auto" w:sz="4" w:space="0"/>
              <w:left w:val="single" w:color="auto" w:sz="4" w:space="0"/>
              <w:bottom w:val="single" w:color="auto" w:sz="4" w:space="0"/>
              <w:right w:val="single" w:color="auto" w:sz="4" w:space="0"/>
            </w:tcBorders>
            <w:vAlign w:val="center"/>
          </w:tcPr>
          <w:p w14:paraId="3E35CEC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3" w:type="pct"/>
            <w:tcBorders>
              <w:top w:val="single" w:color="auto" w:sz="4" w:space="0"/>
              <w:left w:val="single" w:color="auto" w:sz="4" w:space="0"/>
              <w:bottom w:val="single" w:color="auto" w:sz="4" w:space="0"/>
              <w:right w:val="single" w:color="auto" w:sz="4" w:space="0"/>
            </w:tcBorders>
          </w:tcPr>
          <w:p w14:paraId="314AAC7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3" w:type="pct"/>
            <w:tcBorders>
              <w:top w:val="single" w:color="auto" w:sz="4" w:space="0"/>
              <w:left w:val="single" w:color="auto" w:sz="4" w:space="0"/>
              <w:bottom w:val="single" w:color="auto" w:sz="4" w:space="0"/>
              <w:right w:val="single" w:color="auto" w:sz="4" w:space="0"/>
            </w:tcBorders>
          </w:tcPr>
          <w:p w14:paraId="18C73AF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33" w:type="pct"/>
            <w:tcBorders>
              <w:top w:val="single" w:color="auto" w:sz="4" w:space="0"/>
              <w:left w:val="single" w:color="auto" w:sz="4" w:space="0"/>
              <w:bottom w:val="single" w:color="auto" w:sz="4" w:space="0"/>
              <w:right w:val="single" w:color="auto" w:sz="4" w:space="0"/>
            </w:tcBorders>
            <w:vAlign w:val="center"/>
          </w:tcPr>
          <w:p w14:paraId="2E2D87C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53" w:type="pct"/>
            <w:tcBorders>
              <w:top w:val="single" w:color="auto" w:sz="4" w:space="0"/>
              <w:left w:val="single" w:color="auto" w:sz="4" w:space="0"/>
              <w:bottom w:val="single" w:color="auto" w:sz="4" w:space="0"/>
              <w:right w:val="single" w:color="auto" w:sz="4" w:space="0"/>
            </w:tcBorders>
            <w:vAlign w:val="center"/>
          </w:tcPr>
          <w:p w14:paraId="23BF58D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65" w:type="pct"/>
            <w:tcBorders>
              <w:top w:val="single" w:color="auto" w:sz="4" w:space="0"/>
              <w:left w:val="single" w:color="auto" w:sz="4" w:space="0"/>
              <w:bottom w:val="single" w:color="auto" w:sz="4" w:space="0"/>
              <w:right w:val="single" w:color="auto" w:sz="4" w:space="0"/>
            </w:tcBorders>
            <w:vAlign w:val="center"/>
          </w:tcPr>
          <w:p w14:paraId="7EBF8DE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05" w:type="pct"/>
            <w:tcBorders>
              <w:top w:val="single" w:color="auto" w:sz="4" w:space="0"/>
              <w:left w:val="single" w:color="auto" w:sz="4" w:space="0"/>
              <w:bottom w:val="single" w:color="auto" w:sz="4" w:space="0"/>
              <w:right w:val="single" w:color="auto" w:sz="4" w:space="0"/>
            </w:tcBorders>
            <w:vAlign w:val="center"/>
          </w:tcPr>
          <w:p w14:paraId="15B510A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0FD0DD9F">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5AD2E178">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6720A816">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b/>
          <w:bCs/>
          <w:color w:val="000000" w:themeColor="text1"/>
          <w:szCs w:val="24"/>
          <w:highlight w:val="none"/>
          <w:lang w:val="zh-CN"/>
          <w14:textFill>
            <w14:solidFill>
              <w14:schemeClr w14:val="tx1"/>
            </w14:solidFill>
          </w14:textFill>
        </w:rPr>
        <w:t>作为投标人评分</w:t>
      </w:r>
      <w:r>
        <w:rPr>
          <w:rFonts w:hint="eastAsia" w:ascii="宋体" w:hAnsi="宋体" w:eastAsia="宋体" w:cs="Times New Roman"/>
          <w:b/>
          <w:bCs/>
          <w:color w:val="000000" w:themeColor="text1"/>
          <w:szCs w:val="24"/>
          <w:highlight w:val="none"/>
          <w14:textFill>
            <w14:solidFill>
              <w14:schemeClr w14:val="tx1"/>
            </w14:solidFill>
          </w14:textFill>
        </w:rPr>
        <w:t>要求的业绩放置在此处,</w:t>
      </w:r>
      <w:bookmarkStart w:id="914" w:name="OLE_LINK130"/>
      <w:r>
        <w:rPr>
          <w:rFonts w:ascii="宋体" w:hAnsi="宋体" w:eastAsia="宋体" w:cs="Times New Roman"/>
          <w:b/>
          <w:bCs/>
          <w:color w:val="000000" w:themeColor="text1"/>
          <w:szCs w:val="24"/>
          <w:highlight w:val="none"/>
          <w:lang w:val="zh-CN"/>
          <w14:textFill>
            <w14:solidFill>
              <w14:schemeClr w14:val="tx1"/>
            </w14:solidFill>
          </w14:textFill>
        </w:rPr>
        <w:t>业绩按</w:t>
      </w:r>
      <w:r>
        <w:rPr>
          <w:rFonts w:hint="eastAsia" w:ascii="宋体" w:hAnsi="宋体" w:eastAsia="宋体" w:cs="Times New Roman"/>
          <w:b/>
          <w:bCs/>
          <w:color w:val="000000" w:themeColor="text1"/>
          <w:szCs w:val="24"/>
          <w:highlight w:val="none"/>
          <w14:textFill>
            <w14:solidFill>
              <w14:schemeClr w14:val="tx1"/>
            </w14:solidFill>
          </w14:textFill>
        </w:rPr>
        <w:t>单项合同总装机容量</w:t>
      </w:r>
      <w:r>
        <w:rPr>
          <w:rFonts w:ascii="宋体" w:hAnsi="宋体" w:eastAsia="宋体" w:cs="Times New Roman"/>
          <w:b/>
          <w:bCs/>
          <w:color w:val="000000" w:themeColor="text1"/>
          <w:szCs w:val="24"/>
          <w:highlight w:val="none"/>
          <w:lang w:val="zh-CN"/>
          <w14:textFill>
            <w14:solidFill>
              <w14:schemeClr w14:val="tx1"/>
            </w14:solidFill>
          </w14:textFill>
        </w:rPr>
        <w:t>从高到低的方式排列</w:t>
      </w:r>
      <w:bookmarkEnd w:id="914"/>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b/>
          <w:color w:val="000000" w:themeColor="text1"/>
          <w:szCs w:val="24"/>
          <w:highlight w:val="none"/>
          <w:lang w:val="zh-CN"/>
          <w14:textFill>
            <w14:solidFill>
              <w14:schemeClr w14:val="tx1"/>
            </w14:solidFill>
          </w14:textFill>
        </w:rPr>
        <w:t>同一个单项合同的业绩可以同时在资格业绩和评分业绩重复放置。</w:t>
      </w:r>
    </w:p>
    <w:p w14:paraId="6ADD389E">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w:t>
      </w:r>
      <w:bookmarkStart w:id="915" w:name="OLE_LINK135"/>
      <w:r>
        <w:rPr>
          <w:rFonts w:hint="eastAsia" w:ascii="宋体" w:hAnsi="宋体" w:eastAsia="宋体" w:cs="Times New Roman"/>
          <w:b/>
          <w:bCs/>
          <w:color w:val="000000" w:themeColor="text1"/>
          <w:szCs w:val="24"/>
          <w:highlight w:val="none"/>
          <w:lang w:val="zh-CN"/>
          <w14:textFill>
            <w14:solidFill>
              <w14:schemeClr w14:val="tx1"/>
            </w14:solidFill>
          </w14:textFill>
        </w:rPr>
        <w:t>业绩须附合同</w:t>
      </w:r>
      <w:r>
        <w:rPr>
          <w:rFonts w:hint="eastAsia" w:ascii="宋体" w:hAnsi="宋体" w:eastAsia="宋体" w:cs="Times New Roman"/>
          <w:b/>
          <w:bCs/>
          <w:color w:val="000000" w:themeColor="text1"/>
          <w:szCs w:val="24"/>
          <w:highlight w:val="none"/>
          <w14:textFill>
            <w14:solidFill>
              <w14:schemeClr w14:val="tx1"/>
            </w14:solidFill>
          </w14:textFill>
        </w:rPr>
        <w:t>复印件和并网证明</w:t>
      </w:r>
      <w:r>
        <w:rPr>
          <w:rFonts w:hint="eastAsia" w:ascii="宋体" w:hAnsi="宋体" w:eastAsia="宋体" w:cs="Times New Roman"/>
          <w:b/>
          <w:bCs/>
          <w:color w:val="000000" w:themeColor="text1"/>
          <w:szCs w:val="24"/>
          <w:highlight w:val="none"/>
          <w:lang w:val="zh-CN"/>
          <w14:textFill>
            <w14:solidFill>
              <w14:schemeClr w14:val="tx1"/>
            </w14:solidFill>
          </w14:textFill>
        </w:rPr>
        <w:t>，否则不得分。</w:t>
      </w:r>
      <w:bookmarkEnd w:id="915"/>
    </w:p>
    <w:p w14:paraId="43D2036E">
      <w:pPr>
        <w:autoSpaceDE w:val="0"/>
        <w:autoSpaceDN w:val="0"/>
        <w:adjustRightInd w:val="0"/>
        <w:snapToGrid w:val="0"/>
        <w:spacing w:line="360" w:lineRule="auto"/>
        <w:ind w:left="481" w:leftChars="-41" w:hanging="567" w:hangingChars="270"/>
        <w:jc w:val="left"/>
        <w:rPr>
          <w:rFonts w:ascii="宋体" w:hAnsi="宋体" w:eastAsia="宋体" w:cs="Times New Roman"/>
          <w:b/>
          <w:bCs/>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w:t>
      </w:r>
      <w:bookmarkStart w:id="916" w:name="OLE_LINK136"/>
      <w:r>
        <w:rPr>
          <w:rFonts w:hint="eastAsia" w:ascii="宋体" w:hAnsi="宋体" w:eastAsia="宋体" w:cs="Times New Roman"/>
          <w:b/>
          <w:bCs/>
          <w:color w:val="000000" w:themeColor="text1"/>
          <w:szCs w:val="24"/>
          <w:highlight w:val="none"/>
          <w14:textFill>
            <w14:solidFill>
              <w14:schemeClr w14:val="tx1"/>
            </w14:solidFill>
          </w14:textFill>
        </w:rPr>
        <w:t>若合同无法</w:t>
      </w:r>
      <w:r>
        <w:rPr>
          <w:rFonts w:hint="eastAsia" w:ascii="宋体" w:hAnsi="宋体" w:eastAsia="宋体" w:cs="Times New Roman"/>
          <w:b/>
          <w:bCs/>
          <w:color w:val="000000" w:themeColor="text1"/>
          <w:szCs w:val="24"/>
          <w:highlight w:val="none"/>
          <w:lang w:val="zh-CN"/>
          <w14:textFill>
            <w14:solidFill>
              <w14:schemeClr w14:val="tx1"/>
            </w14:solidFill>
          </w14:textFill>
        </w:rPr>
        <w:t>反映评分条件（1.合同签订日期为2019年1月1日或以后；2.合同标的必须</w:t>
      </w:r>
      <w:r>
        <w:rPr>
          <w:rFonts w:hint="eastAsia" w:ascii="宋体" w:hAnsi="宋体" w:eastAsia="宋体" w:cs="Times New Roman"/>
          <w:b/>
          <w:bCs/>
          <w:color w:val="000000" w:themeColor="text1"/>
          <w:szCs w:val="24"/>
          <w:highlight w:val="none"/>
          <w14:textFill>
            <w14:solidFill>
              <w14:schemeClr w14:val="tx1"/>
            </w14:solidFill>
          </w14:textFill>
        </w:rPr>
        <w:t>为</w:t>
      </w:r>
      <w:r>
        <w:rPr>
          <w:rFonts w:hint="eastAsia" w:ascii="宋体" w:hAnsi="宋体" w:eastAsia="宋体" w:cs="Times New Roman"/>
          <w:b/>
          <w:bCs/>
          <w:color w:val="000000" w:themeColor="text1"/>
          <w:szCs w:val="24"/>
          <w:highlight w:val="none"/>
          <w:lang w:val="zh-CN"/>
          <w14:textFill>
            <w14:solidFill>
              <w14:schemeClr w14:val="tx1"/>
            </w14:solidFill>
          </w14:textFill>
        </w:rPr>
        <w:t>屋顶分布式光伏发电的</w:t>
      </w:r>
      <w:r>
        <w:rPr>
          <w:rFonts w:hint="eastAsia" w:ascii="宋体" w:hAnsi="宋体" w:eastAsia="宋体" w:cs="Times New Roman"/>
          <w:b/>
          <w:bCs/>
          <w:color w:val="000000" w:themeColor="text1"/>
          <w:szCs w:val="24"/>
          <w:highlight w:val="none"/>
          <w14:textFill>
            <w14:solidFill>
              <w14:schemeClr w14:val="tx1"/>
            </w14:solidFill>
          </w14:textFill>
        </w:rPr>
        <w:t>业绩</w:t>
      </w:r>
      <w:r>
        <w:rPr>
          <w:rFonts w:hint="eastAsia" w:ascii="宋体" w:hAnsi="宋体" w:eastAsia="宋体" w:cs="Times New Roman"/>
          <w:b/>
          <w:bCs/>
          <w:color w:val="000000" w:themeColor="text1"/>
          <w:szCs w:val="24"/>
          <w:highlight w:val="none"/>
          <w:lang w:val="zh-CN"/>
          <w14:textFill>
            <w14:solidFill>
              <w14:schemeClr w14:val="tx1"/>
            </w14:solidFill>
          </w14:textFill>
        </w:rPr>
        <w:t>；3.单项合同总装机容量），还需提供合同</w:t>
      </w:r>
      <w:r>
        <w:rPr>
          <w:rFonts w:hint="eastAsia" w:ascii="宋体" w:hAnsi="宋体" w:eastAsia="宋体" w:cs="Times New Roman"/>
          <w:b/>
          <w:bCs/>
          <w:color w:val="000000" w:themeColor="text1"/>
          <w:szCs w:val="24"/>
          <w:highlight w:val="none"/>
          <w14:textFill>
            <w14:solidFill>
              <w14:schemeClr w14:val="tx1"/>
            </w14:solidFill>
          </w14:textFill>
        </w:rPr>
        <w:t>甲方</w:t>
      </w:r>
      <w:r>
        <w:rPr>
          <w:rFonts w:hint="eastAsia" w:ascii="宋体" w:hAnsi="宋体" w:eastAsia="宋体" w:cs="Times New Roman"/>
          <w:b/>
          <w:bCs/>
          <w:color w:val="000000" w:themeColor="text1"/>
          <w:szCs w:val="24"/>
          <w:highlight w:val="none"/>
          <w:lang w:val="zh-CN"/>
          <w14:textFill>
            <w14:solidFill>
              <w14:schemeClr w14:val="tx1"/>
            </w14:solidFill>
          </w14:textFill>
        </w:rPr>
        <w:t>出具的书面补充说明文件复印件作为辅助证明（补充说明文件复印件能显示合同</w:t>
      </w:r>
      <w:r>
        <w:rPr>
          <w:rFonts w:hint="eastAsia" w:ascii="宋体" w:hAnsi="宋体" w:eastAsia="宋体" w:cs="Times New Roman"/>
          <w:b/>
          <w:bCs/>
          <w:color w:val="000000" w:themeColor="text1"/>
          <w:szCs w:val="24"/>
          <w:highlight w:val="none"/>
          <w14:textFill>
            <w14:solidFill>
              <w14:schemeClr w14:val="tx1"/>
            </w14:solidFill>
          </w14:textFill>
        </w:rPr>
        <w:t>甲方</w:t>
      </w:r>
      <w:r>
        <w:rPr>
          <w:rFonts w:hint="eastAsia" w:ascii="宋体" w:hAnsi="宋体" w:eastAsia="宋体" w:cs="Times New Roman"/>
          <w:b/>
          <w:bCs/>
          <w:color w:val="000000" w:themeColor="text1"/>
          <w:szCs w:val="24"/>
          <w:highlight w:val="none"/>
          <w:lang w:val="zh-CN"/>
          <w14:textFill>
            <w14:solidFill>
              <w14:schemeClr w14:val="tx1"/>
            </w14:solidFill>
          </w14:textFill>
        </w:rPr>
        <w:t>公章）。</w:t>
      </w:r>
      <w:bookmarkEnd w:id="916"/>
    </w:p>
    <w:p w14:paraId="6ADA5A84">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4</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b/>
          <w:color w:val="000000" w:themeColor="text1"/>
          <w:szCs w:val="24"/>
          <w:highlight w:val="none"/>
          <w:lang w:val="zh-CN"/>
          <w14:textFill>
            <w14:solidFill>
              <w14:schemeClr w14:val="tx1"/>
            </w14:solidFill>
          </w14:textFill>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000000" w:themeColor="text1"/>
          <w:kern w:val="0"/>
          <w:szCs w:val="21"/>
          <w:highlight w:val="none"/>
          <w14:textFill>
            <w14:solidFill>
              <w14:schemeClr w14:val="tx1"/>
            </w14:solidFill>
          </w14:textFill>
        </w:rPr>
        <w:t>。</w:t>
      </w:r>
    </w:p>
    <w:p w14:paraId="55CF65B3">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107D65AA">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35B1D1DF">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01CD2AD0">
      <w:pPr>
        <w:autoSpaceDE w:val="0"/>
        <w:autoSpaceDN w:val="0"/>
        <w:adjustRightInd w:val="0"/>
        <w:spacing w:line="360" w:lineRule="auto"/>
        <w:rPr>
          <w:rFonts w:ascii="宋体" w:hAnsi="宋体" w:eastAsia="宋体" w:cs="Times New Roman"/>
          <w:b/>
          <w:bCs/>
          <w:color w:val="000000" w:themeColor="text1"/>
          <w:sz w:val="30"/>
          <w:szCs w:val="30"/>
          <w:highlight w:val="none"/>
          <w:lang w:val="zh-CN"/>
          <w14:textFill>
            <w14:solidFill>
              <w14:schemeClr w14:val="tx1"/>
            </w14:solidFill>
          </w14:textFill>
        </w:rPr>
      </w:pPr>
    </w:p>
    <w:p w14:paraId="36F01606">
      <w:pPr>
        <w:autoSpaceDE w:val="0"/>
        <w:autoSpaceDN w:val="0"/>
        <w:adjustRightInd w:val="0"/>
        <w:spacing w:line="360" w:lineRule="auto"/>
        <w:ind w:firstLine="602"/>
        <w:rPr>
          <w:rFonts w:ascii="宋体" w:hAnsi="宋体" w:eastAsia="宋体" w:cs="Times New Roman"/>
          <w:b/>
          <w:bCs/>
          <w:color w:val="000000" w:themeColor="text1"/>
          <w:sz w:val="30"/>
          <w:szCs w:val="30"/>
          <w:highlight w:val="none"/>
          <w:lang w:val="zh-CN"/>
          <w14:textFill>
            <w14:solidFill>
              <w14:schemeClr w14:val="tx1"/>
            </w14:solidFill>
          </w14:textFill>
        </w:rPr>
      </w:pPr>
    </w:p>
    <w:bookmarkEnd w:id="910"/>
    <w:bookmarkEnd w:id="911"/>
    <w:p w14:paraId="3389C152">
      <w:pPr>
        <w:pageBreakBefore/>
        <w:spacing w:before="120" w:after="120" w:line="360" w:lineRule="auto"/>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917" w:name="_Toc13822"/>
      <w:bookmarkStart w:id="918" w:name="_Toc533708132"/>
      <w:bookmarkStart w:id="919" w:name="_Toc1977737"/>
      <w:bookmarkStart w:id="920" w:name="_Toc104991885"/>
      <w:bookmarkStart w:id="921" w:name="_Toc5832"/>
      <w:bookmarkStart w:id="922" w:name="_Toc142508378"/>
      <w:bookmarkStart w:id="923" w:name="_Toc102860427"/>
      <w:bookmarkStart w:id="924" w:name="_Toc140596938"/>
      <w:bookmarkStart w:id="925" w:name="_Toc18175_WPSOffice_Level2"/>
      <w:bookmarkStart w:id="926" w:name="_Toc94107220"/>
      <w:bookmarkStart w:id="927" w:name="_Toc102860083"/>
      <w:bookmarkStart w:id="928" w:name="_Toc8494"/>
      <w:bookmarkStart w:id="929" w:name="_Toc26804"/>
      <w:bookmarkStart w:id="930" w:name="_Toc486167719"/>
      <w:bookmarkStart w:id="931" w:name="_Toc11745"/>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14:textFill>
            <w14:solidFill>
              <w14:schemeClr w14:val="tx1"/>
            </w14:solidFill>
          </w14:textFill>
        </w:rPr>
        <w:t>一</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、投标保证金汇入情况说明</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14:paraId="46CA28CD">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14:paraId="548C1B49">
      <w:pPr>
        <w:autoSpaceDE w:val="0"/>
        <w:autoSpaceDN w:val="0"/>
        <w:adjustRightInd w:val="0"/>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bookmarkStart w:id="932"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932"/>
    </w:p>
    <w:p w14:paraId="1DFF9F0E">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14:paraId="7285A64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东莞市水务集团科技发展有限公司：</w:t>
      </w:r>
    </w:p>
    <w:p w14:paraId="0C4851CD">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14:textFill>
            <w14:solidFill>
              <w14:schemeClr w14:val="tx1"/>
            </w14:solidFill>
          </w14:textFill>
        </w:rPr>
        <w:t>东莞市水务集团科技发展有限公司屋顶分布式光伏发电（一期）采购项目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14:textFill>
            <w14:solidFill>
              <w14:schemeClr w14:val="tx1"/>
            </w14:solidFill>
          </w14:textFill>
        </w:rPr>
        <w:t>广建咨询（东招）2024-0133号</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4D76E9E2">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本单位投标保证金的汇款情况：（详见附件－投标保证金进账单）</w:t>
      </w:r>
    </w:p>
    <w:p w14:paraId="65F756B8">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5CC6C5F5">
      <w:pPr>
        <w:spacing w:line="360" w:lineRule="auto"/>
        <w:ind w:firstLine="424" w:firstLineChars="202"/>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14:textFill>
            <w14:solidFill>
              <w14:schemeClr w14:val="tx1"/>
            </w14:solidFill>
          </w14:textFill>
        </w:rPr>
        <w:t>（大写）人民币      元（小写：¥      元）</w:t>
      </w:r>
    </w:p>
    <w:p w14:paraId="50A51E2C">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6983537A">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6E2652D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14:paraId="4F444AE2">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09F99F0A">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投标保证金退回时，请按上述资料退回。</w:t>
      </w:r>
    </w:p>
    <w:p w14:paraId="4856FB6E">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4BF878A9">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1639D319">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4364288B">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74743AC1">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29FEEB49">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33951C06">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7A60D71C">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933"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933"/>
    </w:p>
    <w:p w14:paraId="70295191">
      <w:pPr>
        <w:spacing w:line="360" w:lineRule="auto"/>
        <w:ind w:left="340" w:leftChars="162" w:firstLine="839" w:firstLineChars="398"/>
        <w:rPr>
          <w:rFonts w:ascii="宋体" w:hAnsi="宋体" w:eastAsia="宋体" w:cs="宋体"/>
          <w:b/>
          <w:bCs/>
          <w:color w:val="000000" w:themeColor="text1"/>
          <w:szCs w:val="21"/>
          <w:highlight w:val="none"/>
          <w14:textFill>
            <w14:solidFill>
              <w14:schemeClr w14:val="tx1"/>
            </w14:solidFill>
          </w14:textFill>
        </w:rPr>
      </w:pPr>
      <w:bookmarkStart w:id="934" w:name="_Toc12992_WPSOffice_Level3"/>
      <w:r>
        <w:rPr>
          <w:rFonts w:hint="eastAsia" w:ascii="宋体" w:hAnsi="宋体" w:eastAsia="宋体" w:cs="宋体"/>
          <w:b/>
          <w:bCs/>
          <w:color w:val="000000" w:themeColor="text1"/>
          <w:szCs w:val="21"/>
          <w:highlight w:val="none"/>
          <w14:textFill>
            <w14:solidFill>
              <w14:schemeClr w14:val="tx1"/>
            </w14:solidFill>
          </w14:textFill>
        </w:rPr>
        <w:t>2、我方开户许可证/基本存款账户（复印件）</w:t>
      </w:r>
      <w:bookmarkEnd w:id="934"/>
    </w:p>
    <w:p w14:paraId="7C2B2660">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1E6C3713">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14:paraId="388993AB">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935" w:name="_Toc486167721"/>
    </w:p>
    <w:p w14:paraId="10F2D0B4">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936" w:name="_Toc533708134"/>
    </w:p>
    <w:p w14:paraId="4E3D4B1A">
      <w:pPr>
        <w:widowControl/>
        <w:jc w:val="left"/>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Cs w:val="21"/>
          <w:highlight w:val="none"/>
          <w14:textFill>
            <w14:solidFill>
              <w14:schemeClr w14:val="tx1"/>
            </w14:solidFill>
          </w14:textFill>
        </w:rPr>
        <w:br w:type="page"/>
      </w:r>
    </w:p>
    <w:p w14:paraId="7A3D063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bookmarkStart w:id="937" w:name="_Toc94107221"/>
      <w:bookmarkStart w:id="938" w:name="_Toc6644"/>
      <w:bookmarkStart w:id="939" w:name="_Toc18032"/>
      <w:bookmarkStart w:id="940" w:name="_Toc102860428"/>
      <w:bookmarkStart w:id="941" w:name="_Toc384"/>
      <w:bookmarkStart w:id="942" w:name="_Toc140596939"/>
      <w:bookmarkStart w:id="943" w:name="_Toc24784"/>
      <w:bookmarkStart w:id="944" w:name="_Toc104991886"/>
      <w:bookmarkStart w:id="945" w:name="_Toc142508379"/>
      <w:bookmarkStart w:id="946" w:name="_Toc16292"/>
      <w:bookmarkStart w:id="947" w:name="_Toc102860084"/>
      <w:bookmarkStart w:id="948" w:name="_Toc1977738"/>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14:textFill>
            <w14:solidFill>
              <w14:schemeClr w14:val="tx1"/>
            </w14:solidFill>
          </w14:textFill>
        </w:rPr>
        <w:t>二</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000000" w:themeColor="text1"/>
          <w:kern w:val="0"/>
          <w:sz w:val="32"/>
          <w:szCs w:val="32"/>
          <w:highlight w:val="none"/>
          <w14:textFill>
            <w14:solidFill>
              <w14:schemeClr w14:val="tx1"/>
            </w14:solidFill>
          </w14:textFill>
        </w:rPr>
        <w:t>及有关</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服务能力的有关其它商务文件（不做强制要求）</w:t>
      </w:r>
      <w:bookmarkEnd w:id="937"/>
      <w:bookmarkEnd w:id="938"/>
      <w:bookmarkEnd w:id="939"/>
      <w:bookmarkEnd w:id="940"/>
      <w:bookmarkEnd w:id="941"/>
      <w:bookmarkEnd w:id="942"/>
      <w:bookmarkEnd w:id="943"/>
      <w:bookmarkEnd w:id="944"/>
      <w:bookmarkEnd w:id="945"/>
      <w:bookmarkEnd w:id="946"/>
      <w:bookmarkEnd w:id="947"/>
      <w:bookmarkEnd w:id="948"/>
    </w:p>
    <w:p w14:paraId="11BDD46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949" w:name="_Toc94107222"/>
      <w:bookmarkStart w:id="950" w:name="_Toc1287"/>
      <w:bookmarkStart w:id="951" w:name="_Toc1977739"/>
      <w:bookmarkStart w:id="952" w:name="_Toc15051"/>
      <w:bookmarkStart w:id="953" w:name="_Toc14341"/>
      <w:bookmarkStart w:id="954" w:name="_Toc142508380"/>
      <w:bookmarkStart w:id="955" w:name="_Toc20404"/>
      <w:bookmarkStart w:id="956" w:name="_Toc102860085"/>
      <w:bookmarkStart w:id="957" w:name="_Toc140596940"/>
      <w:bookmarkStart w:id="958" w:name="_Toc102860429"/>
      <w:bookmarkStart w:id="959" w:name="_Toc5244"/>
      <w:bookmarkStart w:id="960" w:name="_Toc104991887"/>
      <w:r>
        <w:rPr>
          <w:rFonts w:hint="eastAsia" w:ascii="宋体" w:hAnsi="宋体" w:eastAsia="宋体" w:cs="宋体"/>
          <w:b/>
          <w:color w:val="000000" w:themeColor="text1"/>
          <w:kern w:val="0"/>
          <w:sz w:val="32"/>
          <w:szCs w:val="32"/>
          <w:highlight w:val="none"/>
          <w14:textFill>
            <w14:solidFill>
              <w14:schemeClr w14:val="tx1"/>
            </w14:solidFill>
          </w14:textFill>
        </w:rPr>
        <w:t>十三、技术响应文件格式</w:t>
      </w:r>
      <w:bookmarkEnd w:id="936"/>
      <w:bookmarkEnd w:id="949"/>
      <w:bookmarkEnd w:id="950"/>
      <w:bookmarkEnd w:id="951"/>
      <w:bookmarkEnd w:id="952"/>
      <w:bookmarkEnd w:id="953"/>
      <w:bookmarkEnd w:id="954"/>
      <w:bookmarkEnd w:id="955"/>
      <w:bookmarkEnd w:id="956"/>
      <w:bookmarkEnd w:id="957"/>
      <w:bookmarkEnd w:id="958"/>
      <w:bookmarkEnd w:id="959"/>
      <w:bookmarkEnd w:id="960"/>
    </w:p>
    <w:p w14:paraId="3A8A6276">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14:paraId="69F02A0C">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1、用户需求响应程度（即13</w:t>
      </w: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用户需求偏离表格式）；</w:t>
      </w:r>
    </w:p>
    <w:p w14:paraId="3D89FEC1">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2、供货货物清单表</w:t>
      </w:r>
      <w:bookmarkStart w:id="961" w:name="OLE_LINK138"/>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zh-CN"/>
          <w14:textFill>
            <w14:solidFill>
              <w14:schemeClr w14:val="tx1"/>
            </w14:solidFill>
          </w14:textFill>
        </w:rPr>
        <w:t>货物明细中的货物名称、品牌、产地、规格、型号、数量等，必须与分项报价明细表完全一致</w:t>
      </w:r>
      <w:r>
        <w:rPr>
          <w:rFonts w:hint="eastAsia" w:ascii="宋体" w:hAnsi="宋体" w:eastAsia="宋体" w:cs="宋体"/>
          <w:color w:val="000000" w:themeColor="text1"/>
          <w:kern w:val="0"/>
          <w:szCs w:val="21"/>
          <w:highlight w:val="none"/>
          <w14:textFill>
            <w14:solidFill>
              <w14:schemeClr w14:val="tx1"/>
            </w14:solidFill>
          </w14:textFill>
        </w:rPr>
        <w:t>）</w:t>
      </w:r>
      <w:bookmarkEnd w:id="961"/>
      <w:r>
        <w:rPr>
          <w:rFonts w:hint="eastAsia" w:ascii="宋体" w:hAnsi="宋体" w:eastAsia="宋体" w:cs="宋体"/>
          <w:color w:val="000000" w:themeColor="text1"/>
          <w:kern w:val="0"/>
          <w:szCs w:val="21"/>
          <w:highlight w:val="none"/>
          <w14:textFill>
            <w14:solidFill>
              <w14:schemeClr w14:val="tx1"/>
            </w14:solidFill>
          </w14:textFill>
        </w:rPr>
        <w:t>；</w:t>
      </w:r>
    </w:p>
    <w:p w14:paraId="71FEF745">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bookmarkStart w:id="962" w:name="OLE_LINK317"/>
      <w:r>
        <w:rPr>
          <w:rFonts w:hint="eastAsia" w:ascii="宋体" w:hAnsi="宋体" w:eastAsia="宋体" w:cs="宋体"/>
          <w:color w:val="000000" w:themeColor="text1"/>
          <w:kern w:val="0"/>
          <w:szCs w:val="21"/>
          <w:highlight w:val="none"/>
          <w14:textFill>
            <w14:solidFill>
              <w14:schemeClr w14:val="tx1"/>
            </w14:solidFill>
          </w14:textFill>
        </w:rPr>
        <w:t>3、</w:t>
      </w:r>
      <w:bookmarkStart w:id="963" w:name="OLE_LINK336"/>
      <w:bookmarkStart w:id="964" w:name="OLE_LINK281"/>
      <w:bookmarkStart w:id="965" w:name="OLE_LINK347"/>
      <w:r>
        <w:rPr>
          <w:rFonts w:hint="eastAsia" w:ascii="宋体" w:hAnsi="宋体" w:eastAsia="宋体" w:cs="宋体"/>
          <w:color w:val="000000" w:themeColor="text1"/>
          <w:kern w:val="0"/>
          <w:szCs w:val="21"/>
          <w:highlight w:val="none"/>
          <w14:textFill>
            <w14:solidFill>
              <w14:schemeClr w14:val="tx1"/>
            </w14:solidFill>
          </w14:textFill>
        </w:rPr>
        <w:t>光伏系统主要设备配置（投标人自行提供书面说明和资料）</w:t>
      </w:r>
      <w:bookmarkEnd w:id="963"/>
      <w:r>
        <w:rPr>
          <w:rFonts w:hint="eastAsia" w:ascii="宋体" w:hAnsi="宋体" w:eastAsia="宋体" w:cs="宋体"/>
          <w:color w:val="000000" w:themeColor="text1"/>
          <w:kern w:val="0"/>
          <w:szCs w:val="21"/>
          <w:highlight w:val="none"/>
          <w14:textFill>
            <w14:solidFill>
              <w14:schemeClr w14:val="tx1"/>
            </w14:solidFill>
          </w14:textFill>
        </w:rPr>
        <w:t>；</w:t>
      </w:r>
      <w:bookmarkEnd w:id="964"/>
    </w:p>
    <w:p w14:paraId="5D610501">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4、技术服务团队实力（投标人提供证明资料）；</w:t>
      </w:r>
    </w:p>
    <w:p w14:paraId="6E09E9C7">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bookmarkStart w:id="966" w:name="OLE_LINK344"/>
      <w:r>
        <w:rPr>
          <w:rFonts w:hint="eastAsia" w:ascii="宋体" w:hAnsi="宋体" w:eastAsia="宋体" w:cs="宋体"/>
          <w:color w:val="000000" w:themeColor="text1"/>
          <w:kern w:val="0"/>
          <w:szCs w:val="21"/>
          <w:highlight w:val="none"/>
          <w14:textFill>
            <w14:solidFill>
              <w14:schemeClr w14:val="tx1"/>
            </w14:solidFill>
          </w14:textFill>
        </w:rPr>
        <w:t>系统总体设计（投标人自行编写）</w:t>
      </w:r>
      <w:bookmarkEnd w:id="966"/>
      <w:r>
        <w:rPr>
          <w:rFonts w:hint="eastAsia" w:ascii="宋体" w:hAnsi="宋体" w:eastAsia="宋体" w:cs="宋体"/>
          <w:color w:val="000000" w:themeColor="text1"/>
          <w:kern w:val="0"/>
          <w:szCs w:val="21"/>
          <w:highlight w:val="none"/>
          <w14:textFill>
            <w14:solidFill>
              <w14:schemeClr w14:val="tx1"/>
            </w14:solidFill>
          </w14:textFill>
        </w:rPr>
        <w:t>；</w:t>
      </w:r>
    </w:p>
    <w:p w14:paraId="0D5A5F26">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bookmarkStart w:id="967" w:name="OLE_LINK316"/>
      <w:r>
        <w:rPr>
          <w:rFonts w:hint="eastAsia" w:ascii="宋体" w:hAnsi="宋体" w:eastAsia="宋体" w:cs="宋体"/>
          <w:color w:val="000000" w:themeColor="text1"/>
          <w:kern w:val="0"/>
          <w:szCs w:val="21"/>
          <w:highlight w:val="none"/>
          <w14:textFill>
            <w14:solidFill>
              <w14:schemeClr w14:val="tx1"/>
            </w14:solidFill>
          </w14:textFill>
        </w:rPr>
        <w:t>项目管理和项目实施组织（投标人自行编写）；</w:t>
      </w:r>
      <w:bookmarkEnd w:id="967"/>
    </w:p>
    <w:p w14:paraId="5F00DEFD">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7、技术服务（投标人自行编写）；</w:t>
      </w:r>
    </w:p>
    <w:bookmarkEnd w:id="962"/>
    <w:bookmarkEnd w:id="965"/>
    <w:p w14:paraId="3F7773DD">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8、投标人认为有必要提供的其它材料（不做强制要求）。</w:t>
      </w:r>
    </w:p>
    <w:p w14:paraId="64A4CAF6">
      <w:pP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p>
    <w:p w14:paraId="210B2BDE">
      <w:pPr>
        <w:pStyle w:val="19"/>
        <w:spacing w:line="360" w:lineRule="auto"/>
        <w:jc w:val="center"/>
        <w:rPr>
          <w:rFonts w:ascii="宋体" w:hAnsi="宋体" w:cs="宋体"/>
          <w:color w:val="000000" w:themeColor="text1"/>
          <w:sz w:val="84"/>
          <w:highlight w:val="none"/>
          <w14:textFill>
            <w14:solidFill>
              <w14:schemeClr w14:val="tx1"/>
            </w14:solidFill>
          </w14:textFill>
        </w:rPr>
      </w:pPr>
    </w:p>
    <w:p w14:paraId="449E97B9">
      <w:pPr>
        <w:pStyle w:val="19"/>
        <w:spacing w:line="360" w:lineRule="auto"/>
        <w:jc w:val="center"/>
        <w:rPr>
          <w:rFonts w:ascii="宋体" w:hAnsi="宋体" w:cs="宋体"/>
          <w:color w:val="000000" w:themeColor="text1"/>
          <w:sz w:val="84"/>
          <w:highlight w:val="none"/>
          <w14:textFill>
            <w14:solidFill>
              <w14:schemeClr w14:val="tx1"/>
            </w14:solidFill>
          </w14:textFill>
        </w:rPr>
      </w:pPr>
    </w:p>
    <w:p w14:paraId="132F7744">
      <w:pPr>
        <w:pStyle w:val="19"/>
        <w:spacing w:line="360" w:lineRule="auto"/>
        <w:jc w:val="center"/>
        <w:rPr>
          <w:rFonts w:ascii="宋体" w:hAnsi="宋体" w:cs="宋体"/>
          <w:color w:val="000000" w:themeColor="text1"/>
          <w:sz w:val="84"/>
          <w:highlight w:val="none"/>
          <w14:textFill>
            <w14:solidFill>
              <w14:schemeClr w14:val="tx1"/>
            </w14:solidFill>
          </w14:textFill>
        </w:rPr>
      </w:pPr>
      <w:r>
        <w:rPr>
          <w:rFonts w:hint="eastAsia" w:ascii="宋体" w:hAnsi="宋体" w:cs="宋体"/>
          <w:color w:val="000000" w:themeColor="text1"/>
          <w:sz w:val="84"/>
          <w:highlight w:val="none"/>
          <w14:textFill>
            <w14:solidFill>
              <w14:schemeClr w14:val="tx1"/>
            </w14:solidFill>
          </w14:textFill>
        </w:rPr>
        <w:t>投 标 文 件</w:t>
      </w:r>
    </w:p>
    <w:p w14:paraId="1EFF2420">
      <w:pPr>
        <w:pStyle w:val="19"/>
        <w:spacing w:line="360" w:lineRule="auto"/>
        <w:rPr>
          <w:rFonts w:ascii="宋体" w:hAnsi="宋体" w:cs="宋体"/>
          <w:color w:val="000000" w:themeColor="text1"/>
          <w:highlight w:val="none"/>
          <w14:textFill>
            <w14:solidFill>
              <w14:schemeClr w14:val="tx1"/>
            </w14:solidFill>
          </w14:textFill>
        </w:rPr>
      </w:pPr>
    </w:p>
    <w:p w14:paraId="3D19B0D9">
      <w:pPr>
        <w:pStyle w:val="19"/>
        <w:spacing w:line="360" w:lineRule="auto"/>
        <w:rPr>
          <w:rFonts w:ascii="宋体" w:hAnsi="宋体" w:cs="宋体"/>
          <w:color w:val="000000" w:themeColor="text1"/>
          <w:highlight w:val="none"/>
          <w14:textFill>
            <w14:solidFill>
              <w14:schemeClr w14:val="tx1"/>
            </w14:solidFill>
          </w14:textFill>
        </w:rPr>
      </w:pPr>
    </w:p>
    <w:p w14:paraId="1DA24AC7">
      <w:pPr>
        <w:pStyle w:val="19"/>
        <w:spacing w:line="360" w:lineRule="auto"/>
        <w:rPr>
          <w:rFonts w:ascii="宋体" w:hAnsi="宋体" w:cs="宋体"/>
          <w:color w:val="000000" w:themeColor="text1"/>
          <w:highlight w:val="none"/>
          <w14:textFill>
            <w14:solidFill>
              <w14:schemeClr w14:val="tx1"/>
            </w14:solidFill>
          </w14:textFill>
        </w:rPr>
      </w:pPr>
    </w:p>
    <w:p w14:paraId="761B74E1">
      <w:pPr>
        <w:pStyle w:val="19"/>
        <w:spacing w:line="360" w:lineRule="auto"/>
        <w:rPr>
          <w:rFonts w:ascii="宋体" w:hAnsi="宋体" w:cs="宋体"/>
          <w:color w:val="000000" w:themeColor="text1"/>
          <w:highlight w:val="none"/>
          <w14:textFill>
            <w14:solidFill>
              <w14:schemeClr w14:val="tx1"/>
            </w14:solidFill>
          </w14:textFill>
        </w:rPr>
      </w:pPr>
    </w:p>
    <w:p w14:paraId="165FCB9C">
      <w:pPr>
        <w:pStyle w:val="19"/>
        <w:spacing w:line="360" w:lineRule="auto"/>
        <w:rPr>
          <w:rFonts w:ascii="宋体" w:hAnsi="宋体" w:cs="宋体"/>
          <w:color w:val="000000" w:themeColor="text1"/>
          <w:highlight w:val="none"/>
          <w14:textFill>
            <w14:solidFill>
              <w14:schemeClr w14:val="tx1"/>
            </w14:solidFill>
          </w14:textFill>
        </w:rPr>
      </w:pPr>
    </w:p>
    <w:p w14:paraId="7412DA7D">
      <w:pPr>
        <w:pStyle w:val="19"/>
        <w:spacing w:line="360" w:lineRule="auto"/>
        <w:rPr>
          <w:rFonts w:ascii="宋体" w:hAnsi="宋体" w:cs="宋体"/>
          <w:color w:val="000000" w:themeColor="text1"/>
          <w:highlight w:val="none"/>
          <w14:textFill>
            <w14:solidFill>
              <w14:schemeClr w14:val="tx1"/>
            </w14:solidFill>
          </w14:textFill>
        </w:rPr>
      </w:pPr>
    </w:p>
    <w:p w14:paraId="1254DDCE">
      <w:pPr>
        <w:pStyle w:val="19"/>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招标编号：</w:t>
      </w:r>
      <w:r>
        <w:rPr>
          <w:rFonts w:hint="eastAsia" w:ascii="宋体" w:hAnsi="宋体" w:cs="宋体"/>
          <w:color w:val="000000" w:themeColor="text1"/>
          <w:sz w:val="30"/>
          <w:highlight w:val="none"/>
          <w:u w:val="single"/>
          <w14:textFill>
            <w14:solidFill>
              <w14:schemeClr w14:val="tx1"/>
            </w14:solidFill>
          </w14:textFill>
        </w:rPr>
        <w:t xml:space="preserve">                      </w:t>
      </w:r>
    </w:p>
    <w:p w14:paraId="5CCDECFE">
      <w:pPr>
        <w:pStyle w:val="19"/>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项目名称：</w:t>
      </w:r>
      <w:r>
        <w:rPr>
          <w:rFonts w:hint="eastAsia" w:ascii="宋体" w:hAnsi="宋体" w:cs="宋体"/>
          <w:color w:val="000000" w:themeColor="text1"/>
          <w:sz w:val="30"/>
          <w:highlight w:val="none"/>
          <w:u w:val="single"/>
          <w14:textFill>
            <w14:solidFill>
              <w14:schemeClr w14:val="tx1"/>
            </w14:solidFill>
          </w14:textFill>
        </w:rPr>
        <w:t xml:space="preserve">                      </w:t>
      </w:r>
    </w:p>
    <w:p w14:paraId="6309BF36">
      <w:pPr>
        <w:pStyle w:val="19"/>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投标文件内容：</w:t>
      </w:r>
      <w:r>
        <w:rPr>
          <w:rFonts w:hint="eastAsia" w:ascii="宋体" w:hAnsi="宋体" w:cs="宋体"/>
          <w:color w:val="000000" w:themeColor="text1"/>
          <w:sz w:val="30"/>
          <w:highlight w:val="none"/>
          <w:u w:val="single"/>
          <w14:textFill>
            <w14:solidFill>
              <w14:schemeClr w14:val="tx1"/>
            </w14:solidFill>
          </w14:textFill>
        </w:rPr>
        <w:t xml:space="preserve"> 投标文件技术部分 </w:t>
      </w:r>
    </w:p>
    <w:p w14:paraId="07F96CE3">
      <w:pPr>
        <w:pStyle w:val="19"/>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招标人：</w:t>
      </w:r>
      <w:r>
        <w:rPr>
          <w:rFonts w:hint="eastAsia" w:ascii="宋体" w:hAnsi="宋体" w:cs="宋体"/>
          <w:color w:val="000000" w:themeColor="text1"/>
          <w:sz w:val="30"/>
          <w:highlight w:val="none"/>
          <w:u w:val="single"/>
          <w14:textFill>
            <w14:solidFill>
              <w14:schemeClr w14:val="tx1"/>
            </w14:solidFill>
          </w14:textFill>
        </w:rPr>
        <w:t xml:space="preserve">                        </w:t>
      </w:r>
    </w:p>
    <w:p w14:paraId="06D2F405">
      <w:pPr>
        <w:pStyle w:val="19"/>
        <w:spacing w:line="360" w:lineRule="auto"/>
        <w:ind w:firstLine="1875" w:firstLineChars="625"/>
        <w:rPr>
          <w:rFonts w:ascii="宋体" w:hAnsi="宋体" w:cs="宋体"/>
          <w:color w:val="000000" w:themeColor="text1"/>
          <w:sz w:val="30"/>
          <w:highlight w:val="none"/>
          <w:u w:val="singl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投标人：</w:t>
      </w:r>
      <w:r>
        <w:rPr>
          <w:rFonts w:hint="eastAsia" w:ascii="宋体" w:hAnsi="宋体" w:cs="宋体"/>
          <w:color w:val="000000" w:themeColor="text1"/>
          <w:sz w:val="30"/>
          <w:highlight w:val="none"/>
          <w:u w:val="single"/>
          <w14:textFill>
            <w14:solidFill>
              <w14:schemeClr w14:val="tx1"/>
            </w14:solidFill>
          </w14:textFill>
        </w:rPr>
        <w:t xml:space="preserve">                        </w:t>
      </w:r>
    </w:p>
    <w:p w14:paraId="65E81617">
      <w:pPr>
        <w:pStyle w:val="19"/>
        <w:spacing w:line="360" w:lineRule="auto"/>
        <w:ind w:firstLine="1875" w:firstLineChars="625"/>
        <w:rPr>
          <w:rFonts w:ascii="宋体" w:hAnsi="宋体" w:cs="宋体"/>
          <w:color w:val="000000" w:themeColor="text1"/>
          <w:sz w:val="30"/>
          <w:highlight w:val="none"/>
          <w14:textFill>
            <w14:solidFill>
              <w14:schemeClr w14:val="tx1"/>
            </w14:solidFill>
          </w14:textFill>
        </w:rPr>
      </w:pPr>
      <w:r>
        <w:rPr>
          <w:rFonts w:hint="eastAsia" w:ascii="宋体" w:hAnsi="宋体" w:cs="宋体"/>
          <w:color w:val="000000" w:themeColor="text1"/>
          <w:sz w:val="30"/>
          <w:highlight w:val="none"/>
          <w14:textFill>
            <w14:solidFill>
              <w14:schemeClr w14:val="tx1"/>
            </w14:solidFill>
          </w14:textFill>
        </w:rPr>
        <w:t>日  期：</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年</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月</w:t>
      </w:r>
      <w:r>
        <w:rPr>
          <w:rFonts w:hint="eastAsia" w:ascii="宋体" w:hAnsi="宋体" w:cs="宋体"/>
          <w:color w:val="000000" w:themeColor="text1"/>
          <w:sz w:val="30"/>
          <w:highlight w:val="none"/>
          <w:u w:val="single"/>
          <w14:textFill>
            <w14:solidFill>
              <w14:schemeClr w14:val="tx1"/>
            </w14:solidFill>
          </w14:textFill>
        </w:rPr>
        <w:t xml:space="preserve">    </w:t>
      </w:r>
      <w:r>
        <w:rPr>
          <w:rFonts w:hint="eastAsia" w:ascii="宋体" w:hAnsi="宋体" w:cs="宋体"/>
          <w:color w:val="000000" w:themeColor="text1"/>
          <w:sz w:val="30"/>
          <w:highlight w:val="none"/>
          <w14:textFill>
            <w14:solidFill>
              <w14:schemeClr w14:val="tx1"/>
            </w14:solidFill>
          </w14:textFill>
        </w:rPr>
        <w:t>日</w:t>
      </w:r>
    </w:p>
    <w:p w14:paraId="13A46BFD">
      <w:pPr>
        <w:pStyle w:val="19"/>
        <w:spacing w:line="360" w:lineRule="auto"/>
        <w:rPr>
          <w:rFonts w:ascii="宋体" w:hAnsi="宋体" w:cs="宋体"/>
          <w:color w:val="000000" w:themeColor="text1"/>
          <w:highlight w:val="none"/>
          <w14:textFill>
            <w14:solidFill>
              <w14:schemeClr w14:val="tx1"/>
            </w14:solidFill>
          </w14:textFill>
        </w:rPr>
      </w:pPr>
    </w:p>
    <w:p w14:paraId="25CF9783">
      <w:pPr>
        <w:pStyle w:val="19"/>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p>
    <w:p w14:paraId="27F444D3">
      <w:pPr>
        <w:pStyle w:val="19"/>
        <w:spacing w:line="360" w:lineRule="auto"/>
        <w:rPr>
          <w:rFonts w:ascii="宋体" w:hAnsi="宋体" w:cs="宋体"/>
          <w:color w:val="000000" w:themeColor="text1"/>
          <w:highlight w:val="none"/>
          <w14:textFill>
            <w14:solidFill>
              <w14:schemeClr w14:val="tx1"/>
            </w14:solidFill>
          </w14:textFill>
        </w:rPr>
      </w:pPr>
    </w:p>
    <w:p w14:paraId="61010A06">
      <w:pPr>
        <w:pBdr>
          <w:bottom w:val="single" w:color="auto" w:sz="6" w:space="0"/>
        </w:pBdr>
        <w:spacing w:line="480" w:lineRule="auto"/>
        <w:ind w:firstLine="472" w:firstLineChars="224"/>
        <w:jc w:val="center"/>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投标文件技术评审部分索引表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A48DE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FEA6AEE">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5F153C19">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4CAF6CDD">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招标文件上的满分值</w:t>
            </w:r>
          </w:p>
        </w:tc>
        <w:tc>
          <w:tcPr>
            <w:tcW w:w="2136" w:type="pct"/>
            <w:tcBorders>
              <w:left w:val="single" w:color="auto" w:sz="4" w:space="0"/>
            </w:tcBorders>
            <w:vAlign w:val="center"/>
          </w:tcPr>
          <w:p w14:paraId="00F035B4">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7AA198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88FC9B3">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F39DFFC">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2A52A3D6">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3F6401B0">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621F95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4671EDD">
            <w:pP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2317C7A6">
            <w:pPr>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6252EA18">
            <w:pP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21EB7CCD">
            <w:pPr>
              <w:adjustRightInd w:val="0"/>
              <w:snapToGrid w:val="0"/>
              <w:spacing w:line="360" w:lineRule="auto"/>
              <w:ind w:firstLine="105" w:firstLineChars="50"/>
              <w:rPr>
                <w:rFonts w:ascii="宋体" w:hAnsi="宋体" w:eastAsia="宋体" w:cs="宋体"/>
                <w:bCs/>
                <w:color w:val="000000" w:themeColor="text1"/>
                <w:szCs w:val="21"/>
                <w:highlight w:val="none"/>
                <w14:textFill>
                  <w14:solidFill>
                    <w14:schemeClr w14:val="tx1"/>
                  </w14:solidFill>
                </w14:textFill>
              </w:rPr>
            </w:pPr>
          </w:p>
        </w:tc>
      </w:tr>
      <w:tr w14:paraId="0C47FE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0B3241F">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237DB0B3">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27F08B2F">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521860D7">
            <w:pPr>
              <w:spacing w:line="360" w:lineRule="auto"/>
              <w:ind w:firstLine="8" w:firstLineChars="4"/>
              <w:rPr>
                <w:rFonts w:ascii="宋体" w:hAnsi="宋体" w:eastAsia="宋体" w:cs="宋体"/>
                <w:bCs/>
                <w:color w:val="000000" w:themeColor="text1"/>
                <w:szCs w:val="21"/>
                <w:highlight w:val="none"/>
                <w14:textFill>
                  <w14:solidFill>
                    <w14:schemeClr w14:val="tx1"/>
                  </w14:solidFill>
                </w14:textFill>
              </w:rPr>
            </w:pPr>
          </w:p>
        </w:tc>
      </w:tr>
      <w:tr w14:paraId="2BA223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10DCC15">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495B26DB">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48EE889C">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01FB957A">
            <w:pPr>
              <w:adjustRightInd w:val="0"/>
              <w:snapToGrid w:val="0"/>
              <w:spacing w:line="360" w:lineRule="auto"/>
              <w:rPr>
                <w:rFonts w:ascii="宋体" w:hAnsi="宋体" w:eastAsia="宋体" w:cs="宋体"/>
                <w:bCs/>
                <w:color w:val="000000" w:themeColor="text1"/>
                <w:szCs w:val="21"/>
                <w:highlight w:val="none"/>
                <w14:textFill>
                  <w14:solidFill>
                    <w14:schemeClr w14:val="tx1"/>
                  </w14:solidFill>
                </w14:textFill>
              </w:rPr>
            </w:pPr>
          </w:p>
        </w:tc>
      </w:tr>
      <w:tr w14:paraId="3FA31E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642E3C3">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4F2853E1">
            <w:pPr>
              <w:adjustRightInd w:val="0"/>
              <w:snapToGrid w:val="0"/>
              <w:spacing w:line="360" w:lineRule="auto"/>
              <w:jc w:val="center"/>
              <w:rPr>
                <w:rFonts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5926C6BD">
            <w:pPr>
              <w:spacing w:line="360" w:lineRule="auto"/>
              <w:jc w:val="center"/>
              <w:rPr>
                <w:rFonts w:ascii="宋体" w:hAnsi="宋体" w:eastAsia="宋体" w:cs="宋体"/>
                <w:bCs/>
                <w:color w:val="000000" w:themeColor="text1"/>
                <w:szCs w:val="21"/>
                <w:highlight w:val="none"/>
                <w14:textFill>
                  <w14:solidFill>
                    <w14:schemeClr w14:val="tx1"/>
                  </w14:solidFill>
                </w14:textFill>
              </w:rPr>
            </w:pPr>
          </w:p>
        </w:tc>
      </w:tr>
    </w:tbl>
    <w:p w14:paraId="6FE8EA69">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935"/>
      <w:bookmarkStart w:id="968" w:name="_Toc20630"/>
      <w:bookmarkStart w:id="969" w:name="_Toc12618"/>
      <w:bookmarkStart w:id="970" w:name="_Toc102860430"/>
      <w:bookmarkStart w:id="971" w:name="_Toc104991888"/>
      <w:bookmarkStart w:id="972" w:name="_Toc94107223"/>
      <w:bookmarkStart w:id="973" w:name="_Toc14384"/>
      <w:bookmarkStart w:id="974" w:name="_Toc18801"/>
      <w:bookmarkStart w:id="975" w:name="_Toc533708135"/>
      <w:bookmarkStart w:id="976" w:name="_Toc1977740"/>
      <w:bookmarkStart w:id="977" w:name="_Toc142508381"/>
      <w:bookmarkStart w:id="978" w:name="_Toc1558"/>
      <w:bookmarkStart w:id="979" w:name="_Toc102860086"/>
      <w:bookmarkStart w:id="980" w:name="_Toc140596941"/>
      <w:r>
        <w:rPr>
          <w:rFonts w:hint="eastAsia" w:ascii="宋体" w:hAnsi="宋体" w:eastAsia="宋体" w:cs="宋体"/>
          <w:b/>
          <w:color w:val="000000" w:themeColor="text1"/>
          <w:kern w:val="0"/>
          <w:sz w:val="30"/>
          <w:szCs w:val="30"/>
          <w:highlight w:val="none"/>
          <w14:textFill>
            <w14:solidFill>
              <w14:schemeClr w14:val="tx1"/>
            </w14:solidFill>
          </w14:textFill>
        </w:rPr>
        <w:t>13.1 用户需求偏离表格式</w:t>
      </w:r>
      <w:bookmarkEnd w:id="968"/>
      <w:bookmarkEnd w:id="969"/>
      <w:bookmarkEnd w:id="970"/>
      <w:bookmarkEnd w:id="971"/>
      <w:bookmarkEnd w:id="972"/>
      <w:bookmarkEnd w:id="973"/>
      <w:bookmarkEnd w:id="974"/>
      <w:bookmarkEnd w:id="975"/>
      <w:bookmarkEnd w:id="976"/>
      <w:bookmarkEnd w:id="977"/>
      <w:bookmarkEnd w:id="978"/>
      <w:bookmarkEnd w:id="979"/>
      <w:bookmarkEnd w:id="980"/>
    </w:p>
    <w:p w14:paraId="5575ACD0">
      <w:pP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981"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981"/>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08F1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1E738C58">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3551" w:type="pct"/>
            <w:gridSpan w:val="2"/>
            <w:vAlign w:val="center"/>
          </w:tcPr>
          <w:p w14:paraId="51DBCB35">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1159" w:type="pct"/>
            <w:gridSpan w:val="3"/>
            <w:vAlign w:val="center"/>
          </w:tcPr>
          <w:p w14:paraId="780F95C7">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14:paraId="4572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45CC38D0">
            <w:pPr>
              <w:keepNext/>
              <w:keepLines/>
              <w:spacing w:line="400" w:lineRule="exact"/>
              <w:jc w:val="center"/>
              <w:outlineLvl w:val="0"/>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46AC4D71">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3092" w:type="pct"/>
            <w:vAlign w:val="center"/>
          </w:tcPr>
          <w:p w14:paraId="5B23C5A3">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348" w:type="pct"/>
            <w:vAlign w:val="center"/>
          </w:tcPr>
          <w:p w14:paraId="0661D30A">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418" w:type="pct"/>
            <w:vAlign w:val="center"/>
          </w:tcPr>
          <w:p w14:paraId="71E9CB6B">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391" w:type="pct"/>
            <w:vAlign w:val="center"/>
          </w:tcPr>
          <w:p w14:paraId="312DCF31">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14:paraId="7C4B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50D0B625">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bookmarkStart w:id="982" w:name="OLE_LINK332" w:colFirst="1" w:colLast="2"/>
            <w:bookmarkStart w:id="983" w:name="OLE_LINK321" w:colFirst="1" w:colLast="5"/>
            <w:bookmarkStart w:id="984" w:name="OLE_LINK331" w:colFirst="1" w:colLast="1"/>
            <w:bookmarkStart w:id="985" w:name="OLE_LINK329" w:colFirst="0" w:colLast="5"/>
            <w:bookmarkStart w:id="986" w:name="OLE_LINK318" w:colFirst="2" w:colLast="2"/>
            <w:r>
              <w:rPr>
                <w:rFonts w:hint="eastAsia" w:ascii="宋体" w:hAnsi="宋体" w:eastAsia="宋体" w:cs="宋体"/>
                <w:color w:val="000000" w:themeColor="text1"/>
                <w:kern w:val="0"/>
                <w:szCs w:val="21"/>
                <w:highlight w:val="none"/>
                <w14:textFill>
                  <w14:solidFill>
                    <w14:schemeClr w14:val="tx1"/>
                  </w14:solidFill>
                </w14:textFill>
              </w:rPr>
              <w:t>1</w:t>
            </w:r>
          </w:p>
        </w:tc>
        <w:tc>
          <w:tcPr>
            <w:tcW w:w="459" w:type="pct"/>
            <w:vAlign w:val="center"/>
          </w:tcPr>
          <w:p w14:paraId="71E89303">
            <w:pPr>
              <w:spacing w:line="400" w:lineRule="exact"/>
              <w:jc w:val="center"/>
              <w:rPr>
                <w:rFonts w:ascii="宋体" w:hAnsi="宋体" w:eastAsia="宋体" w:cs="宋体"/>
                <w:bCs/>
                <w:color w:val="000000" w:themeColor="text1"/>
                <w:kern w:val="0"/>
                <w:szCs w:val="21"/>
                <w:highlight w:val="none"/>
                <w14:textFill>
                  <w14:solidFill>
                    <w14:schemeClr w14:val="tx1"/>
                  </w14:solidFill>
                </w14:textFill>
              </w:rPr>
            </w:pPr>
            <w:bookmarkStart w:id="987" w:name="OLE_LINK330"/>
            <w:r>
              <w:rPr>
                <w:rFonts w:hint="eastAsia" w:ascii="宋体" w:hAnsi="宋体" w:eastAsia="宋体" w:cs="宋体"/>
                <w:bCs/>
                <w:color w:val="000000" w:themeColor="text1"/>
                <w:kern w:val="0"/>
                <w:szCs w:val="21"/>
                <w:highlight w:val="none"/>
                <w14:textFill>
                  <w14:solidFill>
                    <w14:schemeClr w14:val="tx1"/>
                  </w14:solidFill>
                </w14:textFill>
              </w:rPr>
              <w:t>一</w:t>
            </w:r>
            <w:bookmarkEnd w:id="987"/>
          </w:p>
        </w:tc>
        <w:tc>
          <w:tcPr>
            <w:tcW w:w="3092" w:type="pct"/>
            <w:vAlign w:val="center"/>
          </w:tcPr>
          <w:p w14:paraId="025CD7AC">
            <w:pPr>
              <w:autoSpaceDE w:val="0"/>
              <w:autoSpaceDN w:val="0"/>
              <w:adjustRightInd w:val="0"/>
              <w:spacing w:line="400" w:lineRule="exact"/>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w:t>
            </w:r>
            <w:bookmarkStart w:id="988" w:name="OLE_LINK328"/>
            <w:r>
              <w:rPr>
                <w:rFonts w:hint="eastAsia" w:ascii="宋体" w:hAnsi="宋体" w:eastAsia="宋体" w:cs="宋体"/>
                <w:color w:val="000000" w:themeColor="text1"/>
                <w:kern w:val="0"/>
                <w:szCs w:val="21"/>
                <w:highlight w:val="none"/>
                <w14:textFill>
                  <w14:solidFill>
                    <w14:schemeClr w14:val="tx1"/>
                  </w14:solidFill>
                </w14:textFill>
              </w:rPr>
              <w:t>概</w:t>
            </w:r>
            <w:bookmarkEnd w:id="988"/>
            <w:r>
              <w:rPr>
                <w:rFonts w:hint="eastAsia" w:ascii="宋体" w:hAnsi="宋体" w:eastAsia="宋体" w:cs="宋体"/>
                <w:color w:val="000000" w:themeColor="text1"/>
                <w:kern w:val="0"/>
                <w:szCs w:val="21"/>
                <w:highlight w:val="none"/>
                <w14:textFill>
                  <w14:solidFill>
                    <w14:schemeClr w14:val="tx1"/>
                  </w14:solidFill>
                </w14:textFill>
              </w:rPr>
              <w:t>况</w:t>
            </w:r>
          </w:p>
        </w:tc>
        <w:tc>
          <w:tcPr>
            <w:tcW w:w="348" w:type="pct"/>
            <w:vAlign w:val="center"/>
          </w:tcPr>
          <w:p w14:paraId="3ECAA572">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418" w:type="pct"/>
            <w:vAlign w:val="center"/>
          </w:tcPr>
          <w:p w14:paraId="7F39D696">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391" w:type="pct"/>
            <w:vAlign w:val="center"/>
          </w:tcPr>
          <w:p w14:paraId="68EA36F8">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r>
      <w:tr w14:paraId="05C5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010F727">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459" w:type="pct"/>
            <w:vAlign w:val="center"/>
          </w:tcPr>
          <w:p w14:paraId="25E63291">
            <w:pPr>
              <w:spacing w:line="400" w:lineRule="exact"/>
              <w:jc w:val="center"/>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二</w:t>
            </w:r>
          </w:p>
        </w:tc>
        <w:tc>
          <w:tcPr>
            <w:tcW w:w="3092" w:type="pct"/>
            <w:vAlign w:val="center"/>
          </w:tcPr>
          <w:p w14:paraId="0B2E9C47">
            <w:pPr>
              <w:autoSpaceDE w:val="0"/>
              <w:autoSpaceDN w:val="0"/>
              <w:adjustRightInd w:val="0"/>
              <w:spacing w:line="400" w:lineRule="exact"/>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采购范围</w:t>
            </w:r>
          </w:p>
        </w:tc>
        <w:tc>
          <w:tcPr>
            <w:tcW w:w="348" w:type="pct"/>
            <w:vAlign w:val="center"/>
          </w:tcPr>
          <w:p w14:paraId="162E085E">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418" w:type="pct"/>
            <w:vAlign w:val="center"/>
          </w:tcPr>
          <w:p w14:paraId="7F03B6F1">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391" w:type="pct"/>
            <w:vAlign w:val="center"/>
          </w:tcPr>
          <w:p w14:paraId="4C8E2F9D">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r>
      <w:tr w14:paraId="1B48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511D1FF">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459" w:type="pct"/>
            <w:vAlign w:val="center"/>
          </w:tcPr>
          <w:p w14:paraId="17B1D76A">
            <w:pPr>
              <w:spacing w:line="400" w:lineRule="exact"/>
              <w:jc w:val="center"/>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三</w:t>
            </w:r>
          </w:p>
        </w:tc>
        <w:tc>
          <w:tcPr>
            <w:tcW w:w="3092" w:type="pct"/>
            <w:vAlign w:val="center"/>
          </w:tcPr>
          <w:p w14:paraId="1CA1C4B1">
            <w:pPr>
              <w:autoSpaceDE w:val="0"/>
              <w:autoSpaceDN w:val="0"/>
              <w:adjustRightInd w:val="0"/>
              <w:spacing w:line="400" w:lineRule="exact"/>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光伏发电设施技术要求</w:t>
            </w:r>
          </w:p>
        </w:tc>
        <w:tc>
          <w:tcPr>
            <w:tcW w:w="348" w:type="pct"/>
            <w:vAlign w:val="center"/>
          </w:tcPr>
          <w:p w14:paraId="05038336">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418" w:type="pct"/>
            <w:vAlign w:val="center"/>
          </w:tcPr>
          <w:p w14:paraId="72CD57FA">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391" w:type="pct"/>
            <w:vAlign w:val="center"/>
          </w:tcPr>
          <w:p w14:paraId="4AB4F5D9">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r>
      <w:tr w14:paraId="31DA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55F7A91">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459" w:type="pct"/>
            <w:vAlign w:val="center"/>
          </w:tcPr>
          <w:p w14:paraId="7AEDE35D">
            <w:pPr>
              <w:spacing w:line="400" w:lineRule="exact"/>
              <w:jc w:val="center"/>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四</w:t>
            </w:r>
          </w:p>
        </w:tc>
        <w:tc>
          <w:tcPr>
            <w:tcW w:w="3092" w:type="pct"/>
            <w:vAlign w:val="center"/>
          </w:tcPr>
          <w:p w14:paraId="13386D0F">
            <w:pPr>
              <w:autoSpaceDE w:val="0"/>
              <w:autoSpaceDN w:val="0"/>
              <w:adjustRightInd w:val="0"/>
              <w:spacing w:line="400" w:lineRule="exact"/>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技术要求</w:t>
            </w:r>
          </w:p>
        </w:tc>
        <w:tc>
          <w:tcPr>
            <w:tcW w:w="348" w:type="pct"/>
            <w:vAlign w:val="center"/>
          </w:tcPr>
          <w:p w14:paraId="76BC9F1B">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418" w:type="pct"/>
            <w:vAlign w:val="center"/>
          </w:tcPr>
          <w:p w14:paraId="3D30B3AA">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391" w:type="pct"/>
            <w:vAlign w:val="center"/>
          </w:tcPr>
          <w:p w14:paraId="1069471E">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r>
      <w:tr w14:paraId="6FE1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613186F">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459" w:type="pct"/>
            <w:vAlign w:val="center"/>
          </w:tcPr>
          <w:p w14:paraId="759D13DE">
            <w:pPr>
              <w:spacing w:line="400" w:lineRule="exact"/>
              <w:jc w:val="center"/>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五</w:t>
            </w:r>
          </w:p>
        </w:tc>
        <w:tc>
          <w:tcPr>
            <w:tcW w:w="3092" w:type="pct"/>
            <w:vAlign w:val="center"/>
          </w:tcPr>
          <w:p w14:paraId="261018AC">
            <w:pPr>
              <w:autoSpaceDE w:val="0"/>
              <w:autoSpaceDN w:val="0"/>
              <w:adjustRightInd w:val="0"/>
              <w:spacing w:line="400" w:lineRule="exact"/>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安全运维技术要求</w:t>
            </w:r>
          </w:p>
        </w:tc>
        <w:tc>
          <w:tcPr>
            <w:tcW w:w="348" w:type="pct"/>
            <w:vAlign w:val="center"/>
          </w:tcPr>
          <w:p w14:paraId="528F3D0C">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418" w:type="pct"/>
            <w:vAlign w:val="center"/>
          </w:tcPr>
          <w:p w14:paraId="5C25E8E6">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391" w:type="pct"/>
            <w:vAlign w:val="center"/>
          </w:tcPr>
          <w:p w14:paraId="35649CD7">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r>
      <w:tr w14:paraId="1BF1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43129525">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459" w:type="pct"/>
            <w:vAlign w:val="center"/>
          </w:tcPr>
          <w:p w14:paraId="3AF08BFA">
            <w:pPr>
              <w:spacing w:line="400" w:lineRule="exact"/>
              <w:jc w:val="center"/>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六</w:t>
            </w:r>
          </w:p>
        </w:tc>
        <w:tc>
          <w:tcPr>
            <w:tcW w:w="3092" w:type="pct"/>
            <w:vAlign w:val="center"/>
          </w:tcPr>
          <w:p w14:paraId="3936C000">
            <w:pPr>
              <w:autoSpaceDE w:val="0"/>
              <w:autoSpaceDN w:val="0"/>
              <w:adjustRightInd w:val="0"/>
              <w:spacing w:line="400" w:lineRule="exact"/>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设计规范和设计依据</w:t>
            </w:r>
          </w:p>
        </w:tc>
        <w:tc>
          <w:tcPr>
            <w:tcW w:w="348" w:type="pct"/>
            <w:vAlign w:val="center"/>
          </w:tcPr>
          <w:p w14:paraId="04709319">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418" w:type="pct"/>
            <w:vAlign w:val="center"/>
          </w:tcPr>
          <w:p w14:paraId="6DC7EA6A">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391" w:type="pct"/>
            <w:vAlign w:val="center"/>
          </w:tcPr>
          <w:p w14:paraId="2978D786">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r>
      <w:tr w14:paraId="1C89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7FE90E4">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459" w:type="pct"/>
            <w:vAlign w:val="center"/>
          </w:tcPr>
          <w:p w14:paraId="4C09295C">
            <w:pPr>
              <w:spacing w:line="400" w:lineRule="exact"/>
              <w:jc w:val="center"/>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七</w:t>
            </w:r>
          </w:p>
        </w:tc>
        <w:tc>
          <w:tcPr>
            <w:tcW w:w="3092" w:type="pct"/>
            <w:vAlign w:val="center"/>
          </w:tcPr>
          <w:p w14:paraId="1684808C">
            <w:pPr>
              <w:autoSpaceDE w:val="0"/>
              <w:autoSpaceDN w:val="0"/>
              <w:adjustRightInd w:val="0"/>
              <w:spacing w:line="400" w:lineRule="exact"/>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消防要求</w:t>
            </w:r>
          </w:p>
        </w:tc>
        <w:tc>
          <w:tcPr>
            <w:tcW w:w="348" w:type="pct"/>
            <w:vAlign w:val="center"/>
          </w:tcPr>
          <w:p w14:paraId="74443154">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418" w:type="pct"/>
            <w:vAlign w:val="center"/>
          </w:tcPr>
          <w:p w14:paraId="772565BD">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391" w:type="pct"/>
            <w:vAlign w:val="center"/>
          </w:tcPr>
          <w:p w14:paraId="70BCF82C">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r>
      <w:tr w14:paraId="588A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6141765">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459" w:type="pct"/>
            <w:vAlign w:val="center"/>
          </w:tcPr>
          <w:p w14:paraId="2BD2610C">
            <w:pPr>
              <w:spacing w:line="400" w:lineRule="exact"/>
              <w:jc w:val="center"/>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八</w:t>
            </w:r>
          </w:p>
        </w:tc>
        <w:tc>
          <w:tcPr>
            <w:tcW w:w="3092" w:type="pct"/>
            <w:vAlign w:val="center"/>
          </w:tcPr>
          <w:p w14:paraId="40E1DDA7">
            <w:pPr>
              <w:autoSpaceDE w:val="0"/>
              <w:autoSpaceDN w:val="0"/>
              <w:adjustRightInd w:val="0"/>
              <w:spacing w:line="400" w:lineRule="exact"/>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其他</w:t>
            </w:r>
          </w:p>
        </w:tc>
        <w:tc>
          <w:tcPr>
            <w:tcW w:w="348" w:type="pct"/>
            <w:vAlign w:val="center"/>
          </w:tcPr>
          <w:p w14:paraId="340136C5">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418" w:type="pct"/>
            <w:vAlign w:val="center"/>
          </w:tcPr>
          <w:p w14:paraId="2D9EFB02">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c>
          <w:tcPr>
            <w:tcW w:w="391" w:type="pct"/>
            <w:vAlign w:val="center"/>
          </w:tcPr>
          <w:p w14:paraId="47105497">
            <w:pPr>
              <w:keepNext/>
              <w:keepLines/>
              <w:spacing w:line="400" w:lineRule="exact"/>
              <w:jc w:val="left"/>
              <w:outlineLvl w:val="2"/>
              <w:rPr>
                <w:rFonts w:ascii="宋体" w:hAnsi="宋体" w:eastAsia="宋体" w:cs="宋体"/>
                <w:color w:val="000000" w:themeColor="text1"/>
                <w:kern w:val="0"/>
                <w:szCs w:val="21"/>
                <w:highlight w:val="none"/>
                <w14:textFill>
                  <w14:solidFill>
                    <w14:schemeClr w14:val="tx1"/>
                  </w14:solidFill>
                </w14:textFill>
              </w:rPr>
            </w:pPr>
          </w:p>
        </w:tc>
      </w:tr>
      <w:bookmarkEnd w:id="982"/>
      <w:bookmarkEnd w:id="983"/>
      <w:bookmarkEnd w:id="984"/>
      <w:bookmarkEnd w:id="985"/>
      <w:bookmarkEnd w:id="986"/>
    </w:tbl>
    <w:p w14:paraId="436F6825">
      <w:pPr>
        <w:spacing w:line="360" w:lineRule="auto"/>
        <w:rPr>
          <w:rFonts w:ascii="宋体" w:hAnsi="宋体" w:eastAsia="宋体" w:cs="宋体"/>
          <w:color w:val="000000" w:themeColor="text1"/>
          <w:szCs w:val="21"/>
          <w:highlight w:val="none"/>
          <w14:textFill>
            <w14:solidFill>
              <w14:schemeClr w14:val="tx1"/>
            </w14:solidFill>
          </w14:textFill>
        </w:rPr>
      </w:pPr>
    </w:p>
    <w:p w14:paraId="23FB1CCC">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738C9147">
      <w:pPr>
        <w:spacing w:line="360" w:lineRule="auto"/>
        <w:ind w:left="605" w:leftChars="18" w:hanging="567" w:hangingChars="27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投标人应对照招标文件用户需求书的响应，逐条逐项、如实地填写“偏离情况”，</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72AE4275">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238717A">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6A66093E">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处理</w:t>
      </w:r>
      <w:r>
        <w:rPr>
          <w:rFonts w:ascii="宋体" w:hAnsi="宋体" w:eastAsia="宋体" w:cs="Times New Roman"/>
          <w:b/>
          <w:color w:val="000000" w:themeColor="text1"/>
          <w:kern w:val="0"/>
          <w:sz w:val="24"/>
          <w:szCs w:val="21"/>
          <w:highlight w:val="none"/>
          <w:u w:val="single"/>
          <w:lang w:val="zh-CN"/>
          <w14:textFill>
            <w14:solidFill>
              <w14:schemeClr w14:val="tx1"/>
            </w14:solidFill>
          </w14:textFill>
        </w:rPr>
        <w:t>。</w:t>
      </w:r>
    </w:p>
    <w:p w14:paraId="677D8B01">
      <w:pPr>
        <w:spacing w:line="360" w:lineRule="auto"/>
        <w:rPr>
          <w:rFonts w:ascii="宋体" w:hAnsi="宋体" w:eastAsia="宋体" w:cs="宋体"/>
          <w:color w:val="000000" w:themeColor="text1"/>
          <w:szCs w:val="21"/>
          <w:highlight w:val="none"/>
          <w14:textFill>
            <w14:solidFill>
              <w14:schemeClr w14:val="tx1"/>
            </w14:solidFill>
          </w14:textFill>
        </w:rPr>
      </w:pPr>
    </w:p>
    <w:p w14:paraId="564A8C63">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14:paraId="04F8A8CE">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14:paraId="52709D75">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989" w:name="_Toc140596942"/>
      <w:bookmarkStart w:id="990" w:name="_Toc104991889"/>
      <w:bookmarkStart w:id="991" w:name="_Toc16609"/>
      <w:bookmarkStart w:id="992" w:name="_Toc3484"/>
      <w:bookmarkStart w:id="993" w:name="_Toc102860431"/>
      <w:bookmarkStart w:id="994" w:name="_Toc94107224"/>
      <w:bookmarkStart w:id="995" w:name="_Toc28623"/>
      <w:bookmarkStart w:id="996" w:name="_Toc26177"/>
      <w:bookmarkStart w:id="997" w:name="_Toc20665"/>
      <w:bookmarkStart w:id="998" w:name="_Toc102860087"/>
      <w:bookmarkStart w:id="999" w:name="_Toc142508382"/>
      <w:r>
        <w:rPr>
          <w:rFonts w:hint="eastAsia" w:ascii="宋体" w:hAnsi="宋体" w:eastAsia="宋体" w:cs="宋体"/>
          <w:b/>
          <w:color w:val="000000" w:themeColor="text1"/>
          <w:kern w:val="0"/>
          <w:sz w:val="30"/>
          <w:szCs w:val="30"/>
          <w:highlight w:val="none"/>
          <w14:textFill>
            <w14:solidFill>
              <w14:schemeClr w14:val="tx1"/>
            </w14:solidFill>
          </w14:textFill>
        </w:rPr>
        <w:t>13.2</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Times New Roman"/>
          <w:b/>
          <w:color w:val="000000" w:themeColor="text1"/>
          <w:kern w:val="0"/>
          <w:sz w:val="30"/>
          <w:szCs w:val="30"/>
          <w:highlight w:val="none"/>
          <w14:textFill>
            <w14:solidFill>
              <w14:schemeClr w14:val="tx1"/>
            </w14:solidFill>
          </w14:textFill>
        </w:rPr>
        <w:t>供货货物清单表格式</w:t>
      </w:r>
      <w:bookmarkEnd w:id="989"/>
      <w:bookmarkEnd w:id="990"/>
      <w:bookmarkEnd w:id="991"/>
      <w:bookmarkEnd w:id="992"/>
      <w:bookmarkEnd w:id="993"/>
      <w:bookmarkEnd w:id="994"/>
      <w:bookmarkEnd w:id="995"/>
      <w:bookmarkEnd w:id="996"/>
      <w:bookmarkEnd w:id="997"/>
      <w:bookmarkEnd w:id="998"/>
      <w:bookmarkEnd w:id="999"/>
    </w:p>
    <w:p w14:paraId="45557B4D">
      <w:pPr>
        <w:autoSpaceDE w:val="0"/>
        <w:autoSpaceDN w:val="0"/>
        <w:adjustRightInd w:val="0"/>
        <w:ind w:right="-23" w:rightChars="-11"/>
        <w:jc w:val="center"/>
        <w:rPr>
          <w:rFonts w:ascii="宋体" w:hAnsi="宋体" w:eastAsia="宋体" w:cs="宋体"/>
          <w:b/>
          <w:color w:val="000000" w:themeColor="text1"/>
          <w:sz w:val="30"/>
          <w:szCs w:val="30"/>
          <w:highlight w:val="none"/>
          <w:lang w:val="zh-CN"/>
          <w14:textFill>
            <w14:solidFill>
              <w14:schemeClr w14:val="tx1"/>
            </w14:solidFill>
          </w14:textFill>
        </w:rPr>
      </w:pPr>
      <w:r>
        <w:rPr>
          <w:rFonts w:hint="eastAsia" w:ascii="宋体" w:hAnsi="宋体" w:eastAsia="宋体" w:cs="宋体"/>
          <w:b/>
          <w:color w:val="000000" w:themeColor="text1"/>
          <w:sz w:val="30"/>
          <w:szCs w:val="30"/>
          <w:highlight w:val="none"/>
          <w:lang w:val="zh-CN"/>
          <w14:textFill>
            <w14:solidFill>
              <w14:schemeClr w14:val="tx1"/>
            </w14:solidFill>
          </w14:textFill>
        </w:rPr>
        <w:t>供货货物清单表</w:t>
      </w:r>
    </w:p>
    <w:p w14:paraId="7B682517">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514"/>
        <w:gridCol w:w="1105"/>
        <w:gridCol w:w="1037"/>
        <w:gridCol w:w="1170"/>
        <w:gridCol w:w="1103"/>
        <w:gridCol w:w="1103"/>
        <w:gridCol w:w="1103"/>
        <w:gridCol w:w="1104"/>
        <w:gridCol w:w="430"/>
      </w:tblGrid>
      <w:tr w14:paraId="44BB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6563E7AD">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货物明细</w:t>
            </w:r>
          </w:p>
        </w:tc>
      </w:tr>
      <w:tr w14:paraId="00A3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8" w:type="pct"/>
            <w:tcBorders>
              <w:top w:val="single" w:color="auto" w:sz="4" w:space="0"/>
              <w:left w:val="single" w:color="auto" w:sz="4" w:space="0"/>
              <w:bottom w:val="single" w:color="auto" w:sz="4" w:space="0"/>
              <w:right w:val="single" w:color="auto" w:sz="4" w:space="0"/>
            </w:tcBorders>
            <w:vAlign w:val="center"/>
          </w:tcPr>
          <w:p w14:paraId="741A4AE0">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730" w:type="pct"/>
            <w:tcBorders>
              <w:top w:val="single" w:color="auto" w:sz="4" w:space="0"/>
              <w:left w:val="single" w:color="auto" w:sz="4" w:space="0"/>
              <w:bottom w:val="single" w:color="auto" w:sz="4" w:space="0"/>
              <w:right w:val="single" w:color="auto" w:sz="4" w:space="0"/>
            </w:tcBorders>
            <w:vAlign w:val="center"/>
          </w:tcPr>
          <w:p w14:paraId="2FB77454">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货物名称</w:t>
            </w:r>
          </w:p>
        </w:tc>
        <w:tc>
          <w:tcPr>
            <w:tcW w:w="533" w:type="pct"/>
            <w:tcBorders>
              <w:top w:val="single" w:color="auto" w:sz="4" w:space="0"/>
              <w:left w:val="single" w:color="auto" w:sz="4" w:space="0"/>
              <w:bottom w:val="single" w:color="auto" w:sz="4" w:space="0"/>
              <w:right w:val="single" w:color="auto" w:sz="4" w:space="0"/>
            </w:tcBorders>
            <w:vAlign w:val="center"/>
          </w:tcPr>
          <w:p w14:paraId="2BF68538">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品牌</w:t>
            </w:r>
          </w:p>
        </w:tc>
        <w:tc>
          <w:tcPr>
            <w:tcW w:w="500" w:type="pct"/>
            <w:tcBorders>
              <w:top w:val="single" w:color="auto" w:sz="4" w:space="0"/>
              <w:left w:val="single" w:color="auto" w:sz="4" w:space="0"/>
              <w:bottom w:val="single" w:color="auto" w:sz="4" w:space="0"/>
              <w:right w:val="single" w:color="auto" w:sz="4" w:space="0"/>
            </w:tcBorders>
            <w:vAlign w:val="center"/>
          </w:tcPr>
          <w:p w14:paraId="2B6192DB">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产地</w:t>
            </w:r>
          </w:p>
        </w:tc>
        <w:tc>
          <w:tcPr>
            <w:tcW w:w="564" w:type="pct"/>
            <w:tcBorders>
              <w:top w:val="single" w:color="auto" w:sz="4" w:space="0"/>
              <w:left w:val="single" w:color="auto" w:sz="4" w:space="0"/>
              <w:bottom w:val="single" w:color="auto" w:sz="4" w:space="0"/>
              <w:right w:val="single" w:color="auto" w:sz="4" w:space="0"/>
            </w:tcBorders>
            <w:vAlign w:val="center"/>
          </w:tcPr>
          <w:p w14:paraId="594BA968">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规格、型号</w:t>
            </w:r>
          </w:p>
        </w:tc>
        <w:tc>
          <w:tcPr>
            <w:tcW w:w="532" w:type="pct"/>
            <w:tcBorders>
              <w:top w:val="single" w:color="auto" w:sz="4" w:space="0"/>
              <w:left w:val="single" w:color="auto" w:sz="4" w:space="0"/>
              <w:bottom w:val="single" w:color="auto" w:sz="4" w:space="0"/>
              <w:right w:val="single" w:color="auto" w:sz="4" w:space="0"/>
            </w:tcBorders>
            <w:vAlign w:val="center"/>
          </w:tcPr>
          <w:p w14:paraId="46AEF06B">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单位</w:t>
            </w:r>
          </w:p>
        </w:tc>
        <w:tc>
          <w:tcPr>
            <w:tcW w:w="532" w:type="pct"/>
            <w:tcBorders>
              <w:top w:val="single" w:color="auto" w:sz="4" w:space="0"/>
              <w:left w:val="single" w:color="auto" w:sz="4" w:space="0"/>
              <w:bottom w:val="single" w:color="auto" w:sz="4" w:space="0"/>
              <w:right w:val="single" w:color="auto" w:sz="4" w:space="0"/>
            </w:tcBorders>
            <w:vAlign w:val="center"/>
          </w:tcPr>
          <w:p w14:paraId="404A1974">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数量</w:t>
            </w:r>
          </w:p>
        </w:tc>
        <w:tc>
          <w:tcPr>
            <w:tcW w:w="532" w:type="pct"/>
            <w:tcBorders>
              <w:top w:val="single" w:color="auto" w:sz="4" w:space="0"/>
              <w:left w:val="single" w:color="auto" w:sz="4" w:space="0"/>
              <w:bottom w:val="single" w:color="auto" w:sz="4" w:space="0"/>
              <w:right w:val="single" w:color="auto" w:sz="4" w:space="0"/>
            </w:tcBorders>
            <w:vAlign w:val="center"/>
          </w:tcPr>
          <w:p w14:paraId="75BF5626">
            <w:pPr>
              <w:autoSpaceDE w:val="0"/>
              <w:autoSpaceDN w:val="0"/>
              <w:adjustRightInd w:val="0"/>
              <w:spacing w:line="400" w:lineRule="exact"/>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生产厂家</w:t>
            </w:r>
          </w:p>
        </w:tc>
        <w:tc>
          <w:tcPr>
            <w:tcW w:w="532" w:type="pct"/>
            <w:tcBorders>
              <w:top w:val="single" w:color="auto" w:sz="4" w:space="0"/>
              <w:left w:val="single" w:color="auto" w:sz="4" w:space="0"/>
              <w:bottom w:val="single" w:color="auto" w:sz="4" w:space="0"/>
              <w:right w:val="single" w:color="auto" w:sz="4" w:space="0"/>
            </w:tcBorders>
            <w:vAlign w:val="center"/>
          </w:tcPr>
          <w:p w14:paraId="4858D5EF">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主要技术参数</w:t>
            </w:r>
          </w:p>
        </w:tc>
        <w:tc>
          <w:tcPr>
            <w:tcW w:w="206" w:type="pct"/>
            <w:tcBorders>
              <w:top w:val="single" w:color="auto" w:sz="4" w:space="0"/>
              <w:left w:val="single" w:color="auto" w:sz="4" w:space="0"/>
              <w:bottom w:val="single" w:color="auto" w:sz="4" w:space="0"/>
              <w:right w:val="single" w:color="auto" w:sz="4" w:space="0"/>
            </w:tcBorders>
            <w:vAlign w:val="center"/>
          </w:tcPr>
          <w:p w14:paraId="1313FB7B">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备注</w:t>
            </w:r>
          </w:p>
        </w:tc>
      </w:tr>
      <w:tr w14:paraId="4CA4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8" w:type="pct"/>
            <w:tcBorders>
              <w:top w:val="single" w:color="auto" w:sz="4" w:space="0"/>
              <w:left w:val="single" w:color="auto" w:sz="4" w:space="0"/>
              <w:bottom w:val="single" w:color="auto" w:sz="4" w:space="0"/>
              <w:right w:val="single" w:color="auto" w:sz="4" w:space="0"/>
            </w:tcBorders>
            <w:vAlign w:val="center"/>
          </w:tcPr>
          <w:p w14:paraId="179ADEF8">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1</w:t>
            </w:r>
          </w:p>
        </w:tc>
        <w:tc>
          <w:tcPr>
            <w:tcW w:w="730" w:type="pct"/>
            <w:tcBorders>
              <w:top w:val="single" w:color="auto" w:sz="4" w:space="0"/>
              <w:left w:val="single" w:color="auto" w:sz="4" w:space="0"/>
              <w:bottom w:val="single" w:color="auto" w:sz="4" w:space="0"/>
              <w:right w:val="single" w:color="auto" w:sz="4" w:space="0"/>
            </w:tcBorders>
          </w:tcPr>
          <w:p w14:paraId="2B689A20">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3" w:type="pct"/>
            <w:tcBorders>
              <w:top w:val="single" w:color="auto" w:sz="4" w:space="0"/>
              <w:left w:val="single" w:color="auto" w:sz="4" w:space="0"/>
              <w:bottom w:val="single" w:color="auto" w:sz="4" w:space="0"/>
              <w:right w:val="single" w:color="auto" w:sz="4" w:space="0"/>
            </w:tcBorders>
            <w:vAlign w:val="center"/>
          </w:tcPr>
          <w:p w14:paraId="66ED8E4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427861B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4" w:type="pct"/>
            <w:tcBorders>
              <w:top w:val="single" w:color="auto" w:sz="4" w:space="0"/>
              <w:left w:val="single" w:color="auto" w:sz="4" w:space="0"/>
              <w:bottom w:val="single" w:color="auto" w:sz="4" w:space="0"/>
              <w:right w:val="single" w:color="auto" w:sz="4" w:space="0"/>
            </w:tcBorders>
            <w:vAlign w:val="center"/>
          </w:tcPr>
          <w:p w14:paraId="1F4AA8A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0E35582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2F83943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65D9660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602C244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206" w:type="pct"/>
            <w:tcBorders>
              <w:top w:val="single" w:color="auto" w:sz="4" w:space="0"/>
              <w:left w:val="single" w:color="auto" w:sz="4" w:space="0"/>
              <w:bottom w:val="single" w:color="auto" w:sz="4" w:space="0"/>
              <w:right w:val="single" w:color="auto" w:sz="4" w:space="0"/>
            </w:tcBorders>
            <w:vAlign w:val="center"/>
          </w:tcPr>
          <w:p w14:paraId="1877F2A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2993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4E37C31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2</w:t>
            </w:r>
          </w:p>
        </w:tc>
        <w:tc>
          <w:tcPr>
            <w:tcW w:w="730" w:type="pct"/>
            <w:tcBorders>
              <w:top w:val="single" w:color="auto" w:sz="4" w:space="0"/>
              <w:left w:val="single" w:color="auto" w:sz="4" w:space="0"/>
              <w:bottom w:val="single" w:color="auto" w:sz="4" w:space="0"/>
              <w:right w:val="single" w:color="auto" w:sz="4" w:space="0"/>
            </w:tcBorders>
          </w:tcPr>
          <w:p w14:paraId="4C43D57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3" w:type="pct"/>
            <w:tcBorders>
              <w:top w:val="single" w:color="auto" w:sz="4" w:space="0"/>
              <w:left w:val="single" w:color="auto" w:sz="4" w:space="0"/>
              <w:bottom w:val="single" w:color="auto" w:sz="4" w:space="0"/>
              <w:right w:val="single" w:color="auto" w:sz="4" w:space="0"/>
            </w:tcBorders>
            <w:vAlign w:val="center"/>
          </w:tcPr>
          <w:p w14:paraId="61622CF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0E63288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4" w:type="pct"/>
            <w:tcBorders>
              <w:top w:val="single" w:color="auto" w:sz="4" w:space="0"/>
              <w:left w:val="single" w:color="auto" w:sz="4" w:space="0"/>
              <w:bottom w:val="single" w:color="auto" w:sz="4" w:space="0"/>
              <w:right w:val="single" w:color="auto" w:sz="4" w:space="0"/>
            </w:tcBorders>
            <w:vAlign w:val="center"/>
          </w:tcPr>
          <w:p w14:paraId="0D16195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23D5BED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5A083C5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08FEB7F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2EE4054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206" w:type="pct"/>
            <w:tcBorders>
              <w:top w:val="single" w:color="auto" w:sz="4" w:space="0"/>
              <w:left w:val="single" w:color="auto" w:sz="4" w:space="0"/>
              <w:bottom w:val="single" w:color="auto" w:sz="4" w:space="0"/>
              <w:right w:val="single" w:color="auto" w:sz="4" w:space="0"/>
            </w:tcBorders>
            <w:vAlign w:val="center"/>
          </w:tcPr>
          <w:p w14:paraId="7CAA3A8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0005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2AAEA50D">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w:t>
            </w:r>
          </w:p>
        </w:tc>
        <w:tc>
          <w:tcPr>
            <w:tcW w:w="730" w:type="pct"/>
            <w:tcBorders>
              <w:top w:val="single" w:color="auto" w:sz="4" w:space="0"/>
              <w:left w:val="single" w:color="auto" w:sz="4" w:space="0"/>
              <w:bottom w:val="single" w:color="auto" w:sz="4" w:space="0"/>
              <w:right w:val="single" w:color="auto" w:sz="4" w:space="0"/>
            </w:tcBorders>
          </w:tcPr>
          <w:p w14:paraId="08FEB972">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3" w:type="pct"/>
            <w:tcBorders>
              <w:top w:val="single" w:color="auto" w:sz="4" w:space="0"/>
              <w:left w:val="single" w:color="auto" w:sz="4" w:space="0"/>
              <w:bottom w:val="single" w:color="auto" w:sz="4" w:space="0"/>
              <w:right w:val="single" w:color="auto" w:sz="4" w:space="0"/>
            </w:tcBorders>
            <w:vAlign w:val="center"/>
          </w:tcPr>
          <w:p w14:paraId="2F1CF61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0519F2F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4" w:type="pct"/>
            <w:tcBorders>
              <w:top w:val="single" w:color="auto" w:sz="4" w:space="0"/>
              <w:left w:val="single" w:color="auto" w:sz="4" w:space="0"/>
              <w:bottom w:val="single" w:color="auto" w:sz="4" w:space="0"/>
              <w:right w:val="single" w:color="auto" w:sz="4" w:space="0"/>
            </w:tcBorders>
            <w:vAlign w:val="center"/>
          </w:tcPr>
          <w:p w14:paraId="4F8A344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0403BBF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1E4ED37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511342D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6AF7037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206" w:type="pct"/>
            <w:tcBorders>
              <w:top w:val="single" w:color="auto" w:sz="4" w:space="0"/>
              <w:left w:val="single" w:color="auto" w:sz="4" w:space="0"/>
              <w:bottom w:val="single" w:color="auto" w:sz="4" w:space="0"/>
              <w:right w:val="single" w:color="auto" w:sz="4" w:space="0"/>
            </w:tcBorders>
            <w:vAlign w:val="center"/>
          </w:tcPr>
          <w:p w14:paraId="214C1D1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2C16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6C869B8F">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p>
        </w:tc>
        <w:tc>
          <w:tcPr>
            <w:tcW w:w="730" w:type="pct"/>
            <w:tcBorders>
              <w:top w:val="single" w:color="auto" w:sz="4" w:space="0"/>
              <w:left w:val="single" w:color="auto" w:sz="4" w:space="0"/>
              <w:bottom w:val="single" w:color="auto" w:sz="4" w:space="0"/>
              <w:right w:val="single" w:color="auto" w:sz="4" w:space="0"/>
            </w:tcBorders>
          </w:tcPr>
          <w:p w14:paraId="030AB0B8">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533" w:type="pct"/>
            <w:tcBorders>
              <w:top w:val="single" w:color="auto" w:sz="4" w:space="0"/>
              <w:left w:val="single" w:color="auto" w:sz="4" w:space="0"/>
              <w:bottom w:val="single" w:color="auto" w:sz="4" w:space="0"/>
              <w:right w:val="single" w:color="auto" w:sz="4" w:space="0"/>
            </w:tcBorders>
            <w:vAlign w:val="center"/>
          </w:tcPr>
          <w:p w14:paraId="4C2A362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0A6CF9B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4" w:type="pct"/>
            <w:tcBorders>
              <w:top w:val="single" w:color="auto" w:sz="4" w:space="0"/>
              <w:left w:val="single" w:color="auto" w:sz="4" w:space="0"/>
              <w:bottom w:val="single" w:color="auto" w:sz="4" w:space="0"/>
              <w:right w:val="single" w:color="auto" w:sz="4" w:space="0"/>
            </w:tcBorders>
            <w:vAlign w:val="center"/>
          </w:tcPr>
          <w:p w14:paraId="11B5007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67E0331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1F14F35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01C81F5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7567BC3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206" w:type="pct"/>
            <w:tcBorders>
              <w:top w:val="single" w:color="auto" w:sz="4" w:space="0"/>
              <w:left w:val="single" w:color="auto" w:sz="4" w:space="0"/>
              <w:bottom w:val="single" w:color="auto" w:sz="4" w:space="0"/>
              <w:right w:val="single" w:color="auto" w:sz="4" w:space="0"/>
            </w:tcBorders>
            <w:vAlign w:val="center"/>
          </w:tcPr>
          <w:p w14:paraId="27ACD29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6165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0388C97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w:t>
            </w:r>
          </w:p>
        </w:tc>
        <w:tc>
          <w:tcPr>
            <w:tcW w:w="730" w:type="pct"/>
            <w:tcBorders>
              <w:top w:val="single" w:color="auto" w:sz="4" w:space="0"/>
              <w:left w:val="single" w:color="auto" w:sz="4" w:space="0"/>
              <w:bottom w:val="single" w:color="auto" w:sz="4" w:space="0"/>
              <w:right w:val="single" w:color="auto" w:sz="4" w:space="0"/>
            </w:tcBorders>
          </w:tcPr>
          <w:p w14:paraId="31A546D3">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533" w:type="pct"/>
            <w:tcBorders>
              <w:top w:val="single" w:color="auto" w:sz="4" w:space="0"/>
              <w:left w:val="single" w:color="auto" w:sz="4" w:space="0"/>
              <w:bottom w:val="single" w:color="auto" w:sz="4" w:space="0"/>
              <w:right w:val="single" w:color="auto" w:sz="4" w:space="0"/>
            </w:tcBorders>
            <w:vAlign w:val="center"/>
          </w:tcPr>
          <w:p w14:paraId="2C9AE4C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4D47246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4" w:type="pct"/>
            <w:tcBorders>
              <w:top w:val="single" w:color="auto" w:sz="4" w:space="0"/>
              <w:left w:val="single" w:color="auto" w:sz="4" w:space="0"/>
              <w:bottom w:val="single" w:color="auto" w:sz="4" w:space="0"/>
              <w:right w:val="single" w:color="auto" w:sz="4" w:space="0"/>
            </w:tcBorders>
            <w:vAlign w:val="center"/>
          </w:tcPr>
          <w:p w14:paraId="3D4D085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4F44F76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23D3D41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107BDCC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7AD2A6F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206" w:type="pct"/>
            <w:tcBorders>
              <w:top w:val="single" w:color="auto" w:sz="4" w:space="0"/>
              <w:left w:val="single" w:color="auto" w:sz="4" w:space="0"/>
              <w:bottom w:val="single" w:color="auto" w:sz="4" w:space="0"/>
              <w:right w:val="single" w:color="auto" w:sz="4" w:space="0"/>
            </w:tcBorders>
            <w:vAlign w:val="center"/>
          </w:tcPr>
          <w:p w14:paraId="7E5D6E8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5B1B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09C9313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w:t>
            </w:r>
          </w:p>
        </w:tc>
        <w:tc>
          <w:tcPr>
            <w:tcW w:w="730" w:type="pct"/>
            <w:tcBorders>
              <w:top w:val="single" w:color="auto" w:sz="4" w:space="0"/>
              <w:left w:val="single" w:color="auto" w:sz="4" w:space="0"/>
              <w:bottom w:val="single" w:color="auto" w:sz="4" w:space="0"/>
              <w:right w:val="single" w:color="auto" w:sz="4" w:space="0"/>
            </w:tcBorders>
            <w:vAlign w:val="center"/>
          </w:tcPr>
          <w:p w14:paraId="0671B924">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3" w:type="pct"/>
            <w:tcBorders>
              <w:top w:val="single" w:color="auto" w:sz="4" w:space="0"/>
              <w:left w:val="single" w:color="auto" w:sz="4" w:space="0"/>
              <w:bottom w:val="single" w:color="auto" w:sz="4" w:space="0"/>
              <w:right w:val="single" w:color="auto" w:sz="4" w:space="0"/>
            </w:tcBorders>
            <w:vAlign w:val="center"/>
          </w:tcPr>
          <w:p w14:paraId="53D8495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0" w:type="pct"/>
            <w:tcBorders>
              <w:top w:val="single" w:color="auto" w:sz="4" w:space="0"/>
              <w:left w:val="single" w:color="auto" w:sz="4" w:space="0"/>
              <w:bottom w:val="single" w:color="auto" w:sz="4" w:space="0"/>
              <w:right w:val="single" w:color="auto" w:sz="4" w:space="0"/>
            </w:tcBorders>
            <w:vAlign w:val="center"/>
          </w:tcPr>
          <w:p w14:paraId="2B83198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4" w:type="pct"/>
            <w:tcBorders>
              <w:top w:val="single" w:color="auto" w:sz="4" w:space="0"/>
              <w:left w:val="single" w:color="auto" w:sz="4" w:space="0"/>
              <w:bottom w:val="single" w:color="auto" w:sz="4" w:space="0"/>
              <w:right w:val="single" w:color="auto" w:sz="4" w:space="0"/>
            </w:tcBorders>
            <w:vAlign w:val="center"/>
          </w:tcPr>
          <w:p w14:paraId="5F761D7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5156240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vAlign w:val="center"/>
          </w:tcPr>
          <w:p w14:paraId="70B0A4F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43B566B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2" w:type="pct"/>
            <w:tcBorders>
              <w:top w:val="single" w:color="auto" w:sz="4" w:space="0"/>
              <w:left w:val="single" w:color="auto" w:sz="4" w:space="0"/>
              <w:bottom w:val="single" w:color="auto" w:sz="4" w:space="0"/>
              <w:right w:val="single" w:color="auto" w:sz="4" w:space="0"/>
            </w:tcBorders>
          </w:tcPr>
          <w:p w14:paraId="2131F29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206" w:type="pct"/>
            <w:tcBorders>
              <w:top w:val="single" w:color="auto" w:sz="4" w:space="0"/>
              <w:left w:val="single" w:color="auto" w:sz="4" w:space="0"/>
              <w:bottom w:val="single" w:color="auto" w:sz="4" w:space="0"/>
              <w:right w:val="single" w:color="auto" w:sz="4" w:space="0"/>
            </w:tcBorders>
            <w:vAlign w:val="center"/>
          </w:tcPr>
          <w:p w14:paraId="1435481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58E668CB">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p>
    <w:p w14:paraId="1A4F1A7A">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备注：</w:t>
      </w:r>
    </w:p>
    <w:p w14:paraId="67B76EEB">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（1）投标人应列明按《用户需求书》所要求的全部货物及其服务的明细清单；</w:t>
      </w:r>
    </w:p>
    <w:p w14:paraId="03271AD8">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（2）货物明细中的</w:t>
      </w:r>
      <w:r>
        <w:rPr>
          <w:rFonts w:hint="eastAsia" w:ascii="宋体" w:hAnsi="宋体" w:eastAsia="宋体" w:cs="Times New Roman"/>
          <w:color w:val="000000" w:themeColor="text1"/>
          <w:kern w:val="0"/>
          <w:szCs w:val="21"/>
          <w:highlight w:val="none"/>
          <w:lang w:val="zh-CN"/>
          <w14:textFill>
            <w14:solidFill>
              <w14:schemeClr w14:val="tx1"/>
            </w14:solidFill>
          </w14:textFill>
        </w:rPr>
        <w:t>货物名称、品牌、产地、规格、型号及数量等必须与分项报价明细表的货物名称、品牌、产地、规格、型号及数量完全一致；</w:t>
      </w:r>
    </w:p>
    <w:p w14:paraId="0E3D9269">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ascii="宋体" w:hAnsi="宋体" w:eastAsia="宋体" w:cs="Times New Roman"/>
          <w:color w:val="000000" w:themeColor="text1"/>
          <w:kern w:val="0"/>
          <w:szCs w:val="21"/>
          <w:highlight w:val="none"/>
          <w:lang w:val="zh-CN"/>
          <w14:textFill>
            <w14:solidFill>
              <w14:schemeClr w14:val="tx1"/>
            </w14:solidFill>
          </w14:textFill>
        </w:rPr>
        <w:t>3</w:t>
      </w:r>
      <w:r>
        <w:rPr>
          <w:rFonts w:hint="eastAsia" w:ascii="宋体" w:hAnsi="宋体" w:eastAsia="宋体" w:cs="Times New Roman"/>
          <w:color w:val="000000" w:themeColor="text1"/>
          <w:kern w:val="0"/>
          <w:szCs w:val="21"/>
          <w:highlight w:val="none"/>
          <w:lang w:val="zh-CN"/>
          <w14:textFill>
            <w14:solidFill>
              <w14:schemeClr w14:val="tx1"/>
            </w14:solidFill>
          </w14:textFill>
        </w:rPr>
        <w:t>）表格可根据实际货物种类自行扩展。</w:t>
      </w:r>
    </w:p>
    <w:p w14:paraId="6B2673A0">
      <w:pPr>
        <w:autoSpaceDE w:val="0"/>
        <w:autoSpaceDN w:val="0"/>
        <w:adjustRightInd w:val="0"/>
        <w:spacing w:line="360" w:lineRule="auto"/>
        <w:ind w:firstLine="4200" w:firstLineChars="2000"/>
        <w:jc w:val="left"/>
        <w:rPr>
          <w:rFonts w:ascii="宋体" w:hAnsi="宋体" w:eastAsia="宋体" w:cs="Times New Roman"/>
          <w:color w:val="000000" w:themeColor="text1"/>
          <w:kern w:val="3"/>
          <w:szCs w:val="21"/>
          <w:highlight w:val="none"/>
          <w14:textFill>
            <w14:solidFill>
              <w14:schemeClr w14:val="tx1"/>
            </w14:solidFill>
          </w14:textFill>
        </w:rPr>
      </w:pPr>
    </w:p>
    <w:p w14:paraId="3D2EBBC8">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44E6CED5">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65999FC9">
      <w:pPr>
        <w:widowControl/>
        <w:jc w:val="left"/>
        <w:rPr>
          <w:rFonts w:ascii="宋体" w:hAnsi="宋体" w:eastAsia="宋体" w:cs="Times New Roman"/>
          <w:color w:val="000000" w:themeColor="text1"/>
          <w:kern w:val="0"/>
          <w:szCs w:val="21"/>
          <w:highlight w:val="none"/>
          <w14:textFill>
            <w14:solidFill>
              <w14:schemeClr w14:val="tx1"/>
            </w14:solidFill>
          </w14:textFill>
        </w:rPr>
      </w:pPr>
      <w:bookmarkStart w:id="1000" w:name="_Toc94107225"/>
      <w:r>
        <w:rPr>
          <w:rFonts w:ascii="宋体" w:hAnsi="宋体" w:eastAsia="宋体" w:cs="Times New Roman"/>
          <w:color w:val="000000" w:themeColor="text1"/>
          <w:kern w:val="0"/>
          <w:szCs w:val="21"/>
          <w:highlight w:val="none"/>
          <w14:textFill>
            <w14:solidFill>
              <w14:schemeClr w14:val="tx1"/>
            </w14:solidFill>
          </w14:textFill>
        </w:rPr>
        <w:br w:type="page"/>
      </w:r>
    </w:p>
    <w:bookmarkEnd w:id="1000"/>
    <w:p w14:paraId="5193DD20">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bookmarkStart w:id="1001" w:name="OLE_LINK337"/>
      <w:bookmarkStart w:id="1002" w:name="OLE_LINK241"/>
      <w:bookmarkStart w:id="1003" w:name="OLE_LINK335"/>
      <w:bookmarkStart w:id="1004" w:name="_Toc102860094"/>
      <w:bookmarkStart w:id="1005" w:name="_Toc142508389"/>
      <w:bookmarkStart w:id="1006" w:name="_Toc104991896"/>
      <w:bookmarkStart w:id="1007" w:name="_Toc140596949"/>
      <w:bookmarkStart w:id="1008" w:name="_Toc102860438"/>
      <w:bookmarkStart w:id="1009" w:name="_Toc533708139"/>
      <w:r>
        <w:rPr>
          <w:rFonts w:hint="eastAsia" w:ascii="宋体" w:hAnsi="宋体" w:eastAsia="宋体" w:cs="宋体"/>
          <w:b/>
          <w:color w:val="000000" w:themeColor="text1"/>
          <w:kern w:val="0"/>
          <w:sz w:val="30"/>
          <w:szCs w:val="30"/>
          <w:highlight w:val="none"/>
          <w14:textFill>
            <w14:solidFill>
              <w14:schemeClr w14:val="tx1"/>
            </w14:solidFill>
          </w14:textFill>
        </w:rPr>
        <w:t>13.3 光伏系统主要设备配置</w:t>
      </w:r>
      <w:bookmarkEnd w:id="1001"/>
    </w:p>
    <w:p w14:paraId="3096FF2D">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13.3.1 所投光伏组件、并网逆变器产品性能</w:t>
      </w:r>
      <w:bookmarkStart w:id="1010" w:name="OLE_LINK313"/>
      <w:r>
        <w:rPr>
          <w:rFonts w:hint="eastAsia" w:ascii="宋体" w:hAnsi="宋体" w:eastAsia="宋体" w:cs="宋体"/>
          <w:b/>
          <w:color w:val="000000" w:themeColor="text1"/>
          <w:kern w:val="0"/>
          <w:sz w:val="30"/>
          <w:szCs w:val="30"/>
          <w:highlight w:val="none"/>
          <w14:textFill>
            <w14:solidFill>
              <w14:schemeClr w14:val="tx1"/>
            </w14:solidFill>
          </w14:textFill>
        </w:rPr>
        <w:t>（投标人自行提供书面说明和资料）</w:t>
      </w:r>
    </w:p>
    <w:bookmarkEnd w:id="1010"/>
    <w:p w14:paraId="2BC82010">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bookmarkStart w:id="1011" w:name="OLE_LINK283"/>
    </w:p>
    <w:p w14:paraId="3782E0ED">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bookmarkEnd w:id="1011"/>
    <w:p w14:paraId="32FBB924">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bookmarkStart w:id="1012" w:name="OLE_LINK314"/>
      <w:r>
        <w:rPr>
          <w:rFonts w:hint="eastAsia" w:ascii="宋体" w:hAnsi="宋体" w:eastAsia="宋体" w:cs="宋体"/>
          <w:b/>
          <w:color w:val="000000" w:themeColor="text1"/>
          <w:kern w:val="0"/>
          <w:sz w:val="30"/>
          <w:szCs w:val="30"/>
          <w:highlight w:val="none"/>
          <w14:textFill>
            <w14:solidFill>
              <w14:schemeClr w14:val="tx1"/>
            </w14:solidFill>
          </w14:textFill>
        </w:rPr>
        <w:t>13.3.2 质保时间（投标人提供质保说明书）</w:t>
      </w:r>
    </w:p>
    <w:p w14:paraId="7DFA7A22">
      <w:pPr>
        <w:autoSpaceDE w:val="0"/>
        <w:autoSpaceDN w:val="0"/>
        <w:adjustRightInd w:val="0"/>
        <w:spacing w:line="360" w:lineRule="auto"/>
        <w:jc w:val="center"/>
        <w:rPr>
          <w:rFonts w:ascii="宋体" w:hAnsi="宋体" w:eastAsia="宋体" w:cs="宋体"/>
          <w:b/>
          <w:bCs/>
          <w:color w:val="000000" w:themeColor="text1"/>
          <w:sz w:val="30"/>
          <w:szCs w:val="30"/>
          <w:highlight w:val="none"/>
          <w:lang w:bidi="ar"/>
          <w14:textFill>
            <w14:solidFill>
              <w14:schemeClr w14:val="tx1"/>
            </w14:solidFill>
          </w14:textFill>
        </w:rPr>
      </w:pPr>
      <w:bookmarkStart w:id="1013" w:name="OLE_LINK341"/>
    </w:p>
    <w:bookmarkEnd w:id="1013"/>
    <w:p w14:paraId="0D2C6550">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bidi="ar"/>
          <w14:textFill>
            <w14:solidFill>
              <w14:schemeClr w14:val="tx1"/>
            </w14:solidFill>
          </w14:textFill>
        </w:rPr>
        <w:t>质保说明书</w:t>
      </w:r>
    </w:p>
    <w:bookmarkEnd w:id="1012"/>
    <w:tbl>
      <w:tblPr>
        <w:tblStyle w:val="37"/>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4DBC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vAlign w:val="center"/>
          </w:tcPr>
          <w:p w14:paraId="7B376462">
            <w:pPr>
              <w:autoSpaceDE w:val="0"/>
              <w:autoSpaceDN w:val="0"/>
              <w:adjustRightInd w:val="0"/>
              <w:spacing w:line="360" w:lineRule="auto"/>
              <w:jc w:val="center"/>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lang w:bidi="ar"/>
                <w14:textFill>
                  <w14:solidFill>
                    <w14:schemeClr w14:val="tx1"/>
                  </w14:solidFill>
                </w14:textFill>
              </w:rPr>
              <w:t>承诺事项</w:t>
            </w:r>
          </w:p>
        </w:tc>
        <w:tc>
          <w:tcPr>
            <w:tcW w:w="1860" w:type="pct"/>
            <w:tcBorders>
              <w:top w:val="single" w:color="auto" w:sz="4" w:space="0"/>
              <w:left w:val="single" w:color="auto" w:sz="4" w:space="0"/>
              <w:bottom w:val="single" w:color="auto" w:sz="4" w:space="0"/>
              <w:right w:val="single" w:color="auto" w:sz="4" w:space="0"/>
            </w:tcBorders>
            <w:vAlign w:val="center"/>
          </w:tcPr>
          <w:p w14:paraId="1712F7E5">
            <w:pPr>
              <w:autoSpaceDE w:val="0"/>
              <w:autoSpaceDN w:val="0"/>
              <w:adjustRightInd w:val="0"/>
              <w:spacing w:line="360" w:lineRule="auto"/>
              <w:jc w:val="center"/>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lang w:bidi="ar"/>
                <w14:textFill>
                  <w14:solidFill>
                    <w14:schemeClr w14:val="tx1"/>
                  </w14:solidFill>
                </w14:textFill>
              </w:rPr>
              <w:t>承诺时间</w:t>
            </w:r>
          </w:p>
        </w:tc>
      </w:tr>
      <w:tr w14:paraId="303C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3139" w:type="pct"/>
            <w:tcBorders>
              <w:top w:val="single" w:color="auto" w:sz="4" w:space="0"/>
              <w:left w:val="single" w:color="auto" w:sz="4" w:space="0"/>
              <w:bottom w:val="single" w:color="auto" w:sz="4" w:space="0"/>
              <w:right w:val="single" w:color="auto" w:sz="4" w:space="0"/>
            </w:tcBorders>
            <w:vAlign w:val="center"/>
          </w:tcPr>
          <w:p w14:paraId="5C87DB00">
            <w:pPr>
              <w:autoSpaceDE w:val="0"/>
              <w:autoSpaceDN w:val="0"/>
              <w:adjustRightInd w:val="0"/>
              <w:spacing w:line="360" w:lineRule="auto"/>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并网逆变器、交流汇流箱、光伏并网柜产品在满足本项目质保时间的基础上，承诺</w:t>
            </w:r>
            <w:r>
              <w:rPr>
                <w:rFonts w:hint="eastAsia" w:ascii="宋体" w:hAnsi="宋体" w:eastAsia="宋体" w:cs="宋体"/>
                <w:b/>
                <w:bCs/>
                <w:color w:val="000000" w:themeColor="text1"/>
                <w:kern w:val="0"/>
                <w:szCs w:val="21"/>
                <w:highlight w:val="none"/>
                <w:lang w:bidi="ar"/>
                <w14:textFill>
                  <w14:solidFill>
                    <w14:schemeClr w14:val="tx1"/>
                  </w14:solidFill>
                </w14:textFill>
              </w:rPr>
              <w:t>增加</w:t>
            </w:r>
            <w:r>
              <w:rPr>
                <w:rFonts w:hint="eastAsia" w:ascii="宋体" w:hAnsi="宋体" w:eastAsia="宋体" w:cs="宋体"/>
                <w:color w:val="000000" w:themeColor="text1"/>
                <w:kern w:val="0"/>
                <w:szCs w:val="21"/>
                <w:highlight w:val="none"/>
                <w:lang w:bidi="ar"/>
                <w14:textFill>
                  <w14:solidFill>
                    <w14:schemeClr w14:val="tx1"/>
                  </w14:solidFill>
                </w14:textFill>
              </w:rPr>
              <w:t>的质保时间为</w:t>
            </w:r>
          </w:p>
        </w:tc>
        <w:tc>
          <w:tcPr>
            <w:tcW w:w="1860" w:type="pct"/>
            <w:tcBorders>
              <w:top w:val="single" w:color="auto" w:sz="4" w:space="0"/>
              <w:left w:val="single" w:color="auto" w:sz="4" w:space="0"/>
              <w:bottom w:val="single" w:color="auto" w:sz="4" w:space="0"/>
              <w:right w:val="single" w:color="auto" w:sz="4" w:space="0"/>
            </w:tcBorders>
            <w:vAlign w:val="center"/>
          </w:tcPr>
          <w:p w14:paraId="62E96E62">
            <w:pPr>
              <w:autoSpaceDE w:val="0"/>
              <w:autoSpaceDN w:val="0"/>
              <w:adjustRightInd w:val="0"/>
              <w:spacing w:line="360" w:lineRule="auto"/>
              <w:jc w:val="center"/>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bCs/>
                <w:color w:val="000000" w:themeColor="text1"/>
                <w:szCs w:val="21"/>
                <w:highlight w:val="none"/>
                <w:lang w:bidi="ar"/>
                <w14:textFill>
                  <w14:solidFill>
                    <w14:schemeClr w14:val="tx1"/>
                  </w14:solidFill>
                </w14:textFill>
              </w:rPr>
              <w:t>年</w:t>
            </w:r>
          </w:p>
        </w:tc>
      </w:tr>
    </w:tbl>
    <w:p w14:paraId="1D423498">
      <w:pPr>
        <w:autoSpaceDE w:val="0"/>
        <w:autoSpaceDN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p>
    <w:p w14:paraId="0FE86ECF">
      <w:pPr>
        <w:autoSpaceDE w:val="0"/>
        <w:autoSpaceDN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62EFA887">
      <w:pPr>
        <w:autoSpaceDE w:val="0"/>
        <w:autoSpaceDN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1.本说明书若未填或漏填的，视为投标人按用户需求书响应。</w:t>
      </w:r>
    </w:p>
    <w:p w14:paraId="1F213F20">
      <w:pPr>
        <w:autoSpaceDE w:val="0"/>
        <w:autoSpaceDN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2.本说明书若与投标文件其他地方表述不一致的，以本承诺表为准。</w:t>
      </w:r>
    </w:p>
    <w:p w14:paraId="597F80AC">
      <w:pPr>
        <w:autoSpaceDE w:val="0"/>
        <w:autoSpaceDN w:val="0"/>
        <w:adjustRightInd w:val="0"/>
        <w:spacing w:line="360" w:lineRule="auto"/>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 </w:t>
      </w:r>
    </w:p>
    <w:p w14:paraId="0B781C5B">
      <w:pPr>
        <w:autoSpaceDE w:val="0"/>
        <w:autoSpaceDN w:val="0"/>
        <w:adjustRightInd w:val="0"/>
        <w:spacing w:line="360" w:lineRule="auto"/>
        <w:ind w:firstLine="50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投标人：（加盖投标人法人公章）</w:t>
      </w:r>
    </w:p>
    <w:p w14:paraId="19E488AE">
      <w:pPr>
        <w:autoSpaceDE w:val="0"/>
        <w:autoSpaceDN w:val="0"/>
        <w:adjustRightInd w:val="0"/>
        <w:spacing w:line="360" w:lineRule="auto"/>
        <w:ind w:firstLine="504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日期：   年   月   日</w:t>
      </w:r>
    </w:p>
    <w:p w14:paraId="6F5C48D6">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p>
    <w:bookmarkEnd w:id="1002"/>
    <w:p w14:paraId="42631A7A">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6EFB80FA">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bookmarkStart w:id="1014" w:name="OLE_LINK366"/>
      <w:bookmarkStart w:id="1015" w:name="OLE_LINK350"/>
      <w:bookmarkStart w:id="1016" w:name="OLE_LINK343"/>
      <w:bookmarkStart w:id="1017" w:name="OLE_LINK340"/>
      <w:r>
        <w:rPr>
          <w:rFonts w:hint="eastAsia" w:ascii="宋体" w:hAnsi="宋体" w:eastAsia="宋体" w:cs="宋体"/>
          <w:b/>
          <w:color w:val="000000" w:themeColor="text1"/>
          <w:kern w:val="0"/>
          <w:sz w:val="30"/>
          <w:szCs w:val="30"/>
          <w:highlight w:val="none"/>
          <w14:textFill>
            <w14:solidFill>
              <w14:schemeClr w14:val="tx1"/>
            </w14:solidFill>
          </w14:textFill>
        </w:rPr>
        <w:t>1</w:t>
      </w:r>
      <w:bookmarkEnd w:id="1014"/>
      <w:r>
        <w:rPr>
          <w:rFonts w:hint="eastAsia" w:ascii="宋体" w:hAnsi="宋体" w:eastAsia="宋体" w:cs="宋体"/>
          <w:b/>
          <w:color w:val="000000" w:themeColor="text1"/>
          <w:kern w:val="0"/>
          <w:sz w:val="30"/>
          <w:szCs w:val="30"/>
          <w:highlight w:val="none"/>
          <w14:textFill>
            <w14:solidFill>
              <w14:schemeClr w14:val="tx1"/>
            </w14:solidFill>
          </w14:textFill>
        </w:rPr>
        <w:t>3.4 技术服务团队实力（投标人提供证明资料）</w:t>
      </w:r>
    </w:p>
    <w:p w14:paraId="418FDBAD">
      <w:pPr>
        <w:spacing w:line="360" w:lineRule="auto"/>
        <w:ind w:firstLine="643"/>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拟投入本项目的团队人员清单表</w:t>
      </w:r>
    </w:p>
    <w:bookmarkEnd w:id="1015"/>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46"/>
        <w:gridCol w:w="739"/>
        <w:gridCol w:w="850"/>
        <w:gridCol w:w="862"/>
        <w:gridCol w:w="1677"/>
        <w:gridCol w:w="1201"/>
        <w:gridCol w:w="1080"/>
        <w:gridCol w:w="1078"/>
      </w:tblGrid>
      <w:tr w14:paraId="413C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6EB4235">
            <w:pPr>
              <w:pStyle w:val="205"/>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246" w:type="dxa"/>
            <w:vAlign w:val="center"/>
          </w:tcPr>
          <w:p w14:paraId="4A57B43C">
            <w:pPr>
              <w:pStyle w:val="205"/>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739" w:type="dxa"/>
            <w:vAlign w:val="center"/>
          </w:tcPr>
          <w:p w14:paraId="21AA387E">
            <w:pPr>
              <w:pStyle w:val="205"/>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性别</w:t>
            </w:r>
          </w:p>
        </w:tc>
        <w:tc>
          <w:tcPr>
            <w:tcW w:w="850" w:type="dxa"/>
            <w:vAlign w:val="center"/>
          </w:tcPr>
          <w:p w14:paraId="1A45F352">
            <w:pPr>
              <w:pStyle w:val="205"/>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年龄</w:t>
            </w:r>
          </w:p>
        </w:tc>
        <w:tc>
          <w:tcPr>
            <w:tcW w:w="862" w:type="dxa"/>
            <w:vAlign w:val="center"/>
          </w:tcPr>
          <w:p w14:paraId="08945773">
            <w:pPr>
              <w:pStyle w:val="205"/>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学历</w:t>
            </w:r>
          </w:p>
        </w:tc>
        <w:tc>
          <w:tcPr>
            <w:tcW w:w="1677" w:type="dxa"/>
            <w:vAlign w:val="center"/>
          </w:tcPr>
          <w:p w14:paraId="3DEB9545">
            <w:pPr>
              <w:pStyle w:val="205"/>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资格/职称证书</w:t>
            </w:r>
          </w:p>
        </w:tc>
        <w:tc>
          <w:tcPr>
            <w:tcW w:w="1201" w:type="dxa"/>
            <w:vAlign w:val="center"/>
          </w:tcPr>
          <w:p w14:paraId="11CA3E47">
            <w:pPr>
              <w:pStyle w:val="205"/>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拟任职务</w:t>
            </w:r>
          </w:p>
        </w:tc>
        <w:tc>
          <w:tcPr>
            <w:tcW w:w="1080" w:type="dxa"/>
            <w:vAlign w:val="center"/>
          </w:tcPr>
          <w:p w14:paraId="16C3E4D7">
            <w:pPr>
              <w:pStyle w:val="205"/>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从事本行业年限</w:t>
            </w:r>
          </w:p>
        </w:tc>
        <w:tc>
          <w:tcPr>
            <w:tcW w:w="1078" w:type="dxa"/>
            <w:vAlign w:val="center"/>
          </w:tcPr>
          <w:p w14:paraId="742EC4AC">
            <w:pPr>
              <w:pStyle w:val="205"/>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14:paraId="1B18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5D91A94">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246" w:type="dxa"/>
          </w:tcPr>
          <w:p w14:paraId="64DD6F0A">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739" w:type="dxa"/>
          </w:tcPr>
          <w:p w14:paraId="1DF9B338">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850" w:type="dxa"/>
          </w:tcPr>
          <w:p w14:paraId="0F5D23FE">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862" w:type="dxa"/>
          </w:tcPr>
          <w:p w14:paraId="033A870B">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677" w:type="dxa"/>
          </w:tcPr>
          <w:p w14:paraId="775B5436">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201" w:type="dxa"/>
          </w:tcPr>
          <w:p w14:paraId="05BA83B3">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080" w:type="dxa"/>
          </w:tcPr>
          <w:p w14:paraId="5F5B199B">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078" w:type="dxa"/>
          </w:tcPr>
          <w:p w14:paraId="44F23643">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r>
      <w:tr w14:paraId="0C24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3D44C94">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246" w:type="dxa"/>
          </w:tcPr>
          <w:p w14:paraId="528A8CD3">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739" w:type="dxa"/>
          </w:tcPr>
          <w:p w14:paraId="28496A4C">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850" w:type="dxa"/>
          </w:tcPr>
          <w:p w14:paraId="237FB1D0">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862" w:type="dxa"/>
          </w:tcPr>
          <w:p w14:paraId="74D547FC">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677" w:type="dxa"/>
          </w:tcPr>
          <w:p w14:paraId="35377D11">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201" w:type="dxa"/>
          </w:tcPr>
          <w:p w14:paraId="2CC5CC05">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080" w:type="dxa"/>
          </w:tcPr>
          <w:p w14:paraId="3B30A34C">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078" w:type="dxa"/>
          </w:tcPr>
          <w:p w14:paraId="53F57F63">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r>
      <w:tr w14:paraId="6466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D7B4633">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246" w:type="dxa"/>
          </w:tcPr>
          <w:p w14:paraId="7D411772">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739" w:type="dxa"/>
          </w:tcPr>
          <w:p w14:paraId="452D799C">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850" w:type="dxa"/>
          </w:tcPr>
          <w:p w14:paraId="7C9F1F9F">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862" w:type="dxa"/>
          </w:tcPr>
          <w:p w14:paraId="7F8D21AD">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677" w:type="dxa"/>
          </w:tcPr>
          <w:p w14:paraId="6451E10F">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201" w:type="dxa"/>
          </w:tcPr>
          <w:p w14:paraId="3433D5FD">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080" w:type="dxa"/>
          </w:tcPr>
          <w:p w14:paraId="43A52712">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078" w:type="dxa"/>
          </w:tcPr>
          <w:p w14:paraId="31D8C76A">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r>
      <w:tr w14:paraId="0D40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D9AA9A2">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246" w:type="dxa"/>
          </w:tcPr>
          <w:p w14:paraId="116AA3E4">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739" w:type="dxa"/>
          </w:tcPr>
          <w:p w14:paraId="431E14DB">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850" w:type="dxa"/>
          </w:tcPr>
          <w:p w14:paraId="7412E3C8">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862" w:type="dxa"/>
          </w:tcPr>
          <w:p w14:paraId="13B961C6">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677" w:type="dxa"/>
          </w:tcPr>
          <w:p w14:paraId="49E8B4FB">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201" w:type="dxa"/>
          </w:tcPr>
          <w:p w14:paraId="7F73E908">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080" w:type="dxa"/>
          </w:tcPr>
          <w:p w14:paraId="1CBFCEAC">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078" w:type="dxa"/>
          </w:tcPr>
          <w:p w14:paraId="05684C38">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r>
      <w:tr w14:paraId="00DC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48D447E">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246" w:type="dxa"/>
          </w:tcPr>
          <w:p w14:paraId="3A895144">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739" w:type="dxa"/>
          </w:tcPr>
          <w:p w14:paraId="40FF8016">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850" w:type="dxa"/>
          </w:tcPr>
          <w:p w14:paraId="24E1926D">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862" w:type="dxa"/>
          </w:tcPr>
          <w:p w14:paraId="7CBB2F8B">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677" w:type="dxa"/>
          </w:tcPr>
          <w:p w14:paraId="341BE06E">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201" w:type="dxa"/>
          </w:tcPr>
          <w:p w14:paraId="2C7DBC65">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080" w:type="dxa"/>
          </w:tcPr>
          <w:p w14:paraId="6EB13FC3">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078" w:type="dxa"/>
          </w:tcPr>
          <w:p w14:paraId="20E80A36">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r>
      <w:tr w14:paraId="3093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6881E68">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246" w:type="dxa"/>
          </w:tcPr>
          <w:p w14:paraId="4F033973">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739" w:type="dxa"/>
          </w:tcPr>
          <w:p w14:paraId="49BFC290">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850" w:type="dxa"/>
          </w:tcPr>
          <w:p w14:paraId="5C97DEEF">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862" w:type="dxa"/>
          </w:tcPr>
          <w:p w14:paraId="495061BF">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677" w:type="dxa"/>
          </w:tcPr>
          <w:p w14:paraId="2BC2BDF2">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201" w:type="dxa"/>
          </w:tcPr>
          <w:p w14:paraId="68FDB36B">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080" w:type="dxa"/>
          </w:tcPr>
          <w:p w14:paraId="67D90D26">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078" w:type="dxa"/>
          </w:tcPr>
          <w:p w14:paraId="0CDA5F9F">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r>
      <w:tr w14:paraId="0410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5022C11">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246" w:type="dxa"/>
          </w:tcPr>
          <w:p w14:paraId="0F6143D2">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739" w:type="dxa"/>
          </w:tcPr>
          <w:p w14:paraId="2173993F">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850" w:type="dxa"/>
          </w:tcPr>
          <w:p w14:paraId="6ACAC413">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862" w:type="dxa"/>
          </w:tcPr>
          <w:p w14:paraId="7FD103F6">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677" w:type="dxa"/>
          </w:tcPr>
          <w:p w14:paraId="1091E656">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201" w:type="dxa"/>
          </w:tcPr>
          <w:p w14:paraId="483E2F5C">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080" w:type="dxa"/>
          </w:tcPr>
          <w:p w14:paraId="14ABA627">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c>
          <w:tcPr>
            <w:tcW w:w="1078" w:type="dxa"/>
          </w:tcPr>
          <w:p w14:paraId="1811F5D2">
            <w:pPr>
              <w:pStyle w:val="205"/>
              <w:spacing w:line="480" w:lineRule="auto"/>
              <w:ind w:firstLine="420"/>
              <w:rPr>
                <w:rFonts w:ascii="宋体" w:hAnsi="宋体" w:eastAsia="宋体" w:cs="宋体"/>
                <w:color w:val="000000" w:themeColor="text1"/>
                <w:highlight w:val="none"/>
                <w14:textFill>
                  <w14:solidFill>
                    <w14:schemeClr w14:val="tx1"/>
                  </w14:solidFill>
                </w14:textFill>
              </w:rPr>
            </w:pPr>
          </w:p>
        </w:tc>
      </w:tr>
    </w:tbl>
    <w:p w14:paraId="7C0DC750">
      <w:pPr>
        <w:pStyle w:val="205"/>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37A43010">
      <w:pPr>
        <w:pStyle w:val="205"/>
        <w:ind w:firstLine="420"/>
        <w:rPr>
          <w:rFonts w:ascii="宋体" w:hAnsi="宋体" w:eastAsia="宋体" w:cs="宋体"/>
          <w:color w:val="000000" w:themeColor="text1"/>
          <w:szCs w:val="21"/>
          <w:highlight w:val="none"/>
          <w14:textFill>
            <w14:solidFill>
              <w14:schemeClr w14:val="tx1"/>
            </w14:solidFill>
          </w14:textFill>
        </w:rPr>
      </w:pPr>
      <w:bookmarkStart w:id="1018" w:name="OLE_LINK351"/>
      <w:r>
        <w:rPr>
          <w:rFonts w:hint="eastAsia" w:ascii="宋体" w:hAnsi="宋体" w:eastAsia="宋体" w:cs="宋体"/>
          <w:color w:val="000000" w:themeColor="text1"/>
          <w:szCs w:val="21"/>
          <w:highlight w:val="none"/>
          <w14:textFill>
            <w14:solidFill>
              <w14:schemeClr w14:val="tx1"/>
            </w14:solidFill>
          </w14:textFill>
        </w:rPr>
        <w:t>（1）此表格式供参照，投标人可以根据本表格式内容自行划表填写。</w:t>
      </w:r>
    </w:p>
    <w:bookmarkEnd w:id="1018"/>
    <w:p w14:paraId="30D4B426">
      <w:pPr>
        <w:pStyle w:val="205"/>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（2）须附有资格证书[学历证书/职称证/执业/职业资格证]的复印件加盖投标人公章，并提供由人力资源和社会保障部门（或税务部门）出具的投标人2024年</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月至2024年</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月为其缴纳的社会保险凭证复印件加盖投标人公章。</w:t>
      </w:r>
    </w:p>
    <w:p w14:paraId="6B0FE394">
      <w:pPr>
        <w:pStyle w:val="205"/>
        <w:ind w:firstLine="602"/>
        <w:jc w:val="center"/>
        <w:rPr>
          <w:rFonts w:ascii="宋体" w:hAnsi="宋体" w:eastAsia="宋体" w:cs="宋体"/>
          <w:b/>
          <w:color w:val="000000" w:themeColor="text1"/>
          <w:sz w:val="30"/>
          <w:szCs w:val="30"/>
          <w:highlight w:val="none"/>
          <w14:textFill>
            <w14:solidFill>
              <w14:schemeClr w14:val="tx1"/>
            </w14:solidFill>
          </w14:textFill>
        </w:rPr>
      </w:pPr>
      <w:bookmarkStart w:id="1019" w:name="OLE_LINK349"/>
    </w:p>
    <w:p w14:paraId="5B9A936F">
      <w:pPr>
        <w:pStyle w:val="205"/>
        <w:ind w:firstLine="602"/>
        <w:jc w:val="center"/>
        <w:rPr>
          <w:rFonts w:ascii="宋体" w:hAnsi="宋体" w:eastAsia="宋体" w:cs="宋体"/>
          <w:b/>
          <w:color w:val="000000" w:themeColor="text1"/>
          <w:sz w:val="30"/>
          <w:szCs w:val="30"/>
          <w:highlight w:val="none"/>
          <w14:textFill>
            <w14:solidFill>
              <w14:schemeClr w14:val="tx1"/>
            </w14:solidFill>
          </w14:textFill>
        </w:rPr>
      </w:pPr>
    </w:p>
    <w:bookmarkEnd w:id="1019"/>
    <w:p w14:paraId="5416EE1A">
      <w:pPr>
        <w:pStyle w:val="205"/>
        <w:ind w:firstLine="602"/>
        <w:jc w:val="center"/>
        <w:rPr>
          <w:rFonts w:ascii="宋体" w:hAnsi="宋体" w:eastAsia="宋体" w:cs="宋体"/>
          <w:b/>
          <w:color w:val="000000" w:themeColor="text1"/>
          <w:sz w:val="30"/>
          <w:szCs w:val="30"/>
          <w:highlight w:val="none"/>
          <w14:textFill>
            <w14:solidFill>
              <w14:schemeClr w14:val="tx1"/>
            </w14:solidFill>
          </w14:textFill>
        </w:rPr>
      </w:pPr>
    </w:p>
    <w:p w14:paraId="0EB9410D">
      <w:pPr>
        <w:pStyle w:val="205"/>
        <w:ind w:firstLine="602"/>
        <w:jc w:val="center"/>
        <w:rPr>
          <w:rFonts w:ascii="宋体" w:hAnsi="宋体" w:eastAsia="宋体" w:cs="宋体"/>
          <w:b/>
          <w:color w:val="000000" w:themeColor="text1"/>
          <w:sz w:val="30"/>
          <w:szCs w:val="30"/>
          <w:highlight w:val="none"/>
          <w14:textFill>
            <w14:solidFill>
              <w14:schemeClr w14:val="tx1"/>
            </w14:solidFill>
          </w14:textFill>
        </w:rPr>
      </w:pPr>
    </w:p>
    <w:p w14:paraId="74014EE2">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713C3906">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bookmarkStart w:id="1020" w:name="OLE_LINK346"/>
      <w:r>
        <w:rPr>
          <w:rFonts w:hint="eastAsia" w:ascii="宋体" w:hAnsi="宋体" w:eastAsia="宋体" w:cs="宋体"/>
          <w:b/>
          <w:color w:val="000000" w:themeColor="text1"/>
          <w:kern w:val="0"/>
          <w:sz w:val="30"/>
          <w:szCs w:val="30"/>
          <w:highlight w:val="none"/>
          <w14:textFill>
            <w14:solidFill>
              <w14:schemeClr w14:val="tx1"/>
            </w14:solidFill>
          </w14:textFill>
        </w:rPr>
        <w:t>13.5 系统总体设计</w:t>
      </w:r>
    </w:p>
    <w:p w14:paraId="2E647E03">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13.5.1 设计方案（投标人自行编写）</w:t>
      </w:r>
    </w:p>
    <w:bookmarkEnd w:id="1020"/>
    <w:p w14:paraId="6043030B">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05D8A18E">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bookmarkStart w:id="1021" w:name="OLE_LINK339"/>
      <w:r>
        <w:rPr>
          <w:rFonts w:hint="eastAsia" w:ascii="宋体" w:hAnsi="宋体" w:eastAsia="宋体" w:cs="宋体"/>
          <w:b/>
          <w:color w:val="000000" w:themeColor="text1"/>
          <w:kern w:val="0"/>
          <w:sz w:val="30"/>
          <w:szCs w:val="30"/>
          <w:highlight w:val="none"/>
          <w14:textFill>
            <w14:solidFill>
              <w14:schemeClr w14:val="tx1"/>
            </w14:solidFill>
          </w14:textFill>
        </w:rPr>
        <w:t>13.6 项目管理和项目实施组织</w:t>
      </w:r>
    </w:p>
    <w:p w14:paraId="62BA6EEB">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13.6.1 项目实施方案</w:t>
      </w:r>
      <w:bookmarkStart w:id="1022" w:name="OLE_LINK342"/>
      <w:r>
        <w:rPr>
          <w:rFonts w:hint="eastAsia" w:ascii="宋体" w:hAnsi="宋体" w:eastAsia="宋体" w:cs="宋体"/>
          <w:b/>
          <w:color w:val="000000" w:themeColor="text1"/>
          <w:kern w:val="0"/>
          <w:sz w:val="30"/>
          <w:szCs w:val="30"/>
          <w:highlight w:val="none"/>
          <w14:textFill>
            <w14:solidFill>
              <w14:schemeClr w14:val="tx1"/>
            </w14:solidFill>
          </w14:textFill>
        </w:rPr>
        <w:t>（投标人自行编写）</w:t>
      </w:r>
      <w:bookmarkEnd w:id="1022"/>
    </w:p>
    <w:p w14:paraId="253E1F44">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p>
    <w:p w14:paraId="5B422AC6">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146FDB2E">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13.6.2 安全保证措施（投标人自行编写）</w:t>
      </w:r>
    </w:p>
    <w:p w14:paraId="223820BF">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p>
    <w:bookmarkEnd w:id="1021"/>
    <w:p w14:paraId="5E4CF93B">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4A022EF7">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bookmarkStart w:id="1023" w:name="OLE_LINK345"/>
      <w:r>
        <w:rPr>
          <w:rFonts w:hint="eastAsia" w:ascii="宋体" w:hAnsi="宋体" w:eastAsia="宋体" w:cs="宋体"/>
          <w:b/>
          <w:color w:val="000000" w:themeColor="text1"/>
          <w:kern w:val="0"/>
          <w:sz w:val="30"/>
          <w:szCs w:val="30"/>
          <w:highlight w:val="none"/>
          <w14:textFill>
            <w14:solidFill>
              <w14:schemeClr w14:val="tx1"/>
            </w14:solidFill>
          </w14:textFill>
        </w:rPr>
        <w:t>13.7 技术服务</w:t>
      </w:r>
    </w:p>
    <w:p w14:paraId="50D08E19">
      <w:pPr>
        <w:spacing w:line="360" w:lineRule="auto"/>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13.7.1 运维方案（投标人自行编写）</w:t>
      </w:r>
    </w:p>
    <w:bookmarkEnd w:id="1003"/>
    <w:bookmarkEnd w:id="1016"/>
    <w:bookmarkEnd w:id="1017"/>
    <w:bookmarkEnd w:id="1023"/>
    <w:p w14:paraId="6BE84326">
      <w:pP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4865027D">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1024" w:name="_Toc14222"/>
      <w:bookmarkStart w:id="1025" w:name="_Toc21389"/>
      <w:bookmarkStart w:id="1026" w:name="_Toc5548"/>
      <w:bookmarkStart w:id="1027" w:name="_Toc1222"/>
      <w:bookmarkStart w:id="1028" w:name="_Toc770"/>
      <w:r>
        <w:rPr>
          <w:rFonts w:hint="eastAsia" w:ascii="宋体" w:hAnsi="宋体" w:eastAsia="宋体" w:cs="宋体"/>
          <w:b/>
          <w:color w:val="000000" w:themeColor="text1"/>
          <w:kern w:val="0"/>
          <w:sz w:val="30"/>
          <w:szCs w:val="30"/>
          <w:highlight w:val="none"/>
          <w14:textFill>
            <w14:solidFill>
              <w14:schemeClr w14:val="tx1"/>
            </w14:solidFill>
          </w14:textFill>
        </w:rPr>
        <w:t>13.8 投标人认为有必要提供的其它材料（不做强制要求）</w:t>
      </w:r>
      <w:bookmarkEnd w:id="1004"/>
      <w:bookmarkEnd w:id="1005"/>
      <w:bookmarkEnd w:id="1006"/>
      <w:bookmarkEnd w:id="1007"/>
      <w:bookmarkEnd w:id="1008"/>
      <w:bookmarkEnd w:id="1024"/>
      <w:bookmarkEnd w:id="1025"/>
      <w:bookmarkEnd w:id="1026"/>
      <w:bookmarkEnd w:id="1027"/>
      <w:bookmarkEnd w:id="1028"/>
    </w:p>
    <w:p w14:paraId="661D4EA6">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D5F1CF6">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4E6B700">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207463A">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C1E0700">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6FF3C14">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8B0A421">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3B95702A">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6EFCBD7E">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1029" w:name="_Toc142508390"/>
      <w:bookmarkStart w:id="1030" w:name="_Toc23484"/>
      <w:bookmarkStart w:id="1031" w:name="_Toc28845"/>
      <w:bookmarkStart w:id="1032" w:name="_Toc22601_WPSOffice_Level1"/>
      <w:bookmarkStart w:id="1033" w:name="_Toc521918141"/>
      <w:bookmarkStart w:id="1034" w:name="_Toc522047402"/>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1029"/>
      <w:bookmarkEnd w:id="1030"/>
      <w:bookmarkEnd w:id="1031"/>
    </w:p>
    <w:p w14:paraId="70FE7A7D">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6DAE0704">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48501D2A">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447B9FB6">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55AADF95">
      <w:pPr>
        <w:autoSpaceDE w:val="0"/>
        <w:autoSpaceDN w:val="0"/>
        <w:adjustRightInd w:val="0"/>
        <w:spacing w:line="360" w:lineRule="auto"/>
        <w:jc w:val="center"/>
        <w:rPr>
          <w:rFonts w:ascii="宋体" w:hAnsi="宋体" w:eastAsia="宋体" w:cs="宋体"/>
          <w:b/>
          <w:bCs/>
          <w:color w:val="000000" w:themeColor="text1"/>
          <w:sz w:val="36"/>
          <w:szCs w:val="44"/>
          <w:highlight w:val="none"/>
          <w14:textFill>
            <w14:solidFill>
              <w14:schemeClr w14:val="tx1"/>
            </w14:solidFill>
          </w14:textFill>
        </w:rPr>
      </w:pPr>
      <w:r>
        <w:rPr>
          <w:rFonts w:hint="eastAsia" w:ascii="宋体" w:hAnsi="宋体" w:eastAsia="宋体" w:cs="宋体"/>
          <w:b/>
          <w:bCs/>
          <w:color w:val="000000" w:themeColor="text1"/>
          <w:sz w:val="40"/>
          <w:szCs w:val="36"/>
          <w:highlight w:val="none"/>
          <w14:textFill>
            <w14:solidFill>
              <w14:schemeClr w14:val="tx1"/>
            </w14:solidFill>
          </w14:textFill>
        </w:rPr>
        <w:t>东莞市水务集团科技发展有限公司屋顶分布式光伏发电（一期）采购项目</w:t>
      </w:r>
    </w:p>
    <w:p w14:paraId="17504880">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1035"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（招标编号：广建咨询（东招）2024-0133号）</w:t>
      </w:r>
      <w:bookmarkEnd w:id="1035"/>
    </w:p>
    <w:p w14:paraId="7DFA0327">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B57F942">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902502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68CB1AFA">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2D6C50E">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1036"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1036"/>
    </w:p>
    <w:p w14:paraId="14529AEE">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00E6511">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03481765">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FB6257A">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9C8A479">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15A76C4">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建成工程咨询股份有限公司</w:t>
      </w:r>
    </w:p>
    <w:p w14:paraId="368B41FA">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76EE891">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1037"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1037"/>
    </w:p>
    <w:p w14:paraId="14DCC6DD">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74C5CAFF">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38"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1038"/>
    </w:p>
    <w:p w14:paraId="63099A1C">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39"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1039"/>
    </w:p>
    <w:p w14:paraId="026A1F95">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40"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1040"/>
    </w:p>
    <w:p w14:paraId="3C4A50D3">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41"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1041"/>
    </w:p>
    <w:p w14:paraId="0A0B8341">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42"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1042"/>
    </w:p>
    <w:p w14:paraId="76B6FB80">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43"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1043"/>
    </w:p>
    <w:p w14:paraId="64DB41C1">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44"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1044"/>
    </w:p>
    <w:p w14:paraId="4A766473">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3AF879BA">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6962A843">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08DE0E6D">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1045"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1045"/>
    </w:p>
    <w:p w14:paraId="49DC1748">
      <w:pPr>
        <w:tabs>
          <w:tab w:val="left" w:pos="567"/>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1B75FB07">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14:textFill>
            <w14:solidFill>
              <w14:schemeClr w14:val="tx1"/>
            </w14:solidFill>
          </w14:textFill>
        </w:rPr>
        <w:t>东莞市水务集团科技发展有限公司屋顶分布式光伏发电（一期）采购项目</w:t>
      </w:r>
      <w:r>
        <w:rPr>
          <w:rFonts w:hint="eastAsia" w:ascii="宋体" w:hAnsi="宋体" w:eastAsia="宋体" w:cs="宋体"/>
          <w:color w:val="000000" w:themeColor="text1"/>
          <w:szCs w:val="21"/>
          <w:highlight w:val="none"/>
          <w:lang w:val="zh-CN"/>
          <w14:textFill>
            <w14:solidFill>
              <w14:schemeClr w14:val="tx1"/>
            </w14:solidFill>
          </w14:textFill>
        </w:rPr>
        <w:t>(招标编号：广建咨询（东招）2024-0133号</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182BF52A">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696919E2">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(建成工程咨询股份有限公司）组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0012D3D7">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6D557F52">
      <w:pPr>
        <w:numPr>
          <w:ilvl w:val="1"/>
          <w:numId w:val="5"/>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0402710B">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6CB764AC">
      <w:pPr>
        <w:tabs>
          <w:tab w:val="left" w:pos="360"/>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529E04BB">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bookmarkStart w:id="1046" w:name="OLE_LINK155"/>
      <w:r>
        <w:rPr>
          <w:rFonts w:hint="eastAsia" w:ascii="宋体" w:hAnsi="宋体" w:eastAsia="宋体" w:cs="宋体"/>
          <w:b/>
          <w:bCs/>
          <w:color w:val="000000" w:themeColor="text1"/>
          <w:kern w:val="0"/>
          <w:szCs w:val="24"/>
          <w:highlight w:val="none"/>
          <w14:textFill>
            <w14:solidFill>
              <w14:schemeClr w14:val="tx1"/>
            </w14:solidFill>
          </w14:textFill>
        </w:rPr>
        <w:t>7</w:t>
      </w:r>
      <w:r>
        <w:rPr>
          <w:rFonts w:ascii="宋体" w:hAnsi="宋体" w:eastAsia="宋体" w:cs="宋体"/>
          <w:b/>
          <w:bCs/>
          <w:color w:val="000000" w:themeColor="text1"/>
          <w:kern w:val="0"/>
          <w:szCs w:val="24"/>
          <w:highlight w:val="none"/>
          <w14:textFill>
            <w14:solidFill>
              <w14:schemeClr w14:val="tx1"/>
            </w14:solidFill>
          </w14:textFill>
        </w:rPr>
        <w:t>人</w:t>
      </w:r>
      <w:bookmarkStart w:id="1047" w:name="OLE_LINK154"/>
      <w:r>
        <w:rPr>
          <w:rFonts w:ascii="宋体" w:hAnsi="宋体" w:eastAsia="宋体" w:cs="宋体"/>
          <w:b/>
          <w:bCs/>
          <w:color w:val="000000" w:themeColor="text1"/>
          <w:kern w:val="0"/>
          <w:szCs w:val="24"/>
          <w:highlight w:val="none"/>
          <w14:textFill>
            <w14:solidFill>
              <w14:schemeClr w14:val="tx1"/>
            </w14:solidFill>
          </w14:textFill>
        </w:rPr>
        <w:t>以上（含</w:t>
      </w:r>
      <w:r>
        <w:rPr>
          <w:rFonts w:hint="eastAsia" w:ascii="宋体" w:hAnsi="宋体" w:eastAsia="宋体" w:cs="宋体"/>
          <w:b/>
          <w:bCs/>
          <w:color w:val="000000" w:themeColor="text1"/>
          <w:kern w:val="0"/>
          <w:szCs w:val="24"/>
          <w:highlight w:val="none"/>
          <w14:textFill>
            <w14:solidFill>
              <w14:schemeClr w14:val="tx1"/>
            </w14:solidFill>
          </w14:textFill>
        </w:rPr>
        <w:t>7</w:t>
      </w:r>
      <w:r>
        <w:rPr>
          <w:rFonts w:ascii="宋体" w:hAnsi="宋体" w:eastAsia="宋体" w:cs="宋体"/>
          <w:b/>
          <w:bCs/>
          <w:color w:val="000000" w:themeColor="text1"/>
          <w:kern w:val="0"/>
          <w:szCs w:val="24"/>
          <w:highlight w:val="none"/>
          <w14:textFill>
            <w14:solidFill>
              <w14:schemeClr w14:val="tx1"/>
            </w14:solidFill>
          </w14:textFill>
        </w:rPr>
        <w:t>人）单数</w:t>
      </w:r>
      <w:bookmarkEnd w:id="1046"/>
      <w:bookmarkEnd w:id="1047"/>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专家依法从广东省综合评标评审</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132869A8">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1069FED7">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4D624968">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4EA709AD">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792B0517">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026F3BF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005D43D6">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150023F1">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416F8BB1">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6F4EE941">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4157484B">
      <w:pPr>
        <w:tabs>
          <w:tab w:val="left" w:pos="720"/>
        </w:tabs>
        <w:autoSpaceDE w:val="0"/>
        <w:autoSpaceDN w:val="0"/>
        <w:adjustRightIn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4C7D2B74">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78F8E28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7F17F3C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54F091F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2C1D1EE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743854A5">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30142305">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0F905202">
      <w:pPr>
        <w:tabs>
          <w:tab w:val="left" w:pos="1547"/>
        </w:tabs>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14:paraId="2EA6CC60">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14:paraId="4FFB5AD0">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78D7B287">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05E8E480">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5292B4ED">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5.4</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对有效投标人的投标报价进行审查和价格评分。</w:t>
      </w:r>
    </w:p>
    <w:p w14:paraId="6133CB4D">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5.5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1B0B35B2">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 xml:space="preserve">5.6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1817B6A6">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7</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p>
    <w:p w14:paraId="60C6AEA2">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41265CC3">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1048"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1048"/>
    </w:p>
    <w:p w14:paraId="77C16B7F">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5245CBFD">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AAF95A1">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1D0C30D6">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000000" w:themeColor="text1"/>
          <w:szCs w:val="24"/>
          <w:highlight w:val="none"/>
          <w14:textFill>
            <w14:solidFill>
              <w14:schemeClr w14:val="tx1"/>
            </w14:solidFill>
          </w14:textFill>
        </w:rPr>
        <w:t>供货及</w:t>
      </w:r>
      <w:r>
        <w:rPr>
          <w:rFonts w:hint="eastAsia" w:ascii="宋体" w:hAnsi="宋体" w:eastAsia="宋体" w:cs="宋体"/>
          <w:color w:val="000000" w:themeColor="text1"/>
          <w:szCs w:val="24"/>
          <w:highlight w:val="none"/>
          <w:lang w:val="zh-CN"/>
          <w14:textFill>
            <w14:solidFill>
              <w14:schemeClr w14:val="tx1"/>
            </w14:solidFill>
          </w14:textFill>
        </w:rPr>
        <w:t>服务范围、质量</w:t>
      </w:r>
      <w:r>
        <w:rPr>
          <w:rFonts w:hint="eastAsia" w:ascii="宋体" w:hAnsi="宋体" w:eastAsia="宋体" w:cs="宋体"/>
          <w:color w:val="000000" w:themeColor="text1"/>
          <w:szCs w:val="24"/>
          <w:highlight w:val="none"/>
          <w14:textFill>
            <w14:solidFill>
              <w14:schemeClr w14:val="tx1"/>
            </w14:solidFill>
          </w14:textFill>
        </w:rPr>
        <w:t>和性能</w:t>
      </w:r>
      <w:r>
        <w:rPr>
          <w:rFonts w:hint="eastAsia" w:ascii="宋体" w:hAnsi="宋体" w:eastAsia="宋体" w:cs="宋体"/>
          <w:color w:val="000000" w:themeColor="text1"/>
          <w:szCs w:val="24"/>
          <w:highlight w:val="none"/>
          <w:lang w:val="zh-CN"/>
          <w14:textFill>
            <w14:solidFill>
              <w14:schemeClr w14:val="tx1"/>
            </w14:solidFill>
          </w14:textFill>
        </w:rPr>
        <w:t>，或指与招标文件有实质不一致，限制了合同项下委托人的权利和承包人的义务, 或对该重大偏离的修改对提交实质性响应投标的其他投标人将不公平。</w:t>
      </w:r>
    </w:p>
    <w:p w14:paraId="77BA3211">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3D1FBC73">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058D4E70">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1906DD2E">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p>
    <w:p w14:paraId="375FF3EB">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7.2  </w:t>
      </w:r>
      <w:r>
        <w:rPr>
          <w:rFonts w:hint="eastAsia" w:ascii="宋体" w:hAnsi="宋体" w:eastAsia="宋体" w:cs="宋体"/>
          <w:b/>
          <w:color w:val="000000" w:themeColor="text1"/>
          <w:kern w:val="0"/>
          <w:szCs w:val="21"/>
          <w:highlight w:val="none"/>
          <w14:textFill>
            <w14:solidFill>
              <w14:schemeClr w14:val="tx1"/>
            </w14:solidFill>
          </w14:textFill>
        </w:rPr>
        <w:t>投标文件中的投标报价高于</w:t>
      </w:r>
      <w:bookmarkStart w:id="1049" w:name="OLE_LINK35"/>
      <w:r>
        <w:rPr>
          <w:rFonts w:hint="eastAsia" w:ascii="宋体" w:hAnsi="宋体" w:eastAsia="宋体" w:cs="宋体"/>
          <w:b/>
          <w:color w:val="000000" w:themeColor="text1"/>
          <w:kern w:val="0"/>
          <w:szCs w:val="21"/>
          <w:highlight w:val="none"/>
          <w14:textFill>
            <w14:solidFill>
              <w14:schemeClr w14:val="tx1"/>
            </w14:solidFill>
          </w14:textFill>
        </w:rPr>
        <w:t>本项目总采购限价的或投标单价报价高于单价采购限价的</w:t>
      </w:r>
      <w:bookmarkEnd w:id="1049"/>
      <w:r>
        <w:rPr>
          <w:rFonts w:hint="eastAsia" w:ascii="宋体" w:hAnsi="宋体" w:eastAsia="宋体" w:cs="宋体"/>
          <w:b/>
          <w:bCs/>
          <w:color w:val="000000" w:themeColor="text1"/>
          <w:kern w:val="0"/>
          <w:szCs w:val="21"/>
          <w:highlight w:val="none"/>
          <w14:textFill>
            <w14:solidFill>
              <w14:schemeClr w14:val="tx1"/>
            </w14:solidFill>
          </w14:textFill>
        </w:rPr>
        <w:t>；</w:t>
      </w:r>
    </w:p>
    <w:p w14:paraId="771D5FC6">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7.3  投标人以低于企业成本价报价，且投标人不能合理说明或不能提供相关证明材料；</w:t>
      </w:r>
    </w:p>
    <w:p w14:paraId="3CF0343A">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7.4  投标人递交两份或多份内容不同的投标文件，或在一份投标文件中报有两个或多个报价，且未书面声明哪一个有效；</w:t>
      </w:r>
    </w:p>
    <w:p w14:paraId="6610744D">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7.5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204AA902">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7.6  投标文件未按照招标文件规定要求密封；投标文件无法定代表人或其授权代表签字（或盖私章），或签字人无法定代表人有效授权的；签字盖章不符合招标文件要求的； </w:t>
      </w:r>
    </w:p>
    <w:p w14:paraId="6B426EF1">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7</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p>
    <w:p w14:paraId="6EA6FCBF">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7.8  投标文件未对招标范围内的全部内容进行投标报价</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173B2C7E">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9</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14:paraId="5426900D">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p>
    <w:p w14:paraId="667117FD">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11</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1BB239E0">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F630E9C">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36342E0B">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1050"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1050"/>
    </w:p>
    <w:p w14:paraId="0AD73EC1">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7E8F3505">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w:t>
      </w:r>
      <w:r>
        <w:rPr>
          <w:rFonts w:hint="eastAsia" w:ascii="宋体" w:hAnsi="宋体" w:eastAsia="宋体" w:cs="宋体"/>
          <w:color w:val="000000" w:themeColor="text1"/>
          <w:szCs w:val="21"/>
          <w:highlight w:val="none"/>
          <w14:textFill>
            <w14:solidFill>
              <w14:schemeClr w14:val="tx1"/>
            </w14:solidFill>
          </w14:textFill>
        </w:rPr>
        <w:t>对</w:t>
      </w:r>
      <w:r>
        <w:rPr>
          <w:rFonts w:hint="eastAsia" w:ascii="宋体" w:hAnsi="宋体" w:eastAsia="宋体" w:cs="宋体"/>
          <w:color w:val="000000" w:themeColor="text1"/>
          <w:szCs w:val="21"/>
          <w:highlight w:val="none"/>
          <w:lang w:val="zh-CN"/>
          <w14:textFill>
            <w14:solidFill>
              <w14:schemeClr w14:val="tx1"/>
            </w14:solidFill>
          </w14:textFill>
        </w:rPr>
        <w:t>同类问题表述不一致、有明显文字和计算错误、</w:t>
      </w:r>
      <w:r>
        <w:rPr>
          <w:rFonts w:hint="eastAsia" w:ascii="宋体" w:hAnsi="宋体" w:eastAsia="宋体" w:cs="宋体"/>
          <w:color w:val="000000" w:themeColor="text1"/>
          <w:szCs w:val="21"/>
          <w:highlight w:val="none"/>
          <w14:textFill>
            <w14:solidFill>
              <w14:schemeClr w14:val="tx1"/>
            </w14:solidFill>
          </w14:textFill>
        </w:rPr>
        <w:t>投标报价可能低于成本影响履约的</w:t>
      </w:r>
      <w:r>
        <w:rPr>
          <w:rFonts w:hint="eastAsia" w:ascii="宋体" w:hAnsi="宋体" w:eastAsia="宋体" w:cs="宋体"/>
          <w:color w:val="000000" w:themeColor="text1"/>
          <w:szCs w:val="21"/>
          <w:highlight w:val="none"/>
          <w:lang w:val="zh-CN"/>
          <w14:textFill>
            <w14:solidFill>
              <w14:schemeClr w14:val="tx1"/>
            </w14:solidFill>
          </w14:textFill>
        </w:rPr>
        <w:t>，评标委员会</w:t>
      </w:r>
      <w:r>
        <w:rPr>
          <w:rFonts w:hint="eastAsia" w:ascii="宋体" w:hAnsi="宋体" w:eastAsia="宋体" w:cs="宋体"/>
          <w:color w:val="000000" w:themeColor="text1"/>
          <w:szCs w:val="21"/>
          <w:highlight w:val="none"/>
          <w14:textFill>
            <w14:solidFill>
              <w14:schemeClr w14:val="tx1"/>
            </w14:solidFill>
          </w14:textFill>
        </w:rPr>
        <w:t>应当先请投标人作必要的澄清说明</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不得直接否决投标。评标委员会</w:t>
      </w:r>
      <w:r>
        <w:rPr>
          <w:rFonts w:hint="eastAsia" w:ascii="宋体" w:hAnsi="宋体" w:eastAsia="宋体" w:cs="宋体"/>
          <w:color w:val="000000" w:themeColor="text1"/>
          <w:szCs w:val="24"/>
          <w:highlight w:val="none"/>
          <w:lang w:val="zh-CN"/>
          <w14:textFill>
            <w14:solidFill>
              <w14:schemeClr w14:val="tx1"/>
            </w14:solidFill>
          </w14:textFill>
        </w:rPr>
        <w:t>可以书面形式（由评标委员会专家签字）要求投标人作出必要的澄清、说明或者纠正。</w:t>
      </w:r>
    </w:p>
    <w:p w14:paraId="56F208E3">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1E4BC0E9">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5B347951">
      <w:pPr>
        <w:spacing w:line="360" w:lineRule="auto"/>
        <w:ind w:left="424" w:hanging="424" w:hangingChars="202"/>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  投标文件报价计算或表达错误的修正</w:t>
      </w:r>
    </w:p>
    <w:p w14:paraId="071F0DFE">
      <w:pPr>
        <w:spacing w:line="360" w:lineRule="auto"/>
        <w:ind w:left="567"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4D687C86">
      <w:pPr>
        <w:spacing w:line="360" w:lineRule="auto"/>
        <w:ind w:firstLine="420" w:firstLineChars="20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A</w:t>
      </w:r>
      <w:r>
        <w:rPr>
          <w:rFonts w:hint="eastAsia" w:ascii="宋体" w:hAnsi="宋体" w:eastAsia="宋体" w:cs="宋体"/>
          <w:color w:val="000000" w:themeColor="text1"/>
          <w:kern w:val="0"/>
          <w:szCs w:val="21"/>
          <w:highlight w:val="none"/>
          <w:lang w:val="zh-CN"/>
          <w14:textFill>
            <w14:solidFill>
              <w14:schemeClr w14:val="tx1"/>
            </w14:solidFill>
          </w14:textFill>
        </w:rPr>
        <w:t>）当以数字表示的金额与以文字表示的金额不一致时，以文字表示的金额为准；</w:t>
      </w:r>
    </w:p>
    <w:p w14:paraId="3C7E03CF">
      <w:pPr>
        <w:spacing w:line="360" w:lineRule="auto"/>
        <w:ind w:left="420" w:leftChars="20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B</w:t>
      </w:r>
      <w:r>
        <w:rPr>
          <w:rFonts w:hint="eastAsia" w:ascii="宋体" w:hAnsi="宋体" w:eastAsia="宋体" w:cs="宋体"/>
          <w:color w:val="000000" w:themeColor="text1"/>
          <w:kern w:val="0"/>
          <w:szCs w:val="21"/>
          <w:highlight w:val="none"/>
          <w:lang w:val="zh-CN"/>
          <w14:textFill>
            <w14:solidFill>
              <w14:schemeClr w14:val="tx1"/>
            </w14:solidFill>
          </w14:textFill>
        </w:rPr>
        <w:t>）当开标一览表(投标报价表)内总报价金额与按单价计算的总价不一致的，以总报价为准，修正单价金额；</w:t>
      </w:r>
    </w:p>
    <w:p w14:paraId="496501F4">
      <w:pPr>
        <w:spacing w:line="360" w:lineRule="auto"/>
        <w:ind w:left="420" w:leftChars="20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C</w:t>
      </w:r>
      <w:r>
        <w:rPr>
          <w:rFonts w:hint="eastAsia" w:ascii="宋体" w:hAnsi="宋体" w:eastAsia="宋体" w:cs="宋体"/>
          <w:color w:val="000000" w:themeColor="text1"/>
          <w:kern w:val="0"/>
          <w:szCs w:val="21"/>
          <w:highlight w:val="none"/>
          <w:lang w:val="zh-CN"/>
          <w14:textFill>
            <w14:solidFill>
              <w14:schemeClr w14:val="tx1"/>
            </w14:solidFill>
          </w14:textFill>
        </w:rPr>
        <w:t>）当分项报价明细表内累计与投标报价表内报价不符时，以投标报价表（开标一览表）为准，修正分项报价明细表内的各分项报价；</w:t>
      </w:r>
    </w:p>
    <w:p w14:paraId="4308BABE">
      <w:pPr>
        <w:spacing w:line="360" w:lineRule="auto"/>
        <w:ind w:firstLine="420" w:firstLineChars="20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D</w:t>
      </w:r>
      <w:r>
        <w:rPr>
          <w:rFonts w:hint="eastAsia" w:ascii="宋体" w:hAnsi="宋体" w:eastAsia="宋体" w:cs="宋体"/>
          <w:color w:val="000000" w:themeColor="text1"/>
          <w:kern w:val="0"/>
          <w:szCs w:val="21"/>
          <w:highlight w:val="none"/>
          <w:lang w:val="zh-CN"/>
          <w14:textFill>
            <w14:solidFill>
              <w14:schemeClr w14:val="tx1"/>
            </w14:solidFill>
          </w14:textFill>
        </w:rPr>
        <w:t>）按前述修正原则排序依次进行修正至唯一值后的报价表经双方确认后，作为</w:t>
      </w:r>
      <w:r>
        <w:rPr>
          <w:rFonts w:hint="eastAsia" w:ascii="宋体" w:hAnsi="宋体" w:eastAsia="宋体" w:cs="宋体"/>
          <w:color w:val="000000" w:themeColor="text1"/>
          <w:kern w:val="0"/>
          <w:szCs w:val="21"/>
          <w:highlight w:val="none"/>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的</w:t>
      </w:r>
      <w:r>
        <w:rPr>
          <w:rFonts w:hint="eastAsia" w:ascii="宋体" w:hAnsi="宋体" w:eastAsia="宋体" w:cs="宋体"/>
          <w:color w:val="000000" w:themeColor="text1"/>
          <w:kern w:val="0"/>
          <w:szCs w:val="21"/>
          <w:highlight w:val="none"/>
          <w14:textFill>
            <w14:solidFill>
              <w14:schemeClr w14:val="tx1"/>
            </w14:solidFill>
          </w14:textFill>
        </w:rPr>
        <w:t>投标报价</w:t>
      </w:r>
      <w:r>
        <w:rPr>
          <w:rFonts w:hint="eastAsia" w:ascii="宋体" w:hAnsi="宋体" w:eastAsia="宋体" w:cs="宋体"/>
          <w:color w:val="000000" w:themeColor="text1"/>
          <w:kern w:val="0"/>
          <w:szCs w:val="21"/>
          <w:highlight w:val="none"/>
          <w:lang w:val="zh-CN"/>
          <w14:textFill>
            <w14:solidFill>
              <w14:schemeClr w14:val="tx1"/>
            </w14:solidFill>
          </w14:textFill>
        </w:rPr>
        <w:t>组成部分。</w:t>
      </w:r>
    </w:p>
    <w:p w14:paraId="40F0E157">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w:t>
      </w:r>
      <w:r>
        <w:rPr>
          <w:rFonts w:hint="eastAsia" w:ascii="宋体" w:hAnsi="宋体" w:eastAsia="宋体" w:cs="宋体"/>
          <w:b/>
          <w:color w:val="000000" w:themeColor="text1"/>
          <w:kern w:val="0"/>
          <w:szCs w:val="21"/>
          <w:highlight w:val="none"/>
          <w:u w:val="single"/>
          <w14:textFill>
            <w14:solidFill>
              <w14:schemeClr w14:val="tx1"/>
            </w14:solidFill>
          </w14:textFill>
        </w:rPr>
        <w:t>报价</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7401AA08">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14:paraId="7EE4F687">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1051" w:name="_Toc8518_WPSOffice_Level1"/>
    </w:p>
    <w:p w14:paraId="30D2A28A">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1051"/>
    </w:p>
    <w:p w14:paraId="1BB2479A">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1718CA7">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1C2DB4DE">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20806618">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78D95818">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45158575">
      <w:pPr>
        <w:autoSpaceDE w:val="0"/>
        <w:autoSpaceDN w:val="0"/>
        <w:adjustRightInd w:val="0"/>
        <w:spacing w:line="360" w:lineRule="auto"/>
        <w:ind w:left="565" w:leftChars="-1" w:hanging="567" w:hangingChars="270"/>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w:t>
      </w:r>
      <w:r>
        <w:rPr>
          <w:rFonts w:hint="eastAsia" w:ascii="宋体" w:hAnsi="宋体" w:eastAsia="宋体" w:cs="Times New Roman"/>
          <w:color w:val="000000" w:themeColor="text1"/>
          <w:szCs w:val="24"/>
          <w:highlight w:val="none"/>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65ADB357">
      <w:pPr>
        <w:autoSpaceDE w:val="0"/>
        <w:autoSpaceDN w:val="0"/>
        <w:adjustRightInd w:val="0"/>
        <w:spacing w:line="360" w:lineRule="auto"/>
        <w:ind w:left="565" w:leftChars="-1"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（1）评标委员会首先对商务标进行评审，按评标标准打分后，取所有评委评分的平均值得出该投标人的商务评分；</w:t>
      </w:r>
    </w:p>
    <w:p w14:paraId="53C608A4">
      <w:pPr>
        <w:autoSpaceDE w:val="0"/>
        <w:autoSpaceDN w:val="0"/>
        <w:adjustRightInd w:val="0"/>
        <w:spacing w:line="360" w:lineRule="auto"/>
        <w:ind w:left="565" w:leftChars="-1"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（2）然后评标委员会对技术标进行评审，按评标标准打分后，</w:t>
      </w:r>
      <w:r>
        <w:rPr>
          <w:rFonts w:hint="eastAsia" w:ascii="宋体" w:hAnsi="宋体" w:eastAsia="宋体" w:cs="宋体"/>
          <w:color w:val="000000" w:themeColor="text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6F4654F7">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（3）最后评标委员会对报价进行评审，按评标标准计算得出该投标人的报价评分。</w:t>
      </w:r>
    </w:p>
    <w:p w14:paraId="78367C51">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14:paraId="5D4C218A">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4CAF9D8C">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083BEBB7">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14:paraId="7DCE7583">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747F1EF8">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4BD3FE03">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）评分统计表中各投标人技术得分应为最终综合得分，商务和价格得分应为评委打分的算术平均值。</w:t>
      </w:r>
    </w:p>
    <w:p w14:paraId="1EC4A4EA">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78F76717">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bookmarkStart w:id="1052" w:name="OLE_LINK242"/>
      <w:bookmarkStart w:id="1053" w:name="_Toc18349_WPSOffice_Level2"/>
      <w:bookmarkStart w:id="1054" w:name="OLE_LINK139"/>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317AC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63AE580">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5C833AFC">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分值</w:t>
            </w:r>
          </w:p>
        </w:tc>
      </w:tr>
      <w:tr w14:paraId="03BAA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F27E6C7">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bookmarkStart w:id="1055" w:name="OLE_LINK243" w:colFirst="1" w:colLast="1"/>
            <w:r>
              <w:rPr>
                <w:rFonts w:hint="eastAsia" w:ascii="宋体" w:hAnsi="宋体" w:eastAsia="宋体" w:cs="宋体"/>
                <w:bCs/>
                <w:color w:val="000000" w:themeColor="text1"/>
                <w:kern w:val="0"/>
                <w:sz w:val="22"/>
                <w:highlight w:val="none"/>
                <w:lang w:val="zh-CN"/>
                <w14:textFill>
                  <w14:solidFill>
                    <w14:schemeClr w14:val="tx1"/>
                  </w14:solidFill>
                </w14:textFill>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48CD36C3">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7D3E9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9DFAE7E">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0535D525">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78F7E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52DFBB0">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301D8EB1">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p>
        </w:tc>
      </w:tr>
      <w:bookmarkEnd w:id="1052"/>
      <w:bookmarkEnd w:id="1055"/>
    </w:tbl>
    <w:p w14:paraId="59ED08CB">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p>
    <w:p w14:paraId="75774629">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1053"/>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6C04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7BCB7ABE">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4830C1EF">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118CD1DB">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625B84D7">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34CC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3928D7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134" w:type="dxa"/>
            <w:tcBorders>
              <w:top w:val="single" w:color="auto" w:sz="4" w:space="0"/>
              <w:left w:val="single" w:color="auto" w:sz="4" w:space="0"/>
              <w:bottom w:val="single" w:color="auto" w:sz="4" w:space="0"/>
              <w:right w:val="single" w:color="auto" w:sz="4" w:space="0"/>
            </w:tcBorders>
            <w:vAlign w:val="center"/>
          </w:tcPr>
          <w:p w14:paraId="584B20AB">
            <w:pPr>
              <w:autoSpaceDE w:val="0"/>
              <w:autoSpaceDN w:val="0"/>
              <w:spacing w:line="400" w:lineRule="exact"/>
              <w:jc w:val="center"/>
              <w:rPr>
                <w:rFonts w:ascii="宋体" w:hAnsi="宋体" w:eastAsia="宋体" w:cs="Times New Roman"/>
                <w:bCs/>
                <w:color w:val="000000" w:themeColor="text1"/>
                <w:kern w:val="0"/>
                <w:sz w:val="24"/>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553130BD">
            <w:pPr>
              <w:autoSpaceDE w:val="0"/>
              <w:autoSpaceDN w:val="0"/>
              <w:spacing w:line="400" w:lineRule="exact"/>
              <w:jc w:val="left"/>
              <w:rPr>
                <w:rFonts w:ascii="宋体" w:hAnsi="宋体" w:eastAsia="宋体" w:cs="Times New Roman"/>
                <w:bCs/>
                <w:color w:val="000000" w:themeColor="text1"/>
                <w:kern w:val="0"/>
                <w:szCs w:val="21"/>
                <w:highlight w:val="none"/>
                <w:lang w:val="zh-CN"/>
                <w14:textFill>
                  <w14:solidFill>
                    <w14:schemeClr w14:val="tx1"/>
                  </w14:solidFill>
                </w14:textFill>
              </w:rPr>
            </w:pPr>
            <w:r>
              <w:rPr>
                <w:rFonts w:hint="eastAsia" w:ascii="宋体" w:hAnsi="宋体" w:eastAsia="宋体" w:cs="Times New Roman"/>
                <w:bCs/>
                <w:color w:val="000000" w:themeColor="text1"/>
                <w:kern w:val="0"/>
                <w:szCs w:val="21"/>
                <w:highlight w:val="none"/>
                <w:lang w:val="zh-CN"/>
                <w14:textFill>
                  <w14:solidFill>
                    <w14:schemeClr w14:val="tx1"/>
                  </w14:solidFill>
                </w14:textFill>
              </w:rPr>
              <w:t>投标人2021年-2023年三个年度，每具有1个年度盈利的得1分，满分3分。</w:t>
            </w:r>
          </w:p>
          <w:p w14:paraId="5B279CB9">
            <w:pPr>
              <w:autoSpaceDE w:val="0"/>
              <w:autoSpaceDN w:val="0"/>
              <w:spacing w:line="400" w:lineRule="exact"/>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lang w:val="zh-CN"/>
                <w14:textFill>
                  <w14:solidFill>
                    <w14:schemeClr w14:val="tx1"/>
                  </w14:solidFill>
                </w14:textFill>
              </w:rPr>
              <w:t>备注：</w:t>
            </w:r>
            <w:r>
              <w:rPr>
                <w:rFonts w:hint="eastAsia" w:ascii="宋体" w:hAnsi="宋体" w:eastAsia="宋体" w:cs="Times New Roman"/>
                <w:b/>
                <w:color w:val="000000" w:themeColor="text1"/>
                <w:kern w:val="0"/>
                <w:szCs w:val="21"/>
                <w:highlight w:val="none"/>
                <w14:textFill>
                  <w14:solidFill>
                    <w14:schemeClr w14:val="tx1"/>
                  </w14:solidFill>
                </w14:textFill>
              </w:rPr>
              <w:t>①</w:t>
            </w:r>
            <w:r>
              <w:rPr>
                <w:rFonts w:hint="eastAsia" w:ascii="宋体" w:hAnsi="宋体" w:eastAsia="宋体" w:cs="Times New Roman"/>
                <w:b/>
                <w:color w:val="000000" w:themeColor="text1"/>
                <w:kern w:val="0"/>
                <w:szCs w:val="21"/>
                <w:highlight w:val="none"/>
                <w:lang w:val="zh-CN"/>
                <w14:textFill>
                  <w14:solidFill>
                    <w14:schemeClr w14:val="tx1"/>
                  </w14:solidFill>
                </w14:textFill>
              </w:rPr>
              <w:t>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bookmarkStart w:id="1056" w:name="OLE_LINK206"/>
            <w:r>
              <w:rPr>
                <w:rFonts w:hint="eastAsia" w:ascii="宋体" w:hAnsi="宋体" w:eastAsia="宋体" w:cs="Times New Roman"/>
                <w:b/>
                <w:color w:val="000000" w:themeColor="text1"/>
                <w:kern w:val="0"/>
                <w:szCs w:val="21"/>
                <w:highlight w:val="none"/>
                <w14:textFill>
                  <w14:solidFill>
                    <w14:schemeClr w14:val="tx1"/>
                  </w14:solidFill>
                </w14:textFill>
              </w:rPr>
              <w:t>②若为联合体投标的，</w:t>
            </w:r>
            <w:bookmarkStart w:id="1057" w:name="OLE_LINK230"/>
            <w:bookmarkStart w:id="1058" w:name="OLE_LINK256"/>
            <w:r>
              <w:rPr>
                <w:rFonts w:hint="eastAsia" w:ascii="宋体" w:hAnsi="宋体" w:eastAsia="宋体" w:cs="Times New Roman"/>
                <w:b/>
                <w:color w:val="000000" w:themeColor="text1"/>
                <w:kern w:val="0"/>
                <w:szCs w:val="21"/>
                <w:highlight w:val="none"/>
                <w14:textFill>
                  <w14:solidFill>
                    <w14:schemeClr w14:val="tx1"/>
                  </w14:solidFill>
                </w14:textFill>
              </w:rPr>
              <w:t>以联合体牵头方提供的财务报表为准</w:t>
            </w:r>
            <w:bookmarkEnd w:id="1057"/>
            <w:r>
              <w:rPr>
                <w:rFonts w:hint="eastAsia" w:ascii="宋体" w:hAnsi="宋体" w:eastAsia="宋体" w:cs="Times New Roman"/>
                <w:b/>
                <w:color w:val="000000" w:themeColor="text1"/>
                <w:kern w:val="0"/>
                <w:szCs w:val="21"/>
                <w:highlight w:val="none"/>
                <w14:textFill>
                  <w14:solidFill>
                    <w14:schemeClr w14:val="tx1"/>
                  </w14:solidFill>
                </w14:textFill>
              </w:rPr>
              <w:t>。</w:t>
            </w:r>
            <w:bookmarkEnd w:id="1056"/>
            <w:bookmarkEnd w:id="1058"/>
          </w:p>
        </w:tc>
        <w:tc>
          <w:tcPr>
            <w:tcW w:w="907" w:type="dxa"/>
            <w:tcBorders>
              <w:top w:val="single" w:color="auto" w:sz="4" w:space="0"/>
              <w:left w:val="single" w:color="auto" w:sz="4" w:space="0"/>
              <w:bottom w:val="single" w:color="auto" w:sz="4" w:space="0"/>
              <w:right w:val="single" w:color="auto" w:sz="4" w:space="0"/>
            </w:tcBorders>
            <w:vAlign w:val="center"/>
          </w:tcPr>
          <w:p w14:paraId="19B44BC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3分</w:t>
            </w:r>
          </w:p>
        </w:tc>
      </w:tr>
      <w:bookmarkEnd w:id="1054"/>
      <w:tr w14:paraId="3CC3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179C3AB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134" w:type="dxa"/>
            <w:tcBorders>
              <w:top w:val="single" w:color="auto" w:sz="4" w:space="0"/>
              <w:left w:val="single" w:color="auto" w:sz="4" w:space="0"/>
              <w:bottom w:val="single" w:color="auto" w:sz="4" w:space="0"/>
              <w:right w:val="single" w:color="auto" w:sz="4" w:space="0"/>
            </w:tcBorders>
            <w:vAlign w:val="center"/>
          </w:tcPr>
          <w:p w14:paraId="5F85194E">
            <w:pPr>
              <w:autoSpaceDE w:val="0"/>
              <w:autoSpaceDN w:val="0"/>
              <w:spacing w:line="400" w:lineRule="exact"/>
              <w:jc w:val="center"/>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1028A03A">
            <w:pPr>
              <w:autoSpaceDE w:val="0"/>
              <w:autoSpaceDN w:val="0"/>
              <w:adjustRightInd w:val="0"/>
              <w:snapToGrid w:val="0"/>
              <w:spacing w:line="400" w:lineRule="exact"/>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（1）投标人具有有效期内的ISO9001质量管理体系认证证书，得1分。</w:t>
            </w:r>
          </w:p>
          <w:p w14:paraId="01979137">
            <w:pPr>
              <w:autoSpaceDE w:val="0"/>
              <w:autoSpaceDN w:val="0"/>
              <w:adjustRightInd w:val="0"/>
              <w:snapToGrid w:val="0"/>
              <w:spacing w:line="400" w:lineRule="exact"/>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（2）投标人具有有效期内的ISO14001环境管理体系认证证书，得1分。</w:t>
            </w:r>
          </w:p>
          <w:p w14:paraId="2EAA8AAD">
            <w:pPr>
              <w:autoSpaceDE w:val="0"/>
              <w:autoSpaceDN w:val="0"/>
              <w:adjustRightInd w:val="0"/>
              <w:snapToGrid w:val="0"/>
              <w:spacing w:line="400" w:lineRule="exact"/>
              <w:jc w:val="lef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（3）投标人具有有效期内的OHSAS18001（或GB/T45001-2020，或ISO45001）职业健康安全管理体系认证证书，得1分。</w:t>
            </w:r>
          </w:p>
          <w:p w14:paraId="5F96E251">
            <w:pPr>
              <w:autoSpaceDE w:val="0"/>
              <w:autoSpaceDN w:val="0"/>
              <w:adjustRightInd w:val="0"/>
              <w:snapToGrid w:val="0"/>
              <w:spacing w:line="400" w:lineRule="exact"/>
              <w:jc w:val="left"/>
              <w:rPr>
                <w:rFonts w:ascii="宋体" w:hAnsi="宋体" w:eastAsia="宋体" w:cs="Times New Roman"/>
                <w:b/>
                <w:color w:val="000000" w:themeColor="text1"/>
                <w:kern w:val="0"/>
                <w:sz w:val="24"/>
                <w:szCs w:val="24"/>
                <w:highlight w:val="none"/>
                <w14:textFill>
                  <w14:solidFill>
                    <w14:schemeClr w14:val="tx1"/>
                  </w14:solidFill>
                </w14:textFill>
              </w:rPr>
            </w:pPr>
            <w:bookmarkStart w:id="1059" w:name="OLE_LINK365"/>
            <w:r>
              <w:rPr>
                <w:rFonts w:hint="eastAsia" w:ascii="宋体" w:hAnsi="宋体" w:eastAsia="宋体" w:cs="Times New Roman"/>
                <w:b/>
                <w:color w:val="000000" w:themeColor="text1"/>
                <w:kern w:val="0"/>
                <w:szCs w:val="21"/>
                <w:highlight w:val="none"/>
                <w14:textFill>
                  <w14:solidFill>
                    <w14:schemeClr w14:val="tx1"/>
                  </w14:solidFill>
                </w14:textFill>
              </w:rPr>
              <w:t>备注：①投标人应提供上述有效证书复印件及能显示证书有效状态的全国认证认可信息公共服务平台（http://cx.cnca.cn/)查询结果凭证{凭证界面需显示有“全国认证认可信息公共服务平台”或“认证证书（需显示网址cx.cnca.cn）”}，否则不得分。</w:t>
            </w:r>
            <w:bookmarkEnd w:id="1059"/>
            <w:r>
              <w:rPr>
                <w:rFonts w:hint="eastAsia" w:ascii="宋体" w:hAnsi="宋体" w:eastAsia="宋体" w:cs="Times New Roman"/>
                <w:b/>
                <w:color w:val="000000" w:themeColor="text1"/>
                <w:kern w:val="0"/>
                <w:szCs w:val="21"/>
                <w:highlight w:val="none"/>
                <w14:textFill>
                  <w14:solidFill>
                    <w14:schemeClr w14:val="tx1"/>
                  </w14:solidFill>
                </w14:textFill>
              </w:rPr>
              <w:t>②若为联合体投标的，</w:t>
            </w:r>
            <w:bookmarkStart w:id="1060" w:name="OLE_LINK370"/>
            <w:r>
              <w:rPr>
                <w:rFonts w:hint="eastAsia" w:ascii="宋体" w:hAnsi="宋体" w:eastAsia="宋体" w:cs="Times New Roman"/>
                <w:b/>
                <w:color w:val="000000" w:themeColor="text1"/>
                <w:kern w:val="0"/>
                <w:szCs w:val="21"/>
                <w:highlight w:val="none"/>
                <w14:textFill>
                  <w14:solidFill>
                    <w14:schemeClr w14:val="tx1"/>
                  </w14:solidFill>
                </w14:textFill>
              </w:rPr>
              <w:t>以联合体牵头方提供的认证证书为准</w:t>
            </w:r>
            <w:bookmarkEnd w:id="1060"/>
            <w:r>
              <w:rPr>
                <w:rFonts w:hint="eastAsia" w:ascii="宋体" w:hAnsi="宋体" w:eastAsia="宋体" w:cs="Times New Roman"/>
                <w:b/>
                <w:color w:val="000000" w:themeColor="text1"/>
                <w:kern w:val="0"/>
                <w:szCs w:val="21"/>
                <w:highlight w:val="none"/>
                <w14:textFill>
                  <w14:solidFill>
                    <w14:schemeClr w14:val="tx1"/>
                  </w14:solidFill>
                </w14:textFill>
              </w:rPr>
              <w:t>。</w:t>
            </w:r>
          </w:p>
        </w:tc>
        <w:tc>
          <w:tcPr>
            <w:tcW w:w="907" w:type="dxa"/>
            <w:tcBorders>
              <w:top w:val="single" w:color="auto" w:sz="4" w:space="0"/>
              <w:left w:val="single" w:color="auto" w:sz="4" w:space="0"/>
              <w:bottom w:val="single" w:color="auto" w:sz="4" w:space="0"/>
              <w:right w:val="single" w:color="auto" w:sz="4" w:space="0"/>
            </w:tcBorders>
            <w:vAlign w:val="center"/>
          </w:tcPr>
          <w:p w14:paraId="3A75301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3分</w:t>
            </w:r>
          </w:p>
        </w:tc>
      </w:tr>
      <w:tr w14:paraId="46A4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29DC93F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bookmarkStart w:id="1061" w:name="_Hlk104987354"/>
            <w:r>
              <w:rPr>
                <w:rFonts w:hint="eastAsia" w:ascii="宋体" w:hAnsi="宋体" w:eastAsia="宋体" w:cs="宋体"/>
                <w:color w:val="000000" w:themeColor="text1"/>
                <w:kern w:val="0"/>
                <w:szCs w:val="21"/>
                <w:highlight w:val="none"/>
                <w14:textFill>
                  <w14:solidFill>
                    <w14:schemeClr w14:val="tx1"/>
                  </w14:solidFill>
                </w14:textFill>
              </w:rPr>
              <w:t>3</w:t>
            </w:r>
          </w:p>
        </w:tc>
        <w:tc>
          <w:tcPr>
            <w:tcW w:w="1134" w:type="dxa"/>
            <w:tcBorders>
              <w:top w:val="single" w:color="auto" w:sz="4" w:space="0"/>
              <w:left w:val="single" w:color="auto" w:sz="4" w:space="0"/>
              <w:bottom w:val="single" w:color="auto" w:sz="4" w:space="0"/>
              <w:right w:val="single" w:color="auto" w:sz="4" w:space="0"/>
            </w:tcBorders>
            <w:vAlign w:val="center"/>
          </w:tcPr>
          <w:p w14:paraId="0E24E018">
            <w:pPr>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37B5B423">
            <w:pPr>
              <w:tabs>
                <w:tab w:val="left" w:pos="134"/>
              </w:tabs>
              <w:autoSpaceDE w:val="0"/>
              <w:autoSpaceDN w:val="0"/>
              <w:adjustRightInd w:val="0"/>
              <w:spacing w:line="400" w:lineRule="exac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投标人2019年1月1日以来（合同签订日期为2019年1月1日或以后）完成的</w:t>
            </w:r>
            <w:bookmarkStart w:id="1062" w:name="OLE_LINK162"/>
            <w:bookmarkStart w:id="1063" w:name="OLE_LINK26"/>
            <w:r>
              <w:rPr>
                <w:rFonts w:hint="eastAsia" w:ascii="宋体" w:hAnsi="宋体" w:eastAsia="宋体" w:cs="Times New Roman"/>
                <w:bCs/>
                <w:color w:val="000000" w:themeColor="text1"/>
                <w:kern w:val="0"/>
                <w:szCs w:val="21"/>
                <w:highlight w:val="none"/>
                <w14:textFill>
                  <w14:solidFill>
                    <w14:schemeClr w14:val="tx1"/>
                  </w14:solidFill>
                </w14:textFill>
              </w:rPr>
              <w:t>屋顶分布式光伏发电</w:t>
            </w:r>
            <w:bookmarkEnd w:id="1062"/>
            <w:r>
              <w:rPr>
                <w:rFonts w:hint="eastAsia" w:ascii="宋体" w:hAnsi="宋体" w:eastAsia="宋体" w:cs="Times New Roman"/>
                <w:bCs/>
                <w:color w:val="000000" w:themeColor="text1"/>
                <w:kern w:val="0"/>
                <w:szCs w:val="21"/>
                <w:highlight w:val="none"/>
                <w14:textFill>
                  <w14:solidFill>
                    <w14:schemeClr w14:val="tx1"/>
                  </w14:solidFill>
                </w14:textFill>
              </w:rPr>
              <w:t>的</w:t>
            </w:r>
            <w:bookmarkEnd w:id="1063"/>
            <w:r>
              <w:rPr>
                <w:rFonts w:hint="eastAsia" w:ascii="宋体" w:hAnsi="宋体" w:eastAsia="宋体" w:cs="Times New Roman"/>
                <w:bCs/>
                <w:color w:val="000000" w:themeColor="text1"/>
                <w:kern w:val="0"/>
                <w:szCs w:val="21"/>
                <w:highlight w:val="none"/>
                <w14:textFill>
                  <w14:solidFill>
                    <w14:schemeClr w14:val="tx1"/>
                  </w14:solidFill>
                </w14:textFill>
              </w:rPr>
              <w:t>业绩，按下列情况评分，满分</w:t>
            </w:r>
            <w:bookmarkStart w:id="1064" w:name="OLE_LINK143"/>
            <w:r>
              <w:rPr>
                <w:rFonts w:ascii="宋体" w:hAnsi="宋体" w:eastAsia="宋体" w:cs="Times New Roman"/>
                <w:bCs/>
                <w:color w:val="000000" w:themeColor="text1"/>
                <w:kern w:val="0"/>
                <w:szCs w:val="21"/>
                <w:highlight w:val="none"/>
                <w14:textFill>
                  <w14:solidFill>
                    <w14:schemeClr w14:val="tx1"/>
                  </w14:solidFill>
                </w14:textFill>
              </w:rPr>
              <w:t>24</w:t>
            </w:r>
            <w:bookmarkEnd w:id="1064"/>
            <w:r>
              <w:rPr>
                <w:rFonts w:hint="eastAsia" w:ascii="宋体" w:hAnsi="宋体" w:eastAsia="宋体" w:cs="Times New Roman"/>
                <w:bCs/>
                <w:color w:val="000000" w:themeColor="text1"/>
                <w:kern w:val="0"/>
                <w:szCs w:val="21"/>
                <w:highlight w:val="none"/>
                <w14:textFill>
                  <w14:solidFill>
                    <w14:schemeClr w14:val="tx1"/>
                  </w14:solidFill>
                </w14:textFill>
              </w:rPr>
              <w:t>分：</w:t>
            </w:r>
          </w:p>
          <w:p w14:paraId="50CC7E20">
            <w:pPr>
              <w:tabs>
                <w:tab w:val="left" w:pos="134"/>
              </w:tabs>
              <w:autoSpaceDE w:val="0"/>
              <w:autoSpaceDN w:val="0"/>
              <w:adjustRightInd w:val="0"/>
              <w:spacing w:line="400" w:lineRule="exac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（1）</w:t>
            </w:r>
            <w:bookmarkStart w:id="1065" w:name="OLE_LINK166"/>
            <w:r>
              <w:rPr>
                <w:rFonts w:hint="eastAsia" w:ascii="宋体" w:hAnsi="宋体" w:eastAsia="宋体" w:cs="Times New Roman"/>
                <w:bCs/>
                <w:color w:val="000000" w:themeColor="text1"/>
                <w:kern w:val="0"/>
                <w:szCs w:val="21"/>
                <w:highlight w:val="none"/>
                <w14:textFill>
                  <w14:solidFill>
                    <w14:schemeClr w14:val="tx1"/>
                  </w14:solidFill>
                </w14:textFill>
              </w:rPr>
              <w:t>单</w:t>
            </w:r>
            <w:bookmarkStart w:id="1066" w:name="OLE_LINK161"/>
            <w:r>
              <w:rPr>
                <w:rFonts w:hint="eastAsia" w:ascii="宋体" w:hAnsi="宋体" w:eastAsia="宋体" w:cs="Times New Roman"/>
                <w:bCs/>
                <w:color w:val="000000" w:themeColor="text1"/>
                <w:kern w:val="0"/>
                <w:szCs w:val="21"/>
                <w:highlight w:val="none"/>
                <w14:textFill>
                  <w14:solidFill>
                    <w14:schemeClr w14:val="tx1"/>
                  </w14:solidFill>
                </w14:textFill>
              </w:rPr>
              <w:t>项</w:t>
            </w:r>
            <w:bookmarkEnd w:id="1066"/>
            <w:r>
              <w:rPr>
                <w:rFonts w:hint="eastAsia" w:ascii="宋体" w:hAnsi="宋体" w:eastAsia="宋体" w:cs="Times New Roman"/>
                <w:bCs/>
                <w:color w:val="000000" w:themeColor="text1"/>
                <w:kern w:val="0"/>
                <w:szCs w:val="21"/>
                <w:highlight w:val="none"/>
                <w14:textFill>
                  <w14:solidFill>
                    <w14:schemeClr w14:val="tx1"/>
                  </w14:solidFill>
                </w14:textFill>
              </w:rPr>
              <w:t>合同总装机容量</w:t>
            </w:r>
            <w:bookmarkEnd w:id="1065"/>
            <w:r>
              <w:rPr>
                <w:rFonts w:hint="eastAsia" w:ascii="宋体" w:hAnsi="宋体" w:eastAsia="宋体" w:cs="Times New Roman"/>
                <w:bCs/>
                <w:color w:val="000000" w:themeColor="text1"/>
                <w:kern w:val="0"/>
                <w:szCs w:val="21"/>
                <w:highlight w:val="none"/>
                <w14:textFill>
                  <w14:solidFill>
                    <w14:schemeClr w14:val="tx1"/>
                  </w14:solidFill>
                </w14:textFill>
              </w:rPr>
              <w:t>≥</w:t>
            </w:r>
            <w:bookmarkStart w:id="1067" w:name="OLE_LINK165"/>
            <w:r>
              <w:rPr>
                <w:rFonts w:hint="eastAsia" w:ascii="宋体" w:hAnsi="宋体" w:eastAsia="宋体" w:cs="Times New Roman"/>
                <w:bCs/>
                <w:color w:val="000000" w:themeColor="text1"/>
                <w:kern w:val="0"/>
                <w:szCs w:val="21"/>
                <w:highlight w:val="none"/>
                <w14:textFill>
                  <w14:solidFill>
                    <w14:schemeClr w14:val="tx1"/>
                  </w14:solidFill>
                </w14:textFill>
              </w:rPr>
              <w:t>4.46MWp（或4.46MW，或4460kWp，或4460kW）</w:t>
            </w:r>
            <w:bookmarkEnd w:id="1067"/>
            <w:r>
              <w:rPr>
                <w:rFonts w:hint="eastAsia" w:ascii="宋体" w:hAnsi="宋体" w:eastAsia="宋体" w:cs="Times New Roman"/>
                <w:bCs/>
                <w:color w:val="000000" w:themeColor="text1"/>
                <w:kern w:val="0"/>
                <w:szCs w:val="21"/>
                <w:highlight w:val="none"/>
                <w14:textFill>
                  <w14:solidFill>
                    <w14:schemeClr w14:val="tx1"/>
                  </w14:solidFill>
                </w14:textFill>
              </w:rPr>
              <w:t>的前述业绩，每项得5分。</w:t>
            </w:r>
          </w:p>
          <w:p w14:paraId="500F828B">
            <w:pPr>
              <w:tabs>
                <w:tab w:val="left" w:pos="134"/>
              </w:tabs>
              <w:autoSpaceDE w:val="0"/>
              <w:autoSpaceDN w:val="0"/>
              <w:adjustRightInd w:val="0"/>
              <w:spacing w:line="400" w:lineRule="exac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（2）</w:t>
            </w:r>
            <w:bookmarkStart w:id="1068" w:name="OLE_LINK164"/>
            <w:r>
              <w:rPr>
                <w:rFonts w:hint="eastAsia" w:ascii="宋体" w:hAnsi="宋体" w:eastAsia="宋体" w:cs="Times New Roman"/>
                <w:bCs/>
                <w:color w:val="000000" w:themeColor="text1"/>
                <w:kern w:val="0"/>
                <w:szCs w:val="21"/>
                <w:highlight w:val="none"/>
                <w14:textFill>
                  <w14:solidFill>
                    <w14:schemeClr w14:val="tx1"/>
                  </w14:solidFill>
                </w14:textFill>
              </w:rPr>
              <w:t>2.23MWp（或2.23MW，或2230kWp，或2230kW）</w:t>
            </w:r>
            <w:bookmarkEnd w:id="1068"/>
            <w:r>
              <w:rPr>
                <w:rFonts w:hint="eastAsia" w:ascii="宋体" w:hAnsi="宋体" w:eastAsia="宋体" w:cs="Times New Roman"/>
                <w:bCs/>
                <w:color w:val="000000" w:themeColor="text1"/>
                <w:kern w:val="0"/>
                <w:szCs w:val="21"/>
                <w:highlight w:val="none"/>
                <w14:textFill>
                  <w14:solidFill>
                    <w14:schemeClr w14:val="tx1"/>
                  </w14:solidFill>
                </w14:textFill>
              </w:rPr>
              <w:t>≤</w:t>
            </w:r>
            <w:bookmarkStart w:id="1069" w:name="OLE_LINK167"/>
            <w:r>
              <w:rPr>
                <w:rFonts w:hint="eastAsia" w:ascii="宋体" w:hAnsi="宋体" w:eastAsia="宋体" w:cs="Times New Roman"/>
                <w:bCs/>
                <w:color w:val="000000" w:themeColor="text1"/>
                <w:kern w:val="0"/>
                <w:szCs w:val="21"/>
                <w:highlight w:val="none"/>
                <w14:textFill>
                  <w14:solidFill>
                    <w14:schemeClr w14:val="tx1"/>
                  </w14:solidFill>
                </w14:textFill>
              </w:rPr>
              <w:t>单项合同总装机容量</w:t>
            </w:r>
            <w:bookmarkEnd w:id="1069"/>
            <w:r>
              <w:rPr>
                <w:rFonts w:hint="eastAsia" w:ascii="宋体" w:hAnsi="宋体" w:eastAsia="宋体" w:cs="Times New Roman"/>
                <w:bCs/>
                <w:color w:val="000000" w:themeColor="text1"/>
                <w:kern w:val="0"/>
                <w:szCs w:val="21"/>
                <w:highlight w:val="none"/>
                <w14:textFill>
                  <w14:solidFill>
                    <w14:schemeClr w14:val="tx1"/>
                  </w14:solidFill>
                </w14:textFill>
              </w:rPr>
              <w:t>＜4.46MWp（或4.46MW，或4460kWp，或4460kW）的前述业绩，每项得3分。</w:t>
            </w:r>
          </w:p>
          <w:p w14:paraId="7E0FDE11">
            <w:pPr>
              <w:tabs>
                <w:tab w:val="left" w:pos="134"/>
              </w:tabs>
              <w:autoSpaceDE w:val="0"/>
              <w:autoSpaceDN w:val="0"/>
              <w:adjustRightInd w:val="0"/>
              <w:spacing w:line="400" w:lineRule="exac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（3）</w:t>
            </w:r>
            <w:bookmarkStart w:id="1070" w:name="OLE_LINK168"/>
            <w:r>
              <w:rPr>
                <w:rFonts w:hint="eastAsia" w:ascii="宋体" w:hAnsi="宋体" w:eastAsia="宋体" w:cs="Times New Roman"/>
                <w:bCs/>
                <w:color w:val="000000" w:themeColor="text1"/>
                <w:kern w:val="0"/>
                <w:szCs w:val="21"/>
                <w:highlight w:val="none"/>
                <w14:textFill>
                  <w14:solidFill>
                    <w14:schemeClr w14:val="tx1"/>
                  </w14:solidFill>
                </w14:textFill>
              </w:rPr>
              <w:t>1.12MWp（或1.12MW，或1120kWp，或1120kW）</w:t>
            </w:r>
            <w:bookmarkEnd w:id="1070"/>
            <w:r>
              <w:rPr>
                <w:rFonts w:hint="eastAsia" w:ascii="宋体" w:hAnsi="宋体" w:eastAsia="宋体" w:cs="Times New Roman"/>
                <w:bCs/>
                <w:color w:val="000000" w:themeColor="text1"/>
                <w:kern w:val="0"/>
                <w:szCs w:val="21"/>
                <w:highlight w:val="none"/>
                <w14:textFill>
                  <w14:solidFill>
                    <w14:schemeClr w14:val="tx1"/>
                  </w14:solidFill>
                </w14:textFill>
              </w:rPr>
              <w:t>≤</w:t>
            </w:r>
            <w:bookmarkStart w:id="1071" w:name="OLE_LINK169"/>
            <w:r>
              <w:rPr>
                <w:rFonts w:hint="eastAsia" w:ascii="宋体" w:hAnsi="宋体" w:eastAsia="宋体" w:cs="Times New Roman"/>
                <w:bCs/>
                <w:color w:val="000000" w:themeColor="text1"/>
                <w:kern w:val="0"/>
                <w:szCs w:val="21"/>
                <w:highlight w:val="none"/>
                <w14:textFill>
                  <w14:solidFill>
                    <w14:schemeClr w14:val="tx1"/>
                  </w14:solidFill>
                </w14:textFill>
              </w:rPr>
              <w:t>单项合同总装机容量</w:t>
            </w:r>
            <w:bookmarkEnd w:id="1071"/>
            <w:r>
              <w:rPr>
                <w:rFonts w:hint="eastAsia" w:ascii="宋体" w:hAnsi="宋体" w:eastAsia="宋体" w:cs="Times New Roman"/>
                <w:bCs/>
                <w:color w:val="000000" w:themeColor="text1"/>
                <w:kern w:val="0"/>
                <w:szCs w:val="21"/>
                <w:highlight w:val="none"/>
                <w14:textFill>
                  <w14:solidFill>
                    <w14:schemeClr w14:val="tx1"/>
                  </w14:solidFill>
                </w14:textFill>
              </w:rPr>
              <w:t>＜2.23MWp（或2.23MW，或2230kWp，或2230kW）的前述业绩，每项得2分。</w:t>
            </w:r>
          </w:p>
          <w:p w14:paraId="41C72EA2">
            <w:pPr>
              <w:tabs>
                <w:tab w:val="left" w:pos="134"/>
              </w:tabs>
              <w:autoSpaceDE w:val="0"/>
              <w:autoSpaceDN w:val="0"/>
              <w:adjustRightInd w:val="0"/>
              <w:spacing w:line="400" w:lineRule="exact"/>
              <w:rPr>
                <w:rFonts w:ascii="宋体" w:hAnsi="宋体" w:eastAsia="宋体" w:cs="Times New Roman"/>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1"/>
                <w:highlight w:val="none"/>
                <w14:textFill>
                  <w14:solidFill>
                    <w14:schemeClr w14:val="tx1"/>
                  </w14:solidFill>
                </w14:textFill>
              </w:rPr>
              <w:t>（4）0.56MWp（或0.56MW，或560kWp，或560kW）≤单项合同总装机容量＜1.12MWp（或1.12MW，或1120kWp，或1120kW）的前述业绩，每项得1分，本子项最高得</w:t>
            </w:r>
            <w:bookmarkStart w:id="1072" w:name="OLE_LINK147"/>
            <w:r>
              <w:rPr>
                <w:rFonts w:ascii="宋体" w:hAnsi="宋体" w:eastAsia="宋体" w:cs="Times New Roman"/>
                <w:bCs/>
                <w:color w:val="000000" w:themeColor="text1"/>
                <w:kern w:val="0"/>
                <w:szCs w:val="21"/>
                <w:highlight w:val="none"/>
                <w14:textFill>
                  <w14:solidFill>
                    <w14:schemeClr w14:val="tx1"/>
                  </w14:solidFill>
                </w14:textFill>
              </w:rPr>
              <w:t>8</w:t>
            </w:r>
            <w:bookmarkEnd w:id="1072"/>
            <w:r>
              <w:rPr>
                <w:rFonts w:hint="eastAsia" w:ascii="宋体" w:hAnsi="宋体" w:eastAsia="宋体" w:cs="Times New Roman"/>
                <w:bCs/>
                <w:color w:val="000000" w:themeColor="text1"/>
                <w:kern w:val="0"/>
                <w:szCs w:val="21"/>
                <w:highlight w:val="none"/>
                <w14:textFill>
                  <w14:solidFill>
                    <w14:schemeClr w14:val="tx1"/>
                  </w14:solidFill>
                </w14:textFill>
              </w:rPr>
              <w:t>分。</w:t>
            </w:r>
          </w:p>
          <w:p w14:paraId="1154CB74">
            <w:pPr>
              <w:tabs>
                <w:tab w:val="left" w:pos="134"/>
              </w:tabs>
              <w:autoSpaceDE w:val="0"/>
              <w:autoSpaceDN w:val="0"/>
              <w:adjustRightInd w:val="0"/>
              <w:spacing w:line="400" w:lineRule="exac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p w14:paraId="7D0DE95E">
            <w:pPr>
              <w:pStyle w:val="128"/>
              <w:numPr>
                <w:ilvl w:val="0"/>
                <w:numId w:val="6"/>
              </w:numPr>
              <w:autoSpaceDE w:val="0"/>
              <w:autoSpaceDN w:val="0"/>
              <w:adjustRightInd w:val="0"/>
              <w:spacing w:line="400" w:lineRule="exact"/>
              <w:ind w:firstLineChars="0"/>
              <w:rPr>
                <w:rFonts w:ascii="宋体" w:hAnsi="宋体" w:eastAsia="宋体" w:cs="Times New Roman"/>
                <w:b/>
                <w:color w:val="000000" w:themeColor="text1"/>
                <w:kern w:val="0"/>
                <w:szCs w:val="21"/>
                <w:highlight w:val="none"/>
                <w14:textFill>
                  <w14:solidFill>
                    <w14:schemeClr w14:val="tx1"/>
                  </w14:solidFill>
                </w14:textFill>
              </w:rPr>
            </w:pPr>
            <w:bookmarkStart w:id="1073" w:name="OLE_LINK51"/>
            <w:bookmarkStart w:id="1074" w:name="OLE_LINK132"/>
            <w:r>
              <w:rPr>
                <w:rFonts w:hint="eastAsia" w:ascii="宋体" w:hAnsi="宋体" w:eastAsia="宋体" w:cs="Times New Roman"/>
                <w:b/>
                <w:color w:val="000000" w:themeColor="text1"/>
                <w:kern w:val="0"/>
                <w:szCs w:val="21"/>
                <w:highlight w:val="none"/>
                <w14:textFill>
                  <w14:solidFill>
                    <w14:schemeClr w14:val="tx1"/>
                  </w14:solidFill>
                </w14:textFill>
              </w:rPr>
              <w:t>业绩须附合同</w:t>
            </w:r>
            <w:bookmarkEnd w:id="1073"/>
            <w:r>
              <w:rPr>
                <w:rFonts w:hint="eastAsia" w:ascii="宋体" w:hAnsi="宋体" w:eastAsia="宋体" w:cs="Times New Roman"/>
                <w:b/>
                <w:color w:val="000000" w:themeColor="text1"/>
                <w:kern w:val="0"/>
                <w:szCs w:val="21"/>
                <w:highlight w:val="none"/>
                <w14:textFill>
                  <w14:solidFill>
                    <w14:schemeClr w14:val="tx1"/>
                  </w14:solidFill>
                </w14:textFill>
              </w:rPr>
              <w:t>复印件</w:t>
            </w:r>
            <w:bookmarkStart w:id="1075" w:name="OLE_LINK290"/>
            <w:r>
              <w:rPr>
                <w:rFonts w:hint="eastAsia" w:ascii="宋体" w:hAnsi="宋体" w:eastAsia="宋体" w:cs="Times New Roman"/>
                <w:b/>
                <w:color w:val="000000" w:themeColor="text1"/>
                <w:kern w:val="0"/>
                <w:szCs w:val="21"/>
                <w:highlight w:val="none"/>
                <w14:textFill>
                  <w14:solidFill>
                    <w14:schemeClr w14:val="tx1"/>
                  </w14:solidFill>
                </w14:textFill>
              </w:rPr>
              <w:t>和</w:t>
            </w:r>
            <w:bookmarkStart w:id="1076" w:name="OLE_LINK334"/>
            <w:r>
              <w:rPr>
                <w:rFonts w:hint="eastAsia" w:ascii="宋体" w:hAnsi="宋体" w:eastAsia="宋体" w:cs="宋体"/>
                <w:b/>
                <w:color w:val="000000" w:themeColor="text1"/>
                <w:szCs w:val="21"/>
                <w:highlight w:val="none"/>
                <w:lang w:val="zh-CN"/>
                <w14:textFill>
                  <w14:solidFill>
                    <w14:schemeClr w14:val="tx1"/>
                  </w14:solidFill>
                </w14:textFill>
              </w:rPr>
              <w:t>并网证明</w:t>
            </w:r>
            <w:bookmarkEnd w:id="1075"/>
            <w:bookmarkEnd w:id="1076"/>
            <w:r>
              <w:rPr>
                <w:rFonts w:hint="eastAsia" w:ascii="宋体" w:hAnsi="宋体" w:eastAsia="宋体" w:cs="Times New Roman"/>
                <w:b/>
                <w:color w:val="000000" w:themeColor="text1"/>
                <w:kern w:val="0"/>
                <w:szCs w:val="21"/>
                <w:highlight w:val="none"/>
                <w14:textFill>
                  <w14:solidFill>
                    <w14:schemeClr w14:val="tx1"/>
                  </w14:solidFill>
                </w14:textFill>
              </w:rPr>
              <w:t>，否则不得分</w:t>
            </w:r>
            <w:bookmarkEnd w:id="1074"/>
            <w:r>
              <w:rPr>
                <w:rFonts w:hint="eastAsia" w:ascii="宋体" w:hAnsi="宋体" w:eastAsia="宋体" w:cs="Times New Roman"/>
                <w:b/>
                <w:color w:val="000000" w:themeColor="text1"/>
                <w:kern w:val="0"/>
                <w:szCs w:val="21"/>
                <w:highlight w:val="none"/>
                <w14:textFill>
                  <w14:solidFill>
                    <w14:schemeClr w14:val="tx1"/>
                  </w14:solidFill>
                </w14:textFill>
              </w:rPr>
              <w:t>；</w:t>
            </w:r>
          </w:p>
          <w:p w14:paraId="19BEBF40">
            <w:pPr>
              <w:tabs>
                <w:tab w:val="left" w:pos="134"/>
              </w:tabs>
              <w:autoSpaceDE w:val="0"/>
              <w:autoSpaceDN w:val="0"/>
              <w:adjustRightInd w:val="0"/>
              <w:spacing w:line="400" w:lineRule="exac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②</w:t>
            </w:r>
            <w:bookmarkStart w:id="1077" w:name="OLE_LINK133"/>
            <w:bookmarkStart w:id="1078" w:name="OLE_LINK52"/>
            <w:r>
              <w:rPr>
                <w:rFonts w:hint="eastAsia" w:ascii="宋体" w:hAnsi="宋体" w:eastAsia="宋体" w:cs="Times New Roman"/>
                <w:b/>
                <w:color w:val="000000" w:themeColor="text1"/>
                <w:kern w:val="0"/>
                <w:szCs w:val="21"/>
                <w:highlight w:val="none"/>
                <w14:textFill>
                  <w14:solidFill>
                    <w14:schemeClr w14:val="tx1"/>
                  </w14:solidFill>
                </w14:textFill>
              </w:rPr>
              <w:t>若合同无法反映评分条件（1.合同签订日期为2019年1月1日或以后；2.合同标的必须为屋顶分布式光伏</w:t>
            </w:r>
            <w:bookmarkStart w:id="1079" w:name="OLE_LINK285"/>
            <w:r>
              <w:rPr>
                <w:rFonts w:hint="eastAsia" w:ascii="宋体" w:hAnsi="宋体" w:eastAsia="宋体" w:cs="Times New Roman"/>
                <w:b/>
                <w:color w:val="000000" w:themeColor="text1"/>
                <w:kern w:val="0"/>
                <w:szCs w:val="21"/>
                <w:highlight w:val="none"/>
                <w14:textFill>
                  <w14:solidFill>
                    <w14:schemeClr w14:val="tx1"/>
                  </w14:solidFill>
                </w14:textFill>
              </w:rPr>
              <w:t>发</w:t>
            </w:r>
            <w:bookmarkStart w:id="1080" w:name="OLE_LINK253"/>
            <w:r>
              <w:rPr>
                <w:rFonts w:hint="eastAsia" w:ascii="宋体" w:hAnsi="宋体" w:eastAsia="宋体" w:cs="Times New Roman"/>
                <w:b/>
                <w:color w:val="000000" w:themeColor="text1"/>
                <w:kern w:val="0"/>
                <w:szCs w:val="21"/>
                <w:highlight w:val="none"/>
                <w14:textFill>
                  <w14:solidFill>
                    <w14:schemeClr w14:val="tx1"/>
                  </w14:solidFill>
                </w14:textFill>
              </w:rPr>
              <w:t>电</w:t>
            </w:r>
            <w:bookmarkStart w:id="1081" w:name="OLE_LINK338"/>
            <w:bookmarkStart w:id="1082" w:name="OLE_LINK251"/>
            <w:r>
              <w:rPr>
                <w:rFonts w:hint="eastAsia" w:ascii="宋体" w:hAnsi="宋体" w:eastAsia="宋体" w:cs="Times New Roman"/>
                <w:b/>
                <w:color w:val="000000" w:themeColor="text1"/>
                <w:kern w:val="0"/>
                <w:szCs w:val="21"/>
                <w:highlight w:val="none"/>
                <w14:textFill>
                  <w14:solidFill>
                    <w14:schemeClr w14:val="tx1"/>
                  </w14:solidFill>
                </w14:textFill>
              </w:rPr>
              <w:t>的业绩</w:t>
            </w:r>
            <w:bookmarkEnd w:id="1079"/>
            <w:bookmarkEnd w:id="1080"/>
            <w:bookmarkEnd w:id="1081"/>
            <w:bookmarkEnd w:id="1082"/>
            <w:r>
              <w:rPr>
                <w:rFonts w:hint="eastAsia" w:ascii="宋体" w:hAnsi="宋体" w:eastAsia="宋体" w:cs="Times New Roman"/>
                <w:b/>
                <w:color w:val="000000" w:themeColor="text1"/>
                <w:kern w:val="0"/>
                <w:szCs w:val="21"/>
                <w:highlight w:val="none"/>
                <w14:textFill>
                  <w14:solidFill>
                    <w14:schemeClr w14:val="tx1"/>
                  </w14:solidFill>
                </w14:textFill>
              </w:rPr>
              <w:t>；3.单项合同总装机容量），还需提供合同甲方出具的书面补充说明文件复印件作为辅助证明（补充说明文件复印件能显示合同甲方公章）</w:t>
            </w:r>
            <w:bookmarkEnd w:id="1077"/>
            <w:bookmarkStart w:id="1083" w:name="OLE_LINK284"/>
            <w:r>
              <w:rPr>
                <w:rFonts w:hint="eastAsia" w:ascii="宋体" w:hAnsi="宋体" w:eastAsia="宋体" w:cs="Times New Roman"/>
                <w:b/>
                <w:color w:val="000000" w:themeColor="text1"/>
                <w:kern w:val="0"/>
                <w:szCs w:val="21"/>
                <w:highlight w:val="none"/>
                <w14:textFill>
                  <w14:solidFill>
                    <w14:schemeClr w14:val="tx1"/>
                  </w14:solidFill>
                </w14:textFill>
              </w:rPr>
              <w:t>；</w:t>
            </w:r>
            <w:bookmarkEnd w:id="1078"/>
            <w:bookmarkEnd w:id="1083"/>
            <w:bookmarkStart w:id="1084" w:name="OLE_LINK228"/>
          </w:p>
          <w:p w14:paraId="45BBB6B8">
            <w:pPr>
              <w:tabs>
                <w:tab w:val="left" w:pos="134"/>
              </w:tabs>
              <w:autoSpaceDE w:val="0"/>
              <w:autoSpaceDN w:val="0"/>
              <w:adjustRightInd w:val="0"/>
              <w:spacing w:line="400" w:lineRule="exac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③</w:t>
            </w:r>
            <w:bookmarkEnd w:id="1084"/>
            <w:bookmarkStart w:id="1085" w:name="OLE_LINK198"/>
            <w:r>
              <w:rPr>
                <w:rFonts w:hint="eastAsia" w:ascii="宋体" w:hAnsi="宋体" w:eastAsia="宋体" w:cs="Times New Roman"/>
                <w:b/>
                <w:color w:val="000000" w:themeColor="text1"/>
                <w:kern w:val="0"/>
                <w:szCs w:val="21"/>
                <w:highlight w:val="none"/>
                <w14:textFill>
                  <w14:solidFill>
                    <w14:schemeClr w14:val="tx1"/>
                  </w14:solidFill>
                </w14:textFill>
              </w:rPr>
              <w:t>若为联合体投标的，联合</w:t>
            </w:r>
            <w:bookmarkStart w:id="1086" w:name="OLE_LINK356"/>
            <w:r>
              <w:rPr>
                <w:rFonts w:hint="eastAsia" w:ascii="宋体" w:hAnsi="宋体" w:eastAsia="宋体" w:cs="Times New Roman"/>
                <w:b/>
                <w:color w:val="000000" w:themeColor="text1"/>
                <w:kern w:val="0"/>
                <w:szCs w:val="21"/>
                <w:highlight w:val="none"/>
                <w14:textFill>
                  <w14:solidFill>
                    <w14:schemeClr w14:val="tx1"/>
                  </w14:solidFill>
                </w14:textFill>
              </w:rPr>
              <w:t>体任意一方</w:t>
            </w:r>
            <w:bookmarkEnd w:id="1086"/>
            <w:r>
              <w:rPr>
                <w:rFonts w:hint="eastAsia" w:ascii="宋体" w:hAnsi="宋体" w:eastAsia="宋体" w:cs="Times New Roman"/>
                <w:b/>
                <w:color w:val="000000" w:themeColor="text1"/>
                <w:kern w:val="0"/>
                <w:szCs w:val="21"/>
                <w:highlight w:val="none"/>
                <w14:textFill>
                  <w14:solidFill>
                    <w14:schemeClr w14:val="tx1"/>
                  </w14:solidFill>
                </w14:textFill>
              </w:rPr>
              <w:t>提供的业绩</w:t>
            </w:r>
            <w:bookmarkStart w:id="1087" w:name="OLE_LINK237"/>
            <w:r>
              <w:rPr>
                <w:rFonts w:hint="eastAsia" w:ascii="宋体" w:hAnsi="宋体" w:eastAsia="宋体" w:cs="Times New Roman"/>
                <w:b/>
                <w:color w:val="000000" w:themeColor="text1"/>
                <w:kern w:val="0"/>
                <w:szCs w:val="21"/>
                <w:highlight w:val="none"/>
                <w14:textFill>
                  <w14:solidFill>
                    <w14:schemeClr w14:val="tx1"/>
                  </w14:solidFill>
                </w14:textFill>
              </w:rPr>
              <w:t>满足要求</w:t>
            </w:r>
            <w:bookmarkEnd w:id="1087"/>
            <w:r>
              <w:rPr>
                <w:rFonts w:hint="eastAsia" w:ascii="宋体" w:hAnsi="宋体" w:eastAsia="宋体" w:cs="Times New Roman"/>
                <w:b/>
                <w:color w:val="000000" w:themeColor="text1"/>
                <w:kern w:val="0"/>
                <w:szCs w:val="21"/>
                <w:highlight w:val="none"/>
                <w14:textFill>
                  <w14:solidFill>
                    <w14:schemeClr w14:val="tx1"/>
                  </w14:solidFill>
                </w14:textFill>
              </w:rPr>
              <w:t>均予以认可</w:t>
            </w:r>
            <w:bookmarkStart w:id="1088" w:name="OLE_LINK259"/>
            <w:r>
              <w:rPr>
                <w:rFonts w:hint="eastAsia" w:ascii="宋体" w:hAnsi="宋体" w:eastAsia="宋体" w:cs="Times New Roman"/>
                <w:b/>
                <w:color w:val="000000" w:themeColor="text1"/>
                <w:kern w:val="0"/>
                <w:szCs w:val="21"/>
                <w:highlight w:val="none"/>
                <w14:textFill>
                  <w14:solidFill>
                    <w14:schemeClr w14:val="tx1"/>
                  </w14:solidFill>
                </w14:textFill>
              </w:rPr>
              <w:t>；</w:t>
            </w:r>
            <w:bookmarkEnd w:id="1085"/>
            <w:bookmarkEnd w:id="1088"/>
          </w:p>
          <w:p w14:paraId="4D5D7AB9">
            <w:pPr>
              <w:tabs>
                <w:tab w:val="left" w:pos="134"/>
              </w:tabs>
              <w:autoSpaceDE w:val="0"/>
              <w:autoSpaceDN w:val="0"/>
              <w:adjustRightInd w:val="0"/>
              <w:spacing w:line="400" w:lineRule="exac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④未按上述要求提供证明材料的业绩，或所附材料无法证明填报项目符合本项评分要求的业绩，在评标时将不予考虑。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1639E8CC">
            <w:pPr>
              <w:autoSpaceDE w:val="0"/>
              <w:autoSpaceDN w:val="0"/>
              <w:adjustRightInd w:val="0"/>
              <w:spacing w:line="400" w:lineRule="exact"/>
              <w:jc w:val="center"/>
              <w:rPr>
                <w:rFonts w:ascii="宋体" w:hAnsi="宋体" w:eastAsia="宋体" w:cs="宋体"/>
                <w:color w:val="000000" w:themeColor="text1"/>
                <w:szCs w:val="24"/>
                <w:highlight w:val="none"/>
                <w14:textFill>
                  <w14:solidFill>
                    <w14:schemeClr w14:val="tx1"/>
                  </w14:solidFill>
                </w14:textFill>
              </w:rPr>
            </w:pPr>
            <w:bookmarkStart w:id="1089" w:name="OLE_LINK142"/>
            <w:r>
              <w:rPr>
                <w:rFonts w:ascii="宋体" w:hAnsi="宋体" w:eastAsia="宋体" w:cs="宋体"/>
                <w:color w:val="000000" w:themeColor="text1"/>
                <w:szCs w:val="21"/>
                <w:highlight w:val="none"/>
                <w14:textFill>
                  <w14:solidFill>
                    <w14:schemeClr w14:val="tx1"/>
                  </w14:solidFill>
                </w14:textFill>
              </w:rPr>
              <w:t>24</w:t>
            </w:r>
            <w:bookmarkEnd w:id="1089"/>
            <w:r>
              <w:rPr>
                <w:rFonts w:hint="eastAsia" w:ascii="宋体" w:hAnsi="宋体" w:eastAsia="宋体" w:cs="宋体"/>
                <w:color w:val="000000" w:themeColor="text1"/>
                <w:szCs w:val="21"/>
                <w:highlight w:val="none"/>
                <w14:textFill>
                  <w14:solidFill>
                    <w14:schemeClr w14:val="tx1"/>
                  </w14:solidFill>
                </w14:textFill>
              </w:rPr>
              <w:t>分</w:t>
            </w:r>
          </w:p>
        </w:tc>
      </w:tr>
      <w:bookmarkEnd w:id="1061"/>
    </w:tbl>
    <w:p w14:paraId="3117EDD5">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bookmarkStart w:id="1090" w:name="OLE_LINK170"/>
      <w:bookmarkStart w:id="1091" w:name="_Toc11639_WPSOffice_Level2"/>
      <w:r>
        <w:rPr>
          <w:rFonts w:hint="eastAsia" w:ascii="宋体" w:hAnsi="宋体" w:eastAsia="宋体" w:cs="宋体"/>
          <w:color w:val="000000" w:themeColor="text1"/>
          <w:szCs w:val="24"/>
          <w:highlight w:val="none"/>
          <w:lang w:val="zh-CN"/>
          <w14:textFill>
            <w14:solidFill>
              <w14:schemeClr w14:val="tx1"/>
            </w14:solidFill>
          </w14:textFill>
        </w:rPr>
        <w:t>备注：</w:t>
      </w:r>
    </w:p>
    <w:p w14:paraId="7E0BBEF8">
      <w:pPr>
        <w:pStyle w:val="16"/>
        <w:spacing w:before="0"/>
        <w:ind w:left="420" w:leftChars="200" w:firstLine="422" w:firstLineChars="200"/>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w:t>
      </w:r>
      <w:r>
        <w:rPr>
          <w:rFonts w:hint="eastAsia" w:ascii="宋体" w:hAnsi="宋体" w:eastAsia="宋体" w:cs="宋体"/>
          <w:b/>
          <w:color w:val="000000" w:themeColor="text1"/>
          <w:szCs w:val="21"/>
          <w:highlight w:val="none"/>
          <w14:textFill>
            <w14:solidFill>
              <w14:schemeClr w14:val="tx1"/>
            </w14:solidFill>
          </w14:textFill>
        </w:rPr>
        <w:t>于各</w:t>
      </w:r>
      <w:r>
        <w:rPr>
          <w:rFonts w:hint="eastAsia" w:ascii="宋体" w:hAnsi="宋体" w:eastAsia="宋体" w:cs="宋体"/>
          <w:b/>
          <w:color w:val="000000" w:themeColor="text1"/>
          <w:szCs w:val="21"/>
          <w:highlight w:val="none"/>
          <w:lang w:val="zh-CN"/>
          <w14:textFill>
            <w14:solidFill>
              <w14:schemeClr w14:val="tx1"/>
            </w14:solidFill>
          </w14:textFill>
        </w:rPr>
        <w:t>评标委员会成员</w:t>
      </w:r>
      <w:r>
        <w:rPr>
          <w:rFonts w:hint="eastAsia" w:ascii="宋体" w:hAnsi="宋体" w:eastAsia="宋体" w:cs="宋体"/>
          <w:b/>
          <w:color w:val="000000" w:themeColor="text1"/>
          <w:szCs w:val="21"/>
          <w:highlight w:val="none"/>
          <w14:textFill>
            <w14:solidFill>
              <w14:schemeClr w14:val="tx1"/>
            </w14:solidFill>
          </w14:textFill>
        </w:rPr>
        <w:t>存在客观分打分不一致时</w:t>
      </w:r>
      <w:r>
        <w:rPr>
          <w:rFonts w:hint="eastAsia" w:ascii="宋体" w:hAnsi="宋体" w:eastAsia="宋体" w:cs="宋体"/>
          <w:b/>
          <w:color w:val="000000" w:themeColor="text1"/>
          <w:szCs w:val="21"/>
          <w:highlight w:val="none"/>
          <w:lang w:val="zh-CN"/>
          <w14:textFill>
            <w14:solidFill>
              <w14:schemeClr w14:val="tx1"/>
            </w14:solidFill>
          </w14:textFill>
        </w:rPr>
        <w:t>,根据少数服</w:t>
      </w:r>
      <w:r>
        <w:rPr>
          <w:rFonts w:hint="eastAsia" w:ascii="宋体" w:hAnsi="宋体" w:eastAsia="宋体" w:cs="宋体"/>
          <w:b/>
          <w:color w:val="000000" w:themeColor="text1"/>
          <w:szCs w:val="21"/>
          <w:highlight w:val="none"/>
          <w14:textFill>
            <w14:solidFill>
              <w14:schemeClr w14:val="tx1"/>
            </w14:solidFill>
          </w14:textFill>
        </w:rPr>
        <w:t>从</w:t>
      </w:r>
      <w:r>
        <w:rPr>
          <w:rFonts w:hint="eastAsia" w:ascii="宋体" w:hAnsi="宋体" w:eastAsia="宋体" w:cs="宋体"/>
          <w:b/>
          <w:color w:val="000000" w:themeColor="text1"/>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szCs w:val="21"/>
          <w:highlight w:val="none"/>
          <w14:textFill>
            <w14:solidFill>
              <w14:schemeClr w14:val="tx1"/>
            </w14:solidFill>
          </w14:textFill>
        </w:rPr>
        <w:t>确定该项的评分。</w:t>
      </w:r>
      <w:bookmarkEnd w:id="1090"/>
    </w:p>
    <w:p w14:paraId="23AA31F2">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w:t>
      </w:r>
      <w:bookmarkStart w:id="1092" w:name="OLE_LINK163"/>
      <w:r>
        <w:rPr>
          <w:rFonts w:hint="eastAsia" w:ascii="宋体" w:hAnsi="宋体" w:eastAsia="宋体" w:cs="宋体"/>
          <w:b/>
          <w:color w:val="000000" w:themeColor="text1"/>
          <w:szCs w:val="21"/>
          <w:highlight w:val="none"/>
          <w:lang w:val="zh-CN"/>
          <w14:textFill>
            <w14:solidFill>
              <w14:schemeClr w14:val="tx1"/>
            </w14:solidFill>
          </w14:textFill>
        </w:rPr>
        <w:t>分</w:t>
      </w:r>
      <w:bookmarkEnd w:id="1092"/>
      <w:r>
        <w:rPr>
          <w:rFonts w:hint="eastAsia" w:ascii="宋体" w:hAnsi="宋体" w:eastAsia="宋体" w:cs="宋体"/>
          <w:b/>
          <w:color w:val="000000" w:themeColor="text1"/>
          <w:szCs w:val="21"/>
          <w:highlight w:val="none"/>
          <w14:textFill>
            <w14:solidFill>
              <w14:schemeClr w14:val="tx1"/>
            </w14:solidFill>
          </w14:textFill>
        </w:rPr>
        <w:t>40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1091"/>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018"/>
        <w:gridCol w:w="1018"/>
        <w:gridCol w:w="6920"/>
        <w:gridCol w:w="817"/>
      </w:tblGrid>
      <w:tr w14:paraId="60A0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534AE283">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bookmarkStart w:id="1093" w:name="_Hlk104987779"/>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491" w:type="pct"/>
            <w:tcBorders>
              <w:top w:val="single" w:color="auto" w:sz="4" w:space="0"/>
              <w:left w:val="single" w:color="auto" w:sz="4" w:space="0"/>
              <w:bottom w:val="single" w:color="auto" w:sz="4" w:space="0"/>
              <w:right w:val="single" w:color="auto" w:sz="4" w:space="0"/>
            </w:tcBorders>
            <w:vAlign w:val="center"/>
          </w:tcPr>
          <w:p w14:paraId="7AE08E02">
            <w:pPr>
              <w:autoSpaceDE w:val="0"/>
              <w:autoSpaceDN w:val="0"/>
              <w:adjustRightInd w:val="0"/>
              <w:spacing w:line="400" w:lineRule="exact"/>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评审项目</w:t>
            </w:r>
          </w:p>
        </w:tc>
        <w:tc>
          <w:tcPr>
            <w:tcW w:w="491" w:type="pct"/>
            <w:tcBorders>
              <w:top w:val="single" w:color="auto" w:sz="4" w:space="0"/>
              <w:left w:val="single" w:color="auto" w:sz="4" w:space="0"/>
              <w:bottom w:val="single" w:color="auto" w:sz="4" w:space="0"/>
              <w:right w:val="single" w:color="auto" w:sz="4" w:space="0"/>
            </w:tcBorders>
            <w:vAlign w:val="center"/>
          </w:tcPr>
          <w:p w14:paraId="13B4DB70">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337" w:type="pct"/>
            <w:tcBorders>
              <w:top w:val="single" w:color="auto" w:sz="4" w:space="0"/>
              <w:left w:val="single" w:color="auto" w:sz="4" w:space="0"/>
              <w:bottom w:val="single" w:color="auto" w:sz="4" w:space="0"/>
              <w:right w:val="single" w:color="auto" w:sz="4" w:space="0"/>
            </w:tcBorders>
            <w:vAlign w:val="center"/>
          </w:tcPr>
          <w:p w14:paraId="1C532325">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394" w:type="pct"/>
            <w:tcBorders>
              <w:top w:val="single" w:color="auto" w:sz="4" w:space="0"/>
              <w:left w:val="single" w:color="auto" w:sz="4" w:space="0"/>
              <w:bottom w:val="single" w:color="auto" w:sz="4" w:space="0"/>
              <w:right w:val="single" w:color="auto" w:sz="4" w:space="0"/>
            </w:tcBorders>
            <w:vAlign w:val="center"/>
          </w:tcPr>
          <w:p w14:paraId="3C77F28C">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76AD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Merge w:val="restart"/>
            <w:tcBorders>
              <w:top w:val="single" w:color="auto" w:sz="4" w:space="0"/>
              <w:left w:val="single" w:color="auto" w:sz="4" w:space="0"/>
              <w:right w:val="single" w:color="auto" w:sz="4" w:space="0"/>
            </w:tcBorders>
            <w:vAlign w:val="center"/>
          </w:tcPr>
          <w:p w14:paraId="0F87844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bookmarkStart w:id="1094" w:name="OLE_LINK191" w:colFirst="0" w:colLast="0"/>
            <w:bookmarkStart w:id="1095" w:name="OLE_LINK190" w:colFirst="1" w:colLast="1"/>
            <w:r>
              <w:rPr>
                <w:rFonts w:hint="eastAsia" w:ascii="宋体" w:hAnsi="宋体" w:eastAsia="宋体" w:cs="宋体"/>
                <w:color w:val="000000" w:themeColor="text1"/>
                <w:kern w:val="0"/>
                <w:szCs w:val="21"/>
                <w:highlight w:val="none"/>
                <w14:textFill>
                  <w14:solidFill>
                    <w14:schemeClr w14:val="tx1"/>
                  </w14:solidFill>
                </w14:textFill>
              </w:rPr>
              <w:t>1</w:t>
            </w:r>
          </w:p>
        </w:tc>
        <w:tc>
          <w:tcPr>
            <w:tcW w:w="491" w:type="pct"/>
            <w:vMerge w:val="restart"/>
            <w:tcBorders>
              <w:top w:val="single" w:color="auto" w:sz="4" w:space="0"/>
              <w:left w:val="single" w:color="auto" w:sz="4" w:space="0"/>
              <w:right w:val="single" w:color="auto" w:sz="4" w:space="0"/>
            </w:tcBorders>
            <w:vAlign w:val="center"/>
          </w:tcPr>
          <w:p w14:paraId="5CEB8810">
            <w:pPr>
              <w:spacing w:line="360" w:lineRule="exact"/>
              <w:jc w:val="center"/>
              <w:rPr>
                <w:rFonts w:ascii="宋体" w:hAnsi="宋体" w:eastAsia="宋体" w:cs="宋体"/>
                <w:color w:val="000000" w:themeColor="text1"/>
                <w:szCs w:val="21"/>
                <w:highlight w:val="none"/>
                <w:lang w:bidi="ar"/>
                <w14:textFill>
                  <w14:solidFill>
                    <w14:schemeClr w14:val="tx1"/>
                  </w14:solidFill>
                </w14:textFill>
              </w:rPr>
            </w:pPr>
            <w:bookmarkStart w:id="1096" w:name="OLE_LINK236"/>
            <w:bookmarkStart w:id="1097" w:name="OLE_LINK182"/>
            <w:bookmarkStart w:id="1098" w:name="OLE_LINK194"/>
            <w:r>
              <w:rPr>
                <w:rFonts w:hint="eastAsia" w:ascii="宋体" w:hAnsi="宋体" w:eastAsia="宋体" w:cs="宋体"/>
                <w:color w:val="000000" w:themeColor="text1"/>
                <w:szCs w:val="21"/>
                <w:highlight w:val="none"/>
                <w:lang w:bidi="ar"/>
                <w14:textFill>
                  <w14:solidFill>
                    <w14:schemeClr w14:val="tx1"/>
                  </w14:solidFill>
                </w14:textFill>
              </w:rPr>
              <w:t>光伏系统主要设备配置</w:t>
            </w:r>
            <w:bookmarkEnd w:id="1096"/>
          </w:p>
        </w:tc>
        <w:tc>
          <w:tcPr>
            <w:tcW w:w="491" w:type="pct"/>
            <w:tcBorders>
              <w:top w:val="single" w:color="auto" w:sz="4" w:space="0"/>
              <w:left w:val="single" w:color="auto" w:sz="4" w:space="0"/>
              <w:bottom w:val="single" w:color="auto" w:sz="4" w:space="0"/>
              <w:right w:val="single" w:color="auto" w:sz="4" w:space="0"/>
            </w:tcBorders>
            <w:vAlign w:val="center"/>
          </w:tcPr>
          <w:p w14:paraId="52CFC4F3">
            <w:pPr>
              <w:spacing w:line="360" w:lineRule="exact"/>
              <w:jc w:val="center"/>
              <w:rPr>
                <w:rFonts w:ascii="宋体" w:hAnsi="宋体" w:eastAsia="宋体" w:cs="宋体"/>
                <w:color w:val="000000" w:themeColor="text1"/>
                <w:kern w:val="0"/>
                <w:szCs w:val="21"/>
                <w:highlight w:val="none"/>
                <w14:textFill>
                  <w14:solidFill>
                    <w14:schemeClr w14:val="tx1"/>
                  </w14:solidFill>
                </w14:textFill>
              </w:rPr>
            </w:pPr>
            <w:bookmarkStart w:id="1099" w:name="OLE_LINK260"/>
            <w:r>
              <w:rPr>
                <w:rFonts w:hint="eastAsia" w:ascii="宋体" w:hAnsi="宋体" w:eastAsia="宋体" w:cs="宋体"/>
                <w:color w:val="000000" w:themeColor="text1"/>
                <w:szCs w:val="21"/>
                <w:highlight w:val="none"/>
                <w:lang w:val="zh-CN" w:bidi="ar"/>
                <w14:textFill>
                  <w14:solidFill>
                    <w14:schemeClr w14:val="tx1"/>
                  </w14:solidFill>
                </w14:textFill>
              </w:rPr>
              <w:t>所投</w:t>
            </w:r>
            <w:bookmarkStart w:id="1100" w:name="OLE_LINK171"/>
            <w:bookmarkStart w:id="1101" w:name="OLE_LINK172"/>
            <w:bookmarkStart w:id="1102" w:name="OLE_LINK177"/>
            <w:r>
              <w:rPr>
                <w:rFonts w:hint="eastAsia" w:ascii="宋体" w:hAnsi="宋体" w:eastAsia="宋体" w:cs="宋体"/>
                <w:color w:val="000000" w:themeColor="text1"/>
                <w:szCs w:val="21"/>
                <w:highlight w:val="none"/>
                <w:lang w:bidi="ar"/>
                <w14:textFill>
                  <w14:solidFill>
                    <w14:schemeClr w14:val="tx1"/>
                  </w14:solidFill>
                </w14:textFill>
              </w:rPr>
              <w:t>光伏组件</w:t>
            </w:r>
            <w:bookmarkEnd w:id="1100"/>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zh-CN" w:bidi="ar"/>
                <w14:textFill>
                  <w14:solidFill>
                    <w14:schemeClr w14:val="tx1"/>
                  </w14:solidFill>
                </w14:textFill>
              </w:rPr>
              <w:t>并网逆变器</w:t>
            </w:r>
            <w:r>
              <w:rPr>
                <w:rFonts w:hint="eastAsia" w:ascii="宋体" w:hAnsi="宋体" w:eastAsia="宋体" w:cs="宋体"/>
                <w:color w:val="000000" w:themeColor="text1"/>
                <w:szCs w:val="21"/>
                <w:highlight w:val="none"/>
                <w:lang w:bidi="ar"/>
                <w14:textFill>
                  <w14:solidFill>
                    <w14:schemeClr w14:val="tx1"/>
                  </w14:solidFill>
                </w14:textFill>
              </w:rPr>
              <w:t>产</w:t>
            </w:r>
            <w:bookmarkEnd w:id="1101"/>
            <w:r>
              <w:rPr>
                <w:rFonts w:hint="eastAsia" w:ascii="宋体" w:hAnsi="宋体" w:eastAsia="宋体" w:cs="宋体"/>
                <w:color w:val="000000" w:themeColor="text1"/>
                <w:szCs w:val="21"/>
                <w:highlight w:val="none"/>
                <w:lang w:bidi="ar"/>
                <w14:textFill>
                  <w14:solidFill>
                    <w14:schemeClr w14:val="tx1"/>
                  </w14:solidFill>
                </w14:textFill>
              </w:rPr>
              <w:t>品</w:t>
            </w:r>
            <w:bookmarkEnd w:id="1097"/>
            <w:r>
              <w:rPr>
                <w:rFonts w:hint="eastAsia" w:ascii="宋体" w:hAnsi="宋体" w:eastAsia="宋体" w:cs="宋体"/>
                <w:color w:val="000000" w:themeColor="text1"/>
                <w:szCs w:val="21"/>
                <w:highlight w:val="none"/>
                <w:lang w:val="zh-CN" w:bidi="ar"/>
                <w14:textFill>
                  <w14:solidFill>
                    <w14:schemeClr w14:val="tx1"/>
                  </w14:solidFill>
                </w14:textFill>
              </w:rPr>
              <w:t>性能</w:t>
            </w:r>
            <w:bookmarkEnd w:id="1098"/>
            <w:bookmarkEnd w:id="1099"/>
            <w:bookmarkEnd w:id="1102"/>
          </w:p>
        </w:tc>
        <w:tc>
          <w:tcPr>
            <w:tcW w:w="3337" w:type="pct"/>
            <w:tcBorders>
              <w:top w:val="single" w:color="auto" w:sz="4" w:space="0"/>
              <w:left w:val="single" w:color="auto" w:sz="4" w:space="0"/>
              <w:bottom w:val="single" w:color="auto" w:sz="4" w:space="0"/>
              <w:right w:val="single" w:color="auto" w:sz="4" w:space="0"/>
            </w:tcBorders>
            <w:vAlign w:val="center"/>
          </w:tcPr>
          <w:p w14:paraId="07C370C7">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根据各投标人所投光伏组件、并网逆变器产品性能【①光伏组件的标称功率、组件效率、功率衰减率、防水性、结构设计、安全防护等级等技术参数，光伏组件型号认证证书[抗PID认证、抗盐雾腐蚀认证、载荷认证、产品定型认证(金太阳认证或是TUV、CSA、UL、SGS、VDE、JET等国际认证)]；②并网逆变器直流侧参数、交流侧参数、效率、防护等级等技术参数，使用年限，功能响应程度；】进行评审：</w:t>
            </w:r>
          </w:p>
          <w:p w14:paraId="6FCA353E">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优：产品技术参数符合行业标准，能够完全满足或优于采购需求，性能</w:t>
            </w:r>
            <w:r>
              <w:rPr>
                <w:rFonts w:hint="eastAsia" w:ascii="宋体" w:hAnsi="宋体" w:eastAsia="宋体" w:cs="宋体"/>
                <w:color w:val="000000" w:themeColor="text1"/>
                <w:szCs w:val="21"/>
                <w:highlight w:val="none"/>
                <w14:textFill>
                  <w14:solidFill>
                    <w14:schemeClr w14:val="tx1"/>
                  </w14:solidFill>
                </w14:textFill>
              </w:rPr>
              <w:t>卓越</w:t>
            </w:r>
            <w:r>
              <w:rPr>
                <w:rFonts w:hint="eastAsia" w:ascii="宋体" w:hAnsi="宋体" w:eastAsia="宋体" w:cs="宋体"/>
                <w:color w:val="000000" w:themeColor="text1"/>
                <w:szCs w:val="21"/>
                <w:highlight w:val="none"/>
                <w:lang w:bidi="ar"/>
                <w14:textFill>
                  <w14:solidFill>
                    <w14:schemeClr w14:val="tx1"/>
                  </w14:solidFill>
                </w14:textFill>
              </w:rPr>
              <w:t>、结构设计合理性强、稳定可靠，得[10-7]分；</w:t>
            </w:r>
          </w:p>
          <w:p w14:paraId="3B697925">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良：产品</w:t>
            </w:r>
            <w:r>
              <w:rPr>
                <w:rFonts w:hint="eastAsia" w:ascii="宋体" w:hAnsi="宋体" w:eastAsia="宋体" w:cs="宋体"/>
                <w:color w:val="000000" w:themeColor="text1"/>
                <w:szCs w:val="21"/>
                <w:highlight w:val="none"/>
                <w14:textFill>
                  <w14:solidFill>
                    <w14:schemeClr w14:val="tx1"/>
                  </w14:solidFill>
                </w14:textFill>
              </w:rPr>
              <w:t>技术参数符合行业标准，能够满足</w:t>
            </w:r>
            <w:r>
              <w:rPr>
                <w:rFonts w:hint="eastAsia" w:ascii="宋体" w:hAnsi="宋体" w:eastAsia="宋体" w:cs="宋体"/>
                <w:color w:val="000000" w:themeColor="text1"/>
                <w:szCs w:val="21"/>
                <w:highlight w:val="none"/>
                <w:lang w:bidi="ar"/>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需求，</w:t>
            </w:r>
            <w:r>
              <w:rPr>
                <w:rFonts w:hint="eastAsia" w:ascii="宋体" w:hAnsi="宋体" w:eastAsia="宋体" w:cs="宋体"/>
                <w:color w:val="000000" w:themeColor="text1"/>
                <w:szCs w:val="21"/>
                <w:highlight w:val="none"/>
                <w:lang w:bidi="ar"/>
                <w14:textFill>
                  <w14:solidFill>
                    <w14:schemeClr w14:val="tx1"/>
                  </w14:solidFill>
                </w14:textFill>
              </w:rPr>
              <w:t>性能良好、结构设计较合理、稳定可靠，得（7-4]分；</w:t>
            </w:r>
          </w:p>
          <w:p w14:paraId="58595064">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中：产品</w:t>
            </w:r>
            <w:r>
              <w:rPr>
                <w:rFonts w:hint="eastAsia" w:ascii="宋体" w:hAnsi="宋体" w:eastAsia="宋体" w:cs="宋体"/>
                <w:color w:val="000000" w:themeColor="text1"/>
                <w:szCs w:val="21"/>
                <w:highlight w:val="none"/>
                <w14:textFill>
                  <w14:solidFill>
                    <w14:schemeClr w14:val="tx1"/>
                  </w14:solidFill>
                </w14:textFill>
              </w:rPr>
              <w:t>技术参数符合行业标准，基本能满足</w:t>
            </w:r>
            <w:r>
              <w:rPr>
                <w:rFonts w:hint="eastAsia" w:ascii="宋体" w:hAnsi="宋体" w:eastAsia="宋体" w:cs="宋体"/>
                <w:color w:val="000000" w:themeColor="text1"/>
                <w:szCs w:val="21"/>
                <w:highlight w:val="none"/>
                <w:lang w:bidi="ar"/>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需求，</w:t>
            </w:r>
            <w:r>
              <w:rPr>
                <w:rFonts w:hint="eastAsia" w:ascii="宋体" w:hAnsi="宋体" w:eastAsia="宋体" w:cs="宋体"/>
                <w:color w:val="000000" w:themeColor="text1"/>
                <w:szCs w:val="21"/>
                <w:highlight w:val="none"/>
                <w:lang w:bidi="ar"/>
                <w14:textFill>
                  <w14:solidFill>
                    <w14:schemeClr w14:val="tx1"/>
                  </w14:solidFill>
                </w14:textFill>
              </w:rPr>
              <w:t>性能一般、结构设计基本合理、较稳定可靠，得（4-1]分；</w:t>
            </w:r>
          </w:p>
          <w:p w14:paraId="756DDEE5">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差：产品</w:t>
            </w:r>
            <w:r>
              <w:rPr>
                <w:rFonts w:hint="eastAsia" w:ascii="宋体" w:hAnsi="宋体" w:eastAsia="宋体" w:cs="宋体"/>
                <w:color w:val="000000" w:themeColor="text1"/>
                <w:szCs w:val="21"/>
                <w:highlight w:val="none"/>
                <w14:textFill>
                  <w14:solidFill>
                    <w14:schemeClr w14:val="tx1"/>
                  </w14:solidFill>
                </w14:textFill>
              </w:rPr>
              <w:t>技术参数不符合行业标准，不能满足</w:t>
            </w:r>
            <w:r>
              <w:rPr>
                <w:rFonts w:hint="eastAsia" w:ascii="宋体" w:hAnsi="宋体" w:eastAsia="宋体" w:cs="宋体"/>
                <w:color w:val="000000" w:themeColor="text1"/>
                <w:szCs w:val="21"/>
                <w:highlight w:val="none"/>
                <w:lang w:bidi="ar"/>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需求，</w:t>
            </w:r>
            <w:r>
              <w:rPr>
                <w:rFonts w:hint="eastAsia" w:ascii="宋体" w:hAnsi="宋体" w:eastAsia="宋体" w:cs="宋体"/>
                <w:color w:val="000000" w:themeColor="text1"/>
                <w:szCs w:val="21"/>
                <w:highlight w:val="none"/>
                <w:lang w:bidi="ar"/>
                <w14:textFill>
                  <w14:solidFill>
                    <w14:schemeClr w14:val="tx1"/>
                  </w14:solidFill>
                </w14:textFill>
              </w:rPr>
              <w:t>性能不佳、结构设计合理性差、不稳定可靠，得（1-0]分。</w:t>
            </w:r>
          </w:p>
          <w:p w14:paraId="130CFDD7">
            <w:pPr>
              <w:spacing w:line="360" w:lineRule="exact"/>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备注：投标人必须提供投标产品性能说明书或其他能体现投标产品性能的证明材料，并附试验报告、认证证书全部内容，以投标人提供的上述资料作为依据进行评审，未按要求提供上述资料的本项不得分。</w:t>
            </w:r>
          </w:p>
        </w:tc>
        <w:tc>
          <w:tcPr>
            <w:tcW w:w="394" w:type="pct"/>
            <w:tcBorders>
              <w:top w:val="single" w:color="auto" w:sz="4" w:space="0"/>
              <w:left w:val="single" w:color="auto" w:sz="4" w:space="0"/>
              <w:bottom w:val="single" w:color="auto" w:sz="4" w:space="0"/>
              <w:right w:val="single" w:color="auto" w:sz="4" w:space="0"/>
            </w:tcBorders>
            <w:vAlign w:val="center"/>
          </w:tcPr>
          <w:p w14:paraId="7472E45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10分</w:t>
            </w:r>
          </w:p>
        </w:tc>
      </w:tr>
      <w:tr w14:paraId="4507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Merge w:val="continue"/>
            <w:tcBorders>
              <w:left w:val="single" w:color="auto" w:sz="4" w:space="0"/>
              <w:bottom w:val="single" w:color="auto" w:sz="4" w:space="0"/>
              <w:right w:val="single" w:color="auto" w:sz="4" w:space="0"/>
            </w:tcBorders>
            <w:vAlign w:val="center"/>
          </w:tcPr>
          <w:p w14:paraId="04DD53E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bookmarkStart w:id="1103" w:name="OLE_LINK410" w:colFirst="2" w:colLast="4"/>
          </w:p>
        </w:tc>
        <w:tc>
          <w:tcPr>
            <w:tcW w:w="491" w:type="pct"/>
            <w:vMerge w:val="continue"/>
            <w:tcBorders>
              <w:left w:val="single" w:color="auto" w:sz="4" w:space="0"/>
              <w:bottom w:val="single" w:color="auto" w:sz="4" w:space="0"/>
              <w:right w:val="single" w:color="auto" w:sz="4" w:space="0"/>
            </w:tcBorders>
            <w:vAlign w:val="center"/>
          </w:tcPr>
          <w:p w14:paraId="39E8952B">
            <w:pPr>
              <w:spacing w:line="360" w:lineRule="exact"/>
              <w:jc w:val="center"/>
              <w:rPr>
                <w:rFonts w:ascii="宋体" w:hAnsi="宋体" w:eastAsia="宋体" w:cs="宋体"/>
                <w:color w:val="000000" w:themeColor="text1"/>
                <w:szCs w:val="21"/>
                <w:highlight w:val="none"/>
                <w:lang w:val="zh-CN" w:bidi="ar"/>
                <w14:textFill>
                  <w14:solidFill>
                    <w14:schemeClr w14:val="tx1"/>
                  </w14:solidFill>
                </w14:textFill>
              </w:rPr>
            </w:pPr>
            <w:bookmarkStart w:id="1104" w:name="OLE_LINK227"/>
          </w:p>
          <w:bookmarkEnd w:id="1104"/>
        </w:tc>
        <w:tc>
          <w:tcPr>
            <w:tcW w:w="491" w:type="pct"/>
            <w:tcBorders>
              <w:top w:val="single" w:color="auto" w:sz="4" w:space="0"/>
              <w:left w:val="single" w:color="auto" w:sz="4" w:space="0"/>
              <w:bottom w:val="single" w:color="auto" w:sz="4" w:space="0"/>
              <w:right w:val="single" w:color="auto" w:sz="4" w:space="0"/>
            </w:tcBorders>
            <w:vAlign w:val="center"/>
          </w:tcPr>
          <w:p w14:paraId="2AAF5AB4">
            <w:pPr>
              <w:spacing w:line="360" w:lineRule="exact"/>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质保时间</w:t>
            </w:r>
          </w:p>
        </w:tc>
        <w:tc>
          <w:tcPr>
            <w:tcW w:w="3337" w:type="pct"/>
            <w:tcBorders>
              <w:top w:val="single" w:color="auto" w:sz="4" w:space="0"/>
              <w:left w:val="single" w:color="auto" w:sz="4" w:space="0"/>
              <w:bottom w:val="single" w:color="auto" w:sz="4" w:space="0"/>
              <w:right w:val="single" w:color="auto" w:sz="4" w:space="0"/>
            </w:tcBorders>
            <w:vAlign w:val="center"/>
          </w:tcPr>
          <w:p w14:paraId="24377B31">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根据各投标人针对</w:t>
            </w:r>
            <w:bookmarkStart w:id="1105" w:name="OLE_LINK348"/>
            <w:r>
              <w:rPr>
                <w:rFonts w:hint="eastAsia" w:ascii="宋体" w:hAnsi="宋体" w:eastAsia="宋体" w:cs="宋体"/>
                <w:color w:val="000000" w:themeColor="text1"/>
                <w:szCs w:val="21"/>
                <w:highlight w:val="none"/>
                <w:lang w:bidi="ar"/>
                <w14:textFill>
                  <w14:solidFill>
                    <w14:schemeClr w14:val="tx1"/>
                  </w14:solidFill>
                </w14:textFill>
              </w:rPr>
              <w:t>并网逆变器、交流汇流箱、光伏并网柜</w:t>
            </w:r>
            <w:bookmarkEnd w:id="1105"/>
            <w:r>
              <w:rPr>
                <w:rFonts w:hint="eastAsia" w:ascii="宋体" w:hAnsi="宋体" w:eastAsia="宋体" w:cs="宋体"/>
                <w:color w:val="000000" w:themeColor="text1"/>
                <w:szCs w:val="21"/>
                <w:highlight w:val="none"/>
                <w:lang w:bidi="ar"/>
                <w14:textFill>
                  <w14:solidFill>
                    <w14:schemeClr w14:val="tx1"/>
                  </w14:solidFill>
                </w14:textFill>
              </w:rPr>
              <w:t>承诺的质保时间进行评审：在满足本项目</w:t>
            </w:r>
            <w:bookmarkStart w:id="1106" w:name="OLE_LINK355"/>
            <w:r>
              <w:rPr>
                <w:rFonts w:hint="eastAsia" w:ascii="宋体" w:hAnsi="宋体" w:eastAsia="宋体" w:cs="宋体"/>
                <w:color w:val="000000" w:themeColor="text1"/>
                <w:szCs w:val="21"/>
                <w:highlight w:val="none"/>
                <w:lang w:bidi="ar"/>
                <w14:textFill>
                  <w14:solidFill>
                    <w14:schemeClr w14:val="tx1"/>
                  </w14:solidFill>
                </w14:textFill>
              </w:rPr>
              <w:t>质保时间</w:t>
            </w:r>
            <w:bookmarkEnd w:id="1106"/>
            <w:r>
              <w:rPr>
                <w:rFonts w:hint="eastAsia" w:ascii="宋体" w:hAnsi="宋体" w:eastAsia="宋体" w:cs="宋体"/>
                <w:color w:val="000000" w:themeColor="text1"/>
                <w:szCs w:val="21"/>
                <w:highlight w:val="none"/>
                <w:lang w:bidi="ar"/>
                <w14:textFill>
                  <w14:solidFill>
                    <w14:schemeClr w14:val="tx1"/>
                  </w14:solidFill>
                </w14:textFill>
              </w:rPr>
              <w:t>的基础上，每增加1年得1分，本项最高得3分。</w:t>
            </w:r>
          </w:p>
          <w:p w14:paraId="7F7DCB6E">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备注：须提供</w:t>
            </w:r>
            <w:bookmarkStart w:id="1107" w:name="OLE_LINK315"/>
            <w:r>
              <w:rPr>
                <w:rFonts w:hint="eastAsia" w:ascii="宋体" w:hAnsi="宋体" w:eastAsia="宋体" w:cs="宋体"/>
                <w:color w:val="000000" w:themeColor="text1"/>
                <w:szCs w:val="21"/>
                <w:highlight w:val="none"/>
                <w:lang w:bidi="ar"/>
                <w14:textFill>
                  <w14:solidFill>
                    <w14:schemeClr w14:val="tx1"/>
                  </w14:solidFill>
                </w14:textFill>
              </w:rPr>
              <w:t>质保说明书</w:t>
            </w:r>
            <w:bookmarkEnd w:id="1107"/>
            <w:r>
              <w:rPr>
                <w:rFonts w:hint="eastAsia" w:ascii="宋体" w:hAnsi="宋体" w:eastAsia="宋体" w:cs="宋体"/>
                <w:color w:val="000000" w:themeColor="text1"/>
                <w:szCs w:val="21"/>
                <w:highlight w:val="none"/>
                <w:lang w:bidi="ar"/>
                <w14:textFill>
                  <w14:solidFill>
                    <w14:schemeClr w14:val="tx1"/>
                  </w14:solidFill>
                </w14:textFill>
              </w:rPr>
              <w:t>加盖投标人公章。</w:t>
            </w:r>
          </w:p>
        </w:tc>
        <w:tc>
          <w:tcPr>
            <w:tcW w:w="394" w:type="pct"/>
            <w:tcBorders>
              <w:top w:val="single" w:color="auto" w:sz="4" w:space="0"/>
              <w:left w:val="single" w:color="auto" w:sz="4" w:space="0"/>
              <w:bottom w:val="single" w:color="auto" w:sz="4" w:space="0"/>
              <w:right w:val="single" w:color="auto" w:sz="4" w:space="0"/>
            </w:tcBorders>
            <w:vAlign w:val="center"/>
          </w:tcPr>
          <w:p w14:paraId="17F249D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r>
      <w:bookmarkEnd w:id="1094"/>
      <w:bookmarkEnd w:id="1095"/>
      <w:bookmarkEnd w:id="1103"/>
      <w:tr w14:paraId="6241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Merge w:val="restart"/>
            <w:tcBorders>
              <w:top w:val="single" w:color="auto" w:sz="4" w:space="0"/>
              <w:left w:val="single" w:color="auto" w:sz="4" w:space="0"/>
              <w:right w:val="single" w:color="auto" w:sz="4" w:space="0"/>
            </w:tcBorders>
            <w:vAlign w:val="center"/>
          </w:tcPr>
          <w:p w14:paraId="5CF4F54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bookmarkStart w:id="1108" w:name="OLE_LINK204" w:colFirst="2" w:colLast="2"/>
            <w:bookmarkStart w:id="1109" w:name="OLE_LINK524" w:colFirst="0" w:colLast="0"/>
            <w:bookmarkStart w:id="1110" w:name="OLE_LINK203" w:colFirst="1" w:colLast="1"/>
            <w:r>
              <w:rPr>
                <w:rFonts w:hint="eastAsia" w:ascii="宋体" w:hAnsi="宋体" w:eastAsia="宋体" w:cs="宋体"/>
                <w:color w:val="000000" w:themeColor="text1"/>
                <w:kern w:val="0"/>
                <w:szCs w:val="21"/>
                <w:highlight w:val="none"/>
                <w14:textFill>
                  <w14:solidFill>
                    <w14:schemeClr w14:val="tx1"/>
                  </w14:solidFill>
                </w14:textFill>
              </w:rPr>
              <w:t>2</w:t>
            </w:r>
          </w:p>
        </w:tc>
        <w:tc>
          <w:tcPr>
            <w:tcW w:w="491" w:type="pct"/>
            <w:vMerge w:val="restart"/>
            <w:tcBorders>
              <w:top w:val="single" w:color="auto" w:sz="4" w:space="0"/>
              <w:left w:val="single" w:color="auto" w:sz="4" w:space="0"/>
              <w:right w:val="single" w:color="auto" w:sz="4" w:space="0"/>
            </w:tcBorders>
            <w:vAlign w:val="center"/>
          </w:tcPr>
          <w:p w14:paraId="3C73050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bookmarkStart w:id="1111" w:name="OLE_LINK246"/>
            <w:r>
              <w:rPr>
                <w:rFonts w:hint="eastAsia" w:ascii="宋体" w:hAnsi="宋体" w:eastAsia="宋体" w:cs="宋体"/>
                <w:color w:val="000000" w:themeColor="text1"/>
                <w:kern w:val="0"/>
                <w:szCs w:val="21"/>
                <w:highlight w:val="none"/>
                <w14:textFill>
                  <w14:solidFill>
                    <w14:schemeClr w14:val="tx1"/>
                  </w14:solidFill>
                </w14:textFill>
              </w:rPr>
              <w:t>技术服务团队实力</w:t>
            </w:r>
          </w:p>
          <w:bookmarkEnd w:id="1111"/>
        </w:tc>
        <w:tc>
          <w:tcPr>
            <w:tcW w:w="491" w:type="pct"/>
            <w:tcBorders>
              <w:top w:val="single" w:color="auto" w:sz="4" w:space="0"/>
              <w:left w:val="single" w:color="auto" w:sz="4" w:space="0"/>
              <w:bottom w:val="single" w:color="auto" w:sz="4" w:space="0"/>
              <w:right w:val="single" w:color="auto" w:sz="4" w:space="0"/>
            </w:tcBorders>
            <w:vAlign w:val="center"/>
          </w:tcPr>
          <w:p w14:paraId="2395B68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项目负责人</w:t>
            </w:r>
          </w:p>
        </w:tc>
        <w:tc>
          <w:tcPr>
            <w:tcW w:w="3337" w:type="pct"/>
            <w:tcBorders>
              <w:top w:val="single" w:color="auto" w:sz="4" w:space="0"/>
              <w:left w:val="single" w:color="auto" w:sz="4" w:space="0"/>
              <w:bottom w:val="single" w:color="auto" w:sz="4" w:space="0"/>
              <w:right w:val="single" w:color="auto" w:sz="4" w:space="0"/>
            </w:tcBorders>
            <w:vAlign w:val="center"/>
          </w:tcPr>
          <w:p w14:paraId="4187A3EB">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bookmarkStart w:id="1112" w:name="OLE_LINK199"/>
            <w:r>
              <w:rPr>
                <w:rFonts w:hint="eastAsia" w:ascii="宋体" w:hAnsi="宋体" w:eastAsia="宋体" w:cs="宋体"/>
                <w:color w:val="000000" w:themeColor="text1"/>
                <w:szCs w:val="21"/>
                <w:highlight w:val="none"/>
                <w:lang w:bidi="ar"/>
                <w14:textFill>
                  <w14:solidFill>
                    <w14:schemeClr w14:val="tx1"/>
                  </w14:solidFill>
                </w14:textFill>
              </w:rPr>
              <w:t>根据各投标人拟投</w:t>
            </w:r>
            <w:bookmarkStart w:id="1113" w:name="OLE_LINK213"/>
            <w:r>
              <w:rPr>
                <w:rFonts w:hint="eastAsia" w:ascii="宋体" w:hAnsi="宋体" w:eastAsia="宋体" w:cs="宋体"/>
                <w:color w:val="000000" w:themeColor="text1"/>
                <w:szCs w:val="21"/>
                <w:highlight w:val="none"/>
                <w:lang w:bidi="ar"/>
                <w14:textFill>
                  <w14:solidFill>
                    <w14:schemeClr w14:val="tx1"/>
                  </w14:solidFill>
                </w14:textFill>
              </w:rPr>
              <w:t>入本项目</w:t>
            </w:r>
            <w:bookmarkEnd w:id="1113"/>
            <w:r>
              <w:rPr>
                <w:rFonts w:hint="eastAsia" w:ascii="宋体" w:hAnsi="宋体" w:eastAsia="宋体" w:cs="宋体"/>
                <w:color w:val="000000" w:themeColor="text1"/>
                <w:szCs w:val="21"/>
                <w:highlight w:val="none"/>
                <w:lang w:bidi="ar"/>
                <w14:textFill>
                  <w14:solidFill>
                    <w14:schemeClr w14:val="tx1"/>
                  </w14:solidFill>
                </w14:textFill>
              </w:rPr>
              <w:t>的</w:t>
            </w:r>
            <w:bookmarkEnd w:id="1112"/>
            <w:r>
              <w:rPr>
                <w:rFonts w:hint="eastAsia" w:ascii="宋体" w:hAnsi="宋体" w:eastAsia="宋体" w:cs="宋体"/>
                <w:color w:val="000000" w:themeColor="text1"/>
                <w:szCs w:val="21"/>
                <w:highlight w:val="none"/>
                <w:lang w:bidi="ar"/>
                <w14:textFill>
                  <w14:solidFill>
                    <w14:schemeClr w14:val="tx1"/>
                  </w14:solidFill>
                </w14:textFill>
              </w:rPr>
              <w:t>项目负责人</w:t>
            </w:r>
            <w:bookmarkStart w:id="1114" w:name="OLE_LINK209"/>
            <w:r>
              <w:rPr>
                <w:rFonts w:hint="eastAsia" w:ascii="宋体" w:hAnsi="宋体" w:eastAsia="宋体" w:cs="宋体"/>
                <w:color w:val="000000" w:themeColor="text1"/>
                <w:szCs w:val="21"/>
                <w:highlight w:val="none"/>
                <w:lang w:bidi="ar"/>
                <w14:textFill>
                  <w14:solidFill>
                    <w14:schemeClr w14:val="tx1"/>
                  </w14:solidFill>
                </w14:textFill>
              </w:rPr>
              <w:t>（仅一人）</w:t>
            </w:r>
            <w:bookmarkEnd w:id="1114"/>
            <w:bookmarkStart w:id="1115" w:name="OLE_LINK200"/>
            <w:r>
              <w:rPr>
                <w:rFonts w:hint="eastAsia" w:ascii="宋体" w:hAnsi="宋体" w:eastAsia="宋体" w:cs="宋体"/>
                <w:color w:val="000000" w:themeColor="text1"/>
                <w:szCs w:val="21"/>
                <w:highlight w:val="none"/>
                <w:lang w:bidi="ar"/>
                <w14:textFill>
                  <w14:solidFill>
                    <w14:schemeClr w14:val="tx1"/>
                  </w14:solidFill>
                </w14:textFill>
              </w:rPr>
              <w:t>进行评审</w:t>
            </w:r>
            <w:bookmarkEnd w:id="1115"/>
            <w:r>
              <w:rPr>
                <w:rFonts w:hint="eastAsia" w:ascii="宋体" w:hAnsi="宋体" w:eastAsia="宋体" w:cs="宋体"/>
                <w:color w:val="000000" w:themeColor="text1"/>
                <w:szCs w:val="21"/>
                <w:highlight w:val="none"/>
                <w:lang w:bidi="ar"/>
                <w14:textFill>
                  <w14:solidFill>
                    <w14:schemeClr w14:val="tx1"/>
                  </w14:solidFill>
                </w14:textFill>
              </w:rPr>
              <w:t>：</w:t>
            </w:r>
          </w:p>
          <w:p w14:paraId="0BA85088">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①具备二级或以上等级的注册建造师，建造师注册证书中列明的专业类别为机电工程，得1分；</w:t>
            </w:r>
          </w:p>
          <w:p w14:paraId="532622EF">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②具备工程类专业中级（或以上）工程师职称，得1分；</w:t>
            </w:r>
          </w:p>
          <w:p w14:paraId="79170722">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③具备建设行政主管部门颁发的安全生产考核合格证（须为项目负责人安全生产考核合格证，即“建安B”类证），得1分；</w:t>
            </w:r>
          </w:p>
          <w:p w14:paraId="03799B2A">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本子项最高得3分。</w:t>
            </w:r>
          </w:p>
          <w:p w14:paraId="6B425ED1">
            <w:pPr>
              <w:spacing w:line="360" w:lineRule="exact"/>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注：①若为联合体投标的，联合体任意一方提供的人员满足要求均予以认可；②须提供有效的相关证书复印件加盖投标人公章，并提供</w:t>
            </w:r>
            <w:bookmarkStart w:id="1116" w:name="OLE_LINK286"/>
            <w:r>
              <w:rPr>
                <w:rFonts w:hint="eastAsia" w:ascii="宋体" w:hAnsi="宋体" w:eastAsia="宋体" w:cs="宋体"/>
                <w:color w:val="000000" w:themeColor="text1"/>
                <w:szCs w:val="21"/>
                <w:highlight w:val="none"/>
                <w:lang w:bidi="ar"/>
                <w14:textFill>
                  <w14:solidFill>
                    <w14:schemeClr w14:val="tx1"/>
                  </w14:solidFill>
                </w14:textFill>
              </w:rPr>
              <w:t>由人力资源和社会保障部门（或税务部门）出具的</w:t>
            </w:r>
            <w:bookmarkEnd w:id="1116"/>
            <w:r>
              <w:rPr>
                <w:rFonts w:hint="eastAsia" w:ascii="宋体" w:hAnsi="宋体" w:eastAsia="宋体" w:cs="宋体"/>
                <w:color w:val="000000" w:themeColor="text1"/>
                <w:szCs w:val="21"/>
                <w:highlight w:val="none"/>
                <w:lang w:bidi="ar"/>
                <w14:textFill>
                  <w14:solidFill>
                    <w14:schemeClr w14:val="tx1"/>
                  </w14:solidFill>
                </w14:textFill>
              </w:rPr>
              <w:t>投标人2024年</w:t>
            </w:r>
            <w:r>
              <w:rPr>
                <w:rFonts w:ascii="宋体" w:hAnsi="宋体" w:eastAsia="宋体" w:cs="宋体"/>
                <w:color w:val="000000" w:themeColor="text1"/>
                <w:szCs w:val="21"/>
                <w:highlight w:val="none"/>
                <w:lang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月至2024年</w:t>
            </w:r>
            <w:r>
              <w:rPr>
                <w:rFonts w:ascii="宋体" w:hAnsi="宋体" w:eastAsia="宋体" w:cs="宋体"/>
                <w:color w:val="000000" w:themeColor="text1"/>
                <w:szCs w:val="21"/>
                <w:highlight w:val="none"/>
                <w:lang w:bidi="ar"/>
                <w14:textFill>
                  <w14:solidFill>
                    <w14:schemeClr w14:val="tx1"/>
                  </w14:solidFill>
                </w14:textFill>
              </w:rPr>
              <w:t>7</w:t>
            </w:r>
            <w:r>
              <w:rPr>
                <w:rFonts w:hint="eastAsia" w:ascii="宋体" w:hAnsi="宋体" w:eastAsia="宋体" w:cs="宋体"/>
                <w:color w:val="000000" w:themeColor="text1"/>
                <w:szCs w:val="21"/>
                <w:highlight w:val="none"/>
                <w:lang w:bidi="ar"/>
                <w14:textFill>
                  <w14:solidFill>
                    <w14:schemeClr w14:val="tx1"/>
                  </w14:solidFill>
                </w14:textFill>
              </w:rPr>
              <w:t>月为其缴纳的</w:t>
            </w:r>
            <w:bookmarkStart w:id="1117" w:name="OLE_LINK197"/>
            <w:r>
              <w:rPr>
                <w:rFonts w:hint="eastAsia" w:ascii="宋体" w:hAnsi="宋体" w:eastAsia="宋体" w:cs="宋体"/>
                <w:color w:val="000000" w:themeColor="text1"/>
                <w:szCs w:val="21"/>
                <w:highlight w:val="none"/>
                <w:lang w:bidi="ar"/>
                <w14:textFill>
                  <w14:solidFill>
                    <w14:schemeClr w14:val="tx1"/>
                  </w14:solidFill>
                </w14:textFill>
              </w:rPr>
              <w:t>社会保险凭证</w:t>
            </w:r>
            <w:bookmarkEnd w:id="1117"/>
            <w:r>
              <w:rPr>
                <w:rFonts w:hint="eastAsia" w:ascii="宋体" w:hAnsi="宋体" w:eastAsia="宋体" w:cs="宋体"/>
                <w:color w:val="000000" w:themeColor="text1"/>
                <w:szCs w:val="21"/>
                <w:highlight w:val="none"/>
                <w:lang w:bidi="ar"/>
                <w14:textFill>
                  <w14:solidFill>
                    <w14:schemeClr w14:val="tx1"/>
                  </w14:solidFill>
                </w14:textFill>
              </w:rPr>
              <w:t>复印件加盖投标人公章。</w:t>
            </w:r>
          </w:p>
        </w:tc>
        <w:tc>
          <w:tcPr>
            <w:tcW w:w="394" w:type="pct"/>
            <w:tcBorders>
              <w:top w:val="single" w:color="auto" w:sz="4" w:space="0"/>
              <w:left w:val="single" w:color="auto" w:sz="4" w:space="0"/>
              <w:bottom w:val="single" w:color="auto" w:sz="4" w:space="0"/>
              <w:right w:val="single" w:color="auto" w:sz="4" w:space="0"/>
            </w:tcBorders>
            <w:vAlign w:val="center"/>
          </w:tcPr>
          <w:p w14:paraId="6C3C597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r>
      <w:tr w14:paraId="4532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Merge w:val="continue"/>
            <w:tcBorders>
              <w:left w:val="single" w:color="auto" w:sz="4" w:space="0"/>
              <w:bottom w:val="single" w:color="auto" w:sz="4" w:space="0"/>
              <w:right w:val="single" w:color="auto" w:sz="4" w:space="0"/>
            </w:tcBorders>
            <w:vAlign w:val="center"/>
          </w:tcPr>
          <w:p w14:paraId="0D24CE5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bookmarkStart w:id="1118" w:name="OLE_LINK214" w:colFirst="1" w:colLast="1"/>
          </w:p>
        </w:tc>
        <w:tc>
          <w:tcPr>
            <w:tcW w:w="491" w:type="pct"/>
            <w:vMerge w:val="continue"/>
            <w:tcBorders>
              <w:left w:val="single" w:color="auto" w:sz="4" w:space="0"/>
              <w:bottom w:val="single" w:color="auto" w:sz="4" w:space="0"/>
              <w:right w:val="single" w:color="auto" w:sz="4" w:space="0"/>
            </w:tcBorders>
            <w:vAlign w:val="center"/>
          </w:tcPr>
          <w:p w14:paraId="580BECF7">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p>
        </w:tc>
        <w:tc>
          <w:tcPr>
            <w:tcW w:w="491" w:type="pct"/>
            <w:tcBorders>
              <w:top w:val="single" w:color="auto" w:sz="4" w:space="0"/>
              <w:left w:val="single" w:color="auto" w:sz="4" w:space="0"/>
              <w:bottom w:val="single" w:color="auto" w:sz="4" w:space="0"/>
              <w:right w:val="single" w:color="auto" w:sz="4" w:space="0"/>
            </w:tcBorders>
            <w:vAlign w:val="center"/>
          </w:tcPr>
          <w:p w14:paraId="5C8E9D04">
            <w:pPr>
              <w:spacing w:line="360" w:lineRule="exact"/>
              <w:jc w:val="center"/>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团队人员（除项目负责人外）</w:t>
            </w:r>
          </w:p>
        </w:tc>
        <w:tc>
          <w:tcPr>
            <w:tcW w:w="3337" w:type="pct"/>
            <w:tcBorders>
              <w:top w:val="single" w:color="auto" w:sz="4" w:space="0"/>
              <w:left w:val="single" w:color="auto" w:sz="4" w:space="0"/>
              <w:bottom w:val="single" w:color="auto" w:sz="4" w:space="0"/>
              <w:right w:val="single" w:color="auto" w:sz="4" w:space="0"/>
            </w:tcBorders>
            <w:vAlign w:val="center"/>
          </w:tcPr>
          <w:p w14:paraId="662A81C3">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根据各投标人拟投入本项目的团队人员（除项目负责人外）进行评审：</w:t>
            </w:r>
          </w:p>
          <w:p w14:paraId="07C0F17B">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①具备工程类专业中级（或以上）工程师职称，每提供一人得1分，本</w:t>
            </w:r>
            <w:bookmarkStart w:id="1119" w:name="OLE_LINK207"/>
            <w:r>
              <w:rPr>
                <w:rFonts w:hint="eastAsia" w:ascii="宋体" w:hAnsi="宋体" w:eastAsia="宋体" w:cs="宋体"/>
                <w:color w:val="000000" w:themeColor="text1"/>
                <w:szCs w:val="21"/>
                <w:highlight w:val="none"/>
                <w:lang w:bidi="ar"/>
                <w14:textFill>
                  <w14:solidFill>
                    <w14:schemeClr w14:val="tx1"/>
                  </w14:solidFill>
                </w14:textFill>
              </w:rPr>
              <w:t>子</w:t>
            </w:r>
            <w:bookmarkEnd w:id="1119"/>
            <w:r>
              <w:rPr>
                <w:rFonts w:hint="eastAsia" w:ascii="宋体" w:hAnsi="宋体" w:eastAsia="宋体" w:cs="宋体"/>
                <w:color w:val="000000" w:themeColor="text1"/>
                <w:szCs w:val="21"/>
                <w:highlight w:val="none"/>
                <w:lang w:bidi="ar"/>
                <w14:textFill>
                  <w14:solidFill>
                    <w14:schemeClr w14:val="tx1"/>
                  </w14:solidFill>
                </w14:textFill>
              </w:rPr>
              <w:t>项最高得分2分；</w:t>
            </w:r>
          </w:p>
          <w:p w14:paraId="0FFCB4C8">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②具备在有效期内的《特种作业操作证》</w:t>
            </w:r>
            <w:r>
              <w:rPr>
                <w:rFonts w:ascii="宋体" w:hAnsi="宋体" w:eastAsia="宋体" w:cs="宋体"/>
                <w:color w:val="000000" w:themeColor="text1"/>
                <w:szCs w:val="21"/>
                <w:highlight w:val="none"/>
                <w:lang w:bidi="ar"/>
                <w14:textFill>
                  <w14:solidFill>
                    <w14:schemeClr w14:val="tx1"/>
                  </w14:solidFill>
                </w14:textFill>
              </w:rPr>
              <w:t>(作业类别为电工作业，操作项目为高压电工作业或低压电工作业)</w:t>
            </w:r>
            <w:r>
              <w:rPr>
                <w:rFonts w:hint="eastAsia" w:ascii="宋体" w:hAnsi="宋体" w:eastAsia="宋体" w:cs="宋体"/>
                <w:color w:val="000000" w:themeColor="text1"/>
                <w:szCs w:val="21"/>
                <w:highlight w:val="none"/>
                <w:lang w:bidi="ar"/>
                <w14:textFill>
                  <w14:solidFill>
                    <w14:schemeClr w14:val="tx1"/>
                  </w14:solidFill>
                </w14:textFill>
              </w:rPr>
              <w:t>，每提供一人得1分，本子项最高得2分；</w:t>
            </w:r>
          </w:p>
          <w:p w14:paraId="6CB01FDD">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③具备在有效期内的《特种作业操作证》</w:t>
            </w:r>
            <w:r>
              <w:rPr>
                <w:rFonts w:ascii="宋体" w:hAnsi="宋体" w:eastAsia="宋体" w:cs="宋体"/>
                <w:color w:val="000000" w:themeColor="text1"/>
                <w:szCs w:val="21"/>
                <w:highlight w:val="none"/>
                <w:lang w:bidi="ar"/>
                <w14:textFill>
                  <w14:solidFill>
                    <w14:schemeClr w14:val="tx1"/>
                  </w14:solidFill>
                </w14:textFill>
              </w:rPr>
              <w:t>(作业类别为高处作业，操作项目为高处安装、维护、拆除作业)</w:t>
            </w:r>
            <w:r>
              <w:rPr>
                <w:rFonts w:hint="eastAsia" w:ascii="宋体" w:hAnsi="宋体" w:eastAsia="宋体" w:cs="宋体"/>
                <w:color w:val="000000" w:themeColor="text1"/>
                <w:szCs w:val="21"/>
                <w:highlight w:val="none"/>
                <w:lang w:bidi="ar"/>
                <w14:textFill>
                  <w14:solidFill>
                    <w14:schemeClr w14:val="tx1"/>
                  </w14:solidFill>
                </w14:textFill>
              </w:rPr>
              <w:t>，每提供一人得1分，</w:t>
            </w:r>
            <w:bookmarkStart w:id="1120" w:name="OLE_LINK210"/>
            <w:r>
              <w:rPr>
                <w:rFonts w:hint="eastAsia" w:ascii="宋体" w:hAnsi="宋体" w:eastAsia="宋体" w:cs="宋体"/>
                <w:color w:val="000000" w:themeColor="text1"/>
                <w:szCs w:val="21"/>
                <w:highlight w:val="none"/>
                <w:lang w:bidi="ar"/>
                <w14:textFill>
                  <w14:solidFill>
                    <w14:schemeClr w14:val="tx1"/>
                  </w14:solidFill>
                </w14:textFill>
              </w:rPr>
              <w:t>本子项</w:t>
            </w:r>
            <w:bookmarkEnd w:id="1120"/>
            <w:r>
              <w:rPr>
                <w:rFonts w:hint="eastAsia" w:ascii="宋体" w:hAnsi="宋体" w:eastAsia="宋体" w:cs="宋体"/>
                <w:color w:val="000000" w:themeColor="text1"/>
                <w:szCs w:val="21"/>
                <w:highlight w:val="none"/>
                <w:lang w:bidi="ar"/>
                <w14:textFill>
                  <w14:solidFill>
                    <w14:schemeClr w14:val="tx1"/>
                  </w14:solidFill>
                </w14:textFill>
              </w:rPr>
              <w:t>最高得2分；</w:t>
            </w:r>
          </w:p>
          <w:p w14:paraId="3BC35EDE">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④具备在有效期内的《特种作业操作证》</w:t>
            </w:r>
            <w:r>
              <w:rPr>
                <w:rFonts w:ascii="宋体" w:hAnsi="宋体" w:eastAsia="宋体" w:cs="宋体"/>
                <w:color w:val="000000" w:themeColor="text1"/>
                <w:szCs w:val="21"/>
                <w:highlight w:val="none"/>
                <w:lang w:bidi="ar"/>
                <w14:textFill>
                  <w14:solidFill>
                    <w14:schemeClr w14:val="tx1"/>
                  </w14:solidFill>
                </w14:textFill>
              </w:rPr>
              <w:t>(作业类别为焊接与热切割作业，操作项目为熔化焊接与热切割作业)</w:t>
            </w:r>
            <w:r>
              <w:rPr>
                <w:rFonts w:hint="eastAsia" w:ascii="宋体" w:hAnsi="宋体" w:eastAsia="宋体" w:cs="宋体"/>
                <w:color w:val="000000" w:themeColor="text1"/>
                <w:szCs w:val="21"/>
                <w:highlight w:val="none"/>
                <w:lang w:bidi="ar"/>
                <w14:textFill>
                  <w14:solidFill>
                    <w14:schemeClr w14:val="tx1"/>
                  </w14:solidFill>
                </w14:textFill>
              </w:rPr>
              <w:t>，每提供人得1分，本子项最高得2分；</w:t>
            </w:r>
          </w:p>
          <w:p w14:paraId="511B2E9C">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本项最高得8分。</w:t>
            </w:r>
          </w:p>
          <w:p w14:paraId="1AD7E6D9">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bookmarkStart w:id="1121" w:name="OLE_LINK202"/>
            <w:r>
              <w:rPr>
                <w:rFonts w:hint="eastAsia" w:ascii="宋体" w:hAnsi="宋体" w:eastAsia="宋体" w:cs="宋体"/>
                <w:color w:val="000000" w:themeColor="text1"/>
                <w:szCs w:val="21"/>
                <w:highlight w:val="none"/>
                <w:lang w:bidi="ar"/>
                <w14:textFill>
                  <w14:solidFill>
                    <w14:schemeClr w14:val="tx1"/>
                  </w14:solidFill>
                </w14:textFill>
              </w:rPr>
              <w:t>注：①若为联合体投标的，联合体任意一方提供的人员满足要求均予以认可；②以上人员不得重复得分，若同一人员同时具有上述证书的，按最高分值计算一次得分，不重复计分；③须提供有效的相关证书复印件</w:t>
            </w:r>
            <w:bookmarkStart w:id="1122" w:name="OLE_LINK352"/>
            <w:r>
              <w:rPr>
                <w:rFonts w:hint="eastAsia" w:ascii="宋体" w:hAnsi="宋体" w:eastAsia="宋体" w:cs="宋体"/>
                <w:color w:val="000000" w:themeColor="text1"/>
                <w:szCs w:val="21"/>
                <w:highlight w:val="none"/>
                <w:lang w:bidi="ar"/>
                <w14:textFill>
                  <w14:solidFill>
                    <w14:schemeClr w14:val="tx1"/>
                  </w14:solidFill>
                </w14:textFill>
              </w:rPr>
              <w:t>加盖投标人公章，并提供由人力资源和社会保障部门（或税务部门）出具的投标人</w:t>
            </w:r>
            <w:bookmarkStart w:id="1123" w:name="OLE_LINK211"/>
            <w:r>
              <w:rPr>
                <w:rFonts w:hint="eastAsia" w:ascii="宋体" w:hAnsi="宋体" w:eastAsia="宋体" w:cs="宋体"/>
                <w:color w:val="000000" w:themeColor="text1"/>
                <w:szCs w:val="21"/>
                <w:highlight w:val="none"/>
                <w:lang w:bidi="ar"/>
                <w14:textFill>
                  <w14:solidFill>
                    <w14:schemeClr w14:val="tx1"/>
                  </w14:solidFill>
                </w14:textFill>
              </w:rPr>
              <w:t>2024年</w:t>
            </w:r>
            <w:r>
              <w:rPr>
                <w:rFonts w:ascii="宋体" w:hAnsi="宋体" w:eastAsia="宋体" w:cs="宋体"/>
                <w:color w:val="000000" w:themeColor="text1"/>
                <w:szCs w:val="21"/>
                <w:highlight w:val="none"/>
                <w:lang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月至2024年</w:t>
            </w:r>
            <w:r>
              <w:rPr>
                <w:rFonts w:ascii="宋体" w:hAnsi="宋体" w:eastAsia="宋体" w:cs="宋体"/>
                <w:color w:val="000000" w:themeColor="text1"/>
                <w:szCs w:val="21"/>
                <w:highlight w:val="none"/>
                <w:lang w:bidi="ar"/>
                <w14:textFill>
                  <w14:solidFill>
                    <w14:schemeClr w14:val="tx1"/>
                  </w14:solidFill>
                </w14:textFill>
              </w:rPr>
              <w:t>7</w:t>
            </w:r>
            <w:r>
              <w:rPr>
                <w:rFonts w:hint="eastAsia" w:ascii="宋体" w:hAnsi="宋体" w:eastAsia="宋体" w:cs="宋体"/>
                <w:color w:val="000000" w:themeColor="text1"/>
                <w:szCs w:val="21"/>
                <w:highlight w:val="none"/>
                <w:lang w:bidi="ar"/>
                <w14:textFill>
                  <w14:solidFill>
                    <w14:schemeClr w14:val="tx1"/>
                  </w14:solidFill>
                </w14:textFill>
              </w:rPr>
              <w:t>月</w:t>
            </w:r>
            <w:bookmarkEnd w:id="1123"/>
            <w:r>
              <w:rPr>
                <w:rFonts w:hint="eastAsia" w:ascii="宋体" w:hAnsi="宋体" w:eastAsia="宋体" w:cs="宋体"/>
                <w:color w:val="000000" w:themeColor="text1"/>
                <w:szCs w:val="21"/>
                <w:highlight w:val="none"/>
                <w:lang w:bidi="ar"/>
                <w14:textFill>
                  <w14:solidFill>
                    <w14:schemeClr w14:val="tx1"/>
                  </w14:solidFill>
                </w14:textFill>
              </w:rPr>
              <w:t>为其缴纳的社会保险凭证复印件加盖投标人公章</w:t>
            </w:r>
            <w:bookmarkEnd w:id="1122"/>
            <w:r>
              <w:rPr>
                <w:rFonts w:hint="eastAsia" w:ascii="宋体" w:hAnsi="宋体" w:eastAsia="宋体" w:cs="宋体"/>
                <w:color w:val="000000" w:themeColor="text1"/>
                <w:szCs w:val="21"/>
                <w:highlight w:val="none"/>
                <w:lang w:bidi="ar"/>
                <w14:textFill>
                  <w14:solidFill>
                    <w14:schemeClr w14:val="tx1"/>
                  </w14:solidFill>
                </w14:textFill>
              </w:rPr>
              <w:t>。</w:t>
            </w:r>
            <w:bookmarkEnd w:id="1121"/>
          </w:p>
        </w:tc>
        <w:tc>
          <w:tcPr>
            <w:tcW w:w="394" w:type="pct"/>
            <w:tcBorders>
              <w:top w:val="single" w:color="auto" w:sz="4" w:space="0"/>
              <w:left w:val="single" w:color="auto" w:sz="4" w:space="0"/>
              <w:bottom w:val="single" w:color="auto" w:sz="4" w:space="0"/>
              <w:right w:val="single" w:color="auto" w:sz="4" w:space="0"/>
            </w:tcBorders>
            <w:vAlign w:val="center"/>
          </w:tcPr>
          <w:p w14:paraId="67BFD3F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r>
      <w:bookmarkEnd w:id="1108"/>
      <w:bookmarkEnd w:id="1109"/>
      <w:bookmarkEnd w:id="1110"/>
      <w:tr w14:paraId="1FF8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46CFDC0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491" w:type="pct"/>
            <w:tcBorders>
              <w:top w:val="single" w:color="auto" w:sz="4" w:space="0"/>
              <w:left w:val="single" w:color="auto" w:sz="4" w:space="0"/>
              <w:bottom w:val="single" w:color="auto" w:sz="4" w:space="0"/>
              <w:right w:val="single" w:color="auto" w:sz="4" w:space="0"/>
            </w:tcBorders>
            <w:vAlign w:val="center"/>
          </w:tcPr>
          <w:p w14:paraId="2F37D80C">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bookmarkStart w:id="1124" w:name="OLE_LINK238"/>
            <w:bookmarkStart w:id="1125" w:name="OLE_LINK247"/>
            <w:r>
              <w:rPr>
                <w:rFonts w:hint="eastAsia" w:ascii="宋体" w:hAnsi="宋体" w:eastAsia="宋体" w:cs="宋体"/>
                <w:color w:val="000000" w:themeColor="text1"/>
                <w:szCs w:val="21"/>
                <w:highlight w:val="none"/>
                <w:lang w:bidi="ar"/>
                <w14:textFill>
                  <w14:solidFill>
                    <w14:schemeClr w14:val="tx1"/>
                  </w14:solidFill>
                </w14:textFill>
              </w:rPr>
              <w:t>系统总体设计</w:t>
            </w:r>
            <w:bookmarkEnd w:id="1124"/>
          </w:p>
        </w:tc>
        <w:tc>
          <w:tcPr>
            <w:tcW w:w="491" w:type="pct"/>
            <w:tcBorders>
              <w:top w:val="single" w:color="auto" w:sz="4" w:space="0"/>
              <w:left w:val="single" w:color="auto" w:sz="4" w:space="0"/>
              <w:bottom w:val="single" w:color="auto" w:sz="4" w:space="0"/>
              <w:right w:val="single" w:color="auto" w:sz="4" w:space="0"/>
            </w:tcBorders>
            <w:vAlign w:val="center"/>
          </w:tcPr>
          <w:p w14:paraId="0C681B5B">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设计方案</w:t>
            </w:r>
            <w:bookmarkEnd w:id="1125"/>
          </w:p>
        </w:tc>
        <w:tc>
          <w:tcPr>
            <w:tcW w:w="3337" w:type="pct"/>
            <w:tcBorders>
              <w:top w:val="single" w:color="auto" w:sz="4" w:space="0"/>
              <w:left w:val="single" w:color="auto" w:sz="4" w:space="0"/>
              <w:bottom w:val="single" w:color="auto" w:sz="4" w:space="0"/>
              <w:right w:val="single" w:color="auto" w:sz="4" w:space="0"/>
            </w:tcBorders>
            <w:vAlign w:val="center"/>
          </w:tcPr>
          <w:p w14:paraId="10EE211E">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根据各投标人针对本项目提供的技术方案，包括但不限于对本项目重点难点分析、场地分析、整体规划布置、技术措施、设计服务承诺等进行评审： </w:t>
            </w:r>
          </w:p>
          <w:p w14:paraId="1A793213">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优：对用户需求和问题分析清晰深刻，有全面且详细的方案内容描述，具体功能实现描述详尽，</w:t>
            </w:r>
            <w:bookmarkStart w:id="1126" w:name="OLE_LINK184"/>
            <w:r>
              <w:rPr>
                <w:rFonts w:hint="eastAsia" w:ascii="宋体" w:hAnsi="宋体" w:eastAsia="宋体" w:cs="宋体"/>
                <w:color w:val="000000" w:themeColor="text1"/>
                <w:szCs w:val="21"/>
                <w:highlight w:val="none"/>
                <w:lang w:bidi="ar"/>
                <w14:textFill>
                  <w14:solidFill>
                    <w14:schemeClr w14:val="tx1"/>
                  </w14:solidFill>
                </w14:textFill>
              </w:rPr>
              <w:t>可实施程度高</w:t>
            </w:r>
            <w:bookmarkEnd w:id="1126"/>
            <w:r>
              <w:rPr>
                <w:rFonts w:hint="eastAsia" w:ascii="宋体" w:hAnsi="宋体" w:eastAsia="宋体" w:cs="宋体"/>
                <w:color w:val="000000" w:themeColor="text1"/>
                <w:szCs w:val="21"/>
                <w:highlight w:val="none"/>
                <w:lang w:bidi="ar"/>
                <w14:textFill>
                  <w14:solidFill>
                    <w14:schemeClr w14:val="tx1"/>
                  </w14:solidFill>
                </w14:textFill>
              </w:rPr>
              <w:t>，得[3-2]分；</w:t>
            </w:r>
          </w:p>
          <w:p w14:paraId="3682C2E4">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良：</w:t>
            </w:r>
            <w:bookmarkStart w:id="1127" w:name="OLE_LINK185"/>
            <w:r>
              <w:rPr>
                <w:rFonts w:hint="eastAsia" w:ascii="宋体" w:hAnsi="宋体" w:eastAsia="宋体" w:cs="宋体"/>
                <w:color w:val="000000" w:themeColor="text1"/>
                <w:szCs w:val="21"/>
                <w:highlight w:val="none"/>
                <w:lang w:bidi="ar"/>
                <w14:textFill>
                  <w14:solidFill>
                    <w14:schemeClr w14:val="tx1"/>
                  </w14:solidFill>
                </w14:textFill>
              </w:rPr>
              <w:t>对用户需求和问题分析基本清晰，</w:t>
            </w:r>
            <w:bookmarkEnd w:id="1127"/>
            <w:bookmarkStart w:id="1128" w:name="OLE_LINK188"/>
            <w:r>
              <w:rPr>
                <w:rFonts w:hint="eastAsia" w:ascii="宋体" w:hAnsi="宋体" w:eastAsia="宋体" w:cs="宋体"/>
                <w:color w:val="000000" w:themeColor="text1"/>
                <w:szCs w:val="21"/>
                <w:highlight w:val="none"/>
                <w:lang w:bidi="ar"/>
                <w14:textFill>
                  <w14:solidFill>
                    <w14:schemeClr w14:val="tx1"/>
                  </w14:solidFill>
                </w14:textFill>
              </w:rPr>
              <w:t>有较为全面的</w:t>
            </w:r>
            <w:bookmarkStart w:id="1129" w:name="OLE_LINK187"/>
            <w:r>
              <w:rPr>
                <w:rFonts w:hint="eastAsia" w:ascii="宋体" w:hAnsi="宋体" w:eastAsia="宋体" w:cs="宋体"/>
                <w:color w:val="000000" w:themeColor="text1"/>
                <w:szCs w:val="21"/>
                <w:highlight w:val="none"/>
                <w:lang w:bidi="ar"/>
                <w14:textFill>
                  <w14:solidFill>
                    <w14:schemeClr w14:val="tx1"/>
                  </w14:solidFill>
                </w14:textFill>
              </w:rPr>
              <w:t>方案内容描述</w:t>
            </w:r>
            <w:bookmarkEnd w:id="1129"/>
            <w:r>
              <w:rPr>
                <w:rFonts w:hint="eastAsia" w:ascii="宋体" w:hAnsi="宋体" w:eastAsia="宋体" w:cs="宋体"/>
                <w:color w:val="000000" w:themeColor="text1"/>
                <w:szCs w:val="21"/>
                <w:highlight w:val="none"/>
                <w:lang w:bidi="ar"/>
                <w14:textFill>
                  <w14:solidFill>
                    <w14:schemeClr w14:val="tx1"/>
                  </w14:solidFill>
                </w14:textFill>
              </w:rPr>
              <w:t>，</w:t>
            </w:r>
            <w:bookmarkEnd w:id="1128"/>
            <w:r>
              <w:rPr>
                <w:rFonts w:hint="eastAsia" w:ascii="宋体" w:hAnsi="宋体" w:eastAsia="宋体" w:cs="宋体"/>
                <w:color w:val="000000" w:themeColor="text1"/>
                <w:szCs w:val="21"/>
                <w:highlight w:val="none"/>
                <w:lang w:bidi="ar"/>
                <w14:textFill>
                  <w14:solidFill>
                    <w14:schemeClr w14:val="tx1"/>
                  </w14:solidFill>
                </w14:textFill>
              </w:rPr>
              <w:t>具体功能实现描述欠详尽，</w:t>
            </w:r>
            <w:bookmarkStart w:id="1130" w:name="OLE_LINK189"/>
            <w:r>
              <w:rPr>
                <w:rFonts w:hint="eastAsia" w:ascii="宋体" w:hAnsi="宋体" w:eastAsia="宋体" w:cs="宋体"/>
                <w:color w:val="000000" w:themeColor="text1"/>
                <w:szCs w:val="21"/>
                <w:highlight w:val="none"/>
                <w:lang w:bidi="ar"/>
                <w14:textFill>
                  <w14:solidFill>
                    <w14:schemeClr w14:val="tx1"/>
                  </w14:solidFill>
                </w14:textFill>
              </w:rPr>
              <w:t>可实施程度较高，</w:t>
            </w:r>
            <w:bookmarkEnd w:id="1130"/>
            <w:r>
              <w:rPr>
                <w:rFonts w:hint="eastAsia" w:ascii="宋体" w:hAnsi="宋体" w:eastAsia="宋体" w:cs="宋体"/>
                <w:color w:val="000000" w:themeColor="text1"/>
                <w:szCs w:val="21"/>
                <w:highlight w:val="none"/>
                <w:lang w:bidi="ar"/>
                <w14:textFill>
                  <w14:solidFill>
                    <w14:schemeClr w14:val="tx1"/>
                  </w14:solidFill>
                </w14:textFill>
              </w:rPr>
              <w:t>得（2-1]分；</w:t>
            </w:r>
          </w:p>
          <w:p w14:paraId="517B8350">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中：对用户需求和问题分析一般，</w:t>
            </w:r>
            <w:bookmarkStart w:id="1131" w:name="OLE_LINK196"/>
            <w:r>
              <w:rPr>
                <w:rFonts w:hint="eastAsia" w:ascii="宋体" w:hAnsi="宋体" w:eastAsia="宋体" w:cs="宋体"/>
                <w:color w:val="000000" w:themeColor="text1"/>
                <w:szCs w:val="21"/>
                <w:highlight w:val="none"/>
                <w:lang w:bidi="ar"/>
                <w14:textFill>
                  <w14:solidFill>
                    <w14:schemeClr w14:val="tx1"/>
                  </w14:solidFill>
                </w14:textFill>
              </w:rPr>
              <w:t>有简单的</w:t>
            </w:r>
            <w:bookmarkStart w:id="1132" w:name="OLE_LINK195"/>
            <w:r>
              <w:rPr>
                <w:rFonts w:hint="eastAsia" w:ascii="宋体" w:hAnsi="宋体" w:eastAsia="宋体" w:cs="宋体"/>
                <w:color w:val="000000" w:themeColor="text1"/>
                <w:szCs w:val="21"/>
                <w:highlight w:val="none"/>
                <w:lang w:bidi="ar"/>
                <w14:textFill>
                  <w14:solidFill>
                    <w14:schemeClr w14:val="tx1"/>
                  </w14:solidFill>
                </w14:textFill>
              </w:rPr>
              <w:t>方案内容描述</w:t>
            </w:r>
            <w:bookmarkEnd w:id="1131"/>
            <w:bookmarkEnd w:id="1132"/>
            <w:r>
              <w:rPr>
                <w:rFonts w:hint="eastAsia" w:ascii="宋体" w:hAnsi="宋体" w:eastAsia="宋体" w:cs="宋体"/>
                <w:color w:val="000000" w:themeColor="text1"/>
                <w:szCs w:val="21"/>
                <w:highlight w:val="none"/>
                <w:lang w:bidi="ar"/>
                <w14:textFill>
                  <w14:solidFill>
                    <w14:schemeClr w14:val="tx1"/>
                  </w14:solidFill>
                </w14:textFill>
              </w:rPr>
              <w:t>，具体功能实现描述存在缺失，</w:t>
            </w:r>
            <w:bookmarkStart w:id="1133" w:name="OLE_LINK192"/>
            <w:r>
              <w:rPr>
                <w:rFonts w:hint="eastAsia" w:ascii="宋体" w:hAnsi="宋体" w:eastAsia="宋体" w:cs="宋体"/>
                <w:color w:val="000000" w:themeColor="text1"/>
                <w:szCs w:val="21"/>
                <w:highlight w:val="none"/>
                <w:lang w:bidi="ar"/>
                <w14:textFill>
                  <w14:solidFill>
                    <w14:schemeClr w14:val="tx1"/>
                  </w14:solidFill>
                </w14:textFill>
              </w:rPr>
              <w:t>可实施程度一般，</w:t>
            </w:r>
            <w:bookmarkEnd w:id="1133"/>
            <w:r>
              <w:rPr>
                <w:rFonts w:hint="eastAsia" w:ascii="宋体" w:hAnsi="宋体" w:eastAsia="宋体" w:cs="宋体"/>
                <w:color w:val="000000" w:themeColor="text1"/>
                <w:szCs w:val="21"/>
                <w:highlight w:val="none"/>
                <w:lang w:bidi="ar"/>
                <w14:textFill>
                  <w14:solidFill>
                    <w14:schemeClr w14:val="tx1"/>
                  </w14:solidFill>
                </w14:textFill>
              </w:rPr>
              <w:t>得（1-0.5]分；</w:t>
            </w:r>
          </w:p>
          <w:p w14:paraId="0A696FC7">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差：对用户需求和问题分析简单，有简单的方案内容描述，具体功能实现描述严重缺失，</w:t>
            </w:r>
            <w:bookmarkStart w:id="1134" w:name="OLE_LINK193"/>
            <w:r>
              <w:rPr>
                <w:rFonts w:hint="eastAsia" w:ascii="宋体" w:hAnsi="宋体" w:eastAsia="宋体" w:cs="宋体"/>
                <w:color w:val="000000" w:themeColor="text1"/>
                <w:szCs w:val="21"/>
                <w:highlight w:val="none"/>
                <w:lang w:bidi="ar"/>
                <w14:textFill>
                  <w14:solidFill>
                    <w14:schemeClr w14:val="tx1"/>
                  </w14:solidFill>
                </w14:textFill>
              </w:rPr>
              <w:t>可实施程度低</w:t>
            </w:r>
            <w:bookmarkEnd w:id="1134"/>
            <w:r>
              <w:rPr>
                <w:rFonts w:hint="eastAsia" w:ascii="宋体" w:hAnsi="宋体" w:eastAsia="宋体" w:cs="宋体"/>
                <w:color w:val="000000" w:themeColor="text1"/>
                <w:szCs w:val="21"/>
                <w:highlight w:val="none"/>
                <w:lang w:bidi="ar"/>
                <w14:textFill>
                  <w14:solidFill>
                    <w14:schemeClr w14:val="tx1"/>
                  </w14:solidFill>
                </w14:textFill>
              </w:rPr>
              <w:t>，得（0.5-0]分。</w:t>
            </w:r>
          </w:p>
        </w:tc>
        <w:tc>
          <w:tcPr>
            <w:tcW w:w="394" w:type="pct"/>
            <w:tcBorders>
              <w:top w:val="single" w:color="auto" w:sz="4" w:space="0"/>
              <w:left w:val="single" w:color="auto" w:sz="4" w:space="0"/>
              <w:bottom w:val="single" w:color="auto" w:sz="4" w:space="0"/>
              <w:right w:val="single" w:color="auto" w:sz="4" w:space="0"/>
            </w:tcBorders>
            <w:vAlign w:val="center"/>
          </w:tcPr>
          <w:p w14:paraId="09F1E55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r>
      <w:tr w14:paraId="5BA4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Merge w:val="restart"/>
            <w:tcBorders>
              <w:top w:val="single" w:color="auto" w:sz="4" w:space="0"/>
              <w:left w:val="single" w:color="auto" w:sz="4" w:space="0"/>
              <w:right w:val="single" w:color="auto" w:sz="4" w:space="0"/>
            </w:tcBorders>
            <w:vAlign w:val="center"/>
          </w:tcPr>
          <w:p w14:paraId="23F1AE2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bookmarkStart w:id="1135" w:name="OLE_LINK205" w:colFirst="1" w:colLast="1"/>
            <w:r>
              <w:rPr>
                <w:rFonts w:hint="eastAsia" w:ascii="宋体" w:hAnsi="宋体" w:eastAsia="宋体" w:cs="宋体"/>
                <w:color w:val="000000" w:themeColor="text1"/>
                <w:kern w:val="0"/>
                <w:szCs w:val="21"/>
                <w:highlight w:val="none"/>
                <w14:textFill>
                  <w14:solidFill>
                    <w14:schemeClr w14:val="tx1"/>
                  </w14:solidFill>
                </w14:textFill>
              </w:rPr>
              <w:t>4</w:t>
            </w:r>
          </w:p>
        </w:tc>
        <w:tc>
          <w:tcPr>
            <w:tcW w:w="491" w:type="pct"/>
            <w:vMerge w:val="restart"/>
            <w:tcBorders>
              <w:top w:val="single" w:color="auto" w:sz="4" w:space="0"/>
              <w:left w:val="single" w:color="auto" w:sz="4" w:space="0"/>
              <w:right w:val="single" w:color="auto" w:sz="4" w:space="0"/>
            </w:tcBorders>
            <w:vAlign w:val="center"/>
          </w:tcPr>
          <w:p w14:paraId="09B40184">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bookmarkStart w:id="1136" w:name="OLE_LINK239"/>
            <w:bookmarkStart w:id="1137" w:name="OLE_LINK254"/>
            <w:r>
              <w:rPr>
                <w:rFonts w:hint="eastAsia" w:ascii="宋体" w:hAnsi="宋体" w:eastAsia="宋体" w:cs="宋体"/>
                <w:color w:val="000000" w:themeColor="text1"/>
                <w:szCs w:val="21"/>
                <w:highlight w:val="none"/>
                <w:lang w:bidi="ar"/>
                <w14:textFill>
                  <w14:solidFill>
                    <w14:schemeClr w14:val="tx1"/>
                  </w14:solidFill>
                </w14:textFill>
              </w:rPr>
              <w:t>项目管理和项目</w:t>
            </w:r>
            <w:bookmarkStart w:id="1138" w:name="OLE_LINK179"/>
            <w:r>
              <w:rPr>
                <w:rFonts w:hint="eastAsia" w:ascii="宋体" w:hAnsi="宋体" w:eastAsia="宋体" w:cs="宋体"/>
                <w:color w:val="000000" w:themeColor="text1"/>
                <w:szCs w:val="21"/>
                <w:highlight w:val="none"/>
                <w:lang w:bidi="ar"/>
                <w14:textFill>
                  <w14:solidFill>
                    <w14:schemeClr w14:val="tx1"/>
                  </w14:solidFill>
                </w14:textFill>
              </w:rPr>
              <w:t>实施</w:t>
            </w:r>
            <w:bookmarkEnd w:id="1138"/>
            <w:r>
              <w:rPr>
                <w:rFonts w:hint="eastAsia" w:ascii="宋体" w:hAnsi="宋体" w:eastAsia="宋体" w:cs="宋体"/>
                <w:color w:val="000000" w:themeColor="text1"/>
                <w:szCs w:val="21"/>
                <w:highlight w:val="none"/>
                <w:lang w:bidi="ar"/>
                <w14:textFill>
                  <w14:solidFill>
                    <w14:schemeClr w14:val="tx1"/>
                  </w14:solidFill>
                </w14:textFill>
              </w:rPr>
              <w:t>组织</w:t>
            </w:r>
            <w:bookmarkEnd w:id="1136"/>
          </w:p>
          <w:bookmarkEnd w:id="1137"/>
        </w:tc>
        <w:tc>
          <w:tcPr>
            <w:tcW w:w="491" w:type="pct"/>
            <w:tcBorders>
              <w:top w:val="single" w:color="auto" w:sz="4" w:space="0"/>
              <w:left w:val="single" w:color="auto" w:sz="4" w:space="0"/>
              <w:bottom w:val="single" w:color="auto" w:sz="4" w:space="0"/>
              <w:right w:val="single" w:color="auto" w:sz="4" w:space="0"/>
            </w:tcBorders>
            <w:vAlign w:val="center"/>
          </w:tcPr>
          <w:p w14:paraId="59AAE085">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bookmarkStart w:id="1139" w:name="OLE_LINK183"/>
            <w:r>
              <w:rPr>
                <w:rFonts w:hint="eastAsia" w:ascii="宋体" w:hAnsi="宋体" w:eastAsia="宋体" w:cs="宋体"/>
                <w:color w:val="000000" w:themeColor="text1"/>
                <w:szCs w:val="21"/>
                <w:highlight w:val="none"/>
                <w:lang w:bidi="ar"/>
                <w14:textFill>
                  <w14:solidFill>
                    <w14:schemeClr w14:val="tx1"/>
                  </w14:solidFill>
                </w14:textFill>
              </w:rPr>
              <w:t>项目实施方案</w:t>
            </w:r>
            <w:bookmarkEnd w:id="1139"/>
          </w:p>
        </w:tc>
        <w:tc>
          <w:tcPr>
            <w:tcW w:w="3337" w:type="pct"/>
            <w:tcBorders>
              <w:top w:val="single" w:color="auto" w:sz="4" w:space="0"/>
              <w:left w:val="single" w:color="auto" w:sz="4" w:space="0"/>
              <w:bottom w:val="single" w:color="auto" w:sz="4" w:space="0"/>
              <w:right w:val="single" w:color="auto" w:sz="4" w:space="0"/>
            </w:tcBorders>
            <w:vAlign w:val="center"/>
          </w:tcPr>
          <w:p w14:paraId="0B7437AB">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bookmarkStart w:id="1140" w:name="OLE_LINK178"/>
            <w:r>
              <w:rPr>
                <w:rFonts w:hint="eastAsia" w:ascii="宋体" w:hAnsi="宋体" w:eastAsia="宋体" w:cs="宋体"/>
                <w:color w:val="000000" w:themeColor="text1"/>
                <w:szCs w:val="21"/>
                <w:highlight w:val="none"/>
                <w:lang w:bidi="ar"/>
                <w14:textFill>
                  <w14:solidFill>
                    <w14:schemeClr w14:val="tx1"/>
                  </w14:solidFill>
                </w14:textFill>
              </w:rPr>
              <w:t>根据各投标人提供的项目实施方案，包括</w:t>
            </w:r>
            <w:bookmarkStart w:id="1141" w:name="OLE_LINK186"/>
            <w:r>
              <w:rPr>
                <w:rFonts w:hint="eastAsia" w:ascii="宋体" w:hAnsi="宋体" w:eastAsia="宋体" w:cs="宋体"/>
                <w:color w:val="000000" w:themeColor="text1"/>
                <w:szCs w:val="21"/>
                <w:highlight w:val="none"/>
                <w:lang w:bidi="ar"/>
                <w14:textFill>
                  <w14:solidFill>
                    <w14:schemeClr w14:val="tx1"/>
                  </w14:solidFill>
                </w14:textFill>
              </w:rPr>
              <w:t>项目进度计划、人员机械</w:t>
            </w:r>
            <w:bookmarkEnd w:id="1141"/>
            <w:r>
              <w:rPr>
                <w:rFonts w:hint="eastAsia" w:ascii="宋体" w:hAnsi="宋体" w:eastAsia="宋体" w:cs="宋体"/>
                <w:color w:val="000000" w:themeColor="text1"/>
                <w:szCs w:val="21"/>
                <w:highlight w:val="none"/>
                <w:lang w:bidi="ar"/>
                <w14:textFill>
                  <w14:solidFill>
                    <w14:schemeClr w14:val="tx1"/>
                  </w14:solidFill>
                </w14:textFill>
              </w:rPr>
              <w:t>安排、供货计划、运输方案、安装技术方案、现场总平面布置、并网送电计划、质量保证方案、</w:t>
            </w:r>
            <w:bookmarkStart w:id="1142" w:name="OLE_LINK221"/>
            <w:r>
              <w:rPr>
                <w:rFonts w:hint="eastAsia" w:ascii="宋体" w:hAnsi="宋体" w:eastAsia="宋体" w:cs="宋体"/>
                <w:color w:val="000000" w:themeColor="text1"/>
                <w:szCs w:val="21"/>
                <w:highlight w:val="none"/>
                <w:lang w:bidi="ar"/>
                <w14:textFill>
                  <w14:solidFill>
                    <w14:schemeClr w14:val="tx1"/>
                  </w14:solidFill>
                </w14:textFill>
              </w:rPr>
              <w:t>应急管理</w:t>
            </w:r>
            <w:bookmarkEnd w:id="1142"/>
            <w:r>
              <w:rPr>
                <w:rFonts w:hint="eastAsia" w:ascii="宋体" w:hAnsi="宋体" w:eastAsia="宋体" w:cs="宋体"/>
                <w:color w:val="000000" w:themeColor="text1"/>
                <w:szCs w:val="21"/>
                <w:highlight w:val="none"/>
                <w:lang w:bidi="ar"/>
                <w14:textFill>
                  <w14:solidFill>
                    <w14:schemeClr w14:val="tx1"/>
                  </w14:solidFill>
                </w14:textFill>
              </w:rPr>
              <w:t>方案进行评审：</w:t>
            </w:r>
          </w:p>
          <w:p w14:paraId="04885D70">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优：方案内容全面、思路清晰、与本项目需求高度契合、针对性强、全面科学、可操作性强的，得[</w:t>
            </w:r>
            <w:bookmarkStart w:id="1143" w:name="OLE_LINK517"/>
            <w:r>
              <w:rPr>
                <w:rFonts w:ascii="宋体" w:hAnsi="宋体" w:eastAsia="宋体" w:cs="宋体"/>
                <w:color w:val="000000" w:themeColor="text1"/>
                <w:szCs w:val="21"/>
                <w:highlight w:val="none"/>
                <w:lang w:bidi="ar"/>
                <w14:textFill>
                  <w14:solidFill>
                    <w14:schemeClr w14:val="tx1"/>
                  </w14:solidFill>
                </w14:textFill>
              </w:rPr>
              <w:t>6-</w:t>
            </w:r>
            <w:bookmarkStart w:id="1144" w:name="OLE_LINK229"/>
            <w:r>
              <w:rPr>
                <w:rFonts w:ascii="宋体" w:hAnsi="宋体" w:eastAsia="宋体" w:cs="宋体"/>
                <w:color w:val="000000" w:themeColor="text1"/>
                <w:szCs w:val="21"/>
                <w:highlight w:val="none"/>
                <w:lang w:bidi="ar"/>
                <w14:textFill>
                  <w14:solidFill>
                    <w14:schemeClr w14:val="tx1"/>
                  </w14:solidFill>
                </w14:textFill>
              </w:rPr>
              <w:t>4</w:t>
            </w:r>
            <w:bookmarkEnd w:id="1143"/>
            <w:bookmarkEnd w:id="1144"/>
            <w:r>
              <w:rPr>
                <w:rFonts w:hint="eastAsia" w:ascii="宋体" w:hAnsi="宋体" w:eastAsia="宋体" w:cs="宋体"/>
                <w:color w:val="000000" w:themeColor="text1"/>
                <w:szCs w:val="21"/>
                <w:highlight w:val="none"/>
                <w:lang w:bidi="ar"/>
                <w14:textFill>
                  <w14:solidFill>
                    <w14:schemeClr w14:val="tx1"/>
                  </w14:solidFill>
                </w14:textFill>
              </w:rPr>
              <w:t>]分；</w:t>
            </w:r>
          </w:p>
          <w:p w14:paraId="7E753BA5">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良：方案内容不够全面、思路不够清晰、与本项目需求契合度一般、针对性一般、全面科学性不足、可操作性一般的，得</w:t>
            </w:r>
            <w:bookmarkStart w:id="1145" w:name="OLE_LINK233"/>
            <w:r>
              <w:rPr>
                <w:rFonts w:hint="eastAsia" w:ascii="宋体" w:hAnsi="宋体" w:eastAsia="宋体" w:cs="宋体"/>
                <w:color w:val="000000" w:themeColor="text1"/>
                <w:szCs w:val="21"/>
                <w:highlight w:val="none"/>
                <w:lang w:bidi="ar"/>
                <w14:textFill>
                  <w14:solidFill>
                    <w14:schemeClr w14:val="tx1"/>
                  </w14:solidFill>
                </w14:textFill>
              </w:rPr>
              <w:t>（</w:t>
            </w:r>
            <w:r>
              <w:rPr>
                <w:rFonts w:ascii="宋体" w:hAnsi="宋体" w:eastAsia="宋体" w:cs="宋体"/>
                <w:color w:val="000000" w:themeColor="text1"/>
                <w:szCs w:val="21"/>
                <w:highlight w:val="none"/>
                <w:lang w:bidi="ar"/>
                <w14:textFill>
                  <w14:solidFill>
                    <w14:schemeClr w14:val="tx1"/>
                  </w14:solidFill>
                </w14:textFill>
              </w:rPr>
              <w:t>4-2</w:t>
            </w:r>
            <w:r>
              <w:rPr>
                <w:rFonts w:hint="eastAsia" w:ascii="宋体" w:hAnsi="宋体" w:eastAsia="宋体" w:cs="宋体"/>
                <w:color w:val="000000" w:themeColor="text1"/>
                <w:szCs w:val="21"/>
                <w:highlight w:val="none"/>
                <w:lang w:bidi="ar"/>
                <w14:textFill>
                  <w14:solidFill>
                    <w14:schemeClr w14:val="tx1"/>
                  </w14:solidFill>
                </w14:textFill>
              </w:rPr>
              <w:t>]</w:t>
            </w:r>
            <w:bookmarkEnd w:id="1145"/>
            <w:r>
              <w:rPr>
                <w:rFonts w:hint="eastAsia" w:ascii="宋体" w:hAnsi="宋体" w:eastAsia="宋体" w:cs="宋体"/>
                <w:color w:val="000000" w:themeColor="text1"/>
                <w:szCs w:val="21"/>
                <w:highlight w:val="none"/>
                <w:lang w:bidi="ar"/>
                <w14:textFill>
                  <w14:solidFill>
                    <w14:schemeClr w14:val="tx1"/>
                  </w14:solidFill>
                </w14:textFill>
              </w:rPr>
              <w:t>分；</w:t>
            </w:r>
          </w:p>
          <w:p w14:paraId="727E1E5A">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中：方案内容缺失、思路不清晰、与本项目需求契合度较差、针对性较差、全面科学性缺失、可操作性较差的，得</w:t>
            </w:r>
            <w:bookmarkStart w:id="1146" w:name="OLE_LINK234"/>
            <w:r>
              <w:rPr>
                <w:rFonts w:hint="eastAsia" w:ascii="宋体" w:hAnsi="宋体" w:eastAsia="宋体" w:cs="宋体"/>
                <w:color w:val="000000" w:themeColor="text1"/>
                <w:szCs w:val="21"/>
                <w:highlight w:val="none"/>
                <w:lang w:bidi="ar"/>
                <w14:textFill>
                  <w14:solidFill>
                    <w14:schemeClr w14:val="tx1"/>
                  </w14:solidFill>
                </w14:textFill>
              </w:rPr>
              <w:t>（</w:t>
            </w:r>
            <w:r>
              <w:rPr>
                <w:rFonts w:ascii="宋体" w:hAnsi="宋体" w:eastAsia="宋体" w:cs="宋体"/>
                <w:color w:val="000000" w:themeColor="text1"/>
                <w:szCs w:val="21"/>
                <w:highlight w:val="none"/>
                <w:lang w:bidi="ar"/>
                <w14:textFill>
                  <w14:solidFill>
                    <w14:schemeClr w14:val="tx1"/>
                  </w14:solidFill>
                </w14:textFill>
              </w:rPr>
              <w:t>2-1</w:t>
            </w:r>
            <w:r>
              <w:rPr>
                <w:rFonts w:hint="eastAsia" w:ascii="宋体" w:hAnsi="宋体" w:eastAsia="宋体" w:cs="宋体"/>
                <w:color w:val="000000" w:themeColor="text1"/>
                <w:szCs w:val="21"/>
                <w:highlight w:val="none"/>
                <w:lang w:bidi="ar"/>
                <w14:textFill>
                  <w14:solidFill>
                    <w14:schemeClr w14:val="tx1"/>
                  </w14:solidFill>
                </w14:textFill>
              </w:rPr>
              <w:t>]</w:t>
            </w:r>
            <w:bookmarkEnd w:id="1146"/>
            <w:r>
              <w:rPr>
                <w:rFonts w:hint="eastAsia" w:ascii="宋体" w:hAnsi="宋体" w:eastAsia="宋体" w:cs="宋体"/>
                <w:color w:val="000000" w:themeColor="text1"/>
                <w:szCs w:val="21"/>
                <w:highlight w:val="none"/>
                <w:lang w:bidi="ar"/>
                <w14:textFill>
                  <w14:solidFill>
                    <w14:schemeClr w14:val="tx1"/>
                  </w14:solidFill>
                </w14:textFill>
              </w:rPr>
              <w:t>分；</w:t>
            </w:r>
          </w:p>
          <w:p w14:paraId="6B5F54CF">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差：方案内容严重缺失、无思路、与本项目需求契合度差、针对性差、不全面科学、可操作性差的，得（</w:t>
            </w:r>
            <w:r>
              <w:rPr>
                <w:rFonts w:ascii="宋体" w:hAnsi="宋体" w:eastAsia="宋体" w:cs="宋体"/>
                <w:color w:val="000000" w:themeColor="text1"/>
                <w:szCs w:val="21"/>
                <w:highlight w:val="none"/>
                <w:lang w:bidi="ar"/>
                <w14:textFill>
                  <w14:solidFill>
                    <w14:schemeClr w14:val="tx1"/>
                  </w14:solidFill>
                </w14:textFill>
              </w:rPr>
              <w:t>1</w:t>
            </w:r>
            <w:r>
              <w:rPr>
                <w:rFonts w:hint="eastAsia" w:ascii="宋体" w:hAnsi="宋体" w:eastAsia="宋体" w:cs="宋体"/>
                <w:color w:val="000000" w:themeColor="text1"/>
                <w:szCs w:val="21"/>
                <w:highlight w:val="none"/>
                <w:lang w:bidi="ar"/>
                <w14:textFill>
                  <w14:solidFill>
                    <w14:schemeClr w14:val="tx1"/>
                  </w14:solidFill>
                </w14:textFill>
              </w:rPr>
              <w:t>-0]分。</w:t>
            </w:r>
            <w:bookmarkEnd w:id="1140"/>
          </w:p>
        </w:tc>
        <w:tc>
          <w:tcPr>
            <w:tcW w:w="394" w:type="pct"/>
            <w:tcBorders>
              <w:top w:val="single" w:color="auto" w:sz="4" w:space="0"/>
              <w:left w:val="single" w:color="auto" w:sz="4" w:space="0"/>
              <w:bottom w:val="single" w:color="auto" w:sz="4" w:space="0"/>
              <w:right w:val="single" w:color="auto" w:sz="4" w:space="0"/>
            </w:tcBorders>
            <w:vAlign w:val="center"/>
          </w:tcPr>
          <w:p w14:paraId="43457B9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bookmarkStart w:id="1147" w:name="OLE_LINK516"/>
            <w:r>
              <w:rPr>
                <w:rFonts w:ascii="宋体" w:hAnsi="宋体" w:eastAsia="宋体" w:cs="宋体"/>
                <w:color w:val="000000" w:themeColor="text1"/>
                <w:kern w:val="0"/>
                <w:szCs w:val="21"/>
                <w:highlight w:val="none"/>
                <w14:textFill>
                  <w14:solidFill>
                    <w14:schemeClr w14:val="tx1"/>
                  </w14:solidFill>
                </w14:textFill>
              </w:rPr>
              <w:t>6</w:t>
            </w:r>
            <w:bookmarkEnd w:id="1147"/>
          </w:p>
        </w:tc>
      </w:tr>
      <w:tr w14:paraId="04B7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vMerge w:val="continue"/>
            <w:tcBorders>
              <w:left w:val="single" w:color="auto" w:sz="4" w:space="0"/>
              <w:bottom w:val="single" w:color="auto" w:sz="4" w:space="0"/>
              <w:right w:val="single" w:color="auto" w:sz="4" w:space="0"/>
            </w:tcBorders>
            <w:vAlign w:val="center"/>
          </w:tcPr>
          <w:p w14:paraId="421E3DB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491" w:type="pct"/>
            <w:vMerge w:val="continue"/>
            <w:tcBorders>
              <w:left w:val="single" w:color="auto" w:sz="4" w:space="0"/>
              <w:bottom w:val="single" w:color="auto" w:sz="4" w:space="0"/>
              <w:right w:val="single" w:color="auto" w:sz="4" w:space="0"/>
            </w:tcBorders>
            <w:vAlign w:val="center"/>
          </w:tcPr>
          <w:p w14:paraId="1D332732">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bookmarkStart w:id="1148" w:name="OLE_LINK257"/>
          </w:p>
        </w:tc>
        <w:tc>
          <w:tcPr>
            <w:tcW w:w="491" w:type="pct"/>
            <w:tcBorders>
              <w:top w:val="single" w:color="auto" w:sz="4" w:space="0"/>
              <w:left w:val="single" w:color="auto" w:sz="4" w:space="0"/>
              <w:bottom w:val="single" w:color="auto" w:sz="4" w:space="0"/>
              <w:right w:val="single" w:color="auto" w:sz="4" w:space="0"/>
            </w:tcBorders>
            <w:vAlign w:val="center"/>
          </w:tcPr>
          <w:p w14:paraId="4E737118">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安全保证措施</w:t>
            </w:r>
            <w:bookmarkEnd w:id="1148"/>
          </w:p>
        </w:tc>
        <w:tc>
          <w:tcPr>
            <w:tcW w:w="3337" w:type="pct"/>
            <w:tcBorders>
              <w:top w:val="single" w:color="auto" w:sz="4" w:space="0"/>
              <w:left w:val="single" w:color="auto" w:sz="4" w:space="0"/>
              <w:bottom w:val="single" w:color="auto" w:sz="4" w:space="0"/>
              <w:right w:val="single" w:color="auto" w:sz="4" w:space="0"/>
            </w:tcBorders>
            <w:vAlign w:val="center"/>
          </w:tcPr>
          <w:p w14:paraId="3DC68DF2">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根据各投标人提供的安全保证措施，包括成品保护措施、用电</w:t>
            </w:r>
            <w:bookmarkStart w:id="1149" w:name="OLE_LINK216"/>
            <w:r>
              <w:rPr>
                <w:rFonts w:hint="eastAsia" w:ascii="宋体" w:hAnsi="宋体" w:eastAsia="宋体" w:cs="宋体"/>
                <w:color w:val="000000" w:themeColor="text1"/>
                <w:szCs w:val="21"/>
                <w:highlight w:val="none"/>
                <w:lang w:bidi="ar"/>
                <w14:textFill>
                  <w14:solidFill>
                    <w14:schemeClr w14:val="tx1"/>
                  </w14:solidFill>
                </w14:textFill>
              </w:rPr>
              <w:t>专项方案</w:t>
            </w:r>
            <w:bookmarkEnd w:id="1149"/>
            <w:r>
              <w:rPr>
                <w:rFonts w:hint="eastAsia" w:ascii="宋体" w:hAnsi="宋体" w:eastAsia="宋体" w:cs="宋体"/>
                <w:color w:val="000000" w:themeColor="text1"/>
                <w:szCs w:val="21"/>
                <w:highlight w:val="none"/>
                <w:lang w:bidi="ar"/>
                <w14:textFill>
                  <w14:solidFill>
                    <w14:schemeClr w14:val="tx1"/>
                  </w14:solidFill>
                </w14:textFill>
              </w:rPr>
              <w:t>、高处作业专项方案、吊装作业专项方案、动火作业专项方案进行评审：</w:t>
            </w:r>
          </w:p>
          <w:p w14:paraId="054049CB">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优：能够根据本项目的特点清楚、详尽地描述安全保证措施，考虑周全完整，切实可行，得</w:t>
            </w:r>
            <w:bookmarkStart w:id="1150" w:name="OLE_LINK235"/>
            <w:r>
              <w:rPr>
                <w:rFonts w:hint="eastAsia" w:ascii="宋体" w:hAnsi="宋体" w:eastAsia="宋体" w:cs="宋体"/>
                <w:color w:val="000000" w:themeColor="text1"/>
                <w:szCs w:val="21"/>
                <w:highlight w:val="none"/>
                <w:lang w:bidi="ar"/>
                <w14:textFill>
                  <w14:solidFill>
                    <w14:schemeClr w14:val="tx1"/>
                  </w14:solidFill>
                </w14:textFill>
              </w:rPr>
              <w:t>[2-1.5]</w:t>
            </w:r>
            <w:bookmarkEnd w:id="1150"/>
            <w:r>
              <w:rPr>
                <w:rFonts w:hint="eastAsia" w:ascii="宋体" w:hAnsi="宋体" w:eastAsia="宋体" w:cs="宋体"/>
                <w:color w:val="000000" w:themeColor="text1"/>
                <w:szCs w:val="21"/>
                <w:highlight w:val="none"/>
                <w:lang w:bidi="ar"/>
                <w14:textFill>
                  <w14:solidFill>
                    <w14:schemeClr w14:val="tx1"/>
                  </w14:solidFill>
                </w14:textFill>
              </w:rPr>
              <w:t>分；</w:t>
            </w:r>
          </w:p>
          <w:p w14:paraId="0E5BB229">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良：能够根据本项目的特点较具体描述安全</w:t>
            </w:r>
            <w:bookmarkStart w:id="1151" w:name="OLE_LINK219"/>
            <w:r>
              <w:rPr>
                <w:rFonts w:hint="eastAsia" w:ascii="宋体" w:hAnsi="宋体" w:eastAsia="宋体" w:cs="宋体"/>
                <w:color w:val="000000" w:themeColor="text1"/>
                <w:szCs w:val="21"/>
                <w:highlight w:val="none"/>
                <w:lang w:bidi="ar"/>
                <w14:textFill>
                  <w14:solidFill>
                    <w14:schemeClr w14:val="tx1"/>
                  </w14:solidFill>
                </w14:textFill>
              </w:rPr>
              <w:t>保证</w:t>
            </w:r>
            <w:bookmarkEnd w:id="1151"/>
            <w:r>
              <w:rPr>
                <w:rFonts w:hint="eastAsia" w:ascii="宋体" w:hAnsi="宋体" w:eastAsia="宋体" w:cs="宋体"/>
                <w:color w:val="000000" w:themeColor="text1"/>
                <w:szCs w:val="21"/>
                <w:highlight w:val="none"/>
                <w:lang w:bidi="ar"/>
                <w14:textFill>
                  <w14:solidFill>
                    <w14:schemeClr w14:val="tx1"/>
                  </w14:solidFill>
                </w14:textFill>
              </w:rPr>
              <w:t>措施，考虑较周全</w:t>
            </w:r>
            <w:bookmarkStart w:id="1152" w:name="OLE_LINK218"/>
            <w:r>
              <w:rPr>
                <w:rFonts w:hint="eastAsia" w:ascii="宋体" w:hAnsi="宋体" w:eastAsia="宋体" w:cs="宋体"/>
                <w:color w:val="000000" w:themeColor="text1"/>
                <w:szCs w:val="21"/>
                <w:highlight w:val="none"/>
                <w:lang w:bidi="ar"/>
                <w14:textFill>
                  <w14:solidFill>
                    <w14:schemeClr w14:val="tx1"/>
                  </w14:solidFill>
                </w14:textFill>
              </w:rPr>
              <w:t>，</w:t>
            </w:r>
            <w:bookmarkEnd w:id="1152"/>
            <w:bookmarkStart w:id="1153" w:name="OLE_LINK220"/>
            <w:r>
              <w:rPr>
                <w:rFonts w:hint="eastAsia" w:ascii="宋体" w:hAnsi="宋体" w:eastAsia="宋体" w:cs="宋体"/>
                <w:color w:val="000000" w:themeColor="text1"/>
                <w:szCs w:val="21"/>
                <w:highlight w:val="none"/>
                <w:lang w:bidi="ar"/>
                <w14:textFill>
                  <w14:solidFill>
                    <w14:schemeClr w14:val="tx1"/>
                  </w14:solidFill>
                </w14:textFill>
              </w:rPr>
              <w:t>可行性较高，得</w:t>
            </w:r>
            <w:bookmarkEnd w:id="1153"/>
            <w:r>
              <w:rPr>
                <w:rFonts w:hint="eastAsia" w:ascii="宋体" w:hAnsi="宋体" w:eastAsia="宋体" w:cs="宋体"/>
                <w:color w:val="000000" w:themeColor="text1"/>
                <w:szCs w:val="21"/>
                <w:highlight w:val="none"/>
                <w:lang w:bidi="ar"/>
                <w14:textFill>
                  <w14:solidFill>
                    <w14:schemeClr w14:val="tx1"/>
                  </w14:solidFill>
                </w14:textFill>
              </w:rPr>
              <w:t>（1.5-1]分；</w:t>
            </w:r>
          </w:p>
          <w:p w14:paraId="6ECE9852">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中：安全保证措施基本合理可行，表达基本清楚，可行性一般，得（1-0.5]分；</w:t>
            </w:r>
          </w:p>
          <w:p w14:paraId="06B6824B">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差：安全保证措施不够完善，安排不够合理，可行性差，得（0.5-1]分。</w:t>
            </w:r>
          </w:p>
        </w:tc>
        <w:tc>
          <w:tcPr>
            <w:tcW w:w="394" w:type="pct"/>
            <w:tcBorders>
              <w:top w:val="single" w:color="auto" w:sz="4" w:space="0"/>
              <w:left w:val="single" w:color="auto" w:sz="4" w:space="0"/>
              <w:bottom w:val="single" w:color="auto" w:sz="4" w:space="0"/>
              <w:right w:val="single" w:color="auto" w:sz="4" w:space="0"/>
            </w:tcBorders>
            <w:vAlign w:val="center"/>
          </w:tcPr>
          <w:p w14:paraId="22B13E8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bookmarkStart w:id="1154" w:name="OLE_LINK225"/>
            <w:r>
              <w:rPr>
                <w:rFonts w:hint="eastAsia" w:ascii="宋体" w:hAnsi="宋体" w:eastAsia="宋体" w:cs="宋体"/>
                <w:color w:val="000000" w:themeColor="text1"/>
                <w:kern w:val="0"/>
                <w:szCs w:val="21"/>
                <w:highlight w:val="none"/>
                <w14:textFill>
                  <w14:solidFill>
                    <w14:schemeClr w14:val="tx1"/>
                  </w14:solidFill>
                </w14:textFill>
              </w:rPr>
              <w:t>2</w:t>
            </w:r>
            <w:bookmarkEnd w:id="1154"/>
          </w:p>
        </w:tc>
      </w:tr>
      <w:bookmarkEnd w:id="1135"/>
      <w:tr w14:paraId="45B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6" w:type="pct"/>
            <w:tcBorders>
              <w:top w:val="single" w:color="auto" w:sz="4" w:space="0"/>
              <w:left w:val="single" w:color="auto" w:sz="4" w:space="0"/>
              <w:right w:val="single" w:color="auto" w:sz="4" w:space="0"/>
            </w:tcBorders>
            <w:vAlign w:val="center"/>
          </w:tcPr>
          <w:p w14:paraId="151DE04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491" w:type="pct"/>
            <w:tcBorders>
              <w:top w:val="single" w:color="auto" w:sz="4" w:space="0"/>
              <w:left w:val="single" w:color="auto" w:sz="4" w:space="0"/>
              <w:right w:val="single" w:color="auto" w:sz="4" w:space="0"/>
            </w:tcBorders>
            <w:vAlign w:val="center"/>
          </w:tcPr>
          <w:p w14:paraId="36314EBF">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bookmarkStart w:id="1155" w:name="OLE_LINK278"/>
            <w:r>
              <w:rPr>
                <w:rFonts w:hint="eastAsia" w:ascii="宋体" w:hAnsi="宋体" w:eastAsia="宋体" w:cs="宋体"/>
                <w:color w:val="000000" w:themeColor="text1"/>
                <w:szCs w:val="21"/>
                <w:highlight w:val="none"/>
                <w:lang w:bidi="ar"/>
                <w14:textFill>
                  <w14:solidFill>
                    <w14:schemeClr w14:val="tx1"/>
                  </w14:solidFill>
                </w14:textFill>
              </w:rPr>
              <w:t>技术服务</w:t>
            </w:r>
          </w:p>
        </w:tc>
        <w:tc>
          <w:tcPr>
            <w:tcW w:w="491" w:type="pct"/>
            <w:tcBorders>
              <w:top w:val="single" w:color="auto" w:sz="4" w:space="0"/>
              <w:left w:val="single" w:color="auto" w:sz="4" w:space="0"/>
              <w:right w:val="single" w:color="auto" w:sz="4" w:space="0"/>
            </w:tcBorders>
            <w:vAlign w:val="center"/>
          </w:tcPr>
          <w:p w14:paraId="1CA6B826">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运维方案</w:t>
            </w:r>
            <w:bookmarkEnd w:id="1155"/>
          </w:p>
        </w:tc>
        <w:tc>
          <w:tcPr>
            <w:tcW w:w="3337" w:type="pct"/>
            <w:tcBorders>
              <w:top w:val="single" w:color="auto" w:sz="4" w:space="0"/>
              <w:left w:val="single" w:color="auto" w:sz="4" w:space="0"/>
              <w:right w:val="single" w:color="auto" w:sz="4" w:space="0"/>
            </w:tcBorders>
            <w:vAlign w:val="center"/>
          </w:tcPr>
          <w:p w14:paraId="42F35D93">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根据各投标人提供的运维方案，包括运维服务团队、运维服务[包括但不限于服务承诺、技术支持、保修期、备品备件、维护保养时间安排(整体检查计划、故障通知响应时间、修复故障时间)等]、应急和安全保障措施、技术培训进行评审： </w:t>
            </w:r>
          </w:p>
          <w:p w14:paraId="0D59AD18">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优：</w:t>
            </w:r>
            <w:bookmarkStart w:id="1156" w:name="OLE_LINK217"/>
            <w:r>
              <w:rPr>
                <w:rFonts w:hint="eastAsia" w:ascii="宋体" w:hAnsi="宋体" w:eastAsia="宋体" w:cs="宋体"/>
                <w:color w:val="000000" w:themeColor="text1"/>
                <w:szCs w:val="21"/>
                <w:highlight w:val="none"/>
                <w:lang w:bidi="ar"/>
                <w14:textFill>
                  <w14:solidFill>
                    <w14:schemeClr w14:val="tx1"/>
                  </w14:solidFill>
                </w14:textFill>
              </w:rPr>
              <w:t>运维方案</w:t>
            </w:r>
            <w:bookmarkEnd w:id="1156"/>
            <w:r>
              <w:rPr>
                <w:rFonts w:hint="eastAsia" w:ascii="宋体" w:hAnsi="宋体" w:eastAsia="宋体" w:cs="宋体"/>
                <w:color w:val="000000" w:themeColor="text1"/>
                <w:szCs w:val="21"/>
                <w:highlight w:val="none"/>
                <w:lang w:bidi="ar"/>
                <w14:textFill>
                  <w14:solidFill>
                    <w14:schemeClr w14:val="tx1"/>
                  </w14:solidFill>
                </w14:textFill>
              </w:rPr>
              <w:t>内容全面、思路清晰、针对性强、可行性和可操作性高的，得[</w:t>
            </w:r>
            <w:r>
              <w:rPr>
                <w:rFonts w:ascii="宋体" w:hAnsi="宋体" w:eastAsia="宋体" w:cs="宋体"/>
                <w:color w:val="000000" w:themeColor="text1"/>
                <w:szCs w:val="21"/>
                <w:highlight w:val="none"/>
                <w:lang w:bidi="ar"/>
                <w14:textFill>
                  <w14:solidFill>
                    <w14:schemeClr w14:val="tx1"/>
                  </w14:solidFill>
                </w14:textFill>
              </w:rPr>
              <w:t>5-3.5</w:t>
            </w:r>
            <w:r>
              <w:rPr>
                <w:rFonts w:hint="eastAsia" w:ascii="宋体" w:hAnsi="宋体" w:eastAsia="宋体" w:cs="宋体"/>
                <w:color w:val="000000" w:themeColor="text1"/>
                <w:szCs w:val="21"/>
                <w:highlight w:val="none"/>
                <w:lang w:bidi="ar"/>
                <w14:textFill>
                  <w14:solidFill>
                    <w14:schemeClr w14:val="tx1"/>
                  </w14:solidFill>
                </w14:textFill>
              </w:rPr>
              <w:t>]分；</w:t>
            </w:r>
          </w:p>
          <w:p w14:paraId="44521948">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良：运维方案内容不够全面、思路不够清晰、针对性一般、可行性和可操作性一般的，得（</w:t>
            </w:r>
            <w:bookmarkStart w:id="1157" w:name="OLE_LINK518"/>
            <w:r>
              <w:rPr>
                <w:rFonts w:ascii="宋体" w:hAnsi="宋体" w:eastAsia="宋体" w:cs="宋体"/>
                <w:color w:val="000000" w:themeColor="text1"/>
                <w:szCs w:val="21"/>
                <w:highlight w:val="none"/>
                <w:lang w:bidi="ar"/>
                <w14:textFill>
                  <w14:solidFill>
                    <w14:schemeClr w14:val="tx1"/>
                  </w14:solidFill>
                </w14:textFill>
              </w:rPr>
              <w:t>3.5-2</w:t>
            </w:r>
            <w:bookmarkEnd w:id="1157"/>
            <w:r>
              <w:rPr>
                <w:rFonts w:hint="eastAsia" w:ascii="宋体" w:hAnsi="宋体" w:eastAsia="宋体" w:cs="宋体"/>
                <w:color w:val="000000" w:themeColor="text1"/>
                <w:szCs w:val="21"/>
                <w:highlight w:val="none"/>
                <w:lang w:bidi="ar"/>
                <w14:textFill>
                  <w14:solidFill>
                    <w14:schemeClr w14:val="tx1"/>
                  </w14:solidFill>
                </w14:textFill>
              </w:rPr>
              <w:t>]分；</w:t>
            </w:r>
          </w:p>
          <w:p w14:paraId="1CA0B567">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中：运维方案内容缺失、思路不清晰、针对性较差、可行性和可操作性较差的，得（</w:t>
            </w:r>
            <w:bookmarkStart w:id="1158" w:name="OLE_LINK215"/>
            <w:r>
              <w:rPr>
                <w:rFonts w:ascii="宋体" w:hAnsi="宋体" w:eastAsia="宋体" w:cs="宋体"/>
                <w:color w:val="000000" w:themeColor="text1"/>
                <w:szCs w:val="21"/>
                <w:highlight w:val="none"/>
                <w:lang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w:t>
            </w:r>
            <w:bookmarkStart w:id="1159" w:name="OLE_LINK226"/>
            <w:r>
              <w:rPr>
                <w:rFonts w:hint="eastAsia" w:ascii="宋体" w:hAnsi="宋体" w:eastAsia="宋体" w:cs="宋体"/>
                <w:color w:val="000000" w:themeColor="text1"/>
                <w:szCs w:val="21"/>
                <w:highlight w:val="none"/>
                <w:lang w:bidi="ar"/>
                <w14:textFill>
                  <w14:solidFill>
                    <w14:schemeClr w14:val="tx1"/>
                  </w14:solidFill>
                </w14:textFill>
              </w:rPr>
              <w:t>0.5</w:t>
            </w:r>
            <w:bookmarkEnd w:id="1158"/>
            <w:bookmarkEnd w:id="1159"/>
            <w:r>
              <w:rPr>
                <w:rFonts w:hint="eastAsia" w:ascii="宋体" w:hAnsi="宋体" w:eastAsia="宋体" w:cs="宋体"/>
                <w:color w:val="000000" w:themeColor="text1"/>
                <w:szCs w:val="21"/>
                <w:highlight w:val="none"/>
                <w:lang w:bidi="ar"/>
                <w14:textFill>
                  <w14:solidFill>
                    <w14:schemeClr w14:val="tx1"/>
                  </w14:solidFill>
                </w14:textFill>
              </w:rPr>
              <w:t>]分；</w:t>
            </w:r>
          </w:p>
          <w:p w14:paraId="5C5BE684">
            <w:pPr>
              <w:spacing w:line="360" w:lineRule="exact"/>
              <w:jc w:val="left"/>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差：运维方案内容严重缺失、无思路、针对性差、可行性和可操作性差的，得（</w:t>
            </w:r>
            <w:r>
              <w:rPr>
                <w:rFonts w:ascii="宋体" w:hAnsi="宋体" w:eastAsia="宋体" w:cs="宋体"/>
                <w:color w:val="000000" w:themeColor="text1"/>
                <w:szCs w:val="21"/>
                <w:highlight w:val="none"/>
                <w:lang w:bidi="ar"/>
                <w14:textFill>
                  <w14:solidFill>
                    <w14:schemeClr w14:val="tx1"/>
                  </w14:solidFill>
                </w14:textFill>
              </w:rPr>
              <w:t>0.5</w:t>
            </w:r>
            <w:r>
              <w:rPr>
                <w:rFonts w:hint="eastAsia" w:ascii="宋体" w:hAnsi="宋体" w:eastAsia="宋体" w:cs="宋体"/>
                <w:color w:val="000000" w:themeColor="text1"/>
                <w:szCs w:val="21"/>
                <w:highlight w:val="none"/>
                <w:lang w:bidi="ar"/>
                <w14:textFill>
                  <w14:solidFill>
                    <w14:schemeClr w14:val="tx1"/>
                  </w14:solidFill>
                </w14:textFill>
              </w:rPr>
              <w:t>-0]分。</w:t>
            </w:r>
          </w:p>
        </w:tc>
        <w:tc>
          <w:tcPr>
            <w:tcW w:w="394" w:type="pct"/>
            <w:tcBorders>
              <w:top w:val="single" w:color="auto" w:sz="4" w:space="0"/>
              <w:left w:val="single" w:color="auto" w:sz="4" w:space="0"/>
              <w:right w:val="single" w:color="auto" w:sz="4" w:space="0"/>
            </w:tcBorders>
            <w:vAlign w:val="center"/>
          </w:tcPr>
          <w:p w14:paraId="4CA7355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bookmarkStart w:id="1160" w:name="OLE_LINK515"/>
            <w:r>
              <w:rPr>
                <w:rFonts w:hint="eastAsia" w:ascii="宋体" w:hAnsi="宋体" w:eastAsia="宋体" w:cs="宋体"/>
                <w:color w:val="000000" w:themeColor="text1"/>
                <w:kern w:val="0"/>
                <w:szCs w:val="21"/>
                <w:highlight w:val="none"/>
                <w14:textFill>
                  <w14:solidFill>
                    <w14:schemeClr w14:val="tx1"/>
                  </w14:solidFill>
                </w14:textFill>
              </w:rPr>
              <w:t>5</w:t>
            </w:r>
            <w:bookmarkEnd w:id="1160"/>
          </w:p>
        </w:tc>
      </w:tr>
      <w:bookmarkEnd w:id="1093"/>
      <w:bookmarkEnd w:id="1118"/>
    </w:tbl>
    <w:p w14:paraId="73318E2B">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4F27F192">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①表中“</w:t>
      </w:r>
      <w:r>
        <w:rPr>
          <w:rFonts w:ascii="宋体" w:hAnsi="宋体" w:eastAsia="宋体" w:cs="宋体"/>
          <w:color w:val="000000" w:themeColor="text1"/>
          <w:szCs w:val="24"/>
          <w:highlight w:val="none"/>
          <w:lang w:val="zh-CN"/>
          <w14:textFill>
            <w14:solidFill>
              <w14:schemeClr w14:val="tx1"/>
            </w14:solidFill>
          </w14:textFill>
        </w:rPr>
        <w:t>[”代表闭区间，“]”代表闭区间，如[0，1]代表该分数段范围为大于等</w:t>
      </w:r>
      <w:r>
        <w:rPr>
          <w:rFonts w:hint="eastAsia" w:ascii="宋体" w:hAnsi="宋体" w:eastAsia="宋体" w:cs="宋体"/>
          <w:color w:val="000000" w:themeColor="text1"/>
          <w:szCs w:val="24"/>
          <w:highlight w:val="none"/>
          <w:lang w:val="zh-CN"/>
          <w14:textFill>
            <w14:solidFill>
              <w14:schemeClr w14:val="tx1"/>
            </w14:solidFill>
          </w14:textFill>
        </w:rPr>
        <w:t>于</w:t>
      </w:r>
      <w:r>
        <w:rPr>
          <w:rFonts w:ascii="宋体" w:hAnsi="宋体" w:eastAsia="宋体" w:cs="宋体"/>
          <w:color w:val="000000" w:themeColor="text1"/>
          <w:szCs w:val="24"/>
          <w:highlight w:val="none"/>
          <w:lang w:val="zh-CN"/>
          <w14:textFill>
            <w14:solidFill>
              <w14:schemeClr w14:val="tx1"/>
            </w14:solidFill>
          </w14:textFill>
        </w:rPr>
        <w:t>0且小于等于1。表中“（”代表开区间，“]”代表闭区间，如（1，2]代表该分数段范</w:t>
      </w:r>
      <w:r>
        <w:rPr>
          <w:rFonts w:hint="eastAsia" w:ascii="宋体" w:hAnsi="宋体" w:eastAsia="宋体" w:cs="宋体"/>
          <w:color w:val="000000" w:themeColor="text1"/>
          <w:szCs w:val="24"/>
          <w:highlight w:val="none"/>
          <w:lang w:val="zh-CN"/>
          <w14:textFill>
            <w14:solidFill>
              <w14:schemeClr w14:val="tx1"/>
            </w14:solidFill>
          </w14:textFill>
        </w:rPr>
        <w:t>围为大于</w:t>
      </w:r>
      <w:r>
        <w:rPr>
          <w:rFonts w:ascii="宋体" w:hAnsi="宋体" w:eastAsia="宋体" w:cs="宋体"/>
          <w:color w:val="000000" w:themeColor="text1"/>
          <w:szCs w:val="24"/>
          <w:highlight w:val="none"/>
          <w:lang w:val="zh-CN"/>
          <w14:textFill>
            <w14:solidFill>
              <w14:schemeClr w14:val="tx1"/>
            </w14:solidFill>
          </w14:textFill>
        </w:rPr>
        <w:t>1且小于等于2。</w:t>
      </w:r>
    </w:p>
    <w:p w14:paraId="4A6B41E2">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t>②分数出现小数点，保留小数点后2位，从小数点后第3位四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p>
    <w:p w14:paraId="0FCB5EC2">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③上述“评分项目”中按“优、良、中、差”区间评审的，若低于该项满分分值</w:t>
      </w:r>
      <w:r>
        <w:rPr>
          <w:rFonts w:ascii="宋体" w:hAnsi="宋体" w:eastAsia="宋体" w:cs="宋体"/>
          <w:b/>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color w:val="000000" w:themeColor="text1"/>
          <w:szCs w:val="24"/>
          <w:highlight w:val="none"/>
          <w:lang w:val="zh-CN"/>
          <w14:textFill>
            <w14:solidFill>
              <w14:schemeClr w14:val="tx1"/>
            </w14:solidFill>
          </w14:textFill>
        </w:rPr>
        <w:t>准和规范或与项目实际不符等原则性问题。</w:t>
      </w:r>
    </w:p>
    <w:p w14:paraId="07FF0249">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④</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14:textFill>
            <w14:solidFill>
              <w14:schemeClr w14:val="tx1"/>
            </w14:solidFill>
          </w14:textFill>
        </w:rPr>
        <w:t>确定该项的评分。</w:t>
      </w:r>
    </w:p>
    <w:p w14:paraId="5D075AC6">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14:paraId="7E3236DE">
      <w:pPr>
        <w:spacing w:line="360" w:lineRule="auto"/>
        <w:ind w:left="480" w:firstLine="211" w:firstLineChars="100"/>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14:paraId="676FD3CA">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481CD103">
      <w:pPr>
        <w:autoSpaceDE w:val="0"/>
        <w:autoSpaceDN w:val="0"/>
        <w:adjustRightInd w:val="0"/>
        <w:spacing w:line="360" w:lineRule="auto"/>
        <w:ind w:left="420" w:leftChars="200" w:firstLine="420" w:firstLineChars="200"/>
        <w:rPr>
          <w:rFonts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bookmarkStart w:id="1161" w:name="OLE_LINK354"/>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bookmarkEnd w:id="1161"/>
    </w:p>
    <w:p w14:paraId="148B37C2">
      <w:pPr>
        <w:spacing w:line="360" w:lineRule="auto"/>
        <w:ind w:left="420" w:leftChars="200"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bookmarkStart w:id="1162" w:name="OLE_LINK353"/>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bookmarkEnd w:id="1162"/>
    <w:p w14:paraId="3BE6D4E2">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p>
    <w:p w14:paraId="2181BFEA">
      <w:pPr>
        <w:spacing w:line="360" w:lineRule="auto"/>
        <w:ind w:left="480" w:firstLine="211" w:firstLineChars="10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1"/>
          <w:highlight w:val="none"/>
          <w:lang w:val="zh-CN"/>
          <w14:textFill>
            <w14:solidFill>
              <w14:schemeClr w14:val="tx1"/>
            </w14:solidFill>
          </w14:textFill>
        </w:rPr>
        <w:t>）</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bookmarkStart w:id="1163" w:name="OLE_LINK223"/>
      <w:r>
        <w:rPr>
          <w:rFonts w:hint="eastAsia" w:ascii="宋体" w:hAnsi="宋体" w:eastAsia="宋体" w:cs="宋体"/>
          <w:b/>
          <w:bCs/>
          <w:color w:val="000000" w:themeColor="text1"/>
          <w:kern w:val="0"/>
          <w:szCs w:val="21"/>
          <w:highlight w:val="none"/>
          <w14:textFill>
            <w14:solidFill>
              <w14:schemeClr w14:val="tx1"/>
            </w14:solidFill>
          </w14:textFill>
        </w:rPr>
        <w:t>30</w:t>
      </w:r>
      <w:bookmarkEnd w:id="1163"/>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14:paraId="09AC375F">
      <w:pPr>
        <w:autoSpaceDN w:val="0"/>
        <w:adjustRightInd w:val="0"/>
        <w:snapToGrid w:val="0"/>
        <w:spacing w:line="360" w:lineRule="auto"/>
        <w:ind w:left="420" w:leftChars="100" w:hanging="210" w:hanging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A、根据有效投标人的投标报价，最低价作为基准价（Y）。投标人报价（X）等于基准价的得满分</w:t>
      </w:r>
      <w:bookmarkStart w:id="1164" w:name="OLE_LINK222"/>
      <w:r>
        <w:rPr>
          <w:rFonts w:hint="eastAsia" w:ascii="宋体" w:hAnsi="宋体" w:eastAsia="宋体" w:cs="宋体"/>
          <w:color w:val="000000" w:themeColor="text1"/>
          <w:kern w:val="0"/>
          <w:szCs w:val="21"/>
          <w:highlight w:val="none"/>
          <w14:textFill>
            <w14:solidFill>
              <w14:schemeClr w14:val="tx1"/>
            </w14:solidFill>
          </w14:textFill>
        </w:rPr>
        <w:t>30</w:t>
      </w:r>
      <w:bookmarkEnd w:id="1164"/>
      <w:r>
        <w:rPr>
          <w:rFonts w:hint="eastAsia" w:ascii="宋体" w:hAnsi="宋体" w:eastAsia="宋体" w:cs="宋体"/>
          <w:color w:val="000000" w:themeColor="text1"/>
          <w:kern w:val="0"/>
          <w:szCs w:val="21"/>
          <w:highlight w:val="none"/>
          <w14:textFill>
            <w14:solidFill>
              <w14:schemeClr w14:val="tx1"/>
            </w14:solidFill>
          </w14:textFill>
        </w:rPr>
        <w:t>分，其他投标人的价格得分统一按照下列公式计算：</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 xml:space="preserve">    价格得分=(基准价／投标报价)×</w:t>
      </w:r>
      <w:bookmarkStart w:id="1165" w:name="OLE_LINK224"/>
      <w:r>
        <w:rPr>
          <w:rFonts w:hint="eastAsia" w:ascii="宋体" w:hAnsi="宋体" w:eastAsia="宋体" w:cs="宋体"/>
          <w:color w:val="000000" w:themeColor="text1"/>
          <w:kern w:val="0"/>
          <w:szCs w:val="21"/>
          <w:highlight w:val="none"/>
          <w14:textFill>
            <w14:solidFill>
              <w14:schemeClr w14:val="tx1"/>
            </w14:solidFill>
          </w14:textFill>
        </w:rPr>
        <w:t>30</w:t>
      </w:r>
      <w:bookmarkEnd w:id="1165"/>
    </w:p>
    <w:p w14:paraId="2ED4F64E">
      <w:pPr>
        <w:autoSpaceDN w:val="0"/>
        <w:adjustRightInd w:val="0"/>
        <w:snapToGrid w:val="0"/>
        <w:spacing w:line="360" w:lineRule="auto"/>
        <w:ind w:firstLine="210" w:firstLine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14:paraId="3AF9CA0E">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14:paraId="1BC94C03">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1166"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1166"/>
    </w:p>
    <w:p w14:paraId="1475C92A">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1167"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1167"/>
      <w:r>
        <w:rPr>
          <w:rFonts w:hint="eastAsia" w:ascii="宋体" w:hAnsi="宋体" w:eastAsia="宋体" w:cs="宋体"/>
          <w:color w:val="000000" w:themeColor="text1"/>
          <w:kern w:val="0"/>
          <w:szCs w:val="21"/>
          <w:highlight w:val="none"/>
          <w14:textFill>
            <w14:solidFill>
              <w14:schemeClr w14:val="tx1"/>
            </w14:solidFill>
          </w14:textFill>
        </w:rPr>
        <w:t>。</w:t>
      </w:r>
    </w:p>
    <w:p w14:paraId="05B2FAF9">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3E52C41A">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1168"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1168"/>
    </w:p>
    <w:p w14:paraId="0839E248">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2FAA868D">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BF89103">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49DFE5FF">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1169"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1169"/>
    </w:p>
    <w:p w14:paraId="2D875389">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3B9C77D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7CADB74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2F5E53D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50C3994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7ADD0745">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0C6CDC47">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474B4D29">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2EDBEEAB">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1170"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1170"/>
    </w:p>
    <w:p w14:paraId="465FE89E">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686BCEB6">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0AE609BE">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36106789">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E60BE60">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07426EA">
      <w:pPr>
        <w:widowControl/>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bookmarkEnd w:id="1009"/>
      <w:bookmarkEnd w:id="1032"/>
      <w:bookmarkEnd w:id="1033"/>
      <w:bookmarkEnd w:id="1034"/>
    </w:p>
    <w:p w14:paraId="1305C823">
      <w:pPr>
        <w:rPr>
          <w:color w:val="000000" w:themeColor="text1"/>
          <w:highlight w:val="none"/>
          <w14:textFill>
            <w14:solidFill>
              <w14:schemeClr w14:val="tx1"/>
            </w14:solidFill>
          </w14:textFill>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ˎ̥">
    <w:altName w:val="微软雅黑"/>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BF3C8">
    <w:pPr>
      <w:pStyle w:val="26"/>
      <w:jc w:val="center"/>
    </w:pPr>
    <w:r>
      <w:rPr>
        <w:rFonts w:hint="eastAsia"/>
      </w:rPr>
      <w:t>第</w:t>
    </w:r>
    <w:r>
      <w:rPr>
        <w:bCs/>
      </w:rPr>
      <w:fldChar w:fldCharType="begin"/>
    </w:r>
    <w:r>
      <w:rPr>
        <w:bCs/>
      </w:rPr>
      <w:instrText xml:space="preserve">PAGE</w:instrText>
    </w:r>
    <w:r>
      <w:rPr>
        <w:bCs/>
      </w:rPr>
      <w:fldChar w:fldCharType="separate"/>
    </w:r>
    <w:r>
      <w:rPr>
        <w:bCs/>
      </w:rPr>
      <w:t>99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143</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2D3DA">
    <w:pPr>
      <w:pStyle w:val="26"/>
      <w:jc w:val="center"/>
    </w:pPr>
    <w:r>
      <w:rPr>
        <w:rFonts w:hint="eastAsia"/>
      </w:rPr>
      <w:t>第</w:t>
    </w:r>
    <w:r>
      <w:rPr>
        <w:bCs/>
      </w:rPr>
      <w:fldChar w:fldCharType="begin"/>
    </w:r>
    <w:r>
      <w:rPr>
        <w:bCs/>
      </w:rPr>
      <w:instrText xml:space="preserve">PAGE</w:instrText>
    </w:r>
    <w:r>
      <w:rPr>
        <w:bCs/>
      </w:rPr>
      <w:fldChar w:fldCharType="separate"/>
    </w:r>
    <w:r>
      <w:rPr>
        <w:bCs/>
      </w:rPr>
      <w:t>87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143</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BB2C">
    <w:pPr>
      <w:pStyle w:val="26"/>
      <w:jc w:val="center"/>
    </w:pPr>
    <w:r>
      <w:rPr>
        <w:rFonts w:hint="eastAsia"/>
      </w:rPr>
      <w:t>第</w:t>
    </w:r>
    <w:r>
      <w:rPr>
        <w:bCs/>
      </w:rPr>
      <w:fldChar w:fldCharType="begin"/>
    </w:r>
    <w:r>
      <w:rPr>
        <w:bCs/>
      </w:rPr>
      <w:instrText xml:space="preserve">PAGE</w:instrText>
    </w:r>
    <w:r>
      <w:rPr>
        <w:bCs/>
      </w:rPr>
      <w:fldChar w:fldCharType="separate"/>
    </w:r>
    <w:r>
      <w:rPr>
        <w:bCs/>
      </w:rPr>
      <w:t>103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143</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A23B">
    <w:pPr>
      <w:pStyle w:val="26"/>
      <w:jc w:val="center"/>
    </w:pPr>
    <w:r>
      <w:rPr>
        <w:rFonts w:hint="eastAsia"/>
      </w:rPr>
      <w:t>第</w:t>
    </w:r>
    <w:r>
      <w:rPr>
        <w:bCs/>
      </w:rPr>
      <w:fldChar w:fldCharType="begin"/>
    </w:r>
    <w:r>
      <w:rPr>
        <w:bCs/>
      </w:rPr>
      <w:instrText xml:space="preserve">PAGE</w:instrText>
    </w:r>
    <w:r>
      <w:rPr>
        <w:bCs/>
      </w:rPr>
      <w:fldChar w:fldCharType="separate"/>
    </w:r>
    <w:r>
      <w:rPr>
        <w:bCs/>
      </w:rPr>
      <w:t>117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143</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11DD3">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141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143</w:t>
    </w:r>
    <w:r>
      <w:rPr>
        <w:bCs/>
        <w:sz w:val="24"/>
        <w:szCs w:val="24"/>
      </w:rPr>
      <w:fldChar w:fldCharType="end"/>
    </w:r>
    <w:r>
      <w:rPr>
        <w:b/>
        <w:bCs/>
        <w:sz w:val="24"/>
        <w:szCs w:val="24"/>
      </w:rPr>
      <w:t xml:space="preserve"> </w:t>
    </w:r>
    <w:r>
      <w:rPr>
        <w:rFonts w:hint="eastAsia"/>
      </w:rPr>
      <w:t>页</w:t>
    </w:r>
  </w:p>
  <w:p w14:paraId="5721F32E">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1E402"/>
    <w:multiLevelType w:val="singleLevel"/>
    <w:tmpl w:val="8341E402"/>
    <w:lvl w:ilvl="0" w:tentative="0">
      <w:start w:val="1"/>
      <w:numFmt w:val="chineseCounting"/>
      <w:suff w:val="nothing"/>
      <w:lvlText w:val="%1、"/>
      <w:lvlJc w:val="left"/>
      <w:rPr>
        <w:rFonts w:hint="eastAsia"/>
      </w:rPr>
    </w:lvl>
  </w:abstractNum>
  <w:abstractNum w:abstractNumId="1">
    <w:nsid w:val="0ADAAA43"/>
    <w:multiLevelType w:val="singleLevel"/>
    <w:tmpl w:val="0ADAAA43"/>
    <w:lvl w:ilvl="0" w:tentative="0">
      <w:start w:val="3"/>
      <w:numFmt w:val="decimal"/>
      <w:suff w:val="nothing"/>
      <w:lvlText w:val="%1、"/>
      <w:lvlJc w:val="left"/>
    </w:lvl>
  </w:abstractNum>
  <w:abstractNum w:abstractNumId="2">
    <w:nsid w:val="13CD5E33"/>
    <w:multiLevelType w:val="multilevel"/>
    <w:tmpl w:val="13CD5E3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3C01546A"/>
    <w:multiLevelType w:val="singleLevel"/>
    <w:tmpl w:val="3C01546A"/>
    <w:lvl w:ilvl="0" w:tentative="0">
      <w:start w:val="1"/>
      <w:numFmt w:val="decimal"/>
      <w:suff w:val="nothing"/>
      <w:lvlText w:val="（%1）"/>
      <w:lvlJc w:val="left"/>
      <w:pPr>
        <w:ind w:left="0" w:firstLine="420"/>
      </w:pPr>
      <w:rPr>
        <w:rFonts w:hint="default"/>
      </w:rPr>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iYTc3NWIwMWFjZDBjNDgwZTQ5M2I4OWRiM2VmZWUifQ=="/>
    <w:docVar w:name="KSO_WPS_MARK_KEY" w:val="2556e830-ef25-4d13-bad8-ef1177fe74ee"/>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87860"/>
    <w:rsid w:val="00094AF8"/>
    <w:rsid w:val="000A31BD"/>
    <w:rsid w:val="000A34F7"/>
    <w:rsid w:val="000A65CD"/>
    <w:rsid w:val="000A73D7"/>
    <w:rsid w:val="000B1239"/>
    <w:rsid w:val="000B4B09"/>
    <w:rsid w:val="000B5FFB"/>
    <w:rsid w:val="000C1661"/>
    <w:rsid w:val="000C18B7"/>
    <w:rsid w:val="000C5D06"/>
    <w:rsid w:val="000C6A11"/>
    <w:rsid w:val="000D0B5D"/>
    <w:rsid w:val="000D5537"/>
    <w:rsid w:val="000D75D3"/>
    <w:rsid w:val="000E3ECA"/>
    <w:rsid w:val="000E4A4F"/>
    <w:rsid w:val="000E4D54"/>
    <w:rsid w:val="000F0A84"/>
    <w:rsid w:val="00102BA8"/>
    <w:rsid w:val="001059DC"/>
    <w:rsid w:val="0010738F"/>
    <w:rsid w:val="0011440A"/>
    <w:rsid w:val="00114519"/>
    <w:rsid w:val="001233ED"/>
    <w:rsid w:val="00127946"/>
    <w:rsid w:val="00131E91"/>
    <w:rsid w:val="00132ABA"/>
    <w:rsid w:val="00137644"/>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833D1"/>
    <w:rsid w:val="00191320"/>
    <w:rsid w:val="0019682B"/>
    <w:rsid w:val="001A1FCB"/>
    <w:rsid w:val="001B578A"/>
    <w:rsid w:val="001B74B3"/>
    <w:rsid w:val="001C2086"/>
    <w:rsid w:val="001C3532"/>
    <w:rsid w:val="001C4AC2"/>
    <w:rsid w:val="001C6FAA"/>
    <w:rsid w:val="001D00B3"/>
    <w:rsid w:val="001D2409"/>
    <w:rsid w:val="001D44E5"/>
    <w:rsid w:val="001D5A65"/>
    <w:rsid w:val="001D6B15"/>
    <w:rsid w:val="001E4158"/>
    <w:rsid w:val="001E6227"/>
    <w:rsid w:val="001E63B6"/>
    <w:rsid w:val="001E6DD8"/>
    <w:rsid w:val="001F0290"/>
    <w:rsid w:val="001F6A01"/>
    <w:rsid w:val="00202DB9"/>
    <w:rsid w:val="0021412D"/>
    <w:rsid w:val="00215B7A"/>
    <w:rsid w:val="00223D5B"/>
    <w:rsid w:val="0022528C"/>
    <w:rsid w:val="002258BB"/>
    <w:rsid w:val="00225B7D"/>
    <w:rsid w:val="002260FC"/>
    <w:rsid w:val="002315B7"/>
    <w:rsid w:val="002347FE"/>
    <w:rsid w:val="0024360C"/>
    <w:rsid w:val="002451A7"/>
    <w:rsid w:val="002466DD"/>
    <w:rsid w:val="00247373"/>
    <w:rsid w:val="00260C05"/>
    <w:rsid w:val="00261575"/>
    <w:rsid w:val="00262407"/>
    <w:rsid w:val="00275480"/>
    <w:rsid w:val="00275E0E"/>
    <w:rsid w:val="0028146F"/>
    <w:rsid w:val="002831F6"/>
    <w:rsid w:val="00290CBF"/>
    <w:rsid w:val="0029590E"/>
    <w:rsid w:val="002A3EB3"/>
    <w:rsid w:val="002B1734"/>
    <w:rsid w:val="002B4130"/>
    <w:rsid w:val="002B43CA"/>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66E"/>
    <w:rsid w:val="00325EF0"/>
    <w:rsid w:val="00326230"/>
    <w:rsid w:val="00326290"/>
    <w:rsid w:val="00330DA7"/>
    <w:rsid w:val="00332C2D"/>
    <w:rsid w:val="00335872"/>
    <w:rsid w:val="00336E17"/>
    <w:rsid w:val="00345B0A"/>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4008"/>
    <w:rsid w:val="003B5C9C"/>
    <w:rsid w:val="003C193B"/>
    <w:rsid w:val="003C270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37D8"/>
    <w:rsid w:val="004359C6"/>
    <w:rsid w:val="004360FC"/>
    <w:rsid w:val="004378C7"/>
    <w:rsid w:val="00437B9C"/>
    <w:rsid w:val="00437FC4"/>
    <w:rsid w:val="00441805"/>
    <w:rsid w:val="0045178F"/>
    <w:rsid w:val="004551D1"/>
    <w:rsid w:val="0045753C"/>
    <w:rsid w:val="004577C3"/>
    <w:rsid w:val="0046038A"/>
    <w:rsid w:val="00460F3E"/>
    <w:rsid w:val="00464570"/>
    <w:rsid w:val="004761B2"/>
    <w:rsid w:val="00481AFA"/>
    <w:rsid w:val="0049337D"/>
    <w:rsid w:val="004A64BC"/>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43B7D"/>
    <w:rsid w:val="00556EA5"/>
    <w:rsid w:val="005572B4"/>
    <w:rsid w:val="0056010A"/>
    <w:rsid w:val="00561294"/>
    <w:rsid w:val="00563302"/>
    <w:rsid w:val="00571307"/>
    <w:rsid w:val="005743EA"/>
    <w:rsid w:val="00574B06"/>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5F6CC1"/>
    <w:rsid w:val="005F722A"/>
    <w:rsid w:val="00602D7E"/>
    <w:rsid w:val="00603BD0"/>
    <w:rsid w:val="0060555D"/>
    <w:rsid w:val="00606161"/>
    <w:rsid w:val="006062B3"/>
    <w:rsid w:val="00612EB1"/>
    <w:rsid w:val="0061352C"/>
    <w:rsid w:val="0061514D"/>
    <w:rsid w:val="006165C8"/>
    <w:rsid w:val="006175B4"/>
    <w:rsid w:val="00617AAD"/>
    <w:rsid w:val="00621CDC"/>
    <w:rsid w:val="006229B2"/>
    <w:rsid w:val="00625E3D"/>
    <w:rsid w:val="006269CD"/>
    <w:rsid w:val="00630B61"/>
    <w:rsid w:val="006402A6"/>
    <w:rsid w:val="00644B65"/>
    <w:rsid w:val="00644C4E"/>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55AC"/>
    <w:rsid w:val="006C6349"/>
    <w:rsid w:val="006D151B"/>
    <w:rsid w:val="006D479F"/>
    <w:rsid w:val="006E2E51"/>
    <w:rsid w:val="006F6DB2"/>
    <w:rsid w:val="0070455A"/>
    <w:rsid w:val="00704B3A"/>
    <w:rsid w:val="00710CF8"/>
    <w:rsid w:val="00711E08"/>
    <w:rsid w:val="007138FD"/>
    <w:rsid w:val="00716BB1"/>
    <w:rsid w:val="007172FD"/>
    <w:rsid w:val="007200C8"/>
    <w:rsid w:val="007215F6"/>
    <w:rsid w:val="00721BAA"/>
    <w:rsid w:val="00744C17"/>
    <w:rsid w:val="00745968"/>
    <w:rsid w:val="00747A3E"/>
    <w:rsid w:val="007730C9"/>
    <w:rsid w:val="00775150"/>
    <w:rsid w:val="00776B48"/>
    <w:rsid w:val="0078099D"/>
    <w:rsid w:val="00787DE8"/>
    <w:rsid w:val="007942D8"/>
    <w:rsid w:val="00794983"/>
    <w:rsid w:val="00796ED7"/>
    <w:rsid w:val="007A2325"/>
    <w:rsid w:val="007A7740"/>
    <w:rsid w:val="007B4F1D"/>
    <w:rsid w:val="007C002A"/>
    <w:rsid w:val="007C024B"/>
    <w:rsid w:val="007C21B8"/>
    <w:rsid w:val="007C728A"/>
    <w:rsid w:val="007D408A"/>
    <w:rsid w:val="007D4A5A"/>
    <w:rsid w:val="007D6B20"/>
    <w:rsid w:val="007E0673"/>
    <w:rsid w:val="007E0FE5"/>
    <w:rsid w:val="007E17C8"/>
    <w:rsid w:val="007E32FC"/>
    <w:rsid w:val="007F01A2"/>
    <w:rsid w:val="007F0378"/>
    <w:rsid w:val="007F2ABC"/>
    <w:rsid w:val="007F7FEC"/>
    <w:rsid w:val="00804525"/>
    <w:rsid w:val="00806324"/>
    <w:rsid w:val="0081027D"/>
    <w:rsid w:val="00817B3D"/>
    <w:rsid w:val="00822299"/>
    <w:rsid w:val="00822F1E"/>
    <w:rsid w:val="008270D5"/>
    <w:rsid w:val="008279A7"/>
    <w:rsid w:val="00831286"/>
    <w:rsid w:val="00831B7F"/>
    <w:rsid w:val="0085250F"/>
    <w:rsid w:val="008525D6"/>
    <w:rsid w:val="0085388E"/>
    <w:rsid w:val="00856F5E"/>
    <w:rsid w:val="008604D1"/>
    <w:rsid w:val="008659E9"/>
    <w:rsid w:val="0087095D"/>
    <w:rsid w:val="00871835"/>
    <w:rsid w:val="00871F12"/>
    <w:rsid w:val="00872B51"/>
    <w:rsid w:val="00874B71"/>
    <w:rsid w:val="00875420"/>
    <w:rsid w:val="00876184"/>
    <w:rsid w:val="008769AF"/>
    <w:rsid w:val="00880A50"/>
    <w:rsid w:val="00880DA4"/>
    <w:rsid w:val="00884732"/>
    <w:rsid w:val="0089007C"/>
    <w:rsid w:val="008928AE"/>
    <w:rsid w:val="00893092"/>
    <w:rsid w:val="00894583"/>
    <w:rsid w:val="008A31A1"/>
    <w:rsid w:val="008A4C9B"/>
    <w:rsid w:val="008B08C5"/>
    <w:rsid w:val="008B6384"/>
    <w:rsid w:val="008B6557"/>
    <w:rsid w:val="008B74A7"/>
    <w:rsid w:val="008C02C2"/>
    <w:rsid w:val="008C1CB3"/>
    <w:rsid w:val="008C7F21"/>
    <w:rsid w:val="008D1795"/>
    <w:rsid w:val="008D4357"/>
    <w:rsid w:val="008D565D"/>
    <w:rsid w:val="008D6357"/>
    <w:rsid w:val="008E08E3"/>
    <w:rsid w:val="008E3A4C"/>
    <w:rsid w:val="008E58ED"/>
    <w:rsid w:val="008E5EA1"/>
    <w:rsid w:val="008E6AB7"/>
    <w:rsid w:val="008F13C0"/>
    <w:rsid w:val="008F3413"/>
    <w:rsid w:val="008F38EE"/>
    <w:rsid w:val="009001CB"/>
    <w:rsid w:val="0090026B"/>
    <w:rsid w:val="009004F6"/>
    <w:rsid w:val="009077A0"/>
    <w:rsid w:val="009113DE"/>
    <w:rsid w:val="00913121"/>
    <w:rsid w:val="009171D5"/>
    <w:rsid w:val="00917709"/>
    <w:rsid w:val="009179D6"/>
    <w:rsid w:val="00917C84"/>
    <w:rsid w:val="009220F2"/>
    <w:rsid w:val="009227C1"/>
    <w:rsid w:val="00923EDB"/>
    <w:rsid w:val="00925D9A"/>
    <w:rsid w:val="00926978"/>
    <w:rsid w:val="00932BD9"/>
    <w:rsid w:val="009435B1"/>
    <w:rsid w:val="0094670F"/>
    <w:rsid w:val="009479D0"/>
    <w:rsid w:val="00961BA9"/>
    <w:rsid w:val="00967923"/>
    <w:rsid w:val="009701D2"/>
    <w:rsid w:val="00970774"/>
    <w:rsid w:val="00972FAE"/>
    <w:rsid w:val="009732EB"/>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1B0E"/>
    <w:rsid w:val="009E216D"/>
    <w:rsid w:val="009E6283"/>
    <w:rsid w:val="009E63CA"/>
    <w:rsid w:val="009F34CB"/>
    <w:rsid w:val="009F3DCF"/>
    <w:rsid w:val="009F7460"/>
    <w:rsid w:val="009F7F6B"/>
    <w:rsid w:val="00A03E44"/>
    <w:rsid w:val="00A075A8"/>
    <w:rsid w:val="00A10A7B"/>
    <w:rsid w:val="00A15F6A"/>
    <w:rsid w:val="00A209A9"/>
    <w:rsid w:val="00A2275B"/>
    <w:rsid w:val="00A2321D"/>
    <w:rsid w:val="00A311C2"/>
    <w:rsid w:val="00A32233"/>
    <w:rsid w:val="00A36A24"/>
    <w:rsid w:val="00A376FB"/>
    <w:rsid w:val="00A45306"/>
    <w:rsid w:val="00A45D73"/>
    <w:rsid w:val="00A4624C"/>
    <w:rsid w:val="00A62F8C"/>
    <w:rsid w:val="00A64725"/>
    <w:rsid w:val="00A6666A"/>
    <w:rsid w:val="00A67DDD"/>
    <w:rsid w:val="00A73490"/>
    <w:rsid w:val="00A819B6"/>
    <w:rsid w:val="00A91C8B"/>
    <w:rsid w:val="00A95824"/>
    <w:rsid w:val="00AB2EDC"/>
    <w:rsid w:val="00AB2F06"/>
    <w:rsid w:val="00AB47F4"/>
    <w:rsid w:val="00AC136E"/>
    <w:rsid w:val="00AC1793"/>
    <w:rsid w:val="00AC1F6A"/>
    <w:rsid w:val="00AC413D"/>
    <w:rsid w:val="00AD3A9D"/>
    <w:rsid w:val="00AD79D3"/>
    <w:rsid w:val="00AE5434"/>
    <w:rsid w:val="00AE6DBF"/>
    <w:rsid w:val="00AE75DB"/>
    <w:rsid w:val="00AF242D"/>
    <w:rsid w:val="00B0092D"/>
    <w:rsid w:val="00B01C60"/>
    <w:rsid w:val="00B01D22"/>
    <w:rsid w:val="00B02532"/>
    <w:rsid w:val="00B03A00"/>
    <w:rsid w:val="00B0445D"/>
    <w:rsid w:val="00B0447C"/>
    <w:rsid w:val="00B05C81"/>
    <w:rsid w:val="00B05E53"/>
    <w:rsid w:val="00B072AA"/>
    <w:rsid w:val="00B10650"/>
    <w:rsid w:val="00B10E08"/>
    <w:rsid w:val="00B11436"/>
    <w:rsid w:val="00B12341"/>
    <w:rsid w:val="00B25D19"/>
    <w:rsid w:val="00B359D9"/>
    <w:rsid w:val="00B35BC7"/>
    <w:rsid w:val="00B364E5"/>
    <w:rsid w:val="00B40B8B"/>
    <w:rsid w:val="00B4404D"/>
    <w:rsid w:val="00B50993"/>
    <w:rsid w:val="00B63168"/>
    <w:rsid w:val="00B63E9B"/>
    <w:rsid w:val="00B64963"/>
    <w:rsid w:val="00B70085"/>
    <w:rsid w:val="00B7099F"/>
    <w:rsid w:val="00B71873"/>
    <w:rsid w:val="00B72A5D"/>
    <w:rsid w:val="00B736B7"/>
    <w:rsid w:val="00B73C45"/>
    <w:rsid w:val="00B743F9"/>
    <w:rsid w:val="00B82E01"/>
    <w:rsid w:val="00B84DD7"/>
    <w:rsid w:val="00B91811"/>
    <w:rsid w:val="00B94460"/>
    <w:rsid w:val="00B9561A"/>
    <w:rsid w:val="00BA23AD"/>
    <w:rsid w:val="00BA437F"/>
    <w:rsid w:val="00BA5C29"/>
    <w:rsid w:val="00BB6C9A"/>
    <w:rsid w:val="00BC0594"/>
    <w:rsid w:val="00BC11FC"/>
    <w:rsid w:val="00BC1F54"/>
    <w:rsid w:val="00BC4C9D"/>
    <w:rsid w:val="00BC54FC"/>
    <w:rsid w:val="00BC5B45"/>
    <w:rsid w:val="00BD20FB"/>
    <w:rsid w:val="00BD2118"/>
    <w:rsid w:val="00BD5092"/>
    <w:rsid w:val="00BD5997"/>
    <w:rsid w:val="00BE6F50"/>
    <w:rsid w:val="00BF1BA3"/>
    <w:rsid w:val="00BF588D"/>
    <w:rsid w:val="00C03447"/>
    <w:rsid w:val="00C07EF5"/>
    <w:rsid w:val="00C1084F"/>
    <w:rsid w:val="00C128FE"/>
    <w:rsid w:val="00C13304"/>
    <w:rsid w:val="00C1777A"/>
    <w:rsid w:val="00C212E3"/>
    <w:rsid w:val="00C22FAE"/>
    <w:rsid w:val="00C24C44"/>
    <w:rsid w:val="00C26B0C"/>
    <w:rsid w:val="00C30F18"/>
    <w:rsid w:val="00C331D1"/>
    <w:rsid w:val="00C35958"/>
    <w:rsid w:val="00C372A8"/>
    <w:rsid w:val="00C375FF"/>
    <w:rsid w:val="00C40848"/>
    <w:rsid w:val="00C50246"/>
    <w:rsid w:val="00C50E47"/>
    <w:rsid w:val="00C562AA"/>
    <w:rsid w:val="00C574F4"/>
    <w:rsid w:val="00C747C6"/>
    <w:rsid w:val="00C756C3"/>
    <w:rsid w:val="00C80F66"/>
    <w:rsid w:val="00C84AE8"/>
    <w:rsid w:val="00C85D1B"/>
    <w:rsid w:val="00C96DDA"/>
    <w:rsid w:val="00CA7F1F"/>
    <w:rsid w:val="00CB082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1402"/>
    <w:rsid w:val="00D24FD7"/>
    <w:rsid w:val="00D25647"/>
    <w:rsid w:val="00D34FE4"/>
    <w:rsid w:val="00D377A7"/>
    <w:rsid w:val="00D44C95"/>
    <w:rsid w:val="00D452A7"/>
    <w:rsid w:val="00D4584F"/>
    <w:rsid w:val="00D54725"/>
    <w:rsid w:val="00D559FF"/>
    <w:rsid w:val="00D62B8C"/>
    <w:rsid w:val="00D63276"/>
    <w:rsid w:val="00D66F39"/>
    <w:rsid w:val="00D673D8"/>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1BE9"/>
    <w:rsid w:val="00DC5EF2"/>
    <w:rsid w:val="00DC7EF7"/>
    <w:rsid w:val="00DD6B5E"/>
    <w:rsid w:val="00DD6BD4"/>
    <w:rsid w:val="00DE5E58"/>
    <w:rsid w:val="00DE7B46"/>
    <w:rsid w:val="00E0162C"/>
    <w:rsid w:val="00E07BA9"/>
    <w:rsid w:val="00E11487"/>
    <w:rsid w:val="00E14ACC"/>
    <w:rsid w:val="00E15A8C"/>
    <w:rsid w:val="00E256DA"/>
    <w:rsid w:val="00E4144C"/>
    <w:rsid w:val="00E44F84"/>
    <w:rsid w:val="00E463C6"/>
    <w:rsid w:val="00E53121"/>
    <w:rsid w:val="00E5318E"/>
    <w:rsid w:val="00E53532"/>
    <w:rsid w:val="00E6034D"/>
    <w:rsid w:val="00E626BD"/>
    <w:rsid w:val="00E63EDF"/>
    <w:rsid w:val="00E71967"/>
    <w:rsid w:val="00E754B1"/>
    <w:rsid w:val="00E801B5"/>
    <w:rsid w:val="00E905E8"/>
    <w:rsid w:val="00E93F56"/>
    <w:rsid w:val="00E952D9"/>
    <w:rsid w:val="00E96773"/>
    <w:rsid w:val="00E97CB9"/>
    <w:rsid w:val="00EA3EDC"/>
    <w:rsid w:val="00EA6DAC"/>
    <w:rsid w:val="00EB27E9"/>
    <w:rsid w:val="00EB37C9"/>
    <w:rsid w:val="00EC134E"/>
    <w:rsid w:val="00ED0445"/>
    <w:rsid w:val="00ED3771"/>
    <w:rsid w:val="00ED3C3B"/>
    <w:rsid w:val="00EE48C3"/>
    <w:rsid w:val="00EF199D"/>
    <w:rsid w:val="00EF4E12"/>
    <w:rsid w:val="00EF5326"/>
    <w:rsid w:val="00EF65F3"/>
    <w:rsid w:val="00F01510"/>
    <w:rsid w:val="00F02A6D"/>
    <w:rsid w:val="00F0424C"/>
    <w:rsid w:val="00F10085"/>
    <w:rsid w:val="00F10495"/>
    <w:rsid w:val="00F10DA8"/>
    <w:rsid w:val="00F1168A"/>
    <w:rsid w:val="00F12A10"/>
    <w:rsid w:val="00F231D8"/>
    <w:rsid w:val="00F2391C"/>
    <w:rsid w:val="00F30153"/>
    <w:rsid w:val="00F31E30"/>
    <w:rsid w:val="00F3326F"/>
    <w:rsid w:val="00F34781"/>
    <w:rsid w:val="00F41A5D"/>
    <w:rsid w:val="00F470A2"/>
    <w:rsid w:val="00F51F93"/>
    <w:rsid w:val="00F552E5"/>
    <w:rsid w:val="00F56AA8"/>
    <w:rsid w:val="00F67C91"/>
    <w:rsid w:val="00F723F9"/>
    <w:rsid w:val="00F73E45"/>
    <w:rsid w:val="00F82315"/>
    <w:rsid w:val="00F83D3C"/>
    <w:rsid w:val="00F840D6"/>
    <w:rsid w:val="00F8691C"/>
    <w:rsid w:val="00F87183"/>
    <w:rsid w:val="00F900BE"/>
    <w:rsid w:val="00F97392"/>
    <w:rsid w:val="00F97DF6"/>
    <w:rsid w:val="00FA4EEC"/>
    <w:rsid w:val="00FB335B"/>
    <w:rsid w:val="00FB4EAA"/>
    <w:rsid w:val="00FC5512"/>
    <w:rsid w:val="00FC6366"/>
    <w:rsid w:val="00FD0CD9"/>
    <w:rsid w:val="00FD4970"/>
    <w:rsid w:val="00FD6927"/>
    <w:rsid w:val="00FE02D9"/>
    <w:rsid w:val="00FE14F9"/>
    <w:rsid w:val="00FF1FBB"/>
    <w:rsid w:val="00FF2EFF"/>
    <w:rsid w:val="00FF4843"/>
    <w:rsid w:val="00FF5EEA"/>
    <w:rsid w:val="01313F9D"/>
    <w:rsid w:val="02626970"/>
    <w:rsid w:val="02F31034"/>
    <w:rsid w:val="02FE5AC7"/>
    <w:rsid w:val="03FF75E7"/>
    <w:rsid w:val="058F7720"/>
    <w:rsid w:val="06447858"/>
    <w:rsid w:val="064D4E7D"/>
    <w:rsid w:val="06A75D00"/>
    <w:rsid w:val="08357399"/>
    <w:rsid w:val="08E5226C"/>
    <w:rsid w:val="097035F9"/>
    <w:rsid w:val="09AB6C68"/>
    <w:rsid w:val="0B1B4734"/>
    <w:rsid w:val="0B355281"/>
    <w:rsid w:val="0BAE6337"/>
    <w:rsid w:val="0C2D285A"/>
    <w:rsid w:val="0C4760BB"/>
    <w:rsid w:val="0C670100"/>
    <w:rsid w:val="0CF103CF"/>
    <w:rsid w:val="0F241091"/>
    <w:rsid w:val="0F4B2AA2"/>
    <w:rsid w:val="128C1376"/>
    <w:rsid w:val="130F4A87"/>
    <w:rsid w:val="14373291"/>
    <w:rsid w:val="1700420E"/>
    <w:rsid w:val="172016E4"/>
    <w:rsid w:val="177FC078"/>
    <w:rsid w:val="1A8C2802"/>
    <w:rsid w:val="1B0940FF"/>
    <w:rsid w:val="1B0C4C2E"/>
    <w:rsid w:val="1B471594"/>
    <w:rsid w:val="1B680133"/>
    <w:rsid w:val="1C47468D"/>
    <w:rsid w:val="1CFE7CD4"/>
    <w:rsid w:val="1D3E28AD"/>
    <w:rsid w:val="1E2471AC"/>
    <w:rsid w:val="1EB83BF5"/>
    <w:rsid w:val="1F735BA5"/>
    <w:rsid w:val="1F963CB0"/>
    <w:rsid w:val="1FAB3F19"/>
    <w:rsid w:val="1FD67095"/>
    <w:rsid w:val="20167F3D"/>
    <w:rsid w:val="2045609B"/>
    <w:rsid w:val="207A1985"/>
    <w:rsid w:val="20DA02DF"/>
    <w:rsid w:val="218B5670"/>
    <w:rsid w:val="22B26983"/>
    <w:rsid w:val="230F77BC"/>
    <w:rsid w:val="232B75FE"/>
    <w:rsid w:val="23643FEA"/>
    <w:rsid w:val="23A65DA9"/>
    <w:rsid w:val="24194FC5"/>
    <w:rsid w:val="24954A34"/>
    <w:rsid w:val="24F45147"/>
    <w:rsid w:val="258D6971"/>
    <w:rsid w:val="26844A66"/>
    <w:rsid w:val="28137EC7"/>
    <w:rsid w:val="286C203C"/>
    <w:rsid w:val="286E02B3"/>
    <w:rsid w:val="28CD7B64"/>
    <w:rsid w:val="28DA73F5"/>
    <w:rsid w:val="2B716758"/>
    <w:rsid w:val="2C85114F"/>
    <w:rsid w:val="2CFC2BFE"/>
    <w:rsid w:val="2DB11966"/>
    <w:rsid w:val="2E2079FF"/>
    <w:rsid w:val="2E8A7870"/>
    <w:rsid w:val="2ED03A52"/>
    <w:rsid w:val="2EFA2A76"/>
    <w:rsid w:val="314D028A"/>
    <w:rsid w:val="317F48F3"/>
    <w:rsid w:val="320D5A6C"/>
    <w:rsid w:val="325F5E35"/>
    <w:rsid w:val="326E1C4D"/>
    <w:rsid w:val="33433FFF"/>
    <w:rsid w:val="347D658B"/>
    <w:rsid w:val="35243365"/>
    <w:rsid w:val="355530AA"/>
    <w:rsid w:val="35942F6A"/>
    <w:rsid w:val="360A4586"/>
    <w:rsid w:val="364631D7"/>
    <w:rsid w:val="36745C27"/>
    <w:rsid w:val="368928C2"/>
    <w:rsid w:val="36986C07"/>
    <w:rsid w:val="369F1E3C"/>
    <w:rsid w:val="37135D64"/>
    <w:rsid w:val="37C14731"/>
    <w:rsid w:val="397A6507"/>
    <w:rsid w:val="3AA14ABB"/>
    <w:rsid w:val="3AF023EB"/>
    <w:rsid w:val="3B1F29B6"/>
    <w:rsid w:val="3B8E088C"/>
    <w:rsid w:val="3B9971A7"/>
    <w:rsid w:val="3C3C60E0"/>
    <w:rsid w:val="3F5B255F"/>
    <w:rsid w:val="3F6B7328"/>
    <w:rsid w:val="3F724C4B"/>
    <w:rsid w:val="3FD7BC8E"/>
    <w:rsid w:val="40737C3F"/>
    <w:rsid w:val="40AB3035"/>
    <w:rsid w:val="426810C2"/>
    <w:rsid w:val="42D4626B"/>
    <w:rsid w:val="4348014F"/>
    <w:rsid w:val="43AF6D8A"/>
    <w:rsid w:val="43B50E83"/>
    <w:rsid w:val="44A02DC8"/>
    <w:rsid w:val="44FE1F89"/>
    <w:rsid w:val="455F8E24"/>
    <w:rsid w:val="46082801"/>
    <w:rsid w:val="468B3192"/>
    <w:rsid w:val="46E2244C"/>
    <w:rsid w:val="479A63E1"/>
    <w:rsid w:val="47B30AC8"/>
    <w:rsid w:val="48FF7EB9"/>
    <w:rsid w:val="49885887"/>
    <w:rsid w:val="49BE777C"/>
    <w:rsid w:val="4A013749"/>
    <w:rsid w:val="4AED4E6E"/>
    <w:rsid w:val="4B443BB0"/>
    <w:rsid w:val="4B9009B5"/>
    <w:rsid w:val="4BAE4439"/>
    <w:rsid w:val="4C2C22AA"/>
    <w:rsid w:val="4C3122E4"/>
    <w:rsid w:val="4CB70C78"/>
    <w:rsid w:val="4CB9278A"/>
    <w:rsid w:val="4DA0062B"/>
    <w:rsid w:val="4DA14869"/>
    <w:rsid w:val="4E564584"/>
    <w:rsid w:val="4F0A4599"/>
    <w:rsid w:val="4F8E6EDB"/>
    <w:rsid w:val="4FAD541E"/>
    <w:rsid w:val="4FCD1AFA"/>
    <w:rsid w:val="4FF62210"/>
    <w:rsid w:val="50052F4B"/>
    <w:rsid w:val="50881A40"/>
    <w:rsid w:val="51D61804"/>
    <w:rsid w:val="52F80915"/>
    <w:rsid w:val="537B7494"/>
    <w:rsid w:val="53BB376E"/>
    <w:rsid w:val="54C47921"/>
    <w:rsid w:val="54F71AA5"/>
    <w:rsid w:val="56781348"/>
    <w:rsid w:val="568802DB"/>
    <w:rsid w:val="56B37004"/>
    <w:rsid w:val="56BE4E46"/>
    <w:rsid w:val="56CF0F2B"/>
    <w:rsid w:val="58802C77"/>
    <w:rsid w:val="58F02387"/>
    <w:rsid w:val="59021831"/>
    <w:rsid w:val="59633BAD"/>
    <w:rsid w:val="5A1522A3"/>
    <w:rsid w:val="5BDB06D0"/>
    <w:rsid w:val="5BE12FA3"/>
    <w:rsid w:val="5D8866EC"/>
    <w:rsid w:val="5E4A57C5"/>
    <w:rsid w:val="5E8D7089"/>
    <w:rsid w:val="5EBF421E"/>
    <w:rsid w:val="5FFB4B3F"/>
    <w:rsid w:val="602F47E9"/>
    <w:rsid w:val="60A305BA"/>
    <w:rsid w:val="62B13874"/>
    <w:rsid w:val="630B32EB"/>
    <w:rsid w:val="63672753"/>
    <w:rsid w:val="6403302A"/>
    <w:rsid w:val="64137F7D"/>
    <w:rsid w:val="645779AB"/>
    <w:rsid w:val="655F511C"/>
    <w:rsid w:val="657A21F9"/>
    <w:rsid w:val="65E62E7A"/>
    <w:rsid w:val="660B715E"/>
    <w:rsid w:val="662E6860"/>
    <w:rsid w:val="6660184C"/>
    <w:rsid w:val="66C51BEE"/>
    <w:rsid w:val="67BB5990"/>
    <w:rsid w:val="68126ECA"/>
    <w:rsid w:val="687F7DF0"/>
    <w:rsid w:val="69C67EE9"/>
    <w:rsid w:val="6A7B676F"/>
    <w:rsid w:val="6AAD178D"/>
    <w:rsid w:val="6AE606B8"/>
    <w:rsid w:val="6B1D52C5"/>
    <w:rsid w:val="6CC649E7"/>
    <w:rsid w:val="6D3B2F16"/>
    <w:rsid w:val="6D736F3C"/>
    <w:rsid w:val="6D974CCD"/>
    <w:rsid w:val="6DF606F4"/>
    <w:rsid w:val="6E511DCE"/>
    <w:rsid w:val="6EEC2B30"/>
    <w:rsid w:val="6F5F71DE"/>
    <w:rsid w:val="6F6F261D"/>
    <w:rsid w:val="71234BA8"/>
    <w:rsid w:val="718C46F8"/>
    <w:rsid w:val="71C61EDD"/>
    <w:rsid w:val="728C42D7"/>
    <w:rsid w:val="72A03F09"/>
    <w:rsid w:val="72DC7380"/>
    <w:rsid w:val="72F153E5"/>
    <w:rsid w:val="743D7CF2"/>
    <w:rsid w:val="74E126C3"/>
    <w:rsid w:val="751002ED"/>
    <w:rsid w:val="75992D1E"/>
    <w:rsid w:val="770E0AD4"/>
    <w:rsid w:val="77587FA9"/>
    <w:rsid w:val="78031383"/>
    <w:rsid w:val="78BA5A84"/>
    <w:rsid w:val="79B73D64"/>
    <w:rsid w:val="7A383EC8"/>
    <w:rsid w:val="7B50074C"/>
    <w:rsid w:val="7B6A44CF"/>
    <w:rsid w:val="7BC430D2"/>
    <w:rsid w:val="7D436164"/>
    <w:rsid w:val="7D6457E7"/>
    <w:rsid w:val="7E670523"/>
    <w:rsid w:val="7E7062A0"/>
    <w:rsid w:val="7EB4618D"/>
    <w:rsid w:val="7F4A5555"/>
    <w:rsid w:val="8D7F0CBA"/>
    <w:rsid w:val="8F7F2393"/>
    <w:rsid w:val="CB7FA2E2"/>
    <w:rsid w:val="D9EA819D"/>
    <w:rsid w:val="E5FF225B"/>
    <w:rsid w:val="EFDE788E"/>
    <w:rsid w:val="F67E0942"/>
    <w:rsid w:val="FF4A5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7"/>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2"/>
    <w:unhideWhenUsed/>
    <w:qFormat/>
    <w:uiPriority w:val="99"/>
    <w:pPr>
      <w:jc w:val="left"/>
    </w:pPr>
    <w:rPr>
      <w:rFonts w:ascii="宋体" w:hAnsi="宋体" w:eastAsia="宋体"/>
    </w:rPr>
  </w:style>
  <w:style w:type="paragraph" w:styleId="18">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next w:val="20"/>
    <w:link w:val="91"/>
    <w:qFormat/>
    <w:uiPriority w:val="0"/>
    <w:pPr>
      <w:ind w:left="567" w:leftChars="270"/>
    </w:pPr>
    <w:rPr>
      <w:rFonts w:ascii="Times New Roman" w:hAnsi="Times New Roman" w:eastAsia="宋体" w:cs="Times New Roman"/>
      <w:szCs w:val="20"/>
    </w:rPr>
  </w:style>
  <w:style w:type="paragraph" w:styleId="20">
    <w:name w:val="Body Text First Indent 2"/>
    <w:basedOn w:val="19"/>
    <w:next w:val="13"/>
    <w:unhideWhenUsed/>
    <w:qFormat/>
    <w:uiPriority w:val="99"/>
    <w:pPr>
      <w:tabs>
        <w:tab w:val="left" w:pos="0"/>
        <w:tab w:val="left" w:pos="540"/>
        <w:tab w:val="left" w:pos="630"/>
        <w:tab w:val="left" w:pos="1440"/>
      </w:tabs>
      <w:spacing w:after="120" w:line="360" w:lineRule="auto"/>
      <w:ind w:left="420" w:leftChars="200" w:firstLine="420" w:firstLineChars="200"/>
    </w:pPr>
    <w:rPr>
      <w:kern w:val="0"/>
      <w:sz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9"/>
    <w:qFormat/>
    <w:uiPriority w:val="0"/>
    <w:rPr>
      <w:rFonts w:ascii="宋体" w:hAnsi="Courier New" w:eastAsia="宋体"/>
    </w:rPr>
  </w:style>
  <w:style w:type="paragraph" w:styleId="23">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09"/>
    <w:qFormat/>
    <w:uiPriority w:val="99"/>
    <w:pPr>
      <w:autoSpaceDE w:val="0"/>
      <w:autoSpaceDN w:val="0"/>
      <w:adjustRightInd w:val="0"/>
    </w:pPr>
    <w:rPr>
      <w:rFonts w:hAnsi="Times New Roman" w:cs="Times New Roman"/>
      <w:b/>
      <w:bCs/>
      <w:kern w:val="0"/>
      <w:sz w:val="24"/>
      <w:szCs w:val="24"/>
    </w:rPr>
  </w:style>
  <w:style w:type="paragraph" w:styleId="36">
    <w:name w:val="Body Text First Indent"/>
    <w:basedOn w:val="2"/>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字符"/>
    <w:basedOn w:val="39"/>
    <w:link w:val="4"/>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字符"/>
    <w:basedOn w:val="39"/>
    <w:link w:val="6"/>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字符"/>
    <w:basedOn w:val="39"/>
    <w:link w:val="10"/>
    <w:qFormat/>
    <w:uiPriority w:val="9"/>
    <w:rPr>
      <w:rFonts w:ascii="Times New Roman" w:hAnsi="Calibri" w:eastAsia="黑体" w:cs="Times New Roman"/>
      <w:b/>
      <w:bCs/>
      <w:kern w:val="0"/>
      <w:sz w:val="28"/>
      <w:szCs w:val="24"/>
    </w:rPr>
  </w:style>
  <w:style w:type="character" w:customStyle="1" w:styleId="53">
    <w:name w:val="标题 8 字符"/>
    <w:basedOn w:val="39"/>
    <w:link w:val="11"/>
    <w:qFormat/>
    <w:uiPriority w:val="9"/>
    <w:rPr>
      <w:rFonts w:ascii="Times New Roman" w:hAnsi="Calibri" w:eastAsia="黑体" w:cs="Times New Roman"/>
      <w:b/>
      <w:kern w:val="0"/>
      <w:sz w:val="28"/>
      <w:szCs w:val="24"/>
    </w:rPr>
  </w:style>
  <w:style w:type="character" w:customStyle="1" w:styleId="54">
    <w:name w:val="标题 9 字符"/>
    <w:basedOn w:val="39"/>
    <w:link w:val="12"/>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字符1"/>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next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字符"/>
    <w:link w:val="25"/>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字符"/>
    <w:link w:val="26"/>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字符1"/>
    <w:link w:val="14"/>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字符"/>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字符1"/>
    <w:link w:val="19"/>
    <w:qFormat/>
    <w:uiPriority w:val="0"/>
    <w:rPr>
      <w:rFonts w:ascii="Times New Roman" w:hAnsi="Times New Roman" w:eastAsia="宋体" w:cs="Times New Roman"/>
      <w:szCs w:val="20"/>
    </w:rPr>
  </w:style>
  <w:style w:type="character" w:customStyle="1" w:styleId="92">
    <w:name w:val="普通(网站) 字符2"/>
    <w:link w:val="33"/>
    <w:qFormat/>
    <w:locked/>
    <w:uiPriority w:val="0"/>
    <w:rPr>
      <w:rFonts w:ascii="宋体" w:hAnsi="宋体"/>
      <w:sz w:val="15"/>
      <w:szCs w:val="15"/>
    </w:rPr>
  </w:style>
  <w:style w:type="character" w:customStyle="1" w:styleId="93">
    <w:name w:val="模板正文 Char"/>
    <w:link w:val="9"/>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字符2"/>
    <w:link w:val="22"/>
    <w:qFormat/>
    <w:uiPriority w:val="0"/>
    <w:rPr>
      <w:rFonts w:ascii="宋体" w:hAnsi="Courier New" w:eastAsia="宋体"/>
    </w:rPr>
  </w:style>
  <w:style w:type="character" w:customStyle="1" w:styleId="100">
    <w:name w:val="正文文本缩进 2 字符"/>
    <w:link w:val="24"/>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字符"/>
    <w:link w:val="23"/>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字符"/>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字符"/>
    <w:link w:val="15"/>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字符2"/>
    <w:link w:val="2"/>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字符"/>
    <w:link w:val="27"/>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字符"/>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字符1"/>
    <w:link w:val="7"/>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字符1"/>
    <w:link w:val="8"/>
    <w:qFormat/>
    <w:uiPriority w:val="9"/>
    <w:rPr>
      <w:rFonts w:ascii="Times New Roman" w:hAnsi="Calibri" w:eastAsia="黑体" w:cs="Times New Roman"/>
      <w:b/>
      <w:bCs/>
      <w:kern w:val="0"/>
      <w:sz w:val="28"/>
      <w:szCs w:val="24"/>
    </w:rPr>
  </w:style>
  <w:style w:type="character" w:customStyle="1" w:styleId="142">
    <w:name w:val="正文文本 2 字符"/>
    <w:link w:val="31"/>
    <w:qFormat/>
    <w:uiPriority w:val="0"/>
    <w:rPr>
      <w:rFonts w:ascii="Arial" w:hAnsi="Arial" w:eastAsia="宋体" w:cs="Times New Roman"/>
      <w:color w:val="000000"/>
      <w:szCs w:val="24"/>
    </w:rPr>
  </w:style>
  <w:style w:type="character" w:customStyle="1" w:styleId="143">
    <w:name w:val="标题 3 字符1"/>
    <w:link w:val="5"/>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字符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字符"/>
    <w:link w:val="30"/>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字符"/>
    <w:link w:val="18"/>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字符4"/>
    <w:basedOn w:val="39"/>
    <w:link w:val="17"/>
    <w:qFormat/>
    <w:uiPriority w:val="99"/>
    <w:rPr>
      <w:rFonts w:ascii="宋体" w:hAnsi="宋体" w:cstheme="minorBidi"/>
      <w:kern w:val="2"/>
      <w:sz w:val="21"/>
      <w:szCs w:val="22"/>
    </w:rPr>
  </w:style>
  <w:style w:type="character" w:customStyle="1" w:styleId="163">
    <w:name w:val="批注主题 字符2"/>
    <w:basedOn w:val="162"/>
    <w:semiHidden/>
    <w:qFormat/>
    <w:uiPriority w:val="99"/>
    <w:rPr>
      <w:rFonts w:ascii="宋体" w:hAnsi="宋体" w:cstheme="minorBidi"/>
      <w:b/>
      <w:bCs/>
      <w:kern w:val="2"/>
      <w:sz w:val="21"/>
      <w:szCs w:val="22"/>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字符"/>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02">
    <w:name w:val="Table Normal"/>
    <w:semiHidden/>
    <w:unhideWhenUsed/>
    <w:qFormat/>
    <w:uiPriority w:val="2"/>
    <w:tblPr>
      <w:tblCellMar>
        <w:top w:w="0" w:type="dxa"/>
        <w:left w:w="0" w:type="dxa"/>
        <w:bottom w:w="0" w:type="dxa"/>
        <w:right w:w="0" w:type="dxa"/>
      </w:tblCellMar>
    </w:tblPr>
  </w:style>
  <w:style w:type="paragraph" w:customStyle="1" w:styleId="203">
    <w:name w:val="null3"/>
    <w:hidden/>
    <w:qFormat/>
    <w:uiPriority w:val="0"/>
    <w:rPr>
      <w:rFonts w:hint="eastAsia" w:asciiTheme="minorHAnsi" w:hAnsiTheme="minorHAnsi" w:eastAsiaTheme="minorEastAsia" w:cstheme="minorBidi"/>
      <w:lang w:val="en-US" w:eastAsia="zh-Hans" w:bidi="ar-SA"/>
    </w:rPr>
  </w:style>
  <w:style w:type="paragraph" w:customStyle="1" w:styleId="204">
    <w:name w:val="样式 宋体 行距: 1.5 倍行距"/>
    <w:basedOn w:val="1"/>
    <w:qFormat/>
    <w:uiPriority w:val="0"/>
    <w:pPr>
      <w:jc w:val="center"/>
    </w:pPr>
    <w:rPr>
      <w:rFonts w:ascii="Times New Roman" w:hAnsi="Times New Roman"/>
      <w:b/>
    </w:rPr>
  </w:style>
  <w:style w:type="paragraph" w:customStyle="1" w:styleId="205">
    <w:name w:val="文档正文"/>
    <w:basedOn w:val="1"/>
    <w:qFormat/>
    <w:uiPriority w:val="0"/>
    <w:pPr>
      <w:spacing w:line="360" w:lineRule="auto"/>
    </w:pPr>
    <w:rPr>
      <w:rFonts w:cs="Arial"/>
      <w:bCs/>
    </w:rPr>
  </w:style>
  <w:style w:type="paragraph" w:customStyle="1" w:styleId="20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143</Pages>
  <Words>87525</Words>
  <Characters>93274</Characters>
  <Lines>738</Lines>
  <Paragraphs>207</Paragraphs>
  <TotalTime>6</TotalTime>
  <ScaleCrop>false</ScaleCrop>
  <LinksUpToDate>false</LinksUpToDate>
  <CharactersWithSpaces>96385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2024-09-24T06:46:00Z</dcterms:created>
  <dc:creator>HS</dc:creator>
  <cp:lastModifiedBy>建成</cp:lastModifiedBy>
  <dcterms:modified xsi:type="dcterms:W3CDTF">2024-09-26T07:23:25Z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29DFB9054BE34889871DE73741087580_13</vt:lpwstr>
  </property>
</Properties>
</file>