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AFB4B">
      <w:pPr>
        <w:pStyle w:val="619"/>
        <w:spacing w:line="360" w:lineRule="auto"/>
        <w:ind w:left="0" w:leftChars="0" w:firstLine="0" w:firstLineChars="0"/>
        <w:rPr>
          <w:rFonts w:hint="eastAsia" w:ascii="宋体" w:hAnsi="宋体" w:eastAsia="宋体" w:cs="宋体"/>
          <w:color w:val="auto"/>
          <w:highlight w:val="none"/>
        </w:rPr>
      </w:pPr>
    </w:p>
    <w:p w14:paraId="62A29EC0">
      <w:pPr>
        <w:spacing w:line="360" w:lineRule="auto"/>
        <w:jc w:val="center"/>
        <w:rPr>
          <w:rFonts w:hint="eastAsia" w:ascii="宋体" w:hAnsi="宋体" w:eastAsia="宋体" w:cs="宋体"/>
          <w:b/>
          <w:color w:val="auto"/>
          <w:sz w:val="52"/>
          <w:szCs w:val="52"/>
          <w:highlight w:val="none"/>
          <w:lang w:eastAsia="zh-CN"/>
        </w:rPr>
      </w:pPr>
      <w:r>
        <w:rPr>
          <w:rFonts w:hint="eastAsia" w:ascii="宋体" w:hAnsi="宋体" w:cs="宋体"/>
          <w:b/>
          <w:bCs/>
          <w:kern w:val="0"/>
          <w:sz w:val="52"/>
          <w:szCs w:val="52"/>
          <w:lang w:val="zh-CN"/>
        </w:rPr>
        <w:t>东莞市众源环境投资有限公司污水处理厂污泥脱水减量处理服务（BOT权属滨海湾片区）采购项目</w:t>
      </w:r>
    </w:p>
    <w:p w14:paraId="057EFD8F">
      <w:pPr>
        <w:spacing w:line="360" w:lineRule="auto"/>
        <w:rPr>
          <w:rFonts w:hint="eastAsia" w:ascii="宋体" w:hAnsi="宋体" w:eastAsia="宋体" w:cs="宋体"/>
          <w:b/>
          <w:color w:val="auto"/>
          <w:sz w:val="28"/>
          <w:highlight w:val="none"/>
        </w:rPr>
      </w:pPr>
    </w:p>
    <w:p w14:paraId="2338E12B">
      <w:pPr>
        <w:spacing w:line="360" w:lineRule="auto"/>
        <w:rPr>
          <w:rFonts w:hint="eastAsia" w:ascii="宋体" w:hAnsi="宋体" w:eastAsia="宋体" w:cs="宋体"/>
          <w:b/>
          <w:color w:val="auto"/>
          <w:sz w:val="28"/>
          <w:highlight w:val="none"/>
        </w:rPr>
      </w:pPr>
    </w:p>
    <w:p w14:paraId="48446295">
      <w:pPr>
        <w:pStyle w:val="619"/>
        <w:spacing w:line="360" w:lineRule="auto"/>
        <w:ind w:left="0" w:leftChars="0" w:firstLine="0" w:firstLineChars="0"/>
        <w:rPr>
          <w:rFonts w:hint="eastAsia" w:ascii="宋体" w:hAnsi="宋体" w:eastAsia="宋体" w:cs="宋体"/>
          <w:b/>
          <w:color w:val="auto"/>
          <w:sz w:val="28"/>
          <w:highlight w:val="none"/>
        </w:rPr>
      </w:pPr>
    </w:p>
    <w:p w14:paraId="570212D3">
      <w:pPr>
        <w:spacing w:line="360" w:lineRule="auto"/>
        <w:rPr>
          <w:rFonts w:hint="eastAsia" w:ascii="宋体" w:hAnsi="宋体" w:eastAsia="宋体" w:cs="宋体"/>
          <w:b/>
          <w:color w:val="auto"/>
          <w:sz w:val="28"/>
          <w:highlight w:val="none"/>
        </w:rPr>
      </w:pPr>
    </w:p>
    <w:p w14:paraId="33DB2F58">
      <w:pPr>
        <w:spacing w:line="360" w:lineRule="auto"/>
        <w:ind w:right="-26"/>
        <w:jc w:val="center"/>
        <w:rPr>
          <w:rFonts w:hint="eastAsia" w:ascii="宋体" w:hAnsi="宋体" w:eastAsia="宋体" w:cs="宋体"/>
          <w:b/>
          <w:bCs/>
          <w:color w:val="auto"/>
          <w:kern w:val="2"/>
          <w:sz w:val="72"/>
          <w:szCs w:val="72"/>
          <w:highlight w:val="none"/>
          <w:lang w:val="zh-CN"/>
        </w:rPr>
      </w:pPr>
      <w:r>
        <w:rPr>
          <w:rFonts w:hint="eastAsia" w:ascii="宋体" w:hAnsi="宋体" w:eastAsia="宋体" w:cs="宋体"/>
          <w:b/>
          <w:bCs/>
          <w:color w:val="auto"/>
          <w:kern w:val="2"/>
          <w:sz w:val="72"/>
          <w:szCs w:val="72"/>
          <w:highlight w:val="none"/>
        </w:rPr>
        <w:t>竞争性磋商文件</w:t>
      </w:r>
    </w:p>
    <w:p w14:paraId="5FF996C0">
      <w:pPr>
        <w:spacing w:line="360" w:lineRule="auto"/>
        <w:rPr>
          <w:rFonts w:hint="eastAsia" w:ascii="宋体" w:hAnsi="宋体" w:eastAsia="宋体" w:cs="宋体"/>
          <w:b/>
          <w:bCs/>
          <w:color w:val="auto"/>
          <w:kern w:val="2"/>
          <w:sz w:val="44"/>
          <w:szCs w:val="44"/>
          <w:highlight w:val="none"/>
          <w:lang w:val="zh-CN"/>
        </w:rPr>
      </w:pPr>
    </w:p>
    <w:p w14:paraId="60CE3B62">
      <w:pPr>
        <w:rPr>
          <w:rFonts w:hint="eastAsia" w:ascii="宋体" w:hAnsi="宋体" w:eastAsia="宋体" w:cs="宋体"/>
          <w:b/>
          <w:bCs/>
          <w:color w:val="auto"/>
          <w:kern w:val="2"/>
          <w:sz w:val="44"/>
          <w:szCs w:val="44"/>
          <w:highlight w:val="none"/>
          <w:lang w:val="zh-CN"/>
        </w:rPr>
      </w:pPr>
    </w:p>
    <w:p w14:paraId="5AC03A44">
      <w:pPr>
        <w:rPr>
          <w:rFonts w:hint="eastAsia" w:ascii="宋体" w:hAnsi="宋体" w:eastAsia="宋体" w:cs="宋体"/>
          <w:b/>
          <w:bCs/>
          <w:color w:val="auto"/>
          <w:kern w:val="2"/>
          <w:sz w:val="44"/>
          <w:szCs w:val="44"/>
          <w:highlight w:val="none"/>
          <w:lang w:val="zh-CN"/>
        </w:rPr>
      </w:pPr>
    </w:p>
    <w:p w14:paraId="0AA5EC30">
      <w:pPr>
        <w:rPr>
          <w:rFonts w:hint="eastAsia" w:ascii="宋体" w:hAnsi="宋体" w:eastAsia="宋体" w:cs="宋体"/>
          <w:b/>
          <w:color w:val="auto"/>
          <w:sz w:val="28"/>
          <w:highlight w:val="none"/>
        </w:rPr>
      </w:pPr>
    </w:p>
    <w:p w14:paraId="285A72C3">
      <w:pPr>
        <w:rPr>
          <w:rFonts w:hint="eastAsia" w:ascii="宋体" w:hAnsi="宋体" w:eastAsia="宋体" w:cs="宋体"/>
          <w:b/>
          <w:color w:val="auto"/>
          <w:sz w:val="28"/>
          <w:highlight w:val="none"/>
        </w:rPr>
      </w:pPr>
    </w:p>
    <w:p w14:paraId="737D40C0">
      <w:pPr>
        <w:rPr>
          <w:rFonts w:hint="eastAsia" w:ascii="宋体" w:hAnsi="宋体" w:eastAsia="宋体" w:cs="宋体"/>
          <w:b/>
          <w:color w:val="auto"/>
          <w:sz w:val="28"/>
          <w:highlight w:val="none"/>
        </w:rPr>
      </w:pPr>
    </w:p>
    <w:p w14:paraId="2D3AD333">
      <w:pPr>
        <w:rPr>
          <w:rFonts w:hint="eastAsia" w:ascii="宋体" w:hAnsi="宋体" w:eastAsia="宋体" w:cs="宋体"/>
          <w:b/>
          <w:color w:val="auto"/>
          <w:sz w:val="28"/>
          <w:highlight w:val="none"/>
        </w:rPr>
      </w:pPr>
    </w:p>
    <w:p w14:paraId="18D26130">
      <w:pPr>
        <w:spacing w:line="360" w:lineRule="auto"/>
        <w:ind w:left="2351" w:leftChars="349" w:hanging="1513" w:hangingChars="471"/>
        <w:rPr>
          <w:rFonts w:hint="eastAsia" w:ascii="宋体" w:hAnsi="宋体" w:eastAsia="宋体" w:cs="宋体"/>
          <w:b/>
          <w:bCs/>
          <w:color w:val="auto"/>
          <w:kern w:val="2"/>
          <w:sz w:val="32"/>
          <w:szCs w:val="32"/>
          <w:highlight w:val="none"/>
        </w:rPr>
      </w:pPr>
      <w:r>
        <w:rPr>
          <w:rFonts w:hint="eastAsia" w:ascii="宋体" w:hAnsi="宋体" w:eastAsia="宋体" w:cs="宋体"/>
          <w:b/>
          <w:bCs/>
          <w:color w:val="auto"/>
          <w:kern w:val="2"/>
          <w:sz w:val="32"/>
          <w:szCs w:val="32"/>
          <w:highlight w:val="none"/>
          <w:lang w:val="zh-CN"/>
        </w:rPr>
        <w:t>采购编号：</w:t>
      </w:r>
      <w:r>
        <w:rPr>
          <w:rFonts w:hint="eastAsia" w:ascii="宋体" w:hAnsi="宋体" w:cs="宋体"/>
          <w:b/>
          <w:bCs/>
          <w:sz w:val="32"/>
          <w:szCs w:val="32"/>
          <w:lang w:val="zh-CN"/>
        </w:rPr>
        <w:t xml:space="preserve">DGDS2024-002 </w:t>
      </w:r>
    </w:p>
    <w:p w14:paraId="0D33A4AF">
      <w:pPr>
        <w:spacing w:line="360" w:lineRule="auto"/>
        <w:ind w:left="2351" w:leftChars="349" w:hanging="1513" w:hangingChars="471"/>
        <w:rPr>
          <w:rFonts w:hint="eastAsia" w:ascii="宋体" w:hAnsi="宋体" w:eastAsia="宋体" w:cs="宋体"/>
          <w:b/>
          <w:bCs/>
          <w:color w:val="auto"/>
          <w:sz w:val="32"/>
          <w:szCs w:val="32"/>
          <w:highlight w:val="none"/>
        </w:rPr>
      </w:pPr>
      <w:r>
        <w:rPr>
          <w:rFonts w:hint="eastAsia" w:ascii="宋体" w:hAnsi="宋体" w:eastAsia="宋体" w:cs="宋体"/>
          <w:b/>
          <w:bCs/>
          <w:color w:val="auto"/>
          <w:kern w:val="2"/>
          <w:sz w:val="32"/>
          <w:szCs w:val="32"/>
          <w:highlight w:val="none"/>
        </w:rPr>
        <w:t>采购人</w:t>
      </w:r>
      <w:r>
        <w:rPr>
          <w:rFonts w:hint="eastAsia" w:ascii="宋体" w:hAnsi="宋体" w:eastAsia="宋体" w:cs="宋体"/>
          <w:b/>
          <w:bCs/>
          <w:color w:val="auto"/>
          <w:sz w:val="32"/>
          <w:szCs w:val="32"/>
          <w:highlight w:val="none"/>
        </w:rPr>
        <w:t>：</w:t>
      </w:r>
      <w:r>
        <w:rPr>
          <w:rFonts w:hint="eastAsia" w:ascii="宋体" w:hAnsi="宋体" w:eastAsia="宋体" w:cs="宋体"/>
          <w:b/>
          <w:color w:val="auto"/>
          <w:sz w:val="32"/>
          <w:szCs w:val="32"/>
          <w:highlight w:val="none"/>
        </w:rPr>
        <w:t>东莞市众源环境投资有限公司</w:t>
      </w:r>
    </w:p>
    <w:p w14:paraId="55E0A7FB">
      <w:pPr>
        <w:autoSpaceDE/>
        <w:autoSpaceDN/>
        <w:adjustRightInd/>
        <w:spacing w:line="360" w:lineRule="auto"/>
        <w:ind w:left="2351" w:leftChars="349" w:hanging="1513" w:hangingChars="471"/>
        <w:jc w:val="left"/>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采购</w:t>
      </w:r>
      <w:r>
        <w:rPr>
          <w:rFonts w:hint="eastAsia" w:ascii="宋体" w:hAnsi="宋体" w:eastAsia="宋体" w:cs="宋体"/>
          <w:b/>
          <w:bCs/>
          <w:color w:val="auto"/>
          <w:sz w:val="32"/>
          <w:szCs w:val="32"/>
          <w:highlight w:val="none"/>
          <w:lang w:val="zh-CN"/>
        </w:rPr>
        <w:t>代理机构：</w:t>
      </w:r>
      <w:r>
        <w:rPr>
          <w:rFonts w:hint="eastAsia" w:ascii="宋体" w:hAnsi="宋体" w:cs="宋体"/>
          <w:b/>
          <w:bCs/>
          <w:sz w:val="32"/>
          <w:szCs w:val="32"/>
          <w:lang w:val="zh-CN"/>
        </w:rPr>
        <w:t>东莞市达盛招标代理有限公司</w:t>
      </w:r>
    </w:p>
    <w:p w14:paraId="7107823E">
      <w:pPr>
        <w:rPr>
          <w:rFonts w:hint="eastAsia" w:ascii="宋体" w:hAnsi="宋体" w:eastAsia="宋体" w:cs="宋体"/>
          <w:b/>
          <w:color w:val="auto"/>
          <w:sz w:val="28"/>
          <w:highlight w:val="none"/>
        </w:rPr>
      </w:pPr>
    </w:p>
    <w:p w14:paraId="1A024089">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eastAsia="zh-CN"/>
        </w:rPr>
        <w:t>202</w:t>
      </w:r>
      <w:r>
        <w:rPr>
          <w:rFonts w:hint="eastAsia" w:ascii="宋体" w:hAnsi="宋体" w:eastAsia="宋体" w:cs="宋体"/>
          <w:b/>
          <w:color w:val="auto"/>
          <w:sz w:val="32"/>
          <w:szCs w:val="32"/>
          <w:highlight w:val="none"/>
          <w:lang w:val="en-US" w:eastAsia="zh-CN"/>
        </w:rPr>
        <w:t>4</w:t>
      </w:r>
      <w:r>
        <w:rPr>
          <w:rFonts w:hint="eastAsia" w:ascii="宋体" w:hAnsi="宋体" w:eastAsia="宋体" w:cs="宋体"/>
          <w:b/>
          <w:color w:val="auto"/>
          <w:sz w:val="32"/>
          <w:szCs w:val="32"/>
          <w:highlight w:val="none"/>
        </w:rPr>
        <w:t>年</w:t>
      </w:r>
      <w:r>
        <w:rPr>
          <w:rFonts w:hint="eastAsia" w:ascii="宋体" w:hAnsi="宋体" w:cs="宋体"/>
          <w:b/>
          <w:color w:val="auto"/>
          <w:sz w:val="32"/>
          <w:szCs w:val="32"/>
          <w:highlight w:val="none"/>
          <w:lang w:val="en-US" w:eastAsia="zh-CN"/>
        </w:rPr>
        <w:t>9</w:t>
      </w:r>
      <w:r>
        <w:rPr>
          <w:rFonts w:hint="eastAsia" w:ascii="宋体" w:hAnsi="宋体" w:eastAsia="宋体" w:cs="宋体"/>
          <w:b/>
          <w:color w:val="auto"/>
          <w:sz w:val="32"/>
          <w:szCs w:val="32"/>
          <w:highlight w:val="none"/>
        </w:rPr>
        <w:t>月</w:t>
      </w:r>
      <w:r>
        <w:rPr>
          <w:rFonts w:hint="eastAsia" w:ascii="宋体" w:hAnsi="宋体" w:cs="宋体"/>
          <w:b/>
          <w:color w:val="auto"/>
          <w:sz w:val="32"/>
          <w:szCs w:val="32"/>
          <w:highlight w:val="none"/>
          <w:lang w:val="en-US" w:eastAsia="zh-CN"/>
        </w:rPr>
        <w:t>23</w:t>
      </w:r>
      <w:r>
        <w:rPr>
          <w:rFonts w:hint="eastAsia" w:ascii="宋体" w:hAnsi="宋体" w:eastAsia="宋体" w:cs="宋体"/>
          <w:b/>
          <w:color w:val="auto"/>
          <w:sz w:val="32"/>
          <w:szCs w:val="32"/>
          <w:highlight w:val="none"/>
        </w:rPr>
        <w:t>日</w:t>
      </w:r>
    </w:p>
    <w:p w14:paraId="21B51D0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bCs/>
          <w:color w:val="auto"/>
          <w:sz w:val="32"/>
          <w:szCs w:val="32"/>
          <w:highlight w:val="none"/>
          <w:lang w:val="zh-CN"/>
        </w:rPr>
        <w:t>目 录</w:t>
      </w:r>
    </w:p>
    <w:p w14:paraId="607E5DE8">
      <w:pPr>
        <w:pStyle w:val="42"/>
        <w:tabs>
          <w:tab w:val="right" w:leader="dot" w:pos="9070"/>
        </w:tabs>
        <w:spacing w:line="360" w:lineRule="auto"/>
        <w:rPr>
          <w:rFonts w:hint="eastAsia" w:ascii="宋体" w:hAnsi="宋体" w:eastAsia="宋体" w:cs="宋体"/>
          <w:i w:val="0"/>
          <w:iCs w:val="0"/>
        </w:rPr>
      </w:pPr>
      <w:r>
        <w:rPr>
          <w:rFonts w:hint="eastAsia" w:ascii="宋体" w:hAnsi="宋体" w:eastAsia="宋体" w:cs="宋体"/>
          <w:b w:val="0"/>
          <w:bCs w:val="0"/>
          <w:i w:val="0"/>
          <w:iCs w:val="0"/>
          <w:color w:val="auto"/>
          <w:sz w:val="21"/>
          <w:szCs w:val="21"/>
          <w:highlight w:val="none"/>
        </w:rPr>
        <w:fldChar w:fldCharType="begin"/>
      </w:r>
      <w:r>
        <w:rPr>
          <w:rFonts w:hint="eastAsia" w:ascii="宋体" w:hAnsi="宋体" w:eastAsia="宋体" w:cs="宋体"/>
          <w:b w:val="0"/>
          <w:bCs w:val="0"/>
          <w:i w:val="0"/>
          <w:iCs w:val="0"/>
          <w:color w:val="auto"/>
          <w:sz w:val="21"/>
          <w:szCs w:val="21"/>
          <w:highlight w:val="none"/>
        </w:rPr>
        <w:instrText xml:space="preserve"> TOC \o "1-3" \h \z \u </w:instrText>
      </w:r>
      <w:r>
        <w:rPr>
          <w:rFonts w:hint="eastAsia" w:ascii="宋体" w:hAnsi="宋体" w:eastAsia="宋体" w:cs="宋体"/>
          <w:b w:val="0"/>
          <w:bCs w:val="0"/>
          <w:i w:val="0"/>
          <w:iCs w:val="0"/>
          <w:color w:val="auto"/>
          <w:sz w:val="21"/>
          <w:szCs w:val="21"/>
          <w:highlight w:val="none"/>
        </w:rPr>
        <w:fldChar w:fldCharType="separate"/>
      </w: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_Toc12763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kern w:val="44"/>
          <w:szCs w:val="32"/>
          <w:lang w:val="zh-CN"/>
        </w:rPr>
        <w:t>第一篇</w:t>
      </w:r>
      <w:r>
        <w:rPr>
          <w:rFonts w:hint="eastAsia" w:ascii="宋体" w:hAnsi="宋体" w:eastAsia="宋体" w:cs="宋体"/>
          <w:bCs/>
          <w:i w:val="0"/>
          <w:iCs w:val="0"/>
          <w:kern w:val="44"/>
          <w:szCs w:val="32"/>
          <w:lang w:val="en-US" w:eastAsia="zh-CN"/>
        </w:rPr>
        <w:t xml:space="preserve"> </w:t>
      </w:r>
      <w:r>
        <w:rPr>
          <w:rFonts w:hint="eastAsia" w:ascii="宋体" w:hAnsi="宋体" w:eastAsia="宋体" w:cs="宋体"/>
          <w:bCs/>
          <w:i w:val="0"/>
          <w:iCs w:val="0"/>
          <w:kern w:val="44"/>
          <w:szCs w:val="32"/>
          <w:lang w:val="zh-CN"/>
        </w:rPr>
        <w:t>竞争性磋商</w:t>
      </w:r>
      <w:r>
        <w:rPr>
          <w:rFonts w:hint="eastAsia" w:ascii="宋体" w:hAnsi="宋体" w:eastAsia="宋体" w:cs="宋体"/>
          <w:bCs/>
          <w:i w:val="0"/>
          <w:iCs w:val="0"/>
          <w:kern w:val="44"/>
          <w:szCs w:val="32"/>
          <w:lang w:val="en-US" w:eastAsia="zh-CN"/>
        </w:rPr>
        <w:t>公告</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_Toc12763 \h </w:instrText>
      </w:r>
      <w:r>
        <w:rPr>
          <w:rFonts w:hint="eastAsia" w:ascii="宋体" w:hAnsi="宋体" w:eastAsia="宋体" w:cs="宋体"/>
          <w:i w:val="0"/>
          <w:iCs w:val="0"/>
        </w:rPr>
        <w:fldChar w:fldCharType="separate"/>
      </w:r>
      <w:r>
        <w:rPr>
          <w:rFonts w:hint="eastAsia" w:ascii="宋体" w:hAnsi="宋体" w:eastAsia="宋体" w:cs="宋体"/>
          <w:i w:val="0"/>
          <w:iCs w:val="0"/>
        </w:rPr>
        <w:t>4</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03630233">
      <w:pPr>
        <w:pStyle w:val="42"/>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_Toc19427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kern w:val="44"/>
          <w:szCs w:val="32"/>
          <w:lang w:val="zh-CN"/>
        </w:rPr>
        <w:t>第二篇</w:t>
      </w:r>
      <w:r>
        <w:rPr>
          <w:rFonts w:hint="eastAsia" w:ascii="宋体" w:hAnsi="宋体" w:eastAsia="宋体" w:cs="宋体"/>
          <w:bCs/>
          <w:i w:val="0"/>
          <w:iCs w:val="0"/>
          <w:kern w:val="44"/>
          <w:szCs w:val="32"/>
          <w:lang w:val="zh-CN" w:eastAsia="zh-CN"/>
        </w:rPr>
        <w:t xml:space="preserve"> 磋商</w:t>
      </w:r>
      <w:r>
        <w:rPr>
          <w:rFonts w:hint="eastAsia" w:ascii="宋体" w:hAnsi="宋体" w:eastAsia="宋体" w:cs="宋体"/>
          <w:bCs/>
          <w:i w:val="0"/>
          <w:iCs w:val="0"/>
          <w:kern w:val="44"/>
          <w:szCs w:val="32"/>
          <w:lang w:val="zh-CN"/>
        </w:rPr>
        <w:t>须知</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_Toc19427 \h </w:instrText>
      </w:r>
      <w:r>
        <w:rPr>
          <w:rFonts w:hint="eastAsia" w:ascii="宋体" w:hAnsi="宋体" w:eastAsia="宋体" w:cs="宋体"/>
          <w:i w:val="0"/>
          <w:iCs w:val="0"/>
        </w:rPr>
        <w:fldChar w:fldCharType="separate"/>
      </w:r>
      <w:r>
        <w:rPr>
          <w:rFonts w:hint="eastAsia" w:ascii="宋体" w:hAnsi="宋体" w:eastAsia="宋体" w:cs="宋体"/>
          <w:i w:val="0"/>
          <w:iCs w:val="0"/>
        </w:rPr>
        <w:t>7</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0794A774">
      <w:pPr>
        <w:pStyle w:val="47"/>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_Toc24918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kern w:val="44"/>
          <w:szCs w:val="21"/>
          <w:lang w:val="zh-CN"/>
        </w:rPr>
        <w:t>一、总则</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_Toc24918 \h </w:instrText>
      </w:r>
      <w:r>
        <w:rPr>
          <w:rFonts w:hint="eastAsia" w:ascii="宋体" w:hAnsi="宋体" w:eastAsia="宋体" w:cs="宋体"/>
          <w:i w:val="0"/>
          <w:iCs w:val="0"/>
        </w:rPr>
        <w:fldChar w:fldCharType="separate"/>
      </w:r>
      <w:r>
        <w:rPr>
          <w:rFonts w:hint="eastAsia" w:ascii="宋体" w:hAnsi="宋体" w:eastAsia="宋体" w:cs="宋体"/>
          <w:i w:val="0"/>
          <w:iCs w:val="0"/>
        </w:rPr>
        <w:t>7</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1A56BAE7">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_Toc30538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1</w:t>
      </w:r>
      <w:r>
        <w:rPr>
          <w:rFonts w:hint="eastAsia" w:ascii="宋体" w:hAnsi="宋体" w:eastAsia="宋体" w:cs="宋体"/>
          <w:i w:val="0"/>
          <w:iCs w:val="0"/>
          <w:kern w:val="2"/>
          <w:szCs w:val="21"/>
          <w:highlight w:val="none"/>
          <w:lang w:val="en-US" w:eastAsia="zh-CN"/>
        </w:rPr>
        <w:t xml:space="preserve"> </w:t>
      </w:r>
      <w:r>
        <w:rPr>
          <w:rFonts w:hint="eastAsia" w:ascii="宋体" w:hAnsi="宋体" w:eastAsia="宋体" w:cs="宋体"/>
          <w:i w:val="0"/>
          <w:iCs w:val="0"/>
          <w:kern w:val="2"/>
          <w:szCs w:val="21"/>
          <w:highlight w:val="none"/>
          <w:lang w:val="zh-CN"/>
        </w:rPr>
        <w:t>资金来源：企业自筹资金。</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_Toc30538 \h </w:instrText>
      </w:r>
      <w:r>
        <w:rPr>
          <w:rFonts w:hint="eastAsia" w:ascii="宋体" w:hAnsi="宋体" w:eastAsia="宋体" w:cs="宋体"/>
          <w:i w:val="0"/>
          <w:iCs w:val="0"/>
        </w:rPr>
        <w:fldChar w:fldCharType="separate"/>
      </w:r>
      <w:r>
        <w:rPr>
          <w:rFonts w:hint="eastAsia" w:ascii="宋体" w:hAnsi="宋体" w:eastAsia="宋体" w:cs="宋体"/>
          <w:i w:val="0"/>
          <w:iCs w:val="0"/>
        </w:rPr>
        <w:t>7</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2DB7ED36">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_Toc28598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kern w:val="2"/>
          <w:szCs w:val="21"/>
          <w:highlight w:val="none"/>
          <w:lang w:val="zh-CN"/>
        </w:rPr>
        <w:t>2</w:t>
      </w:r>
      <w:r>
        <w:rPr>
          <w:rFonts w:hint="eastAsia" w:ascii="宋体" w:hAnsi="宋体" w:eastAsia="宋体" w:cs="宋体"/>
          <w:bCs/>
          <w:i w:val="0"/>
          <w:iCs w:val="0"/>
          <w:kern w:val="2"/>
          <w:szCs w:val="21"/>
          <w:highlight w:val="none"/>
          <w:lang w:val="en-US" w:eastAsia="zh-CN"/>
        </w:rPr>
        <w:t xml:space="preserve"> </w:t>
      </w:r>
      <w:r>
        <w:rPr>
          <w:rFonts w:hint="eastAsia" w:ascii="宋体" w:hAnsi="宋体" w:eastAsia="宋体" w:cs="宋体"/>
          <w:bCs/>
          <w:i w:val="0"/>
          <w:iCs w:val="0"/>
          <w:kern w:val="2"/>
          <w:szCs w:val="21"/>
          <w:highlight w:val="none"/>
          <w:lang w:val="zh-CN"/>
        </w:rPr>
        <w:t>合格的供应商</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_Toc28598 \h </w:instrText>
      </w:r>
      <w:r>
        <w:rPr>
          <w:rFonts w:hint="eastAsia" w:ascii="宋体" w:hAnsi="宋体" w:eastAsia="宋体" w:cs="宋体"/>
          <w:i w:val="0"/>
          <w:iCs w:val="0"/>
        </w:rPr>
        <w:fldChar w:fldCharType="separate"/>
      </w:r>
      <w:r>
        <w:rPr>
          <w:rFonts w:hint="eastAsia" w:ascii="宋体" w:hAnsi="宋体" w:eastAsia="宋体" w:cs="宋体"/>
          <w:i w:val="0"/>
          <w:iCs w:val="0"/>
        </w:rPr>
        <w:t>7</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23089694">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_Toc24588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kern w:val="2"/>
          <w:szCs w:val="21"/>
          <w:highlight w:val="none"/>
          <w:lang w:val="zh-CN"/>
        </w:rPr>
        <w:t>3</w:t>
      </w:r>
      <w:r>
        <w:rPr>
          <w:rFonts w:hint="eastAsia" w:ascii="宋体" w:hAnsi="宋体" w:eastAsia="宋体" w:cs="宋体"/>
          <w:bCs/>
          <w:i w:val="0"/>
          <w:iCs w:val="0"/>
          <w:kern w:val="2"/>
          <w:szCs w:val="21"/>
          <w:highlight w:val="none"/>
          <w:lang w:val="en-US" w:eastAsia="zh-CN"/>
        </w:rPr>
        <w:t xml:space="preserve"> </w:t>
      </w:r>
      <w:r>
        <w:rPr>
          <w:rFonts w:hint="eastAsia" w:ascii="宋体" w:hAnsi="宋体" w:eastAsia="宋体" w:cs="宋体"/>
          <w:bCs/>
          <w:i w:val="0"/>
          <w:iCs w:val="0"/>
          <w:kern w:val="2"/>
          <w:szCs w:val="21"/>
          <w:highlight w:val="none"/>
          <w:lang w:val="zh-CN"/>
        </w:rPr>
        <w:t>合格的服务</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_Toc24588 \h </w:instrText>
      </w:r>
      <w:r>
        <w:rPr>
          <w:rFonts w:hint="eastAsia" w:ascii="宋体" w:hAnsi="宋体" w:eastAsia="宋体" w:cs="宋体"/>
          <w:i w:val="0"/>
          <w:iCs w:val="0"/>
        </w:rPr>
        <w:fldChar w:fldCharType="separate"/>
      </w:r>
      <w:r>
        <w:rPr>
          <w:rFonts w:hint="eastAsia" w:ascii="宋体" w:hAnsi="宋体" w:eastAsia="宋体" w:cs="宋体"/>
          <w:i w:val="0"/>
          <w:iCs w:val="0"/>
        </w:rPr>
        <w:t>7</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3A728755">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_Toc10476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4</w:t>
      </w:r>
      <w:r>
        <w:rPr>
          <w:rFonts w:hint="eastAsia" w:ascii="宋体" w:hAnsi="宋体" w:eastAsia="宋体" w:cs="宋体"/>
          <w:i w:val="0"/>
          <w:iCs w:val="0"/>
          <w:kern w:val="2"/>
          <w:szCs w:val="21"/>
          <w:highlight w:val="none"/>
          <w:lang w:val="en-US" w:eastAsia="zh-CN"/>
        </w:rPr>
        <w:t xml:space="preserve"> </w:t>
      </w:r>
      <w:r>
        <w:rPr>
          <w:rFonts w:hint="eastAsia" w:ascii="宋体" w:hAnsi="宋体" w:eastAsia="宋体" w:cs="宋体"/>
          <w:i w:val="0"/>
          <w:iCs w:val="0"/>
          <w:kern w:val="2"/>
          <w:szCs w:val="21"/>
          <w:highlight w:val="none"/>
          <w:lang w:val="zh-CN"/>
        </w:rPr>
        <w:t>其它说明</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_Toc10476 \h </w:instrText>
      </w:r>
      <w:r>
        <w:rPr>
          <w:rFonts w:hint="eastAsia" w:ascii="宋体" w:hAnsi="宋体" w:eastAsia="宋体" w:cs="宋体"/>
          <w:i w:val="0"/>
          <w:iCs w:val="0"/>
        </w:rPr>
        <w:fldChar w:fldCharType="separate"/>
      </w:r>
      <w:r>
        <w:rPr>
          <w:rFonts w:hint="eastAsia" w:ascii="宋体" w:hAnsi="宋体" w:eastAsia="宋体" w:cs="宋体"/>
          <w:i w:val="0"/>
          <w:iCs w:val="0"/>
        </w:rPr>
        <w:t>8</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5787CFA4">
      <w:pPr>
        <w:pStyle w:val="47"/>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_Toc19606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kern w:val="44"/>
          <w:szCs w:val="21"/>
          <w:highlight w:val="none"/>
          <w:lang w:val="zh-CN"/>
        </w:rPr>
        <w:t>二、竞争性磋商文件</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_Toc19606 \h </w:instrText>
      </w:r>
      <w:r>
        <w:rPr>
          <w:rFonts w:hint="eastAsia" w:ascii="宋体" w:hAnsi="宋体" w:eastAsia="宋体" w:cs="宋体"/>
          <w:i w:val="0"/>
          <w:iCs w:val="0"/>
        </w:rPr>
        <w:fldChar w:fldCharType="separate"/>
      </w:r>
      <w:r>
        <w:rPr>
          <w:rFonts w:hint="eastAsia" w:ascii="宋体" w:hAnsi="宋体" w:eastAsia="宋体" w:cs="宋体"/>
          <w:i w:val="0"/>
          <w:iCs w:val="0"/>
        </w:rPr>
        <w:t>8</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155DDB73">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_Toc17130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en-US" w:eastAsia="zh-CN"/>
        </w:rPr>
        <w:t xml:space="preserve">5 </w:t>
      </w:r>
      <w:r>
        <w:rPr>
          <w:rFonts w:hint="eastAsia" w:ascii="宋体" w:hAnsi="宋体" w:eastAsia="宋体" w:cs="宋体"/>
          <w:i w:val="0"/>
          <w:iCs w:val="0"/>
          <w:kern w:val="2"/>
          <w:szCs w:val="21"/>
          <w:highlight w:val="none"/>
          <w:lang w:val="zh-CN"/>
        </w:rPr>
        <w:t>竞争性磋商文件的构成</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_Toc17130 \h </w:instrText>
      </w:r>
      <w:r>
        <w:rPr>
          <w:rFonts w:hint="eastAsia" w:ascii="宋体" w:hAnsi="宋体" w:eastAsia="宋体" w:cs="宋体"/>
          <w:i w:val="0"/>
          <w:iCs w:val="0"/>
        </w:rPr>
        <w:fldChar w:fldCharType="separate"/>
      </w:r>
      <w:r>
        <w:rPr>
          <w:rFonts w:hint="eastAsia" w:ascii="宋体" w:hAnsi="宋体" w:eastAsia="宋体" w:cs="宋体"/>
          <w:i w:val="0"/>
          <w:iCs w:val="0"/>
        </w:rPr>
        <w:t>8</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4121278B">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_Toc26466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6</w:t>
      </w:r>
      <w:r>
        <w:rPr>
          <w:rFonts w:hint="eastAsia" w:ascii="宋体" w:hAnsi="宋体" w:eastAsia="宋体" w:cs="宋体"/>
          <w:i w:val="0"/>
          <w:iCs w:val="0"/>
          <w:kern w:val="2"/>
          <w:szCs w:val="21"/>
          <w:highlight w:val="none"/>
          <w:lang w:val="en-US" w:eastAsia="zh-CN"/>
        </w:rPr>
        <w:t xml:space="preserve"> </w:t>
      </w:r>
      <w:r>
        <w:rPr>
          <w:rFonts w:hint="eastAsia" w:ascii="宋体" w:hAnsi="宋体" w:eastAsia="宋体" w:cs="宋体"/>
          <w:i w:val="0"/>
          <w:iCs w:val="0"/>
          <w:kern w:val="2"/>
          <w:szCs w:val="21"/>
          <w:highlight w:val="none"/>
          <w:lang w:val="zh-CN"/>
        </w:rPr>
        <w:t>竞争性磋商文件的异议</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_Toc26466 \h </w:instrText>
      </w:r>
      <w:r>
        <w:rPr>
          <w:rFonts w:hint="eastAsia" w:ascii="宋体" w:hAnsi="宋体" w:eastAsia="宋体" w:cs="宋体"/>
          <w:i w:val="0"/>
          <w:iCs w:val="0"/>
        </w:rPr>
        <w:fldChar w:fldCharType="separate"/>
      </w:r>
      <w:r>
        <w:rPr>
          <w:rFonts w:hint="eastAsia" w:ascii="宋体" w:hAnsi="宋体" w:eastAsia="宋体" w:cs="宋体"/>
          <w:i w:val="0"/>
          <w:iCs w:val="0"/>
        </w:rPr>
        <w:t>9</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0DD44B61">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_Toc8528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7</w:t>
      </w:r>
      <w:r>
        <w:rPr>
          <w:rFonts w:hint="eastAsia" w:ascii="宋体" w:hAnsi="宋体" w:eastAsia="宋体" w:cs="宋体"/>
          <w:i w:val="0"/>
          <w:iCs w:val="0"/>
          <w:kern w:val="2"/>
          <w:szCs w:val="21"/>
          <w:highlight w:val="none"/>
          <w:lang w:val="en-US" w:eastAsia="zh-CN"/>
        </w:rPr>
        <w:t xml:space="preserve"> </w:t>
      </w:r>
      <w:r>
        <w:rPr>
          <w:rFonts w:hint="eastAsia" w:ascii="宋体" w:hAnsi="宋体" w:eastAsia="宋体" w:cs="宋体"/>
          <w:i w:val="0"/>
          <w:iCs w:val="0"/>
          <w:kern w:val="2"/>
          <w:szCs w:val="21"/>
          <w:highlight w:val="none"/>
          <w:lang w:val="zh-CN"/>
        </w:rPr>
        <w:t>竞争性磋商文件的澄清及修改</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_Toc8528 \h </w:instrText>
      </w:r>
      <w:r>
        <w:rPr>
          <w:rFonts w:hint="eastAsia" w:ascii="宋体" w:hAnsi="宋体" w:eastAsia="宋体" w:cs="宋体"/>
          <w:i w:val="0"/>
          <w:iCs w:val="0"/>
        </w:rPr>
        <w:fldChar w:fldCharType="separate"/>
      </w:r>
      <w:r>
        <w:rPr>
          <w:rFonts w:hint="eastAsia" w:ascii="宋体" w:hAnsi="宋体" w:eastAsia="宋体" w:cs="宋体"/>
          <w:i w:val="0"/>
          <w:iCs w:val="0"/>
        </w:rPr>
        <w:t>10</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26F534F8">
      <w:pPr>
        <w:pStyle w:val="47"/>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_Toc1142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kern w:val="44"/>
          <w:szCs w:val="21"/>
          <w:highlight w:val="none"/>
          <w:lang w:val="zh-CN"/>
        </w:rPr>
        <w:t>三、响应文件的编制</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_Toc1142 \h </w:instrText>
      </w:r>
      <w:r>
        <w:rPr>
          <w:rFonts w:hint="eastAsia" w:ascii="宋体" w:hAnsi="宋体" w:eastAsia="宋体" w:cs="宋体"/>
          <w:i w:val="0"/>
          <w:iCs w:val="0"/>
        </w:rPr>
        <w:fldChar w:fldCharType="separate"/>
      </w:r>
      <w:r>
        <w:rPr>
          <w:rFonts w:hint="eastAsia" w:ascii="宋体" w:hAnsi="宋体" w:eastAsia="宋体" w:cs="宋体"/>
          <w:i w:val="0"/>
          <w:iCs w:val="0"/>
        </w:rPr>
        <w:t>10</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5059457F">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_Toc21346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8</w:t>
      </w:r>
      <w:r>
        <w:rPr>
          <w:rFonts w:hint="eastAsia" w:ascii="宋体" w:hAnsi="宋体" w:eastAsia="宋体" w:cs="宋体"/>
          <w:i w:val="0"/>
          <w:iCs w:val="0"/>
          <w:kern w:val="2"/>
          <w:szCs w:val="21"/>
          <w:highlight w:val="none"/>
          <w:lang w:val="en-US" w:eastAsia="zh-CN"/>
        </w:rPr>
        <w:t xml:space="preserve"> 响应文件</w:t>
      </w:r>
      <w:r>
        <w:rPr>
          <w:rFonts w:hint="eastAsia" w:ascii="宋体" w:hAnsi="宋体" w:eastAsia="宋体" w:cs="宋体"/>
          <w:i w:val="0"/>
          <w:iCs w:val="0"/>
          <w:kern w:val="2"/>
          <w:szCs w:val="21"/>
          <w:highlight w:val="none"/>
          <w:lang w:val="zh-CN"/>
        </w:rPr>
        <w:t>使用的文字及度量衡单位</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_Toc21346 \h </w:instrText>
      </w:r>
      <w:r>
        <w:rPr>
          <w:rFonts w:hint="eastAsia" w:ascii="宋体" w:hAnsi="宋体" w:eastAsia="宋体" w:cs="宋体"/>
          <w:i w:val="0"/>
          <w:iCs w:val="0"/>
        </w:rPr>
        <w:fldChar w:fldCharType="separate"/>
      </w:r>
      <w:r>
        <w:rPr>
          <w:rFonts w:hint="eastAsia" w:ascii="宋体" w:hAnsi="宋体" w:eastAsia="宋体" w:cs="宋体"/>
          <w:i w:val="0"/>
          <w:iCs w:val="0"/>
        </w:rPr>
        <w:t>10</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56EF6564">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_Toc15349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eastAsia="zh-CN"/>
        </w:rPr>
        <w:t>9</w:t>
      </w:r>
      <w:r>
        <w:rPr>
          <w:rFonts w:hint="eastAsia" w:ascii="宋体" w:hAnsi="宋体" w:eastAsia="宋体" w:cs="宋体"/>
          <w:i w:val="0"/>
          <w:iCs w:val="0"/>
          <w:kern w:val="2"/>
          <w:szCs w:val="21"/>
          <w:highlight w:val="none"/>
          <w:lang w:val="en-US" w:eastAsia="zh-CN"/>
        </w:rPr>
        <w:t xml:space="preserve"> 响应文件</w:t>
      </w:r>
      <w:r>
        <w:rPr>
          <w:rFonts w:hint="eastAsia" w:ascii="宋体" w:hAnsi="宋体" w:eastAsia="宋体" w:cs="宋体"/>
          <w:i w:val="0"/>
          <w:iCs w:val="0"/>
          <w:kern w:val="2"/>
          <w:szCs w:val="21"/>
          <w:highlight w:val="none"/>
          <w:lang w:val="zh-CN" w:eastAsia="zh-CN"/>
        </w:rPr>
        <w:t>的组成</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_Toc15349 \h </w:instrText>
      </w:r>
      <w:r>
        <w:rPr>
          <w:rFonts w:hint="eastAsia" w:ascii="宋体" w:hAnsi="宋体" w:eastAsia="宋体" w:cs="宋体"/>
          <w:i w:val="0"/>
          <w:iCs w:val="0"/>
        </w:rPr>
        <w:fldChar w:fldCharType="separate"/>
      </w:r>
      <w:r>
        <w:rPr>
          <w:rFonts w:hint="eastAsia" w:ascii="宋体" w:hAnsi="宋体" w:eastAsia="宋体" w:cs="宋体"/>
          <w:i w:val="0"/>
          <w:iCs w:val="0"/>
        </w:rPr>
        <w:t>10</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0707C0A2">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_Toc1760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10</w:t>
      </w:r>
      <w:r>
        <w:rPr>
          <w:rFonts w:hint="eastAsia" w:ascii="宋体" w:hAnsi="宋体" w:eastAsia="宋体" w:cs="宋体"/>
          <w:i w:val="0"/>
          <w:iCs w:val="0"/>
          <w:kern w:val="2"/>
          <w:szCs w:val="21"/>
          <w:highlight w:val="none"/>
          <w:lang w:val="en-US" w:eastAsia="zh-CN"/>
        </w:rPr>
        <w:t xml:space="preserve"> 磋商</w:t>
      </w:r>
      <w:r>
        <w:rPr>
          <w:rFonts w:hint="eastAsia" w:ascii="宋体" w:hAnsi="宋体" w:eastAsia="宋体" w:cs="宋体"/>
          <w:i w:val="0"/>
          <w:iCs w:val="0"/>
          <w:kern w:val="2"/>
          <w:szCs w:val="21"/>
          <w:highlight w:val="none"/>
          <w:lang w:val="zh-CN"/>
        </w:rPr>
        <w:t>函</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_Toc1760 \h </w:instrText>
      </w:r>
      <w:r>
        <w:rPr>
          <w:rFonts w:hint="eastAsia" w:ascii="宋体" w:hAnsi="宋体" w:eastAsia="宋体" w:cs="宋体"/>
          <w:i w:val="0"/>
          <w:iCs w:val="0"/>
        </w:rPr>
        <w:fldChar w:fldCharType="separate"/>
      </w:r>
      <w:r>
        <w:rPr>
          <w:rFonts w:hint="eastAsia" w:ascii="宋体" w:hAnsi="宋体" w:eastAsia="宋体" w:cs="宋体"/>
          <w:i w:val="0"/>
          <w:iCs w:val="0"/>
        </w:rPr>
        <w:t>11</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3AEC2694">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_Toc18981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kern w:val="2"/>
          <w:szCs w:val="21"/>
          <w:highlight w:val="none"/>
          <w:lang w:val="zh-CN"/>
        </w:rPr>
        <w:t>11</w:t>
      </w:r>
      <w:r>
        <w:rPr>
          <w:rFonts w:hint="eastAsia" w:ascii="宋体" w:hAnsi="宋体" w:eastAsia="宋体" w:cs="宋体"/>
          <w:bCs/>
          <w:i w:val="0"/>
          <w:iCs w:val="0"/>
          <w:kern w:val="2"/>
          <w:szCs w:val="21"/>
          <w:highlight w:val="none"/>
          <w:lang w:val="en-US" w:eastAsia="zh-CN"/>
        </w:rPr>
        <w:t xml:space="preserve"> </w:t>
      </w:r>
      <w:r>
        <w:rPr>
          <w:rFonts w:hint="eastAsia" w:ascii="宋体" w:hAnsi="宋体" w:eastAsia="宋体" w:cs="宋体"/>
          <w:bCs/>
          <w:i w:val="0"/>
          <w:iCs w:val="0"/>
          <w:kern w:val="2"/>
          <w:szCs w:val="21"/>
          <w:highlight w:val="none"/>
          <w:lang w:val="zh-CN"/>
        </w:rPr>
        <w:t>响应报价</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_Toc18981 \h </w:instrText>
      </w:r>
      <w:r>
        <w:rPr>
          <w:rFonts w:hint="eastAsia" w:ascii="宋体" w:hAnsi="宋体" w:eastAsia="宋体" w:cs="宋体"/>
          <w:i w:val="0"/>
          <w:iCs w:val="0"/>
        </w:rPr>
        <w:fldChar w:fldCharType="separate"/>
      </w:r>
      <w:r>
        <w:rPr>
          <w:rFonts w:hint="eastAsia" w:ascii="宋体" w:hAnsi="宋体" w:eastAsia="宋体" w:cs="宋体"/>
          <w:i w:val="0"/>
          <w:iCs w:val="0"/>
        </w:rPr>
        <w:t>12</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551C7B7D">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_Toc15993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kern w:val="2"/>
          <w:szCs w:val="21"/>
          <w:highlight w:val="none"/>
          <w:lang w:val="zh-CN"/>
        </w:rPr>
        <w:t>12</w:t>
      </w:r>
      <w:r>
        <w:rPr>
          <w:rFonts w:hint="eastAsia" w:ascii="宋体" w:hAnsi="宋体" w:eastAsia="宋体" w:cs="宋体"/>
          <w:bCs/>
          <w:i w:val="0"/>
          <w:iCs w:val="0"/>
          <w:kern w:val="2"/>
          <w:szCs w:val="21"/>
          <w:highlight w:val="none"/>
          <w:lang w:val="en-US" w:eastAsia="zh-CN"/>
        </w:rPr>
        <w:t xml:space="preserve"> </w:t>
      </w:r>
      <w:r>
        <w:rPr>
          <w:rFonts w:hint="eastAsia" w:ascii="宋体" w:hAnsi="宋体" w:eastAsia="宋体" w:cs="宋体"/>
          <w:bCs/>
          <w:i w:val="0"/>
          <w:iCs w:val="0"/>
          <w:kern w:val="2"/>
          <w:szCs w:val="21"/>
          <w:highlight w:val="none"/>
          <w:lang w:val="zh-CN"/>
        </w:rPr>
        <w:t>响应报价货币</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_Toc15993 \h </w:instrText>
      </w:r>
      <w:r>
        <w:rPr>
          <w:rFonts w:hint="eastAsia" w:ascii="宋体" w:hAnsi="宋体" w:eastAsia="宋体" w:cs="宋体"/>
          <w:i w:val="0"/>
          <w:iCs w:val="0"/>
        </w:rPr>
        <w:fldChar w:fldCharType="separate"/>
      </w:r>
      <w:r>
        <w:rPr>
          <w:rFonts w:hint="eastAsia" w:ascii="宋体" w:hAnsi="宋体" w:eastAsia="宋体" w:cs="宋体"/>
          <w:i w:val="0"/>
          <w:iCs w:val="0"/>
        </w:rPr>
        <w:t>13</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2E5FB5E6">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_Toc26760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13</w:t>
      </w:r>
      <w:r>
        <w:rPr>
          <w:rFonts w:hint="eastAsia" w:ascii="宋体" w:hAnsi="宋体" w:eastAsia="宋体" w:cs="宋体"/>
          <w:i w:val="0"/>
          <w:iCs w:val="0"/>
          <w:kern w:val="2"/>
          <w:szCs w:val="21"/>
          <w:highlight w:val="none"/>
          <w:lang w:val="en-US" w:eastAsia="zh-CN"/>
        </w:rPr>
        <w:t xml:space="preserve"> </w:t>
      </w:r>
      <w:r>
        <w:rPr>
          <w:rFonts w:hint="eastAsia" w:ascii="宋体" w:hAnsi="宋体" w:eastAsia="宋体" w:cs="宋体"/>
          <w:i w:val="0"/>
          <w:iCs w:val="0"/>
          <w:kern w:val="2"/>
          <w:szCs w:val="21"/>
          <w:highlight w:val="none"/>
          <w:lang w:val="zh-CN"/>
        </w:rPr>
        <w:t>证明供应商的合格性和资格的声明文件</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_Toc26760 \h </w:instrText>
      </w:r>
      <w:r>
        <w:rPr>
          <w:rFonts w:hint="eastAsia" w:ascii="宋体" w:hAnsi="宋体" w:eastAsia="宋体" w:cs="宋体"/>
          <w:i w:val="0"/>
          <w:iCs w:val="0"/>
        </w:rPr>
        <w:fldChar w:fldCharType="separate"/>
      </w:r>
      <w:r>
        <w:rPr>
          <w:rFonts w:hint="eastAsia" w:ascii="宋体" w:hAnsi="宋体" w:eastAsia="宋体" w:cs="宋体"/>
          <w:i w:val="0"/>
          <w:iCs w:val="0"/>
        </w:rPr>
        <w:t>13</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4C4D3A16">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_Toc20713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14</w:t>
      </w:r>
      <w:r>
        <w:rPr>
          <w:rFonts w:hint="eastAsia" w:ascii="宋体" w:hAnsi="宋体" w:eastAsia="宋体" w:cs="宋体"/>
          <w:i w:val="0"/>
          <w:iCs w:val="0"/>
          <w:kern w:val="2"/>
          <w:szCs w:val="21"/>
          <w:highlight w:val="none"/>
          <w:lang w:val="en-US" w:eastAsia="zh-CN"/>
        </w:rPr>
        <w:t xml:space="preserve"> </w:t>
      </w:r>
      <w:r>
        <w:rPr>
          <w:rFonts w:hint="eastAsia" w:ascii="宋体" w:hAnsi="宋体" w:eastAsia="宋体" w:cs="宋体"/>
          <w:i w:val="0"/>
          <w:iCs w:val="0"/>
          <w:kern w:val="2"/>
          <w:szCs w:val="21"/>
          <w:highlight w:val="none"/>
          <w:lang w:val="zh-CN"/>
        </w:rPr>
        <w:t>证明服务的合格性并符合竞争性磋商文件规定的声明文件</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_Toc20713 \h </w:instrText>
      </w:r>
      <w:r>
        <w:rPr>
          <w:rFonts w:hint="eastAsia" w:ascii="宋体" w:hAnsi="宋体" w:eastAsia="宋体" w:cs="宋体"/>
          <w:i w:val="0"/>
          <w:iCs w:val="0"/>
        </w:rPr>
        <w:fldChar w:fldCharType="separate"/>
      </w:r>
      <w:r>
        <w:rPr>
          <w:rFonts w:hint="eastAsia" w:ascii="宋体" w:hAnsi="宋体" w:eastAsia="宋体" w:cs="宋体"/>
          <w:i w:val="0"/>
          <w:iCs w:val="0"/>
        </w:rPr>
        <w:t>13</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3F628AC2">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_Toc12553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kern w:val="2"/>
          <w:szCs w:val="21"/>
          <w:highlight w:val="none"/>
          <w:lang w:val="zh-CN"/>
        </w:rPr>
        <w:t>15</w:t>
      </w:r>
      <w:r>
        <w:rPr>
          <w:rFonts w:hint="eastAsia" w:ascii="宋体" w:hAnsi="宋体" w:eastAsia="宋体" w:cs="宋体"/>
          <w:bCs/>
          <w:i w:val="0"/>
          <w:iCs w:val="0"/>
          <w:kern w:val="2"/>
          <w:szCs w:val="21"/>
          <w:highlight w:val="none"/>
          <w:lang w:val="en-US" w:eastAsia="zh-CN"/>
        </w:rPr>
        <w:t xml:space="preserve"> </w:t>
      </w:r>
      <w:r>
        <w:rPr>
          <w:rFonts w:hint="eastAsia" w:ascii="宋体" w:hAnsi="宋体" w:eastAsia="宋体" w:cs="宋体"/>
          <w:bCs/>
          <w:i w:val="0"/>
          <w:iCs w:val="0"/>
          <w:kern w:val="2"/>
          <w:szCs w:val="21"/>
          <w:highlight w:val="none"/>
        </w:rPr>
        <w:t>磋商</w:t>
      </w:r>
      <w:r>
        <w:rPr>
          <w:rFonts w:hint="eastAsia" w:ascii="宋体" w:hAnsi="宋体" w:eastAsia="宋体" w:cs="宋体"/>
          <w:bCs/>
          <w:i w:val="0"/>
          <w:iCs w:val="0"/>
          <w:kern w:val="2"/>
          <w:szCs w:val="21"/>
          <w:highlight w:val="none"/>
          <w:lang w:val="zh-CN"/>
        </w:rPr>
        <w:t>保证金</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_Toc12553 \h </w:instrText>
      </w:r>
      <w:r>
        <w:rPr>
          <w:rFonts w:hint="eastAsia" w:ascii="宋体" w:hAnsi="宋体" w:eastAsia="宋体" w:cs="宋体"/>
          <w:i w:val="0"/>
          <w:iCs w:val="0"/>
        </w:rPr>
        <w:fldChar w:fldCharType="separate"/>
      </w:r>
      <w:r>
        <w:rPr>
          <w:rFonts w:hint="eastAsia" w:ascii="宋体" w:hAnsi="宋体" w:eastAsia="宋体" w:cs="宋体"/>
          <w:i w:val="0"/>
          <w:iCs w:val="0"/>
        </w:rPr>
        <w:t>14</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15C8E74C">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_Toc7692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16</w:t>
      </w:r>
      <w:r>
        <w:rPr>
          <w:rFonts w:hint="eastAsia" w:ascii="宋体" w:hAnsi="宋体" w:eastAsia="宋体" w:cs="宋体"/>
          <w:i w:val="0"/>
          <w:iCs w:val="0"/>
          <w:kern w:val="2"/>
          <w:szCs w:val="21"/>
          <w:highlight w:val="none"/>
          <w:lang w:val="en-US" w:eastAsia="zh-CN"/>
        </w:rPr>
        <w:t xml:space="preserve"> 响应</w:t>
      </w:r>
      <w:r>
        <w:rPr>
          <w:rFonts w:hint="eastAsia" w:ascii="宋体" w:hAnsi="宋体" w:eastAsia="宋体" w:cs="宋体"/>
          <w:i w:val="0"/>
          <w:iCs w:val="0"/>
          <w:kern w:val="2"/>
          <w:szCs w:val="21"/>
          <w:highlight w:val="none"/>
          <w:lang w:val="zh-CN"/>
        </w:rPr>
        <w:t>有效期</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_Toc7692 \h </w:instrText>
      </w:r>
      <w:r>
        <w:rPr>
          <w:rFonts w:hint="eastAsia" w:ascii="宋体" w:hAnsi="宋体" w:eastAsia="宋体" w:cs="宋体"/>
          <w:i w:val="0"/>
          <w:iCs w:val="0"/>
        </w:rPr>
        <w:fldChar w:fldCharType="separate"/>
      </w:r>
      <w:r>
        <w:rPr>
          <w:rFonts w:hint="eastAsia" w:ascii="宋体" w:hAnsi="宋体" w:eastAsia="宋体" w:cs="宋体"/>
          <w:i w:val="0"/>
          <w:iCs w:val="0"/>
        </w:rPr>
        <w:t>14</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2CE93CD8">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_Toc25421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17</w:t>
      </w:r>
      <w:r>
        <w:rPr>
          <w:rFonts w:hint="eastAsia" w:ascii="宋体" w:hAnsi="宋体" w:eastAsia="宋体" w:cs="宋体"/>
          <w:i w:val="0"/>
          <w:iCs w:val="0"/>
          <w:kern w:val="2"/>
          <w:szCs w:val="21"/>
          <w:highlight w:val="none"/>
          <w:lang w:val="en-US" w:eastAsia="zh-CN"/>
        </w:rPr>
        <w:t xml:space="preserve"> </w:t>
      </w:r>
      <w:r>
        <w:rPr>
          <w:rFonts w:hint="eastAsia" w:ascii="宋体" w:hAnsi="宋体" w:eastAsia="宋体" w:cs="宋体"/>
          <w:i w:val="0"/>
          <w:iCs w:val="0"/>
          <w:kern w:val="2"/>
          <w:szCs w:val="21"/>
          <w:highlight w:val="none"/>
          <w:lang w:val="zh-CN"/>
        </w:rPr>
        <w:t>响应文件的式样和签署</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_Toc25421 \h </w:instrText>
      </w:r>
      <w:r>
        <w:rPr>
          <w:rFonts w:hint="eastAsia" w:ascii="宋体" w:hAnsi="宋体" w:eastAsia="宋体" w:cs="宋体"/>
          <w:i w:val="0"/>
          <w:iCs w:val="0"/>
        </w:rPr>
        <w:fldChar w:fldCharType="separate"/>
      </w:r>
      <w:r>
        <w:rPr>
          <w:rFonts w:hint="eastAsia" w:ascii="宋体" w:hAnsi="宋体" w:eastAsia="宋体" w:cs="宋体"/>
          <w:i w:val="0"/>
          <w:iCs w:val="0"/>
        </w:rPr>
        <w:t>15</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6245909C">
      <w:pPr>
        <w:pStyle w:val="47"/>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_Toc4448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kern w:val="44"/>
          <w:szCs w:val="21"/>
          <w:highlight w:val="none"/>
          <w:lang w:val="zh-CN"/>
        </w:rPr>
        <w:t>四、响应文件的递交</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_Toc4448 \h </w:instrText>
      </w:r>
      <w:r>
        <w:rPr>
          <w:rFonts w:hint="eastAsia" w:ascii="宋体" w:hAnsi="宋体" w:eastAsia="宋体" w:cs="宋体"/>
          <w:i w:val="0"/>
          <w:iCs w:val="0"/>
        </w:rPr>
        <w:fldChar w:fldCharType="separate"/>
      </w:r>
      <w:r>
        <w:rPr>
          <w:rFonts w:hint="eastAsia" w:ascii="宋体" w:hAnsi="宋体" w:eastAsia="宋体" w:cs="宋体"/>
          <w:i w:val="0"/>
          <w:iCs w:val="0"/>
        </w:rPr>
        <w:t>15</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1F4E5F7D">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_Toc26006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18</w:t>
      </w:r>
      <w:r>
        <w:rPr>
          <w:rFonts w:hint="eastAsia" w:ascii="宋体" w:hAnsi="宋体" w:eastAsia="宋体" w:cs="宋体"/>
          <w:i w:val="0"/>
          <w:iCs w:val="0"/>
          <w:kern w:val="2"/>
          <w:szCs w:val="21"/>
          <w:highlight w:val="none"/>
          <w:lang w:val="en-US" w:eastAsia="zh-CN"/>
        </w:rPr>
        <w:t xml:space="preserve"> </w:t>
      </w:r>
      <w:r>
        <w:rPr>
          <w:rFonts w:hint="eastAsia" w:ascii="宋体" w:hAnsi="宋体" w:eastAsia="宋体" w:cs="宋体"/>
          <w:i w:val="0"/>
          <w:iCs w:val="0"/>
          <w:kern w:val="2"/>
          <w:szCs w:val="21"/>
          <w:highlight w:val="none"/>
          <w:lang w:val="zh-CN"/>
        </w:rPr>
        <w:t>响应文件的密封和标记</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_Toc26006 \h </w:instrText>
      </w:r>
      <w:r>
        <w:rPr>
          <w:rFonts w:hint="eastAsia" w:ascii="宋体" w:hAnsi="宋体" w:eastAsia="宋体" w:cs="宋体"/>
          <w:i w:val="0"/>
          <w:iCs w:val="0"/>
        </w:rPr>
        <w:fldChar w:fldCharType="separate"/>
      </w:r>
      <w:r>
        <w:rPr>
          <w:rFonts w:hint="eastAsia" w:ascii="宋体" w:hAnsi="宋体" w:eastAsia="宋体" w:cs="宋体"/>
          <w:i w:val="0"/>
          <w:iCs w:val="0"/>
        </w:rPr>
        <w:t>15</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1C66B5FC">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_Toc1491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19</w:t>
      </w:r>
      <w:r>
        <w:rPr>
          <w:rFonts w:hint="eastAsia" w:ascii="宋体" w:hAnsi="宋体" w:eastAsia="宋体" w:cs="宋体"/>
          <w:i w:val="0"/>
          <w:iCs w:val="0"/>
          <w:kern w:val="2"/>
          <w:szCs w:val="21"/>
          <w:highlight w:val="none"/>
          <w:lang w:val="en-US" w:eastAsia="zh-CN"/>
        </w:rPr>
        <w:t xml:space="preserve"> </w:t>
      </w:r>
      <w:r>
        <w:rPr>
          <w:rFonts w:hint="eastAsia" w:ascii="宋体" w:hAnsi="宋体" w:eastAsia="宋体" w:cs="宋体"/>
          <w:i w:val="0"/>
          <w:iCs w:val="0"/>
          <w:kern w:val="2"/>
          <w:szCs w:val="21"/>
          <w:highlight w:val="none"/>
          <w:lang w:val="zh-CN"/>
        </w:rPr>
        <w:t>递交响应文件的截止日期</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_Toc1491 \h </w:instrText>
      </w:r>
      <w:r>
        <w:rPr>
          <w:rFonts w:hint="eastAsia" w:ascii="宋体" w:hAnsi="宋体" w:eastAsia="宋体" w:cs="宋体"/>
          <w:i w:val="0"/>
          <w:iCs w:val="0"/>
        </w:rPr>
        <w:fldChar w:fldCharType="separate"/>
      </w:r>
      <w:r>
        <w:rPr>
          <w:rFonts w:hint="eastAsia" w:ascii="宋体" w:hAnsi="宋体" w:eastAsia="宋体" w:cs="宋体"/>
          <w:i w:val="0"/>
          <w:iCs w:val="0"/>
        </w:rPr>
        <w:t>16</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76E72C1B">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_Toc26095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20</w:t>
      </w:r>
      <w:r>
        <w:rPr>
          <w:rFonts w:hint="eastAsia" w:ascii="宋体" w:hAnsi="宋体" w:eastAsia="宋体" w:cs="宋体"/>
          <w:i w:val="0"/>
          <w:iCs w:val="0"/>
          <w:kern w:val="2"/>
          <w:szCs w:val="21"/>
          <w:highlight w:val="none"/>
          <w:lang w:val="en-US" w:eastAsia="zh-CN"/>
        </w:rPr>
        <w:t xml:space="preserve"> </w:t>
      </w:r>
      <w:r>
        <w:rPr>
          <w:rFonts w:hint="eastAsia" w:ascii="宋体" w:hAnsi="宋体" w:eastAsia="宋体" w:cs="宋体"/>
          <w:i w:val="0"/>
          <w:iCs w:val="0"/>
          <w:kern w:val="2"/>
          <w:szCs w:val="21"/>
          <w:highlight w:val="none"/>
          <w:lang w:val="zh-CN"/>
        </w:rPr>
        <w:t>迟交的响应文件</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_Toc26095 \h </w:instrText>
      </w:r>
      <w:r>
        <w:rPr>
          <w:rFonts w:hint="eastAsia" w:ascii="宋体" w:hAnsi="宋体" w:eastAsia="宋体" w:cs="宋体"/>
          <w:i w:val="0"/>
          <w:iCs w:val="0"/>
        </w:rPr>
        <w:fldChar w:fldCharType="separate"/>
      </w:r>
      <w:r>
        <w:rPr>
          <w:rFonts w:hint="eastAsia" w:ascii="宋体" w:hAnsi="宋体" w:eastAsia="宋体" w:cs="宋体"/>
          <w:i w:val="0"/>
          <w:iCs w:val="0"/>
        </w:rPr>
        <w:t>16</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3C0882B8">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_Toc31955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21</w:t>
      </w:r>
      <w:r>
        <w:rPr>
          <w:rFonts w:hint="eastAsia" w:ascii="宋体" w:hAnsi="宋体" w:eastAsia="宋体" w:cs="宋体"/>
          <w:i w:val="0"/>
          <w:iCs w:val="0"/>
          <w:kern w:val="2"/>
          <w:szCs w:val="21"/>
          <w:highlight w:val="none"/>
          <w:lang w:val="en-US" w:eastAsia="zh-CN"/>
        </w:rPr>
        <w:t xml:space="preserve"> </w:t>
      </w:r>
      <w:r>
        <w:rPr>
          <w:rFonts w:hint="eastAsia" w:ascii="宋体" w:hAnsi="宋体" w:eastAsia="宋体" w:cs="宋体"/>
          <w:i w:val="0"/>
          <w:iCs w:val="0"/>
          <w:kern w:val="2"/>
          <w:szCs w:val="21"/>
          <w:highlight w:val="none"/>
          <w:lang w:val="zh-CN"/>
        </w:rPr>
        <w:t>响应文件的修改和撤回</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_Toc31955 \h </w:instrText>
      </w:r>
      <w:r>
        <w:rPr>
          <w:rFonts w:hint="eastAsia" w:ascii="宋体" w:hAnsi="宋体" w:eastAsia="宋体" w:cs="宋体"/>
          <w:i w:val="0"/>
          <w:iCs w:val="0"/>
        </w:rPr>
        <w:fldChar w:fldCharType="separate"/>
      </w:r>
      <w:r>
        <w:rPr>
          <w:rFonts w:hint="eastAsia" w:ascii="宋体" w:hAnsi="宋体" w:eastAsia="宋体" w:cs="宋体"/>
          <w:i w:val="0"/>
          <w:iCs w:val="0"/>
        </w:rPr>
        <w:t>16</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40C5758C">
      <w:pPr>
        <w:pStyle w:val="47"/>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_Toc25968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kern w:val="44"/>
          <w:szCs w:val="21"/>
          <w:highlight w:val="none"/>
          <w:lang w:val="zh-CN"/>
        </w:rPr>
        <w:t>五、</w:t>
      </w:r>
      <w:r>
        <w:rPr>
          <w:rFonts w:hint="eastAsia" w:ascii="宋体" w:hAnsi="宋体" w:eastAsia="宋体" w:cs="宋体"/>
          <w:bCs/>
          <w:i w:val="0"/>
          <w:iCs w:val="0"/>
          <w:kern w:val="44"/>
          <w:szCs w:val="21"/>
          <w:highlight w:val="none"/>
          <w:lang w:val="en-US" w:eastAsia="zh-CN"/>
        </w:rPr>
        <w:t>竞争性磋商流程</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_Toc25968 \h </w:instrText>
      </w:r>
      <w:r>
        <w:rPr>
          <w:rFonts w:hint="eastAsia" w:ascii="宋体" w:hAnsi="宋体" w:eastAsia="宋体" w:cs="宋体"/>
          <w:i w:val="0"/>
          <w:iCs w:val="0"/>
        </w:rPr>
        <w:fldChar w:fldCharType="separate"/>
      </w:r>
      <w:r>
        <w:rPr>
          <w:rFonts w:hint="eastAsia" w:ascii="宋体" w:hAnsi="宋体" w:eastAsia="宋体" w:cs="宋体"/>
          <w:i w:val="0"/>
          <w:iCs w:val="0"/>
        </w:rPr>
        <w:t>16</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1A4F51BD">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_Toc27377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22</w:t>
      </w:r>
      <w:r>
        <w:rPr>
          <w:rFonts w:hint="eastAsia" w:ascii="宋体" w:hAnsi="宋体" w:eastAsia="宋体" w:cs="宋体"/>
          <w:i w:val="0"/>
          <w:iCs w:val="0"/>
          <w:kern w:val="2"/>
          <w:szCs w:val="21"/>
          <w:highlight w:val="none"/>
          <w:lang w:val="en-US" w:eastAsia="zh-CN"/>
        </w:rPr>
        <w:t xml:space="preserve"> 响应文件密封性检查</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_Toc27377 \h </w:instrText>
      </w:r>
      <w:r>
        <w:rPr>
          <w:rFonts w:hint="eastAsia" w:ascii="宋体" w:hAnsi="宋体" w:eastAsia="宋体" w:cs="宋体"/>
          <w:i w:val="0"/>
          <w:iCs w:val="0"/>
        </w:rPr>
        <w:fldChar w:fldCharType="separate"/>
      </w:r>
      <w:r>
        <w:rPr>
          <w:rFonts w:hint="eastAsia" w:ascii="宋体" w:hAnsi="宋体" w:eastAsia="宋体" w:cs="宋体"/>
          <w:i w:val="0"/>
          <w:iCs w:val="0"/>
        </w:rPr>
        <w:t>16</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2C446AAB">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_Toc1749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2</w:t>
      </w:r>
      <w:r>
        <w:rPr>
          <w:rFonts w:hint="eastAsia" w:ascii="宋体" w:hAnsi="宋体" w:eastAsia="宋体" w:cs="宋体"/>
          <w:i w:val="0"/>
          <w:iCs w:val="0"/>
          <w:kern w:val="2"/>
          <w:szCs w:val="21"/>
          <w:highlight w:val="none"/>
          <w:lang w:val="en-US" w:eastAsia="zh-CN"/>
        </w:rPr>
        <w:t xml:space="preserve">3 </w:t>
      </w:r>
      <w:r>
        <w:rPr>
          <w:rFonts w:hint="eastAsia" w:ascii="宋体" w:hAnsi="宋体" w:eastAsia="宋体" w:cs="宋体"/>
          <w:i w:val="0"/>
          <w:iCs w:val="0"/>
          <w:highlight w:val="none"/>
          <w:lang w:val="en-US" w:eastAsia="zh-CN"/>
        </w:rPr>
        <w:t>磋商</w:t>
      </w:r>
      <w:r>
        <w:rPr>
          <w:rFonts w:hint="eastAsia" w:ascii="宋体" w:hAnsi="宋体" w:eastAsia="宋体" w:cs="宋体"/>
          <w:i w:val="0"/>
          <w:iCs w:val="0"/>
          <w:highlight w:val="none"/>
        </w:rPr>
        <w:t>过程的保密性</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_Toc1749 \h </w:instrText>
      </w:r>
      <w:r>
        <w:rPr>
          <w:rFonts w:hint="eastAsia" w:ascii="宋体" w:hAnsi="宋体" w:eastAsia="宋体" w:cs="宋体"/>
          <w:i w:val="0"/>
          <w:iCs w:val="0"/>
        </w:rPr>
        <w:fldChar w:fldCharType="separate"/>
      </w:r>
      <w:r>
        <w:rPr>
          <w:rFonts w:hint="eastAsia" w:ascii="宋体" w:hAnsi="宋体" w:eastAsia="宋体" w:cs="宋体"/>
          <w:i w:val="0"/>
          <w:iCs w:val="0"/>
        </w:rPr>
        <w:t>16</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759887B9">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_Toc11934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2</w:t>
      </w:r>
      <w:r>
        <w:rPr>
          <w:rFonts w:hint="eastAsia" w:ascii="宋体" w:hAnsi="宋体" w:eastAsia="宋体" w:cs="宋体"/>
          <w:i w:val="0"/>
          <w:iCs w:val="0"/>
          <w:kern w:val="2"/>
          <w:szCs w:val="21"/>
          <w:highlight w:val="none"/>
          <w:lang w:val="en-US" w:eastAsia="zh-CN"/>
        </w:rPr>
        <w:t>4 磋商小组</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_Toc11934 \h </w:instrText>
      </w:r>
      <w:r>
        <w:rPr>
          <w:rFonts w:hint="eastAsia" w:ascii="宋体" w:hAnsi="宋体" w:eastAsia="宋体" w:cs="宋体"/>
          <w:i w:val="0"/>
          <w:iCs w:val="0"/>
        </w:rPr>
        <w:fldChar w:fldCharType="separate"/>
      </w:r>
      <w:r>
        <w:rPr>
          <w:rFonts w:hint="eastAsia" w:ascii="宋体" w:hAnsi="宋体" w:eastAsia="宋体" w:cs="宋体"/>
          <w:i w:val="0"/>
          <w:iCs w:val="0"/>
        </w:rPr>
        <w:t>17</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6F5063FD">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_Toc719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2</w:t>
      </w:r>
      <w:r>
        <w:rPr>
          <w:rFonts w:hint="eastAsia" w:ascii="宋体" w:hAnsi="宋体" w:eastAsia="宋体" w:cs="宋体"/>
          <w:i w:val="0"/>
          <w:iCs w:val="0"/>
          <w:kern w:val="2"/>
          <w:szCs w:val="21"/>
          <w:highlight w:val="none"/>
          <w:lang w:val="en-US" w:eastAsia="zh-CN"/>
        </w:rPr>
        <w:t xml:space="preserve">5 </w:t>
      </w:r>
      <w:r>
        <w:rPr>
          <w:rFonts w:hint="eastAsia" w:ascii="宋体" w:hAnsi="宋体" w:eastAsia="宋体" w:cs="宋体"/>
          <w:i w:val="0"/>
          <w:iCs w:val="0"/>
          <w:kern w:val="2"/>
          <w:szCs w:val="21"/>
          <w:highlight w:val="none"/>
          <w:lang w:val="zh-CN"/>
        </w:rPr>
        <w:t>响应文件的评审</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_Toc719 \h </w:instrText>
      </w:r>
      <w:r>
        <w:rPr>
          <w:rFonts w:hint="eastAsia" w:ascii="宋体" w:hAnsi="宋体" w:eastAsia="宋体" w:cs="宋体"/>
          <w:i w:val="0"/>
          <w:iCs w:val="0"/>
        </w:rPr>
        <w:fldChar w:fldCharType="separate"/>
      </w:r>
      <w:r>
        <w:rPr>
          <w:rFonts w:hint="eastAsia" w:ascii="宋体" w:hAnsi="宋体" w:eastAsia="宋体" w:cs="宋体"/>
          <w:i w:val="0"/>
          <w:iCs w:val="0"/>
        </w:rPr>
        <w:t>17</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5DC28229">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_Toc10697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eastAsia="zh-CN"/>
        </w:rPr>
        <w:t>26</w:t>
      </w:r>
      <w:r>
        <w:rPr>
          <w:rFonts w:hint="eastAsia" w:ascii="宋体" w:hAnsi="宋体" w:eastAsia="宋体" w:cs="宋体"/>
          <w:i w:val="0"/>
          <w:iCs w:val="0"/>
          <w:kern w:val="2"/>
          <w:szCs w:val="21"/>
          <w:highlight w:val="none"/>
          <w:lang w:val="en-US" w:eastAsia="zh-CN"/>
        </w:rPr>
        <w:t xml:space="preserve"> </w:t>
      </w:r>
      <w:r>
        <w:rPr>
          <w:rFonts w:hint="eastAsia" w:ascii="宋体" w:hAnsi="宋体" w:eastAsia="宋体" w:cs="宋体"/>
          <w:i w:val="0"/>
          <w:iCs w:val="0"/>
          <w:kern w:val="2"/>
          <w:szCs w:val="21"/>
          <w:highlight w:val="none"/>
          <w:lang w:val="zh-CN" w:eastAsia="zh-CN"/>
        </w:rPr>
        <w:t>响应文件的澄清</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_Toc10697 \h </w:instrText>
      </w:r>
      <w:r>
        <w:rPr>
          <w:rFonts w:hint="eastAsia" w:ascii="宋体" w:hAnsi="宋体" w:eastAsia="宋体" w:cs="宋体"/>
          <w:i w:val="0"/>
          <w:iCs w:val="0"/>
        </w:rPr>
        <w:fldChar w:fldCharType="separate"/>
      </w:r>
      <w:r>
        <w:rPr>
          <w:rFonts w:hint="eastAsia" w:ascii="宋体" w:hAnsi="宋体" w:eastAsia="宋体" w:cs="宋体"/>
          <w:i w:val="0"/>
          <w:iCs w:val="0"/>
        </w:rPr>
        <w:t>17</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74C9A898">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_Toc30630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27</w:t>
      </w:r>
      <w:r>
        <w:rPr>
          <w:rFonts w:hint="eastAsia" w:ascii="宋体" w:hAnsi="宋体" w:eastAsia="宋体" w:cs="宋体"/>
          <w:i w:val="0"/>
          <w:iCs w:val="0"/>
          <w:kern w:val="2"/>
          <w:szCs w:val="21"/>
          <w:highlight w:val="none"/>
          <w:lang w:val="en-US" w:eastAsia="zh-CN"/>
        </w:rPr>
        <w:t xml:space="preserve"> </w:t>
      </w:r>
      <w:r>
        <w:rPr>
          <w:rFonts w:hint="eastAsia" w:ascii="宋体" w:hAnsi="宋体" w:eastAsia="宋体" w:cs="宋体"/>
          <w:i w:val="0"/>
          <w:iCs w:val="0"/>
          <w:kern w:val="2"/>
          <w:szCs w:val="21"/>
          <w:highlight w:val="none"/>
          <w:lang w:val="zh-CN"/>
        </w:rPr>
        <w:t>对</w:t>
      </w:r>
      <w:r>
        <w:rPr>
          <w:rFonts w:hint="eastAsia" w:ascii="宋体" w:hAnsi="宋体" w:eastAsia="宋体" w:cs="宋体"/>
          <w:i w:val="0"/>
          <w:iCs w:val="0"/>
          <w:kern w:val="2"/>
          <w:szCs w:val="21"/>
          <w:highlight w:val="none"/>
          <w:lang w:val="en-US" w:eastAsia="zh-CN"/>
        </w:rPr>
        <w:t>响应</w:t>
      </w:r>
      <w:r>
        <w:rPr>
          <w:rFonts w:hint="eastAsia" w:ascii="宋体" w:hAnsi="宋体" w:eastAsia="宋体" w:cs="宋体"/>
          <w:i w:val="0"/>
          <w:iCs w:val="0"/>
          <w:kern w:val="2"/>
          <w:szCs w:val="21"/>
          <w:highlight w:val="none"/>
          <w:lang w:val="zh-CN"/>
        </w:rPr>
        <w:t>文件的比较和评价</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_Toc30630 \h </w:instrText>
      </w:r>
      <w:r>
        <w:rPr>
          <w:rFonts w:hint="eastAsia" w:ascii="宋体" w:hAnsi="宋体" w:eastAsia="宋体" w:cs="宋体"/>
          <w:i w:val="0"/>
          <w:iCs w:val="0"/>
        </w:rPr>
        <w:fldChar w:fldCharType="separate"/>
      </w:r>
      <w:r>
        <w:rPr>
          <w:rFonts w:hint="eastAsia" w:ascii="宋体" w:hAnsi="宋体" w:eastAsia="宋体" w:cs="宋体"/>
          <w:i w:val="0"/>
          <w:iCs w:val="0"/>
        </w:rPr>
        <w:t>17</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1624FADB">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_Toc32098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2</w:t>
      </w:r>
      <w:r>
        <w:rPr>
          <w:rFonts w:hint="eastAsia" w:ascii="宋体" w:hAnsi="宋体" w:eastAsia="宋体" w:cs="宋体"/>
          <w:i w:val="0"/>
          <w:iCs w:val="0"/>
          <w:kern w:val="2"/>
          <w:szCs w:val="21"/>
          <w:highlight w:val="none"/>
          <w:lang w:val="en-US" w:eastAsia="zh-CN"/>
        </w:rPr>
        <w:t xml:space="preserve">8 </w:t>
      </w:r>
      <w:r>
        <w:rPr>
          <w:rFonts w:hint="eastAsia" w:ascii="宋体" w:hAnsi="宋体" w:eastAsia="宋体" w:cs="宋体"/>
          <w:i w:val="0"/>
          <w:iCs w:val="0"/>
          <w:kern w:val="2"/>
          <w:szCs w:val="21"/>
          <w:highlight w:val="none"/>
          <w:lang w:val="zh-CN"/>
        </w:rPr>
        <w:t>评审原则及方法</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_Toc32098 \h </w:instrText>
      </w:r>
      <w:r>
        <w:rPr>
          <w:rFonts w:hint="eastAsia" w:ascii="宋体" w:hAnsi="宋体" w:eastAsia="宋体" w:cs="宋体"/>
          <w:i w:val="0"/>
          <w:iCs w:val="0"/>
        </w:rPr>
        <w:fldChar w:fldCharType="separate"/>
      </w:r>
      <w:r>
        <w:rPr>
          <w:rFonts w:hint="eastAsia" w:ascii="宋体" w:hAnsi="宋体" w:eastAsia="宋体" w:cs="宋体"/>
          <w:i w:val="0"/>
          <w:iCs w:val="0"/>
        </w:rPr>
        <w:t>17</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183B968C">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_Toc14120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2</w:t>
      </w:r>
      <w:r>
        <w:rPr>
          <w:rFonts w:hint="eastAsia" w:ascii="宋体" w:hAnsi="宋体" w:eastAsia="宋体" w:cs="宋体"/>
          <w:i w:val="0"/>
          <w:iCs w:val="0"/>
          <w:kern w:val="2"/>
          <w:szCs w:val="21"/>
          <w:highlight w:val="none"/>
          <w:lang w:val="en-US" w:eastAsia="zh-CN"/>
        </w:rPr>
        <w:t>9 评审结果公示</w:t>
      </w:r>
      <w:r>
        <w:rPr>
          <w:rFonts w:hint="eastAsia" w:ascii="宋体" w:hAnsi="宋体" w:eastAsia="宋体" w:cs="宋体"/>
          <w:i w:val="0"/>
          <w:iCs w:val="0"/>
          <w:kern w:val="2"/>
          <w:szCs w:val="21"/>
          <w:highlight w:val="none"/>
          <w:lang w:val="zh-CN"/>
        </w:rPr>
        <w:t>及异议、投诉</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_Toc14120 \h </w:instrText>
      </w:r>
      <w:r>
        <w:rPr>
          <w:rFonts w:hint="eastAsia" w:ascii="宋体" w:hAnsi="宋体" w:eastAsia="宋体" w:cs="宋体"/>
          <w:i w:val="0"/>
          <w:iCs w:val="0"/>
        </w:rPr>
        <w:fldChar w:fldCharType="separate"/>
      </w:r>
      <w:r>
        <w:rPr>
          <w:rFonts w:hint="eastAsia" w:ascii="宋体" w:hAnsi="宋体" w:eastAsia="宋体" w:cs="宋体"/>
          <w:i w:val="0"/>
          <w:iCs w:val="0"/>
        </w:rPr>
        <w:t>18</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50A12634">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_Toc7700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kern w:val="2"/>
          <w:szCs w:val="21"/>
          <w:highlight w:val="none"/>
          <w:lang w:val="en-US" w:eastAsia="zh-CN"/>
        </w:rPr>
        <w:t xml:space="preserve">30 </w:t>
      </w:r>
      <w:r>
        <w:rPr>
          <w:rFonts w:hint="eastAsia" w:ascii="宋体" w:hAnsi="宋体" w:eastAsia="宋体" w:cs="宋体"/>
          <w:bCs/>
          <w:i w:val="0"/>
          <w:iCs w:val="0"/>
          <w:kern w:val="2"/>
          <w:szCs w:val="21"/>
          <w:highlight w:val="none"/>
          <w:lang w:val="zh-CN"/>
        </w:rPr>
        <w:t>真实性审查</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_Toc7700 \h </w:instrText>
      </w:r>
      <w:r>
        <w:rPr>
          <w:rFonts w:hint="eastAsia" w:ascii="宋体" w:hAnsi="宋体" w:eastAsia="宋体" w:cs="宋体"/>
          <w:i w:val="0"/>
          <w:iCs w:val="0"/>
        </w:rPr>
        <w:fldChar w:fldCharType="separate"/>
      </w:r>
      <w:r>
        <w:rPr>
          <w:rFonts w:hint="eastAsia" w:ascii="宋体" w:hAnsi="宋体" w:eastAsia="宋体" w:cs="宋体"/>
          <w:i w:val="0"/>
          <w:iCs w:val="0"/>
        </w:rPr>
        <w:t>19</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6AAF0CF5">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_Toc3336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3</w:t>
      </w:r>
      <w:r>
        <w:rPr>
          <w:rFonts w:hint="eastAsia" w:ascii="宋体" w:hAnsi="宋体" w:eastAsia="宋体" w:cs="宋体"/>
          <w:i w:val="0"/>
          <w:iCs w:val="0"/>
          <w:kern w:val="2"/>
          <w:szCs w:val="21"/>
          <w:highlight w:val="none"/>
          <w:lang w:val="en-US" w:eastAsia="zh-CN"/>
        </w:rPr>
        <w:t xml:space="preserve">1 </w:t>
      </w:r>
      <w:r>
        <w:rPr>
          <w:rFonts w:hint="eastAsia" w:ascii="宋体" w:hAnsi="宋体" w:eastAsia="宋体" w:cs="宋体"/>
          <w:i w:val="0"/>
          <w:iCs w:val="0"/>
          <w:kern w:val="2"/>
          <w:szCs w:val="21"/>
          <w:highlight w:val="none"/>
          <w:lang w:val="zh-CN"/>
        </w:rPr>
        <w:t>磋商小组和采购人接受或拒绝任何</w:t>
      </w:r>
      <w:r>
        <w:rPr>
          <w:rFonts w:hint="eastAsia" w:ascii="宋体" w:hAnsi="宋体" w:eastAsia="宋体" w:cs="宋体"/>
          <w:i w:val="0"/>
          <w:iCs w:val="0"/>
          <w:kern w:val="2"/>
          <w:szCs w:val="21"/>
          <w:highlight w:val="none"/>
          <w:lang w:val="en-US" w:eastAsia="zh-CN"/>
        </w:rPr>
        <w:t>响应</w:t>
      </w:r>
      <w:r>
        <w:rPr>
          <w:rFonts w:hint="eastAsia" w:ascii="宋体" w:hAnsi="宋体" w:eastAsia="宋体" w:cs="宋体"/>
          <w:i w:val="0"/>
          <w:iCs w:val="0"/>
          <w:kern w:val="2"/>
          <w:szCs w:val="21"/>
          <w:highlight w:val="none"/>
          <w:lang w:val="zh-CN"/>
        </w:rPr>
        <w:t>或所有</w:t>
      </w:r>
      <w:r>
        <w:rPr>
          <w:rFonts w:hint="eastAsia" w:ascii="宋体" w:hAnsi="宋体" w:eastAsia="宋体" w:cs="宋体"/>
          <w:i w:val="0"/>
          <w:iCs w:val="0"/>
          <w:kern w:val="2"/>
          <w:szCs w:val="21"/>
          <w:highlight w:val="none"/>
          <w:lang w:val="en-US" w:eastAsia="zh-CN"/>
        </w:rPr>
        <w:t>响应</w:t>
      </w:r>
      <w:r>
        <w:rPr>
          <w:rFonts w:hint="eastAsia" w:ascii="宋体" w:hAnsi="宋体" w:eastAsia="宋体" w:cs="宋体"/>
          <w:i w:val="0"/>
          <w:iCs w:val="0"/>
          <w:kern w:val="2"/>
          <w:szCs w:val="21"/>
          <w:highlight w:val="none"/>
          <w:lang w:val="zh-CN"/>
        </w:rPr>
        <w:t>的权利</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_Toc3336 \h </w:instrText>
      </w:r>
      <w:r>
        <w:rPr>
          <w:rFonts w:hint="eastAsia" w:ascii="宋体" w:hAnsi="宋体" w:eastAsia="宋体" w:cs="宋体"/>
          <w:i w:val="0"/>
          <w:iCs w:val="0"/>
        </w:rPr>
        <w:fldChar w:fldCharType="separate"/>
      </w:r>
      <w:r>
        <w:rPr>
          <w:rFonts w:hint="eastAsia" w:ascii="宋体" w:hAnsi="宋体" w:eastAsia="宋体" w:cs="宋体"/>
          <w:i w:val="0"/>
          <w:iCs w:val="0"/>
        </w:rPr>
        <w:t>19</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416E195F">
      <w:pPr>
        <w:pStyle w:val="47"/>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_Toc29619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kern w:val="44"/>
          <w:szCs w:val="21"/>
          <w:highlight w:val="none"/>
          <w:lang w:val="zh-CN"/>
        </w:rPr>
        <w:t>六、授予合同</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_Toc29619 \h </w:instrText>
      </w:r>
      <w:r>
        <w:rPr>
          <w:rFonts w:hint="eastAsia" w:ascii="宋体" w:hAnsi="宋体" w:eastAsia="宋体" w:cs="宋体"/>
          <w:i w:val="0"/>
          <w:iCs w:val="0"/>
        </w:rPr>
        <w:fldChar w:fldCharType="separate"/>
      </w:r>
      <w:r>
        <w:rPr>
          <w:rFonts w:hint="eastAsia" w:ascii="宋体" w:hAnsi="宋体" w:eastAsia="宋体" w:cs="宋体"/>
          <w:i w:val="0"/>
          <w:iCs w:val="0"/>
        </w:rPr>
        <w:t>19</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3EEC7857">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_Toc2314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3</w:t>
      </w:r>
      <w:r>
        <w:rPr>
          <w:rFonts w:hint="eastAsia" w:ascii="宋体" w:hAnsi="宋体" w:eastAsia="宋体" w:cs="宋体"/>
          <w:i w:val="0"/>
          <w:iCs w:val="0"/>
          <w:kern w:val="2"/>
          <w:szCs w:val="21"/>
          <w:highlight w:val="none"/>
          <w:lang w:val="en-US" w:eastAsia="zh-CN"/>
        </w:rPr>
        <w:t xml:space="preserve">2 </w:t>
      </w:r>
      <w:r>
        <w:rPr>
          <w:rFonts w:hint="eastAsia" w:ascii="宋体" w:hAnsi="宋体" w:eastAsia="宋体" w:cs="宋体"/>
          <w:i w:val="0"/>
          <w:iCs w:val="0"/>
          <w:kern w:val="2"/>
          <w:szCs w:val="21"/>
          <w:highlight w:val="none"/>
          <w:lang w:val="zh-CN"/>
        </w:rPr>
        <w:t>授予合同的准则</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_Toc2314 \h </w:instrText>
      </w:r>
      <w:r>
        <w:rPr>
          <w:rFonts w:hint="eastAsia" w:ascii="宋体" w:hAnsi="宋体" w:eastAsia="宋体" w:cs="宋体"/>
          <w:i w:val="0"/>
          <w:iCs w:val="0"/>
        </w:rPr>
        <w:fldChar w:fldCharType="separate"/>
      </w:r>
      <w:r>
        <w:rPr>
          <w:rFonts w:hint="eastAsia" w:ascii="宋体" w:hAnsi="宋体" w:eastAsia="宋体" w:cs="宋体"/>
          <w:i w:val="0"/>
          <w:iCs w:val="0"/>
        </w:rPr>
        <w:t>19</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0C84C7D6">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_Toc304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3</w:t>
      </w:r>
      <w:r>
        <w:rPr>
          <w:rFonts w:hint="eastAsia" w:ascii="宋体" w:hAnsi="宋体" w:eastAsia="宋体" w:cs="宋体"/>
          <w:i w:val="0"/>
          <w:iCs w:val="0"/>
          <w:kern w:val="2"/>
          <w:szCs w:val="21"/>
          <w:highlight w:val="none"/>
          <w:lang w:val="en-US" w:eastAsia="zh-CN"/>
        </w:rPr>
        <w:t>3 成交</w:t>
      </w:r>
      <w:r>
        <w:rPr>
          <w:rFonts w:hint="eastAsia" w:ascii="宋体" w:hAnsi="宋体" w:eastAsia="宋体" w:cs="宋体"/>
          <w:i w:val="0"/>
          <w:iCs w:val="0"/>
          <w:kern w:val="2"/>
          <w:szCs w:val="21"/>
          <w:highlight w:val="none"/>
          <w:lang w:val="zh-CN"/>
        </w:rPr>
        <w:t>通知</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_Toc304 \h </w:instrText>
      </w:r>
      <w:r>
        <w:rPr>
          <w:rFonts w:hint="eastAsia" w:ascii="宋体" w:hAnsi="宋体" w:eastAsia="宋体" w:cs="宋体"/>
          <w:i w:val="0"/>
          <w:iCs w:val="0"/>
        </w:rPr>
        <w:fldChar w:fldCharType="separate"/>
      </w:r>
      <w:r>
        <w:rPr>
          <w:rFonts w:hint="eastAsia" w:ascii="宋体" w:hAnsi="宋体" w:eastAsia="宋体" w:cs="宋体"/>
          <w:i w:val="0"/>
          <w:iCs w:val="0"/>
        </w:rPr>
        <w:t>19</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0B238665">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_Toc29614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3</w:t>
      </w:r>
      <w:r>
        <w:rPr>
          <w:rFonts w:hint="eastAsia" w:ascii="宋体" w:hAnsi="宋体" w:eastAsia="宋体" w:cs="宋体"/>
          <w:i w:val="0"/>
          <w:iCs w:val="0"/>
          <w:kern w:val="2"/>
          <w:szCs w:val="21"/>
          <w:highlight w:val="none"/>
          <w:lang w:val="en-US" w:eastAsia="zh-CN"/>
        </w:rPr>
        <w:t xml:space="preserve">4 </w:t>
      </w:r>
      <w:r>
        <w:rPr>
          <w:rFonts w:hint="eastAsia" w:ascii="宋体" w:hAnsi="宋体" w:eastAsia="宋体" w:cs="宋体"/>
          <w:i w:val="0"/>
          <w:iCs w:val="0"/>
          <w:kern w:val="2"/>
          <w:szCs w:val="21"/>
          <w:highlight w:val="none"/>
          <w:lang w:val="zh-CN"/>
        </w:rPr>
        <w:t>签署合同</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_Toc29614 \h </w:instrText>
      </w:r>
      <w:r>
        <w:rPr>
          <w:rFonts w:hint="eastAsia" w:ascii="宋体" w:hAnsi="宋体" w:eastAsia="宋体" w:cs="宋体"/>
          <w:i w:val="0"/>
          <w:iCs w:val="0"/>
        </w:rPr>
        <w:fldChar w:fldCharType="separate"/>
      </w:r>
      <w:r>
        <w:rPr>
          <w:rFonts w:hint="eastAsia" w:ascii="宋体" w:hAnsi="宋体" w:eastAsia="宋体" w:cs="宋体"/>
          <w:i w:val="0"/>
          <w:iCs w:val="0"/>
        </w:rPr>
        <w:t>20</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74DE8A80">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_Toc16657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3</w:t>
      </w:r>
      <w:r>
        <w:rPr>
          <w:rFonts w:hint="eastAsia" w:ascii="宋体" w:hAnsi="宋体" w:eastAsia="宋体" w:cs="宋体"/>
          <w:i w:val="0"/>
          <w:iCs w:val="0"/>
          <w:kern w:val="2"/>
          <w:szCs w:val="21"/>
          <w:highlight w:val="none"/>
          <w:lang w:val="en-US" w:eastAsia="zh-CN"/>
        </w:rPr>
        <w:t xml:space="preserve">5 </w:t>
      </w:r>
      <w:r>
        <w:rPr>
          <w:rFonts w:hint="eastAsia" w:ascii="宋体" w:hAnsi="宋体" w:eastAsia="宋体" w:cs="宋体"/>
          <w:i w:val="0"/>
          <w:iCs w:val="0"/>
          <w:kern w:val="2"/>
          <w:szCs w:val="21"/>
          <w:highlight w:val="none"/>
          <w:lang w:val="zh-CN"/>
        </w:rPr>
        <w:t>履约担保</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_Toc16657 \h </w:instrText>
      </w:r>
      <w:r>
        <w:rPr>
          <w:rFonts w:hint="eastAsia" w:ascii="宋体" w:hAnsi="宋体" w:eastAsia="宋体" w:cs="宋体"/>
          <w:i w:val="0"/>
          <w:iCs w:val="0"/>
        </w:rPr>
        <w:fldChar w:fldCharType="separate"/>
      </w:r>
      <w:r>
        <w:rPr>
          <w:rFonts w:hint="eastAsia" w:ascii="宋体" w:hAnsi="宋体" w:eastAsia="宋体" w:cs="宋体"/>
          <w:i w:val="0"/>
          <w:iCs w:val="0"/>
        </w:rPr>
        <w:t>20</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3DEA6711">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_Toc2374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3</w:t>
      </w:r>
      <w:r>
        <w:rPr>
          <w:rFonts w:hint="eastAsia" w:ascii="宋体" w:hAnsi="宋体" w:eastAsia="宋体" w:cs="宋体"/>
          <w:i w:val="0"/>
          <w:iCs w:val="0"/>
          <w:kern w:val="2"/>
          <w:szCs w:val="21"/>
          <w:highlight w:val="none"/>
          <w:lang w:val="en-US" w:eastAsia="zh-CN"/>
        </w:rPr>
        <w:t xml:space="preserve">6 </w:t>
      </w:r>
      <w:r>
        <w:rPr>
          <w:rFonts w:hint="eastAsia" w:ascii="宋体" w:hAnsi="宋体" w:eastAsia="宋体" w:cs="宋体"/>
          <w:i w:val="0"/>
          <w:iCs w:val="0"/>
          <w:kern w:val="2"/>
          <w:szCs w:val="21"/>
          <w:highlight w:val="none"/>
          <w:lang w:val="zh-CN"/>
        </w:rPr>
        <w:t>在合同履行中变更采购范围的权利</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_Toc2374 \h </w:instrText>
      </w:r>
      <w:r>
        <w:rPr>
          <w:rFonts w:hint="eastAsia" w:ascii="宋体" w:hAnsi="宋体" w:eastAsia="宋体" w:cs="宋体"/>
          <w:i w:val="0"/>
          <w:iCs w:val="0"/>
        </w:rPr>
        <w:fldChar w:fldCharType="separate"/>
      </w:r>
      <w:r>
        <w:rPr>
          <w:rFonts w:hint="eastAsia" w:ascii="宋体" w:hAnsi="宋体" w:eastAsia="宋体" w:cs="宋体"/>
          <w:i w:val="0"/>
          <w:iCs w:val="0"/>
        </w:rPr>
        <w:t>22</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1F44C89F">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_Toc699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3</w:t>
      </w:r>
      <w:r>
        <w:rPr>
          <w:rFonts w:hint="eastAsia" w:ascii="宋体" w:hAnsi="宋体" w:eastAsia="宋体" w:cs="宋体"/>
          <w:i w:val="0"/>
          <w:iCs w:val="0"/>
          <w:kern w:val="2"/>
          <w:szCs w:val="21"/>
          <w:highlight w:val="none"/>
          <w:lang w:val="en-US" w:eastAsia="zh-CN"/>
        </w:rPr>
        <w:t>7 代理</w:t>
      </w:r>
      <w:r>
        <w:rPr>
          <w:rFonts w:hint="eastAsia" w:ascii="宋体" w:hAnsi="宋体" w:eastAsia="宋体" w:cs="宋体"/>
          <w:i w:val="0"/>
          <w:iCs w:val="0"/>
          <w:kern w:val="2"/>
          <w:szCs w:val="21"/>
          <w:highlight w:val="none"/>
          <w:lang w:val="zh-CN"/>
        </w:rPr>
        <w:t>服务费</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_Toc699 \h </w:instrText>
      </w:r>
      <w:r>
        <w:rPr>
          <w:rFonts w:hint="eastAsia" w:ascii="宋体" w:hAnsi="宋体" w:eastAsia="宋体" w:cs="宋体"/>
          <w:i w:val="0"/>
          <w:iCs w:val="0"/>
        </w:rPr>
        <w:fldChar w:fldCharType="separate"/>
      </w:r>
      <w:r>
        <w:rPr>
          <w:rFonts w:hint="eastAsia" w:ascii="宋体" w:hAnsi="宋体" w:eastAsia="宋体" w:cs="宋体"/>
          <w:i w:val="0"/>
          <w:iCs w:val="0"/>
        </w:rPr>
        <w:t>22</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0B9A2C58">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_Toc13969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3</w:t>
      </w:r>
      <w:r>
        <w:rPr>
          <w:rFonts w:hint="eastAsia" w:ascii="宋体" w:hAnsi="宋体" w:eastAsia="宋体" w:cs="宋体"/>
          <w:i w:val="0"/>
          <w:iCs w:val="0"/>
          <w:kern w:val="2"/>
          <w:szCs w:val="21"/>
          <w:highlight w:val="none"/>
          <w:lang w:val="en-US" w:eastAsia="zh-CN"/>
        </w:rPr>
        <w:t xml:space="preserve">8 </w:t>
      </w:r>
      <w:r>
        <w:rPr>
          <w:rFonts w:hint="eastAsia" w:ascii="宋体" w:hAnsi="宋体" w:eastAsia="宋体" w:cs="宋体"/>
          <w:i w:val="0"/>
          <w:iCs w:val="0"/>
          <w:kern w:val="2"/>
          <w:szCs w:val="21"/>
          <w:highlight w:val="none"/>
          <w:lang w:val="zh-CN"/>
        </w:rPr>
        <w:t>发票</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_Toc13969 \h </w:instrText>
      </w:r>
      <w:r>
        <w:rPr>
          <w:rFonts w:hint="eastAsia" w:ascii="宋体" w:hAnsi="宋体" w:eastAsia="宋体" w:cs="宋体"/>
          <w:i w:val="0"/>
          <w:iCs w:val="0"/>
        </w:rPr>
        <w:fldChar w:fldCharType="separate"/>
      </w:r>
      <w:r>
        <w:rPr>
          <w:rFonts w:hint="eastAsia" w:ascii="宋体" w:hAnsi="宋体" w:eastAsia="宋体" w:cs="宋体"/>
          <w:i w:val="0"/>
          <w:iCs w:val="0"/>
        </w:rPr>
        <w:t>22</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6EF74573">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_Toc14106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kern w:val="2"/>
          <w:szCs w:val="21"/>
          <w:highlight w:val="none"/>
          <w:lang w:val="zh-CN"/>
        </w:rPr>
        <w:t>3</w:t>
      </w:r>
      <w:r>
        <w:rPr>
          <w:rFonts w:hint="eastAsia" w:ascii="宋体" w:hAnsi="宋体" w:eastAsia="宋体" w:cs="宋体"/>
          <w:bCs/>
          <w:i w:val="0"/>
          <w:iCs w:val="0"/>
          <w:kern w:val="2"/>
          <w:szCs w:val="21"/>
          <w:highlight w:val="none"/>
          <w:lang w:val="en-US" w:eastAsia="zh-CN"/>
        </w:rPr>
        <w:t>9 采购</w:t>
      </w:r>
      <w:r>
        <w:rPr>
          <w:rFonts w:hint="eastAsia" w:ascii="宋体" w:hAnsi="宋体" w:eastAsia="宋体" w:cs="宋体"/>
          <w:bCs/>
          <w:i w:val="0"/>
          <w:iCs w:val="0"/>
          <w:kern w:val="2"/>
          <w:szCs w:val="21"/>
          <w:highlight w:val="none"/>
          <w:lang w:val="zh-CN"/>
        </w:rPr>
        <w:t>相关补充约定</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_Toc14106 \h </w:instrText>
      </w:r>
      <w:r>
        <w:rPr>
          <w:rFonts w:hint="eastAsia" w:ascii="宋体" w:hAnsi="宋体" w:eastAsia="宋体" w:cs="宋体"/>
          <w:i w:val="0"/>
          <w:iCs w:val="0"/>
        </w:rPr>
        <w:fldChar w:fldCharType="separate"/>
      </w:r>
      <w:r>
        <w:rPr>
          <w:rFonts w:hint="eastAsia" w:ascii="宋体" w:hAnsi="宋体" w:eastAsia="宋体" w:cs="宋体"/>
          <w:i w:val="0"/>
          <w:iCs w:val="0"/>
        </w:rPr>
        <w:t>22</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638E33D3">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_Toc11090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en-US" w:eastAsia="zh-CN"/>
        </w:rPr>
        <w:t xml:space="preserve">40 </w:t>
      </w:r>
      <w:r>
        <w:rPr>
          <w:rFonts w:hint="eastAsia" w:ascii="宋体" w:hAnsi="宋体" w:eastAsia="宋体" w:cs="宋体"/>
          <w:i w:val="0"/>
          <w:iCs w:val="0"/>
          <w:kern w:val="2"/>
          <w:szCs w:val="21"/>
          <w:highlight w:val="none"/>
          <w:lang w:val="zh-CN"/>
        </w:rPr>
        <w:t>本次采购活动的最终解释权归采购代理机构及采购人所有。</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_Toc11090 \h </w:instrText>
      </w:r>
      <w:r>
        <w:rPr>
          <w:rFonts w:hint="eastAsia" w:ascii="宋体" w:hAnsi="宋体" w:eastAsia="宋体" w:cs="宋体"/>
          <w:i w:val="0"/>
          <w:iCs w:val="0"/>
        </w:rPr>
        <w:fldChar w:fldCharType="separate"/>
      </w:r>
      <w:r>
        <w:rPr>
          <w:rFonts w:hint="eastAsia" w:ascii="宋体" w:hAnsi="宋体" w:eastAsia="宋体" w:cs="宋体"/>
          <w:i w:val="0"/>
          <w:iCs w:val="0"/>
        </w:rPr>
        <w:t>22</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12C55AC9">
      <w:pPr>
        <w:pStyle w:val="42"/>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_Toc20321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kern w:val="44"/>
          <w:szCs w:val="32"/>
          <w:lang w:val="zh-CN"/>
        </w:rPr>
        <w:t>第三篇 用户需求书</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_Toc20321 \h </w:instrText>
      </w:r>
      <w:r>
        <w:rPr>
          <w:rFonts w:hint="eastAsia" w:ascii="宋体" w:hAnsi="宋体" w:eastAsia="宋体" w:cs="宋体"/>
          <w:i w:val="0"/>
          <w:iCs w:val="0"/>
        </w:rPr>
        <w:fldChar w:fldCharType="separate"/>
      </w:r>
      <w:r>
        <w:rPr>
          <w:rFonts w:hint="eastAsia" w:ascii="宋体" w:hAnsi="宋体" w:eastAsia="宋体" w:cs="宋体"/>
          <w:i w:val="0"/>
          <w:iCs w:val="0"/>
        </w:rPr>
        <w:t>23</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3FC6C118">
      <w:pPr>
        <w:pStyle w:val="42"/>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_Toc31357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kern w:val="44"/>
          <w:szCs w:val="32"/>
          <w:lang w:val="zh-CN"/>
        </w:rPr>
        <w:t>第四篇 合同条款格式</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_Toc31357 \h </w:instrText>
      </w:r>
      <w:r>
        <w:rPr>
          <w:rFonts w:hint="eastAsia" w:ascii="宋体" w:hAnsi="宋体" w:eastAsia="宋体" w:cs="宋体"/>
          <w:i w:val="0"/>
          <w:iCs w:val="0"/>
        </w:rPr>
        <w:fldChar w:fldCharType="separate"/>
      </w:r>
      <w:r>
        <w:rPr>
          <w:rFonts w:hint="eastAsia" w:ascii="宋体" w:hAnsi="宋体" w:eastAsia="宋体" w:cs="宋体"/>
          <w:i w:val="0"/>
          <w:iCs w:val="0"/>
        </w:rPr>
        <w:t>29</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7ACF951B">
      <w:pPr>
        <w:pStyle w:val="42"/>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_Toc9981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szCs w:val="32"/>
          <w:lang w:val="zh-CN"/>
        </w:rPr>
        <w:t>第五篇 相关保函格式</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_Toc9981 \h </w:instrText>
      </w:r>
      <w:r>
        <w:rPr>
          <w:rFonts w:hint="eastAsia" w:ascii="宋体" w:hAnsi="宋体" w:eastAsia="宋体" w:cs="宋体"/>
          <w:i w:val="0"/>
          <w:iCs w:val="0"/>
        </w:rPr>
        <w:fldChar w:fldCharType="separate"/>
      </w:r>
      <w:r>
        <w:rPr>
          <w:rFonts w:hint="eastAsia" w:ascii="宋体" w:hAnsi="宋体" w:eastAsia="宋体" w:cs="宋体"/>
          <w:i w:val="0"/>
          <w:iCs w:val="0"/>
        </w:rPr>
        <w:t>52</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5978A1D2">
      <w:pPr>
        <w:pStyle w:val="42"/>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_Toc31983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kern w:val="44"/>
          <w:szCs w:val="32"/>
          <w:lang w:val="zh-CN"/>
        </w:rPr>
        <w:t>第</w:t>
      </w:r>
      <w:r>
        <w:rPr>
          <w:rFonts w:hint="eastAsia" w:ascii="宋体" w:hAnsi="宋体" w:eastAsia="宋体" w:cs="宋体"/>
          <w:bCs/>
          <w:i w:val="0"/>
          <w:iCs w:val="0"/>
          <w:kern w:val="44"/>
          <w:szCs w:val="32"/>
          <w:lang w:val="en-US" w:eastAsia="zh-CN"/>
        </w:rPr>
        <w:t>六</w:t>
      </w:r>
      <w:r>
        <w:rPr>
          <w:rFonts w:hint="eastAsia" w:ascii="宋体" w:hAnsi="宋体" w:eastAsia="宋体" w:cs="宋体"/>
          <w:bCs/>
          <w:i w:val="0"/>
          <w:iCs w:val="0"/>
          <w:kern w:val="44"/>
          <w:szCs w:val="32"/>
          <w:lang w:val="zh-CN"/>
        </w:rPr>
        <w:t>篇</w:t>
      </w:r>
      <w:r>
        <w:rPr>
          <w:rFonts w:hint="eastAsia" w:ascii="宋体" w:hAnsi="宋体" w:eastAsia="宋体" w:cs="宋体"/>
          <w:bCs/>
          <w:i w:val="0"/>
          <w:iCs w:val="0"/>
          <w:kern w:val="44"/>
          <w:szCs w:val="32"/>
          <w:lang w:val="en-US" w:eastAsia="zh-CN"/>
        </w:rPr>
        <w:t xml:space="preserve"> </w:t>
      </w:r>
      <w:r>
        <w:rPr>
          <w:rFonts w:hint="eastAsia" w:ascii="宋体" w:hAnsi="宋体" w:eastAsia="宋体" w:cs="宋体"/>
          <w:bCs/>
          <w:i w:val="0"/>
          <w:iCs w:val="0"/>
          <w:kern w:val="44"/>
          <w:szCs w:val="32"/>
          <w:lang w:val="zh-CN"/>
        </w:rPr>
        <w:t>响应文件格式</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_Toc31983 \h </w:instrText>
      </w:r>
      <w:r>
        <w:rPr>
          <w:rFonts w:hint="eastAsia" w:ascii="宋体" w:hAnsi="宋体" w:eastAsia="宋体" w:cs="宋体"/>
          <w:i w:val="0"/>
          <w:iCs w:val="0"/>
        </w:rPr>
        <w:fldChar w:fldCharType="separate"/>
      </w:r>
      <w:r>
        <w:rPr>
          <w:rFonts w:hint="eastAsia" w:ascii="宋体" w:hAnsi="宋体" w:eastAsia="宋体" w:cs="宋体"/>
          <w:i w:val="0"/>
          <w:iCs w:val="0"/>
        </w:rPr>
        <w:t>55</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16D5758E">
      <w:pPr>
        <w:pStyle w:val="42"/>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_Toc31218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kern w:val="44"/>
          <w:szCs w:val="32"/>
          <w:highlight w:val="none"/>
          <w:lang w:val="zh-CN"/>
        </w:rPr>
        <w:t>附件一：评审工作大纲</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_Toc31218 \h </w:instrText>
      </w:r>
      <w:r>
        <w:rPr>
          <w:rFonts w:hint="eastAsia" w:ascii="宋体" w:hAnsi="宋体" w:eastAsia="宋体" w:cs="宋体"/>
          <w:i w:val="0"/>
          <w:iCs w:val="0"/>
        </w:rPr>
        <w:fldChar w:fldCharType="separate"/>
      </w:r>
      <w:r>
        <w:rPr>
          <w:rFonts w:hint="eastAsia" w:ascii="宋体" w:hAnsi="宋体" w:eastAsia="宋体" w:cs="宋体"/>
          <w:i w:val="0"/>
          <w:iCs w:val="0"/>
        </w:rPr>
        <w:t>93</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6E943E77">
      <w:pPr>
        <w:pStyle w:val="42"/>
        <w:keepNext w:val="0"/>
        <w:keepLines w:val="0"/>
        <w:pageBreakBefore w:val="0"/>
        <w:widowControl w:val="0"/>
        <w:tabs>
          <w:tab w:val="right" w:leader="dot" w:pos="9394"/>
        </w:tabs>
        <w:kinsoku/>
        <w:wordWrap/>
        <w:overflowPunct/>
        <w:topLinePunct w:val="0"/>
        <w:autoSpaceDE w:val="0"/>
        <w:autoSpaceDN w:val="0"/>
        <w:bidi w:val="0"/>
        <w:adjustRightInd/>
        <w:snapToGrid w:val="0"/>
        <w:spacing w:before="0" w:after="0" w:line="360" w:lineRule="auto"/>
        <w:ind w:left="0" w:firstLine="0" w:firstLineChars="0"/>
        <w:textAlignment w:val="auto"/>
        <w:rPr>
          <w:rFonts w:hint="eastAsia" w:ascii="宋体" w:hAnsi="宋体" w:eastAsia="宋体" w:cs="宋体"/>
          <w:b w:val="0"/>
          <w:bCs w:val="0"/>
          <w:i w:val="0"/>
          <w:iCs w:val="0"/>
          <w:caps w:val="0"/>
          <w:color w:val="auto"/>
          <w:kern w:val="2"/>
          <w:highlight w:val="none"/>
        </w:rPr>
      </w:pPr>
      <w:r>
        <w:rPr>
          <w:rFonts w:hint="eastAsia" w:ascii="宋体" w:hAnsi="宋体" w:eastAsia="宋体" w:cs="宋体"/>
          <w:bCs w:val="0"/>
          <w:i w:val="0"/>
          <w:iCs w:val="0"/>
          <w:color w:val="auto"/>
          <w:szCs w:val="21"/>
          <w:highlight w:val="none"/>
        </w:rPr>
        <w:fldChar w:fldCharType="end"/>
      </w:r>
      <w:r>
        <w:rPr>
          <w:rFonts w:hint="eastAsia" w:ascii="宋体" w:hAnsi="宋体" w:eastAsia="宋体" w:cs="宋体"/>
          <w:b w:val="0"/>
          <w:bCs w:val="0"/>
          <w:i w:val="0"/>
          <w:iCs w:val="0"/>
          <w:caps w:val="0"/>
          <w:color w:val="auto"/>
          <w:kern w:val="2"/>
          <w:highlight w:val="none"/>
        </w:rPr>
        <w:t xml:space="preserve"> </w:t>
      </w:r>
    </w:p>
    <w:p w14:paraId="77F061B4">
      <w:pPr>
        <w:pStyle w:val="42"/>
        <w:keepNext w:val="0"/>
        <w:keepLines w:val="0"/>
        <w:pageBreakBefore w:val="0"/>
        <w:widowControl w:val="0"/>
        <w:tabs>
          <w:tab w:val="left" w:pos="851"/>
          <w:tab w:val="right" w:leader="dot" w:pos="8647"/>
          <w:tab w:val="right" w:leader="dot" w:pos="10206"/>
        </w:tabs>
        <w:kinsoku/>
        <w:wordWrap/>
        <w:overflowPunct/>
        <w:topLinePunct w:val="0"/>
        <w:autoSpaceDE w:val="0"/>
        <w:autoSpaceDN w:val="0"/>
        <w:bidi w:val="0"/>
        <w:snapToGrid/>
        <w:spacing w:before="0" w:after="0" w:line="360" w:lineRule="auto"/>
        <w:ind w:right="-50" w:rightChars="-21"/>
        <w:jc w:val="distribute"/>
        <w:textAlignment w:val="auto"/>
        <w:rPr>
          <w:rFonts w:hint="eastAsia" w:ascii="宋体" w:hAnsi="宋体" w:eastAsia="宋体" w:cs="宋体"/>
          <w:color w:val="auto"/>
          <w:sz w:val="21"/>
          <w:szCs w:val="21"/>
          <w:highlight w:val="none"/>
        </w:rPr>
      </w:pPr>
    </w:p>
    <w:p w14:paraId="521276C5">
      <w:pPr>
        <w:pStyle w:val="4"/>
        <w:keepNext/>
        <w:keepLines/>
        <w:pageBreakBefore/>
        <w:tabs>
          <w:tab w:val="left" w:pos="1080"/>
        </w:tabs>
        <w:spacing w:line="360" w:lineRule="auto"/>
        <w:ind w:left="567" w:hanging="567"/>
        <w:jc w:val="center"/>
        <w:rPr>
          <w:rFonts w:hint="eastAsia" w:ascii="宋体" w:hAnsi="宋体" w:eastAsia="宋体"/>
          <w:b/>
          <w:bCs/>
          <w:kern w:val="44"/>
          <w:sz w:val="32"/>
          <w:szCs w:val="32"/>
          <w:lang w:val="en-US" w:eastAsia="zh-CN"/>
        </w:rPr>
      </w:pPr>
      <w:bookmarkStart w:id="0" w:name="_Toc450662846"/>
      <w:bookmarkStart w:id="1" w:name="_Toc521918064"/>
      <w:bookmarkStart w:id="2" w:name="_Toc12763"/>
      <w:r>
        <w:rPr>
          <w:rFonts w:hint="eastAsia" w:ascii="宋体" w:hAnsi="宋体" w:eastAsia="宋体"/>
          <w:b/>
          <w:bCs/>
          <w:kern w:val="44"/>
          <w:sz w:val="32"/>
          <w:szCs w:val="32"/>
          <w:lang w:val="zh-CN"/>
        </w:rPr>
        <w:t>第一篇</w:t>
      </w:r>
      <w:r>
        <w:rPr>
          <w:rFonts w:hint="eastAsia" w:ascii="宋体" w:hAnsi="宋体" w:eastAsia="宋体"/>
          <w:b/>
          <w:bCs/>
          <w:kern w:val="44"/>
          <w:sz w:val="32"/>
          <w:szCs w:val="32"/>
          <w:lang w:val="en-US" w:eastAsia="zh-CN"/>
        </w:rPr>
        <w:t xml:space="preserve"> </w:t>
      </w:r>
      <w:r>
        <w:rPr>
          <w:rFonts w:hint="eastAsia" w:ascii="宋体" w:hAnsi="宋体" w:eastAsia="宋体"/>
          <w:b/>
          <w:bCs/>
          <w:kern w:val="44"/>
          <w:sz w:val="32"/>
          <w:szCs w:val="32"/>
          <w:lang w:val="zh-CN"/>
        </w:rPr>
        <w:t>竞争性磋商</w:t>
      </w:r>
      <w:bookmarkEnd w:id="0"/>
      <w:bookmarkEnd w:id="1"/>
      <w:r>
        <w:rPr>
          <w:rFonts w:hint="eastAsia" w:ascii="宋体" w:hAnsi="宋体" w:eastAsia="宋体"/>
          <w:b/>
          <w:bCs/>
          <w:kern w:val="44"/>
          <w:sz w:val="32"/>
          <w:szCs w:val="32"/>
          <w:lang w:val="en-US" w:eastAsia="zh-CN"/>
        </w:rPr>
        <w:t>公告</w:t>
      </w:r>
      <w:bookmarkEnd w:id="2"/>
    </w:p>
    <w:p w14:paraId="29E557D8">
      <w:pPr>
        <w:keepNext w:val="0"/>
        <w:keepLines w:val="0"/>
        <w:pageBreakBefore w:val="0"/>
        <w:widowControl w:val="0"/>
        <w:tabs>
          <w:tab w:val="left" w:pos="0"/>
          <w:tab w:val="left" w:pos="142"/>
        </w:tabs>
        <w:kinsoku/>
        <w:wordWrap/>
        <w:overflowPunct/>
        <w:topLinePunct w:val="0"/>
        <w:autoSpaceDE w:val="0"/>
        <w:autoSpaceDN w:val="0"/>
        <w:bidi w:val="0"/>
        <w:adjustRightInd w:val="0"/>
        <w:snapToGrid/>
        <w:spacing w:line="360" w:lineRule="auto"/>
        <w:ind w:right="0" w:firstLine="420" w:firstLineChars="200"/>
        <w:jc w:val="both"/>
        <w:textAlignment w:val="auto"/>
        <w:rPr>
          <w:rFonts w:hint="eastAsia" w:ascii="宋体" w:hAnsi="宋体" w:eastAsia="宋体" w:cs="宋体"/>
          <w:color w:val="auto"/>
          <w:kern w:val="2"/>
          <w:sz w:val="21"/>
          <w:szCs w:val="21"/>
          <w:highlight w:val="none"/>
          <w:lang w:val="en-US" w:eastAsia="zh-CN"/>
        </w:rPr>
      </w:pPr>
    </w:p>
    <w:p w14:paraId="5C670635">
      <w:pPr>
        <w:keepNext w:val="0"/>
        <w:keepLines w:val="0"/>
        <w:pageBreakBefore w:val="0"/>
        <w:widowControl w:val="0"/>
        <w:tabs>
          <w:tab w:val="left" w:pos="0"/>
          <w:tab w:val="left" w:pos="142"/>
        </w:tabs>
        <w:kinsoku/>
        <w:wordWrap/>
        <w:overflowPunct/>
        <w:topLinePunct w:val="0"/>
        <w:autoSpaceDE w:val="0"/>
        <w:autoSpaceDN w:val="0"/>
        <w:bidi w:val="0"/>
        <w:adjustRightInd w:val="0"/>
        <w:snapToGrid/>
        <w:spacing w:line="360" w:lineRule="auto"/>
        <w:ind w:left="0" w:leftChars="0" w:right="0" w:firstLine="0" w:firstLineChars="0"/>
        <w:jc w:val="both"/>
        <w:textAlignment w:val="auto"/>
        <w:rPr>
          <w:rFonts w:hint="default"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各潜在供应商：</w:t>
      </w:r>
    </w:p>
    <w:p w14:paraId="3578693C">
      <w:pPr>
        <w:keepNext w:val="0"/>
        <w:keepLines w:val="0"/>
        <w:pageBreakBefore w:val="0"/>
        <w:widowControl w:val="0"/>
        <w:tabs>
          <w:tab w:val="left" w:pos="0"/>
          <w:tab w:val="left" w:pos="142"/>
        </w:tabs>
        <w:kinsoku/>
        <w:wordWrap/>
        <w:overflowPunct/>
        <w:topLinePunct w:val="0"/>
        <w:autoSpaceDE w:val="0"/>
        <w:autoSpaceDN w:val="0"/>
        <w:bidi w:val="0"/>
        <w:adjustRightInd w:val="0"/>
        <w:snapToGrid/>
        <w:spacing w:line="360" w:lineRule="auto"/>
        <w:ind w:left="0" w:leftChars="0" w:right="0" w:firstLine="420" w:firstLineChars="200"/>
        <w:jc w:val="both"/>
        <w:textAlignment w:val="auto"/>
        <w:rPr>
          <w:rFonts w:hint="eastAsia" w:ascii="宋体" w:hAnsi="宋体" w:eastAsia="宋体" w:cs="宋体"/>
          <w:color w:val="auto"/>
          <w:kern w:val="2"/>
          <w:sz w:val="21"/>
          <w:szCs w:val="21"/>
          <w:highlight w:val="none"/>
          <w:lang w:val="zh-CN"/>
        </w:rPr>
      </w:pPr>
      <w:r>
        <w:rPr>
          <w:rFonts w:hint="eastAsia" w:ascii="宋体" w:hAnsi="宋体" w:cs="宋体"/>
          <w:color w:val="auto"/>
          <w:kern w:val="2"/>
          <w:sz w:val="21"/>
          <w:szCs w:val="21"/>
          <w:highlight w:val="none"/>
          <w:lang w:val="en-US" w:eastAsia="zh-CN"/>
        </w:rPr>
        <w:t>东莞市达盛招标代理有限公司</w:t>
      </w:r>
      <w:r>
        <w:rPr>
          <w:rFonts w:hint="eastAsia" w:ascii="宋体" w:hAnsi="宋体" w:eastAsia="宋体" w:cs="宋体"/>
          <w:color w:val="auto"/>
          <w:kern w:val="2"/>
          <w:sz w:val="21"/>
          <w:szCs w:val="21"/>
          <w:highlight w:val="none"/>
          <w:lang w:val="en-US" w:eastAsia="zh-CN"/>
        </w:rPr>
        <w:t xml:space="preserve"> （以下简称“</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en-US" w:eastAsia="zh-CN"/>
        </w:rPr>
        <w:t>代理机构”）受东莞市众源环境投资有限公司（以下简称“</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en-US" w:eastAsia="zh-CN"/>
        </w:rPr>
        <w:t>人”）的委托，对</w:t>
      </w:r>
      <w:bookmarkStart w:id="3" w:name="_Hlk41903390"/>
      <w:r>
        <w:rPr>
          <w:rFonts w:hint="eastAsia" w:ascii="宋体" w:hAnsi="宋体" w:cs="宋体"/>
          <w:color w:val="auto"/>
          <w:kern w:val="2"/>
          <w:sz w:val="21"/>
          <w:szCs w:val="21"/>
          <w:highlight w:val="none"/>
          <w:lang w:val="en-US" w:eastAsia="zh-CN"/>
        </w:rPr>
        <w:t>东莞市众源环境投资有限公司污水处理厂污泥脱水减量处理服务（BOT权属滨海湾片区）采购项目</w:t>
      </w:r>
      <w:r>
        <w:rPr>
          <w:rFonts w:hint="eastAsia" w:ascii="宋体" w:hAnsi="宋体" w:eastAsia="宋体" w:cs="宋体"/>
          <w:color w:val="auto"/>
          <w:kern w:val="2"/>
          <w:sz w:val="21"/>
          <w:szCs w:val="21"/>
          <w:highlight w:val="none"/>
          <w:lang w:val="en-US" w:eastAsia="zh-CN"/>
        </w:rPr>
        <w:t>(</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en-US" w:eastAsia="zh-CN"/>
        </w:rPr>
        <w:t>编号：</w:t>
      </w:r>
      <w:r>
        <w:rPr>
          <w:rFonts w:hint="eastAsia" w:ascii="宋体" w:hAnsi="宋体" w:cs="宋体"/>
          <w:color w:val="auto"/>
          <w:kern w:val="2"/>
          <w:sz w:val="21"/>
          <w:szCs w:val="21"/>
          <w:highlight w:val="none"/>
          <w:lang w:val="en-US" w:eastAsia="zh-CN"/>
        </w:rPr>
        <w:t xml:space="preserve">DGDS2024-002 </w:t>
      </w:r>
      <w:r>
        <w:rPr>
          <w:rFonts w:hint="eastAsia" w:ascii="宋体" w:hAnsi="宋体" w:eastAsia="宋体" w:cs="宋体"/>
          <w:color w:val="auto"/>
          <w:kern w:val="2"/>
          <w:sz w:val="21"/>
          <w:szCs w:val="21"/>
          <w:highlight w:val="none"/>
          <w:lang w:val="en-US" w:eastAsia="zh-CN"/>
        </w:rPr>
        <w:t>)</w:t>
      </w:r>
      <w:bookmarkEnd w:id="3"/>
      <w:r>
        <w:rPr>
          <w:rFonts w:hint="eastAsia" w:ascii="宋体" w:hAnsi="宋体" w:eastAsia="宋体" w:cs="宋体"/>
          <w:color w:val="auto"/>
          <w:kern w:val="2"/>
          <w:sz w:val="21"/>
          <w:szCs w:val="21"/>
          <w:highlight w:val="none"/>
          <w:lang w:val="en-US" w:eastAsia="zh-CN"/>
        </w:rPr>
        <w:t>进行</w:t>
      </w:r>
      <w:r>
        <w:rPr>
          <w:rFonts w:hint="eastAsia" w:ascii="宋体" w:hAnsi="宋体" w:cs="宋体"/>
          <w:color w:val="auto"/>
          <w:kern w:val="2"/>
          <w:sz w:val="21"/>
          <w:szCs w:val="21"/>
          <w:highlight w:val="none"/>
          <w:lang w:val="en-US" w:eastAsia="zh-CN"/>
        </w:rPr>
        <w:t>竞争性磋商采购</w:t>
      </w:r>
      <w:r>
        <w:rPr>
          <w:rFonts w:hint="eastAsia" w:ascii="宋体" w:hAnsi="宋体" w:eastAsia="宋体" w:cs="宋体"/>
          <w:color w:val="auto"/>
          <w:kern w:val="2"/>
          <w:sz w:val="21"/>
          <w:szCs w:val="21"/>
          <w:highlight w:val="none"/>
          <w:lang w:val="en-US" w:eastAsia="zh-CN"/>
        </w:rPr>
        <w:t>，</w:t>
      </w:r>
      <w:r>
        <w:rPr>
          <w:rFonts w:hint="eastAsia" w:ascii="宋体" w:hAnsi="宋体" w:cs="宋体"/>
          <w:color w:val="auto"/>
          <w:kern w:val="2"/>
          <w:sz w:val="21"/>
          <w:szCs w:val="21"/>
          <w:highlight w:val="none"/>
          <w:lang w:val="en-US" w:eastAsia="zh-CN"/>
        </w:rPr>
        <w:t>详细内容</w:t>
      </w:r>
      <w:r>
        <w:rPr>
          <w:rFonts w:hint="eastAsia" w:ascii="宋体" w:hAnsi="宋体" w:eastAsia="宋体" w:cs="宋体"/>
          <w:color w:val="auto"/>
          <w:kern w:val="2"/>
          <w:sz w:val="21"/>
          <w:szCs w:val="21"/>
          <w:highlight w:val="none"/>
          <w:lang w:val="en-US" w:eastAsia="zh-CN"/>
        </w:rPr>
        <w:t>请参见本</w:t>
      </w:r>
      <w:r>
        <w:rPr>
          <w:rFonts w:hint="eastAsia" w:ascii="宋体" w:hAnsi="宋体" w:cs="宋体"/>
          <w:color w:val="auto"/>
          <w:kern w:val="2"/>
          <w:sz w:val="21"/>
          <w:szCs w:val="21"/>
          <w:highlight w:val="none"/>
          <w:lang w:val="en-US" w:eastAsia="zh-CN"/>
        </w:rPr>
        <w:t>竞争性磋商</w:t>
      </w:r>
      <w:r>
        <w:rPr>
          <w:rFonts w:hint="eastAsia" w:ascii="宋体" w:hAnsi="宋体" w:eastAsia="宋体" w:cs="宋体"/>
          <w:color w:val="auto"/>
          <w:kern w:val="2"/>
          <w:sz w:val="21"/>
          <w:szCs w:val="21"/>
          <w:highlight w:val="none"/>
          <w:lang w:val="en-US" w:eastAsia="zh-CN"/>
        </w:rPr>
        <w:t>文件。欢迎符合条件的合格</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en-US" w:eastAsia="zh-CN"/>
        </w:rPr>
        <w:t>参加，有关事项如下：</w:t>
      </w:r>
    </w:p>
    <w:p w14:paraId="6556FFBC">
      <w:pPr>
        <w:keepNext w:val="0"/>
        <w:keepLines w:val="0"/>
        <w:pageBreakBefore w:val="0"/>
        <w:widowControl w:val="0"/>
        <w:tabs>
          <w:tab w:val="left" w:pos="0"/>
          <w:tab w:val="left" w:pos="142"/>
        </w:tabs>
        <w:kinsoku/>
        <w:wordWrap/>
        <w:overflowPunct/>
        <w:topLinePunct w:val="0"/>
        <w:autoSpaceDE w:val="0"/>
        <w:autoSpaceDN w:val="0"/>
        <w:bidi w:val="0"/>
        <w:adjustRightInd w:val="0"/>
        <w:snapToGrid/>
        <w:spacing w:line="360" w:lineRule="auto"/>
        <w:ind w:left="0" w:leftChars="0" w:right="0" w:firstLine="0" w:firstLineChars="0"/>
        <w:jc w:val="both"/>
        <w:textAlignment w:val="auto"/>
        <w:rPr>
          <w:rFonts w:hint="eastAsia" w:ascii="宋体" w:hAnsi="宋体" w:eastAsia="宋体" w:cs="宋体"/>
          <w:color w:val="auto"/>
          <w:kern w:val="2"/>
          <w:sz w:val="21"/>
          <w:szCs w:val="21"/>
          <w:highlight w:val="none"/>
          <w:lang w:val="zh-CN"/>
        </w:rPr>
      </w:pPr>
    </w:p>
    <w:p w14:paraId="054DCD28">
      <w:pPr>
        <w:keepNext w:val="0"/>
        <w:keepLines w:val="0"/>
        <w:pageBreakBefore w:val="0"/>
        <w:widowControl w:val="0"/>
        <w:tabs>
          <w:tab w:val="left" w:pos="0"/>
        </w:tabs>
        <w:kinsoku/>
        <w:wordWrap/>
        <w:overflowPunct/>
        <w:topLinePunct w:val="0"/>
        <w:autoSpaceDE w:val="0"/>
        <w:autoSpaceDN w:val="0"/>
        <w:bidi w:val="0"/>
        <w:adjustRightInd w:val="0"/>
        <w:snapToGrid/>
        <w:spacing w:line="360" w:lineRule="auto"/>
        <w:ind w:left="0" w:leftChars="0" w:right="0" w:firstLine="0" w:firstLineChars="0"/>
        <w:jc w:val="both"/>
        <w:textAlignment w:val="auto"/>
        <w:rPr>
          <w:rFonts w:hint="eastAsia" w:ascii="宋体" w:hAnsi="宋体" w:eastAsia="宋体" w:cs="宋体"/>
          <w:b/>
          <w:bCs/>
          <w:color w:val="auto"/>
          <w:kern w:val="2"/>
          <w:sz w:val="21"/>
          <w:szCs w:val="21"/>
          <w:highlight w:val="none"/>
          <w:lang w:val="zh-CN"/>
        </w:rPr>
      </w:pPr>
      <w:r>
        <w:rPr>
          <w:rFonts w:hint="eastAsia" w:ascii="宋体" w:hAnsi="宋体" w:cs="宋体"/>
          <w:b/>
          <w:bCs/>
          <w:color w:val="auto"/>
          <w:kern w:val="2"/>
          <w:sz w:val="21"/>
          <w:szCs w:val="21"/>
          <w:highlight w:val="none"/>
          <w:lang w:val="en-US" w:eastAsia="zh-CN"/>
        </w:rPr>
        <w:t>1   采购</w:t>
      </w:r>
      <w:r>
        <w:rPr>
          <w:rFonts w:hint="eastAsia" w:ascii="宋体" w:hAnsi="宋体" w:eastAsia="宋体" w:cs="宋体"/>
          <w:b/>
          <w:bCs/>
          <w:color w:val="auto"/>
          <w:kern w:val="2"/>
          <w:sz w:val="21"/>
          <w:szCs w:val="21"/>
          <w:highlight w:val="none"/>
          <w:lang w:val="zh-CN"/>
        </w:rPr>
        <w:t>范围：</w:t>
      </w:r>
    </w:p>
    <w:p w14:paraId="56C7E7A1">
      <w:pPr>
        <w:keepNext w:val="0"/>
        <w:keepLines w:val="0"/>
        <w:pageBreakBefore w:val="0"/>
        <w:widowControl w:val="0"/>
        <w:tabs>
          <w:tab w:val="left" w:pos="0"/>
        </w:tabs>
        <w:kinsoku/>
        <w:wordWrap/>
        <w:overflowPunct/>
        <w:topLinePunct w:val="0"/>
        <w:autoSpaceDE w:val="0"/>
        <w:autoSpaceDN w:val="0"/>
        <w:bidi w:val="0"/>
        <w:adjustRightInd w:val="0"/>
        <w:snapToGrid/>
        <w:spacing w:line="360" w:lineRule="auto"/>
        <w:ind w:left="0" w:leftChars="0" w:right="0" w:firstLine="420" w:firstLineChars="200"/>
        <w:jc w:val="both"/>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zh-CN"/>
        </w:rPr>
        <w:t>邀请合格</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就下列一个包组或多个包组</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范围内所有内容提交密封</w:t>
      </w:r>
      <w:r>
        <w:rPr>
          <w:rFonts w:hint="eastAsia" w:ascii="宋体" w:hAnsi="宋体" w:cs="宋体"/>
          <w:color w:val="auto"/>
          <w:kern w:val="2"/>
          <w:sz w:val="21"/>
          <w:szCs w:val="21"/>
          <w:highlight w:val="none"/>
          <w:lang w:val="en-US" w:eastAsia="zh-CN"/>
        </w:rPr>
        <w:t>响应文件</w:t>
      </w:r>
    </w:p>
    <w:tbl>
      <w:tblPr>
        <w:tblStyle w:val="56"/>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
        <w:gridCol w:w="1756"/>
        <w:gridCol w:w="1293"/>
        <w:gridCol w:w="1860"/>
        <w:gridCol w:w="3251"/>
        <w:gridCol w:w="1139"/>
      </w:tblGrid>
      <w:tr w14:paraId="0C37F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467" w:type="dxa"/>
            <w:vAlign w:val="center"/>
          </w:tcPr>
          <w:p w14:paraId="1E47556B">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包组号</w:t>
            </w:r>
          </w:p>
        </w:tc>
        <w:tc>
          <w:tcPr>
            <w:tcW w:w="1756" w:type="dxa"/>
            <w:vAlign w:val="center"/>
          </w:tcPr>
          <w:p w14:paraId="770784B6">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脱水减量化项目名称</w:t>
            </w:r>
          </w:p>
        </w:tc>
        <w:tc>
          <w:tcPr>
            <w:tcW w:w="1293" w:type="dxa"/>
            <w:vAlign w:val="center"/>
          </w:tcPr>
          <w:p w14:paraId="407FF4D4">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服务内容</w:t>
            </w:r>
          </w:p>
        </w:tc>
        <w:tc>
          <w:tcPr>
            <w:tcW w:w="1860" w:type="dxa"/>
            <w:vAlign w:val="center"/>
          </w:tcPr>
          <w:p w14:paraId="54815D16">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预估年度污泥处理量（按含水率80%的湿泥计，吨）</w:t>
            </w:r>
          </w:p>
        </w:tc>
        <w:tc>
          <w:tcPr>
            <w:tcW w:w="3251" w:type="dxa"/>
            <w:vAlign w:val="center"/>
          </w:tcPr>
          <w:p w14:paraId="0E971F89">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地址</w:t>
            </w:r>
          </w:p>
        </w:tc>
        <w:tc>
          <w:tcPr>
            <w:tcW w:w="1139" w:type="dxa"/>
            <w:vAlign w:val="center"/>
          </w:tcPr>
          <w:p w14:paraId="07331C7C">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服务期</w:t>
            </w:r>
          </w:p>
        </w:tc>
      </w:tr>
      <w:tr w14:paraId="1B01F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67" w:type="dxa"/>
            <w:vAlign w:val="center"/>
          </w:tcPr>
          <w:p w14:paraId="01B7CEBD">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A</w:t>
            </w:r>
          </w:p>
        </w:tc>
        <w:tc>
          <w:tcPr>
            <w:tcW w:w="1756" w:type="dxa"/>
            <w:vAlign w:val="center"/>
          </w:tcPr>
          <w:p w14:paraId="44C4598E">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长安锦厦三洲厂</w:t>
            </w:r>
          </w:p>
        </w:tc>
        <w:tc>
          <w:tcPr>
            <w:tcW w:w="1293" w:type="dxa"/>
            <w:vMerge w:val="restart"/>
            <w:vAlign w:val="center"/>
          </w:tcPr>
          <w:p w14:paraId="57A93BFF">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由服务单位在</w:t>
            </w:r>
            <w:r>
              <w:rPr>
                <w:rFonts w:hint="eastAsia" w:ascii="宋体" w:hAnsi="宋体" w:eastAsia="宋体" w:cs="宋体"/>
                <w:color w:val="000000" w:themeColor="text1"/>
                <w:sz w:val="21"/>
                <w:szCs w:val="21"/>
                <w14:textFill>
                  <w14:solidFill>
                    <w14:schemeClr w14:val="tx1"/>
                  </w14:solidFill>
                </w14:textFill>
              </w:rPr>
              <w:t>污水处理厂</w:t>
            </w:r>
            <w:r>
              <w:rPr>
                <w:rFonts w:hint="eastAsia" w:ascii="宋体" w:hAnsi="宋体" w:eastAsia="宋体" w:cs="宋体"/>
                <w:color w:val="000000" w:themeColor="text1"/>
                <w:sz w:val="21"/>
                <w:szCs w:val="21"/>
                <w:lang w:val="en-US" w:eastAsia="zh-CN"/>
                <w14:textFill>
                  <w14:solidFill>
                    <w14:schemeClr w14:val="tx1"/>
                  </w14:solidFill>
                </w14:textFill>
              </w:rPr>
              <w:t>内</w:t>
            </w:r>
            <w:r>
              <w:rPr>
                <w:rFonts w:hint="eastAsia" w:ascii="宋体" w:hAnsi="宋体" w:eastAsia="宋体" w:cs="宋体"/>
                <w:color w:val="000000" w:themeColor="text1"/>
                <w:sz w:val="21"/>
                <w:szCs w:val="21"/>
                <w14:textFill>
                  <w14:solidFill>
                    <w14:schemeClr w14:val="tx1"/>
                  </w14:solidFill>
                </w14:textFill>
              </w:rPr>
              <w:t>实施污泥脱水减量化服务</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zh-CN"/>
                <w14:textFill>
                  <w14:solidFill>
                    <w14:schemeClr w14:val="tx1"/>
                  </w14:solidFill>
                </w14:textFill>
              </w:rPr>
              <w:t>将</w:t>
            </w:r>
            <w:r>
              <w:rPr>
                <w:rFonts w:hint="eastAsia" w:ascii="宋体" w:hAnsi="宋体" w:eastAsia="宋体" w:cs="宋体"/>
                <w:color w:val="000000" w:themeColor="text1"/>
                <w:sz w:val="21"/>
                <w:szCs w:val="21"/>
                <w:lang w:val="en-US" w:eastAsia="zh-CN"/>
                <w14:textFill>
                  <w14:solidFill>
                    <w14:schemeClr w14:val="tx1"/>
                  </w14:solidFill>
                </w14:textFill>
              </w:rPr>
              <w:t>从污水厂储泥池或沉淀池抽取的污泥</w:t>
            </w:r>
            <w:r>
              <w:rPr>
                <w:rFonts w:hint="eastAsia" w:ascii="宋体" w:hAnsi="宋体" w:eastAsia="宋体" w:cs="宋体"/>
                <w:color w:val="000000" w:themeColor="text1"/>
                <w:sz w:val="21"/>
                <w:szCs w:val="21"/>
                <w:lang w:val="zh-CN"/>
                <w14:textFill>
                  <w14:solidFill>
                    <w14:schemeClr w14:val="tx1"/>
                  </w14:solidFill>
                </w14:textFill>
              </w:rPr>
              <w:t>脱水减量</w:t>
            </w:r>
            <w:r>
              <w:rPr>
                <w:rFonts w:hint="eastAsia" w:ascii="宋体" w:hAnsi="宋体" w:eastAsia="宋体" w:cs="宋体"/>
                <w:color w:val="000000" w:themeColor="text1"/>
                <w:sz w:val="21"/>
                <w:szCs w:val="21"/>
                <w:lang w:val="en-US" w:eastAsia="zh-CN"/>
                <w14:textFill>
                  <w14:solidFill>
                    <w14:schemeClr w14:val="tx1"/>
                  </w14:solidFill>
                </w14:textFill>
              </w:rPr>
              <w:t>至</w:t>
            </w:r>
            <w:r>
              <w:rPr>
                <w:rFonts w:hint="eastAsia" w:ascii="宋体" w:hAnsi="宋体" w:eastAsia="宋体" w:cs="宋体"/>
                <w:color w:val="000000" w:themeColor="text1"/>
                <w:sz w:val="21"/>
                <w:szCs w:val="21"/>
                <w:lang w:val="zh-CN"/>
                <w14:textFill>
                  <w14:solidFill>
                    <w14:schemeClr w14:val="tx1"/>
                  </w14:solidFill>
                </w14:textFill>
              </w:rPr>
              <w:t>含水率</w:t>
            </w:r>
            <w:r>
              <w:rPr>
                <w:rFonts w:hint="eastAsia" w:ascii="宋体" w:hAnsi="宋体" w:eastAsia="宋体" w:cs="宋体"/>
                <w:color w:val="000000" w:themeColor="text1"/>
                <w:sz w:val="21"/>
                <w:szCs w:val="21"/>
                <w:lang w:val="en-US" w:eastAsia="zh-CN"/>
                <w14:textFill>
                  <w14:solidFill>
                    <w14:schemeClr w14:val="tx1"/>
                  </w14:solidFill>
                </w14:textFill>
              </w:rPr>
              <w:t>不高于55%的半干化泥粉。</w:t>
            </w:r>
          </w:p>
        </w:tc>
        <w:tc>
          <w:tcPr>
            <w:tcW w:w="1860" w:type="dxa"/>
            <w:vAlign w:val="center"/>
          </w:tcPr>
          <w:p w14:paraId="770D9012">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54,750</w:t>
            </w:r>
          </w:p>
        </w:tc>
        <w:tc>
          <w:tcPr>
            <w:tcW w:w="3251" w:type="dxa"/>
            <w:vAlign w:val="center"/>
          </w:tcPr>
          <w:p w14:paraId="24C581C9">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长安镇锦厦三洲路2号</w:t>
            </w:r>
          </w:p>
        </w:tc>
        <w:tc>
          <w:tcPr>
            <w:tcW w:w="1139" w:type="dxa"/>
            <w:vMerge w:val="restart"/>
            <w:vAlign w:val="center"/>
          </w:tcPr>
          <w:p w14:paraId="04D2ABFD">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自</w:t>
            </w:r>
            <w:r>
              <w:rPr>
                <w:rFonts w:hint="eastAsia" w:ascii="宋体" w:hAnsi="宋体" w:cs="宋体"/>
                <w:color w:val="000000" w:themeColor="text1"/>
                <w:sz w:val="21"/>
                <w:szCs w:val="21"/>
                <w:lang w:val="en-US" w:eastAsia="zh-CN"/>
                <w14:textFill>
                  <w14:solidFill>
                    <w14:schemeClr w14:val="tx1"/>
                  </w14:solidFill>
                </w14:textFill>
              </w:rPr>
              <w:t>采购</w:t>
            </w:r>
            <w:r>
              <w:rPr>
                <w:rFonts w:hint="eastAsia" w:ascii="宋体" w:hAnsi="宋体" w:eastAsia="宋体" w:cs="宋体"/>
                <w:color w:val="000000" w:themeColor="text1"/>
                <w:sz w:val="21"/>
                <w:szCs w:val="21"/>
                <w:lang w:val="en-US" w:eastAsia="zh-CN"/>
                <w14:textFill>
                  <w14:solidFill>
                    <w14:schemeClr w14:val="tx1"/>
                  </w14:solidFill>
                </w14:textFill>
              </w:rPr>
              <w:t>人发出《进场通知书》之日起至</w:t>
            </w:r>
            <w:r>
              <w:rPr>
                <w:rFonts w:hint="eastAsia" w:ascii="宋体" w:hAnsi="宋体" w:cs="宋体"/>
                <w:color w:val="000000" w:themeColor="text1"/>
                <w:sz w:val="21"/>
                <w:szCs w:val="21"/>
                <w:lang w:val="en-US" w:eastAsia="zh-CN"/>
                <w14:textFill>
                  <w14:solidFill>
                    <w14:schemeClr w14:val="tx1"/>
                  </w14:solidFill>
                </w14:textFill>
              </w:rPr>
              <w:t>2026年1月4日止</w:t>
            </w:r>
            <w:r>
              <w:rPr>
                <w:rFonts w:hint="eastAsia" w:ascii="宋体" w:hAnsi="宋体" w:eastAsia="宋体" w:cs="宋体"/>
                <w:color w:val="000000" w:themeColor="text1"/>
                <w:sz w:val="21"/>
                <w:szCs w:val="21"/>
                <w:lang w:val="en-US" w:eastAsia="zh-CN"/>
                <w14:textFill>
                  <w14:solidFill>
                    <w14:schemeClr w14:val="tx1"/>
                  </w14:solidFill>
                </w14:textFill>
              </w:rPr>
              <w:t>。</w:t>
            </w:r>
          </w:p>
        </w:tc>
      </w:tr>
      <w:tr w14:paraId="1B657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467" w:type="dxa"/>
            <w:vAlign w:val="center"/>
          </w:tcPr>
          <w:p w14:paraId="4D8664AD">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B</w:t>
            </w:r>
          </w:p>
        </w:tc>
        <w:tc>
          <w:tcPr>
            <w:tcW w:w="1756" w:type="dxa"/>
            <w:vAlign w:val="center"/>
          </w:tcPr>
          <w:p w14:paraId="64D9DEEC">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厚街沙塘一期</w:t>
            </w:r>
          </w:p>
        </w:tc>
        <w:tc>
          <w:tcPr>
            <w:tcW w:w="1293" w:type="dxa"/>
            <w:vMerge w:val="continue"/>
            <w:vAlign w:val="center"/>
          </w:tcPr>
          <w:p w14:paraId="52258C36">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000000" w:themeColor="text1"/>
                <w:sz w:val="21"/>
                <w:szCs w:val="21"/>
                <w:lang w:val="en-US" w:eastAsia="zh-CN"/>
                <w14:textFill>
                  <w14:solidFill>
                    <w14:schemeClr w14:val="tx1"/>
                  </w14:solidFill>
                </w14:textFill>
              </w:rPr>
            </w:pPr>
          </w:p>
        </w:tc>
        <w:tc>
          <w:tcPr>
            <w:tcW w:w="1860" w:type="dxa"/>
            <w:vAlign w:val="center"/>
          </w:tcPr>
          <w:p w14:paraId="7F7414FA">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36,500</w:t>
            </w:r>
          </w:p>
        </w:tc>
        <w:tc>
          <w:tcPr>
            <w:tcW w:w="3251" w:type="dxa"/>
            <w:vAlign w:val="center"/>
          </w:tcPr>
          <w:p w14:paraId="464E4BC2">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厚街镇沙塘村东引河南岸</w:t>
            </w:r>
          </w:p>
        </w:tc>
        <w:tc>
          <w:tcPr>
            <w:tcW w:w="1139" w:type="dxa"/>
            <w:vMerge w:val="continue"/>
          </w:tcPr>
          <w:p w14:paraId="3C12B2C9">
            <w:pPr>
              <w:keepNext w:val="0"/>
              <w:keepLines w:val="0"/>
              <w:suppressLineNumbers w:val="0"/>
              <w:snapToGrid w:val="0"/>
              <w:spacing w:before="0" w:beforeAutospacing="0" w:after="0" w:afterAutospacing="0" w:line="240" w:lineRule="auto"/>
              <w:ind w:left="0" w:right="0"/>
              <w:outlineLvl w:val="9"/>
              <w:rPr>
                <w:rFonts w:hint="eastAsia" w:ascii="宋体" w:hAnsi="宋体" w:eastAsia="宋体" w:cs="宋体"/>
                <w:color w:val="000000" w:themeColor="text1"/>
                <w:sz w:val="21"/>
                <w:szCs w:val="21"/>
                <w14:textFill>
                  <w14:solidFill>
                    <w14:schemeClr w14:val="tx1"/>
                  </w14:solidFill>
                </w14:textFill>
              </w:rPr>
            </w:pPr>
          </w:p>
        </w:tc>
      </w:tr>
      <w:tr w14:paraId="30D4E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467" w:type="dxa"/>
            <w:vAlign w:val="center"/>
          </w:tcPr>
          <w:p w14:paraId="5F9CC909">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C</w:t>
            </w:r>
          </w:p>
        </w:tc>
        <w:tc>
          <w:tcPr>
            <w:tcW w:w="1756" w:type="dxa"/>
            <w:vAlign w:val="center"/>
          </w:tcPr>
          <w:p w14:paraId="0A085338">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虎门宁洲一期</w:t>
            </w:r>
          </w:p>
        </w:tc>
        <w:tc>
          <w:tcPr>
            <w:tcW w:w="1293" w:type="dxa"/>
            <w:vMerge w:val="continue"/>
            <w:vAlign w:val="center"/>
          </w:tcPr>
          <w:p w14:paraId="196AE865">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000000" w:themeColor="text1"/>
                <w:sz w:val="21"/>
                <w:szCs w:val="21"/>
                <w:lang w:val="en-US" w:eastAsia="zh-CN"/>
                <w14:textFill>
                  <w14:solidFill>
                    <w14:schemeClr w14:val="tx1"/>
                  </w14:solidFill>
                </w14:textFill>
              </w:rPr>
            </w:pPr>
          </w:p>
        </w:tc>
        <w:tc>
          <w:tcPr>
            <w:tcW w:w="1860" w:type="dxa"/>
            <w:vAlign w:val="center"/>
          </w:tcPr>
          <w:p w14:paraId="142B1618">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36,500</w:t>
            </w:r>
          </w:p>
        </w:tc>
        <w:tc>
          <w:tcPr>
            <w:tcW w:w="3251" w:type="dxa"/>
            <w:vAlign w:val="center"/>
          </w:tcPr>
          <w:p w14:paraId="49BFBE9F">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虎门镇南栅第六工业区民昌路十巷5号</w:t>
            </w:r>
          </w:p>
        </w:tc>
        <w:tc>
          <w:tcPr>
            <w:tcW w:w="1139" w:type="dxa"/>
            <w:vMerge w:val="continue"/>
          </w:tcPr>
          <w:p w14:paraId="1397986A">
            <w:pPr>
              <w:keepNext w:val="0"/>
              <w:keepLines w:val="0"/>
              <w:suppressLineNumbers w:val="0"/>
              <w:snapToGrid w:val="0"/>
              <w:spacing w:before="0" w:beforeAutospacing="0" w:after="0" w:afterAutospacing="0" w:line="240" w:lineRule="auto"/>
              <w:ind w:left="0" w:right="0"/>
              <w:outlineLvl w:val="9"/>
              <w:rPr>
                <w:rFonts w:hint="eastAsia" w:ascii="宋体" w:hAnsi="宋体" w:eastAsia="宋体" w:cs="宋体"/>
                <w:color w:val="000000" w:themeColor="text1"/>
                <w:sz w:val="21"/>
                <w:szCs w:val="21"/>
                <w14:textFill>
                  <w14:solidFill>
                    <w14:schemeClr w14:val="tx1"/>
                  </w14:solidFill>
                </w14:textFill>
              </w:rPr>
            </w:pPr>
          </w:p>
        </w:tc>
      </w:tr>
      <w:tr w14:paraId="028C4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467" w:type="dxa"/>
            <w:vAlign w:val="center"/>
          </w:tcPr>
          <w:p w14:paraId="0ED588A5">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D</w:t>
            </w:r>
          </w:p>
        </w:tc>
        <w:tc>
          <w:tcPr>
            <w:tcW w:w="1756" w:type="dxa"/>
            <w:vAlign w:val="center"/>
          </w:tcPr>
          <w:p w14:paraId="7B93A4A3">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沙田福禄沙厂</w:t>
            </w:r>
          </w:p>
        </w:tc>
        <w:tc>
          <w:tcPr>
            <w:tcW w:w="1293" w:type="dxa"/>
            <w:vMerge w:val="continue"/>
            <w:vAlign w:val="center"/>
          </w:tcPr>
          <w:p w14:paraId="1E01BFD0">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000000" w:themeColor="text1"/>
                <w:sz w:val="21"/>
                <w:szCs w:val="21"/>
                <w:lang w:val="en-US" w:eastAsia="zh-CN"/>
                <w14:textFill>
                  <w14:solidFill>
                    <w14:schemeClr w14:val="tx1"/>
                  </w14:solidFill>
                </w14:textFill>
              </w:rPr>
            </w:pPr>
          </w:p>
        </w:tc>
        <w:tc>
          <w:tcPr>
            <w:tcW w:w="1860" w:type="dxa"/>
            <w:vAlign w:val="center"/>
          </w:tcPr>
          <w:p w14:paraId="17ACB1AD">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14,600</w:t>
            </w:r>
          </w:p>
        </w:tc>
        <w:tc>
          <w:tcPr>
            <w:tcW w:w="3251" w:type="dxa"/>
            <w:vAlign w:val="center"/>
          </w:tcPr>
          <w:p w14:paraId="084646F7">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沙田镇福禄沙村</w:t>
            </w:r>
          </w:p>
        </w:tc>
        <w:tc>
          <w:tcPr>
            <w:tcW w:w="1139" w:type="dxa"/>
            <w:vMerge w:val="continue"/>
          </w:tcPr>
          <w:p w14:paraId="04EA0C64">
            <w:pPr>
              <w:keepNext w:val="0"/>
              <w:keepLines w:val="0"/>
              <w:suppressLineNumbers w:val="0"/>
              <w:snapToGrid w:val="0"/>
              <w:spacing w:before="0" w:beforeAutospacing="0" w:after="0" w:afterAutospacing="0" w:line="240" w:lineRule="auto"/>
              <w:ind w:left="0" w:right="0"/>
              <w:outlineLvl w:val="9"/>
              <w:rPr>
                <w:rFonts w:hint="eastAsia" w:ascii="宋体" w:hAnsi="宋体" w:eastAsia="宋体" w:cs="宋体"/>
                <w:color w:val="000000" w:themeColor="text1"/>
                <w:sz w:val="21"/>
                <w:szCs w:val="21"/>
                <w14:textFill>
                  <w14:solidFill>
                    <w14:schemeClr w14:val="tx1"/>
                  </w14:solidFill>
                </w14:textFill>
              </w:rPr>
            </w:pPr>
          </w:p>
        </w:tc>
      </w:tr>
      <w:tr w14:paraId="5AC11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467" w:type="dxa"/>
            <w:vAlign w:val="center"/>
          </w:tcPr>
          <w:p w14:paraId="75BCBFEB">
            <w:pPr>
              <w:keepNext w:val="0"/>
              <w:keepLines w:val="0"/>
              <w:suppressLineNumbers w:val="0"/>
              <w:snapToGrid w:val="0"/>
              <w:spacing w:before="0" w:beforeAutospacing="0" w:after="0" w:afterAutospacing="0" w:line="240" w:lineRule="auto"/>
              <w:ind w:left="0" w:right="0"/>
              <w:jc w:val="center"/>
              <w:outlineLvl w:val="9"/>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E</w:t>
            </w:r>
          </w:p>
        </w:tc>
        <w:tc>
          <w:tcPr>
            <w:tcW w:w="1756" w:type="dxa"/>
            <w:vAlign w:val="center"/>
          </w:tcPr>
          <w:p w14:paraId="7AD740DA">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东城牛山一期</w:t>
            </w:r>
          </w:p>
        </w:tc>
        <w:tc>
          <w:tcPr>
            <w:tcW w:w="1293" w:type="dxa"/>
            <w:vMerge w:val="continue"/>
            <w:vAlign w:val="center"/>
          </w:tcPr>
          <w:p w14:paraId="15720CBA">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000000" w:themeColor="text1"/>
                <w:sz w:val="21"/>
                <w:szCs w:val="21"/>
                <w:lang w:val="en-US" w:eastAsia="zh-CN"/>
                <w14:textFill>
                  <w14:solidFill>
                    <w14:schemeClr w14:val="tx1"/>
                  </w14:solidFill>
                </w14:textFill>
              </w:rPr>
            </w:pPr>
          </w:p>
        </w:tc>
        <w:tc>
          <w:tcPr>
            <w:tcW w:w="1860" w:type="dxa"/>
            <w:vAlign w:val="center"/>
          </w:tcPr>
          <w:p w14:paraId="5AF5BCD4">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10,950</w:t>
            </w:r>
          </w:p>
        </w:tc>
        <w:tc>
          <w:tcPr>
            <w:tcW w:w="3251" w:type="dxa"/>
            <w:vAlign w:val="center"/>
          </w:tcPr>
          <w:p w14:paraId="4E9D0174">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东城牛山老围村工业区象山路7号</w:t>
            </w:r>
          </w:p>
        </w:tc>
        <w:tc>
          <w:tcPr>
            <w:tcW w:w="1139" w:type="dxa"/>
            <w:vMerge w:val="continue"/>
          </w:tcPr>
          <w:p w14:paraId="5F054499">
            <w:pPr>
              <w:keepNext w:val="0"/>
              <w:keepLines w:val="0"/>
              <w:suppressLineNumbers w:val="0"/>
              <w:snapToGrid w:val="0"/>
              <w:spacing w:before="0" w:beforeAutospacing="0" w:after="0" w:afterAutospacing="0" w:line="240" w:lineRule="auto"/>
              <w:ind w:left="0" w:right="0"/>
              <w:outlineLvl w:val="9"/>
              <w:rPr>
                <w:rFonts w:hint="eastAsia" w:ascii="宋体" w:hAnsi="宋体" w:eastAsia="宋体" w:cs="宋体"/>
                <w:color w:val="000000" w:themeColor="text1"/>
                <w:sz w:val="21"/>
                <w:szCs w:val="21"/>
                <w14:textFill>
                  <w14:solidFill>
                    <w14:schemeClr w14:val="tx1"/>
                  </w14:solidFill>
                </w14:textFill>
              </w:rPr>
            </w:pPr>
          </w:p>
        </w:tc>
      </w:tr>
    </w:tbl>
    <w:p w14:paraId="4A510A10">
      <w:pPr>
        <w:keepNext w:val="0"/>
        <w:keepLines w:val="0"/>
        <w:pageBreakBefore w:val="0"/>
        <w:widowControl w:val="0"/>
        <w:tabs>
          <w:tab w:val="left" w:pos="0"/>
        </w:tabs>
        <w:kinsoku/>
        <w:wordWrap/>
        <w:overflowPunct/>
        <w:topLinePunct w:val="0"/>
        <w:autoSpaceDE w:val="0"/>
        <w:autoSpaceDN w:val="0"/>
        <w:bidi w:val="0"/>
        <w:adjustRightInd w:val="0"/>
        <w:snapToGrid/>
        <w:spacing w:line="360" w:lineRule="auto"/>
        <w:ind w:left="0" w:leftChars="0" w:right="0" w:firstLine="0" w:firstLineChars="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备注：</w:t>
      </w:r>
    </w:p>
    <w:p w14:paraId="4FE46260">
      <w:pPr>
        <w:keepNext w:val="0"/>
        <w:keepLines w:val="0"/>
        <w:pageBreakBefore w:val="0"/>
        <w:widowControl w:val="0"/>
        <w:tabs>
          <w:tab w:val="left" w:pos="0"/>
        </w:tabs>
        <w:kinsoku/>
        <w:wordWrap/>
        <w:overflowPunct/>
        <w:topLinePunct w:val="0"/>
        <w:autoSpaceDE w:val="0"/>
        <w:autoSpaceDN w:val="0"/>
        <w:bidi w:val="0"/>
        <w:adjustRightInd w:val="0"/>
        <w:snapToGrid/>
        <w:spacing w:line="360" w:lineRule="auto"/>
        <w:ind w:left="0" w:leftChars="0" w:right="0" w:firstLine="0" w:firstLineChars="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（1）同一个</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rPr>
        <w:t>可</w:t>
      </w:r>
      <w:r>
        <w:rPr>
          <w:rFonts w:hint="eastAsia" w:ascii="宋体" w:hAnsi="宋体" w:cs="宋体"/>
          <w:color w:val="auto"/>
          <w:kern w:val="2"/>
          <w:sz w:val="21"/>
          <w:szCs w:val="21"/>
          <w:highlight w:val="none"/>
          <w:lang w:val="en-US" w:eastAsia="zh-CN"/>
        </w:rPr>
        <w:t>申请参加本项目的一个或多个包组的竞争性磋商，也可以成为本项目</w:t>
      </w:r>
      <w:r>
        <w:rPr>
          <w:rFonts w:hint="eastAsia" w:ascii="宋体" w:hAnsi="宋体" w:eastAsia="宋体" w:cs="宋体"/>
          <w:color w:val="auto"/>
          <w:kern w:val="2"/>
          <w:sz w:val="21"/>
          <w:szCs w:val="21"/>
          <w:highlight w:val="none"/>
        </w:rPr>
        <w:t>多个</w:t>
      </w:r>
      <w:r>
        <w:rPr>
          <w:rFonts w:hint="eastAsia" w:ascii="宋体" w:hAnsi="宋体" w:eastAsia="宋体" w:cs="宋体"/>
          <w:color w:val="auto"/>
          <w:kern w:val="2"/>
          <w:sz w:val="21"/>
          <w:szCs w:val="21"/>
          <w:highlight w:val="none"/>
          <w:lang w:eastAsia="zh-CN"/>
        </w:rPr>
        <w:t>包组</w:t>
      </w:r>
    </w:p>
    <w:p w14:paraId="6AF92706">
      <w:pPr>
        <w:keepNext w:val="0"/>
        <w:keepLines w:val="0"/>
        <w:pageBreakBefore w:val="0"/>
        <w:widowControl w:val="0"/>
        <w:tabs>
          <w:tab w:val="left" w:pos="0"/>
        </w:tabs>
        <w:kinsoku/>
        <w:wordWrap/>
        <w:overflowPunct/>
        <w:topLinePunct w:val="0"/>
        <w:autoSpaceDE w:val="0"/>
        <w:autoSpaceDN w:val="0"/>
        <w:bidi w:val="0"/>
        <w:adjustRightInd w:val="0"/>
        <w:snapToGrid/>
        <w:spacing w:line="360" w:lineRule="auto"/>
        <w:ind w:left="480" w:leftChars="200" w:right="0" w:firstLine="0" w:firstLineChars="0"/>
        <w:jc w:val="both"/>
        <w:textAlignment w:val="auto"/>
        <w:rPr>
          <w:rFonts w:hint="eastAsia" w:ascii="宋体" w:hAnsi="宋体" w:eastAsia="宋体" w:cs="宋体"/>
          <w:color w:val="auto"/>
          <w:kern w:val="2"/>
          <w:sz w:val="21"/>
          <w:szCs w:val="21"/>
          <w:highlight w:val="none"/>
        </w:rPr>
      </w:pPr>
      <w:r>
        <w:rPr>
          <w:rFonts w:hint="eastAsia" w:ascii="宋体" w:hAnsi="宋体" w:cs="宋体"/>
          <w:color w:val="auto"/>
          <w:kern w:val="2"/>
          <w:sz w:val="21"/>
          <w:szCs w:val="21"/>
          <w:highlight w:val="none"/>
          <w:lang w:val="en-US" w:eastAsia="zh-CN"/>
        </w:rPr>
        <w:t>成交人</w:t>
      </w:r>
      <w:r>
        <w:rPr>
          <w:rFonts w:hint="eastAsia" w:ascii="宋体" w:hAnsi="宋体" w:eastAsia="宋体" w:cs="宋体"/>
          <w:color w:val="auto"/>
          <w:kern w:val="2"/>
          <w:sz w:val="21"/>
          <w:szCs w:val="21"/>
          <w:highlight w:val="none"/>
        </w:rPr>
        <w:t>。</w:t>
      </w:r>
    </w:p>
    <w:p w14:paraId="44AF8622">
      <w:pPr>
        <w:keepNext w:val="0"/>
        <w:keepLines w:val="0"/>
        <w:pageBreakBefore w:val="0"/>
        <w:widowControl w:val="0"/>
        <w:tabs>
          <w:tab w:val="left" w:pos="0"/>
        </w:tabs>
        <w:kinsoku/>
        <w:wordWrap/>
        <w:overflowPunct/>
        <w:topLinePunct w:val="0"/>
        <w:autoSpaceDE w:val="0"/>
        <w:autoSpaceDN w:val="0"/>
        <w:bidi w:val="0"/>
        <w:adjustRightInd w:val="0"/>
        <w:snapToGrid/>
        <w:spacing w:line="360" w:lineRule="auto"/>
        <w:ind w:left="0" w:leftChars="0" w:right="0" w:firstLine="0" w:firstLineChars="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（2）要求每个</w:t>
      </w:r>
      <w:r>
        <w:rPr>
          <w:rFonts w:hint="eastAsia" w:ascii="宋体" w:hAnsi="宋体" w:eastAsia="宋体" w:cs="宋体"/>
          <w:color w:val="auto"/>
          <w:kern w:val="2"/>
          <w:sz w:val="21"/>
          <w:szCs w:val="21"/>
          <w:highlight w:val="none"/>
          <w:lang w:eastAsia="zh-CN"/>
        </w:rPr>
        <w:t>包组</w:t>
      </w:r>
      <w:r>
        <w:rPr>
          <w:rFonts w:hint="eastAsia" w:ascii="宋体" w:hAnsi="宋体" w:eastAsia="宋体" w:cs="宋体"/>
          <w:color w:val="auto"/>
          <w:kern w:val="2"/>
          <w:sz w:val="21"/>
          <w:szCs w:val="21"/>
          <w:highlight w:val="none"/>
        </w:rPr>
        <w:t>独立编制、密封、标明</w:t>
      </w:r>
      <w:r>
        <w:rPr>
          <w:rFonts w:hint="eastAsia" w:ascii="宋体" w:hAnsi="宋体" w:eastAsia="宋体" w:cs="宋体"/>
          <w:color w:val="auto"/>
          <w:kern w:val="2"/>
          <w:sz w:val="21"/>
          <w:szCs w:val="21"/>
          <w:highlight w:val="none"/>
          <w:lang w:eastAsia="zh-CN"/>
        </w:rPr>
        <w:t>包组</w:t>
      </w:r>
      <w:r>
        <w:rPr>
          <w:rFonts w:hint="eastAsia" w:ascii="宋体" w:hAnsi="宋体" w:eastAsia="宋体" w:cs="宋体"/>
          <w:color w:val="auto"/>
          <w:kern w:val="2"/>
          <w:sz w:val="21"/>
          <w:szCs w:val="21"/>
          <w:highlight w:val="none"/>
        </w:rPr>
        <w:t>号提交</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rPr>
        <w:t>文件。</w:t>
      </w:r>
    </w:p>
    <w:p w14:paraId="4DBFCD18">
      <w:pPr>
        <w:keepNext w:val="0"/>
        <w:keepLines w:val="0"/>
        <w:pageBreakBefore w:val="0"/>
        <w:widowControl w:val="0"/>
        <w:tabs>
          <w:tab w:val="left" w:pos="0"/>
        </w:tabs>
        <w:kinsoku/>
        <w:wordWrap/>
        <w:overflowPunct/>
        <w:topLinePunct w:val="0"/>
        <w:autoSpaceDE w:val="0"/>
        <w:autoSpaceDN w:val="0"/>
        <w:bidi w:val="0"/>
        <w:adjustRightInd w:val="0"/>
        <w:snapToGrid/>
        <w:spacing w:line="360" w:lineRule="auto"/>
        <w:ind w:left="0" w:leftChars="0" w:right="0" w:firstLine="0" w:firstLineChars="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（3）如无特殊说明，</w:t>
      </w:r>
      <w:r>
        <w:rPr>
          <w:rFonts w:hint="eastAsia" w:ascii="宋体" w:hAnsi="宋体" w:cs="宋体"/>
          <w:color w:val="auto"/>
          <w:kern w:val="2"/>
          <w:sz w:val="21"/>
          <w:szCs w:val="21"/>
          <w:highlight w:val="none"/>
          <w:lang w:val="en-US" w:eastAsia="zh-CN"/>
        </w:rPr>
        <w:t>竞争性磋商</w:t>
      </w:r>
      <w:r>
        <w:rPr>
          <w:rFonts w:hint="eastAsia" w:ascii="宋体" w:hAnsi="宋体" w:eastAsia="宋体" w:cs="宋体"/>
          <w:color w:val="auto"/>
          <w:kern w:val="2"/>
          <w:sz w:val="21"/>
          <w:szCs w:val="21"/>
          <w:highlight w:val="none"/>
        </w:rPr>
        <w:t>文件规定的条款同时适用所有</w:t>
      </w:r>
      <w:r>
        <w:rPr>
          <w:rFonts w:hint="eastAsia" w:ascii="宋体" w:hAnsi="宋体" w:eastAsia="宋体" w:cs="宋体"/>
          <w:color w:val="auto"/>
          <w:kern w:val="2"/>
          <w:sz w:val="21"/>
          <w:szCs w:val="21"/>
          <w:highlight w:val="none"/>
          <w:lang w:eastAsia="zh-CN"/>
        </w:rPr>
        <w:t>包组</w:t>
      </w:r>
      <w:r>
        <w:rPr>
          <w:rFonts w:hint="eastAsia" w:ascii="宋体" w:hAnsi="宋体" w:eastAsia="宋体" w:cs="宋体"/>
          <w:color w:val="auto"/>
          <w:kern w:val="2"/>
          <w:sz w:val="21"/>
          <w:szCs w:val="21"/>
          <w:highlight w:val="none"/>
        </w:rPr>
        <w:t>。（具体内容详见：第三篇用户</w:t>
      </w:r>
    </w:p>
    <w:p w14:paraId="7F92C2EE">
      <w:pPr>
        <w:keepNext w:val="0"/>
        <w:keepLines w:val="0"/>
        <w:pageBreakBefore w:val="0"/>
        <w:widowControl w:val="0"/>
        <w:tabs>
          <w:tab w:val="left" w:pos="0"/>
        </w:tabs>
        <w:kinsoku/>
        <w:wordWrap/>
        <w:overflowPunct/>
        <w:topLinePunct w:val="0"/>
        <w:autoSpaceDE w:val="0"/>
        <w:autoSpaceDN w:val="0"/>
        <w:bidi w:val="0"/>
        <w:adjustRightInd w:val="0"/>
        <w:snapToGrid/>
        <w:spacing w:line="360" w:lineRule="auto"/>
        <w:ind w:left="480" w:leftChars="200" w:right="0"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rPr>
        <w:t>需求书）</w:t>
      </w:r>
    </w:p>
    <w:p w14:paraId="07F3F79F">
      <w:pPr>
        <w:tabs>
          <w:tab w:val="left" w:pos="0"/>
        </w:tabs>
        <w:spacing w:line="360" w:lineRule="auto"/>
        <w:ind w:left="-2" w:leftChars="-59" w:right="-34" w:hanging="140" w:hangingChars="67"/>
        <w:jc w:val="both"/>
        <w:rPr>
          <w:rFonts w:hint="eastAsia" w:ascii="宋体" w:hAnsi="宋体" w:eastAsia="宋体" w:cs="宋体"/>
          <w:color w:val="auto"/>
          <w:kern w:val="2"/>
          <w:sz w:val="21"/>
          <w:szCs w:val="21"/>
          <w:highlight w:val="none"/>
        </w:rPr>
      </w:pPr>
    </w:p>
    <w:p w14:paraId="30E755D7">
      <w:pPr>
        <w:keepNext w:val="0"/>
        <w:keepLines w:val="0"/>
        <w:pageBreakBefore w:val="0"/>
        <w:widowControl w:val="0"/>
        <w:tabs>
          <w:tab w:val="left" w:pos="0"/>
        </w:tabs>
        <w:kinsoku/>
        <w:wordWrap/>
        <w:overflowPunct/>
        <w:topLinePunct w:val="0"/>
        <w:autoSpaceDE w:val="0"/>
        <w:autoSpaceDN w:val="0"/>
        <w:bidi w:val="0"/>
        <w:adjustRightInd w:val="0"/>
        <w:snapToGrid/>
        <w:spacing w:line="360" w:lineRule="auto"/>
        <w:ind w:left="0" w:leftChars="0" w:right="0" w:firstLine="0" w:firstLineChars="0"/>
        <w:jc w:val="both"/>
        <w:textAlignment w:val="auto"/>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rPr>
        <w:t>2</w:t>
      </w:r>
      <w:r>
        <w:rPr>
          <w:rFonts w:hint="eastAsia" w:ascii="宋体" w:hAnsi="宋体" w:cs="宋体"/>
          <w:b/>
          <w:bCs/>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rPr>
        <w:t>合格供应商资格</w:t>
      </w:r>
      <w:r>
        <w:rPr>
          <w:rFonts w:hint="eastAsia" w:ascii="宋体" w:hAnsi="宋体" w:eastAsia="宋体" w:cs="宋体"/>
          <w:b/>
          <w:bCs/>
          <w:color w:val="auto"/>
          <w:kern w:val="2"/>
          <w:sz w:val="21"/>
          <w:szCs w:val="21"/>
          <w:highlight w:val="none"/>
          <w:lang w:val="en-US" w:eastAsia="zh-CN"/>
        </w:rPr>
        <w:t>要求</w:t>
      </w:r>
      <w:r>
        <w:rPr>
          <w:rFonts w:hint="eastAsia" w:ascii="宋体" w:hAnsi="宋体" w:eastAsia="宋体" w:cs="宋体"/>
          <w:b/>
          <w:bCs/>
          <w:color w:val="auto"/>
          <w:kern w:val="2"/>
          <w:sz w:val="21"/>
          <w:szCs w:val="21"/>
          <w:highlight w:val="none"/>
          <w:lang w:val="zh-CN"/>
        </w:rPr>
        <w:t>：</w:t>
      </w:r>
    </w:p>
    <w:p w14:paraId="2253B300">
      <w:pPr>
        <w:keepNext w:val="0"/>
        <w:keepLines w:val="0"/>
        <w:pageBreakBefore w:val="0"/>
        <w:tabs>
          <w:tab w:val="left" w:pos="0"/>
        </w:tabs>
        <w:kinsoku/>
        <w:wordWrap/>
        <w:overflowPunct/>
        <w:topLinePunct w:val="0"/>
        <w:bidi w:val="0"/>
        <w:snapToGrid/>
        <w:spacing w:line="360" w:lineRule="auto"/>
        <w:ind w:left="0" w:leftChars="0" w:right="0" w:firstLine="0" w:firstLineChars="0"/>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sz w:val="21"/>
          <w:szCs w:val="21"/>
          <w:highlight w:val="none"/>
          <w:lang w:val="zh-CN"/>
        </w:rPr>
        <w:t>2.1</w:t>
      </w:r>
      <w:r>
        <w:rPr>
          <w:rFonts w:hint="eastAsia" w:ascii="宋体" w:hAnsi="宋体" w:cs="宋体"/>
          <w:b/>
          <w:bCs/>
          <w:color w:val="auto"/>
          <w:sz w:val="21"/>
          <w:szCs w:val="21"/>
          <w:highlight w:val="none"/>
          <w:lang w:val="en-US" w:eastAsia="zh-CN"/>
        </w:rPr>
        <w:t xml:space="preserve"> </w:t>
      </w:r>
      <w:r>
        <w:rPr>
          <w:rFonts w:hint="eastAsia" w:ascii="宋体" w:hAnsi="宋体" w:eastAsia="宋体" w:cs="宋体"/>
          <w:b/>
          <w:bCs/>
          <w:color w:val="auto"/>
          <w:kern w:val="2"/>
          <w:sz w:val="21"/>
          <w:szCs w:val="21"/>
          <w:highlight w:val="none"/>
          <w:lang w:val="zh-CN"/>
        </w:rPr>
        <w:t>在中华人民共和国境内登记注册的、合法存续、正常经营且具有独立承担民事责任能力的法人</w:t>
      </w:r>
    </w:p>
    <w:p w14:paraId="344586B6">
      <w:pPr>
        <w:keepNext w:val="0"/>
        <w:keepLines w:val="0"/>
        <w:pageBreakBefore w:val="0"/>
        <w:widowControl w:val="0"/>
        <w:tabs>
          <w:tab w:val="left" w:pos="0"/>
        </w:tabs>
        <w:kinsoku/>
        <w:wordWrap/>
        <w:overflowPunct/>
        <w:topLinePunct w:val="0"/>
        <w:autoSpaceDE w:val="0"/>
        <w:autoSpaceDN w:val="0"/>
        <w:bidi w:val="0"/>
        <w:adjustRightInd w:val="0"/>
        <w:snapToGrid/>
        <w:spacing w:line="360" w:lineRule="auto"/>
        <w:ind w:left="420" w:leftChars="175" w:right="0" w:firstLine="0" w:firstLineChars="0"/>
        <w:jc w:val="both"/>
        <w:textAlignment w:val="auto"/>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或其他组织。</w:t>
      </w:r>
    </w:p>
    <w:p w14:paraId="1A4C5C8F">
      <w:pPr>
        <w:keepNext w:val="0"/>
        <w:keepLines w:val="0"/>
        <w:pageBreakBefore w:val="0"/>
        <w:tabs>
          <w:tab w:val="left" w:pos="0"/>
        </w:tabs>
        <w:kinsoku/>
        <w:wordWrap/>
        <w:overflowPunct/>
        <w:topLinePunct w:val="0"/>
        <w:bidi w:val="0"/>
        <w:snapToGrid/>
        <w:spacing w:line="360" w:lineRule="auto"/>
        <w:ind w:left="0" w:leftChars="0" w:right="0" w:firstLine="0" w:firstLineChars="0"/>
        <w:jc w:val="both"/>
        <w:rPr>
          <w:rFonts w:hint="eastAsia" w:ascii="宋体" w:hAnsi="宋体" w:eastAsia="宋体" w:cs="宋体"/>
          <w:b/>
          <w:color w:val="auto"/>
          <w:sz w:val="21"/>
          <w:szCs w:val="21"/>
          <w:lang w:val="zh-CN"/>
        </w:rPr>
      </w:pPr>
      <w:r>
        <w:rPr>
          <w:rFonts w:hint="eastAsia" w:ascii="宋体" w:hAnsi="宋体" w:eastAsia="宋体" w:cs="宋体"/>
          <w:b/>
          <w:bCs/>
          <w:color w:val="auto"/>
          <w:sz w:val="21"/>
          <w:szCs w:val="21"/>
          <w:highlight w:val="none"/>
          <w:lang w:val="zh-CN"/>
        </w:rPr>
        <w:t>2.</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kern w:val="2"/>
          <w:sz w:val="21"/>
          <w:szCs w:val="21"/>
          <w:highlight w:val="none"/>
          <w:lang w:val="zh-CN"/>
        </w:rPr>
        <w:t xml:space="preserve"> </w:t>
      </w:r>
      <w:r>
        <w:rPr>
          <w:rFonts w:hint="eastAsia" w:ascii="宋体" w:hAnsi="宋体" w:eastAsia="宋体" w:cs="宋体"/>
          <w:b/>
          <w:bCs/>
          <w:color w:val="auto"/>
          <w:kern w:val="2"/>
          <w:sz w:val="21"/>
          <w:szCs w:val="21"/>
          <w:highlight w:val="none"/>
          <w:lang w:val="en-US" w:eastAsia="zh-CN"/>
        </w:rPr>
        <w:t>供应商</w:t>
      </w:r>
      <w:r>
        <w:rPr>
          <w:rFonts w:hint="eastAsia" w:ascii="宋体" w:hAnsi="宋体" w:eastAsia="宋体" w:cs="宋体"/>
          <w:b/>
          <w:color w:val="auto"/>
          <w:sz w:val="21"/>
          <w:szCs w:val="21"/>
        </w:rPr>
        <w:t>20</w:t>
      </w:r>
      <w:r>
        <w:rPr>
          <w:rFonts w:hint="eastAsia" w:ascii="宋体" w:hAnsi="宋体" w:eastAsia="宋体" w:cs="宋体"/>
          <w:b/>
          <w:color w:val="auto"/>
          <w:sz w:val="21"/>
          <w:szCs w:val="21"/>
          <w:lang w:val="en-US" w:eastAsia="zh-CN"/>
        </w:rPr>
        <w:t>19</w:t>
      </w:r>
      <w:r>
        <w:rPr>
          <w:rFonts w:hint="eastAsia" w:ascii="宋体" w:hAnsi="宋体" w:eastAsia="宋体" w:cs="宋体"/>
          <w:b/>
          <w:color w:val="auto"/>
          <w:sz w:val="21"/>
          <w:szCs w:val="21"/>
          <w:lang w:val="zh-CN"/>
        </w:rPr>
        <w:t>年</w:t>
      </w:r>
      <w:r>
        <w:rPr>
          <w:rFonts w:hint="eastAsia" w:ascii="宋体" w:hAnsi="宋体" w:eastAsia="宋体" w:cs="宋体"/>
          <w:b/>
          <w:color w:val="auto"/>
          <w:sz w:val="21"/>
          <w:szCs w:val="21"/>
        </w:rPr>
        <w:t>1</w:t>
      </w:r>
      <w:r>
        <w:rPr>
          <w:rFonts w:hint="eastAsia" w:ascii="宋体" w:hAnsi="宋体" w:eastAsia="宋体" w:cs="宋体"/>
          <w:b/>
          <w:color w:val="auto"/>
          <w:sz w:val="21"/>
          <w:szCs w:val="21"/>
          <w:lang w:val="zh-CN"/>
        </w:rPr>
        <w:t>月</w:t>
      </w:r>
      <w:r>
        <w:rPr>
          <w:rFonts w:hint="eastAsia" w:ascii="宋体" w:hAnsi="宋体" w:eastAsia="宋体" w:cs="宋体"/>
          <w:b/>
          <w:color w:val="auto"/>
          <w:sz w:val="21"/>
          <w:szCs w:val="21"/>
        </w:rPr>
        <w:t>1</w:t>
      </w:r>
      <w:r>
        <w:rPr>
          <w:rFonts w:hint="eastAsia" w:ascii="宋体" w:hAnsi="宋体" w:eastAsia="宋体" w:cs="宋体"/>
          <w:b/>
          <w:color w:val="auto"/>
          <w:sz w:val="21"/>
          <w:szCs w:val="21"/>
          <w:lang w:val="zh-CN"/>
        </w:rPr>
        <w:t>日以来具有一</w:t>
      </w:r>
      <w:r>
        <w:rPr>
          <w:rFonts w:hint="eastAsia" w:ascii="宋体" w:hAnsi="宋体" w:eastAsia="宋体" w:cs="宋体"/>
          <w:b/>
          <w:color w:val="auto"/>
          <w:sz w:val="21"/>
          <w:szCs w:val="21"/>
          <w:lang w:val="en-US" w:eastAsia="zh-CN"/>
        </w:rPr>
        <w:t>项</w:t>
      </w:r>
      <w:r>
        <w:rPr>
          <w:rFonts w:hint="eastAsia" w:ascii="宋体" w:hAnsi="宋体" w:eastAsia="宋体" w:cs="宋体"/>
          <w:b/>
          <w:color w:val="auto"/>
          <w:sz w:val="21"/>
          <w:szCs w:val="21"/>
          <w:lang w:val="zh-CN"/>
        </w:rPr>
        <w:t>生活污水处理厂污泥脱水减量化处理服务业绩（合同签订日</w:t>
      </w:r>
    </w:p>
    <w:p w14:paraId="41270530">
      <w:pPr>
        <w:keepNext w:val="0"/>
        <w:keepLines w:val="0"/>
        <w:pageBreakBefore w:val="0"/>
        <w:widowControl w:val="0"/>
        <w:tabs>
          <w:tab w:val="left" w:pos="0"/>
        </w:tabs>
        <w:kinsoku/>
        <w:wordWrap/>
        <w:overflowPunct/>
        <w:topLinePunct w:val="0"/>
        <w:autoSpaceDE w:val="0"/>
        <w:autoSpaceDN w:val="0"/>
        <w:bidi w:val="0"/>
        <w:adjustRightInd w:val="0"/>
        <w:snapToGrid/>
        <w:spacing w:line="360" w:lineRule="auto"/>
        <w:ind w:left="420" w:leftChars="175" w:right="0" w:firstLine="0" w:firstLineChars="0"/>
        <w:jc w:val="both"/>
        <w:textAlignment w:val="auto"/>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color w:val="auto"/>
          <w:sz w:val="21"/>
          <w:szCs w:val="21"/>
          <w:lang w:val="zh-CN"/>
        </w:rPr>
        <w:t>期为</w:t>
      </w:r>
      <w:r>
        <w:rPr>
          <w:rFonts w:hint="eastAsia" w:ascii="宋体" w:hAnsi="宋体" w:eastAsia="宋体" w:cs="宋体"/>
          <w:b/>
          <w:color w:val="auto"/>
          <w:sz w:val="21"/>
          <w:szCs w:val="21"/>
        </w:rPr>
        <w:t>20</w:t>
      </w:r>
      <w:r>
        <w:rPr>
          <w:rFonts w:hint="eastAsia" w:ascii="宋体" w:hAnsi="宋体" w:eastAsia="宋体" w:cs="宋体"/>
          <w:b/>
          <w:color w:val="auto"/>
          <w:sz w:val="21"/>
          <w:szCs w:val="21"/>
          <w:lang w:val="en-US" w:eastAsia="zh-CN"/>
        </w:rPr>
        <w:t>19</w:t>
      </w:r>
      <w:r>
        <w:rPr>
          <w:rFonts w:hint="eastAsia" w:ascii="宋体" w:hAnsi="宋体" w:eastAsia="宋体" w:cs="宋体"/>
          <w:b/>
          <w:color w:val="auto"/>
          <w:sz w:val="21"/>
          <w:szCs w:val="21"/>
          <w:lang w:val="zh-CN"/>
        </w:rPr>
        <w:t>年</w:t>
      </w:r>
      <w:r>
        <w:rPr>
          <w:rFonts w:hint="eastAsia" w:ascii="宋体" w:hAnsi="宋体" w:eastAsia="宋体" w:cs="宋体"/>
          <w:b/>
          <w:color w:val="auto"/>
          <w:sz w:val="21"/>
          <w:szCs w:val="21"/>
        </w:rPr>
        <w:t>1</w:t>
      </w:r>
      <w:r>
        <w:rPr>
          <w:rFonts w:hint="eastAsia" w:ascii="宋体" w:hAnsi="宋体" w:eastAsia="宋体" w:cs="宋体"/>
          <w:b/>
          <w:color w:val="auto"/>
          <w:sz w:val="21"/>
          <w:szCs w:val="21"/>
          <w:lang w:val="zh-CN"/>
        </w:rPr>
        <w:t>月</w:t>
      </w:r>
      <w:r>
        <w:rPr>
          <w:rFonts w:hint="eastAsia" w:ascii="宋体" w:hAnsi="宋体" w:eastAsia="宋体" w:cs="宋体"/>
          <w:b/>
          <w:color w:val="auto"/>
          <w:sz w:val="21"/>
          <w:szCs w:val="21"/>
        </w:rPr>
        <w:t>1</w:t>
      </w:r>
      <w:r>
        <w:rPr>
          <w:rFonts w:hint="eastAsia" w:ascii="宋体" w:hAnsi="宋体" w:eastAsia="宋体" w:cs="宋体"/>
          <w:b/>
          <w:color w:val="auto"/>
          <w:sz w:val="21"/>
          <w:szCs w:val="21"/>
          <w:lang w:val="zh-CN"/>
        </w:rPr>
        <w:t>日或以后）</w:t>
      </w:r>
      <w:r>
        <w:rPr>
          <w:rFonts w:hint="eastAsia" w:ascii="宋体" w:hAnsi="宋体" w:eastAsia="宋体" w:cs="宋体"/>
          <w:b/>
          <w:bCs/>
          <w:color w:val="auto"/>
          <w:sz w:val="21"/>
          <w:szCs w:val="21"/>
          <w:highlight w:val="none"/>
          <w:lang w:val="zh-CN"/>
        </w:rPr>
        <w:t>。</w:t>
      </w:r>
    </w:p>
    <w:p w14:paraId="0B214900">
      <w:pPr>
        <w:keepNext w:val="0"/>
        <w:keepLines w:val="0"/>
        <w:pageBreakBefore w:val="0"/>
        <w:tabs>
          <w:tab w:val="left" w:pos="0"/>
        </w:tabs>
        <w:kinsoku/>
        <w:wordWrap/>
        <w:overflowPunct/>
        <w:topLinePunct w:val="0"/>
        <w:bidi w:val="0"/>
        <w:snapToGrid/>
        <w:spacing w:line="360" w:lineRule="auto"/>
        <w:ind w:left="0" w:leftChars="0" w:right="0" w:firstLine="0" w:firstLineChars="0"/>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2.</w:t>
      </w:r>
      <w:r>
        <w:rPr>
          <w:rFonts w:hint="eastAsia" w:ascii="宋体" w:hAnsi="宋体" w:eastAsia="宋体" w:cs="宋体"/>
          <w:b/>
          <w:bCs/>
          <w:color w:val="auto"/>
          <w:kern w:val="2"/>
          <w:sz w:val="21"/>
          <w:szCs w:val="21"/>
          <w:highlight w:val="none"/>
          <w:lang w:val="en-US" w:eastAsia="zh-CN"/>
        </w:rPr>
        <w:t>3</w:t>
      </w:r>
      <w:r>
        <w:rPr>
          <w:rFonts w:hint="eastAsia" w:ascii="宋体" w:hAnsi="宋体" w:eastAsia="宋体" w:cs="宋体"/>
          <w:b/>
          <w:bCs/>
          <w:color w:val="auto"/>
          <w:kern w:val="2"/>
          <w:sz w:val="21"/>
          <w:szCs w:val="21"/>
          <w:highlight w:val="none"/>
          <w:lang w:val="zh-CN"/>
        </w:rPr>
        <w:t xml:space="preserve"> 本项目不接受联合体</w:t>
      </w:r>
      <w:r>
        <w:rPr>
          <w:rFonts w:hint="eastAsia" w:ascii="宋体" w:hAnsi="宋体" w:eastAsia="宋体" w:cs="宋体"/>
          <w:b/>
          <w:bCs/>
          <w:color w:val="auto"/>
          <w:kern w:val="2"/>
          <w:sz w:val="21"/>
          <w:szCs w:val="21"/>
          <w:highlight w:val="none"/>
        </w:rPr>
        <w:t>磋商</w:t>
      </w:r>
      <w:r>
        <w:rPr>
          <w:rFonts w:hint="eastAsia" w:ascii="宋体" w:hAnsi="宋体" w:eastAsia="宋体" w:cs="宋体"/>
          <w:b/>
          <w:bCs/>
          <w:color w:val="auto"/>
          <w:kern w:val="2"/>
          <w:sz w:val="21"/>
          <w:szCs w:val="21"/>
          <w:highlight w:val="none"/>
          <w:lang w:val="zh-CN"/>
        </w:rPr>
        <w:t>。</w:t>
      </w:r>
    </w:p>
    <w:p w14:paraId="54EDBB66">
      <w:pPr>
        <w:keepNext w:val="0"/>
        <w:keepLines w:val="0"/>
        <w:pageBreakBefore w:val="0"/>
        <w:numPr>
          <w:ilvl w:val="0"/>
          <w:numId w:val="0"/>
        </w:numPr>
        <w:tabs>
          <w:tab w:val="left" w:pos="0"/>
          <w:tab w:val="left" w:pos="360"/>
        </w:tabs>
        <w:kinsoku/>
        <w:wordWrap/>
        <w:overflowPunct/>
        <w:topLinePunct w:val="0"/>
        <w:autoSpaceDE/>
        <w:autoSpaceDN/>
        <w:bidi w:val="0"/>
        <w:adjustRightInd/>
        <w:snapToGrid/>
        <w:spacing w:line="360" w:lineRule="auto"/>
        <w:ind w:left="0" w:leftChars="0" w:right="0" w:firstLine="0" w:firstLineChars="0"/>
        <w:jc w:val="both"/>
        <w:rPr>
          <w:rFonts w:hint="eastAsia" w:ascii="宋体" w:hAnsi="宋体" w:eastAsia="宋体" w:cs="宋体"/>
          <w:color w:val="auto"/>
          <w:kern w:val="2"/>
          <w:sz w:val="21"/>
          <w:szCs w:val="21"/>
          <w:highlight w:val="none"/>
          <w:lang w:val="zh-CN"/>
        </w:rPr>
      </w:pPr>
    </w:p>
    <w:p w14:paraId="616CD1A4">
      <w:pPr>
        <w:keepNext w:val="0"/>
        <w:keepLines w:val="0"/>
        <w:pageBreakBefore w:val="0"/>
        <w:widowControl w:val="0"/>
        <w:numPr>
          <w:ilvl w:val="0"/>
          <w:numId w:val="0"/>
        </w:numPr>
        <w:tabs>
          <w:tab w:val="left" w:pos="284"/>
        </w:tabs>
        <w:kinsoku/>
        <w:wordWrap/>
        <w:overflowPunct/>
        <w:topLinePunct w:val="0"/>
        <w:autoSpaceDE w:val="0"/>
        <w:autoSpaceDN w:val="0"/>
        <w:bidi w:val="0"/>
        <w:adjustRightInd w:val="0"/>
        <w:snapToGrid/>
        <w:spacing w:line="360" w:lineRule="auto"/>
        <w:ind w:left="0" w:leftChars="0" w:right="0" w:firstLine="0" w:firstLineChars="0"/>
        <w:jc w:val="both"/>
        <w:textAlignment w:val="auto"/>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3</w:t>
      </w:r>
      <w:r>
        <w:rPr>
          <w:rFonts w:hint="eastAsia" w:ascii="宋体" w:hAnsi="宋体" w:cs="宋体"/>
          <w:b/>
          <w:bCs/>
          <w:color w:val="auto"/>
          <w:kern w:val="2"/>
          <w:sz w:val="21"/>
          <w:szCs w:val="21"/>
          <w:highlight w:val="none"/>
          <w:lang w:val="en-US" w:eastAsia="zh-CN"/>
        </w:rPr>
        <w:t xml:space="preserve">   供应商获取竞争性</w:t>
      </w:r>
      <w:r>
        <w:rPr>
          <w:rFonts w:hint="eastAsia" w:ascii="宋体" w:hAnsi="宋体" w:eastAsia="宋体" w:cs="宋体"/>
          <w:b/>
          <w:bCs/>
          <w:color w:val="auto"/>
          <w:kern w:val="2"/>
          <w:sz w:val="21"/>
          <w:szCs w:val="21"/>
          <w:highlight w:val="none"/>
        </w:rPr>
        <w:t>磋商</w:t>
      </w:r>
      <w:r>
        <w:rPr>
          <w:rFonts w:hint="eastAsia" w:ascii="宋体" w:hAnsi="宋体" w:eastAsia="宋体" w:cs="宋体"/>
          <w:b/>
          <w:bCs/>
          <w:color w:val="auto"/>
          <w:kern w:val="2"/>
          <w:sz w:val="21"/>
          <w:szCs w:val="21"/>
          <w:highlight w:val="none"/>
          <w:lang w:val="zh-CN"/>
        </w:rPr>
        <w:t>文件</w:t>
      </w:r>
      <w:r>
        <w:rPr>
          <w:rFonts w:hint="eastAsia" w:ascii="宋体" w:hAnsi="宋体" w:cs="宋体"/>
          <w:b/>
          <w:bCs/>
          <w:color w:val="auto"/>
          <w:kern w:val="2"/>
          <w:sz w:val="21"/>
          <w:szCs w:val="21"/>
          <w:highlight w:val="none"/>
          <w:lang w:val="en-US" w:eastAsia="zh-CN"/>
        </w:rPr>
        <w:t>的</w:t>
      </w:r>
      <w:r>
        <w:rPr>
          <w:rFonts w:hint="eastAsia" w:ascii="宋体" w:hAnsi="宋体" w:eastAsia="宋体" w:cs="宋体"/>
          <w:b/>
          <w:bCs/>
          <w:color w:val="auto"/>
          <w:kern w:val="2"/>
          <w:sz w:val="21"/>
          <w:szCs w:val="21"/>
          <w:highlight w:val="none"/>
          <w:lang w:val="zh-CN"/>
        </w:rPr>
        <w:t>方式：</w:t>
      </w:r>
    </w:p>
    <w:p w14:paraId="29499099">
      <w:pPr>
        <w:keepNext w:val="0"/>
        <w:keepLines w:val="0"/>
        <w:pageBreakBefore w:val="0"/>
        <w:widowControl w:val="0"/>
        <w:numPr>
          <w:ilvl w:val="0"/>
          <w:numId w:val="0"/>
        </w:numPr>
        <w:tabs>
          <w:tab w:val="left" w:pos="284"/>
        </w:tabs>
        <w:kinsoku/>
        <w:wordWrap/>
        <w:overflowPunct/>
        <w:topLinePunct w:val="0"/>
        <w:autoSpaceDE w:val="0"/>
        <w:autoSpaceDN w:val="0"/>
        <w:bidi w:val="0"/>
        <w:adjustRightInd w:val="0"/>
        <w:snapToGrid/>
        <w:spacing w:line="360" w:lineRule="auto"/>
        <w:ind w:left="0" w:leftChars="0" w:right="0" w:firstLine="420" w:firstLineChars="20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本项目采用“不记名网上下载”的方式发布竞争性磋商文件，有意向</w:t>
      </w:r>
      <w:r>
        <w:rPr>
          <w:rFonts w:hint="eastAsia" w:ascii="宋体" w:hAnsi="宋体" w:cs="宋体"/>
          <w:color w:val="auto"/>
          <w:kern w:val="2"/>
          <w:sz w:val="21"/>
          <w:szCs w:val="21"/>
          <w:highlight w:val="none"/>
          <w:lang w:val="en-US" w:eastAsia="zh-CN"/>
        </w:rPr>
        <w:t>参加</w:t>
      </w:r>
      <w:r>
        <w:rPr>
          <w:rFonts w:hint="eastAsia" w:ascii="宋体" w:hAnsi="宋体" w:eastAsia="宋体" w:cs="宋体"/>
          <w:color w:val="auto"/>
          <w:kern w:val="2"/>
          <w:sz w:val="21"/>
          <w:szCs w:val="21"/>
          <w:highlight w:val="none"/>
          <w:lang w:val="zh-CN"/>
        </w:rPr>
        <w:t>的供应商可于本项目</w:t>
      </w:r>
    </w:p>
    <w:p w14:paraId="4CC80FB8">
      <w:pPr>
        <w:keepNext w:val="0"/>
        <w:keepLines w:val="0"/>
        <w:pageBreakBefore w:val="0"/>
        <w:widowControl w:val="0"/>
        <w:numPr>
          <w:ilvl w:val="0"/>
          <w:numId w:val="0"/>
        </w:numPr>
        <w:tabs>
          <w:tab w:val="left" w:pos="284"/>
        </w:tabs>
        <w:kinsoku/>
        <w:wordWrap/>
        <w:overflowPunct/>
        <w:topLinePunct w:val="0"/>
        <w:autoSpaceDE w:val="0"/>
        <w:autoSpaceDN w:val="0"/>
        <w:bidi w:val="0"/>
        <w:adjustRightInd w:val="0"/>
        <w:snapToGrid/>
        <w:spacing w:line="360" w:lineRule="auto"/>
        <w:ind w:left="0" w:leftChars="0" w:right="0" w:firstLine="420" w:firstLineChars="20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递交响应文件截止时间前，在本项目</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信息发布媒介</w:t>
      </w:r>
      <w:r>
        <w:rPr>
          <w:rFonts w:hint="eastAsia" w:ascii="宋体" w:hAnsi="宋体" w:eastAsia="宋体" w:cs="宋体"/>
          <w:color w:val="auto"/>
          <w:kern w:val="2"/>
          <w:sz w:val="21"/>
          <w:szCs w:val="21"/>
          <w:highlight w:val="none"/>
          <w:lang w:val="zh-CN" w:eastAsia="zh-CN"/>
        </w:rPr>
        <w:t>【</w:t>
      </w:r>
      <w:r>
        <w:rPr>
          <w:rFonts w:hint="eastAsia" w:ascii="宋体" w:hAnsi="宋体" w:eastAsia="宋体" w:cs="宋体"/>
          <w:color w:val="auto"/>
          <w:kern w:val="2"/>
          <w:sz w:val="21"/>
          <w:szCs w:val="21"/>
          <w:highlight w:val="none"/>
          <w:lang w:val="zh-CN"/>
        </w:rPr>
        <w:t>详见本竞争性磋商公告第7点（除中国</w:t>
      </w:r>
    </w:p>
    <w:p w14:paraId="6A433DF4">
      <w:pPr>
        <w:keepNext w:val="0"/>
        <w:keepLines w:val="0"/>
        <w:pageBreakBefore w:val="0"/>
        <w:widowControl w:val="0"/>
        <w:numPr>
          <w:ilvl w:val="0"/>
          <w:numId w:val="0"/>
        </w:numPr>
        <w:tabs>
          <w:tab w:val="left" w:pos="284"/>
        </w:tabs>
        <w:kinsoku/>
        <w:wordWrap/>
        <w:overflowPunct/>
        <w:topLinePunct w:val="0"/>
        <w:autoSpaceDE w:val="0"/>
        <w:autoSpaceDN w:val="0"/>
        <w:bidi w:val="0"/>
        <w:adjustRightInd w:val="0"/>
        <w:snapToGrid/>
        <w:spacing w:line="360" w:lineRule="auto"/>
        <w:ind w:left="0" w:leftChars="0" w:right="0" w:firstLine="420" w:firstLineChars="200"/>
        <w:jc w:val="both"/>
        <w:textAlignment w:val="auto"/>
        <w:rPr>
          <w:rFonts w:hint="eastAsia" w:ascii="宋体" w:hAnsi="宋体" w:eastAsia="宋体" w:cs="宋体"/>
          <w:color w:val="auto"/>
          <w:kern w:val="2"/>
          <w:sz w:val="21"/>
          <w:szCs w:val="21"/>
          <w:highlight w:val="none"/>
          <w:lang w:val="zh-CN" w:eastAsia="zh-CN"/>
        </w:rPr>
      </w:pPr>
      <w:r>
        <w:rPr>
          <w:rFonts w:hint="eastAsia" w:ascii="宋体" w:hAnsi="宋体" w:eastAsia="宋体" w:cs="宋体"/>
          <w:color w:val="auto"/>
          <w:kern w:val="2"/>
          <w:sz w:val="21"/>
          <w:szCs w:val="21"/>
          <w:highlight w:val="none"/>
          <w:lang w:val="zh-CN"/>
        </w:rPr>
        <w:t>招标投标公共服务平台外）</w:t>
      </w:r>
      <w:r>
        <w:rPr>
          <w:rFonts w:hint="eastAsia" w:ascii="宋体" w:hAnsi="宋体" w:eastAsia="宋体" w:cs="宋体"/>
          <w:color w:val="auto"/>
          <w:kern w:val="2"/>
          <w:sz w:val="21"/>
          <w:szCs w:val="21"/>
          <w:highlight w:val="none"/>
          <w:lang w:val="zh-CN" w:eastAsia="zh-CN"/>
        </w:rPr>
        <w:t>】</w:t>
      </w:r>
      <w:r>
        <w:rPr>
          <w:rFonts w:hint="eastAsia" w:ascii="宋体" w:hAnsi="宋体" w:eastAsia="宋体" w:cs="宋体"/>
          <w:color w:val="auto"/>
          <w:kern w:val="2"/>
          <w:sz w:val="21"/>
          <w:szCs w:val="21"/>
          <w:highlight w:val="none"/>
          <w:lang w:val="zh-CN"/>
        </w:rPr>
        <w:t>下载竞争性磋商文件【</w:t>
      </w:r>
      <w:r>
        <w:rPr>
          <w:rFonts w:hint="eastAsia" w:ascii="宋体" w:hAnsi="宋体" w:eastAsia="宋体" w:cs="宋体"/>
          <w:color w:val="auto"/>
          <w:kern w:val="2"/>
          <w:sz w:val="21"/>
          <w:szCs w:val="21"/>
          <w:highlight w:val="none"/>
          <w:lang w:val="zh-CN" w:eastAsia="zh-CN"/>
        </w:rPr>
        <w:t>本竞争性磋商公告第7点</w:t>
      </w:r>
      <w:r>
        <w:rPr>
          <w:rFonts w:hint="eastAsia" w:ascii="宋体" w:hAnsi="宋体" w:eastAsia="宋体" w:cs="宋体"/>
          <w:color w:val="auto"/>
          <w:kern w:val="2"/>
          <w:sz w:val="21"/>
          <w:szCs w:val="21"/>
          <w:highlight w:val="none"/>
          <w:lang w:val="zh-CN"/>
        </w:rPr>
        <w:t>媒介</w:t>
      </w:r>
      <w:r>
        <w:rPr>
          <w:rFonts w:hint="eastAsia" w:ascii="宋体" w:hAnsi="宋体" w:eastAsia="宋体" w:cs="宋体"/>
          <w:color w:val="auto"/>
          <w:kern w:val="2"/>
          <w:sz w:val="21"/>
          <w:szCs w:val="21"/>
          <w:highlight w:val="none"/>
          <w:lang w:val="zh-CN" w:eastAsia="zh-CN"/>
        </w:rPr>
        <w:t>发布竞争性磋</w:t>
      </w:r>
    </w:p>
    <w:p w14:paraId="240AD388">
      <w:pPr>
        <w:keepNext w:val="0"/>
        <w:keepLines w:val="0"/>
        <w:pageBreakBefore w:val="0"/>
        <w:widowControl w:val="0"/>
        <w:numPr>
          <w:ilvl w:val="0"/>
          <w:numId w:val="0"/>
        </w:numPr>
        <w:tabs>
          <w:tab w:val="left" w:pos="284"/>
        </w:tabs>
        <w:kinsoku/>
        <w:wordWrap/>
        <w:overflowPunct/>
        <w:topLinePunct w:val="0"/>
        <w:autoSpaceDE w:val="0"/>
        <w:autoSpaceDN w:val="0"/>
        <w:bidi w:val="0"/>
        <w:adjustRightInd w:val="0"/>
        <w:snapToGrid/>
        <w:spacing w:line="360" w:lineRule="auto"/>
        <w:ind w:left="0" w:leftChars="0" w:right="0" w:firstLine="420" w:firstLineChars="20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eastAsia="zh-CN"/>
        </w:rPr>
        <w:t>商文件不一致时，以</w:t>
      </w:r>
      <w:r>
        <w:rPr>
          <w:rFonts w:hint="eastAsia" w:ascii="宋体" w:hAnsi="宋体" w:eastAsia="宋体" w:cs="宋体"/>
          <w:color w:val="auto"/>
          <w:kern w:val="2"/>
          <w:sz w:val="21"/>
          <w:szCs w:val="21"/>
          <w:highlight w:val="none"/>
          <w:lang w:val="zh-CN"/>
        </w:rPr>
        <w:t>东莞市水务集团有限公司网（www.dgswjt.cn）</w:t>
      </w:r>
      <w:r>
        <w:rPr>
          <w:rFonts w:hint="eastAsia" w:ascii="宋体" w:hAnsi="宋体" w:eastAsia="宋体" w:cs="宋体"/>
          <w:color w:val="auto"/>
          <w:kern w:val="2"/>
          <w:sz w:val="21"/>
          <w:szCs w:val="21"/>
          <w:highlight w:val="none"/>
          <w:lang w:val="zh-CN" w:eastAsia="zh-CN"/>
        </w:rPr>
        <w:t>发布的竞争性磋商文件为准</w:t>
      </w:r>
      <w:r>
        <w:rPr>
          <w:rFonts w:hint="eastAsia" w:ascii="宋体" w:hAnsi="宋体" w:eastAsia="宋体" w:cs="宋体"/>
          <w:color w:val="auto"/>
          <w:kern w:val="2"/>
          <w:sz w:val="21"/>
          <w:szCs w:val="21"/>
          <w:highlight w:val="none"/>
          <w:lang w:val="zh-CN"/>
        </w:rPr>
        <w:t>】。</w:t>
      </w:r>
    </w:p>
    <w:p w14:paraId="7539BDF7">
      <w:pPr>
        <w:keepNext w:val="0"/>
        <w:keepLines w:val="0"/>
        <w:pageBreakBefore w:val="0"/>
        <w:tabs>
          <w:tab w:val="left" w:pos="0"/>
        </w:tabs>
        <w:kinsoku/>
        <w:wordWrap/>
        <w:overflowPunct/>
        <w:topLinePunct w:val="0"/>
        <w:bidi w:val="0"/>
        <w:snapToGrid/>
        <w:spacing w:line="360" w:lineRule="auto"/>
        <w:ind w:left="0" w:leftChars="0" w:right="0" w:firstLine="0" w:firstLineChars="0"/>
        <w:jc w:val="both"/>
        <w:rPr>
          <w:rFonts w:hint="eastAsia" w:ascii="宋体" w:hAnsi="宋体" w:eastAsia="宋体" w:cs="宋体"/>
          <w:color w:val="auto"/>
          <w:kern w:val="2"/>
          <w:sz w:val="21"/>
          <w:szCs w:val="21"/>
          <w:highlight w:val="none"/>
          <w:lang w:val="zh-CN"/>
        </w:rPr>
      </w:pPr>
    </w:p>
    <w:p w14:paraId="18EED364">
      <w:pPr>
        <w:keepNext w:val="0"/>
        <w:keepLines w:val="0"/>
        <w:pageBreakBefore w:val="0"/>
        <w:widowControl w:val="0"/>
        <w:numPr>
          <w:ilvl w:val="0"/>
          <w:numId w:val="0"/>
        </w:numPr>
        <w:tabs>
          <w:tab w:val="left" w:pos="284"/>
        </w:tabs>
        <w:kinsoku/>
        <w:wordWrap/>
        <w:overflowPunct/>
        <w:topLinePunct w:val="0"/>
        <w:autoSpaceDE w:val="0"/>
        <w:autoSpaceDN w:val="0"/>
        <w:bidi w:val="0"/>
        <w:adjustRightInd w:val="0"/>
        <w:snapToGrid/>
        <w:spacing w:line="360" w:lineRule="auto"/>
        <w:ind w:left="420" w:leftChars="0" w:right="0" w:hanging="420" w:hangingChars="20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4</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采购代理机构在递交响应文件截止时间</w:t>
      </w:r>
      <w:r>
        <w:rPr>
          <w:rFonts w:hint="eastAsia" w:ascii="宋体" w:hAnsi="宋体" w:cs="宋体"/>
          <w:color w:val="auto"/>
          <w:kern w:val="2"/>
          <w:sz w:val="21"/>
          <w:szCs w:val="21"/>
          <w:highlight w:val="none"/>
          <w:lang w:val="en-US" w:eastAsia="zh-CN"/>
        </w:rPr>
        <w:t>当天</w:t>
      </w:r>
      <w:r>
        <w:rPr>
          <w:rFonts w:hint="eastAsia" w:ascii="宋体" w:hAnsi="宋体" w:eastAsia="宋体" w:cs="宋体"/>
          <w:color w:val="auto"/>
          <w:kern w:val="2"/>
          <w:sz w:val="21"/>
          <w:szCs w:val="21"/>
          <w:highlight w:val="none"/>
          <w:lang w:val="zh-CN"/>
        </w:rPr>
        <w:t>通过“信用中国”网站（ www.creditchina.gov.cn）查询供应商（含其不具有独立法人资格的分支机构）信用记录。采购代理机构对供应商信用记录进行甄别，对列入失信被执行人、重大税收违法失信主体、政府采购严重违法失信行为记录名单的供应商，做好相关记录（处罚期限届满的除外）。</w:t>
      </w:r>
    </w:p>
    <w:p w14:paraId="774A37F7">
      <w:pPr>
        <w:keepNext w:val="0"/>
        <w:keepLines w:val="0"/>
        <w:pageBreakBefore w:val="0"/>
        <w:tabs>
          <w:tab w:val="left" w:pos="284"/>
        </w:tabs>
        <w:kinsoku/>
        <w:wordWrap/>
        <w:overflowPunct/>
        <w:topLinePunct w:val="0"/>
        <w:bidi w:val="0"/>
        <w:snapToGrid/>
        <w:spacing w:line="360" w:lineRule="auto"/>
        <w:ind w:left="0" w:leftChars="0" w:right="0" w:firstLine="0" w:firstLineChars="0"/>
        <w:jc w:val="both"/>
        <w:rPr>
          <w:rFonts w:hint="eastAsia" w:ascii="宋体" w:hAnsi="宋体" w:eastAsia="宋体" w:cs="宋体"/>
          <w:color w:val="auto"/>
          <w:kern w:val="2"/>
          <w:sz w:val="21"/>
          <w:szCs w:val="21"/>
          <w:highlight w:val="none"/>
          <w:lang w:val="zh-CN"/>
        </w:rPr>
      </w:pPr>
    </w:p>
    <w:p w14:paraId="0FF3B45F">
      <w:pPr>
        <w:keepNext w:val="0"/>
        <w:keepLines w:val="0"/>
        <w:pageBreakBefore w:val="0"/>
        <w:tabs>
          <w:tab w:val="left" w:pos="0"/>
        </w:tabs>
        <w:kinsoku/>
        <w:wordWrap/>
        <w:overflowPunct/>
        <w:topLinePunct w:val="0"/>
        <w:bidi w:val="0"/>
        <w:snapToGrid/>
        <w:spacing w:line="360" w:lineRule="auto"/>
        <w:ind w:left="0" w:leftChars="0" w:right="0" w:firstLine="0" w:firstLineChars="0"/>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val="0"/>
          <w:bCs w:val="0"/>
          <w:color w:val="auto"/>
          <w:kern w:val="2"/>
          <w:sz w:val="21"/>
          <w:szCs w:val="21"/>
          <w:highlight w:val="none"/>
          <w:lang w:val="zh-CN"/>
        </w:rPr>
        <w:t>5</w:t>
      </w:r>
      <w:r>
        <w:rPr>
          <w:rFonts w:hint="eastAsia" w:ascii="宋体" w:hAnsi="宋体" w:cs="宋体"/>
          <w:b w:val="0"/>
          <w:bCs w:val="0"/>
          <w:color w:val="auto"/>
          <w:kern w:val="2"/>
          <w:sz w:val="21"/>
          <w:szCs w:val="21"/>
          <w:highlight w:val="none"/>
          <w:lang w:val="en-US" w:eastAsia="zh-CN"/>
        </w:rPr>
        <w:t xml:space="preserve">   磋商</w:t>
      </w:r>
      <w:r>
        <w:rPr>
          <w:rFonts w:hint="eastAsia" w:ascii="宋体" w:hAnsi="宋体" w:eastAsia="宋体" w:cs="宋体"/>
          <w:b w:val="0"/>
          <w:bCs w:val="0"/>
          <w:color w:val="auto"/>
          <w:kern w:val="2"/>
          <w:sz w:val="21"/>
          <w:szCs w:val="21"/>
          <w:highlight w:val="none"/>
          <w:lang w:val="zh-CN"/>
        </w:rPr>
        <w:t>时间及地点：</w:t>
      </w:r>
    </w:p>
    <w:p w14:paraId="4C3BAFA4">
      <w:pPr>
        <w:keepNext w:val="0"/>
        <w:keepLines w:val="0"/>
        <w:pageBreakBefore w:val="0"/>
        <w:tabs>
          <w:tab w:val="left" w:pos="0"/>
        </w:tabs>
        <w:kinsoku/>
        <w:wordWrap/>
        <w:overflowPunct/>
        <w:topLinePunct w:val="0"/>
        <w:bidi w:val="0"/>
        <w:snapToGrid/>
        <w:spacing w:line="360" w:lineRule="auto"/>
        <w:ind w:left="0" w:leftChars="0" w:right="0" w:firstLine="0" w:firstLineChars="0"/>
        <w:jc w:val="both"/>
        <w:rPr>
          <w:rFonts w:hint="eastAsia" w:ascii="宋体" w:hAnsi="宋体" w:eastAsia="宋体" w:cs="宋体"/>
          <w:b w:val="0"/>
          <w:bCs w:val="0"/>
          <w:color w:val="auto"/>
          <w:kern w:val="2"/>
          <w:sz w:val="21"/>
          <w:szCs w:val="21"/>
          <w:highlight w:val="none"/>
          <w:u w:val="none"/>
        </w:rPr>
      </w:pPr>
      <w:r>
        <w:rPr>
          <w:rFonts w:hint="eastAsia" w:ascii="宋体" w:hAnsi="宋体" w:eastAsia="宋体" w:cs="宋体"/>
          <w:b w:val="0"/>
          <w:bCs w:val="0"/>
          <w:color w:val="auto"/>
          <w:kern w:val="2"/>
          <w:sz w:val="21"/>
          <w:szCs w:val="21"/>
          <w:highlight w:val="none"/>
          <w:u w:val="none"/>
          <w:lang w:val="zh-CN"/>
        </w:rPr>
        <w:t>5.1 响应文件递交时间：</w:t>
      </w:r>
      <w:r>
        <w:rPr>
          <w:rFonts w:hint="eastAsia" w:ascii="宋体" w:hAnsi="宋体" w:eastAsia="宋体" w:cs="宋体"/>
          <w:b w:val="0"/>
          <w:bCs w:val="0"/>
          <w:color w:val="auto"/>
          <w:kern w:val="2"/>
          <w:sz w:val="21"/>
          <w:szCs w:val="21"/>
          <w:highlight w:val="none"/>
          <w:u w:val="single"/>
          <w:lang w:val="zh-CN"/>
        </w:rPr>
        <w:t>202</w:t>
      </w:r>
      <w:r>
        <w:rPr>
          <w:rFonts w:hint="eastAsia" w:ascii="宋体" w:hAnsi="宋体" w:eastAsia="宋体" w:cs="宋体"/>
          <w:b w:val="0"/>
          <w:bCs w:val="0"/>
          <w:color w:val="auto"/>
          <w:kern w:val="2"/>
          <w:sz w:val="21"/>
          <w:szCs w:val="21"/>
          <w:highlight w:val="none"/>
          <w:u w:val="single"/>
          <w:lang w:val="en-US" w:eastAsia="zh-CN"/>
        </w:rPr>
        <w:t>4</w:t>
      </w:r>
      <w:r>
        <w:rPr>
          <w:rFonts w:hint="eastAsia" w:ascii="宋体" w:hAnsi="宋体" w:eastAsia="宋体" w:cs="宋体"/>
          <w:b w:val="0"/>
          <w:bCs w:val="0"/>
          <w:color w:val="auto"/>
          <w:kern w:val="2"/>
          <w:sz w:val="21"/>
          <w:szCs w:val="21"/>
          <w:highlight w:val="none"/>
          <w:u w:val="single"/>
          <w:lang w:val="zh-CN"/>
        </w:rPr>
        <w:t>年</w:t>
      </w:r>
      <w:r>
        <w:rPr>
          <w:rFonts w:hint="eastAsia" w:ascii="宋体" w:hAnsi="宋体" w:cs="宋体"/>
          <w:b w:val="0"/>
          <w:bCs w:val="0"/>
          <w:color w:val="auto"/>
          <w:kern w:val="2"/>
          <w:sz w:val="21"/>
          <w:szCs w:val="21"/>
          <w:highlight w:val="none"/>
          <w:u w:val="single"/>
          <w:lang w:val="en-US" w:eastAsia="zh-CN"/>
        </w:rPr>
        <w:t>10</w:t>
      </w:r>
      <w:r>
        <w:rPr>
          <w:rFonts w:hint="eastAsia" w:ascii="宋体" w:hAnsi="宋体" w:eastAsia="宋体" w:cs="宋体"/>
          <w:b w:val="0"/>
          <w:bCs w:val="0"/>
          <w:color w:val="auto"/>
          <w:kern w:val="2"/>
          <w:sz w:val="21"/>
          <w:szCs w:val="21"/>
          <w:highlight w:val="none"/>
          <w:u w:val="single"/>
          <w:lang w:val="zh-CN"/>
        </w:rPr>
        <w:t>月</w:t>
      </w:r>
      <w:r>
        <w:rPr>
          <w:rFonts w:hint="eastAsia" w:ascii="宋体" w:hAnsi="宋体" w:cs="宋体"/>
          <w:b w:val="0"/>
          <w:bCs w:val="0"/>
          <w:color w:val="auto"/>
          <w:kern w:val="2"/>
          <w:sz w:val="21"/>
          <w:szCs w:val="21"/>
          <w:highlight w:val="none"/>
          <w:u w:val="single"/>
          <w:lang w:val="en-US" w:eastAsia="zh-CN"/>
        </w:rPr>
        <w:t>8</w:t>
      </w:r>
      <w:r>
        <w:rPr>
          <w:rFonts w:hint="eastAsia" w:ascii="宋体" w:hAnsi="宋体" w:eastAsia="宋体" w:cs="宋体"/>
          <w:b w:val="0"/>
          <w:bCs w:val="0"/>
          <w:color w:val="auto"/>
          <w:kern w:val="2"/>
          <w:sz w:val="21"/>
          <w:szCs w:val="21"/>
          <w:highlight w:val="none"/>
          <w:u w:val="single"/>
          <w:lang w:val="zh-CN"/>
        </w:rPr>
        <w:t>日</w:t>
      </w:r>
      <w:r>
        <w:rPr>
          <w:rFonts w:hint="eastAsia" w:ascii="宋体" w:hAnsi="宋体" w:cs="宋体"/>
          <w:b w:val="0"/>
          <w:bCs w:val="0"/>
          <w:color w:val="auto"/>
          <w:kern w:val="2"/>
          <w:sz w:val="21"/>
          <w:szCs w:val="21"/>
          <w:highlight w:val="none"/>
          <w:u w:val="single"/>
          <w:lang w:val="en-US" w:eastAsia="zh-CN"/>
        </w:rPr>
        <w:t>10:00</w:t>
      </w:r>
      <w:r>
        <w:rPr>
          <w:rFonts w:hint="eastAsia" w:ascii="宋体" w:hAnsi="宋体" w:eastAsia="宋体" w:cs="宋体"/>
          <w:b w:val="0"/>
          <w:bCs w:val="0"/>
          <w:color w:val="auto"/>
          <w:kern w:val="2"/>
          <w:sz w:val="21"/>
          <w:szCs w:val="21"/>
          <w:highlight w:val="none"/>
          <w:u w:val="single"/>
          <w:lang w:val="zh-CN"/>
        </w:rPr>
        <w:t>～</w:t>
      </w:r>
      <w:r>
        <w:rPr>
          <w:rFonts w:hint="eastAsia" w:ascii="宋体" w:hAnsi="宋体" w:cs="宋体"/>
          <w:b w:val="0"/>
          <w:bCs w:val="0"/>
          <w:color w:val="auto"/>
          <w:kern w:val="2"/>
          <w:sz w:val="21"/>
          <w:szCs w:val="21"/>
          <w:highlight w:val="none"/>
          <w:u w:val="single"/>
          <w:lang w:val="en-US" w:eastAsia="zh-CN"/>
        </w:rPr>
        <w:t>10:30</w:t>
      </w:r>
      <w:r>
        <w:rPr>
          <w:rFonts w:hint="eastAsia" w:ascii="宋体" w:hAnsi="宋体" w:eastAsia="宋体" w:cs="宋体"/>
          <w:b w:val="0"/>
          <w:bCs w:val="0"/>
          <w:color w:val="auto"/>
          <w:kern w:val="2"/>
          <w:sz w:val="21"/>
          <w:szCs w:val="21"/>
          <w:highlight w:val="none"/>
          <w:u w:val="single"/>
        </w:rPr>
        <w:t>；</w:t>
      </w:r>
    </w:p>
    <w:p w14:paraId="5BAC3FF9">
      <w:pPr>
        <w:keepNext w:val="0"/>
        <w:keepLines w:val="0"/>
        <w:pageBreakBefore w:val="0"/>
        <w:tabs>
          <w:tab w:val="left" w:pos="0"/>
        </w:tabs>
        <w:kinsoku/>
        <w:wordWrap/>
        <w:overflowPunct/>
        <w:topLinePunct w:val="0"/>
        <w:bidi w:val="0"/>
        <w:snapToGrid/>
        <w:spacing w:line="360" w:lineRule="auto"/>
        <w:ind w:left="0" w:leftChars="0" w:right="0" w:firstLine="0" w:firstLineChars="0"/>
        <w:jc w:val="both"/>
        <w:rPr>
          <w:rFonts w:hint="eastAsia" w:ascii="宋体" w:hAnsi="宋体" w:eastAsia="宋体" w:cs="宋体"/>
          <w:b w:val="0"/>
          <w:bCs w:val="0"/>
          <w:color w:val="auto"/>
          <w:highlight w:val="none"/>
          <w:u w:val="single"/>
        </w:rPr>
      </w:pPr>
      <w:r>
        <w:rPr>
          <w:rFonts w:hint="eastAsia" w:ascii="宋体" w:hAnsi="宋体" w:eastAsia="宋体" w:cs="宋体"/>
          <w:b w:val="0"/>
          <w:bCs w:val="0"/>
          <w:color w:val="auto"/>
          <w:kern w:val="2"/>
          <w:sz w:val="21"/>
          <w:szCs w:val="21"/>
          <w:highlight w:val="none"/>
          <w:u w:val="none"/>
          <w:lang w:val="zh-CN"/>
        </w:rPr>
        <w:t>5.2 递交</w:t>
      </w:r>
      <w:r>
        <w:rPr>
          <w:rFonts w:hint="eastAsia" w:ascii="宋体" w:hAnsi="宋体" w:eastAsia="宋体" w:cs="宋体"/>
          <w:b w:val="0"/>
          <w:bCs w:val="0"/>
          <w:color w:val="auto"/>
          <w:kern w:val="2"/>
          <w:sz w:val="21"/>
          <w:szCs w:val="21"/>
          <w:highlight w:val="none"/>
          <w:u w:val="none"/>
          <w:lang w:val="en-US" w:eastAsia="zh-CN"/>
        </w:rPr>
        <w:t>响应文件</w:t>
      </w:r>
      <w:r>
        <w:rPr>
          <w:rFonts w:hint="eastAsia" w:ascii="宋体" w:hAnsi="宋体" w:eastAsia="宋体" w:cs="宋体"/>
          <w:b w:val="0"/>
          <w:bCs w:val="0"/>
          <w:color w:val="auto"/>
          <w:kern w:val="2"/>
          <w:sz w:val="21"/>
          <w:szCs w:val="21"/>
          <w:highlight w:val="none"/>
          <w:u w:val="none"/>
          <w:lang w:val="zh-CN"/>
        </w:rPr>
        <w:t>截止时间</w:t>
      </w:r>
      <w:r>
        <w:rPr>
          <w:rFonts w:hint="eastAsia" w:ascii="宋体" w:hAnsi="宋体" w:cs="宋体"/>
          <w:b w:val="0"/>
          <w:bCs w:val="0"/>
          <w:color w:val="auto"/>
          <w:kern w:val="2"/>
          <w:sz w:val="21"/>
          <w:szCs w:val="21"/>
          <w:highlight w:val="none"/>
          <w:u w:val="none"/>
          <w:lang w:val="en-US" w:eastAsia="zh-CN"/>
        </w:rPr>
        <w:t>及磋商时间</w:t>
      </w:r>
      <w:r>
        <w:rPr>
          <w:rFonts w:hint="eastAsia" w:ascii="宋体" w:hAnsi="宋体" w:eastAsia="宋体" w:cs="宋体"/>
          <w:b w:val="0"/>
          <w:bCs w:val="0"/>
          <w:color w:val="auto"/>
          <w:kern w:val="2"/>
          <w:sz w:val="21"/>
          <w:szCs w:val="21"/>
          <w:highlight w:val="none"/>
          <w:u w:val="none"/>
          <w:lang w:val="zh-CN"/>
        </w:rPr>
        <w:t>：</w:t>
      </w:r>
      <w:r>
        <w:rPr>
          <w:rFonts w:hint="eastAsia" w:ascii="宋体" w:hAnsi="宋体" w:eastAsia="宋体" w:cs="宋体"/>
          <w:b w:val="0"/>
          <w:bCs w:val="0"/>
          <w:color w:val="auto"/>
          <w:kern w:val="2"/>
          <w:sz w:val="21"/>
          <w:szCs w:val="21"/>
          <w:highlight w:val="none"/>
          <w:u w:val="single"/>
          <w:lang w:val="zh-CN"/>
        </w:rPr>
        <w:t>202</w:t>
      </w:r>
      <w:r>
        <w:rPr>
          <w:rFonts w:hint="eastAsia" w:ascii="宋体" w:hAnsi="宋体" w:eastAsia="宋体" w:cs="宋体"/>
          <w:b w:val="0"/>
          <w:bCs w:val="0"/>
          <w:color w:val="auto"/>
          <w:kern w:val="2"/>
          <w:sz w:val="21"/>
          <w:szCs w:val="21"/>
          <w:highlight w:val="none"/>
          <w:u w:val="single"/>
          <w:lang w:val="en-US" w:eastAsia="zh-CN"/>
        </w:rPr>
        <w:t>4</w:t>
      </w:r>
      <w:r>
        <w:rPr>
          <w:rFonts w:hint="eastAsia" w:ascii="宋体" w:hAnsi="宋体" w:eastAsia="宋体" w:cs="宋体"/>
          <w:b w:val="0"/>
          <w:bCs w:val="0"/>
          <w:color w:val="auto"/>
          <w:kern w:val="2"/>
          <w:sz w:val="21"/>
          <w:szCs w:val="21"/>
          <w:highlight w:val="none"/>
          <w:u w:val="single"/>
          <w:lang w:val="zh-CN"/>
        </w:rPr>
        <w:t>年</w:t>
      </w:r>
      <w:r>
        <w:rPr>
          <w:rFonts w:hint="eastAsia" w:ascii="宋体" w:hAnsi="宋体" w:cs="宋体"/>
          <w:b w:val="0"/>
          <w:bCs w:val="0"/>
          <w:color w:val="auto"/>
          <w:kern w:val="2"/>
          <w:sz w:val="21"/>
          <w:szCs w:val="21"/>
          <w:highlight w:val="none"/>
          <w:u w:val="single"/>
          <w:lang w:val="en-US" w:eastAsia="zh-CN"/>
        </w:rPr>
        <w:t>10</w:t>
      </w:r>
      <w:r>
        <w:rPr>
          <w:rFonts w:hint="eastAsia" w:ascii="宋体" w:hAnsi="宋体" w:eastAsia="宋体" w:cs="宋体"/>
          <w:b w:val="0"/>
          <w:bCs w:val="0"/>
          <w:color w:val="auto"/>
          <w:kern w:val="2"/>
          <w:sz w:val="21"/>
          <w:szCs w:val="21"/>
          <w:highlight w:val="none"/>
          <w:u w:val="single"/>
          <w:lang w:val="zh-CN"/>
        </w:rPr>
        <w:t>月</w:t>
      </w:r>
      <w:r>
        <w:rPr>
          <w:rFonts w:hint="eastAsia" w:ascii="宋体" w:hAnsi="宋体" w:cs="宋体"/>
          <w:b w:val="0"/>
          <w:bCs w:val="0"/>
          <w:color w:val="auto"/>
          <w:kern w:val="2"/>
          <w:sz w:val="21"/>
          <w:szCs w:val="21"/>
          <w:highlight w:val="none"/>
          <w:u w:val="single"/>
          <w:lang w:val="en-US" w:eastAsia="zh-CN"/>
        </w:rPr>
        <w:t>8</w:t>
      </w:r>
      <w:r>
        <w:rPr>
          <w:rFonts w:hint="eastAsia" w:ascii="宋体" w:hAnsi="宋体" w:eastAsia="宋体" w:cs="宋体"/>
          <w:b w:val="0"/>
          <w:bCs w:val="0"/>
          <w:color w:val="auto"/>
          <w:kern w:val="2"/>
          <w:sz w:val="21"/>
          <w:szCs w:val="21"/>
          <w:highlight w:val="none"/>
          <w:u w:val="single"/>
          <w:lang w:val="zh-CN"/>
        </w:rPr>
        <w:t>日</w:t>
      </w:r>
      <w:r>
        <w:rPr>
          <w:rFonts w:hint="eastAsia" w:ascii="宋体" w:hAnsi="宋体" w:cs="宋体"/>
          <w:b w:val="0"/>
          <w:bCs w:val="0"/>
          <w:color w:val="auto"/>
          <w:kern w:val="2"/>
          <w:sz w:val="21"/>
          <w:szCs w:val="21"/>
          <w:highlight w:val="none"/>
          <w:u w:val="single"/>
          <w:lang w:val="en-US" w:eastAsia="zh-CN"/>
        </w:rPr>
        <w:t>10:30</w:t>
      </w:r>
      <w:r>
        <w:rPr>
          <w:rFonts w:hint="eastAsia" w:ascii="宋体" w:hAnsi="宋体" w:eastAsia="宋体" w:cs="宋体"/>
          <w:b w:val="0"/>
          <w:bCs w:val="0"/>
          <w:color w:val="auto"/>
          <w:kern w:val="2"/>
          <w:sz w:val="21"/>
          <w:szCs w:val="21"/>
          <w:highlight w:val="none"/>
          <w:u w:val="single"/>
        </w:rPr>
        <w:t>；</w:t>
      </w:r>
    </w:p>
    <w:p w14:paraId="414844D5">
      <w:pPr>
        <w:keepNext w:val="0"/>
        <w:keepLines w:val="0"/>
        <w:pageBreakBefore w:val="0"/>
        <w:tabs>
          <w:tab w:val="left" w:pos="426"/>
        </w:tabs>
        <w:kinsoku/>
        <w:wordWrap/>
        <w:overflowPunct/>
        <w:topLinePunct w:val="0"/>
        <w:bidi w:val="0"/>
        <w:snapToGrid/>
        <w:spacing w:line="360" w:lineRule="auto"/>
        <w:ind w:left="0" w:leftChars="0" w:right="0" w:firstLine="0" w:firstLineChars="0"/>
        <w:jc w:val="both"/>
        <w:rPr>
          <w:rFonts w:hint="eastAsia" w:ascii="宋体" w:hAnsi="宋体" w:eastAsia="宋体" w:cs="宋体"/>
          <w:b w:val="0"/>
          <w:bCs w:val="0"/>
          <w:color w:val="auto"/>
          <w:w w:val="95"/>
          <w:kern w:val="2"/>
          <w:sz w:val="21"/>
          <w:szCs w:val="21"/>
          <w:highlight w:val="none"/>
          <w:u w:val="none"/>
          <w:lang w:val="zh-CN"/>
        </w:rPr>
      </w:pPr>
      <w:r>
        <w:rPr>
          <w:rFonts w:hint="eastAsia" w:ascii="宋体" w:hAnsi="宋体" w:eastAsia="宋体" w:cs="宋体"/>
          <w:b w:val="0"/>
          <w:bCs w:val="0"/>
          <w:color w:val="auto"/>
          <w:kern w:val="2"/>
          <w:sz w:val="21"/>
          <w:szCs w:val="21"/>
          <w:highlight w:val="none"/>
          <w:u w:val="none"/>
          <w:lang w:val="zh-CN"/>
        </w:rPr>
        <w:t xml:space="preserve">5.3 </w:t>
      </w:r>
      <w:r>
        <w:rPr>
          <w:rFonts w:hint="eastAsia" w:ascii="宋体" w:hAnsi="宋体" w:eastAsia="宋体" w:cs="宋体"/>
          <w:b w:val="0"/>
          <w:bCs w:val="0"/>
          <w:color w:val="auto"/>
          <w:kern w:val="2"/>
          <w:sz w:val="21"/>
          <w:szCs w:val="21"/>
          <w:highlight w:val="none"/>
          <w:u w:val="none"/>
          <w:lang w:val="en-US" w:eastAsia="zh-CN"/>
        </w:rPr>
        <w:t>响应文件递交地点</w:t>
      </w:r>
      <w:r>
        <w:rPr>
          <w:rFonts w:hint="eastAsia" w:ascii="宋体" w:hAnsi="宋体" w:eastAsia="宋体" w:cs="宋体"/>
          <w:b w:val="0"/>
          <w:bCs w:val="0"/>
          <w:color w:val="auto"/>
          <w:kern w:val="2"/>
          <w:sz w:val="21"/>
          <w:szCs w:val="21"/>
          <w:highlight w:val="none"/>
          <w:u w:val="none"/>
          <w:lang w:val="zh-CN"/>
        </w:rPr>
        <w:t>：</w:t>
      </w:r>
      <w:r>
        <w:rPr>
          <w:rFonts w:hint="eastAsia" w:ascii="宋体" w:hAnsi="宋体" w:eastAsia="宋体" w:cs="宋体"/>
          <w:b w:val="0"/>
          <w:bCs w:val="0"/>
          <w:color w:val="auto"/>
          <w:w w:val="95"/>
          <w:kern w:val="2"/>
          <w:sz w:val="21"/>
          <w:szCs w:val="21"/>
          <w:highlight w:val="none"/>
          <w:u w:val="single"/>
          <w:lang w:val="zh-CN"/>
        </w:rPr>
        <w:t>广东省东莞市南城区西平社区宏伟三路45号东莞市公共资源交易中心开标</w:t>
      </w:r>
      <w:r>
        <w:rPr>
          <w:rFonts w:hint="eastAsia" w:ascii="宋体" w:hAnsi="宋体" w:cs="宋体"/>
          <w:b w:val="0"/>
          <w:bCs w:val="0"/>
          <w:color w:val="auto"/>
          <w:w w:val="95"/>
          <w:kern w:val="2"/>
          <w:sz w:val="21"/>
          <w:szCs w:val="21"/>
          <w:highlight w:val="none"/>
          <w:u w:val="single"/>
          <w:lang w:val="en-US" w:eastAsia="zh-CN"/>
        </w:rPr>
        <w:t>6</w:t>
      </w:r>
      <w:bookmarkStart w:id="495" w:name="_GoBack"/>
      <w:bookmarkEnd w:id="495"/>
      <w:r>
        <w:rPr>
          <w:rFonts w:hint="eastAsia" w:ascii="宋体" w:hAnsi="宋体" w:eastAsia="宋体" w:cs="宋体"/>
          <w:b w:val="0"/>
          <w:bCs w:val="0"/>
          <w:color w:val="auto"/>
          <w:w w:val="95"/>
          <w:kern w:val="2"/>
          <w:sz w:val="21"/>
          <w:szCs w:val="21"/>
          <w:highlight w:val="none"/>
          <w:u w:val="single"/>
          <w:lang w:val="zh-CN"/>
        </w:rPr>
        <w:t xml:space="preserve"> 室</w:t>
      </w:r>
      <w:r>
        <w:rPr>
          <w:rFonts w:hint="eastAsia" w:ascii="宋体" w:hAnsi="宋体" w:eastAsia="宋体" w:cs="宋体"/>
          <w:b w:val="0"/>
          <w:bCs w:val="0"/>
          <w:color w:val="auto"/>
          <w:w w:val="95"/>
          <w:sz w:val="21"/>
          <w:szCs w:val="21"/>
          <w:highlight w:val="none"/>
          <w:u w:val="none"/>
        </w:rPr>
        <w:t>。</w:t>
      </w:r>
    </w:p>
    <w:p w14:paraId="4FE1C40C">
      <w:pPr>
        <w:keepNext w:val="0"/>
        <w:keepLines w:val="0"/>
        <w:pageBreakBefore w:val="0"/>
        <w:tabs>
          <w:tab w:val="left" w:pos="426"/>
        </w:tabs>
        <w:kinsoku/>
        <w:wordWrap/>
        <w:overflowPunct/>
        <w:topLinePunct w:val="0"/>
        <w:bidi w:val="0"/>
        <w:snapToGrid/>
        <w:spacing w:line="360" w:lineRule="auto"/>
        <w:ind w:left="0" w:leftChars="0" w:right="0" w:firstLine="0" w:firstLineChars="0"/>
        <w:jc w:val="both"/>
        <w:rPr>
          <w:rFonts w:hint="eastAsia" w:ascii="宋体" w:hAnsi="宋体" w:eastAsia="宋体" w:cs="宋体"/>
          <w:color w:val="auto"/>
          <w:kern w:val="2"/>
          <w:sz w:val="21"/>
          <w:szCs w:val="21"/>
          <w:highlight w:val="none"/>
          <w:lang w:val="zh-CN"/>
        </w:rPr>
      </w:pPr>
    </w:p>
    <w:p w14:paraId="5D5B29AB">
      <w:pPr>
        <w:keepNext w:val="0"/>
        <w:keepLines w:val="0"/>
        <w:pageBreakBefore w:val="0"/>
        <w:widowControl w:val="0"/>
        <w:numPr>
          <w:ilvl w:val="0"/>
          <w:numId w:val="0"/>
        </w:numPr>
        <w:tabs>
          <w:tab w:val="left" w:pos="284"/>
        </w:tabs>
        <w:kinsoku/>
        <w:wordWrap/>
        <w:overflowPunct/>
        <w:topLinePunct w:val="0"/>
        <w:autoSpaceDE w:val="0"/>
        <w:autoSpaceDN w:val="0"/>
        <w:bidi w:val="0"/>
        <w:adjustRightInd w:val="0"/>
        <w:snapToGrid/>
        <w:spacing w:line="360" w:lineRule="auto"/>
        <w:ind w:left="420" w:leftChars="0" w:right="0" w:hanging="420" w:hangingChars="20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eastAsia="zh-CN"/>
        </w:rPr>
        <w:t>6</w:t>
      </w:r>
      <w:r>
        <w:rPr>
          <w:rFonts w:hint="eastAsia" w:ascii="宋体" w:hAnsi="宋体" w:cs="宋体"/>
          <w:color w:val="auto"/>
          <w:kern w:val="2"/>
          <w:sz w:val="21"/>
          <w:szCs w:val="21"/>
          <w:highlight w:val="none"/>
          <w:lang w:val="en-US" w:eastAsia="zh-CN"/>
        </w:rPr>
        <w:t xml:space="preserve">   采购代理机构</w:t>
      </w:r>
      <w:r>
        <w:rPr>
          <w:rFonts w:hint="eastAsia" w:ascii="宋体" w:hAnsi="宋体" w:eastAsia="宋体" w:cs="宋体"/>
          <w:color w:val="auto"/>
          <w:kern w:val="2"/>
          <w:sz w:val="21"/>
          <w:szCs w:val="21"/>
          <w:highlight w:val="none"/>
          <w:lang w:val="zh-CN"/>
        </w:rPr>
        <w:t>只接受在递交响应文件截止日当天由供应商法定代表人或其授权代表于递交响应文件截止时间前亲自递交</w:t>
      </w:r>
      <w:r>
        <w:rPr>
          <w:rFonts w:hint="eastAsia" w:ascii="宋体" w:hAnsi="宋体" w:eastAsia="宋体" w:cs="宋体"/>
          <w:color w:val="auto"/>
          <w:kern w:val="2"/>
          <w:sz w:val="21"/>
          <w:szCs w:val="21"/>
          <w:highlight w:val="none"/>
          <w:lang w:val="en-US" w:eastAsia="zh-CN"/>
        </w:rPr>
        <w:t>密封</w:t>
      </w:r>
      <w:r>
        <w:rPr>
          <w:rFonts w:hint="eastAsia" w:ascii="宋体" w:hAnsi="宋体" w:eastAsia="宋体" w:cs="宋体"/>
          <w:color w:val="auto"/>
          <w:kern w:val="2"/>
          <w:sz w:val="21"/>
          <w:szCs w:val="21"/>
          <w:highlight w:val="none"/>
          <w:lang w:val="zh-CN"/>
        </w:rPr>
        <w:t>的响应文件，</w:t>
      </w:r>
      <w:r>
        <w:rPr>
          <w:rFonts w:hint="eastAsia" w:ascii="宋体" w:hAnsi="宋体" w:eastAsia="宋体" w:cs="宋体"/>
          <w:color w:val="auto"/>
          <w:kern w:val="2"/>
          <w:sz w:val="21"/>
          <w:szCs w:val="21"/>
          <w:highlight w:val="none"/>
          <w:lang w:val="en-US" w:eastAsia="zh-CN"/>
        </w:rPr>
        <w:t>并现场参加磋商</w:t>
      </w:r>
      <w:r>
        <w:rPr>
          <w:rFonts w:hint="eastAsia" w:ascii="宋体" w:hAnsi="宋体" w:eastAsia="宋体" w:cs="宋体"/>
          <w:color w:val="auto"/>
          <w:kern w:val="2"/>
          <w:sz w:val="21"/>
          <w:szCs w:val="21"/>
          <w:highlight w:val="none"/>
          <w:lang w:val="zh-CN"/>
        </w:rPr>
        <w:t>。电报、传真形式的</w:t>
      </w:r>
      <w:r>
        <w:rPr>
          <w:rFonts w:hint="eastAsia" w:ascii="宋体" w:hAnsi="宋体" w:eastAsia="宋体" w:cs="宋体"/>
          <w:color w:val="auto"/>
          <w:kern w:val="2"/>
          <w:sz w:val="21"/>
          <w:szCs w:val="21"/>
          <w:highlight w:val="none"/>
          <w:lang w:val="en-US" w:eastAsia="zh-CN"/>
        </w:rPr>
        <w:t>响应文件</w:t>
      </w:r>
      <w:r>
        <w:rPr>
          <w:rFonts w:hint="eastAsia" w:ascii="宋体" w:hAnsi="宋体" w:eastAsia="宋体" w:cs="宋体"/>
          <w:color w:val="auto"/>
          <w:kern w:val="2"/>
          <w:sz w:val="21"/>
          <w:szCs w:val="21"/>
          <w:highlight w:val="none"/>
          <w:lang w:val="zh-CN"/>
        </w:rPr>
        <w:t>概不接受。</w:t>
      </w:r>
    </w:p>
    <w:p w14:paraId="3A03D9E1">
      <w:pPr>
        <w:keepNext w:val="0"/>
        <w:keepLines w:val="0"/>
        <w:pageBreakBefore w:val="0"/>
        <w:numPr>
          <w:ilvl w:val="0"/>
          <w:numId w:val="0"/>
        </w:numPr>
        <w:tabs>
          <w:tab w:val="left" w:pos="284"/>
        </w:tabs>
        <w:kinsoku/>
        <w:wordWrap/>
        <w:overflowPunct/>
        <w:topLinePunct w:val="0"/>
        <w:bidi w:val="0"/>
        <w:snapToGrid/>
        <w:spacing w:line="360" w:lineRule="auto"/>
        <w:ind w:left="0" w:leftChars="0" w:right="0" w:firstLine="0" w:firstLineChars="0"/>
        <w:jc w:val="both"/>
        <w:rPr>
          <w:rFonts w:hint="eastAsia" w:ascii="宋体" w:hAnsi="宋体" w:eastAsia="宋体" w:cs="宋体"/>
          <w:color w:val="auto"/>
          <w:kern w:val="2"/>
          <w:sz w:val="21"/>
          <w:szCs w:val="21"/>
          <w:highlight w:val="none"/>
          <w:lang w:val="zh-CN"/>
        </w:rPr>
      </w:pPr>
    </w:p>
    <w:p w14:paraId="16390AF6">
      <w:pPr>
        <w:keepNext w:val="0"/>
        <w:keepLines w:val="0"/>
        <w:pageBreakBefore w:val="0"/>
        <w:widowControl w:val="0"/>
        <w:numPr>
          <w:ilvl w:val="0"/>
          <w:numId w:val="0"/>
        </w:numPr>
        <w:tabs>
          <w:tab w:val="left" w:pos="284"/>
        </w:tabs>
        <w:kinsoku/>
        <w:wordWrap/>
        <w:overflowPunct/>
        <w:topLinePunct w:val="0"/>
        <w:autoSpaceDE/>
        <w:autoSpaceDN/>
        <w:bidi w:val="0"/>
        <w:adjustRightInd/>
        <w:snapToGrid/>
        <w:spacing w:line="360" w:lineRule="auto"/>
        <w:ind w:left="420" w:leftChars="0" w:right="0" w:hanging="420" w:hangingChars="200"/>
        <w:jc w:val="both"/>
        <w:textAlignment w:val="auto"/>
        <w:rPr>
          <w:rFonts w:hint="eastAsia" w:ascii="宋体" w:hAnsi="宋体" w:eastAsia="宋体" w:cs="宋体"/>
          <w:bCs w:val="0"/>
          <w:color w:val="auto"/>
          <w:kern w:val="2"/>
          <w:sz w:val="21"/>
          <w:szCs w:val="21"/>
          <w:highlight w:val="none"/>
          <w:lang w:val="zh-CN"/>
        </w:rPr>
      </w:pPr>
      <w:r>
        <w:rPr>
          <w:rFonts w:hint="eastAsia" w:ascii="宋体" w:hAnsi="宋体" w:cs="宋体"/>
          <w:bCs w:val="0"/>
          <w:color w:val="auto"/>
          <w:kern w:val="2"/>
          <w:sz w:val="21"/>
          <w:szCs w:val="21"/>
          <w:highlight w:val="none"/>
          <w:lang w:val="en-US" w:eastAsia="zh-CN"/>
        </w:rPr>
        <w:t xml:space="preserve">7   </w:t>
      </w:r>
      <w:r>
        <w:rPr>
          <w:rFonts w:hint="eastAsia" w:ascii="宋体" w:hAnsi="宋体" w:eastAsia="宋体" w:cs="宋体"/>
          <w:bCs w:val="0"/>
          <w:color w:val="auto"/>
          <w:kern w:val="2"/>
          <w:sz w:val="21"/>
          <w:szCs w:val="21"/>
          <w:highlight w:val="none"/>
          <w:lang w:val="zh-CN"/>
        </w:rPr>
        <w:t>本项目相关公告在以下媒介发布：广东省公共资源交易平台（ygp.gdzwfw.gov.cn）、中国招标投标公共服务平台（www.cebpubservice.com）、东莞市水务集团有限公司网（www.dgswjt.cn）、招标代理机构网站（www.</w:t>
      </w:r>
      <w:r>
        <w:rPr>
          <w:rFonts w:hint="eastAsia" w:ascii="宋体" w:hAnsi="宋体" w:eastAsia="宋体" w:cs="宋体"/>
          <w:bCs w:val="0"/>
          <w:color w:val="auto"/>
          <w:kern w:val="2"/>
          <w:sz w:val="21"/>
          <w:szCs w:val="21"/>
          <w:highlight w:val="none"/>
          <w:lang w:val="zh-CN" w:eastAsia="zh-CN"/>
        </w:rPr>
        <w:t>dashengtd</w:t>
      </w:r>
      <w:r>
        <w:rPr>
          <w:rFonts w:hint="eastAsia" w:ascii="宋体" w:hAnsi="宋体" w:eastAsia="宋体" w:cs="宋体"/>
          <w:bCs w:val="0"/>
          <w:color w:val="auto"/>
          <w:kern w:val="2"/>
          <w:sz w:val="21"/>
          <w:szCs w:val="21"/>
          <w:highlight w:val="none"/>
          <w:lang w:val="zh-CN"/>
        </w:rPr>
        <w:t>.com）</w:t>
      </w:r>
      <w:r>
        <w:rPr>
          <w:rFonts w:hint="eastAsia" w:ascii="宋体" w:hAnsi="宋体" w:eastAsia="宋体" w:cs="宋体"/>
          <w:color w:val="auto"/>
          <w:kern w:val="2"/>
          <w:sz w:val="21"/>
          <w:szCs w:val="21"/>
          <w:highlight w:val="none"/>
          <w:lang w:val="zh-CN"/>
        </w:rPr>
        <w:t>。</w:t>
      </w:r>
    </w:p>
    <w:p w14:paraId="5A89B8F0">
      <w:pPr>
        <w:keepNext w:val="0"/>
        <w:keepLines w:val="0"/>
        <w:pageBreakBefore w:val="0"/>
        <w:tabs>
          <w:tab w:val="left" w:pos="284"/>
        </w:tabs>
        <w:kinsoku/>
        <w:wordWrap/>
        <w:overflowPunct/>
        <w:topLinePunct w:val="0"/>
        <w:bidi w:val="0"/>
        <w:snapToGrid/>
        <w:spacing w:line="360" w:lineRule="auto"/>
        <w:ind w:left="0" w:leftChars="0" w:right="0" w:firstLine="0" w:firstLineChars="0"/>
        <w:jc w:val="both"/>
        <w:rPr>
          <w:rFonts w:hint="eastAsia" w:ascii="宋体" w:hAnsi="宋体" w:eastAsia="宋体" w:cs="宋体"/>
          <w:color w:val="auto"/>
          <w:kern w:val="2"/>
          <w:sz w:val="21"/>
          <w:szCs w:val="21"/>
          <w:highlight w:val="none"/>
          <w:lang w:val="zh-CN"/>
        </w:rPr>
      </w:pPr>
    </w:p>
    <w:p w14:paraId="28D05078">
      <w:pPr>
        <w:keepNext w:val="0"/>
        <w:keepLines w:val="0"/>
        <w:pageBreakBefore w:val="0"/>
        <w:tabs>
          <w:tab w:val="left" w:pos="0"/>
        </w:tabs>
        <w:kinsoku/>
        <w:wordWrap/>
        <w:overflowPunct/>
        <w:topLinePunct w:val="0"/>
        <w:bidi w:val="0"/>
        <w:snapToGrid/>
        <w:spacing w:line="360" w:lineRule="auto"/>
        <w:ind w:left="0" w:leftChars="0" w:right="0" w:firstLine="0" w:firstLineChars="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8</w:t>
      </w:r>
      <w:r>
        <w:rPr>
          <w:rFonts w:hint="eastAsia" w:ascii="宋体" w:hAnsi="宋体" w:cs="宋体"/>
          <w:color w:val="auto"/>
          <w:kern w:val="2"/>
          <w:sz w:val="21"/>
          <w:szCs w:val="21"/>
          <w:highlight w:val="none"/>
          <w:lang w:val="en-US" w:eastAsia="zh-CN"/>
        </w:rPr>
        <w:t xml:space="preserve">   采购人</w:t>
      </w:r>
      <w:r>
        <w:rPr>
          <w:rFonts w:hint="eastAsia" w:ascii="宋体" w:hAnsi="宋体" w:eastAsia="宋体" w:cs="宋体"/>
          <w:color w:val="auto"/>
          <w:kern w:val="2"/>
          <w:sz w:val="21"/>
          <w:szCs w:val="21"/>
          <w:highlight w:val="none"/>
          <w:lang w:val="zh-CN"/>
        </w:rPr>
        <w:t>联系方式</w:t>
      </w:r>
    </w:p>
    <w:p w14:paraId="0903896A">
      <w:pPr>
        <w:keepNext w:val="0"/>
        <w:keepLines w:val="0"/>
        <w:pageBreakBefore w:val="0"/>
        <w:widowControl/>
        <w:tabs>
          <w:tab w:val="left" w:pos="0"/>
        </w:tabs>
        <w:kinsoku/>
        <w:wordWrap/>
        <w:overflowPunct/>
        <w:topLinePunct w:val="0"/>
        <w:bidi w:val="0"/>
        <w:snapToGrid/>
        <w:spacing w:line="360" w:lineRule="auto"/>
        <w:ind w:left="0" w:leftChars="0" w:right="0" w:firstLine="420" w:firstLineChars="200"/>
        <w:textAlignment w:val="bottom"/>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采购人：东莞市众源环境投资有限公司</w:t>
      </w:r>
    </w:p>
    <w:p w14:paraId="476E911E">
      <w:pPr>
        <w:keepNext w:val="0"/>
        <w:keepLines w:val="0"/>
        <w:pageBreakBefore w:val="0"/>
        <w:widowControl/>
        <w:tabs>
          <w:tab w:val="left" w:pos="0"/>
        </w:tabs>
        <w:kinsoku/>
        <w:wordWrap/>
        <w:overflowPunct/>
        <w:topLinePunct w:val="0"/>
        <w:bidi w:val="0"/>
        <w:snapToGrid/>
        <w:spacing w:line="360" w:lineRule="auto"/>
        <w:ind w:left="0" w:leftChars="0" w:right="0" w:firstLine="420" w:firstLineChars="200"/>
        <w:textAlignment w:val="bottom"/>
        <w:rPr>
          <w:rFonts w:hint="eastAsia" w:ascii="宋体" w:hAnsi="宋体" w:eastAsia="宋体" w:cs="宋体"/>
          <w:color w:val="auto"/>
          <w:w w:val="95"/>
          <w:sz w:val="21"/>
          <w:szCs w:val="21"/>
          <w:highlight w:val="none"/>
        </w:rPr>
      </w:pPr>
      <w:r>
        <w:rPr>
          <w:rFonts w:hint="eastAsia" w:ascii="宋体" w:hAnsi="宋体" w:eastAsia="宋体" w:cs="宋体"/>
          <w:color w:val="auto"/>
          <w:sz w:val="21"/>
          <w:szCs w:val="21"/>
          <w:highlight w:val="none"/>
        </w:rPr>
        <w:t xml:space="preserve">地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址：</w:t>
      </w:r>
      <w:r>
        <w:rPr>
          <w:rFonts w:hint="eastAsia" w:ascii="宋体" w:hAnsi="宋体" w:eastAsia="宋体" w:cs="宋体"/>
          <w:color w:val="auto"/>
          <w:w w:val="95"/>
          <w:sz w:val="21"/>
          <w:szCs w:val="21"/>
          <w:highlight w:val="none"/>
        </w:rPr>
        <w:t>东莞市南城街道滨河路100号二期（东莞市水务集团净水有限公司）新大门内3号楼3楼</w:t>
      </w:r>
    </w:p>
    <w:p w14:paraId="46BDDFE7">
      <w:pPr>
        <w:keepNext w:val="0"/>
        <w:keepLines w:val="0"/>
        <w:pageBreakBefore w:val="0"/>
        <w:widowControl/>
        <w:tabs>
          <w:tab w:val="left" w:pos="0"/>
        </w:tabs>
        <w:kinsoku/>
        <w:wordWrap/>
        <w:overflowPunct/>
        <w:topLinePunct w:val="0"/>
        <w:bidi w:val="0"/>
        <w:snapToGrid/>
        <w:spacing w:line="360" w:lineRule="auto"/>
        <w:ind w:left="0" w:leftChars="0" w:right="0" w:firstLine="420" w:firstLineChars="200"/>
        <w:textAlignment w:val="bottom"/>
        <w:rPr>
          <w:rFonts w:hint="eastAsia" w:ascii="宋体" w:hAnsi="宋体" w:eastAsia="宋体" w:cs="宋体"/>
          <w:color w:val="auto"/>
          <w:sz w:val="21"/>
          <w:szCs w:val="32"/>
          <w:highlight w:val="none"/>
        </w:rPr>
      </w:pPr>
      <w:r>
        <w:rPr>
          <w:rFonts w:hint="eastAsia" w:ascii="宋体" w:hAnsi="宋体" w:eastAsia="宋体" w:cs="宋体"/>
          <w:color w:val="auto"/>
          <w:sz w:val="21"/>
          <w:szCs w:val="32"/>
          <w:highlight w:val="none"/>
        </w:rPr>
        <w:t>联系人：龚浩</w:t>
      </w:r>
    </w:p>
    <w:p w14:paraId="796EFAD0">
      <w:pPr>
        <w:keepNext w:val="0"/>
        <w:keepLines w:val="0"/>
        <w:pageBreakBefore w:val="0"/>
        <w:widowControl/>
        <w:tabs>
          <w:tab w:val="left" w:pos="0"/>
        </w:tabs>
        <w:kinsoku/>
        <w:wordWrap/>
        <w:overflowPunct/>
        <w:topLinePunct w:val="0"/>
        <w:bidi w:val="0"/>
        <w:snapToGrid/>
        <w:spacing w:line="360" w:lineRule="auto"/>
        <w:ind w:left="0" w:leftChars="0" w:right="0" w:firstLine="420" w:firstLineChars="200"/>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话：0769-22621996</w:t>
      </w:r>
    </w:p>
    <w:p w14:paraId="5EEC56CB">
      <w:pPr>
        <w:keepNext w:val="0"/>
        <w:keepLines w:val="0"/>
        <w:pageBreakBefore w:val="0"/>
        <w:tabs>
          <w:tab w:val="left" w:pos="284"/>
        </w:tabs>
        <w:kinsoku/>
        <w:wordWrap/>
        <w:overflowPunct/>
        <w:topLinePunct w:val="0"/>
        <w:bidi w:val="0"/>
        <w:snapToGrid/>
        <w:spacing w:line="360" w:lineRule="auto"/>
        <w:ind w:left="0" w:leftChars="0" w:right="0" w:firstLine="0" w:firstLineChars="0"/>
        <w:jc w:val="both"/>
        <w:rPr>
          <w:rFonts w:hint="eastAsia" w:ascii="宋体" w:hAnsi="宋体" w:eastAsia="宋体" w:cs="宋体"/>
          <w:color w:val="auto"/>
          <w:highlight w:val="none"/>
        </w:rPr>
      </w:pPr>
    </w:p>
    <w:p w14:paraId="4600512D">
      <w:pPr>
        <w:keepNext w:val="0"/>
        <w:keepLines w:val="0"/>
        <w:pageBreakBefore w:val="0"/>
        <w:tabs>
          <w:tab w:val="left" w:pos="0"/>
        </w:tabs>
        <w:kinsoku/>
        <w:wordWrap/>
        <w:overflowPunct/>
        <w:topLinePunct w:val="0"/>
        <w:bidi w:val="0"/>
        <w:snapToGrid/>
        <w:spacing w:line="360" w:lineRule="auto"/>
        <w:ind w:left="0" w:leftChars="0" w:right="0" w:firstLine="0" w:firstLineChars="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9</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采购代理机构联系方式</w:t>
      </w:r>
    </w:p>
    <w:p w14:paraId="3700199C">
      <w:pPr>
        <w:keepNext w:val="0"/>
        <w:keepLines w:val="0"/>
        <w:pageBreakBefore w:val="0"/>
        <w:widowControl/>
        <w:tabs>
          <w:tab w:val="left" w:pos="0"/>
        </w:tabs>
        <w:kinsoku/>
        <w:wordWrap/>
        <w:overflowPunct/>
        <w:topLinePunct w:val="0"/>
        <w:bidi w:val="0"/>
        <w:snapToGrid/>
        <w:spacing w:line="360" w:lineRule="auto"/>
        <w:ind w:left="0" w:leftChars="0" w:right="0" w:firstLine="420" w:firstLineChars="200"/>
        <w:textAlignment w:val="bottom"/>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采购</w:t>
      </w:r>
      <w:r>
        <w:rPr>
          <w:rFonts w:hint="eastAsia" w:ascii="宋体" w:hAnsi="宋体" w:eastAsia="宋体" w:cs="宋体"/>
          <w:color w:val="auto"/>
          <w:sz w:val="21"/>
          <w:szCs w:val="21"/>
          <w:highlight w:val="none"/>
        </w:rPr>
        <w:t>代理机构</w:t>
      </w:r>
      <w:r>
        <w:rPr>
          <w:rFonts w:hint="eastAsia" w:ascii="宋体" w:hAnsi="宋体" w:eastAsia="宋体" w:cs="宋体"/>
          <w:color w:val="auto"/>
          <w:kern w:val="2"/>
          <w:sz w:val="21"/>
          <w:szCs w:val="21"/>
          <w:highlight w:val="none"/>
          <w:lang w:val="zh-CN"/>
        </w:rPr>
        <w:t>：</w:t>
      </w:r>
      <w:r>
        <w:rPr>
          <w:rFonts w:hint="eastAsia" w:ascii="宋体" w:hAnsi="宋体" w:cs="宋体"/>
          <w:color w:val="auto"/>
          <w:kern w:val="2"/>
          <w:sz w:val="21"/>
          <w:szCs w:val="21"/>
          <w:highlight w:val="none"/>
          <w:lang w:val="zh-CN" w:eastAsia="zh-CN"/>
        </w:rPr>
        <w:t>东莞市达盛招标代理有限公司</w:t>
      </w:r>
    </w:p>
    <w:p w14:paraId="4815F6A2">
      <w:pPr>
        <w:keepNext w:val="0"/>
        <w:keepLines w:val="0"/>
        <w:pageBreakBefore w:val="0"/>
        <w:widowControl/>
        <w:tabs>
          <w:tab w:val="left" w:pos="0"/>
        </w:tabs>
        <w:kinsoku/>
        <w:wordWrap/>
        <w:overflowPunct/>
        <w:topLinePunct w:val="0"/>
        <w:bidi w:val="0"/>
        <w:snapToGrid/>
        <w:spacing w:line="360" w:lineRule="auto"/>
        <w:ind w:left="0" w:leftChars="0" w:right="0" w:firstLine="420" w:firstLineChars="200"/>
        <w:textAlignment w:val="bottom"/>
        <w:rPr>
          <w:rFonts w:hint="eastAsia" w:ascii="宋体" w:hAnsi="宋体" w:eastAsia="宋体" w:cs="宋体"/>
          <w:color w:val="auto"/>
          <w:sz w:val="21"/>
          <w:szCs w:val="32"/>
          <w:highlight w:val="none"/>
        </w:rPr>
      </w:pPr>
      <w:r>
        <w:rPr>
          <w:rFonts w:hint="eastAsia" w:ascii="宋体" w:hAnsi="宋体" w:eastAsia="宋体" w:cs="宋体"/>
          <w:color w:val="auto"/>
          <w:sz w:val="21"/>
          <w:szCs w:val="32"/>
          <w:highlight w:val="none"/>
        </w:rPr>
        <w:t xml:space="preserve">地 </w:t>
      </w:r>
      <w:r>
        <w:rPr>
          <w:rFonts w:hint="eastAsia" w:ascii="宋体" w:hAnsi="宋体" w:cs="宋体"/>
          <w:color w:val="auto"/>
          <w:sz w:val="21"/>
          <w:szCs w:val="32"/>
          <w:highlight w:val="none"/>
          <w:lang w:val="en-US" w:eastAsia="zh-CN"/>
        </w:rPr>
        <w:t xml:space="preserve"> </w:t>
      </w:r>
      <w:r>
        <w:rPr>
          <w:rFonts w:hint="eastAsia" w:ascii="宋体" w:hAnsi="宋体" w:eastAsia="宋体" w:cs="宋体"/>
          <w:color w:val="auto"/>
          <w:sz w:val="21"/>
          <w:szCs w:val="32"/>
          <w:highlight w:val="none"/>
        </w:rPr>
        <w:t>址：</w:t>
      </w:r>
      <w:r>
        <w:rPr>
          <w:rFonts w:hint="eastAsia" w:ascii="宋体" w:hAnsi="宋体" w:eastAsia="宋体" w:cs="宋体"/>
          <w:color w:val="auto"/>
          <w:sz w:val="21"/>
          <w:szCs w:val="32"/>
          <w:highlight w:val="none"/>
          <w:lang w:val="en-US" w:eastAsia="zh-CN"/>
        </w:rPr>
        <w:t>东莞市东城街道御景大厦303室（东城区政府旁）</w:t>
      </w:r>
    </w:p>
    <w:p w14:paraId="6E985272">
      <w:pPr>
        <w:keepNext w:val="0"/>
        <w:keepLines w:val="0"/>
        <w:pageBreakBefore w:val="0"/>
        <w:widowControl/>
        <w:tabs>
          <w:tab w:val="left" w:pos="0"/>
        </w:tabs>
        <w:kinsoku/>
        <w:wordWrap/>
        <w:overflowPunct/>
        <w:topLinePunct w:val="0"/>
        <w:bidi w:val="0"/>
        <w:snapToGrid/>
        <w:spacing w:line="360" w:lineRule="auto"/>
        <w:ind w:left="0" w:leftChars="0" w:right="0" w:firstLine="420" w:firstLineChars="200"/>
        <w:textAlignment w:val="bottom"/>
        <w:rPr>
          <w:rFonts w:hint="eastAsia" w:ascii="宋体" w:hAnsi="宋体" w:eastAsia="宋体" w:cs="宋体"/>
          <w:color w:val="auto"/>
          <w:sz w:val="21"/>
          <w:szCs w:val="32"/>
          <w:highlight w:val="none"/>
          <w:lang w:val="en-US" w:eastAsia="zh-CN"/>
        </w:rPr>
      </w:pPr>
      <w:r>
        <w:rPr>
          <w:rFonts w:hint="eastAsia" w:ascii="宋体" w:hAnsi="宋体" w:eastAsia="宋体" w:cs="宋体"/>
          <w:color w:val="auto"/>
          <w:sz w:val="21"/>
          <w:szCs w:val="32"/>
          <w:highlight w:val="none"/>
        </w:rPr>
        <w:t>联系人：</w:t>
      </w:r>
      <w:r>
        <w:rPr>
          <w:rFonts w:hint="eastAsia" w:ascii="宋体" w:hAnsi="宋体" w:eastAsia="宋体" w:cs="宋体"/>
          <w:color w:val="auto"/>
          <w:sz w:val="21"/>
          <w:szCs w:val="32"/>
          <w:highlight w:val="none"/>
          <w:lang w:val="en-US" w:eastAsia="zh-CN"/>
        </w:rPr>
        <w:t>杨浩林</w:t>
      </w:r>
    </w:p>
    <w:p w14:paraId="08F76F40">
      <w:pPr>
        <w:keepNext w:val="0"/>
        <w:keepLines w:val="0"/>
        <w:pageBreakBefore w:val="0"/>
        <w:widowControl/>
        <w:tabs>
          <w:tab w:val="left" w:pos="0"/>
        </w:tabs>
        <w:kinsoku/>
        <w:wordWrap/>
        <w:overflowPunct/>
        <w:topLinePunct w:val="0"/>
        <w:bidi w:val="0"/>
        <w:snapToGrid/>
        <w:spacing w:line="360" w:lineRule="auto"/>
        <w:ind w:left="0" w:leftChars="0" w:right="0" w:firstLine="420" w:firstLineChars="200"/>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话：0769-22</w:t>
      </w:r>
      <w:r>
        <w:rPr>
          <w:rFonts w:hint="eastAsia" w:ascii="宋体" w:hAnsi="宋体" w:eastAsia="宋体" w:cs="宋体"/>
          <w:color w:val="auto"/>
          <w:sz w:val="21"/>
          <w:szCs w:val="21"/>
          <w:highlight w:val="none"/>
          <w:lang w:val="en-US" w:eastAsia="zh-CN"/>
        </w:rPr>
        <w:t>113229</w:t>
      </w:r>
    </w:p>
    <w:p w14:paraId="48DF2041">
      <w:pPr>
        <w:widowControl/>
        <w:tabs>
          <w:tab w:val="left" w:pos="0"/>
        </w:tabs>
        <w:spacing w:line="360" w:lineRule="auto"/>
        <w:ind w:right="-36" w:firstLine="140" w:firstLineChars="67"/>
        <w:textAlignment w:val="bottom"/>
        <w:rPr>
          <w:rFonts w:hint="eastAsia" w:ascii="宋体" w:hAnsi="宋体" w:eastAsia="宋体" w:cs="宋体"/>
          <w:color w:val="auto"/>
          <w:sz w:val="21"/>
          <w:szCs w:val="21"/>
          <w:highlight w:val="none"/>
          <w:lang w:val="en-US" w:eastAsia="zh-CN"/>
        </w:rPr>
      </w:pPr>
    </w:p>
    <w:p w14:paraId="2396239C">
      <w:pPr>
        <w:pageBreakBefore/>
        <w:spacing w:line="360" w:lineRule="auto"/>
        <w:ind w:left="-195" w:leftChars="-100" w:hanging="45"/>
        <w:jc w:val="center"/>
        <w:outlineLvl w:val="0"/>
        <w:rPr>
          <w:rFonts w:hint="eastAsia" w:ascii="宋体" w:hAnsi="宋体" w:eastAsia="宋体" w:cs="宋体"/>
          <w:b/>
          <w:bCs/>
          <w:kern w:val="44"/>
          <w:sz w:val="32"/>
          <w:szCs w:val="32"/>
          <w:lang w:val="zh-CN"/>
        </w:rPr>
      </w:pPr>
      <w:bookmarkStart w:id="4" w:name="_Toc19427"/>
      <w:bookmarkStart w:id="5" w:name="_Toc450662847"/>
      <w:bookmarkStart w:id="6" w:name="_Toc521918065"/>
      <w:r>
        <w:rPr>
          <w:rFonts w:hint="eastAsia" w:ascii="宋体" w:hAnsi="宋体" w:eastAsia="宋体" w:cs="宋体"/>
          <w:b/>
          <w:bCs/>
          <w:kern w:val="44"/>
          <w:sz w:val="32"/>
          <w:szCs w:val="32"/>
          <w:lang w:val="zh-CN"/>
        </w:rPr>
        <w:t>第二篇</w:t>
      </w:r>
      <w:r>
        <w:rPr>
          <w:rFonts w:hint="eastAsia" w:ascii="宋体" w:hAnsi="宋体" w:eastAsia="宋体" w:cs="宋体"/>
          <w:b/>
          <w:bCs/>
          <w:kern w:val="44"/>
          <w:sz w:val="32"/>
          <w:szCs w:val="32"/>
          <w:lang w:val="zh-CN" w:eastAsia="zh-CN"/>
        </w:rPr>
        <w:t xml:space="preserve"> 磋商</w:t>
      </w:r>
      <w:r>
        <w:rPr>
          <w:rFonts w:hint="eastAsia" w:ascii="宋体" w:hAnsi="宋体" w:eastAsia="宋体" w:cs="宋体"/>
          <w:b/>
          <w:bCs/>
          <w:kern w:val="44"/>
          <w:sz w:val="32"/>
          <w:szCs w:val="32"/>
          <w:lang w:val="zh-CN"/>
        </w:rPr>
        <w:t>须知</w:t>
      </w:r>
      <w:bookmarkEnd w:id="4"/>
      <w:bookmarkEnd w:id="5"/>
      <w:bookmarkEnd w:id="6"/>
    </w:p>
    <w:p w14:paraId="2C9A8AA7">
      <w:pPr>
        <w:spacing w:line="360" w:lineRule="auto"/>
        <w:ind w:firstLine="211" w:firstLineChars="100"/>
        <w:jc w:val="left"/>
        <w:outlineLvl w:val="1"/>
        <w:rPr>
          <w:rFonts w:hint="eastAsia" w:ascii="宋体" w:hAnsi="宋体" w:eastAsia="宋体" w:cs="宋体"/>
          <w:b/>
          <w:bCs/>
          <w:kern w:val="44"/>
          <w:sz w:val="21"/>
          <w:szCs w:val="21"/>
          <w:lang w:val="zh-CN"/>
        </w:rPr>
      </w:pPr>
      <w:bookmarkStart w:id="7" w:name="_Toc24918"/>
      <w:bookmarkStart w:id="8" w:name="_Toc450662848"/>
      <w:bookmarkStart w:id="9" w:name="_Toc521918066"/>
      <w:r>
        <w:rPr>
          <w:rFonts w:hint="eastAsia" w:ascii="宋体" w:hAnsi="宋体" w:eastAsia="宋体" w:cs="宋体"/>
          <w:b/>
          <w:bCs/>
          <w:kern w:val="44"/>
          <w:sz w:val="21"/>
          <w:szCs w:val="21"/>
          <w:lang w:val="zh-CN"/>
        </w:rPr>
        <w:t>一、总则</w:t>
      </w:r>
      <w:bookmarkEnd w:id="7"/>
      <w:bookmarkEnd w:id="8"/>
      <w:bookmarkEnd w:id="9"/>
    </w:p>
    <w:p w14:paraId="282815B7">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0" w:name="_Toc450662849"/>
      <w:bookmarkStart w:id="11" w:name="_Toc30538"/>
      <w:bookmarkStart w:id="12" w:name="_Toc521918067"/>
      <w:r>
        <w:rPr>
          <w:rFonts w:hint="eastAsia" w:ascii="宋体" w:hAnsi="宋体" w:eastAsia="宋体" w:cs="宋体"/>
          <w:color w:val="auto"/>
          <w:kern w:val="2"/>
          <w:sz w:val="21"/>
          <w:szCs w:val="21"/>
          <w:highlight w:val="none"/>
          <w:lang w:val="zh-CN"/>
        </w:rPr>
        <w:t>1</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资金来源：企业自筹资金。</w:t>
      </w:r>
      <w:bookmarkEnd w:id="10"/>
      <w:bookmarkEnd w:id="11"/>
      <w:bookmarkEnd w:id="12"/>
    </w:p>
    <w:p w14:paraId="206F1500">
      <w:pPr>
        <w:spacing w:line="360" w:lineRule="auto"/>
        <w:jc w:val="both"/>
        <w:rPr>
          <w:rFonts w:hint="eastAsia" w:ascii="宋体" w:hAnsi="宋体" w:eastAsia="宋体" w:cs="宋体"/>
          <w:color w:val="auto"/>
          <w:highlight w:val="none"/>
          <w:lang w:val="zh-CN"/>
        </w:rPr>
      </w:pPr>
    </w:p>
    <w:p w14:paraId="472BE17E">
      <w:pPr>
        <w:tabs>
          <w:tab w:val="left" w:pos="567"/>
        </w:tabs>
        <w:spacing w:line="360" w:lineRule="auto"/>
        <w:ind w:left="567" w:hanging="567"/>
        <w:jc w:val="both"/>
        <w:outlineLvl w:val="2"/>
        <w:rPr>
          <w:rFonts w:hint="eastAsia" w:ascii="宋体" w:hAnsi="宋体" w:eastAsia="宋体" w:cs="宋体"/>
          <w:b/>
          <w:bCs/>
          <w:color w:val="auto"/>
          <w:kern w:val="2"/>
          <w:sz w:val="21"/>
          <w:szCs w:val="21"/>
          <w:highlight w:val="none"/>
          <w:lang w:val="zh-CN"/>
        </w:rPr>
      </w:pPr>
      <w:bookmarkStart w:id="13" w:name="_Toc534216347"/>
      <w:bookmarkStart w:id="14" w:name="_Toc28598"/>
      <w:bookmarkStart w:id="15" w:name="_Toc521918068"/>
      <w:bookmarkStart w:id="16" w:name="_Toc450662850"/>
      <w:r>
        <w:rPr>
          <w:rFonts w:hint="eastAsia" w:ascii="宋体" w:hAnsi="宋体" w:eastAsia="宋体" w:cs="宋体"/>
          <w:b/>
          <w:bCs/>
          <w:color w:val="auto"/>
          <w:kern w:val="2"/>
          <w:sz w:val="21"/>
          <w:szCs w:val="21"/>
          <w:highlight w:val="none"/>
          <w:lang w:val="zh-CN"/>
        </w:rPr>
        <w:t>2</w:t>
      </w:r>
      <w:r>
        <w:rPr>
          <w:rFonts w:hint="eastAsia" w:ascii="宋体" w:hAnsi="宋体" w:cs="宋体"/>
          <w:b/>
          <w:bCs/>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lang w:val="zh-CN"/>
        </w:rPr>
        <w:t>合格的</w:t>
      </w:r>
      <w:bookmarkEnd w:id="13"/>
      <w:r>
        <w:rPr>
          <w:rFonts w:hint="eastAsia" w:ascii="宋体" w:hAnsi="宋体" w:eastAsia="宋体" w:cs="宋体"/>
          <w:b/>
          <w:bCs/>
          <w:color w:val="auto"/>
          <w:kern w:val="2"/>
          <w:sz w:val="21"/>
          <w:szCs w:val="21"/>
          <w:highlight w:val="none"/>
          <w:lang w:val="zh-CN"/>
        </w:rPr>
        <w:t>供应商</w:t>
      </w:r>
      <w:bookmarkEnd w:id="14"/>
    </w:p>
    <w:p w14:paraId="74EADCE4">
      <w:pPr>
        <w:keepNext w:val="0"/>
        <w:keepLines w:val="0"/>
        <w:pageBreakBefore w:val="0"/>
        <w:widowControl w:val="0"/>
        <w:kinsoku/>
        <w:wordWrap/>
        <w:overflowPunct/>
        <w:topLinePunct w:val="0"/>
        <w:autoSpaceDE w:val="0"/>
        <w:autoSpaceDN w:val="0"/>
        <w:bidi w:val="0"/>
        <w:adjustRightInd w:val="0"/>
        <w:snapToGrid/>
        <w:spacing w:line="360" w:lineRule="auto"/>
        <w:ind w:left="420" w:hanging="422" w:hangingChars="200"/>
        <w:jc w:val="both"/>
        <w:textAlignment w:val="auto"/>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 xml:space="preserve">2.1 </w:t>
      </w:r>
      <w:r>
        <w:rPr>
          <w:rFonts w:hint="eastAsia" w:ascii="宋体" w:hAnsi="宋体" w:eastAsia="宋体" w:cs="宋体"/>
          <w:b/>
          <w:bCs/>
          <w:color w:val="auto"/>
          <w:kern w:val="2"/>
          <w:sz w:val="21"/>
          <w:szCs w:val="21"/>
          <w:highlight w:val="none"/>
          <w:u w:val="single"/>
          <w:lang w:val="zh-CN"/>
        </w:rPr>
        <w:t>合格的供应商条件见第一篇《竞争性磋商</w:t>
      </w:r>
      <w:r>
        <w:rPr>
          <w:rFonts w:hint="eastAsia" w:ascii="宋体" w:hAnsi="宋体" w:cs="宋体"/>
          <w:b/>
          <w:bCs/>
          <w:color w:val="auto"/>
          <w:kern w:val="2"/>
          <w:sz w:val="21"/>
          <w:szCs w:val="21"/>
          <w:highlight w:val="none"/>
          <w:u w:val="single"/>
          <w:lang w:val="en-US" w:eastAsia="zh-CN"/>
        </w:rPr>
        <w:t>公告</w:t>
      </w:r>
      <w:r>
        <w:rPr>
          <w:rFonts w:hint="eastAsia" w:ascii="宋体" w:hAnsi="宋体" w:eastAsia="宋体" w:cs="宋体"/>
          <w:b/>
          <w:bCs/>
          <w:color w:val="auto"/>
          <w:kern w:val="2"/>
          <w:sz w:val="21"/>
          <w:szCs w:val="21"/>
          <w:highlight w:val="none"/>
          <w:u w:val="single"/>
          <w:lang w:val="zh-CN"/>
        </w:rPr>
        <w:t>》中第2条的“合格供应商资格要求”及本条以下2.2款至</w:t>
      </w:r>
      <w:r>
        <w:rPr>
          <w:rFonts w:hint="eastAsia" w:ascii="宋体" w:hAnsi="宋体" w:eastAsia="宋体" w:cs="宋体"/>
          <w:b/>
          <w:bCs/>
          <w:color w:val="auto"/>
          <w:kern w:val="2"/>
          <w:sz w:val="21"/>
          <w:szCs w:val="21"/>
          <w:highlight w:val="none"/>
          <w:u w:val="single"/>
          <w:lang w:val="en-US" w:eastAsia="zh-CN"/>
        </w:rPr>
        <w:t>2.</w:t>
      </w:r>
      <w:r>
        <w:rPr>
          <w:rFonts w:hint="eastAsia" w:ascii="宋体" w:hAnsi="宋体" w:cs="宋体"/>
          <w:b/>
          <w:bCs/>
          <w:color w:val="auto"/>
          <w:kern w:val="2"/>
          <w:sz w:val="21"/>
          <w:szCs w:val="21"/>
          <w:highlight w:val="none"/>
          <w:u w:val="single"/>
          <w:lang w:val="en-US" w:eastAsia="zh-CN"/>
        </w:rPr>
        <w:t>4</w:t>
      </w:r>
      <w:r>
        <w:rPr>
          <w:rFonts w:hint="eastAsia" w:ascii="宋体" w:hAnsi="宋体" w:eastAsia="宋体" w:cs="宋体"/>
          <w:b/>
          <w:bCs/>
          <w:color w:val="auto"/>
          <w:kern w:val="2"/>
          <w:sz w:val="21"/>
          <w:szCs w:val="21"/>
          <w:highlight w:val="none"/>
          <w:u w:val="single"/>
          <w:lang w:val="zh-CN"/>
        </w:rPr>
        <w:t>款的通用要求</w:t>
      </w:r>
      <w:r>
        <w:rPr>
          <w:rFonts w:hint="eastAsia" w:ascii="宋体" w:hAnsi="宋体" w:eastAsia="宋体" w:cs="宋体"/>
          <w:b/>
          <w:bCs/>
          <w:color w:val="auto"/>
          <w:kern w:val="2"/>
          <w:sz w:val="21"/>
          <w:szCs w:val="21"/>
          <w:highlight w:val="none"/>
          <w:u w:val="none"/>
          <w:lang w:val="zh-CN"/>
        </w:rPr>
        <w:t>。</w:t>
      </w:r>
    </w:p>
    <w:p w14:paraId="088B2062">
      <w:pPr>
        <w:keepNext w:val="0"/>
        <w:keepLines w:val="0"/>
        <w:pageBreakBefore w:val="0"/>
        <w:widowControl w:val="0"/>
        <w:kinsoku/>
        <w:wordWrap/>
        <w:overflowPunct/>
        <w:topLinePunct w:val="0"/>
        <w:autoSpaceDE w:val="0"/>
        <w:autoSpaceDN w:val="0"/>
        <w:bidi w:val="0"/>
        <w:adjustRightInd w:val="0"/>
        <w:snapToGrid/>
        <w:spacing w:line="360" w:lineRule="auto"/>
        <w:ind w:left="420" w:hanging="422" w:hangingChars="200"/>
        <w:jc w:val="both"/>
        <w:textAlignment w:val="auto"/>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sz w:val="21"/>
          <w:szCs w:val="21"/>
          <w:highlight w:val="none"/>
          <w:lang w:val="zh-CN"/>
        </w:rPr>
        <w:t>2.</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zh-CN"/>
        </w:rPr>
        <w:t xml:space="preserve"> </w:t>
      </w:r>
      <w:r>
        <w:rPr>
          <w:rFonts w:hint="eastAsia" w:ascii="宋体" w:hAnsi="宋体" w:eastAsia="宋体" w:cs="宋体"/>
          <w:b/>
          <w:bCs/>
          <w:color w:val="auto"/>
          <w:sz w:val="21"/>
          <w:szCs w:val="21"/>
          <w:highlight w:val="none"/>
          <w:u w:val="single"/>
          <w:lang w:val="zh-CN"/>
        </w:rPr>
        <w:t>供应商</w:t>
      </w:r>
      <w:r>
        <w:rPr>
          <w:rFonts w:hint="eastAsia" w:ascii="宋体" w:hAnsi="宋体" w:eastAsia="宋体" w:cs="宋体"/>
          <w:b/>
          <w:bCs/>
          <w:color w:val="auto"/>
          <w:kern w:val="2"/>
          <w:sz w:val="21"/>
          <w:szCs w:val="21"/>
          <w:highlight w:val="none"/>
          <w:u w:val="single"/>
          <w:lang w:val="zh-CN"/>
        </w:rPr>
        <w:t>在参加本项目磋商前的三年内不得在投标活动中存在《中华人民共和国招标投标法》第五十三条（相互串通投标或者与采购人串通投标，以向采购人或者评标委员会成员行贿的手段谋取中标）、第五十四条（以他人名义投标或者以其他方式弄虚作假，骗取中标）、第六十条（</w:t>
      </w:r>
      <w:r>
        <w:rPr>
          <w:rFonts w:hint="eastAsia" w:ascii="宋体" w:hAnsi="宋体" w:cs="宋体"/>
          <w:b/>
          <w:bCs/>
          <w:color w:val="auto"/>
          <w:kern w:val="2"/>
          <w:sz w:val="21"/>
          <w:szCs w:val="21"/>
          <w:highlight w:val="none"/>
          <w:u w:val="single"/>
          <w:lang w:val="zh-CN"/>
        </w:rPr>
        <w:t>成交人</w:t>
      </w:r>
      <w:r>
        <w:rPr>
          <w:rFonts w:hint="eastAsia" w:ascii="宋体" w:hAnsi="宋体" w:eastAsia="宋体" w:cs="宋体"/>
          <w:b/>
          <w:bCs/>
          <w:color w:val="auto"/>
          <w:kern w:val="2"/>
          <w:sz w:val="21"/>
          <w:szCs w:val="21"/>
          <w:highlight w:val="none"/>
          <w:u w:val="single"/>
          <w:lang w:val="zh-CN"/>
        </w:rPr>
        <w:t>不履行与采购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w:t>
      </w:r>
      <w:r>
        <w:rPr>
          <w:rFonts w:hint="eastAsia" w:ascii="宋体" w:hAnsi="宋体" w:eastAsia="宋体" w:cs="宋体"/>
          <w:b/>
          <w:bCs/>
          <w:color w:val="auto"/>
          <w:kern w:val="2"/>
          <w:sz w:val="21"/>
          <w:szCs w:val="21"/>
          <w:highlight w:val="none"/>
          <w:u w:val="single"/>
          <w:lang w:val="en-US" w:eastAsia="zh-CN"/>
        </w:rPr>
        <w:t>供应商</w:t>
      </w:r>
      <w:r>
        <w:rPr>
          <w:rFonts w:hint="eastAsia" w:ascii="宋体" w:hAnsi="宋体" w:eastAsia="宋体" w:cs="宋体"/>
          <w:b/>
          <w:bCs/>
          <w:color w:val="auto"/>
          <w:kern w:val="2"/>
          <w:sz w:val="21"/>
          <w:szCs w:val="21"/>
          <w:highlight w:val="none"/>
          <w:u w:val="single"/>
          <w:lang w:val="zh-CN"/>
        </w:rPr>
        <w:t>存在前述处罚的，在响应文件中必须主动按竞争性磋商文件的要求填报“关于失信被执行人、重大税收违法失信主体、严重违法失信行为记录名单情况说明”，如果不主动填报而被事后发现的，将取消其磋商（中标）资格，并按有关规定从重处理</w:t>
      </w:r>
      <w:r>
        <w:rPr>
          <w:rFonts w:hint="eastAsia" w:ascii="宋体" w:hAnsi="宋体" w:eastAsia="宋体" w:cs="宋体"/>
          <w:b/>
          <w:bCs/>
          <w:color w:val="auto"/>
          <w:kern w:val="2"/>
          <w:sz w:val="21"/>
          <w:szCs w:val="21"/>
          <w:highlight w:val="none"/>
          <w:u w:val="none"/>
          <w:lang w:val="zh-CN"/>
        </w:rPr>
        <w:t>。</w:t>
      </w:r>
    </w:p>
    <w:p w14:paraId="2CECDB3D">
      <w:pPr>
        <w:keepNext w:val="0"/>
        <w:keepLines w:val="0"/>
        <w:pageBreakBefore w:val="0"/>
        <w:widowControl w:val="0"/>
        <w:kinsoku/>
        <w:wordWrap/>
        <w:overflowPunct/>
        <w:topLinePunct w:val="0"/>
        <w:autoSpaceDE w:val="0"/>
        <w:autoSpaceDN w:val="0"/>
        <w:bidi w:val="0"/>
        <w:adjustRightInd w:val="0"/>
        <w:snapToGrid/>
        <w:spacing w:line="360" w:lineRule="auto"/>
        <w:ind w:left="420" w:hanging="422" w:hangingChars="200"/>
        <w:jc w:val="both"/>
        <w:textAlignment w:val="auto"/>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sz w:val="21"/>
          <w:szCs w:val="21"/>
          <w:highlight w:val="none"/>
        </w:rPr>
        <w:t>2.</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 xml:space="preserve"> </w:t>
      </w:r>
      <w:r>
        <w:rPr>
          <w:rFonts w:hint="eastAsia" w:ascii="宋体" w:hAnsi="宋体" w:eastAsia="宋体" w:cs="宋体"/>
          <w:b/>
          <w:bCs/>
          <w:color w:val="auto"/>
          <w:sz w:val="21"/>
          <w:szCs w:val="21"/>
          <w:highlight w:val="none"/>
          <w:u w:val="single"/>
          <w:lang w:eastAsia="zh-CN"/>
        </w:rPr>
        <w:t>供应商</w:t>
      </w:r>
      <w:r>
        <w:rPr>
          <w:rFonts w:hint="eastAsia" w:ascii="宋体" w:hAnsi="宋体" w:eastAsia="宋体" w:cs="宋体"/>
          <w:b/>
          <w:bCs/>
          <w:color w:val="auto"/>
          <w:sz w:val="21"/>
          <w:szCs w:val="21"/>
          <w:highlight w:val="none"/>
          <w:u w:val="single"/>
        </w:rPr>
        <w:t>（含其不具有独立法人资格的分支机构）未列入“信用中国”网站（ www.creditchina.gov.cn）失信被执行人、</w:t>
      </w:r>
      <w:r>
        <w:rPr>
          <w:rFonts w:hint="eastAsia" w:ascii="宋体" w:hAnsi="宋体" w:eastAsia="宋体" w:cs="宋体"/>
          <w:b/>
          <w:bCs/>
          <w:color w:val="auto"/>
          <w:kern w:val="2"/>
          <w:sz w:val="21"/>
          <w:szCs w:val="21"/>
          <w:highlight w:val="none"/>
          <w:u w:val="single"/>
          <w:lang w:val="zh-CN"/>
        </w:rPr>
        <w:t>重大税收违法失信主体、政府采购严重违法失信行为记录名单（处罚期限届满的除外）</w:t>
      </w:r>
      <w:r>
        <w:rPr>
          <w:rFonts w:hint="eastAsia" w:ascii="宋体" w:hAnsi="宋体" w:eastAsia="宋体" w:cs="宋体"/>
          <w:b/>
          <w:bCs/>
          <w:color w:val="auto"/>
          <w:sz w:val="21"/>
          <w:szCs w:val="21"/>
          <w:highlight w:val="none"/>
        </w:rPr>
        <w:t>。</w:t>
      </w:r>
    </w:p>
    <w:p w14:paraId="6893535F">
      <w:pPr>
        <w:keepNext w:val="0"/>
        <w:keepLines w:val="0"/>
        <w:pageBreakBefore w:val="0"/>
        <w:widowControl w:val="0"/>
        <w:kinsoku/>
        <w:wordWrap/>
        <w:overflowPunct/>
        <w:topLinePunct w:val="0"/>
        <w:autoSpaceDE w:val="0"/>
        <w:autoSpaceDN w:val="0"/>
        <w:bidi w:val="0"/>
        <w:adjustRightInd w:val="0"/>
        <w:snapToGrid/>
        <w:spacing w:line="360" w:lineRule="auto"/>
        <w:ind w:left="420" w:hanging="422" w:hanging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 xml:space="preserve"> </w:t>
      </w:r>
      <w:r>
        <w:rPr>
          <w:rFonts w:hint="eastAsia" w:ascii="宋体" w:hAnsi="宋体" w:eastAsia="宋体" w:cs="宋体"/>
          <w:b/>
          <w:bCs/>
          <w:color w:val="auto"/>
          <w:sz w:val="21"/>
          <w:szCs w:val="21"/>
          <w:highlight w:val="none"/>
          <w:u w:val="single"/>
        </w:rPr>
        <w:t>根据《中华人民共和国招标投标法实施条例》第三十四条规定，与采购人存在利害关系可能影响招标公正性的法人、其他组织或者个人，不得参加</w:t>
      </w:r>
      <w:r>
        <w:rPr>
          <w:rFonts w:hint="eastAsia" w:ascii="宋体" w:hAnsi="宋体" w:cs="宋体"/>
          <w:b/>
          <w:bCs/>
          <w:color w:val="auto"/>
          <w:sz w:val="21"/>
          <w:szCs w:val="21"/>
          <w:highlight w:val="none"/>
          <w:u w:val="single"/>
          <w:lang w:val="en-US" w:eastAsia="zh-CN"/>
        </w:rPr>
        <w:t>磋商</w:t>
      </w:r>
      <w:r>
        <w:rPr>
          <w:rFonts w:hint="eastAsia" w:ascii="宋体" w:hAnsi="宋体" w:eastAsia="宋体" w:cs="宋体"/>
          <w:b/>
          <w:bCs/>
          <w:color w:val="auto"/>
          <w:sz w:val="21"/>
          <w:szCs w:val="21"/>
          <w:highlight w:val="none"/>
          <w:u w:val="single"/>
        </w:rPr>
        <w:t>；</w:t>
      </w:r>
      <w:r>
        <w:rPr>
          <w:rFonts w:hint="eastAsia" w:ascii="宋体" w:hAnsi="宋体" w:eastAsia="宋体" w:cs="宋体"/>
          <w:b/>
          <w:bCs/>
          <w:color w:val="auto"/>
          <w:sz w:val="21"/>
          <w:szCs w:val="21"/>
          <w:highlight w:val="none"/>
          <w:u w:val="single"/>
          <w:lang w:eastAsia="zh-CN"/>
        </w:rPr>
        <w:t>供应商</w:t>
      </w:r>
      <w:r>
        <w:rPr>
          <w:rFonts w:hint="eastAsia" w:ascii="宋体" w:hAnsi="宋体" w:eastAsia="宋体" w:cs="宋体"/>
          <w:b/>
          <w:bCs/>
          <w:color w:val="auto"/>
          <w:sz w:val="21"/>
          <w:szCs w:val="21"/>
          <w:highlight w:val="none"/>
          <w:u w:val="single"/>
        </w:rPr>
        <w:t>负责人为同一人或者存在控股、管理关系的不同</w:t>
      </w:r>
      <w:r>
        <w:rPr>
          <w:rFonts w:hint="eastAsia" w:ascii="宋体" w:hAnsi="宋体" w:eastAsia="宋体" w:cs="宋体"/>
          <w:b/>
          <w:bCs/>
          <w:color w:val="auto"/>
          <w:sz w:val="21"/>
          <w:szCs w:val="21"/>
          <w:highlight w:val="none"/>
          <w:u w:val="single"/>
          <w:lang w:eastAsia="zh-CN"/>
        </w:rPr>
        <w:t>供应商</w:t>
      </w:r>
      <w:r>
        <w:rPr>
          <w:rFonts w:hint="eastAsia" w:ascii="宋体" w:hAnsi="宋体" w:eastAsia="宋体" w:cs="宋体"/>
          <w:b/>
          <w:bCs/>
          <w:color w:val="auto"/>
          <w:sz w:val="21"/>
          <w:szCs w:val="21"/>
          <w:highlight w:val="none"/>
          <w:u w:val="single"/>
        </w:rPr>
        <w:t>，不得参加同一项目</w:t>
      </w:r>
      <w:r>
        <w:rPr>
          <w:rFonts w:hint="eastAsia" w:ascii="宋体" w:hAnsi="宋体" w:cs="宋体"/>
          <w:b/>
          <w:bCs/>
          <w:color w:val="auto"/>
          <w:sz w:val="21"/>
          <w:szCs w:val="21"/>
          <w:highlight w:val="none"/>
          <w:u w:val="single"/>
          <w:lang w:val="en-US" w:eastAsia="zh-CN"/>
        </w:rPr>
        <w:t>磋商</w:t>
      </w:r>
      <w:r>
        <w:rPr>
          <w:rFonts w:hint="eastAsia" w:ascii="宋体" w:hAnsi="宋体" w:eastAsia="宋体" w:cs="宋体"/>
          <w:b/>
          <w:bCs/>
          <w:color w:val="auto"/>
          <w:sz w:val="21"/>
          <w:szCs w:val="21"/>
          <w:highlight w:val="none"/>
          <w:u w:val="single"/>
        </w:rPr>
        <w:t>。上述情况一经发现，相关</w:t>
      </w:r>
      <w:r>
        <w:rPr>
          <w:rFonts w:hint="eastAsia" w:ascii="宋体" w:hAnsi="宋体" w:cs="宋体"/>
          <w:b/>
          <w:bCs/>
          <w:color w:val="auto"/>
          <w:sz w:val="21"/>
          <w:szCs w:val="21"/>
          <w:highlight w:val="none"/>
          <w:u w:val="single"/>
          <w:lang w:val="en-US" w:eastAsia="zh-CN"/>
        </w:rPr>
        <w:t>磋商</w:t>
      </w:r>
      <w:r>
        <w:rPr>
          <w:rFonts w:hint="eastAsia" w:ascii="宋体" w:hAnsi="宋体" w:eastAsia="宋体" w:cs="宋体"/>
          <w:b/>
          <w:bCs/>
          <w:color w:val="auto"/>
          <w:sz w:val="21"/>
          <w:szCs w:val="21"/>
          <w:highlight w:val="none"/>
          <w:u w:val="single"/>
        </w:rPr>
        <w:t>均无效</w:t>
      </w:r>
      <w:r>
        <w:rPr>
          <w:rFonts w:hint="eastAsia" w:ascii="宋体" w:hAnsi="宋体" w:eastAsia="宋体" w:cs="宋体"/>
          <w:b/>
          <w:bCs/>
          <w:color w:val="auto"/>
          <w:sz w:val="21"/>
          <w:szCs w:val="21"/>
          <w:highlight w:val="none"/>
        </w:rPr>
        <w:t>。</w:t>
      </w:r>
    </w:p>
    <w:p w14:paraId="0800E578">
      <w:pPr>
        <w:tabs>
          <w:tab w:val="left" w:pos="426"/>
        </w:tabs>
        <w:spacing w:line="360" w:lineRule="auto"/>
        <w:ind w:left="529" w:hanging="529" w:hangingChars="252"/>
        <w:jc w:val="both"/>
        <w:rPr>
          <w:rFonts w:hint="eastAsia" w:ascii="宋体" w:hAnsi="宋体" w:eastAsia="宋体" w:cs="宋体"/>
          <w:color w:val="auto"/>
          <w:sz w:val="21"/>
          <w:szCs w:val="21"/>
          <w:highlight w:val="none"/>
        </w:rPr>
      </w:pPr>
    </w:p>
    <w:bookmarkEnd w:id="15"/>
    <w:bookmarkEnd w:id="16"/>
    <w:p w14:paraId="47905A8C">
      <w:pPr>
        <w:tabs>
          <w:tab w:val="left" w:pos="525"/>
        </w:tabs>
        <w:spacing w:line="360" w:lineRule="auto"/>
        <w:ind w:left="567" w:hanging="567"/>
        <w:jc w:val="both"/>
        <w:outlineLvl w:val="2"/>
        <w:rPr>
          <w:rFonts w:hint="eastAsia" w:ascii="宋体" w:hAnsi="宋体" w:eastAsia="宋体" w:cs="宋体"/>
          <w:b/>
          <w:bCs/>
          <w:color w:val="auto"/>
          <w:kern w:val="2"/>
          <w:sz w:val="21"/>
          <w:szCs w:val="21"/>
          <w:highlight w:val="none"/>
          <w:lang w:val="zh-CN"/>
        </w:rPr>
      </w:pPr>
      <w:bookmarkStart w:id="17" w:name="_Toc23847_WPSOffice_Level3"/>
      <w:bookmarkStart w:id="18" w:name="_Toc142508315"/>
      <w:bookmarkStart w:id="19" w:name="_Toc24588"/>
      <w:bookmarkStart w:id="20" w:name="_Toc11689"/>
      <w:bookmarkStart w:id="21" w:name="_Toc19774"/>
      <w:bookmarkStart w:id="22" w:name="_Toc9282"/>
      <w:bookmarkStart w:id="23" w:name="_Toc16100"/>
      <w:bookmarkStart w:id="24" w:name="_Toc450662851"/>
      <w:bookmarkStart w:id="25" w:name="_Toc51642347"/>
      <w:bookmarkStart w:id="26" w:name="_Toc521918069"/>
      <w:r>
        <w:rPr>
          <w:rFonts w:hint="eastAsia" w:ascii="宋体" w:hAnsi="宋体" w:eastAsia="宋体" w:cs="宋体"/>
          <w:b/>
          <w:bCs/>
          <w:color w:val="auto"/>
          <w:kern w:val="2"/>
          <w:sz w:val="21"/>
          <w:szCs w:val="21"/>
          <w:highlight w:val="none"/>
          <w:lang w:val="zh-CN"/>
        </w:rPr>
        <w:t>3</w:t>
      </w:r>
      <w:r>
        <w:rPr>
          <w:rFonts w:hint="eastAsia" w:ascii="宋体" w:hAnsi="宋体" w:cs="宋体"/>
          <w:b/>
          <w:bCs/>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lang w:val="zh-CN"/>
        </w:rPr>
        <w:t>合格的</w:t>
      </w:r>
      <w:bookmarkEnd w:id="17"/>
      <w:bookmarkEnd w:id="18"/>
      <w:r>
        <w:rPr>
          <w:rFonts w:hint="eastAsia" w:ascii="宋体" w:hAnsi="宋体" w:eastAsia="宋体" w:cs="宋体"/>
          <w:b/>
          <w:bCs/>
          <w:color w:val="auto"/>
          <w:kern w:val="2"/>
          <w:sz w:val="21"/>
          <w:szCs w:val="21"/>
          <w:highlight w:val="none"/>
          <w:lang w:val="zh-CN"/>
        </w:rPr>
        <w:t>服务</w:t>
      </w:r>
      <w:bookmarkEnd w:id="19"/>
      <w:bookmarkEnd w:id="20"/>
      <w:bookmarkEnd w:id="21"/>
      <w:bookmarkEnd w:id="22"/>
      <w:bookmarkEnd w:id="23"/>
    </w:p>
    <w:p w14:paraId="437DB18C">
      <w:pPr>
        <w:tabs>
          <w:tab w:val="left" w:pos="525"/>
        </w:tabs>
        <w:spacing w:line="360" w:lineRule="auto"/>
        <w:ind w:left="567" w:hanging="567"/>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cs="宋体"/>
          <w:color w:val="auto"/>
          <w:kern w:val="2"/>
          <w:sz w:val="21"/>
          <w:szCs w:val="21"/>
          <w:highlight w:val="none"/>
          <w:lang w:val="en-US" w:eastAsia="zh-CN"/>
        </w:rPr>
        <w:t xml:space="preserve">1 </w:t>
      </w:r>
      <w:r>
        <w:rPr>
          <w:rFonts w:hint="eastAsia" w:ascii="宋体" w:hAnsi="宋体" w:eastAsia="宋体" w:cs="宋体"/>
          <w:color w:val="auto"/>
          <w:kern w:val="2"/>
          <w:sz w:val="21"/>
          <w:szCs w:val="21"/>
          <w:highlight w:val="none"/>
          <w:lang w:val="zh-CN"/>
        </w:rPr>
        <w:t>“服务”是指</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按</w:t>
      </w:r>
      <w:r>
        <w:rPr>
          <w:rFonts w:hint="eastAsia" w:ascii="宋体" w:hAnsi="宋体" w:cs="宋体"/>
          <w:color w:val="auto"/>
          <w:kern w:val="2"/>
          <w:sz w:val="21"/>
          <w:szCs w:val="21"/>
          <w:highlight w:val="none"/>
          <w:lang w:val="en-US" w:eastAsia="zh-CN"/>
        </w:rPr>
        <w:t>竞争性</w:t>
      </w:r>
      <w:r>
        <w:rPr>
          <w:rFonts w:hint="eastAsia" w:ascii="宋体" w:hAnsi="宋体" w:eastAsia="宋体" w:cs="宋体"/>
          <w:color w:val="auto"/>
          <w:kern w:val="2"/>
          <w:sz w:val="21"/>
          <w:szCs w:val="21"/>
          <w:highlight w:val="none"/>
          <w:lang w:val="zh-CN"/>
        </w:rPr>
        <w:t>文件规定完成的全部服务内容，其中包括完成服务所需的货物和</w:t>
      </w:r>
    </w:p>
    <w:p w14:paraId="4E60FBE9">
      <w:pPr>
        <w:tabs>
          <w:tab w:val="left" w:pos="525"/>
        </w:tabs>
        <w:spacing w:line="360" w:lineRule="auto"/>
        <w:ind w:firstLine="420" w:firstLineChars="20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工程，及须承担的技术支持、培训和其它伴随服务。</w:t>
      </w:r>
    </w:p>
    <w:p w14:paraId="5A538B2F">
      <w:pPr>
        <w:tabs>
          <w:tab w:val="left" w:pos="525"/>
        </w:tabs>
        <w:spacing w:line="360" w:lineRule="auto"/>
        <w:ind w:left="567" w:hanging="567"/>
        <w:jc w:val="both"/>
        <w:outlineLvl w:val="9"/>
        <w:rPr>
          <w:rFonts w:hint="eastAsia" w:ascii="宋体" w:hAnsi="宋体" w:eastAsia="宋体" w:cs="宋体"/>
          <w:color w:val="auto"/>
          <w:kern w:val="2"/>
          <w:sz w:val="21"/>
          <w:szCs w:val="21"/>
          <w:highlight w:val="none"/>
          <w:lang w:val="zh-CN"/>
        </w:rPr>
      </w:pPr>
      <w:bookmarkStart w:id="27" w:name="_Toc1977663"/>
      <w:bookmarkStart w:id="28" w:name="_Toc533708063"/>
      <w:r>
        <w:rPr>
          <w:rFonts w:hint="eastAsia" w:ascii="宋体" w:hAnsi="宋体" w:eastAsia="宋体" w:cs="宋体"/>
          <w:color w:val="auto"/>
          <w:kern w:val="2"/>
          <w:sz w:val="21"/>
          <w:szCs w:val="21"/>
          <w:highlight w:val="none"/>
          <w:lang w:val="zh-CN"/>
        </w:rPr>
        <w:t xml:space="preserve">3.2 </w:t>
      </w:r>
      <w:bookmarkEnd w:id="27"/>
      <w:bookmarkEnd w:id="28"/>
      <w:bookmarkStart w:id="29" w:name="_Toc533708065"/>
      <w:bookmarkStart w:id="30" w:name="_Toc1977665"/>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必须保证提供的所有服务或服务的任何部分均为最新正式版本。</w:t>
      </w:r>
      <w:bookmarkEnd w:id="29"/>
      <w:bookmarkEnd w:id="30"/>
    </w:p>
    <w:p w14:paraId="433F9749">
      <w:pPr>
        <w:tabs>
          <w:tab w:val="left" w:pos="525"/>
        </w:tabs>
        <w:spacing w:line="360" w:lineRule="auto"/>
        <w:ind w:left="567" w:hanging="567"/>
        <w:jc w:val="both"/>
        <w:outlineLvl w:val="9"/>
        <w:rPr>
          <w:rFonts w:hint="eastAsia" w:ascii="宋体" w:hAnsi="宋体" w:eastAsia="宋体" w:cs="宋体"/>
          <w:color w:val="auto"/>
          <w:kern w:val="2"/>
          <w:sz w:val="21"/>
          <w:szCs w:val="21"/>
          <w:highlight w:val="none"/>
          <w:lang w:val="zh-CN"/>
        </w:rPr>
      </w:pPr>
      <w:bookmarkStart w:id="31" w:name="_Toc1977666"/>
      <w:bookmarkStart w:id="32" w:name="_Toc533708066"/>
      <w:r>
        <w:rPr>
          <w:rFonts w:hint="eastAsia" w:ascii="宋体" w:hAnsi="宋体" w:eastAsia="宋体" w:cs="宋体"/>
          <w:color w:val="auto"/>
          <w:kern w:val="2"/>
          <w:sz w:val="21"/>
          <w:szCs w:val="21"/>
          <w:highlight w:val="none"/>
          <w:lang w:val="zh-CN"/>
        </w:rPr>
        <w:t xml:space="preserve">3.3 </w:t>
      </w:r>
      <w:bookmarkEnd w:id="31"/>
      <w:bookmarkEnd w:id="32"/>
      <w:bookmarkStart w:id="33" w:name="_Toc1977667"/>
      <w:bookmarkStart w:id="34" w:name="_Toc533708067"/>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应保证</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人在中华人民共和国使用服务或服务的任何一部分时，</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人免受第三方提</w:t>
      </w:r>
    </w:p>
    <w:p w14:paraId="17F81C3E">
      <w:pPr>
        <w:tabs>
          <w:tab w:val="left" w:pos="525"/>
        </w:tabs>
        <w:spacing w:line="360" w:lineRule="auto"/>
        <w:ind w:firstLine="420" w:firstLineChars="20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出侵犯其专利权、商标权或其它知识产权的起诉。如果</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不拥有相应的知识产权，则须在</w:t>
      </w:r>
    </w:p>
    <w:p w14:paraId="7B0212F4">
      <w:pPr>
        <w:tabs>
          <w:tab w:val="left" w:pos="525"/>
        </w:tabs>
        <w:spacing w:line="360" w:lineRule="auto"/>
        <w:ind w:firstLine="420" w:firstLineChars="20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报价中包括合法获取该知识产权的相关费用，并在</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文件中附有相关证明文件。如有违反，</w:t>
      </w:r>
    </w:p>
    <w:p w14:paraId="0C8B7197">
      <w:pPr>
        <w:tabs>
          <w:tab w:val="left" w:pos="525"/>
        </w:tabs>
        <w:spacing w:line="360" w:lineRule="auto"/>
        <w:ind w:firstLine="420" w:firstLineChars="20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造成</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人任何经济损失或其他损失的，由</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承担全部赔偿责任。</w:t>
      </w:r>
      <w:bookmarkEnd w:id="33"/>
      <w:bookmarkEnd w:id="34"/>
    </w:p>
    <w:p w14:paraId="731F341C">
      <w:pPr>
        <w:tabs>
          <w:tab w:val="left" w:pos="525"/>
        </w:tabs>
        <w:spacing w:line="360" w:lineRule="auto"/>
        <w:ind w:left="567" w:hanging="567"/>
        <w:jc w:val="both"/>
        <w:outlineLvl w:val="9"/>
        <w:rPr>
          <w:rFonts w:hint="eastAsia" w:ascii="宋体" w:hAnsi="宋体" w:eastAsia="宋体" w:cs="宋体"/>
          <w:color w:val="auto"/>
          <w:kern w:val="2"/>
          <w:sz w:val="21"/>
          <w:szCs w:val="21"/>
          <w:highlight w:val="none"/>
          <w:lang w:val="zh-CN"/>
        </w:rPr>
      </w:pPr>
      <w:bookmarkStart w:id="35" w:name="_Toc533708068"/>
      <w:bookmarkStart w:id="36" w:name="_Toc1977668"/>
      <w:r>
        <w:rPr>
          <w:rFonts w:hint="eastAsia" w:ascii="宋体" w:hAnsi="宋体" w:eastAsia="宋体" w:cs="宋体"/>
          <w:color w:val="auto"/>
          <w:kern w:val="2"/>
          <w:sz w:val="21"/>
          <w:szCs w:val="21"/>
          <w:highlight w:val="none"/>
          <w:lang w:val="zh-CN"/>
        </w:rPr>
        <w:t>3.4</w:t>
      </w:r>
      <w:bookmarkEnd w:id="35"/>
      <w:bookmarkEnd w:id="36"/>
      <w:r>
        <w:rPr>
          <w:rFonts w:hint="eastAsia" w:ascii="宋体" w:hAnsi="宋体" w:eastAsia="宋体" w:cs="宋体"/>
          <w:color w:val="auto"/>
          <w:kern w:val="2"/>
          <w:sz w:val="21"/>
          <w:szCs w:val="21"/>
          <w:highlight w:val="none"/>
          <w:lang w:val="zh-CN" w:eastAsia="zh-CN"/>
        </w:rPr>
        <w:t xml:space="preserve"> </w:t>
      </w:r>
      <w:r>
        <w:rPr>
          <w:rFonts w:hint="eastAsia" w:ascii="宋体" w:hAnsi="宋体" w:eastAsia="宋体" w:cs="宋体"/>
          <w:color w:val="auto"/>
          <w:kern w:val="2"/>
          <w:sz w:val="21"/>
          <w:szCs w:val="21"/>
          <w:highlight w:val="none"/>
          <w:lang w:val="zh-CN"/>
        </w:rPr>
        <w:t>无论</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是否在</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报价表中明示，均视为</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报价已包含所有应支付的对专利权、商标权</w:t>
      </w:r>
    </w:p>
    <w:p w14:paraId="08BBFCE8">
      <w:pPr>
        <w:tabs>
          <w:tab w:val="left" w:pos="525"/>
        </w:tabs>
        <w:spacing w:line="360" w:lineRule="auto"/>
        <w:ind w:firstLine="420" w:firstLineChars="20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和版权、设计或其他知识产权而需要向其他方支付的版税和使用费等相关费用。如</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未依</w:t>
      </w:r>
    </w:p>
    <w:p w14:paraId="73998715">
      <w:pPr>
        <w:tabs>
          <w:tab w:val="left" w:pos="525"/>
        </w:tabs>
        <w:spacing w:line="360" w:lineRule="auto"/>
        <w:ind w:firstLine="420" w:firstLineChars="20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法向第三方支付应缴版税和使用费等相关费用的，造成</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人任何经济损失的，由</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承担</w:t>
      </w:r>
    </w:p>
    <w:p w14:paraId="79FB32CA">
      <w:pPr>
        <w:tabs>
          <w:tab w:val="left" w:pos="525"/>
        </w:tabs>
        <w:spacing w:line="360" w:lineRule="auto"/>
        <w:ind w:firstLine="420" w:firstLineChars="20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全部赔偿责任。</w:t>
      </w:r>
    </w:p>
    <w:bookmarkEnd w:id="24"/>
    <w:bookmarkEnd w:id="25"/>
    <w:bookmarkEnd w:id="26"/>
    <w:p w14:paraId="2CF86918">
      <w:pPr>
        <w:spacing w:line="360" w:lineRule="auto"/>
        <w:ind w:left="420" w:hanging="420" w:hangingChars="200"/>
        <w:jc w:val="both"/>
        <w:rPr>
          <w:rFonts w:hint="eastAsia" w:ascii="宋体" w:hAnsi="宋体" w:eastAsia="宋体" w:cs="宋体"/>
          <w:color w:val="auto"/>
          <w:sz w:val="21"/>
          <w:szCs w:val="21"/>
          <w:highlight w:val="none"/>
        </w:rPr>
      </w:pPr>
    </w:p>
    <w:p w14:paraId="35C3B786">
      <w:pPr>
        <w:tabs>
          <w:tab w:val="left" w:pos="525"/>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37" w:name="_Toc10476"/>
      <w:bookmarkStart w:id="38" w:name="_Toc450662852"/>
      <w:r>
        <w:rPr>
          <w:rFonts w:hint="eastAsia" w:ascii="宋体" w:hAnsi="宋体" w:eastAsia="宋体" w:cs="宋体"/>
          <w:color w:val="auto"/>
          <w:kern w:val="2"/>
          <w:sz w:val="21"/>
          <w:szCs w:val="21"/>
          <w:highlight w:val="none"/>
          <w:lang w:val="zh-CN"/>
        </w:rPr>
        <w:t>4</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其它说明</w:t>
      </w:r>
      <w:bookmarkEnd w:id="37"/>
      <w:bookmarkEnd w:id="38"/>
    </w:p>
    <w:p w14:paraId="40B29062">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0" w:left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4.1 </w:t>
      </w:r>
      <w:r>
        <w:rPr>
          <w:rFonts w:hint="eastAsia" w:ascii="宋体" w:hAnsi="宋体" w:eastAsia="宋体" w:cs="宋体"/>
          <w:color w:val="auto"/>
          <w:kern w:val="2"/>
          <w:sz w:val="21"/>
          <w:szCs w:val="21"/>
          <w:highlight w:val="none"/>
          <w:lang w:val="en-US" w:eastAsia="zh-CN"/>
        </w:rPr>
        <w:t>磋商过程</w:t>
      </w:r>
      <w:r>
        <w:rPr>
          <w:rFonts w:hint="eastAsia" w:ascii="宋体" w:hAnsi="宋体" w:eastAsia="宋体" w:cs="宋体"/>
          <w:color w:val="auto"/>
          <w:kern w:val="2"/>
          <w:sz w:val="21"/>
          <w:szCs w:val="21"/>
          <w:highlight w:val="none"/>
          <w:lang w:val="zh-CN"/>
        </w:rPr>
        <w:t>费用</w:t>
      </w:r>
    </w:p>
    <w:p w14:paraId="559E660A">
      <w:pPr>
        <w:spacing w:line="360" w:lineRule="auto"/>
        <w:ind w:left="418" w:leftChars="174"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无论采购过程中的做法和结果如何，供应商须承担所有与编写和递交响应文件有关的费用，采购</w:t>
      </w:r>
      <w:r>
        <w:rPr>
          <w:rFonts w:hint="eastAsia" w:ascii="宋体" w:hAnsi="宋体" w:cs="宋体"/>
          <w:color w:val="auto"/>
          <w:kern w:val="2"/>
          <w:sz w:val="21"/>
          <w:szCs w:val="21"/>
          <w:highlight w:val="none"/>
          <w:lang w:val="en-US" w:eastAsia="zh-CN"/>
        </w:rPr>
        <w:t>代理机构</w:t>
      </w:r>
      <w:r>
        <w:rPr>
          <w:rFonts w:hint="eastAsia" w:ascii="宋体" w:hAnsi="宋体" w:eastAsia="宋体" w:cs="宋体"/>
          <w:color w:val="auto"/>
          <w:kern w:val="2"/>
          <w:sz w:val="21"/>
          <w:szCs w:val="21"/>
          <w:highlight w:val="none"/>
          <w:lang w:val="zh-CN"/>
        </w:rPr>
        <w:t>在任何情况下不负担这些费用。</w:t>
      </w:r>
    </w:p>
    <w:p w14:paraId="459CE7B5">
      <w:pPr>
        <w:keepNext w:val="0"/>
        <w:keepLines w:val="0"/>
        <w:pageBreakBefore w:val="0"/>
        <w:widowControl w:val="0"/>
        <w:tabs>
          <w:tab w:val="left" w:pos="567"/>
          <w:tab w:val="left" w:pos="927"/>
        </w:tabs>
        <w:kinsoku/>
        <w:wordWrap/>
        <w:overflowPunct/>
        <w:topLinePunct w:val="0"/>
        <w:autoSpaceDE w:val="0"/>
        <w:autoSpaceDN w:val="0"/>
        <w:bidi w:val="0"/>
        <w:adjustRightInd w:val="0"/>
        <w:snapToGrid/>
        <w:spacing w:line="360" w:lineRule="auto"/>
        <w:ind w:left="630" w:leftChars="0" w:hanging="630" w:hangingChars="300"/>
        <w:jc w:val="both"/>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4</w:t>
      </w: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rPr>
        <w:t>2 踏勘现场</w:t>
      </w:r>
    </w:p>
    <w:p w14:paraId="47256117">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val="0"/>
          <w:color w:val="auto"/>
          <w:sz w:val="21"/>
          <w:szCs w:val="21"/>
          <w:highlight w:val="none"/>
        </w:rPr>
        <w:t>本项目不组织集中踏勘现场和答疑，</w:t>
      </w:r>
      <w:r>
        <w:rPr>
          <w:rFonts w:hint="eastAsia" w:ascii="宋体" w:hAnsi="宋体" w:cs="宋体"/>
          <w:bCs w:val="0"/>
          <w:color w:val="auto"/>
          <w:sz w:val="21"/>
          <w:szCs w:val="21"/>
          <w:highlight w:val="none"/>
          <w:lang w:val="en-US" w:eastAsia="zh-CN"/>
        </w:rPr>
        <w:t>供应商</w:t>
      </w:r>
      <w:r>
        <w:rPr>
          <w:rFonts w:hint="eastAsia" w:ascii="宋体" w:hAnsi="宋体" w:eastAsia="宋体" w:cs="宋体"/>
          <w:bCs w:val="0"/>
          <w:color w:val="auto"/>
          <w:sz w:val="21"/>
          <w:szCs w:val="21"/>
          <w:highlight w:val="none"/>
          <w:lang w:val="en-US" w:eastAsia="zh-CN"/>
        </w:rPr>
        <w:t>获取</w:t>
      </w:r>
      <w:r>
        <w:rPr>
          <w:rFonts w:hint="eastAsia" w:ascii="宋体" w:hAnsi="宋体" w:cs="宋体"/>
          <w:bCs w:val="0"/>
          <w:color w:val="auto"/>
          <w:sz w:val="21"/>
          <w:szCs w:val="21"/>
          <w:highlight w:val="none"/>
          <w:lang w:val="en-US" w:eastAsia="zh-CN"/>
        </w:rPr>
        <w:t>竞争性磋商</w:t>
      </w:r>
      <w:r>
        <w:rPr>
          <w:rFonts w:hint="eastAsia" w:ascii="宋体" w:hAnsi="宋体" w:eastAsia="宋体" w:cs="宋体"/>
          <w:bCs w:val="0"/>
          <w:color w:val="auto"/>
          <w:sz w:val="21"/>
          <w:szCs w:val="21"/>
          <w:highlight w:val="none"/>
          <w:lang w:val="en-US" w:eastAsia="zh-CN"/>
        </w:rPr>
        <w:t>文件后</w:t>
      </w:r>
      <w:r>
        <w:rPr>
          <w:rFonts w:hint="eastAsia" w:ascii="宋体" w:hAnsi="宋体" w:eastAsia="宋体" w:cs="宋体"/>
          <w:bCs w:val="0"/>
          <w:color w:val="auto"/>
          <w:sz w:val="21"/>
          <w:szCs w:val="21"/>
          <w:highlight w:val="none"/>
        </w:rPr>
        <w:t>应自行到实地踏勘考察。</w:t>
      </w:r>
    </w:p>
    <w:p w14:paraId="05128451">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（2）潜在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应承担踏勘现场自身所发生的费用。</w:t>
      </w:r>
    </w:p>
    <w:p w14:paraId="43C1C23C">
      <w:pPr>
        <w:keepNext w:val="0"/>
        <w:keepLines w:val="0"/>
        <w:pageBreakBefore w:val="0"/>
        <w:widowControl w:val="0"/>
        <w:kinsoku/>
        <w:wordWrap/>
        <w:overflowPunct/>
        <w:topLinePunct w:val="0"/>
        <w:autoSpaceDE w:val="0"/>
        <w:autoSpaceDN w:val="0"/>
        <w:bidi w:val="0"/>
        <w:adjustRightInd w:val="0"/>
        <w:snapToGrid/>
        <w:spacing w:line="360" w:lineRule="auto"/>
        <w:ind w:left="525" w:leftChars="0" w:right="120" w:rightChars="5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采购人</w:t>
      </w:r>
      <w:r>
        <w:rPr>
          <w:rFonts w:hint="eastAsia" w:ascii="宋体" w:hAnsi="宋体" w:cs="宋体"/>
          <w:color w:val="auto"/>
          <w:sz w:val="21"/>
          <w:szCs w:val="21"/>
          <w:highlight w:val="none"/>
          <w:lang w:val="en-US" w:eastAsia="zh-CN"/>
        </w:rPr>
        <w:t>和采购代理机构</w:t>
      </w:r>
      <w:r>
        <w:rPr>
          <w:rFonts w:hint="eastAsia" w:ascii="宋体" w:hAnsi="宋体" w:eastAsia="宋体" w:cs="宋体"/>
          <w:color w:val="auto"/>
          <w:sz w:val="21"/>
          <w:szCs w:val="21"/>
          <w:highlight w:val="none"/>
        </w:rPr>
        <w:t>在踏勘现场中介绍的有关现场和相关的周边环境情况，供</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在编制响应文件时参考，采购人不对</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据此作出的判断和决策负责。</w:t>
      </w:r>
    </w:p>
    <w:p w14:paraId="486F909A">
      <w:pPr>
        <w:keepNext w:val="0"/>
        <w:keepLines w:val="0"/>
        <w:pageBreakBefore w:val="0"/>
        <w:widowControl w:val="0"/>
        <w:kinsoku/>
        <w:wordWrap/>
        <w:overflowPunct/>
        <w:topLinePunct w:val="0"/>
        <w:autoSpaceDE w:val="0"/>
        <w:autoSpaceDN w:val="0"/>
        <w:bidi w:val="0"/>
        <w:adjustRightInd w:val="0"/>
        <w:snapToGrid/>
        <w:spacing w:line="360" w:lineRule="auto"/>
        <w:ind w:left="525" w:leftChars="0" w:right="120" w:rightChars="5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（4）潜在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可为踏勘需要而进入采购人的项目现场，但潜在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不得因此使采购人承担有关的责任和蒙受损失。潜在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应承担踏勘现场的责任和风险。</w:t>
      </w:r>
    </w:p>
    <w:p w14:paraId="4BBD3B93">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kern w:val="2"/>
          <w:sz w:val="21"/>
          <w:szCs w:val="21"/>
          <w:highlight w:val="none"/>
          <w:lang w:val="zh-CN"/>
        </w:rPr>
        <w:t>4.3 纪律与保密事项</w:t>
      </w:r>
    </w:p>
    <w:p w14:paraId="19C0B15C">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）获得本竞争性磋商文件的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，不得用作本次</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以外的任何用途</w:t>
      </w:r>
      <w:r>
        <w:rPr>
          <w:rFonts w:hint="eastAsia" w:ascii="宋体" w:hAnsi="宋体" w:eastAsia="宋体" w:cs="宋体"/>
          <w:color w:val="auto"/>
          <w:sz w:val="21"/>
          <w:szCs w:val="21"/>
          <w:highlight w:val="none"/>
          <w:lang w:eastAsia="zh-CN"/>
        </w:rPr>
        <w:t>。</w:t>
      </w:r>
    </w:p>
    <w:p w14:paraId="22EFBB88">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（2）凡参与</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工作的有关人员均应自觉接受有关主管部门的监督，不得向他人透露可能影响公平竞争的情况。</w:t>
      </w:r>
    </w:p>
    <w:p w14:paraId="4E176082">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（3）开</w:t>
      </w:r>
      <w:r>
        <w:rPr>
          <w:rFonts w:hint="eastAsia" w:ascii="宋体" w:hAnsi="宋体" w:eastAsia="宋体" w:cs="宋体"/>
          <w:color w:val="auto"/>
          <w:sz w:val="21"/>
          <w:szCs w:val="21"/>
          <w:highlight w:val="none"/>
          <w:lang w:val="en-US" w:eastAsia="zh-CN"/>
        </w:rPr>
        <w:t>启响应文件</w:t>
      </w:r>
      <w:r>
        <w:rPr>
          <w:rFonts w:hint="eastAsia" w:ascii="宋体" w:hAnsi="宋体" w:eastAsia="宋体" w:cs="宋体"/>
          <w:color w:val="auto"/>
          <w:sz w:val="21"/>
          <w:szCs w:val="21"/>
          <w:highlight w:val="none"/>
        </w:rPr>
        <w:t>后，直至向成交人</w:t>
      </w:r>
      <w:r>
        <w:rPr>
          <w:rFonts w:hint="eastAsia" w:ascii="宋体" w:hAnsi="宋体" w:cs="宋体"/>
          <w:color w:val="auto"/>
          <w:sz w:val="21"/>
          <w:szCs w:val="21"/>
          <w:highlight w:val="none"/>
          <w:lang w:val="en-US" w:eastAsia="zh-CN"/>
        </w:rPr>
        <w:t>授予合同期间</w:t>
      </w:r>
      <w:r>
        <w:rPr>
          <w:rFonts w:hint="eastAsia" w:ascii="宋体" w:hAnsi="宋体" w:eastAsia="宋体" w:cs="宋体"/>
          <w:color w:val="auto"/>
          <w:sz w:val="21"/>
          <w:szCs w:val="21"/>
          <w:highlight w:val="none"/>
        </w:rPr>
        <w:t>，凡与审查、澄清、</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评价和比较报价的有关资料以及</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rPr>
        <w:t>意见等，参与</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工作的有关人员均不得向</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及与</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无关的其他人透露。</w:t>
      </w:r>
    </w:p>
    <w:p w14:paraId="43AE7C1A">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被要求对响应文件进行澄清外，从递交响应文件截止之时起至授予合同期间，</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不得就与其响应文件有关的事项主动与</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val="zh-CN"/>
        </w:rPr>
        <w:t>代理机构以</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采购人联系。</w:t>
      </w:r>
    </w:p>
    <w:p w14:paraId="4868541C">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（5）从</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之日起至授予合同期间，在响应文件的审查、澄清、比较和评价阶段，</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试图对</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施加任何影响或对采购人的比较及授予合同的决定产生影响，都可能导致其响应文件被拒绝。</w:t>
      </w:r>
    </w:p>
    <w:p w14:paraId="74E1AA30">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不得串通作弊，以不正当的手段妨碍、排挤其他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，扰乱采购市场，破坏公平竞争原则。</w:t>
      </w:r>
    </w:p>
    <w:p w14:paraId="4574237C">
      <w:pPr>
        <w:spacing w:line="360" w:lineRule="auto"/>
        <w:ind w:left="420" w:hanging="420" w:hangingChars="200"/>
        <w:jc w:val="both"/>
        <w:rPr>
          <w:rFonts w:hint="eastAsia" w:ascii="宋体" w:hAnsi="宋体" w:eastAsia="宋体" w:cs="宋体"/>
          <w:color w:val="auto"/>
          <w:sz w:val="21"/>
          <w:szCs w:val="21"/>
          <w:highlight w:val="none"/>
        </w:rPr>
      </w:pPr>
    </w:p>
    <w:p w14:paraId="6DC66A1E">
      <w:pPr>
        <w:pStyle w:val="5"/>
        <w:keepNext/>
        <w:keepLines/>
        <w:pageBreakBefore w:val="0"/>
        <w:widowControl w:val="0"/>
        <w:tabs>
          <w:tab w:val="left" w:pos="567"/>
        </w:tabs>
        <w:kinsoku/>
        <w:wordWrap/>
        <w:overflowPunct/>
        <w:topLinePunct w:val="0"/>
        <w:autoSpaceDE w:val="0"/>
        <w:autoSpaceDN w:val="0"/>
        <w:bidi w:val="0"/>
        <w:adjustRightInd w:val="0"/>
        <w:snapToGrid/>
        <w:spacing w:line="360" w:lineRule="auto"/>
        <w:ind w:firstLine="211" w:firstLineChars="100"/>
        <w:jc w:val="both"/>
        <w:textAlignment w:val="auto"/>
        <w:outlineLvl w:val="1"/>
        <w:rPr>
          <w:rFonts w:hint="eastAsia" w:ascii="宋体" w:hAnsi="宋体" w:eastAsia="宋体" w:cs="宋体"/>
          <w:b/>
          <w:bCs/>
          <w:color w:val="auto"/>
          <w:kern w:val="44"/>
          <w:sz w:val="21"/>
          <w:szCs w:val="21"/>
          <w:highlight w:val="none"/>
          <w:lang w:val="zh-CN"/>
        </w:rPr>
      </w:pPr>
      <w:bookmarkStart w:id="39" w:name="_Toc450662853"/>
      <w:bookmarkStart w:id="40" w:name="_Toc521918070"/>
      <w:bookmarkStart w:id="41" w:name="_Toc19606"/>
      <w:r>
        <w:rPr>
          <w:rFonts w:hint="eastAsia" w:ascii="宋体" w:hAnsi="宋体" w:eastAsia="宋体" w:cs="宋体"/>
          <w:b/>
          <w:bCs/>
          <w:color w:val="auto"/>
          <w:kern w:val="44"/>
          <w:sz w:val="21"/>
          <w:szCs w:val="21"/>
          <w:highlight w:val="none"/>
          <w:lang w:val="zh-CN"/>
        </w:rPr>
        <w:t>二、</w:t>
      </w:r>
      <w:bookmarkEnd w:id="39"/>
      <w:bookmarkEnd w:id="40"/>
      <w:r>
        <w:rPr>
          <w:rFonts w:hint="eastAsia" w:ascii="宋体" w:hAnsi="宋体" w:eastAsia="宋体" w:cs="宋体"/>
          <w:b/>
          <w:bCs/>
          <w:color w:val="auto"/>
          <w:kern w:val="44"/>
          <w:sz w:val="21"/>
          <w:szCs w:val="21"/>
          <w:highlight w:val="none"/>
          <w:lang w:val="zh-CN"/>
        </w:rPr>
        <w:t>竞争性磋商文件</w:t>
      </w:r>
      <w:bookmarkEnd w:id="41"/>
    </w:p>
    <w:p w14:paraId="5B428EAB">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42" w:name="_Toc450662854"/>
      <w:bookmarkStart w:id="43" w:name="_Toc521918071"/>
      <w:bookmarkStart w:id="44" w:name="_Toc17130"/>
      <w:r>
        <w:rPr>
          <w:rFonts w:hint="eastAsia" w:ascii="宋体" w:hAnsi="宋体" w:cs="宋体"/>
          <w:color w:val="auto"/>
          <w:kern w:val="2"/>
          <w:sz w:val="21"/>
          <w:szCs w:val="21"/>
          <w:highlight w:val="none"/>
          <w:lang w:val="en-US" w:eastAsia="zh-CN"/>
        </w:rPr>
        <w:t xml:space="preserve">5 </w:t>
      </w:r>
      <w:r>
        <w:rPr>
          <w:rFonts w:hint="eastAsia" w:ascii="宋体" w:hAnsi="宋体" w:eastAsia="宋体" w:cs="宋体"/>
          <w:color w:val="auto"/>
          <w:kern w:val="2"/>
          <w:sz w:val="21"/>
          <w:szCs w:val="21"/>
          <w:highlight w:val="none"/>
          <w:lang w:val="zh-CN"/>
        </w:rPr>
        <w:t>竞争性磋商文件的构成</w:t>
      </w:r>
      <w:bookmarkEnd w:id="42"/>
      <w:bookmarkEnd w:id="43"/>
      <w:bookmarkEnd w:id="44"/>
    </w:p>
    <w:p w14:paraId="47A080E7">
      <w:pPr>
        <w:tabs>
          <w:tab w:val="left" w:pos="567"/>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5.</w:t>
      </w:r>
      <w:r>
        <w:rPr>
          <w:rFonts w:hint="eastAsia" w:ascii="宋体" w:hAnsi="宋体" w:cs="宋体"/>
          <w:color w:val="auto"/>
          <w:kern w:val="2"/>
          <w:sz w:val="21"/>
          <w:szCs w:val="21"/>
          <w:highlight w:val="none"/>
          <w:lang w:val="en-US" w:eastAsia="zh-CN"/>
        </w:rPr>
        <w:t xml:space="preserve">1 </w:t>
      </w:r>
      <w:r>
        <w:rPr>
          <w:rFonts w:hint="eastAsia" w:ascii="宋体" w:hAnsi="宋体" w:eastAsia="宋体" w:cs="宋体"/>
          <w:color w:val="auto"/>
          <w:kern w:val="2"/>
          <w:sz w:val="21"/>
          <w:szCs w:val="21"/>
          <w:highlight w:val="none"/>
          <w:lang w:val="zh-CN"/>
        </w:rPr>
        <w:t>竞争性磋商文件包括：</w:t>
      </w:r>
    </w:p>
    <w:p w14:paraId="121D9774">
      <w:pPr>
        <w:tabs>
          <w:tab w:val="left" w:pos="567"/>
        </w:tabs>
        <w:spacing w:line="360" w:lineRule="auto"/>
        <w:ind w:left="574" w:leftChars="208" w:hanging="75" w:hangingChars="36"/>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zh-CN"/>
        </w:rPr>
        <w:t>第一</w:t>
      </w:r>
      <w:r>
        <w:rPr>
          <w:rFonts w:hint="eastAsia" w:ascii="宋体" w:hAnsi="宋体" w:cs="宋体"/>
          <w:color w:val="auto"/>
          <w:kern w:val="2"/>
          <w:sz w:val="21"/>
          <w:szCs w:val="21"/>
          <w:highlight w:val="none"/>
          <w:lang w:val="en-US" w:eastAsia="zh-CN"/>
        </w:rPr>
        <w:t xml:space="preserve">篇 </w:t>
      </w:r>
      <w:r>
        <w:rPr>
          <w:rFonts w:hint="eastAsia" w:ascii="宋体" w:hAnsi="宋体" w:eastAsia="宋体" w:cs="宋体"/>
          <w:color w:val="auto"/>
          <w:kern w:val="2"/>
          <w:sz w:val="21"/>
          <w:szCs w:val="21"/>
          <w:highlight w:val="none"/>
          <w:lang w:val="zh-CN"/>
        </w:rPr>
        <w:t>竞争性磋商</w:t>
      </w:r>
      <w:r>
        <w:rPr>
          <w:rFonts w:hint="eastAsia" w:ascii="宋体" w:hAnsi="宋体" w:cs="宋体"/>
          <w:color w:val="auto"/>
          <w:kern w:val="2"/>
          <w:sz w:val="21"/>
          <w:szCs w:val="21"/>
          <w:highlight w:val="none"/>
          <w:lang w:val="en-US" w:eastAsia="zh-CN"/>
        </w:rPr>
        <w:t>公告</w:t>
      </w:r>
    </w:p>
    <w:p w14:paraId="558E1BDF">
      <w:pPr>
        <w:keepNext w:val="0"/>
        <w:keepLines w:val="0"/>
        <w:pageBreakBefore w:val="0"/>
        <w:widowControl w:val="0"/>
        <w:tabs>
          <w:tab w:val="left" w:pos="1701"/>
        </w:tabs>
        <w:kinsoku/>
        <w:wordWrap/>
        <w:overflowPunct/>
        <w:topLinePunct w:val="0"/>
        <w:autoSpaceDE w:val="0"/>
        <w:autoSpaceDN w:val="0"/>
        <w:bidi w:val="0"/>
        <w:adjustRightInd w:val="0"/>
        <w:snapToGrid/>
        <w:spacing w:line="360" w:lineRule="auto"/>
        <w:ind w:left="480" w:leftChars="200"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第二篇</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须知</w:t>
      </w:r>
    </w:p>
    <w:p w14:paraId="2418E7EE">
      <w:pPr>
        <w:keepNext w:val="0"/>
        <w:keepLines w:val="0"/>
        <w:pageBreakBefore w:val="0"/>
        <w:widowControl w:val="0"/>
        <w:tabs>
          <w:tab w:val="left" w:pos="1701"/>
        </w:tabs>
        <w:kinsoku/>
        <w:wordWrap/>
        <w:overflowPunct/>
        <w:topLinePunct w:val="0"/>
        <w:autoSpaceDE w:val="0"/>
        <w:autoSpaceDN w:val="0"/>
        <w:bidi w:val="0"/>
        <w:adjustRightInd w:val="0"/>
        <w:snapToGrid/>
        <w:spacing w:line="360" w:lineRule="auto"/>
        <w:ind w:left="480" w:leftChars="200"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第三篇</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用户需求书</w:t>
      </w:r>
    </w:p>
    <w:p w14:paraId="0137F274">
      <w:pPr>
        <w:keepNext w:val="0"/>
        <w:keepLines w:val="0"/>
        <w:pageBreakBefore w:val="0"/>
        <w:widowControl w:val="0"/>
        <w:tabs>
          <w:tab w:val="left" w:pos="1701"/>
        </w:tabs>
        <w:kinsoku/>
        <w:wordWrap/>
        <w:overflowPunct/>
        <w:topLinePunct w:val="0"/>
        <w:autoSpaceDE w:val="0"/>
        <w:autoSpaceDN w:val="0"/>
        <w:bidi w:val="0"/>
        <w:adjustRightInd w:val="0"/>
        <w:snapToGrid/>
        <w:spacing w:line="360" w:lineRule="auto"/>
        <w:ind w:left="480" w:leftChars="200"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第四篇</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合同条款格式</w:t>
      </w:r>
    </w:p>
    <w:p w14:paraId="4F31FBBE">
      <w:pPr>
        <w:keepNext w:val="0"/>
        <w:keepLines w:val="0"/>
        <w:pageBreakBefore w:val="0"/>
        <w:widowControl w:val="0"/>
        <w:tabs>
          <w:tab w:val="left" w:pos="1701"/>
        </w:tabs>
        <w:kinsoku/>
        <w:wordWrap/>
        <w:overflowPunct/>
        <w:topLinePunct w:val="0"/>
        <w:autoSpaceDE w:val="0"/>
        <w:autoSpaceDN w:val="0"/>
        <w:bidi w:val="0"/>
        <w:adjustRightInd w:val="0"/>
        <w:snapToGrid/>
        <w:spacing w:line="360" w:lineRule="auto"/>
        <w:ind w:left="480" w:leftChars="200"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第</w:t>
      </w:r>
      <w:r>
        <w:rPr>
          <w:rFonts w:hint="eastAsia" w:ascii="宋体" w:hAnsi="宋体" w:eastAsia="宋体" w:cs="宋体"/>
          <w:color w:val="auto"/>
          <w:kern w:val="2"/>
          <w:sz w:val="21"/>
          <w:szCs w:val="21"/>
          <w:highlight w:val="none"/>
          <w:lang w:val="en-US" w:eastAsia="zh-CN"/>
        </w:rPr>
        <w:t>五</w:t>
      </w:r>
      <w:r>
        <w:rPr>
          <w:rFonts w:hint="eastAsia" w:ascii="宋体" w:hAnsi="宋体" w:eastAsia="宋体" w:cs="宋体"/>
          <w:color w:val="auto"/>
          <w:kern w:val="2"/>
          <w:sz w:val="21"/>
          <w:szCs w:val="21"/>
          <w:highlight w:val="none"/>
          <w:lang w:val="zh-CN"/>
        </w:rPr>
        <w:t>篇</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相关保函</w:t>
      </w:r>
      <w:r>
        <w:rPr>
          <w:rFonts w:hint="eastAsia" w:ascii="宋体" w:hAnsi="宋体" w:eastAsia="宋体" w:cs="宋体"/>
          <w:color w:val="auto"/>
          <w:kern w:val="2"/>
          <w:sz w:val="21"/>
          <w:szCs w:val="21"/>
          <w:highlight w:val="none"/>
          <w:lang w:val="zh-CN"/>
        </w:rPr>
        <w:t>格式</w:t>
      </w:r>
    </w:p>
    <w:p w14:paraId="78731F1D">
      <w:pPr>
        <w:keepNext w:val="0"/>
        <w:keepLines w:val="0"/>
        <w:pageBreakBefore w:val="0"/>
        <w:widowControl w:val="0"/>
        <w:tabs>
          <w:tab w:val="left" w:pos="1701"/>
        </w:tabs>
        <w:kinsoku/>
        <w:wordWrap/>
        <w:overflowPunct/>
        <w:topLinePunct w:val="0"/>
        <w:autoSpaceDE w:val="0"/>
        <w:autoSpaceDN w:val="0"/>
        <w:bidi w:val="0"/>
        <w:adjustRightInd w:val="0"/>
        <w:snapToGrid/>
        <w:spacing w:line="360" w:lineRule="auto"/>
        <w:ind w:left="480" w:leftChars="200"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第</w:t>
      </w:r>
      <w:r>
        <w:rPr>
          <w:rFonts w:hint="eastAsia" w:ascii="宋体" w:hAnsi="宋体" w:cs="宋体"/>
          <w:color w:val="auto"/>
          <w:kern w:val="2"/>
          <w:sz w:val="21"/>
          <w:szCs w:val="21"/>
          <w:highlight w:val="none"/>
          <w:lang w:val="en-US" w:eastAsia="zh-CN"/>
        </w:rPr>
        <w:t>六</w:t>
      </w:r>
      <w:r>
        <w:rPr>
          <w:rFonts w:hint="eastAsia" w:ascii="宋体" w:hAnsi="宋体" w:eastAsia="宋体" w:cs="宋体"/>
          <w:color w:val="auto"/>
          <w:kern w:val="2"/>
          <w:sz w:val="21"/>
          <w:szCs w:val="21"/>
          <w:highlight w:val="none"/>
          <w:lang w:val="zh-CN"/>
        </w:rPr>
        <w:t>篇</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响应文件格式</w:t>
      </w:r>
    </w:p>
    <w:p w14:paraId="4AE2D519">
      <w:pPr>
        <w:keepNext w:val="0"/>
        <w:keepLines w:val="0"/>
        <w:pageBreakBefore w:val="0"/>
        <w:widowControl w:val="0"/>
        <w:tabs>
          <w:tab w:val="left" w:pos="1701"/>
        </w:tabs>
        <w:kinsoku/>
        <w:wordWrap/>
        <w:overflowPunct/>
        <w:topLinePunct w:val="0"/>
        <w:autoSpaceDE w:val="0"/>
        <w:autoSpaceDN w:val="0"/>
        <w:bidi w:val="0"/>
        <w:adjustRightInd w:val="0"/>
        <w:snapToGrid/>
        <w:spacing w:line="360" w:lineRule="auto"/>
        <w:ind w:left="480" w:leftChars="200"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附件一</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评审工作大纲</w:t>
      </w:r>
    </w:p>
    <w:p w14:paraId="449B3568">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b/>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5.2</w:t>
      </w:r>
      <w:r>
        <w:rPr>
          <w:rFonts w:hint="eastAsia" w:ascii="宋体" w:hAnsi="宋体" w:cs="宋体"/>
          <w:bCs/>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u w:val="single"/>
          <w:lang w:val="zh-CN"/>
        </w:rPr>
        <w:t>供应商应审阅竞争性磋商文件中所有须知、格式、条款和规格。供应商未按竞争性磋商文件要求提供全部资料或提交的响应文件未对竞争性磋商文件作出实质性响应（★标志的部分为供应商</w:t>
      </w:r>
      <w:r>
        <w:rPr>
          <w:rFonts w:hint="eastAsia" w:ascii="宋体" w:hAnsi="宋体" w:eastAsia="宋体" w:cs="宋体"/>
          <w:b/>
          <w:bCs/>
          <w:color w:val="auto"/>
          <w:kern w:val="2"/>
          <w:sz w:val="21"/>
          <w:szCs w:val="21"/>
          <w:highlight w:val="none"/>
          <w:u w:val="single"/>
          <w:lang w:val="en-US" w:eastAsia="zh-CN"/>
        </w:rPr>
        <w:t>及其</w:t>
      </w:r>
      <w:r>
        <w:rPr>
          <w:rFonts w:hint="eastAsia" w:ascii="宋体" w:hAnsi="宋体" w:eastAsia="宋体" w:cs="宋体"/>
          <w:b/>
          <w:bCs/>
          <w:color w:val="auto"/>
          <w:kern w:val="2"/>
          <w:sz w:val="21"/>
          <w:szCs w:val="21"/>
          <w:highlight w:val="none"/>
          <w:u w:val="single"/>
          <w:lang w:val="zh-CN"/>
        </w:rPr>
        <w:t>拟供服务必备的条件或重要指示），那么供应商</w:t>
      </w:r>
      <w:r>
        <w:rPr>
          <w:rFonts w:hint="eastAsia" w:ascii="宋体" w:hAnsi="宋体" w:cs="宋体"/>
          <w:b/>
          <w:bCs/>
          <w:color w:val="auto"/>
          <w:kern w:val="2"/>
          <w:sz w:val="21"/>
          <w:szCs w:val="21"/>
          <w:highlight w:val="none"/>
          <w:u w:val="single"/>
          <w:lang w:val="en-US" w:eastAsia="zh-CN"/>
        </w:rPr>
        <w:t>的</w:t>
      </w:r>
      <w:r>
        <w:rPr>
          <w:rFonts w:hint="eastAsia" w:ascii="宋体" w:hAnsi="宋体" w:eastAsia="宋体" w:cs="宋体"/>
          <w:b/>
          <w:bCs/>
          <w:color w:val="auto"/>
          <w:kern w:val="2"/>
          <w:sz w:val="21"/>
          <w:szCs w:val="21"/>
          <w:highlight w:val="none"/>
          <w:u w:val="single"/>
          <w:lang w:val="zh-CN"/>
        </w:rPr>
        <w:t>响应文件</w:t>
      </w:r>
      <w:r>
        <w:rPr>
          <w:rFonts w:hint="eastAsia" w:ascii="宋体" w:hAnsi="宋体" w:cs="宋体"/>
          <w:b/>
          <w:bCs/>
          <w:color w:val="auto"/>
          <w:kern w:val="2"/>
          <w:sz w:val="21"/>
          <w:szCs w:val="21"/>
          <w:highlight w:val="none"/>
          <w:u w:val="single"/>
          <w:lang w:val="en-US" w:eastAsia="zh-CN"/>
        </w:rPr>
        <w:t>将有可能</w:t>
      </w:r>
      <w:r>
        <w:rPr>
          <w:rFonts w:hint="eastAsia" w:ascii="宋体" w:hAnsi="宋体" w:eastAsia="宋体" w:cs="宋体"/>
          <w:b/>
          <w:bCs/>
          <w:color w:val="auto"/>
          <w:kern w:val="2"/>
          <w:sz w:val="21"/>
          <w:szCs w:val="21"/>
          <w:highlight w:val="none"/>
          <w:u w:val="single"/>
          <w:lang w:val="zh-CN"/>
        </w:rPr>
        <w:t>被拒绝接收或评审为无效响应文件</w:t>
      </w:r>
      <w:r>
        <w:rPr>
          <w:rFonts w:hint="eastAsia" w:ascii="宋体" w:hAnsi="宋体" w:eastAsia="宋体" w:cs="宋体"/>
          <w:b/>
          <w:bCs/>
          <w:color w:val="auto"/>
          <w:kern w:val="2"/>
          <w:sz w:val="21"/>
          <w:szCs w:val="21"/>
          <w:highlight w:val="none"/>
          <w:lang w:val="zh-CN"/>
        </w:rPr>
        <w:t>。</w:t>
      </w:r>
    </w:p>
    <w:p w14:paraId="336DFF28">
      <w:pPr>
        <w:keepNext w:val="0"/>
        <w:keepLines w:val="0"/>
        <w:pageBreakBefore w:val="0"/>
        <w:widowControl w:val="0"/>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5.3</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本竞争性磋商文件使用的词语有如下定义：</w:t>
      </w:r>
    </w:p>
    <w:p w14:paraId="0A01CF77">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zh-CN"/>
        </w:rPr>
        <w:t>“采购人”指</w:t>
      </w:r>
      <w:r>
        <w:rPr>
          <w:rFonts w:hint="eastAsia" w:ascii="宋体" w:hAnsi="宋体" w:eastAsia="宋体" w:cs="宋体"/>
          <w:color w:val="auto"/>
          <w:sz w:val="21"/>
          <w:szCs w:val="21"/>
          <w:highlight w:val="none"/>
        </w:rPr>
        <w:t>东莞市众源环境投资有限公司</w:t>
      </w:r>
      <w:r>
        <w:rPr>
          <w:rFonts w:hint="eastAsia" w:ascii="宋体" w:hAnsi="宋体" w:eastAsia="宋体" w:cs="宋体"/>
          <w:color w:val="auto"/>
          <w:kern w:val="2"/>
          <w:sz w:val="21"/>
          <w:szCs w:val="21"/>
          <w:highlight w:val="none"/>
          <w:lang w:val="zh-CN"/>
        </w:rPr>
        <w:t>；</w:t>
      </w:r>
    </w:p>
    <w:p w14:paraId="02897AEB">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代理机构”指</w:t>
      </w:r>
      <w:r>
        <w:rPr>
          <w:rFonts w:hint="eastAsia" w:ascii="宋体" w:hAnsi="宋体" w:cs="宋体"/>
          <w:color w:val="auto"/>
          <w:kern w:val="2"/>
          <w:sz w:val="21"/>
          <w:szCs w:val="21"/>
          <w:highlight w:val="none"/>
          <w:lang w:val="zh-CN" w:eastAsia="zh-CN"/>
        </w:rPr>
        <w:t>东莞市达盛招标代理有限公司</w:t>
      </w:r>
      <w:r>
        <w:rPr>
          <w:rFonts w:hint="eastAsia" w:ascii="宋体" w:hAnsi="宋体" w:eastAsia="宋体" w:cs="宋体"/>
          <w:color w:val="auto"/>
          <w:kern w:val="2"/>
          <w:sz w:val="21"/>
          <w:szCs w:val="21"/>
          <w:highlight w:val="none"/>
          <w:lang w:val="zh-CN"/>
        </w:rPr>
        <w:t>；</w:t>
      </w:r>
    </w:p>
    <w:p w14:paraId="6C49C39B">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）“供应商”指参加</w:t>
      </w:r>
      <w:r>
        <w:rPr>
          <w:rFonts w:hint="eastAsia" w:ascii="宋体" w:hAnsi="宋体" w:cs="宋体"/>
          <w:color w:val="auto"/>
          <w:kern w:val="2"/>
          <w:sz w:val="21"/>
          <w:szCs w:val="21"/>
          <w:highlight w:val="none"/>
          <w:lang w:val="zh-CN" w:eastAsia="zh-CN"/>
        </w:rPr>
        <w:t>东莞市众源环境投资有限公司污水处理厂污泥脱水减量处理服务（BOT权属滨海湾片区）采购项目</w:t>
      </w:r>
      <w:r>
        <w:rPr>
          <w:rFonts w:hint="eastAsia" w:ascii="宋体" w:hAnsi="宋体" w:eastAsia="宋体" w:cs="宋体"/>
          <w:color w:val="auto"/>
          <w:kern w:val="2"/>
          <w:sz w:val="21"/>
          <w:szCs w:val="21"/>
          <w:highlight w:val="none"/>
          <w:lang w:val="zh-CN"/>
        </w:rPr>
        <w:t>所需的有关</w:t>
      </w:r>
      <w:r>
        <w:rPr>
          <w:rFonts w:hint="eastAsia" w:ascii="宋体" w:hAnsi="宋体" w:eastAsia="宋体" w:cs="宋体"/>
          <w:color w:val="auto"/>
          <w:sz w:val="21"/>
          <w:szCs w:val="21"/>
          <w:highlight w:val="none"/>
        </w:rPr>
        <w:t>服务</w:t>
      </w:r>
      <w:r>
        <w:rPr>
          <w:rFonts w:hint="eastAsia" w:ascii="宋体" w:hAnsi="宋体" w:eastAsia="宋体" w:cs="宋体"/>
          <w:color w:val="auto"/>
          <w:kern w:val="2"/>
          <w:sz w:val="21"/>
          <w:szCs w:val="21"/>
          <w:highlight w:val="none"/>
          <w:lang w:val="zh-CN"/>
        </w:rPr>
        <w:t>的</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en-US"/>
        </w:rPr>
        <w:t>报价</w:t>
      </w:r>
      <w:r>
        <w:rPr>
          <w:rFonts w:hint="eastAsia" w:ascii="宋体" w:hAnsi="宋体" w:eastAsia="宋体" w:cs="宋体"/>
          <w:color w:val="auto"/>
          <w:kern w:val="2"/>
          <w:sz w:val="21"/>
          <w:szCs w:val="21"/>
          <w:highlight w:val="none"/>
          <w:lang w:val="zh-CN"/>
        </w:rPr>
        <w:t>，并向</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代理机构提交响应文件的当事人；</w:t>
      </w:r>
    </w:p>
    <w:p w14:paraId="1454A2B2">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）“磋商小组”是指</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人组建</w:t>
      </w:r>
      <w:r>
        <w:rPr>
          <w:rFonts w:hint="eastAsia" w:ascii="宋体" w:hAnsi="宋体" w:eastAsia="宋体" w:cs="宋体"/>
          <w:color w:val="auto"/>
          <w:sz w:val="21"/>
          <w:szCs w:val="21"/>
          <w:highlight w:val="none"/>
          <w:lang w:val="zh-CN"/>
        </w:rPr>
        <w:t>的</w:t>
      </w:r>
      <w:r>
        <w:rPr>
          <w:rFonts w:hint="eastAsia" w:ascii="宋体" w:hAnsi="宋体" w:eastAsia="宋体" w:cs="宋体"/>
          <w:color w:val="auto"/>
          <w:kern w:val="2"/>
          <w:sz w:val="21"/>
          <w:szCs w:val="21"/>
          <w:highlight w:val="none"/>
          <w:lang w:val="zh-CN"/>
        </w:rPr>
        <w:t>专门负责本次</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工作的临时性机构；</w:t>
      </w:r>
    </w:p>
    <w:p w14:paraId="6CAAFC9E">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val="zh-CN"/>
        </w:rPr>
        <w:t>）“成交人”指其</w:t>
      </w:r>
      <w:r>
        <w:rPr>
          <w:rFonts w:hint="eastAsia" w:ascii="宋体" w:hAnsi="宋体" w:eastAsia="宋体" w:cs="宋体"/>
          <w:color w:val="auto"/>
          <w:kern w:val="2"/>
          <w:sz w:val="21"/>
          <w:szCs w:val="21"/>
          <w:highlight w:val="none"/>
          <w:lang w:val="en-US" w:eastAsia="zh-CN"/>
        </w:rPr>
        <w:t>响应报价</w:t>
      </w:r>
      <w:r>
        <w:rPr>
          <w:rFonts w:hint="eastAsia" w:ascii="宋体" w:hAnsi="宋体" w:eastAsia="宋体" w:cs="宋体"/>
          <w:color w:val="auto"/>
          <w:kern w:val="2"/>
          <w:sz w:val="21"/>
          <w:szCs w:val="21"/>
          <w:highlight w:val="none"/>
          <w:lang w:val="zh-CN"/>
        </w:rPr>
        <w:t>被采购人接受，并与采购人签订合同的当事人；</w:t>
      </w:r>
    </w:p>
    <w:p w14:paraId="7926BD90">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lang w:val="zh-CN"/>
        </w:rPr>
        <w:t>）“甲方”指在合同条款中指明的购买货物和服务的单位；</w:t>
      </w:r>
    </w:p>
    <w:p w14:paraId="288C1F04">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lang w:val="zh-CN"/>
        </w:rPr>
        <w:t>）“乙方”指在合同条款中指明的本合同项下提供货物和服务的公司或实体；</w:t>
      </w:r>
    </w:p>
    <w:p w14:paraId="30574244">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lang w:val="zh-CN"/>
        </w:rPr>
        <w:t>）“竞争性磋商文件”指由采购代理机构发出的本竞争性磋商文件，包括全部章节和附件；</w:t>
      </w:r>
    </w:p>
    <w:p w14:paraId="2BF5F5D3">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lang w:val="zh-CN"/>
        </w:rPr>
        <w:t>）“响应文件”指供应商根据本竞争性磋商文件向采购代理机构提交的全部文件；</w:t>
      </w:r>
    </w:p>
    <w:p w14:paraId="1E173074">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lang w:val="zh-CN"/>
        </w:rPr>
        <w:t>）“书面函件”指手写、打字或印刷的函件，包括电传、电报和传真；</w:t>
      </w:r>
    </w:p>
    <w:p w14:paraId="09C9BF80">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zh-CN"/>
        </w:rPr>
        <w:t>）“合同”指由本次采购所产生的合同或合约文件；</w:t>
      </w:r>
    </w:p>
    <w:p w14:paraId="3E02FDD0">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12</w:t>
      </w:r>
      <w:r>
        <w:rPr>
          <w:rFonts w:hint="eastAsia" w:ascii="宋体" w:hAnsi="宋体" w:eastAsia="宋体" w:cs="宋体"/>
          <w:color w:val="auto"/>
          <w:kern w:val="2"/>
          <w:sz w:val="21"/>
          <w:szCs w:val="21"/>
          <w:highlight w:val="none"/>
          <w:lang w:val="zh-CN"/>
        </w:rPr>
        <w:t>）“日期”指公历日，“时间”指北京时间；</w:t>
      </w:r>
    </w:p>
    <w:p w14:paraId="067B9E89">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zh-CN" w:eastAsia="zh-CN"/>
        </w:rPr>
        <w:t>13</w:t>
      </w:r>
      <w:r>
        <w:rPr>
          <w:rFonts w:hint="eastAsia" w:ascii="宋体" w:hAnsi="宋体" w:eastAsia="宋体" w:cs="宋体"/>
          <w:color w:val="auto"/>
          <w:kern w:val="2"/>
          <w:sz w:val="21"/>
          <w:szCs w:val="21"/>
          <w:highlight w:val="none"/>
          <w:lang w:val="zh-CN"/>
        </w:rPr>
        <w:t>）本竞争性磋商文件中的“境内”特指中华人民共和国海关关境以内，“境外”特指中华人民</w:t>
      </w:r>
    </w:p>
    <w:p w14:paraId="44A1E80E">
      <w:pPr>
        <w:keepNext w:val="0"/>
        <w:keepLines w:val="0"/>
        <w:pageBreakBefore w:val="0"/>
        <w:widowControl w:val="0"/>
        <w:kinsoku/>
        <w:wordWrap/>
        <w:overflowPunct/>
        <w:topLinePunct w:val="0"/>
        <w:autoSpaceDE w:val="0"/>
        <w:autoSpaceDN w:val="0"/>
        <w:bidi w:val="0"/>
        <w:adjustRightInd w:val="0"/>
        <w:snapToGrid/>
        <w:spacing w:line="360" w:lineRule="auto"/>
        <w:ind w:left="636" w:leftChars="265"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共和国海关关境以外；</w:t>
      </w:r>
    </w:p>
    <w:p w14:paraId="3AC14E91">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zh-CN" w:eastAsia="zh-CN"/>
        </w:rPr>
        <w:t>14</w:t>
      </w:r>
      <w:r>
        <w:rPr>
          <w:rFonts w:hint="eastAsia" w:ascii="宋体" w:hAnsi="宋体" w:eastAsia="宋体" w:cs="宋体"/>
          <w:color w:val="auto"/>
          <w:kern w:val="2"/>
          <w:sz w:val="21"/>
          <w:szCs w:val="21"/>
          <w:highlight w:val="none"/>
          <w:lang w:val="zh-CN"/>
        </w:rPr>
        <w:t>）不含税价，即为《中华人民共和国增值税暂行条例》（国务院令第691号修订版）规定的销售</w:t>
      </w:r>
    </w:p>
    <w:p w14:paraId="48206460">
      <w:pPr>
        <w:keepNext w:val="0"/>
        <w:keepLines w:val="0"/>
        <w:pageBreakBefore w:val="0"/>
        <w:widowControl w:val="0"/>
        <w:kinsoku/>
        <w:wordWrap/>
        <w:overflowPunct/>
        <w:topLinePunct w:val="0"/>
        <w:autoSpaceDE w:val="0"/>
        <w:autoSpaceDN w:val="0"/>
        <w:bidi w:val="0"/>
        <w:adjustRightInd w:val="0"/>
        <w:snapToGrid/>
        <w:spacing w:line="360" w:lineRule="auto"/>
        <w:ind w:left="617" w:leftChars="257"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额。本竞争性磋商文件所称的不含税价和合同价是指不含本采购项目供应商的销项税额，包含了供应商完成合同义务（含供应商代缴代扣、分包及委外服务、施工、采购货物等所产生的价税）的其他全部费用。本采购项目供应商的销项税额由采购人承担，不计入报价。</w:t>
      </w:r>
    </w:p>
    <w:p w14:paraId="74229760">
      <w:pPr>
        <w:spacing w:line="360" w:lineRule="auto"/>
        <w:ind w:left="1214" w:leftChars="178" w:hanging="787" w:hangingChars="375"/>
        <w:jc w:val="both"/>
        <w:rPr>
          <w:rFonts w:hint="eastAsia" w:ascii="宋体" w:hAnsi="宋体" w:eastAsia="宋体" w:cs="宋体"/>
          <w:color w:val="auto"/>
          <w:kern w:val="2"/>
          <w:sz w:val="21"/>
          <w:szCs w:val="21"/>
          <w:highlight w:val="none"/>
          <w:lang w:val="zh-CN"/>
        </w:rPr>
      </w:pPr>
    </w:p>
    <w:p w14:paraId="123ECF88">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45" w:name="_Toc521918072"/>
      <w:bookmarkStart w:id="46" w:name="_Toc26466"/>
      <w:bookmarkStart w:id="47" w:name="_Toc450662855"/>
      <w:r>
        <w:rPr>
          <w:rFonts w:hint="eastAsia" w:ascii="宋体" w:hAnsi="宋体" w:eastAsia="宋体" w:cs="宋体"/>
          <w:color w:val="auto"/>
          <w:kern w:val="2"/>
          <w:sz w:val="21"/>
          <w:szCs w:val="21"/>
          <w:highlight w:val="none"/>
          <w:lang w:val="zh-CN"/>
        </w:rPr>
        <w:t>6</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竞争性磋商文件的异议</w:t>
      </w:r>
      <w:bookmarkEnd w:id="45"/>
      <w:bookmarkEnd w:id="46"/>
      <w:bookmarkEnd w:id="47"/>
    </w:p>
    <w:p w14:paraId="448EC979">
      <w:pPr>
        <w:tabs>
          <w:tab w:val="left" w:pos="567"/>
        </w:tabs>
        <w:spacing w:line="360" w:lineRule="auto"/>
        <w:ind w:left="418" w:leftChars="174" w:firstLine="420" w:firstLineChars="200"/>
        <w:jc w:val="both"/>
        <w:outlineLvl w:val="9"/>
        <w:rPr>
          <w:rFonts w:hint="eastAsia" w:ascii="宋体" w:hAnsi="宋体" w:eastAsia="宋体" w:cs="宋体"/>
          <w:b/>
          <w:bCs/>
          <w:color w:val="auto"/>
          <w:kern w:val="2"/>
          <w:sz w:val="21"/>
          <w:szCs w:val="21"/>
          <w:highlight w:val="none"/>
          <w:u w:val="single"/>
          <w:lang w:val="zh-CN"/>
        </w:rPr>
      </w:pPr>
      <w:r>
        <w:rPr>
          <w:rFonts w:hint="eastAsia" w:ascii="宋体" w:hAnsi="宋体" w:eastAsia="宋体" w:cs="宋体"/>
          <w:bCs/>
          <w:color w:val="auto"/>
          <w:kern w:val="2"/>
          <w:sz w:val="21"/>
          <w:szCs w:val="21"/>
          <w:highlight w:val="none"/>
          <w:lang w:val="zh-CN"/>
        </w:rPr>
        <w:t>供应商或者其他利害关系人对竞争性磋商文件有异议的，应当在递交响应文件截止时间</w:t>
      </w:r>
      <w:r>
        <w:rPr>
          <w:rFonts w:hint="eastAsia" w:ascii="宋体" w:hAnsi="宋体" w:eastAsia="宋体" w:cs="宋体"/>
          <w:bCs/>
          <w:color w:val="auto"/>
          <w:kern w:val="2"/>
          <w:sz w:val="21"/>
          <w:szCs w:val="21"/>
          <w:highlight w:val="none"/>
          <w:lang w:val="en-US" w:eastAsia="zh-CN"/>
        </w:rPr>
        <w:t>5</w:t>
      </w:r>
      <w:r>
        <w:rPr>
          <w:rFonts w:hint="eastAsia" w:ascii="宋体" w:hAnsi="宋体" w:eastAsia="宋体" w:cs="宋体"/>
          <w:bCs/>
          <w:color w:val="auto"/>
          <w:kern w:val="2"/>
          <w:sz w:val="21"/>
          <w:szCs w:val="21"/>
          <w:highlight w:val="none"/>
          <w:lang w:val="zh-CN"/>
        </w:rPr>
        <w:t>日前</w:t>
      </w:r>
      <w:r>
        <w:rPr>
          <w:rFonts w:hint="eastAsia" w:ascii="宋体" w:hAnsi="宋体" w:eastAsia="宋体" w:cs="宋体"/>
          <w:color w:val="auto"/>
          <w:kern w:val="2"/>
          <w:sz w:val="21"/>
          <w:szCs w:val="21"/>
          <w:highlight w:val="none"/>
          <w:lang w:val="zh-CN"/>
        </w:rPr>
        <w:t>以书面形式向</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代理机构提出，并将材料原件送达</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代理机构，逾期则视为对竞争性磋商文件所有内容无异议。</w:t>
      </w:r>
      <w:r>
        <w:rPr>
          <w:rFonts w:hint="eastAsia" w:ascii="宋体" w:hAnsi="宋体" w:eastAsia="宋体" w:cs="宋体"/>
          <w:bCs/>
          <w:color w:val="auto"/>
          <w:kern w:val="2"/>
          <w:sz w:val="21"/>
          <w:szCs w:val="21"/>
          <w:highlight w:val="none"/>
          <w:lang w:val="zh-CN"/>
        </w:rPr>
        <w:t>异议</w:t>
      </w:r>
      <w:r>
        <w:rPr>
          <w:rFonts w:hint="eastAsia" w:ascii="宋体" w:hAnsi="宋体" w:eastAsia="宋体" w:cs="宋体"/>
          <w:color w:val="auto"/>
          <w:kern w:val="2"/>
          <w:sz w:val="21"/>
          <w:szCs w:val="21"/>
          <w:highlight w:val="none"/>
          <w:lang w:val="zh-CN"/>
        </w:rPr>
        <w:t>书面材料必须加盖供应商法人公章，并注明联系人、联系电话、联系地址。</w:t>
      </w:r>
      <w:r>
        <w:rPr>
          <w:rFonts w:hint="eastAsia" w:ascii="宋体" w:hAnsi="宋体" w:eastAsia="宋体" w:cs="宋体"/>
          <w:bCs/>
          <w:color w:val="auto"/>
          <w:kern w:val="2"/>
          <w:sz w:val="21"/>
          <w:szCs w:val="21"/>
          <w:highlight w:val="none"/>
          <w:lang w:val="zh-CN"/>
        </w:rPr>
        <w:t>超出</w:t>
      </w:r>
      <w:r>
        <w:rPr>
          <w:rFonts w:hint="eastAsia" w:ascii="宋体" w:hAnsi="宋体" w:eastAsia="宋体" w:cs="宋体"/>
          <w:color w:val="auto"/>
          <w:kern w:val="2"/>
          <w:sz w:val="21"/>
          <w:szCs w:val="21"/>
          <w:highlight w:val="none"/>
          <w:lang w:val="zh-CN"/>
        </w:rPr>
        <w:t>提交接收异议截止时间而</w:t>
      </w:r>
      <w:r>
        <w:rPr>
          <w:rFonts w:hint="eastAsia" w:ascii="宋体" w:hAnsi="宋体" w:eastAsia="宋体" w:cs="宋体"/>
          <w:bCs/>
          <w:color w:val="auto"/>
          <w:kern w:val="2"/>
          <w:sz w:val="21"/>
          <w:szCs w:val="21"/>
          <w:highlight w:val="none"/>
          <w:lang w:val="zh-CN"/>
        </w:rPr>
        <w:t>提出的疑问，</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代理机构</w:t>
      </w:r>
      <w:r>
        <w:rPr>
          <w:rFonts w:hint="eastAsia" w:ascii="宋体" w:hAnsi="宋体" w:eastAsia="宋体" w:cs="宋体"/>
          <w:bCs/>
          <w:color w:val="auto"/>
          <w:kern w:val="2"/>
          <w:sz w:val="21"/>
          <w:szCs w:val="21"/>
          <w:highlight w:val="none"/>
          <w:lang w:val="zh-CN"/>
        </w:rPr>
        <w:t>可不予答复。</w:t>
      </w:r>
      <w:r>
        <w:rPr>
          <w:rFonts w:hint="eastAsia" w:ascii="宋体" w:hAnsi="宋体" w:eastAsia="宋体" w:cs="宋体"/>
          <w:b/>
          <w:bCs/>
          <w:color w:val="auto"/>
          <w:kern w:val="2"/>
          <w:sz w:val="21"/>
          <w:szCs w:val="21"/>
          <w:highlight w:val="none"/>
          <w:u w:val="single"/>
          <w:lang w:val="zh-CN"/>
        </w:rPr>
        <w:t>供应商必须在响应文件中提供磋商承诺书（格式详见第</w:t>
      </w:r>
      <w:r>
        <w:rPr>
          <w:rFonts w:hint="eastAsia" w:ascii="宋体" w:hAnsi="宋体" w:cs="宋体"/>
          <w:b/>
          <w:bCs/>
          <w:color w:val="auto"/>
          <w:kern w:val="2"/>
          <w:sz w:val="21"/>
          <w:szCs w:val="21"/>
          <w:highlight w:val="none"/>
          <w:u w:val="single"/>
          <w:lang w:val="en-US" w:eastAsia="zh-CN"/>
        </w:rPr>
        <w:t>六</w:t>
      </w:r>
      <w:r>
        <w:rPr>
          <w:rFonts w:hint="eastAsia" w:ascii="宋体" w:hAnsi="宋体" w:eastAsia="宋体" w:cs="宋体"/>
          <w:b/>
          <w:bCs/>
          <w:color w:val="auto"/>
          <w:kern w:val="2"/>
          <w:sz w:val="21"/>
          <w:szCs w:val="21"/>
          <w:highlight w:val="none"/>
          <w:u w:val="single"/>
          <w:lang w:val="zh-CN"/>
        </w:rPr>
        <w:t>篇响应文件格式）。</w:t>
      </w:r>
    </w:p>
    <w:p w14:paraId="23F89252">
      <w:pPr>
        <w:spacing w:line="360" w:lineRule="auto"/>
        <w:ind w:left="569" w:leftChars="237" w:firstLine="422" w:firstLineChars="200"/>
        <w:jc w:val="both"/>
        <w:rPr>
          <w:rFonts w:hint="eastAsia" w:ascii="宋体" w:hAnsi="宋体" w:eastAsia="宋体" w:cs="宋体"/>
          <w:b/>
          <w:bCs/>
          <w:color w:val="auto"/>
          <w:kern w:val="2"/>
          <w:sz w:val="21"/>
          <w:szCs w:val="21"/>
          <w:highlight w:val="none"/>
          <w:u w:val="single"/>
          <w:lang w:val="zh-CN"/>
        </w:rPr>
      </w:pPr>
    </w:p>
    <w:p w14:paraId="5B06B387">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48" w:name="_Toc450662856"/>
      <w:bookmarkStart w:id="49" w:name="_Toc521918073"/>
      <w:bookmarkStart w:id="50" w:name="_Toc8528"/>
      <w:r>
        <w:rPr>
          <w:rFonts w:hint="eastAsia" w:ascii="宋体" w:hAnsi="宋体" w:eastAsia="宋体" w:cs="宋体"/>
          <w:color w:val="auto"/>
          <w:kern w:val="2"/>
          <w:sz w:val="21"/>
          <w:szCs w:val="21"/>
          <w:highlight w:val="none"/>
          <w:lang w:val="zh-CN"/>
        </w:rPr>
        <w:t>7</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竞争性磋商文件的澄清及修改</w:t>
      </w:r>
      <w:bookmarkEnd w:id="48"/>
      <w:bookmarkEnd w:id="49"/>
      <w:bookmarkEnd w:id="50"/>
    </w:p>
    <w:p w14:paraId="023FD037">
      <w:pPr>
        <w:spacing w:line="360" w:lineRule="auto"/>
        <w:ind w:left="420" w:hanging="420" w:hangingChars="200"/>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7.1</w:t>
      </w:r>
      <w:r>
        <w:rPr>
          <w:rFonts w:hint="eastAsia" w:ascii="宋体" w:hAnsi="宋体" w:eastAsia="宋体" w:cs="宋体"/>
          <w:color w:val="auto"/>
          <w:sz w:val="21"/>
          <w:szCs w:val="21"/>
          <w:highlight w:val="none"/>
          <w:lang w:val="en-US" w:eastAsia="zh-CN"/>
        </w:rPr>
        <w:t xml:space="preserve"> 采购</w:t>
      </w:r>
      <w:r>
        <w:rPr>
          <w:rFonts w:hint="eastAsia" w:ascii="宋体" w:hAnsi="宋体" w:eastAsia="宋体" w:cs="宋体"/>
          <w:color w:val="auto"/>
          <w:sz w:val="21"/>
          <w:szCs w:val="21"/>
          <w:highlight w:val="none"/>
          <w:lang w:val="zh-CN"/>
        </w:rPr>
        <w:t>代理机构对已发出的竞争性磋商文件进行必要澄清或者修改的，将在竞争性磋商文件要求提交响应文件截止时间</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日前，在</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val="zh-CN"/>
        </w:rPr>
        <w:t>信息发布媒介上发布更正公告，请各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rPr>
        <w:t>密切留意。该澄清或者修改的内容为竞争性磋商文件的组成部分。</w:t>
      </w:r>
    </w:p>
    <w:p w14:paraId="7A196737">
      <w:pPr>
        <w:spacing w:line="360" w:lineRule="auto"/>
        <w:ind w:left="420" w:hanging="420" w:hangingChars="200"/>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7.2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项目特定情况下，</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val="zh-CN"/>
        </w:rPr>
        <w:t>代理机构必须延长</w:t>
      </w:r>
      <w:r>
        <w:rPr>
          <w:rFonts w:hint="eastAsia" w:ascii="宋体" w:hAnsi="宋体" w:eastAsia="宋体" w:cs="宋体"/>
          <w:color w:val="auto"/>
          <w:sz w:val="21"/>
          <w:szCs w:val="21"/>
          <w:highlight w:val="none"/>
          <w:lang w:val="en-US" w:eastAsia="zh-CN"/>
        </w:rPr>
        <w:t>响应文件提交</w:t>
      </w:r>
      <w:r>
        <w:rPr>
          <w:rFonts w:hint="eastAsia" w:ascii="宋体" w:hAnsi="宋体" w:eastAsia="宋体" w:cs="宋体"/>
          <w:color w:val="auto"/>
          <w:sz w:val="21"/>
          <w:szCs w:val="21"/>
          <w:highlight w:val="none"/>
          <w:lang w:val="zh-CN"/>
        </w:rPr>
        <w:t>截止时间和</w:t>
      </w:r>
      <w:r>
        <w:rPr>
          <w:rFonts w:hint="eastAsia" w:ascii="宋体" w:hAnsi="宋体" w:eastAsia="宋体" w:cs="宋体"/>
          <w:color w:val="auto"/>
          <w:sz w:val="21"/>
          <w:szCs w:val="21"/>
          <w:highlight w:val="none"/>
          <w:lang w:val="en-US" w:eastAsia="zh-CN"/>
        </w:rPr>
        <w:t>开启</w:t>
      </w:r>
      <w:r>
        <w:rPr>
          <w:rFonts w:hint="eastAsia" w:ascii="宋体" w:hAnsi="宋体" w:eastAsia="宋体" w:cs="宋体"/>
          <w:color w:val="auto"/>
          <w:sz w:val="21"/>
          <w:szCs w:val="21"/>
          <w:highlight w:val="none"/>
          <w:lang w:val="zh-CN"/>
        </w:rPr>
        <w:t>时间时，将在竞争性磋商文件要求提交响应文件的截止时间前，在</w:t>
      </w:r>
      <w:r>
        <w:rPr>
          <w:rFonts w:hint="eastAsia" w:ascii="宋体" w:hAnsi="宋体" w:eastAsia="宋体" w:cs="宋体"/>
          <w:color w:val="auto"/>
          <w:sz w:val="21"/>
          <w:szCs w:val="21"/>
          <w:highlight w:val="none"/>
          <w:lang w:val="zh-CN" w:eastAsia="zh-CN"/>
        </w:rPr>
        <w:t>采购</w:t>
      </w:r>
      <w:r>
        <w:rPr>
          <w:rFonts w:hint="eastAsia" w:ascii="宋体" w:hAnsi="宋体" w:eastAsia="宋体" w:cs="宋体"/>
          <w:color w:val="auto"/>
          <w:sz w:val="21"/>
          <w:szCs w:val="21"/>
          <w:highlight w:val="none"/>
          <w:lang w:val="zh-CN"/>
        </w:rPr>
        <w:t>信息发布媒介上发布变更公告。</w:t>
      </w:r>
    </w:p>
    <w:p w14:paraId="0E9CC6A1">
      <w:pPr>
        <w:spacing w:line="360" w:lineRule="auto"/>
        <w:ind w:left="420" w:hanging="420" w:hanging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7.3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竞争性磋商文件的修改、补充通知在广东省公共资源交易平台（ygp.gdzwfw.gov.cn）、中国招标投标公共服务平台（</w:t>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"http://www.cebpubservice.com）、广东省招标投标监管"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www.cebpubservice.com）、</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t>东莞市水务集团有限公司网（</w:t>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"www.dgswjt.cn）、招标代理公司网站（http://%20%20%20%20%20%20%20%20%20%20%20%20%20%20）"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www.dgswjt.cn）、招标代理机构网站（www.</w:t>
      </w:r>
      <w:r>
        <w:rPr>
          <w:rFonts w:hint="eastAsia" w:ascii="宋体" w:hAnsi="宋体" w:eastAsia="宋体" w:cs="宋体"/>
          <w:color w:val="auto"/>
          <w:sz w:val="21"/>
          <w:szCs w:val="21"/>
          <w:highlight w:val="none"/>
          <w:lang w:val="zh-CN" w:eastAsia="zh-CN"/>
        </w:rPr>
        <w:t>dashengtd</w:t>
      </w:r>
      <w:r>
        <w:rPr>
          <w:rFonts w:hint="eastAsia" w:ascii="宋体" w:hAnsi="宋体" w:eastAsia="宋体" w:cs="宋体"/>
          <w:color w:val="auto"/>
          <w:sz w:val="21"/>
          <w:szCs w:val="21"/>
          <w:highlight w:val="none"/>
          <w:lang w:val="zh-CN"/>
        </w:rPr>
        <w:t>.com）</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t>公布，请各供应商密切留意。</w:t>
      </w:r>
    </w:p>
    <w:p w14:paraId="61B28F6A">
      <w:pPr>
        <w:spacing w:line="360" w:lineRule="auto"/>
        <w:ind w:left="567" w:hanging="567"/>
        <w:jc w:val="both"/>
        <w:rPr>
          <w:rFonts w:hint="eastAsia" w:ascii="宋体" w:hAnsi="宋体" w:eastAsia="宋体" w:cs="宋体"/>
          <w:color w:val="auto"/>
          <w:kern w:val="2"/>
          <w:sz w:val="21"/>
          <w:szCs w:val="21"/>
          <w:highlight w:val="none"/>
          <w:lang w:val="zh-CN"/>
        </w:rPr>
      </w:pPr>
    </w:p>
    <w:p w14:paraId="6E934791">
      <w:pPr>
        <w:pStyle w:val="5"/>
        <w:keepNext/>
        <w:keepLines/>
        <w:pageBreakBefore w:val="0"/>
        <w:widowControl w:val="0"/>
        <w:tabs>
          <w:tab w:val="left" w:pos="567"/>
        </w:tabs>
        <w:kinsoku/>
        <w:wordWrap/>
        <w:overflowPunct/>
        <w:topLinePunct w:val="0"/>
        <w:autoSpaceDE w:val="0"/>
        <w:autoSpaceDN w:val="0"/>
        <w:bidi w:val="0"/>
        <w:adjustRightInd w:val="0"/>
        <w:snapToGrid/>
        <w:spacing w:line="360" w:lineRule="auto"/>
        <w:ind w:firstLine="211" w:firstLineChars="100"/>
        <w:jc w:val="both"/>
        <w:textAlignment w:val="auto"/>
        <w:outlineLvl w:val="1"/>
        <w:rPr>
          <w:rFonts w:hint="eastAsia" w:ascii="宋体" w:hAnsi="宋体" w:eastAsia="宋体" w:cs="宋体"/>
          <w:b/>
          <w:bCs/>
          <w:color w:val="auto"/>
          <w:kern w:val="44"/>
          <w:sz w:val="21"/>
          <w:szCs w:val="21"/>
          <w:highlight w:val="none"/>
          <w:lang w:val="zh-CN"/>
        </w:rPr>
      </w:pPr>
      <w:bookmarkStart w:id="51" w:name="_Toc1142"/>
      <w:bookmarkStart w:id="52" w:name="_Toc521918074"/>
      <w:bookmarkStart w:id="53" w:name="_Toc450662857"/>
      <w:r>
        <w:rPr>
          <w:rFonts w:hint="eastAsia" w:ascii="宋体" w:hAnsi="宋体" w:eastAsia="宋体" w:cs="宋体"/>
          <w:b/>
          <w:bCs/>
          <w:color w:val="auto"/>
          <w:kern w:val="44"/>
          <w:sz w:val="21"/>
          <w:szCs w:val="21"/>
          <w:highlight w:val="none"/>
          <w:lang w:val="zh-CN"/>
        </w:rPr>
        <w:t>三、响应文件的编制</w:t>
      </w:r>
      <w:bookmarkEnd w:id="51"/>
      <w:bookmarkEnd w:id="52"/>
      <w:bookmarkEnd w:id="53"/>
    </w:p>
    <w:p w14:paraId="2E833BC7">
      <w:pPr>
        <w:tabs>
          <w:tab w:val="left" w:pos="675"/>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54" w:name="_Toc521918075"/>
      <w:bookmarkStart w:id="55" w:name="_Toc450662858"/>
      <w:bookmarkStart w:id="56" w:name="_Toc21346"/>
      <w:r>
        <w:rPr>
          <w:rFonts w:hint="eastAsia" w:ascii="宋体" w:hAnsi="宋体" w:eastAsia="宋体" w:cs="宋体"/>
          <w:color w:val="auto"/>
          <w:kern w:val="2"/>
          <w:sz w:val="21"/>
          <w:szCs w:val="21"/>
          <w:highlight w:val="none"/>
          <w:lang w:val="zh-CN"/>
        </w:rPr>
        <w:t>8</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响应文件</w:t>
      </w:r>
      <w:r>
        <w:rPr>
          <w:rFonts w:hint="eastAsia" w:ascii="宋体" w:hAnsi="宋体" w:eastAsia="宋体" w:cs="宋体"/>
          <w:color w:val="auto"/>
          <w:kern w:val="2"/>
          <w:sz w:val="21"/>
          <w:szCs w:val="21"/>
          <w:highlight w:val="none"/>
          <w:lang w:val="zh-CN"/>
        </w:rPr>
        <w:t>使用的文字及度量衡单位</w:t>
      </w:r>
      <w:bookmarkEnd w:id="54"/>
      <w:bookmarkEnd w:id="55"/>
      <w:bookmarkEnd w:id="56"/>
    </w:p>
    <w:p w14:paraId="68B0D9E2">
      <w:pPr>
        <w:tabs>
          <w:tab w:val="left" w:pos="567"/>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8.1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供应商的响应文件以及供应商与采购代理机构就有关</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的所有往来函电均应使用简体中文。</w:t>
      </w:r>
    </w:p>
    <w:p w14:paraId="50C1ADB7">
      <w:pPr>
        <w:tabs>
          <w:tab w:val="left" w:pos="567"/>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8.2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响应文件使用的度量衡单位采用中华人民共和国法定计量单位。</w:t>
      </w:r>
    </w:p>
    <w:p w14:paraId="67606C4F">
      <w:pPr>
        <w:spacing w:line="360" w:lineRule="auto"/>
        <w:ind w:left="420" w:hanging="420" w:hangingChars="200"/>
        <w:jc w:val="both"/>
        <w:rPr>
          <w:rFonts w:hint="eastAsia" w:ascii="宋体" w:hAnsi="宋体" w:eastAsia="宋体" w:cs="宋体"/>
          <w:color w:val="auto"/>
          <w:sz w:val="21"/>
          <w:szCs w:val="21"/>
          <w:highlight w:val="none"/>
          <w:lang w:val="zh-CN"/>
        </w:rPr>
      </w:pPr>
    </w:p>
    <w:p w14:paraId="738763FE">
      <w:pPr>
        <w:tabs>
          <w:tab w:val="left" w:pos="675"/>
        </w:tabs>
        <w:spacing w:line="360" w:lineRule="auto"/>
        <w:ind w:left="567" w:hanging="567"/>
        <w:jc w:val="both"/>
        <w:outlineLvl w:val="2"/>
        <w:rPr>
          <w:rFonts w:hint="eastAsia" w:ascii="宋体" w:hAnsi="宋体" w:eastAsia="宋体" w:cs="宋体"/>
          <w:color w:val="auto"/>
          <w:kern w:val="2"/>
          <w:sz w:val="21"/>
          <w:szCs w:val="21"/>
          <w:highlight w:val="none"/>
          <w:lang w:val="zh-CN" w:eastAsia="zh-CN"/>
        </w:rPr>
      </w:pPr>
      <w:bookmarkStart w:id="57" w:name="_Toc15349"/>
      <w:r>
        <w:rPr>
          <w:rFonts w:hint="eastAsia" w:ascii="宋体" w:hAnsi="宋体" w:eastAsia="宋体" w:cs="宋体"/>
          <w:color w:val="auto"/>
          <w:kern w:val="2"/>
          <w:sz w:val="21"/>
          <w:szCs w:val="21"/>
          <w:highlight w:val="none"/>
          <w:lang w:val="zh-CN" w:eastAsia="zh-CN"/>
        </w:rPr>
        <w:t>9</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响应文件</w:t>
      </w:r>
      <w:r>
        <w:rPr>
          <w:rFonts w:hint="eastAsia" w:ascii="宋体" w:hAnsi="宋体" w:eastAsia="宋体" w:cs="宋体"/>
          <w:color w:val="auto"/>
          <w:kern w:val="2"/>
          <w:sz w:val="21"/>
          <w:szCs w:val="21"/>
          <w:highlight w:val="none"/>
          <w:lang w:val="zh-CN" w:eastAsia="zh-CN"/>
        </w:rPr>
        <w:t>的组成</w:t>
      </w:r>
      <w:bookmarkEnd w:id="57"/>
    </w:p>
    <w:p w14:paraId="7ED1070D">
      <w:pPr>
        <w:spacing w:line="360" w:lineRule="auto"/>
        <w:ind w:left="422" w:hanging="422" w:hangingChars="200"/>
        <w:jc w:val="both"/>
        <w:rPr>
          <w:rFonts w:hint="eastAsia" w:ascii="宋体" w:hAnsi="宋体" w:eastAsia="宋体" w:cs="宋体"/>
          <w:color w:val="auto"/>
          <w:sz w:val="21"/>
          <w:szCs w:val="21"/>
          <w:highlight w:val="none"/>
          <w:lang w:val="zh-CN"/>
        </w:rPr>
      </w:pPr>
      <w:r>
        <w:rPr>
          <w:rFonts w:hint="eastAsia" w:ascii="宋体" w:hAnsi="宋体" w:cs="宋体"/>
          <w:b/>
          <w:bCs/>
          <w:color w:val="auto"/>
          <w:sz w:val="21"/>
          <w:szCs w:val="21"/>
          <w:highlight w:val="none"/>
          <w:u w:val="none"/>
          <w:lang w:val="en-US" w:eastAsia="zh-CN"/>
        </w:rPr>
        <w:t>9.1</w:t>
      </w:r>
      <w:r>
        <w:rPr>
          <w:rFonts w:hint="eastAsia" w:ascii="宋体" w:hAnsi="宋体" w:cs="宋体"/>
          <w:b w:val="0"/>
          <w:bCs w:val="0"/>
          <w:color w:val="auto"/>
          <w:sz w:val="21"/>
          <w:szCs w:val="21"/>
          <w:highlight w:val="none"/>
          <w:u w:val="none"/>
          <w:lang w:val="en-US" w:eastAsia="zh-CN"/>
        </w:rPr>
        <w:t xml:space="preserve"> </w:t>
      </w:r>
      <w:r>
        <w:rPr>
          <w:rFonts w:hint="eastAsia" w:ascii="宋体" w:hAnsi="宋体" w:eastAsia="宋体" w:cs="宋体"/>
          <w:b w:val="0"/>
          <w:bCs w:val="0"/>
          <w:color w:val="auto"/>
          <w:sz w:val="21"/>
          <w:szCs w:val="21"/>
          <w:highlight w:val="none"/>
          <w:u w:val="none"/>
          <w:lang w:val="en-US" w:eastAsia="zh-CN"/>
        </w:rPr>
        <w:t>响应文件的组成：</w:t>
      </w:r>
      <w:r>
        <w:rPr>
          <w:rFonts w:hint="eastAsia" w:ascii="宋体" w:hAnsi="宋体" w:eastAsia="宋体" w:cs="宋体"/>
          <w:b/>
          <w:bCs/>
          <w:color w:val="auto"/>
          <w:sz w:val="21"/>
          <w:szCs w:val="21"/>
          <w:highlight w:val="none"/>
          <w:u w:val="single"/>
          <w:lang w:val="en-US" w:eastAsia="zh-CN"/>
        </w:rPr>
        <w:t>供应商</w:t>
      </w:r>
      <w:r>
        <w:rPr>
          <w:rFonts w:hint="eastAsia" w:ascii="宋体" w:hAnsi="宋体" w:cs="宋体"/>
          <w:b/>
          <w:bCs/>
          <w:color w:val="auto"/>
          <w:sz w:val="21"/>
          <w:szCs w:val="21"/>
          <w:highlight w:val="none"/>
          <w:u w:val="single"/>
          <w:lang w:val="en-US" w:eastAsia="zh-CN"/>
        </w:rPr>
        <w:t>需按包组编制响应文件，</w:t>
      </w:r>
      <w:r>
        <w:rPr>
          <w:rFonts w:hint="eastAsia" w:ascii="宋体" w:hAnsi="宋体" w:eastAsia="宋体" w:cs="宋体"/>
          <w:b/>
          <w:bCs/>
          <w:color w:val="auto"/>
          <w:sz w:val="21"/>
          <w:szCs w:val="21"/>
          <w:highlight w:val="none"/>
          <w:u w:val="single"/>
          <w:lang w:val="zh-CN"/>
        </w:rPr>
        <w:t>商务文件、技术文件由</w:t>
      </w:r>
      <w:r>
        <w:rPr>
          <w:rFonts w:hint="eastAsia" w:ascii="宋体" w:hAnsi="宋体" w:eastAsia="宋体" w:cs="宋体"/>
          <w:b/>
          <w:bCs/>
          <w:color w:val="auto"/>
          <w:sz w:val="21"/>
          <w:szCs w:val="21"/>
          <w:highlight w:val="none"/>
          <w:u w:val="single"/>
          <w:lang w:val="en-US" w:eastAsia="zh-CN"/>
        </w:rPr>
        <w:t>供应商</w:t>
      </w:r>
      <w:r>
        <w:rPr>
          <w:rFonts w:hint="eastAsia" w:ascii="宋体" w:hAnsi="宋体" w:eastAsia="宋体" w:cs="宋体"/>
          <w:b/>
          <w:bCs/>
          <w:color w:val="auto"/>
          <w:sz w:val="21"/>
          <w:szCs w:val="21"/>
          <w:highlight w:val="none"/>
          <w:u w:val="single"/>
          <w:lang w:val="zh-CN"/>
        </w:rPr>
        <w:t>根据各自文件的实际情况决定是否分册装订，</w:t>
      </w:r>
      <w:r>
        <w:rPr>
          <w:rFonts w:hint="eastAsia" w:ascii="宋体" w:hAnsi="宋体" w:eastAsia="宋体" w:cs="宋体"/>
          <w:b/>
          <w:bCs/>
          <w:color w:val="auto"/>
          <w:sz w:val="21"/>
          <w:szCs w:val="21"/>
          <w:highlight w:val="none"/>
          <w:u w:val="single"/>
          <w:lang w:val="en-US" w:eastAsia="zh-CN"/>
        </w:rPr>
        <w:t>竞争性磋商</w:t>
      </w:r>
      <w:r>
        <w:rPr>
          <w:rFonts w:hint="eastAsia" w:ascii="宋体" w:hAnsi="宋体" w:eastAsia="宋体" w:cs="宋体"/>
          <w:b/>
          <w:bCs/>
          <w:color w:val="auto"/>
          <w:sz w:val="21"/>
          <w:szCs w:val="21"/>
          <w:highlight w:val="none"/>
          <w:u w:val="single"/>
          <w:lang w:val="zh-CN"/>
        </w:rPr>
        <w:t>文件不做限制</w:t>
      </w:r>
      <w:r>
        <w:rPr>
          <w:rFonts w:hint="eastAsia" w:ascii="宋体" w:hAnsi="宋体" w:eastAsia="宋体" w:cs="宋体"/>
          <w:color w:val="auto"/>
          <w:sz w:val="21"/>
          <w:szCs w:val="21"/>
          <w:highlight w:val="none"/>
          <w:lang w:val="zh-CN"/>
        </w:rPr>
        <w:t>。</w:t>
      </w:r>
    </w:p>
    <w:p w14:paraId="4855E8AC">
      <w:pPr>
        <w:spacing w:line="360" w:lineRule="auto"/>
        <w:ind w:left="420" w:hanging="422" w:hangingChars="200"/>
        <w:jc w:val="both"/>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9.</w:t>
      </w:r>
      <w:r>
        <w:rPr>
          <w:rFonts w:hint="eastAsia" w:ascii="宋体" w:hAnsi="宋体" w:cs="宋体"/>
          <w:b/>
          <w:bCs/>
          <w:color w:val="auto"/>
          <w:sz w:val="21"/>
          <w:szCs w:val="21"/>
          <w:highlight w:val="none"/>
          <w:lang w:val="en-US" w:eastAsia="zh-CN"/>
        </w:rPr>
        <w:t xml:space="preserve">1.1 </w:t>
      </w:r>
      <w:r>
        <w:rPr>
          <w:rFonts w:hint="eastAsia" w:ascii="宋体" w:hAnsi="宋体" w:eastAsia="宋体" w:cs="宋体"/>
          <w:b/>
          <w:bCs/>
          <w:color w:val="auto"/>
          <w:sz w:val="21"/>
          <w:szCs w:val="21"/>
          <w:highlight w:val="none"/>
          <w:lang w:val="zh-CN"/>
        </w:rPr>
        <w:t>商务文件：</w:t>
      </w:r>
    </w:p>
    <w:p w14:paraId="4175FFB6">
      <w:pPr>
        <w:keepNext w:val="0"/>
        <w:keepLines w:val="0"/>
        <w:pageBreakBefore w:val="0"/>
        <w:widowControl w:val="0"/>
        <w:kinsoku/>
        <w:wordWrap/>
        <w:overflowPunct/>
        <w:topLinePunct w:val="0"/>
        <w:autoSpaceDE w:val="0"/>
        <w:autoSpaceDN w:val="0"/>
        <w:bidi w:val="0"/>
        <w:adjustRightInd w:val="0"/>
        <w:snapToGrid/>
        <w:spacing w:line="360" w:lineRule="auto"/>
        <w:ind w:left="422" w:leftChars="0" w:hanging="422" w:hangingChars="200"/>
        <w:jc w:val="both"/>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 xml:space="preserve"> </w:t>
      </w:r>
      <w:r>
        <w:rPr>
          <w:rFonts w:hint="eastAsia" w:ascii="宋体" w:hAnsi="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lang w:val="zh-CN"/>
        </w:rPr>
        <w:t>目录：</w:t>
      </w:r>
    </w:p>
    <w:p w14:paraId="69D3C572">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lang w:val="zh-CN"/>
        </w:rPr>
        <w:t>函；</w:t>
      </w:r>
    </w:p>
    <w:p w14:paraId="55C05CAE">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（2）磋商承诺书；</w:t>
      </w:r>
    </w:p>
    <w:p w14:paraId="60A683ED">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（3）供货及/或提供服务过程承诺函；</w:t>
      </w:r>
    </w:p>
    <w:p w14:paraId="24FC5EEC">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）首次报价表；</w:t>
      </w:r>
    </w:p>
    <w:p w14:paraId="5A793E95">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）供应商资格证明文件：</w:t>
      </w:r>
    </w:p>
    <w:p w14:paraId="4CAD54D0">
      <w:pPr>
        <w:keepNext w:val="0"/>
        <w:keepLines w:val="0"/>
        <w:pageBreakBefore w:val="0"/>
        <w:widowControl w:val="0"/>
        <w:kinsoku/>
        <w:wordWrap/>
        <w:overflowPunct/>
        <w:topLinePunct w:val="0"/>
        <w:autoSpaceDE w:val="0"/>
        <w:autoSpaceDN w:val="0"/>
        <w:bidi w:val="0"/>
        <w:adjustRightInd w:val="0"/>
        <w:snapToGrid/>
        <w:spacing w:line="360" w:lineRule="auto"/>
        <w:ind w:left="507" w:leftChars="80" w:hanging="315" w:hangingChars="150"/>
        <w:jc w:val="both"/>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①</w:t>
      </w:r>
      <w:r>
        <w:rPr>
          <w:rFonts w:hint="eastAsia" w:ascii="宋体" w:hAnsi="宋体" w:eastAsia="宋体" w:cs="宋体"/>
          <w:color w:val="auto"/>
          <w:sz w:val="21"/>
          <w:szCs w:val="21"/>
          <w:highlight w:val="none"/>
          <w:lang w:eastAsia="zh-CN"/>
        </w:rPr>
        <w:t xml:space="preserve"> 多证合一营业执照（或事业单位法人证书）复印件；</w:t>
      </w:r>
    </w:p>
    <w:p w14:paraId="31AF3740">
      <w:pPr>
        <w:keepNext w:val="0"/>
        <w:keepLines w:val="0"/>
        <w:pageBreakBefore w:val="0"/>
        <w:widowControl w:val="0"/>
        <w:kinsoku/>
        <w:wordWrap/>
        <w:overflowPunct/>
        <w:topLinePunct w:val="0"/>
        <w:autoSpaceDE w:val="0"/>
        <w:autoSpaceDN w:val="0"/>
        <w:bidi w:val="0"/>
        <w:adjustRightInd w:val="0"/>
        <w:snapToGrid/>
        <w:spacing w:line="360" w:lineRule="auto"/>
        <w:ind w:left="507" w:leftChars="80" w:hanging="315" w:hangingChars="15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 2 \* GB3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②</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t xml:space="preserve"> 开户许可证复印件（基本存款账户）复印件，如供应商企业银行账户开户所在地区已取消企业银行账户许可，供应商应提供基本存款账户开户名称、开户银行、账号、编号等信息及相关备案证明（如有）或其他能证明其为基本存款账户的资料复印件</w:t>
      </w:r>
      <w:r>
        <w:rPr>
          <w:rFonts w:hint="eastAsia" w:ascii="宋体" w:hAnsi="宋体" w:cs="宋体"/>
          <w:color w:val="auto"/>
          <w:sz w:val="21"/>
          <w:szCs w:val="21"/>
          <w:highlight w:val="none"/>
          <w:lang w:eastAsia="zh-CN"/>
        </w:rPr>
        <w:t>；</w:t>
      </w:r>
    </w:p>
    <w:p w14:paraId="617222D1">
      <w:pPr>
        <w:keepNext w:val="0"/>
        <w:keepLines w:val="0"/>
        <w:pageBreakBefore w:val="0"/>
        <w:widowControl w:val="0"/>
        <w:kinsoku/>
        <w:wordWrap/>
        <w:overflowPunct/>
        <w:topLinePunct w:val="0"/>
        <w:autoSpaceDE w:val="0"/>
        <w:autoSpaceDN w:val="0"/>
        <w:bidi w:val="0"/>
        <w:adjustRightInd w:val="0"/>
        <w:snapToGrid/>
        <w:spacing w:line="360" w:lineRule="auto"/>
        <w:ind w:left="507" w:leftChars="80" w:hanging="315" w:hangingChars="15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 3 \* GB3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③</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t xml:space="preserve"> 法定代表人身份证明书</w:t>
      </w:r>
      <w:r>
        <w:rPr>
          <w:rFonts w:hint="eastAsia" w:ascii="宋体" w:hAnsi="宋体" w:cs="宋体"/>
          <w:color w:val="auto"/>
          <w:sz w:val="21"/>
          <w:szCs w:val="21"/>
          <w:highlight w:val="none"/>
          <w:lang w:val="en-US" w:eastAsia="zh-CN"/>
        </w:rPr>
        <w:t>和</w:t>
      </w:r>
      <w:r>
        <w:rPr>
          <w:rFonts w:hint="eastAsia" w:ascii="宋体" w:hAnsi="宋体" w:eastAsia="宋体" w:cs="宋体"/>
          <w:color w:val="auto"/>
          <w:sz w:val="21"/>
          <w:szCs w:val="21"/>
          <w:highlight w:val="none"/>
          <w:lang w:eastAsia="zh-CN"/>
        </w:rPr>
        <w:t>法定代表人授权书原件（法定代表人磋商时只需提供法定代表人身份证明书，委托他人为磋商代表或签署响应文件时需同时提供法定代表人授权书）；</w:t>
      </w:r>
    </w:p>
    <w:p w14:paraId="0990E866">
      <w:pPr>
        <w:keepNext w:val="0"/>
        <w:keepLines w:val="0"/>
        <w:pageBreakBefore w:val="0"/>
        <w:widowControl w:val="0"/>
        <w:kinsoku/>
        <w:wordWrap/>
        <w:overflowPunct/>
        <w:topLinePunct w:val="0"/>
        <w:autoSpaceDE w:val="0"/>
        <w:autoSpaceDN w:val="0"/>
        <w:bidi w:val="0"/>
        <w:adjustRightInd w:val="0"/>
        <w:snapToGrid/>
        <w:spacing w:line="360" w:lineRule="auto"/>
        <w:ind w:left="507" w:leftChars="80" w:hanging="315" w:hangingChars="150"/>
        <w:jc w:val="both"/>
        <w:textAlignment w:val="auto"/>
        <w:rPr>
          <w:rFonts w:hint="eastAsia"/>
          <w:color w:val="auto"/>
          <w:highlight w:val="none"/>
          <w:lang w:eastAsia="zh-CN"/>
        </w:rPr>
      </w:pPr>
      <w:r>
        <w:rPr>
          <w:rFonts w:hint="eastAsia" w:ascii="宋体" w:hAnsi="宋体" w:eastAsia="宋体" w:cs="宋体"/>
          <w:color w:val="auto"/>
          <w:sz w:val="21"/>
          <w:szCs w:val="21"/>
          <w:highlight w:val="none"/>
          <w:lang w:eastAsia="zh-CN"/>
        </w:rPr>
        <w:t>④</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资格业绩【供应商提供一</w:t>
      </w:r>
      <w:r>
        <w:rPr>
          <w:rFonts w:hint="eastAsia" w:ascii="宋体" w:hAnsi="宋体" w:eastAsia="宋体" w:cs="宋体"/>
          <w:color w:val="auto"/>
          <w:sz w:val="21"/>
          <w:szCs w:val="21"/>
          <w:highlight w:val="none"/>
          <w:lang w:val="en-US" w:eastAsia="zh-CN"/>
        </w:rPr>
        <w:t>项</w:t>
      </w:r>
      <w:r>
        <w:rPr>
          <w:rFonts w:hint="eastAsia" w:ascii="宋体" w:hAnsi="宋体" w:eastAsia="宋体" w:cs="宋体"/>
          <w:color w:val="auto"/>
          <w:sz w:val="21"/>
          <w:szCs w:val="21"/>
          <w:highlight w:val="none"/>
          <w:lang w:eastAsia="zh-CN"/>
        </w:rPr>
        <w:t>20</w:t>
      </w:r>
      <w:r>
        <w:rPr>
          <w:rFonts w:hint="eastAsia" w:ascii="宋体" w:hAnsi="宋体" w:cs="宋体"/>
          <w:color w:val="auto"/>
          <w:sz w:val="21"/>
          <w:szCs w:val="21"/>
          <w:highlight w:val="none"/>
          <w:lang w:val="en-US" w:eastAsia="zh-CN"/>
        </w:rPr>
        <w:t>19</w:t>
      </w:r>
      <w:r>
        <w:rPr>
          <w:rFonts w:hint="eastAsia" w:ascii="宋体" w:hAnsi="宋体" w:eastAsia="宋体" w:cs="宋体"/>
          <w:color w:val="auto"/>
          <w:sz w:val="21"/>
          <w:szCs w:val="21"/>
          <w:highlight w:val="none"/>
          <w:lang w:eastAsia="zh-CN"/>
        </w:rPr>
        <w:t>年1月1日以来具有</w:t>
      </w:r>
      <w:r>
        <w:rPr>
          <w:rFonts w:hint="eastAsia" w:ascii="宋体" w:hAnsi="宋体" w:eastAsia="宋体" w:cs="宋体"/>
          <w:b/>
          <w:bCs/>
          <w:color w:val="auto"/>
          <w:sz w:val="21"/>
          <w:szCs w:val="21"/>
          <w:highlight w:val="none"/>
          <w:lang w:eastAsia="zh-CN"/>
        </w:rPr>
        <w:t>生活污水处理厂污泥脱水减量化处理服务业绩</w:t>
      </w:r>
      <w:r>
        <w:rPr>
          <w:rFonts w:hint="eastAsia" w:ascii="宋体" w:hAnsi="宋体" w:eastAsia="宋体" w:cs="宋体"/>
          <w:color w:val="auto"/>
          <w:sz w:val="21"/>
          <w:szCs w:val="21"/>
          <w:highlight w:val="none"/>
          <w:lang w:eastAsia="zh-CN"/>
        </w:rPr>
        <w:t>（合同签订日期为20</w:t>
      </w:r>
      <w:r>
        <w:rPr>
          <w:rFonts w:hint="eastAsia" w:ascii="宋体" w:hAnsi="宋体" w:cs="宋体"/>
          <w:color w:val="auto"/>
          <w:sz w:val="21"/>
          <w:szCs w:val="21"/>
          <w:highlight w:val="none"/>
          <w:lang w:val="en-US" w:eastAsia="zh-CN"/>
        </w:rPr>
        <w:t>19</w:t>
      </w:r>
      <w:r>
        <w:rPr>
          <w:rFonts w:hint="eastAsia" w:ascii="宋体" w:hAnsi="宋体" w:eastAsia="宋体" w:cs="宋体"/>
          <w:color w:val="auto"/>
          <w:sz w:val="21"/>
          <w:szCs w:val="21"/>
          <w:highlight w:val="none"/>
          <w:lang w:eastAsia="zh-CN"/>
        </w:rPr>
        <w:t>年1月1日或以后</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资格业绩证明材料提交要求详见竞争性磋商文件第六篇响应文件格式</w:t>
      </w:r>
      <w:r>
        <w:rPr>
          <w:rFonts w:hint="eastAsia" w:ascii="宋体" w:hAnsi="宋体" w:cs="宋体"/>
          <w:color w:val="auto"/>
          <w:sz w:val="21"/>
          <w:szCs w:val="21"/>
          <w:highlight w:val="none"/>
          <w:u w:val="single"/>
          <w:lang w:val="en-US" w:eastAsia="zh-CN"/>
        </w:rPr>
        <w:t>6.4</w:t>
      </w:r>
      <w:r>
        <w:rPr>
          <w:rFonts w:hint="eastAsia" w:ascii="宋体" w:hAnsi="宋体" w:eastAsia="宋体" w:cs="宋体"/>
          <w:color w:val="auto"/>
          <w:sz w:val="21"/>
          <w:szCs w:val="21"/>
          <w:highlight w:val="none"/>
          <w:lang w:eastAsia="zh-CN"/>
        </w:rPr>
        <w:t>】；</w:t>
      </w:r>
    </w:p>
    <w:p w14:paraId="746D8F23">
      <w:pPr>
        <w:keepNext w:val="0"/>
        <w:keepLines w:val="0"/>
        <w:pageBreakBefore w:val="0"/>
        <w:widowControl w:val="0"/>
        <w:kinsoku/>
        <w:wordWrap/>
        <w:overflowPunct/>
        <w:topLinePunct w:val="0"/>
        <w:autoSpaceDE w:val="0"/>
        <w:autoSpaceDN w:val="0"/>
        <w:bidi w:val="0"/>
        <w:adjustRightInd w:val="0"/>
        <w:snapToGrid/>
        <w:spacing w:line="360" w:lineRule="auto"/>
        <w:ind w:left="507" w:leftChars="80" w:hanging="315" w:hangingChars="1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最近3年</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牵涉的其他（失信和违法）处罚说明</w:t>
      </w:r>
      <w:r>
        <w:rPr>
          <w:rFonts w:hint="eastAsia" w:ascii="宋体" w:hAnsi="宋体" w:eastAsia="宋体" w:cs="宋体"/>
          <w:color w:val="auto"/>
          <w:sz w:val="21"/>
          <w:szCs w:val="21"/>
          <w:highlight w:val="none"/>
          <w:lang w:eastAsia="zh-CN"/>
        </w:rPr>
        <w:t>；</w:t>
      </w:r>
    </w:p>
    <w:p w14:paraId="4FF62887">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zh-CN" w:eastAsia="zh-CN"/>
        </w:rPr>
        <w:t>供应商</w:t>
      </w:r>
      <w:r>
        <w:rPr>
          <w:rFonts w:hint="eastAsia" w:ascii="宋体" w:hAnsi="宋体" w:eastAsia="宋体" w:cs="宋体"/>
          <w:color w:val="auto"/>
          <w:sz w:val="21"/>
          <w:szCs w:val="21"/>
          <w:highlight w:val="none"/>
          <w:lang w:val="zh-CN"/>
        </w:rPr>
        <w:t>基本情况</w:t>
      </w:r>
      <w:r>
        <w:rPr>
          <w:rFonts w:hint="eastAsia" w:ascii="宋体" w:hAnsi="宋体" w:eastAsia="宋体" w:cs="宋体"/>
          <w:color w:val="auto"/>
          <w:sz w:val="21"/>
          <w:szCs w:val="21"/>
          <w:highlight w:val="none"/>
          <w:lang w:val="en-US" w:eastAsia="zh-CN"/>
        </w:rPr>
        <w:t>一览表</w:t>
      </w:r>
      <w:r>
        <w:rPr>
          <w:rFonts w:hint="eastAsia" w:ascii="宋体" w:hAnsi="宋体" w:eastAsia="宋体" w:cs="宋体"/>
          <w:color w:val="auto"/>
          <w:sz w:val="21"/>
          <w:szCs w:val="21"/>
          <w:highlight w:val="none"/>
          <w:lang w:val="zh-CN"/>
        </w:rPr>
        <w:t>；</w:t>
      </w:r>
    </w:p>
    <w:p w14:paraId="2B1209DC">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zh-CN"/>
        </w:rPr>
        <w:t>）供应商财务状况</w:t>
      </w:r>
      <w:r>
        <w:rPr>
          <w:rFonts w:hint="eastAsia" w:ascii="宋体" w:hAnsi="宋体" w:eastAsia="宋体" w:cs="宋体"/>
          <w:color w:val="auto"/>
          <w:sz w:val="21"/>
          <w:szCs w:val="21"/>
          <w:highlight w:val="none"/>
          <w:lang w:val="en-US" w:eastAsia="zh-CN"/>
        </w:rPr>
        <w:t>表</w:t>
      </w:r>
      <w:r>
        <w:rPr>
          <w:rFonts w:hint="eastAsia" w:ascii="宋体" w:hAnsi="宋体" w:eastAsia="宋体" w:cs="宋体"/>
          <w:color w:val="auto"/>
          <w:sz w:val="21"/>
          <w:szCs w:val="21"/>
          <w:highlight w:val="none"/>
          <w:lang w:val="zh-CN"/>
        </w:rPr>
        <w:t>；</w:t>
      </w:r>
    </w:p>
    <w:p w14:paraId="00D231D3">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标准化体系认证</w:t>
      </w:r>
      <w:r>
        <w:rPr>
          <w:rFonts w:hint="eastAsia" w:ascii="宋体" w:hAnsi="宋体" w:eastAsia="宋体" w:cs="宋体"/>
          <w:color w:val="auto"/>
          <w:sz w:val="21"/>
          <w:szCs w:val="21"/>
          <w:highlight w:val="none"/>
          <w:lang w:val="zh-CN"/>
        </w:rPr>
        <w:t>；</w:t>
      </w:r>
    </w:p>
    <w:p w14:paraId="1F4C6EA8">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zh-CN"/>
        </w:rPr>
        <w:t>）合同条款</w:t>
      </w:r>
      <w:r>
        <w:rPr>
          <w:rFonts w:hint="eastAsia" w:ascii="宋体" w:hAnsi="宋体" w:cs="宋体"/>
          <w:color w:val="auto"/>
          <w:sz w:val="21"/>
          <w:szCs w:val="21"/>
          <w:highlight w:val="none"/>
          <w:lang w:val="en-US" w:eastAsia="zh-CN"/>
        </w:rPr>
        <w:t>响应程度（合同条款偏离表）</w:t>
      </w:r>
      <w:r>
        <w:rPr>
          <w:rFonts w:hint="eastAsia" w:ascii="宋体" w:hAnsi="宋体" w:eastAsia="宋体" w:cs="宋体"/>
          <w:color w:val="auto"/>
          <w:sz w:val="21"/>
          <w:szCs w:val="21"/>
          <w:highlight w:val="none"/>
          <w:lang w:val="zh-CN"/>
        </w:rPr>
        <w:t>；</w:t>
      </w:r>
    </w:p>
    <w:p w14:paraId="0CAB0E8A">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zh-CN"/>
        </w:rPr>
        <w:t>）业绩</w:t>
      </w:r>
      <w:r>
        <w:rPr>
          <w:rFonts w:hint="eastAsia" w:ascii="宋体" w:hAnsi="宋体" w:cs="宋体"/>
          <w:color w:val="auto"/>
          <w:sz w:val="21"/>
          <w:szCs w:val="21"/>
          <w:highlight w:val="none"/>
          <w:lang w:val="en-US" w:eastAsia="zh-CN"/>
        </w:rPr>
        <w:t>表</w:t>
      </w:r>
      <w:r>
        <w:rPr>
          <w:rFonts w:hint="eastAsia" w:ascii="宋体" w:hAnsi="宋体" w:eastAsia="宋体" w:cs="宋体"/>
          <w:color w:val="auto"/>
          <w:sz w:val="21"/>
          <w:szCs w:val="21"/>
          <w:highlight w:val="none"/>
          <w:lang w:val="zh-CN"/>
        </w:rPr>
        <w:t>；</w:t>
      </w:r>
    </w:p>
    <w:p w14:paraId="6D8AFDAB">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磋商保证金汇入</w:t>
      </w:r>
      <w:r>
        <w:rPr>
          <w:rFonts w:hint="eastAsia" w:ascii="宋体" w:hAnsi="宋体" w:eastAsia="宋体" w:cs="宋体"/>
          <w:color w:val="auto"/>
          <w:sz w:val="21"/>
          <w:szCs w:val="21"/>
          <w:highlight w:val="none"/>
          <w:lang w:val="zh-CN"/>
        </w:rPr>
        <w:t>情况</w:t>
      </w:r>
      <w:r>
        <w:rPr>
          <w:rFonts w:hint="eastAsia" w:ascii="宋体" w:hAnsi="宋体" w:cs="宋体"/>
          <w:color w:val="auto"/>
          <w:sz w:val="21"/>
          <w:szCs w:val="21"/>
          <w:highlight w:val="none"/>
          <w:lang w:val="en-US" w:eastAsia="zh-CN"/>
        </w:rPr>
        <w:t>说明</w:t>
      </w:r>
      <w:r>
        <w:rPr>
          <w:rFonts w:hint="eastAsia" w:ascii="宋体" w:hAnsi="宋体" w:eastAsia="宋体" w:cs="宋体"/>
          <w:color w:val="auto"/>
          <w:sz w:val="21"/>
          <w:szCs w:val="21"/>
          <w:highlight w:val="none"/>
          <w:lang w:val="zh-CN"/>
        </w:rPr>
        <w:t>；</w:t>
      </w:r>
    </w:p>
    <w:p w14:paraId="3A9D69B9">
      <w:pPr>
        <w:keepNext w:val="0"/>
        <w:keepLines w:val="0"/>
        <w:pageBreakBefore w:val="0"/>
        <w:widowControl w:val="0"/>
        <w:kinsoku/>
        <w:wordWrap/>
        <w:overflowPunct/>
        <w:topLinePunct w:val="0"/>
        <w:autoSpaceDE w:val="0"/>
        <w:autoSpaceDN w:val="0"/>
        <w:bidi w:val="0"/>
        <w:adjustRightInd w:val="0"/>
        <w:snapToGrid/>
        <w:spacing w:line="360" w:lineRule="auto"/>
        <w:ind w:left="630" w:leftChars="0" w:hanging="630" w:hangingChars="3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zh-CN" w:eastAsia="zh-CN"/>
        </w:rPr>
        <w:t>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供应商资格证明文件以外的其他资质证书、知识产权证书及获得的相关获奖、认证证书、社会评价资料证明文件复印件等供应商认为有需要证明其具备为本次采购项目提供服务能力的有关其它商务文件（不做强制要求）</w:t>
      </w:r>
      <w:r>
        <w:rPr>
          <w:rFonts w:hint="eastAsia" w:ascii="宋体" w:hAnsi="宋体" w:cs="宋体"/>
          <w:color w:val="auto"/>
          <w:sz w:val="21"/>
          <w:szCs w:val="21"/>
          <w:highlight w:val="none"/>
          <w:lang w:val="zh-CN"/>
        </w:rPr>
        <w:t>。</w:t>
      </w:r>
    </w:p>
    <w:p w14:paraId="4FD7CCD1">
      <w:pPr>
        <w:spacing w:line="360" w:lineRule="auto"/>
        <w:ind w:left="420" w:hanging="422" w:hangingChars="200"/>
        <w:jc w:val="both"/>
        <w:rPr>
          <w:rFonts w:hint="eastAsia"/>
          <w:color w:val="auto"/>
          <w:highlight w:val="none"/>
          <w:lang w:val="zh-CN"/>
        </w:rPr>
      </w:pPr>
      <w:r>
        <w:rPr>
          <w:rFonts w:hint="eastAsia" w:ascii="宋体" w:hAnsi="宋体" w:eastAsia="宋体" w:cs="宋体"/>
          <w:b/>
          <w:bCs/>
          <w:color w:val="auto"/>
          <w:sz w:val="21"/>
          <w:szCs w:val="21"/>
          <w:highlight w:val="none"/>
          <w:lang w:val="zh-CN"/>
        </w:rPr>
        <w:t>9.</w:t>
      </w:r>
      <w:r>
        <w:rPr>
          <w:rFonts w:hint="eastAsia" w:ascii="宋体" w:hAnsi="宋体" w:cs="宋体"/>
          <w:b/>
          <w:bCs/>
          <w:color w:val="auto"/>
          <w:sz w:val="21"/>
          <w:szCs w:val="21"/>
          <w:highlight w:val="none"/>
          <w:lang w:val="en-US" w:eastAsia="zh-CN"/>
        </w:rPr>
        <w:t xml:space="preserve">1.2 </w:t>
      </w:r>
      <w:r>
        <w:rPr>
          <w:rFonts w:hint="eastAsia" w:ascii="宋体" w:hAnsi="宋体" w:eastAsia="宋体" w:cs="宋体"/>
          <w:b/>
          <w:bCs/>
          <w:color w:val="auto"/>
          <w:sz w:val="21"/>
          <w:szCs w:val="21"/>
          <w:highlight w:val="none"/>
          <w:lang w:val="zh-CN"/>
        </w:rPr>
        <w:t>技术文件：</w:t>
      </w:r>
    </w:p>
    <w:p w14:paraId="5093E80A">
      <w:pPr>
        <w:keepNext w:val="0"/>
        <w:keepLines w:val="0"/>
        <w:pageBreakBefore w:val="0"/>
        <w:widowControl w:val="0"/>
        <w:kinsoku/>
        <w:wordWrap/>
        <w:overflowPunct/>
        <w:topLinePunct w:val="0"/>
        <w:autoSpaceDE w:val="0"/>
        <w:autoSpaceDN w:val="0"/>
        <w:bidi w:val="0"/>
        <w:adjustRightInd w:val="0"/>
        <w:snapToGrid/>
        <w:spacing w:line="360" w:lineRule="auto"/>
        <w:ind w:left="422" w:leftChars="88" w:hanging="211" w:hangingChars="100"/>
        <w:jc w:val="both"/>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 xml:space="preserve"> </w:t>
      </w:r>
      <w:r>
        <w:rPr>
          <w:rFonts w:hint="eastAsia" w:ascii="宋体" w:hAnsi="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lang w:val="zh-CN"/>
        </w:rPr>
        <w:t>目录：</w:t>
      </w:r>
    </w:p>
    <w:p w14:paraId="38BFAF5F">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）用户需求响应</w:t>
      </w:r>
      <w:r>
        <w:rPr>
          <w:rFonts w:hint="eastAsia" w:ascii="宋体" w:hAnsi="宋体" w:cs="宋体"/>
          <w:color w:val="auto"/>
          <w:sz w:val="21"/>
          <w:szCs w:val="21"/>
          <w:highlight w:val="none"/>
          <w:lang w:val="en-US" w:eastAsia="zh-CN"/>
        </w:rPr>
        <w:t>程度（即用户需求偏离表格式）</w:t>
      </w:r>
      <w:r>
        <w:rPr>
          <w:rFonts w:hint="eastAsia" w:ascii="宋体" w:hAnsi="宋体" w:eastAsia="宋体" w:cs="宋体"/>
          <w:color w:val="auto"/>
          <w:sz w:val="21"/>
          <w:szCs w:val="21"/>
          <w:highlight w:val="none"/>
          <w:lang w:val="zh-CN"/>
        </w:rPr>
        <w:t>；</w:t>
      </w:r>
    </w:p>
    <w:p w14:paraId="327F3D66">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）污泥脱水减量化处理服务</w:t>
      </w:r>
      <w:r>
        <w:rPr>
          <w:rFonts w:hint="eastAsia" w:ascii="宋体" w:hAnsi="宋体" w:eastAsia="宋体" w:cs="宋体"/>
          <w:color w:val="auto"/>
          <w:sz w:val="21"/>
          <w:szCs w:val="21"/>
          <w:highlight w:val="none"/>
          <w:lang w:val="zh-CN" w:eastAsia="zh-CN"/>
        </w:rPr>
        <w:t>技术</w:t>
      </w:r>
      <w:r>
        <w:rPr>
          <w:rFonts w:hint="eastAsia" w:ascii="宋体" w:hAnsi="宋体" w:eastAsia="宋体" w:cs="宋体"/>
          <w:color w:val="auto"/>
          <w:sz w:val="21"/>
          <w:szCs w:val="21"/>
          <w:highlight w:val="none"/>
          <w:lang w:val="zh-CN"/>
        </w:rPr>
        <w:t>方案；</w:t>
      </w:r>
    </w:p>
    <w:p w14:paraId="6853F29B">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）污泥脱水减量化处理服务</w:t>
      </w:r>
      <w:r>
        <w:rPr>
          <w:rFonts w:hint="eastAsia" w:ascii="宋体" w:hAnsi="宋体" w:eastAsia="宋体" w:cs="宋体"/>
          <w:color w:val="auto"/>
          <w:sz w:val="21"/>
          <w:szCs w:val="21"/>
          <w:highlight w:val="none"/>
          <w:lang w:val="zh-CN" w:eastAsia="zh-CN"/>
        </w:rPr>
        <w:t>管理方案；</w:t>
      </w:r>
    </w:p>
    <w:p w14:paraId="3FA6BC17">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zh-CN" w:eastAsia="zh-CN"/>
        </w:rPr>
        <w:t>项目正式投产时间承诺表</w:t>
      </w:r>
      <w:r>
        <w:rPr>
          <w:rFonts w:hint="eastAsia" w:ascii="宋体" w:hAnsi="宋体" w:eastAsia="宋体" w:cs="宋体"/>
          <w:color w:val="auto"/>
          <w:sz w:val="21"/>
          <w:szCs w:val="21"/>
          <w:highlight w:val="none"/>
          <w:lang w:val="zh-CN"/>
        </w:rPr>
        <w:t>；</w:t>
      </w:r>
    </w:p>
    <w:p w14:paraId="2DC53ECE">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zh-CN" w:eastAsia="zh-CN"/>
        </w:rPr>
        <w:t>进度计划及保障措施</w:t>
      </w:r>
      <w:r>
        <w:rPr>
          <w:rFonts w:hint="eastAsia" w:ascii="宋体" w:hAnsi="宋体" w:eastAsia="宋体" w:cs="宋体"/>
          <w:color w:val="auto"/>
          <w:sz w:val="21"/>
          <w:szCs w:val="21"/>
          <w:highlight w:val="none"/>
          <w:lang w:val="en-US" w:eastAsia="zh-CN"/>
        </w:rPr>
        <w:t>；</w:t>
      </w:r>
    </w:p>
    <w:p w14:paraId="09D51089">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）应急预案和保障措施</w:t>
      </w:r>
      <w:r>
        <w:rPr>
          <w:rFonts w:hint="eastAsia" w:ascii="宋体" w:hAnsi="宋体" w:cs="宋体"/>
          <w:color w:val="auto"/>
          <w:sz w:val="21"/>
          <w:szCs w:val="21"/>
          <w:highlight w:val="none"/>
          <w:lang w:val="zh-CN"/>
        </w:rPr>
        <w:t>；</w:t>
      </w:r>
    </w:p>
    <w:p w14:paraId="63B19FE4">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default" w:eastAsia="宋体"/>
          <w:lang w:val="en-US" w:eastAsia="zh-CN"/>
        </w:rPr>
      </w:pP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lang w:val="en-US" w:eastAsia="zh-CN"/>
        </w:rPr>
        <w:t>供应商认为有必要提供的其它材料（不做强制要求）。</w:t>
      </w:r>
    </w:p>
    <w:p w14:paraId="01024CDD">
      <w:pPr>
        <w:spacing w:line="360" w:lineRule="auto"/>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9.</w:t>
      </w:r>
      <w:r>
        <w:rPr>
          <w:rFonts w:hint="eastAsia" w:ascii="宋体" w:hAnsi="宋体" w:cs="宋体"/>
          <w:b/>
          <w:bCs/>
          <w:color w:val="auto"/>
          <w:kern w:val="2"/>
          <w:sz w:val="21"/>
          <w:szCs w:val="21"/>
          <w:highlight w:val="none"/>
          <w:lang w:val="en-US" w:eastAsia="zh-CN"/>
        </w:rPr>
        <w:t>1.3</w:t>
      </w:r>
      <w:r>
        <w:rPr>
          <w:rFonts w:hint="eastAsia" w:ascii="宋体" w:hAnsi="宋体" w:eastAsia="宋体" w:cs="宋体"/>
          <w:b/>
          <w:bCs/>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lang w:val="zh-CN"/>
        </w:rPr>
        <w:t>响应文件电子文件</w:t>
      </w:r>
      <w:r>
        <w:rPr>
          <w:rFonts w:hint="eastAsia" w:ascii="宋体" w:hAnsi="宋体" w:eastAsia="宋体" w:cs="宋体"/>
          <w:bCs/>
          <w:color w:val="auto"/>
          <w:kern w:val="2"/>
          <w:sz w:val="21"/>
          <w:szCs w:val="21"/>
          <w:highlight w:val="none"/>
          <w:lang w:val="zh-CN"/>
        </w:rPr>
        <w:t>（详细要求见本篇第17.5款）</w:t>
      </w:r>
    </w:p>
    <w:p w14:paraId="1B2F2E51">
      <w:pPr>
        <w:spacing w:line="360" w:lineRule="auto"/>
        <w:jc w:val="both"/>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签字、盖章后的响应文件扫描版PDF格式电子文件。</w:t>
      </w:r>
    </w:p>
    <w:p w14:paraId="653CBE49">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9.</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b w:val="0"/>
          <w:bCs/>
          <w:color w:val="auto"/>
          <w:kern w:val="2"/>
          <w:sz w:val="21"/>
          <w:szCs w:val="21"/>
          <w:highlight w:val="none"/>
          <w:u w:val="none"/>
          <w:lang w:val="en-US" w:eastAsia="zh-CN"/>
        </w:rPr>
        <w:t xml:space="preserve"> 供应商按照响应</w:t>
      </w:r>
      <w:r>
        <w:rPr>
          <w:rFonts w:hint="eastAsia" w:ascii="宋体" w:hAnsi="宋体" w:eastAsia="宋体" w:cs="宋体"/>
          <w:b w:val="0"/>
          <w:bCs/>
          <w:color w:val="auto"/>
          <w:kern w:val="2"/>
          <w:sz w:val="21"/>
          <w:szCs w:val="21"/>
          <w:highlight w:val="none"/>
          <w:u w:val="none"/>
          <w:lang w:val="zh-CN"/>
        </w:rPr>
        <w:t>文件</w:t>
      </w:r>
      <w:r>
        <w:rPr>
          <w:rFonts w:hint="eastAsia" w:ascii="宋体" w:hAnsi="宋体" w:eastAsia="宋体" w:cs="宋体"/>
          <w:b w:val="0"/>
          <w:bCs/>
          <w:color w:val="auto"/>
          <w:kern w:val="2"/>
          <w:sz w:val="21"/>
          <w:szCs w:val="21"/>
          <w:highlight w:val="none"/>
          <w:u w:val="none"/>
          <w:lang w:val="en-US" w:eastAsia="zh-CN"/>
        </w:rPr>
        <w:t>的组成目录编制响应文件应包括上述内容，但不限于上述内容。响应文件提供了相关格式的，严格按照竞争性磋商文件的要求编制，响应文件未含格式的，供应商自行编制。响应文件编制中要求的复印件、照片可为该资料扫描件的打印件。</w:t>
      </w:r>
    </w:p>
    <w:p w14:paraId="0B6F5F8B">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9.</w:t>
      </w:r>
      <w:r>
        <w:rPr>
          <w:rFonts w:hint="eastAsia" w:ascii="宋体" w:hAnsi="宋体" w:cs="宋体"/>
          <w:color w:val="auto"/>
          <w:kern w:val="2"/>
          <w:sz w:val="21"/>
          <w:szCs w:val="21"/>
          <w:highlight w:val="none"/>
          <w:lang w:val="en-US" w:eastAsia="zh-CN"/>
        </w:rPr>
        <w:t>3</w:t>
      </w:r>
      <w:r>
        <w:rPr>
          <w:rFonts w:hint="eastAsia" w:ascii="宋体" w:hAnsi="宋体" w:eastAsia="宋体" w:cs="宋体"/>
          <w:b/>
          <w:color w:val="auto"/>
          <w:kern w:val="2"/>
          <w:sz w:val="21"/>
          <w:szCs w:val="21"/>
          <w:highlight w:val="none"/>
          <w:u w:val="none"/>
          <w:lang w:val="en-US" w:eastAsia="zh-CN"/>
        </w:rPr>
        <w:t xml:space="preserve"> </w:t>
      </w:r>
      <w:r>
        <w:rPr>
          <w:rFonts w:hint="eastAsia" w:ascii="宋体" w:hAnsi="宋体" w:eastAsia="宋体" w:cs="宋体"/>
          <w:b/>
          <w:color w:val="auto"/>
          <w:kern w:val="2"/>
          <w:sz w:val="21"/>
          <w:szCs w:val="21"/>
          <w:highlight w:val="none"/>
          <w:u w:val="single"/>
          <w:lang w:val="zh-CN"/>
        </w:rPr>
        <w:t>响应文件中相关证件、证书、合同、发票、照片等证明材料中的原始印章、签名、关键内容必须清晰、可辨认，否则视为无效证明材料；响应文件中存在外文资料的，供应商必须同时提供中文译本，且必须保证中文译本的准确，否则采购人不予认可，视为无效材料；供应商须承担因此对应造成</w:t>
      </w:r>
      <w:r>
        <w:rPr>
          <w:rFonts w:hint="eastAsia" w:ascii="宋体" w:hAnsi="宋体" w:eastAsia="宋体" w:cs="宋体"/>
          <w:b/>
          <w:color w:val="auto"/>
          <w:kern w:val="2"/>
          <w:sz w:val="21"/>
          <w:szCs w:val="21"/>
          <w:highlight w:val="none"/>
          <w:u w:val="single"/>
          <w:lang w:val="en-US" w:eastAsia="zh-CN"/>
        </w:rPr>
        <w:t>响应文件</w:t>
      </w:r>
      <w:r>
        <w:rPr>
          <w:rFonts w:hint="eastAsia" w:ascii="宋体" w:hAnsi="宋体" w:eastAsia="宋体" w:cs="宋体"/>
          <w:b/>
          <w:color w:val="auto"/>
          <w:kern w:val="2"/>
          <w:sz w:val="21"/>
          <w:szCs w:val="21"/>
          <w:highlight w:val="none"/>
          <w:u w:val="single"/>
          <w:lang w:val="zh-CN"/>
        </w:rPr>
        <w:t>无效，或评审时因无效证明材料不得分，或拒绝接受</w:t>
      </w:r>
      <w:r>
        <w:rPr>
          <w:rFonts w:hint="eastAsia" w:ascii="宋体" w:hAnsi="宋体" w:eastAsia="宋体" w:cs="宋体"/>
          <w:b/>
          <w:color w:val="auto"/>
          <w:kern w:val="2"/>
          <w:sz w:val="21"/>
          <w:szCs w:val="21"/>
          <w:highlight w:val="none"/>
          <w:u w:val="single"/>
          <w:lang w:val="en-US" w:eastAsia="zh-CN"/>
        </w:rPr>
        <w:t>磋商</w:t>
      </w:r>
      <w:r>
        <w:rPr>
          <w:rFonts w:hint="eastAsia" w:ascii="宋体" w:hAnsi="宋体" w:eastAsia="宋体" w:cs="宋体"/>
          <w:b/>
          <w:color w:val="auto"/>
          <w:kern w:val="2"/>
          <w:sz w:val="21"/>
          <w:szCs w:val="21"/>
          <w:highlight w:val="none"/>
          <w:u w:val="single"/>
          <w:lang w:val="zh-CN"/>
        </w:rPr>
        <w:t>的风险。</w:t>
      </w:r>
    </w:p>
    <w:p w14:paraId="147E134C">
      <w:pPr>
        <w:spacing w:line="360" w:lineRule="auto"/>
        <w:ind w:left="540" w:hanging="15" w:firstLineChars="0"/>
        <w:jc w:val="both"/>
        <w:rPr>
          <w:rFonts w:hint="eastAsia" w:ascii="宋体" w:hAnsi="宋体" w:eastAsia="宋体" w:cs="宋体"/>
          <w:b w:val="0"/>
          <w:color w:val="auto"/>
          <w:kern w:val="2"/>
          <w:sz w:val="21"/>
          <w:szCs w:val="21"/>
          <w:highlight w:val="none"/>
          <w:lang w:val="zh-CN"/>
        </w:rPr>
      </w:pPr>
    </w:p>
    <w:p w14:paraId="7230CCA3">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58" w:name="_Toc1760"/>
      <w:bookmarkStart w:id="59" w:name="_Toc450662860"/>
      <w:bookmarkStart w:id="60" w:name="_Toc521918077"/>
      <w:r>
        <w:rPr>
          <w:rFonts w:hint="eastAsia" w:ascii="宋体" w:hAnsi="宋体" w:eastAsia="宋体" w:cs="宋体"/>
          <w:color w:val="auto"/>
          <w:kern w:val="2"/>
          <w:sz w:val="21"/>
          <w:szCs w:val="21"/>
          <w:highlight w:val="none"/>
          <w:lang w:val="zh-CN"/>
        </w:rPr>
        <w:t>10</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函</w:t>
      </w:r>
      <w:bookmarkEnd w:id="58"/>
      <w:bookmarkEnd w:id="59"/>
      <w:bookmarkEnd w:id="60"/>
    </w:p>
    <w:p w14:paraId="0F4AF261">
      <w:pPr>
        <w:spacing w:line="360" w:lineRule="auto"/>
        <w:ind w:left="540" w:hanging="15"/>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供应商应完整填写响应文件格式中规定的</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函。</w:t>
      </w:r>
    </w:p>
    <w:p w14:paraId="405B450D">
      <w:pPr>
        <w:spacing w:line="360" w:lineRule="auto"/>
        <w:ind w:left="540" w:hanging="15"/>
        <w:jc w:val="both"/>
        <w:rPr>
          <w:rFonts w:hint="eastAsia" w:ascii="宋体" w:hAnsi="宋体" w:eastAsia="宋体" w:cs="宋体"/>
          <w:color w:val="auto"/>
          <w:kern w:val="2"/>
          <w:sz w:val="21"/>
          <w:szCs w:val="21"/>
          <w:highlight w:val="none"/>
          <w:lang w:val="zh-CN"/>
        </w:rPr>
      </w:pPr>
    </w:p>
    <w:p w14:paraId="5632913C">
      <w:pPr>
        <w:tabs>
          <w:tab w:val="left" w:pos="567"/>
        </w:tabs>
        <w:spacing w:line="360" w:lineRule="auto"/>
        <w:ind w:left="567" w:hanging="567"/>
        <w:jc w:val="both"/>
        <w:outlineLvl w:val="2"/>
        <w:rPr>
          <w:rFonts w:hint="eastAsia" w:ascii="宋体" w:hAnsi="宋体" w:eastAsia="宋体" w:cs="宋体"/>
          <w:color w:val="auto"/>
          <w:sz w:val="21"/>
          <w:szCs w:val="21"/>
          <w:highlight w:val="none"/>
        </w:rPr>
      </w:pPr>
      <w:bookmarkStart w:id="61" w:name="_Toc521918078"/>
      <w:bookmarkStart w:id="62" w:name="_Toc450662861"/>
      <w:bookmarkStart w:id="63" w:name="_Toc18981"/>
      <w:r>
        <w:rPr>
          <w:rFonts w:hint="eastAsia" w:ascii="宋体" w:hAnsi="宋体" w:eastAsia="宋体" w:cs="宋体"/>
          <w:bCs/>
          <w:color w:val="auto"/>
          <w:kern w:val="2"/>
          <w:sz w:val="21"/>
          <w:szCs w:val="21"/>
          <w:highlight w:val="none"/>
          <w:lang w:val="zh-CN"/>
        </w:rPr>
        <w:t>11</w:t>
      </w:r>
      <w:bookmarkEnd w:id="61"/>
      <w:bookmarkEnd w:id="62"/>
      <w:r>
        <w:rPr>
          <w:rFonts w:hint="eastAsia" w:ascii="宋体" w:hAnsi="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lang w:val="zh-CN"/>
        </w:rPr>
        <w:t>响应报价</w:t>
      </w:r>
      <w:bookmarkEnd w:id="63"/>
    </w:p>
    <w:p w14:paraId="09E1342C">
      <w:pPr>
        <w:tabs>
          <w:tab w:val="left" w:pos="142"/>
        </w:tabs>
        <w:spacing w:line="360" w:lineRule="auto"/>
        <w:ind w:left="532" w:hanging="532"/>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zh-CN"/>
        </w:rPr>
        <w:t xml:space="preserve">11.1 </w:t>
      </w:r>
      <w:r>
        <w:rPr>
          <w:rFonts w:hint="eastAsia" w:ascii="宋体" w:hAnsi="宋体" w:eastAsia="宋体" w:cs="宋体"/>
          <w:b/>
          <w:bCs/>
          <w:color w:val="auto"/>
          <w:kern w:val="2"/>
          <w:sz w:val="21"/>
          <w:szCs w:val="21"/>
          <w:highlight w:val="none"/>
          <w:u w:val="single"/>
        </w:rPr>
        <w:t>本项目</w:t>
      </w:r>
      <w:r>
        <w:rPr>
          <w:rFonts w:hint="eastAsia" w:ascii="宋体" w:hAnsi="宋体" w:cs="宋体"/>
          <w:b/>
          <w:bCs/>
          <w:color w:val="auto"/>
          <w:kern w:val="2"/>
          <w:sz w:val="21"/>
          <w:szCs w:val="21"/>
          <w:highlight w:val="none"/>
          <w:u w:val="single"/>
          <w:lang w:val="en-US" w:eastAsia="zh-CN"/>
        </w:rPr>
        <w:t>最终报价</w:t>
      </w:r>
      <w:r>
        <w:rPr>
          <w:rFonts w:hint="eastAsia" w:ascii="宋体" w:hAnsi="宋体" w:eastAsia="宋体" w:cs="宋体"/>
          <w:b/>
          <w:bCs/>
          <w:color w:val="auto"/>
          <w:kern w:val="2"/>
          <w:sz w:val="21"/>
          <w:szCs w:val="21"/>
          <w:highlight w:val="none"/>
          <w:u w:val="single"/>
        </w:rPr>
        <w:t>只允许有一个报价价格，任何有选择的或不是固定价的响应报价将不予接受，作为非实质性响应</w:t>
      </w:r>
      <w:r>
        <w:rPr>
          <w:rFonts w:hint="eastAsia" w:ascii="宋体" w:hAnsi="宋体" w:eastAsia="宋体" w:cs="宋体"/>
          <w:b/>
          <w:bCs/>
          <w:color w:val="auto"/>
          <w:kern w:val="2"/>
          <w:sz w:val="21"/>
          <w:szCs w:val="21"/>
          <w:highlight w:val="none"/>
          <w:u w:val="single"/>
          <w:lang w:eastAsia="zh-CN"/>
        </w:rPr>
        <w:t>报价</w:t>
      </w:r>
      <w:r>
        <w:rPr>
          <w:rFonts w:hint="eastAsia" w:ascii="宋体" w:hAnsi="宋体" w:eastAsia="宋体" w:cs="宋体"/>
          <w:b/>
          <w:bCs/>
          <w:color w:val="auto"/>
          <w:kern w:val="2"/>
          <w:sz w:val="21"/>
          <w:szCs w:val="21"/>
          <w:highlight w:val="none"/>
          <w:u w:val="single"/>
        </w:rPr>
        <w:t>而予以拒绝。</w:t>
      </w:r>
      <w:r>
        <w:rPr>
          <w:rFonts w:hint="eastAsia" w:ascii="宋体" w:hAnsi="宋体" w:eastAsia="宋体" w:cs="宋体"/>
          <w:b/>
          <w:bCs/>
          <w:color w:val="auto"/>
          <w:kern w:val="2"/>
          <w:sz w:val="21"/>
          <w:szCs w:val="21"/>
          <w:highlight w:val="none"/>
          <w:u w:val="single"/>
          <w:lang w:eastAsia="zh-CN"/>
        </w:rPr>
        <w:t>供应商</w:t>
      </w:r>
      <w:r>
        <w:rPr>
          <w:rFonts w:hint="eastAsia" w:ascii="宋体" w:hAnsi="宋体" w:eastAsia="宋体" w:cs="宋体"/>
          <w:b/>
          <w:bCs/>
          <w:color w:val="auto"/>
          <w:kern w:val="2"/>
          <w:sz w:val="21"/>
          <w:szCs w:val="21"/>
          <w:highlight w:val="none"/>
          <w:u w:val="single"/>
        </w:rPr>
        <w:t>不得以低于企业自身成本的价格</w:t>
      </w:r>
      <w:r>
        <w:rPr>
          <w:rFonts w:hint="eastAsia" w:ascii="宋体" w:hAnsi="宋体" w:cs="宋体"/>
          <w:b/>
          <w:bCs/>
          <w:color w:val="auto"/>
          <w:kern w:val="2"/>
          <w:sz w:val="21"/>
          <w:szCs w:val="21"/>
          <w:highlight w:val="none"/>
          <w:u w:val="single"/>
          <w:lang w:val="en-US" w:eastAsia="zh-CN"/>
        </w:rPr>
        <w:t>报价</w:t>
      </w:r>
      <w:r>
        <w:rPr>
          <w:rFonts w:hint="eastAsia" w:ascii="宋体" w:hAnsi="宋体" w:eastAsia="宋体" w:cs="宋体"/>
          <w:b/>
          <w:bCs/>
          <w:color w:val="auto"/>
          <w:kern w:val="2"/>
          <w:sz w:val="21"/>
          <w:szCs w:val="21"/>
          <w:highlight w:val="none"/>
        </w:rPr>
        <w:t>。</w:t>
      </w:r>
    </w:p>
    <w:p w14:paraId="2177F480">
      <w:pPr>
        <w:tabs>
          <w:tab w:val="left" w:pos="567"/>
        </w:tabs>
        <w:autoSpaceDE/>
        <w:autoSpaceDN/>
        <w:adjustRightInd w:val="0"/>
        <w:spacing w:line="360" w:lineRule="auto"/>
        <w:ind w:left="528" w:leftChars="220" w:firstLine="454"/>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u w:val="single"/>
          <w:lang w:val="zh-CN"/>
        </w:rPr>
        <w:t>若</w:t>
      </w:r>
      <w:r>
        <w:rPr>
          <w:rFonts w:hint="eastAsia" w:ascii="宋体" w:hAnsi="宋体" w:eastAsia="宋体" w:cs="宋体"/>
          <w:b/>
          <w:color w:val="auto"/>
          <w:sz w:val="21"/>
          <w:szCs w:val="21"/>
          <w:highlight w:val="none"/>
          <w:u w:val="single"/>
          <w:lang w:val="en-US" w:eastAsia="zh-CN"/>
        </w:rPr>
        <w:t>供应商</w:t>
      </w:r>
      <w:r>
        <w:rPr>
          <w:rFonts w:hint="eastAsia" w:ascii="宋体" w:hAnsi="宋体" w:eastAsia="宋体" w:cs="宋体"/>
          <w:b/>
          <w:color w:val="auto"/>
          <w:sz w:val="21"/>
          <w:szCs w:val="21"/>
          <w:highlight w:val="none"/>
          <w:u w:val="single"/>
          <w:lang w:val="zh-CN"/>
        </w:rPr>
        <w:t>出现超低报价，有可能影响服务质量和不能诚信履约的，</w:t>
      </w:r>
      <w:r>
        <w:rPr>
          <w:rFonts w:hint="eastAsia" w:ascii="宋体" w:hAnsi="宋体" w:eastAsia="宋体" w:cs="宋体"/>
          <w:b/>
          <w:color w:val="auto"/>
          <w:sz w:val="21"/>
          <w:szCs w:val="21"/>
          <w:highlight w:val="none"/>
          <w:u w:val="single"/>
          <w:lang w:val="en-US" w:eastAsia="zh-CN"/>
        </w:rPr>
        <w:t>磋商小组</w:t>
      </w:r>
      <w:r>
        <w:rPr>
          <w:rFonts w:hint="eastAsia" w:ascii="宋体" w:hAnsi="宋体" w:eastAsia="宋体" w:cs="宋体"/>
          <w:b/>
          <w:color w:val="auto"/>
          <w:sz w:val="21"/>
          <w:szCs w:val="21"/>
          <w:highlight w:val="none"/>
          <w:u w:val="single"/>
          <w:lang w:val="zh-CN"/>
        </w:rPr>
        <w:t>将要求该</w:t>
      </w:r>
      <w:r>
        <w:rPr>
          <w:rFonts w:hint="eastAsia" w:ascii="宋体" w:hAnsi="宋体" w:eastAsia="宋体" w:cs="宋体"/>
          <w:b/>
          <w:color w:val="auto"/>
          <w:sz w:val="21"/>
          <w:szCs w:val="21"/>
          <w:highlight w:val="none"/>
          <w:u w:val="single"/>
          <w:lang w:val="en-US" w:eastAsia="zh-CN"/>
        </w:rPr>
        <w:t>供应商</w:t>
      </w:r>
      <w:r>
        <w:rPr>
          <w:rFonts w:hint="eastAsia" w:ascii="宋体" w:hAnsi="宋体" w:eastAsia="宋体" w:cs="宋体"/>
          <w:b/>
          <w:color w:val="auto"/>
          <w:sz w:val="21"/>
          <w:szCs w:val="21"/>
          <w:highlight w:val="none"/>
          <w:u w:val="single"/>
          <w:lang w:val="zh-CN"/>
        </w:rPr>
        <w:t>作出书面说明并提供相关证明材料，以确定</w:t>
      </w:r>
      <w:r>
        <w:rPr>
          <w:rFonts w:hint="eastAsia" w:ascii="宋体" w:hAnsi="宋体" w:eastAsia="宋体" w:cs="宋体"/>
          <w:b/>
          <w:color w:val="auto"/>
          <w:sz w:val="21"/>
          <w:szCs w:val="21"/>
          <w:highlight w:val="none"/>
          <w:u w:val="single"/>
          <w:lang w:val="en-US" w:eastAsia="zh-CN"/>
        </w:rPr>
        <w:t>供应商</w:t>
      </w:r>
      <w:r>
        <w:rPr>
          <w:rFonts w:hint="eastAsia" w:ascii="宋体" w:hAnsi="宋体" w:eastAsia="宋体" w:cs="宋体"/>
          <w:b/>
          <w:color w:val="auto"/>
          <w:sz w:val="21"/>
          <w:szCs w:val="21"/>
          <w:highlight w:val="none"/>
          <w:u w:val="single"/>
          <w:lang w:val="zh-CN"/>
        </w:rPr>
        <w:t>是否以低于企业成本价报价。若</w:t>
      </w:r>
      <w:r>
        <w:rPr>
          <w:rFonts w:hint="eastAsia" w:ascii="宋体" w:hAnsi="宋体" w:eastAsia="宋体" w:cs="宋体"/>
          <w:b/>
          <w:color w:val="auto"/>
          <w:sz w:val="21"/>
          <w:szCs w:val="21"/>
          <w:highlight w:val="none"/>
          <w:u w:val="single"/>
          <w:lang w:val="en-US" w:eastAsia="zh-CN"/>
        </w:rPr>
        <w:t>供应商</w:t>
      </w:r>
      <w:r>
        <w:rPr>
          <w:rFonts w:hint="eastAsia" w:ascii="宋体" w:hAnsi="宋体" w:eastAsia="宋体" w:cs="宋体"/>
          <w:b/>
          <w:color w:val="auto"/>
          <w:sz w:val="21"/>
          <w:szCs w:val="21"/>
          <w:highlight w:val="none"/>
          <w:u w:val="single"/>
          <w:lang w:val="zh-CN"/>
        </w:rPr>
        <w:t>不能合理说明或不能提供相关证明材料的，</w:t>
      </w:r>
      <w:r>
        <w:rPr>
          <w:rFonts w:hint="eastAsia" w:ascii="宋体" w:hAnsi="宋体" w:eastAsia="宋体" w:cs="宋体"/>
          <w:b/>
          <w:color w:val="auto"/>
          <w:sz w:val="21"/>
          <w:szCs w:val="21"/>
          <w:highlight w:val="none"/>
          <w:u w:val="single"/>
          <w:lang w:val="en-US" w:eastAsia="zh-CN"/>
        </w:rPr>
        <w:t>磋商小组</w:t>
      </w:r>
      <w:r>
        <w:rPr>
          <w:rFonts w:hint="eastAsia" w:ascii="宋体" w:hAnsi="宋体" w:eastAsia="宋体" w:cs="宋体"/>
          <w:b/>
          <w:color w:val="auto"/>
          <w:sz w:val="21"/>
          <w:szCs w:val="21"/>
          <w:highlight w:val="none"/>
          <w:u w:val="single"/>
          <w:lang w:val="zh-CN"/>
        </w:rPr>
        <w:t>将认定其</w:t>
      </w:r>
      <w:r>
        <w:rPr>
          <w:rFonts w:hint="eastAsia" w:ascii="宋体" w:hAnsi="宋体" w:eastAsia="宋体" w:cs="宋体"/>
          <w:b/>
          <w:color w:val="auto"/>
          <w:sz w:val="21"/>
          <w:szCs w:val="21"/>
          <w:highlight w:val="none"/>
          <w:u w:val="single"/>
          <w:lang w:val="en-US" w:eastAsia="zh-CN"/>
        </w:rPr>
        <w:t>响应</w:t>
      </w:r>
      <w:r>
        <w:rPr>
          <w:rFonts w:hint="eastAsia" w:ascii="宋体" w:hAnsi="宋体" w:eastAsia="宋体" w:cs="宋体"/>
          <w:b/>
          <w:color w:val="auto"/>
          <w:sz w:val="21"/>
          <w:szCs w:val="21"/>
          <w:highlight w:val="none"/>
          <w:u w:val="single"/>
          <w:lang w:val="zh-CN"/>
        </w:rPr>
        <w:t>报价低于成本，同时否决其</w:t>
      </w:r>
      <w:r>
        <w:rPr>
          <w:rFonts w:hint="eastAsia" w:ascii="宋体" w:hAnsi="宋体" w:eastAsia="宋体" w:cs="宋体"/>
          <w:b/>
          <w:color w:val="auto"/>
          <w:sz w:val="21"/>
          <w:szCs w:val="21"/>
          <w:highlight w:val="none"/>
          <w:u w:val="single"/>
          <w:lang w:val="en-US" w:eastAsia="zh-CN"/>
        </w:rPr>
        <w:t>递交的响应文件</w:t>
      </w:r>
      <w:r>
        <w:rPr>
          <w:rFonts w:hint="eastAsia" w:ascii="宋体" w:hAnsi="宋体" w:eastAsia="宋体" w:cs="宋体"/>
          <w:b/>
          <w:color w:val="auto"/>
          <w:sz w:val="21"/>
          <w:szCs w:val="21"/>
          <w:highlight w:val="none"/>
          <w:lang w:val="zh-CN"/>
        </w:rPr>
        <w:t>。</w:t>
      </w:r>
    </w:p>
    <w:p w14:paraId="4AEAEC5B">
      <w:pPr>
        <w:tabs>
          <w:tab w:val="left" w:pos="567"/>
        </w:tabs>
        <w:autoSpaceDE/>
        <w:autoSpaceDN/>
        <w:spacing w:line="360" w:lineRule="auto"/>
        <w:ind w:left="528" w:leftChars="220" w:firstLine="454"/>
        <w:jc w:val="left"/>
        <w:rPr>
          <w:rFonts w:hint="eastAsia" w:ascii="宋体" w:hAnsi="宋体" w:eastAsia="宋体" w:cs="宋体"/>
          <w:b/>
          <w:bCs/>
          <w:color w:val="auto"/>
          <w:kern w:val="2"/>
          <w:sz w:val="21"/>
          <w:szCs w:val="21"/>
          <w:highlight w:val="none"/>
          <w:lang w:val="zh-CN"/>
        </w:rPr>
      </w:pPr>
      <w:r>
        <w:rPr>
          <w:rFonts w:hint="eastAsia" w:ascii="宋体" w:hAnsi="宋体" w:eastAsia="宋体" w:cs="宋体"/>
          <w:b/>
          <w:color w:val="auto"/>
          <w:sz w:val="21"/>
          <w:szCs w:val="21"/>
          <w:highlight w:val="none"/>
          <w:u w:val="single"/>
          <w:lang w:val="zh-CN"/>
        </w:rPr>
        <w:t>对是否低于企业成本价报价的事宜有争议的</w:t>
      </w:r>
      <w:r>
        <w:rPr>
          <w:rFonts w:hint="eastAsia" w:ascii="宋体" w:hAnsi="宋体" w:eastAsia="宋体" w:cs="宋体"/>
          <w:b/>
          <w:color w:val="auto"/>
          <w:sz w:val="21"/>
          <w:szCs w:val="21"/>
          <w:highlight w:val="none"/>
          <w:u w:val="single"/>
          <w:lang w:val="en-US" w:eastAsia="zh-CN"/>
        </w:rPr>
        <w:t>响应</w:t>
      </w:r>
      <w:r>
        <w:rPr>
          <w:rFonts w:hint="eastAsia" w:ascii="宋体" w:hAnsi="宋体" w:eastAsia="宋体" w:cs="宋体"/>
          <w:b/>
          <w:color w:val="auto"/>
          <w:sz w:val="21"/>
          <w:szCs w:val="21"/>
          <w:highlight w:val="none"/>
          <w:u w:val="single"/>
          <w:lang w:val="zh-CN"/>
        </w:rPr>
        <w:t>文件，</w:t>
      </w:r>
      <w:r>
        <w:rPr>
          <w:rFonts w:hint="eastAsia" w:ascii="宋体" w:hAnsi="宋体" w:eastAsia="宋体" w:cs="宋体"/>
          <w:b/>
          <w:color w:val="auto"/>
          <w:sz w:val="21"/>
          <w:szCs w:val="21"/>
          <w:highlight w:val="none"/>
          <w:u w:val="single"/>
          <w:lang w:val="en-US" w:eastAsia="zh-CN"/>
        </w:rPr>
        <w:t>磋商小组</w:t>
      </w:r>
      <w:r>
        <w:rPr>
          <w:rFonts w:hint="eastAsia" w:ascii="宋体" w:hAnsi="宋体" w:eastAsia="宋体" w:cs="宋体"/>
          <w:b/>
          <w:color w:val="auto"/>
          <w:sz w:val="21"/>
          <w:szCs w:val="21"/>
          <w:highlight w:val="none"/>
          <w:u w:val="single"/>
          <w:lang w:val="zh-CN"/>
        </w:rPr>
        <w:t>成员将以记名方式表决，</w:t>
      </w:r>
      <w:r>
        <w:rPr>
          <w:rFonts w:hint="eastAsia" w:ascii="宋体" w:hAnsi="宋体" w:eastAsia="宋体" w:cs="宋体"/>
          <w:b/>
          <w:color w:val="auto"/>
          <w:sz w:val="21"/>
          <w:szCs w:val="21"/>
          <w:highlight w:val="none"/>
          <w:u w:val="single"/>
          <w:lang w:val="en-US" w:eastAsia="zh-CN"/>
        </w:rPr>
        <w:t>根据少数服从</w:t>
      </w:r>
      <w:r>
        <w:rPr>
          <w:rFonts w:hint="eastAsia" w:ascii="宋体" w:hAnsi="宋体" w:eastAsia="宋体" w:cs="宋体"/>
          <w:b/>
          <w:color w:val="auto"/>
          <w:sz w:val="21"/>
          <w:szCs w:val="21"/>
          <w:highlight w:val="none"/>
          <w:u w:val="single"/>
          <w:lang w:val="zh-CN" w:eastAsia="zh-CN"/>
        </w:rPr>
        <w:t>多数</w:t>
      </w:r>
      <w:r>
        <w:rPr>
          <w:rFonts w:hint="eastAsia" w:ascii="宋体" w:hAnsi="宋体" w:eastAsia="宋体" w:cs="宋体"/>
          <w:b/>
          <w:color w:val="auto"/>
          <w:sz w:val="21"/>
          <w:szCs w:val="21"/>
          <w:highlight w:val="none"/>
          <w:u w:val="single"/>
          <w:lang w:val="en-US" w:eastAsia="zh-CN"/>
        </w:rPr>
        <w:t>的原则，获多数表决通过</w:t>
      </w:r>
      <w:r>
        <w:rPr>
          <w:rFonts w:hint="eastAsia" w:ascii="宋体" w:hAnsi="宋体" w:eastAsia="宋体" w:cs="宋体"/>
          <w:b/>
          <w:color w:val="auto"/>
          <w:sz w:val="21"/>
          <w:szCs w:val="21"/>
          <w:highlight w:val="none"/>
          <w:u w:val="single"/>
          <w:lang w:val="zh-CN"/>
        </w:rPr>
        <w:t>的</w:t>
      </w:r>
      <w:r>
        <w:rPr>
          <w:rFonts w:hint="eastAsia" w:ascii="宋体" w:hAnsi="宋体" w:eastAsia="宋体" w:cs="宋体"/>
          <w:b/>
          <w:color w:val="auto"/>
          <w:sz w:val="21"/>
          <w:szCs w:val="21"/>
          <w:highlight w:val="none"/>
          <w:u w:val="single"/>
          <w:lang w:val="en-US" w:eastAsia="zh-CN"/>
        </w:rPr>
        <w:t>供应商</w:t>
      </w:r>
      <w:r>
        <w:rPr>
          <w:rFonts w:hint="eastAsia" w:ascii="宋体" w:hAnsi="宋体" w:eastAsia="宋体" w:cs="宋体"/>
          <w:b/>
          <w:color w:val="auto"/>
          <w:sz w:val="21"/>
          <w:szCs w:val="21"/>
          <w:highlight w:val="none"/>
          <w:u w:val="single"/>
          <w:lang w:val="zh-CN"/>
        </w:rPr>
        <w:t>才有资格进入下一阶段的评审，否则将按无效</w:t>
      </w:r>
      <w:r>
        <w:rPr>
          <w:rFonts w:hint="eastAsia" w:ascii="宋体" w:hAnsi="宋体" w:eastAsia="宋体" w:cs="宋体"/>
          <w:b/>
          <w:color w:val="auto"/>
          <w:sz w:val="21"/>
          <w:szCs w:val="21"/>
          <w:highlight w:val="none"/>
          <w:u w:val="single"/>
          <w:lang w:val="en-US" w:eastAsia="zh-CN"/>
        </w:rPr>
        <w:t>响应</w:t>
      </w:r>
      <w:r>
        <w:rPr>
          <w:rFonts w:hint="eastAsia" w:ascii="宋体" w:hAnsi="宋体" w:eastAsia="宋体" w:cs="宋体"/>
          <w:b/>
          <w:color w:val="auto"/>
          <w:sz w:val="21"/>
          <w:szCs w:val="21"/>
          <w:highlight w:val="none"/>
          <w:u w:val="single"/>
          <w:lang w:val="zh-CN"/>
        </w:rPr>
        <w:t>处理</w:t>
      </w:r>
      <w:r>
        <w:rPr>
          <w:rFonts w:hint="eastAsia" w:ascii="宋体" w:hAnsi="宋体" w:eastAsia="宋体" w:cs="宋体"/>
          <w:b/>
          <w:color w:val="auto"/>
          <w:sz w:val="21"/>
          <w:szCs w:val="21"/>
          <w:highlight w:val="none"/>
          <w:lang w:val="zh-CN"/>
        </w:rPr>
        <w:t>。</w:t>
      </w:r>
    </w:p>
    <w:p w14:paraId="12897455">
      <w:pPr>
        <w:tabs>
          <w:tab w:val="left" w:pos="142"/>
        </w:tabs>
        <w:spacing w:line="360" w:lineRule="auto"/>
        <w:ind w:left="533" w:hanging="533"/>
        <w:jc w:val="both"/>
        <w:rPr>
          <w:rFonts w:hint="eastAsia" w:ascii="宋体" w:hAnsi="宋体" w:cs="宋体"/>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zh-CN"/>
        </w:rPr>
        <w:t xml:space="preserve">11.2 </w:t>
      </w:r>
      <w:r>
        <w:rPr>
          <w:rFonts w:hint="eastAsia" w:ascii="宋体" w:hAnsi="宋体" w:eastAsia="宋体" w:cs="宋体"/>
          <w:b/>
          <w:color w:val="auto"/>
          <w:kern w:val="2"/>
          <w:sz w:val="21"/>
          <w:szCs w:val="21"/>
          <w:highlight w:val="none"/>
          <w:u w:val="single"/>
          <w:lang w:val="zh-CN"/>
        </w:rPr>
        <w:t>本项目</w:t>
      </w:r>
      <w:r>
        <w:rPr>
          <w:rFonts w:hint="eastAsia" w:ascii="宋体" w:hAnsi="宋体" w:cs="宋体"/>
          <w:b/>
          <w:color w:val="auto"/>
          <w:kern w:val="2"/>
          <w:sz w:val="21"/>
          <w:szCs w:val="21"/>
          <w:highlight w:val="none"/>
          <w:u w:val="single"/>
          <w:lang w:val="en-US" w:eastAsia="zh-CN"/>
        </w:rPr>
        <w:t>响应</w:t>
      </w:r>
      <w:r>
        <w:rPr>
          <w:rFonts w:hint="eastAsia" w:ascii="宋体" w:hAnsi="宋体" w:eastAsia="宋体" w:cs="宋体"/>
          <w:b/>
          <w:color w:val="auto"/>
          <w:kern w:val="2"/>
          <w:sz w:val="21"/>
          <w:szCs w:val="21"/>
          <w:highlight w:val="none"/>
          <w:u w:val="single"/>
          <w:lang w:val="zh-CN"/>
        </w:rPr>
        <w:t>报价</w:t>
      </w:r>
      <w:r>
        <w:rPr>
          <w:rFonts w:hint="eastAsia" w:ascii="宋体" w:hAnsi="宋体" w:cs="宋体"/>
          <w:b/>
          <w:color w:val="auto"/>
          <w:kern w:val="2"/>
          <w:sz w:val="21"/>
          <w:szCs w:val="21"/>
          <w:highlight w:val="none"/>
          <w:u w:val="single"/>
          <w:lang w:val="en-US" w:eastAsia="zh-CN"/>
        </w:rPr>
        <w:t>处理服务费单价（按含水率80%的湿泥计）</w:t>
      </w:r>
      <w:r>
        <w:rPr>
          <w:rFonts w:hint="eastAsia" w:ascii="宋体" w:hAnsi="宋体" w:eastAsia="宋体" w:cs="宋体"/>
          <w:b/>
          <w:color w:val="auto"/>
          <w:kern w:val="2"/>
          <w:sz w:val="21"/>
          <w:szCs w:val="21"/>
          <w:highlight w:val="none"/>
          <w:u w:val="single"/>
          <w:lang w:val="zh-CN"/>
        </w:rPr>
        <w:t>为不含税价，即为《中华人民共和国增值税暂行条例》（国务院令第691号修订版）规定的销售额</w:t>
      </w:r>
      <w:r>
        <w:rPr>
          <w:rFonts w:hint="eastAsia" w:ascii="宋体" w:hAnsi="宋体" w:eastAsia="宋体" w:cs="宋体"/>
          <w:color w:val="auto"/>
          <w:kern w:val="2"/>
          <w:sz w:val="21"/>
          <w:szCs w:val="21"/>
          <w:highlight w:val="none"/>
          <w:lang w:val="zh-CN"/>
        </w:rPr>
        <w:t>。本竞争性磋商文件所称的不含税价和</w:t>
      </w:r>
      <w:r>
        <w:rPr>
          <w:rFonts w:hint="eastAsia" w:ascii="宋体" w:hAnsi="宋体" w:cs="宋体"/>
          <w:color w:val="auto"/>
          <w:kern w:val="2"/>
          <w:sz w:val="21"/>
          <w:szCs w:val="21"/>
          <w:highlight w:val="none"/>
          <w:lang w:val="en-US" w:eastAsia="zh-CN"/>
        </w:rPr>
        <w:t>不含税</w:t>
      </w:r>
      <w:r>
        <w:rPr>
          <w:rFonts w:hint="eastAsia" w:ascii="宋体" w:hAnsi="宋体" w:eastAsia="宋体" w:cs="宋体"/>
          <w:color w:val="auto"/>
          <w:kern w:val="2"/>
          <w:sz w:val="21"/>
          <w:szCs w:val="21"/>
          <w:highlight w:val="none"/>
          <w:lang w:val="zh-CN"/>
        </w:rPr>
        <w:t>合同价是指不含本采购项目供应商的销项税额，包含了供应商完成合同义务（含供应商代缴代扣、分包及委外服务、</w:t>
      </w:r>
      <w:r>
        <w:rPr>
          <w:rFonts w:hint="eastAsia" w:ascii="宋体" w:hAnsi="宋体" w:cs="宋体"/>
          <w:color w:val="auto"/>
          <w:kern w:val="2"/>
          <w:sz w:val="21"/>
          <w:szCs w:val="21"/>
          <w:highlight w:val="none"/>
          <w:lang w:val="en-US" w:eastAsia="zh-CN"/>
        </w:rPr>
        <w:t>安装</w:t>
      </w:r>
      <w:r>
        <w:rPr>
          <w:rFonts w:hint="eastAsia" w:ascii="宋体" w:hAnsi="宋体" w:eastAsia="宋体" w:cs="宋体"/>
          <w:color w:val="auto"/>
          <w:kern w:val="2"/>
          <w:sz w:val="21"/>
          <w:szCs w:val="21"/>
          <w:highlight w:val="none"/>
          <w:lang w:val="zh-CN"/>
        </w:rPr>
        <w:t>、采购货物等所产生的价税）的其他全部费用。本采购项目的销项税额由采购人承担，不计入响应报价。</w:t>
      </w:r>
      <w:r>
        <w:rPr>
          <w:rFonts w:hint="eastAsia" w:ascii="宋体" w:hAnsi="宋体" w:cs="宋体"/>
          <w:color w:val="auto"/>
          <w:kern w:val="2"/>
          <w:sz w:val="21"/>
          <w:szCs w:val="21"/>
          <w:highlight w:val="none"/>
          <w:lang w:val="en-US" w:eastAsia="zh-CN"/>
        </w:rPr>
        <w:t>本采购项目响应报价已含供应商履行本采购内容全部义务的一切费用，包括但不限于：</w:t>
      </w:r>
    </w:p>
    <w:p w14:paraId="33B68386">
      <w:pPr>
        <w:tabs>
          <w:tab w:val="left" w:pos="142"/>
        </w:tabs>
        <w:spacing w:line="360" w:lineRule="auto"/>
        <w:ind w:left="533" w:hanging="53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zh-CN"/>
        </w:rPr>
        <w:t>）在</w:t>
      </w:r>
      <w:r>
        <w:rPr>
          <w:rFonts w:hint="eastAsia" w:ascii="宋体" w:hAnsi="宋体" w:eastAsia="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的脱水减量化项目进行污泥脱水减量化成套设备设施的设计、供应、运输（至项目现场）、保险、装卸、安装（含安全防护、文明施工措施，设备安装基础）、调试、验收及日常运营、维护和维修，以及服务期满后的拆除、场地恢复原貌的费用；</w:t>
      </w:r>
    </w:p>
    <w:p w14:paraId="5244346B">
      <w:pPr>
        <w:tabs>
          <w:tab w:val="left" w:pos="142"/>
        </w:tabs>
        <w:spacing w:line="360" w:lineRule="auto"/>
        <w:ind w:left="533" w:hanging="53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（2）脱水减量化处理所需调理剂等药剂的供应、投加，以及加装符合国家及行业标准要求的计量装置的相关费用；</w:t>
      </w:r>
    </w:p>
    <w:p w14:paraId="3F153740">
      <w:pPr>
        <w:tabs>
          <w:tab w:val="left" w:pos="142"/>
        </w:tabs>
        <w:spacing w:line="360" w:lineRule="auto"/>
        <w:ind w:left="533" w:hanging="53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（3）从污水处理厂储泥</w:t>
      </w:r>
      <w:r>
        <w:rPr>
          <w:rFonts w:hint="eastAsia" w:ascii="宋体" w:hAnsi="宋体" w:eastAsia="宋体" w:cs="宋体"/>
          <w:color w:val="auto"/>
          <w:kern w:val="2"/>
          <w:sz w:val="21"/>
          <w:szCs w:val="21"/>
          <w:highlight w:val="none"/>
          <w:lang w:val="zh-CN" w:eastAsia="zh-CN"/>
        </w:rPr>
        <w:t>池或沉淀池将</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eastAsia="zh-CN"/>
        </w:rPr>
        <w:t>人污泥转运（或管道输送）</w:t>
      </w:r>
      <w:r>
        <w:rPr>
          <w:rFonts w:hint="eastAsia" w:ascii="宋体" w:hAnsi="宋体" w:eastAsia="宋体" w:cs="宋体"/>
          <w:color w:val="auto"/>
          <w:kern w:val="2"/>
          <w:sz w:val="21"/>
          <w:szCs w:val="21"/>
          <w:highlight w:val="none"/>
          <w:lang w:val="zh-CN"/>
        </w:rPr>
        <w:t>、投加到脱水减量化设备的费用（含从其他污水处理厂运至该减量化集中处理点的污泥处理前的暂存储泥仓或稀释池费用），将脱水减量化处理后的污泥转运到污水处理厂（或处理后贮存点）内</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人指定暂存地点的费用；将脱水减量化以后的污泥进行破碎</w:t>
      </w:r>
      <w:r>
        <w:rPr>
          <w:rFonts w:hint="eastAsia" w:ascii="宋体" w:hAnsi="宋体" w:eastAsia="宋体" w:cs="宋体"/>
          <w:color w:val="auto"/>
          <w:kern w:val="2"/>
          <w:sz w:val="21"/>
          <w:szCs w:val="21"/>
          <w:highlight w:val="none"/>
          <w:lang w:val="zh-CN" w:eastAsia="zh-CN"/>
        </w:rPr>
        <w:t>和外运装车</w:t>
      </w:r>
      <w:r>
        <w:rPr>
          <w:rFonts w:hint="eastAsia" w:ascii="宋体" w:hAnsi="宋体" w:eastAsia="宋体" w:cs="宋体"/>
          <w:color w:val="auto"/>
          <w:kern w:val="2"/>
          <w:sz w:val="21"/>
          <w:szCs w:val="21"/>
          <w:highlight w:val="none"/>
          <w:lang w:val="zh-CN"/>
        </w:rPr>
        <w:t>的费用；</w:t>
      </w:r>
    </w:p>
    <w:p w14:paraId="71F5BB6F">
      <w:pPr>
        <w:tabs>
          <w:tab w:val="left" w:pos="142"/>
        </w:tabs>
        <w:spacing w:line="360" w:lineRule="auto"/>
        <w:ind w:left="533" w:hanging="53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（4）</w:t>
      </w:r>
      <w:r>
        <w:rPr>
          <w:rFonts w:hint="eastAsia" w:ascii="宋体" w:hAnsi="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人脱水减量化处理服务全过程的人工、住宿、餐饮、人员社会保险、人身意外保险、第三方责任险、项目投资、建设及运营风险等费用；</w:t>
      </w:r>
    </w:p>
    <w:p w14:paraId="3334A0EF">
      <w:pPr>
        <w:tabs>
          <w:tab w:val="left" w:pos="142"/>
        </w:tabs>
        <w:spacing w:line="360" w:lineRule="auto"/>
        <w:ind w:left="533" w:hanging="53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（5）室外脱水减量化处理服务所需的“三通一平”、临时设施建设（含保证脱水减量化设备正常运行所需的临时设施、设备基础，脱水后半干化污泥临时暂存避雨防水的储泥仓等）；</w:t>
      </w:r>
    </w:p>
    <w:p w14:paraId="2CCE9B63">
      <w:pPr>
        <w:tabs>
          <w:tab w:val="left" w:pos="142"/>
        </w:tabs>
        <w:spacing w:line="360" w:lineRule="auto"/>
        <w:ind w:left="533" w:hanging="53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（6）污泥减量化处理相关知识产权版税等使用费；</w:t>
      </w:r>
    </w:p>
    <w:p w14:paraId="0CD62E29">
      <w:pPr>
        <w:tabs>
          <w:tab w:val="left" w:pos="142"/>
        </w:tabs>
        <w:spacing w:line="360" w:lineRule="auto"/>
        <w:ind w:left="533" w:hanging="53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（7）实现污泥脱水减量化达标、废水、废气、噪声达标，以及完成脱水减量化处理服务相关的其他直接及间接费用；</w:t>
      </w:r>
    </w:p>
    <w:p w14:paraId="69A1305C">
      <w:pPr>
        <w:tabs>
          <w:tab w:val="left" w:pos="142"/>
        </w:tabs>
        <w:spacing w:line="360" w:lineRule="auto"/>
        <w:ind w:left="533" w:hanging="53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（8）合理利润、</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销项税额以外的税费等；</w:t>
      </w:r>
    </w:p>
    <w:p w14:paraId="4C79F855">
      <w:pPr>
        <w:tabs>
          <w:tab w:val="left" w:pos="142"/>
        </w:tabs>
        <w:spacing w:line="360" w:lineRule="auto"/>
        <w:ind w:left="533" w:hanging="53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（9）法律法规、商业公认、完成合同实施过程中由</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承担的其他直接及间接费用。未经</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人书面同意，</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（包括但不限于</w:t>
      </w:r>
      <w:r>
        <w:rPr>
          <w:rFonts w:hint="eastAsia" w:ascii="宋体" w:hAnsi="宋体" w:cs="宋体"/>
          <w:color w:val="auto"/>
          <w:kern w:val="2"/>
          <w:sz w:val="21"/>
          <w:szCs w:val="21"/>
          <w:highlight w:val="none"/>
          <w:lang w:val="en-US" w:eastAsia="zh-CN"/>
        </w:rPr>
        <w:t>供应商指定</w:t>
      </w:r>
      <w:r>
        <w:rPr>
          <w:rFonts w:hint="eastAsia" w:ascii="宋体" w:hAnsi="宋体" w:eastAsia="宋体" w:cs="宋体"/>
          <w:color w:val="auto"/>
          <w:kern w:val="2"/>
          <w:sz w:val="21"/>
          <w:szCs w:val="21"/>
          <w:highlight w:val="none"/>
          <w:lang w:val="zh-CN"/>
        </w:rPr>
        <w:t>的第三方）不得要求</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人另行支付其他任何费用。</w:t>
      </w:r>
    </w:p>
    <w:p w14:paraId="2FA0C6BB">
      <w:pPr>
        <w:tabs>
          <w:tab w:val="left" w:pos="142"/>
        </w:tabs>
        <w:spacing w:line="360" w:lineRule="auto"/>
        <w:ind w:left="533" w:hanging="53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11.3 </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根据</w:t>
      </w:r>
      <w:r>
        <w:rPr>
          <w:rFonts w:hint="eastAsia" w:ascii="宋体" w:hAnsi="宋体" w:eastAsia="宋体" w:cs="宋体"/>
          <w:color w:val="auto"/>
          <w:kern w:val="2"/>
          <w:sz w:val="21"/>
          <w:szCs w:val="21"/>
          <w:highlight w:val="none"/>
          <w:lang w:val="zh-CN"/>
        </w:rPr>
        <w:fldChar w:fldCharType="begin"/>
      </w:r>
      <w:r>
        <w:rPr>
          <w:rFonts w:hint="eastAsia" w:ascii="宋体" w:hAnsi="宋体" w:eastAsia="宋体" w:cs="宋体"/>
          <w:color w:val="auto"/>
          <w:kern w:val="2"/>
          <w:sz w:val="21"/>
          <w:szCs w:val="21"/>
          <w:highlight w:val="none"/>
          <w:lang w:val="zh-CN"/>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rFonts w:hint="eastAsia" w:ascii="宋体" w:hAnsi="宋体" w:eastAsia="宋体" w:cs="宋体"/>
          <w:color w:val="auto"/>
          <w:kern w:val="2"/>
          <w:sz w:val="21"/>
          <w:szCs w:val="21"/>
          <w:highlight w:val="none"/>
          <w:lang w:val="zh-CN"/>
        </w:rPr>
        <w:fldChar w:fldCharType="separate"/>
      </w:r>
      <w:r>
        <w:rPr>
          <w:rFonts w:hint="eastAsia" w:ascii="宋体" w:hAnsi="宋体" w:eastAsia="宋体" w:cs="宋体"/>
          <w:color w:val="auto"/>
          <w:kern w:val="2"/>
          <w:sz w:val="21"/>
          <w:szCs w:val="21"/>
          <w:highlight w:val="none"/>
          <w:lang w:val="zh-CN"/>
        </w:rPr>
        <w:t>第11.2款</w:t>
      </w:r>
      <w:r>
        <w:rPr>
          <w:rFonts w:hint="eastAsia" w:ascii="宋体" w:hAnsi="宋体" w:eastAsia="宋体" w:cs="宋体"/>
          <w:color w:val="auto"/>
          <w:kern w:val="2"/>
          <w:sz w:val="21"/>
          <w:szCs w:val="21"/>
          <w:highlight w:val="none"/>
          <w:lang w:val="zh-CN"/>
        </w:rPr>
        <w:fldChar w:fldCharType="end"/>
      </w:r>
      <w:r>
        <w:rPr>
          <w:rFonts w:hint="eastAsia" w:ascii="宋体" w:hAnsi="宋体" w:eastAsia="宋体" w:cs="宋体"/>
          <w:color w:val="auto"/>
          <w:kern w:val="2"/>
          <w:sz w:val="21"/>
          <w:szCs w:val="21"/>
          <w:highlight w:val="none"/>
          <w:lang w:val="zh-CN"/>
        </w:rPr>
        <w:t>所报的价格分项仅供</w:t>
      </w:r>
      <w:r>
        <w:rPr>
          <w:rFonts w:hint="eastAsia" w:ascii="宋体" w:hAnsi="宋体" w:cs="宋体"/>
          <w:color w:val="auto"/>
          <w:kern w:val="2"/>
          <w:sz w:val="21"/>
          <w:szCs w:val="21"/>
          <w:highlight w:val="none"/>
          <w:lang w:val="en-US" w:eastAsia="zh-CN"/>
        </w:rPr>
        <w:t>磋商小组</w:t>
      </w:r>
      <w:r>
        <w:rPr>
          <w:rFonts w:hint="eastAsia" w:ascii="宋体" w:hAnsi="宋体" w:eastAsia="宋体" w:cs="宋体"/>
          <w:color w:val="auto"/>
          <w:kern w:val="2"/>
          <w:sz w:val="21"/>
          <w:szCs w:val="21"/>
          <w:highlight w:val="none"/>
          <w:lang w:val="zh-CN"/>
        </w:rPr>
        <w:t>评审时使用；在任何情况下不限制</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以不同的条件</w:t>
      </w:r>
      <w:r>
        <w:rPr>
          <w:rFonts w:hint="eastAsia" w:ascii="宋体" w:hAnsi="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的权利。</w:t>
      </w:r>
    </w:p>
    <w:p w14:paraId="5CB7BB55">
      <w:pPr>
        <w:tabs>
          <w:tab w:val="left" w:pos="142"/>
        </w:tabs>
        <w:spacing w:line="360" w:lineRule="auto"/>
        <w:ind w:left="533" w:hanging="53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11.4 在合同期间，</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 xml:space="preserve">报价不随国家政策或法规、标准、市场因素及采购数量的变化而进行调整。 </w:t>
      </w:r>
    </w:p>
    <w:p w14:paraId="1CDE7FE8">
      <w:pPr>
        <w:tabs>
          <w:tab w:val="left" w:pos="142"/>
        </w:tabs>
        <w:spacing w:line="360" w:lineRule="auto"/>
        <w:ind w:left="533" w:hanging="53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11.5 </w:t>
      </w:r>
      <w:r>
        <w:rPr>
          <w:rFonts w:hint="eastAsia" w:ascii="宋体" w:hAnsi="宋体" w:eastAsia="宋体" w:cs="宋体"/>
          <w:b/>
          <w:bCs/>
          <w:color w:val="auto"/>
          <w:kern w:val="2"/>
          <w:sz w:val="21"/>
          <w:szCs w:val="21"/>
          <w:highlight w:val="none"/>
          <w:u w:val="single"/>
          <w:lang w:val="zh-CN"/>
        </w:rPr>
        <w:t>合同项下，</w:t>
      </w:r>
      <w:r>
        <w:rPr>
          <w:rFonts w:hint="eastAsia" w:ascii="宋体" w:hAnsi="宋体" w:cs="宋体"/>
          <w:b/>
          <w:bCs/>
          <w:color w:val="auto"/>
          <w:kern w:val="2"/>
          <w:sz w:val="21"/>
          <w:szCs w:val="21"/>
          <w:highlight w:val="none"/>
          <w:u w:val="single"/>
          <w:lang w:val="en-US" w:eastAsia="zh-CN"/>
        </w:rPr>
        <w:t>采购</w:t>
      </w:r>
      <w:r>
        <w:rPr>
          <w:rFonts w:hint="eastAsia" w:ascii="宋体" w:hAnsi="宋体" w:eastAsia="宋体" w:cs="宋体"/>
          <w:b/>
          <w:bCs/>
          <w:color w:val="auto"/>
          <w:kern w:val="2"/>
          <w:sz w:val="21"/>
          <w:szCs w:val="21"/>
          <w:highlight w:val="none"/>
          <w:u w:val="single"/>
          <w:lang w:val="zh-CN"/>
        </w:rPr>
        <w:t>人需要的相关服务所需的费用，</w:t>
      </w:r>
      <w:r>
        <w:rPr>
          <w:rFonts w:hint="eastAsia" w:ascii="宋体" w:hAnsi="宋体" w:cs="宋体"/>
          <w:b/>
          <w:bCs/>
          <w:color w:val="auto"/>
          <w:kern w:val="2"/>
          <w:sz w:val="21"/>
          <w:szCs w:val="21"/>
          <w:highlight w:val="none"/>
          <w:u w:val="single"/>
          <w:lang w:val="en-US" w:eastAsia="zh-CN"/>
        </w:rPr>
        <w:t>供应商</w:t>
      </w:r>
      <w:r>
        <w:rPr>
          <w:rFonts w:hint="eastAsia" w:ascii="宋体" w:hAnsi="宋体" w:eastAsia="宋体" w:cs="宋体"/>
          <w:b/>
          <w:bCs/>
          <w:color w:val="auto"/>
          <w:kern w:val="2"/>
          <w:sz w:val="21"/>
          <w:szCs w:val="21"/>
          <w:highlight w:val="none"/>
          <w:u w:val="single"/>
          <w:lang w:val="zh-CN"/>
        </w:rPr>
        <w:t>都应计入</w:t>
      </w:r>
      <w:r>
        <w:rPr>
          <w:rFonts w:hint="eastAsia" w:ascii="宋体" w:hAnsi="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报价</w:t>
      </w:r>
      <w:r>
        <w:rPr>
          <w:rFonts w:hint="eastAsia" w:ascii="宋体" w:hAnsi="宋体" w:eastAsia="宋体" w:cs="宋体"/>
          <w:b/>
          <w:bCs/>
          <w:color w:val="auto"/>
          <w:kern w:val="2"/>
          <w:sz w:val="21"/>
          <w:szCs w:val="21"/>
          <w:highlight w:val="none"/>
          <w:lang w:val="zh-CN"/>
        </w:rPr>
        <w:t>。</w:t>
      </w:r>
    </w:p>
    <w:p w14:paraId="4C46D999">
      <w:pPr>
        <w:tabs>
          <w:tab w:val="left" w:pos="142"/>
        </w:tabs>
        <w:spacing w:line="360" w:lineRule="auto"/>
        <w:ind w:left="533" w:hanging="53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11.6 </w:t>
      </w:r>
      <w:r>
        <w:rPr>
          <w:rFonts w:hint="eastAsia" w:ascii="宋体" w:hAnsi="宋体" w:cs="宋体"/>
          <w:b/>
          <w:bCs/>
          <w:color w:val="auto"/>
          <w:kern w:val="2"/>
          <w:sz w:val="21"/>
          <w:szCs w:val="21"/>
          <w:highlight w:val="none"/>
          <w:u w:val="single"/>
          <w:lang w:val="en-US" w:eastAsia="zh-CN"/>
        </w:rPr>
        <w:t>供应商</w:t>
      </w:r>
      <w:r>
        <w:rPr>
          <w:rFonts w:hint="eastAsia" w:ascii="宋体" w:hAnsi="宋体" w:eastAsia="宋体" w:cs="宋体"/>
          <w:b/>
          <w:bCs/>
          <w:color w:val="auto"/>
          <w:kern w:val="2"/>
          <w:sz w:val="21"/>
          <w:szCs w:val="21"/>
          <w:highlight w:val="none"/>
          <w:u w:val="single"/>
          <w:lang w:val="zh-CN"/>
        </w:rPr>
        <w:t>的</w:t>
      </w:r>
      <w:r>
        <w:rPr>
          <w:rFonts w:hint="eastAsia" w:ascii="宋体" w:hAnsi="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报价高于最高限价的，该</w:t>
      </w:r>
      <w:r>
        <w:rPr>
          <w:rFonts w:hint="eastAsia" w:ascii="宋体" w:hAnsi="宋体" w:cs="宋体"/>
          <w:b/>
          <w:bCs/>
          <w:color w:val="auto"/>
          <w:kern w:val="2"/>
          <w:sz w:val="21"/>
          <w:szCs w:val="21"/>
          <w:highlight w:val="none"/>
          <w:u w:val="single"/>
          <w:lang w:val="en-US" w:eastAsia="zh-CN"/>
        </w:rPr>
        <w:t>供应商</w:t>
      </w:r>
      <w:r>
        <w:rPr>
          <w:rFonts w:hint="eastAsia" w:ascii="宋体" w:hAnsi="宋体" w:eastAsia="宋体" w:cs="宋体"/>
          <w:b/>
          <w:bCs/>
          <w:color w:val="auto"/>
          <w:kern w:val="2"/>
          <w:sz w:val="21"/>
          <w:szCs w:val="21"/>
          <w:highlight w:val="none"/>
          <w:u w:val="single"/>
          <w:lang w:val="zh-CN"/>
        </w:rPr>
        <w:t>的</w:t>
      </w:r>
      <w:r>
        <w:rPr>
          <w:rFonts w:hint="eastAsia" w:ascii="宋体" w:hAnsi="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文件将被视为无效</w:t>
      </w:r>
      <w:r>
        <w:rPr>
          <w:rFonts w:hint="eastAsia" w:ascii="宋体" w:hAnsi="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w:t>
      </w:r>
      <w:r>
        <w:rPr>
          <w:rFonts w:hint="eastAsia" w:ascii="宋体" w:hAnsi="宋体" w:eastAsia="宋体" w:cs="宋体"/>
          <w:b/>
          <w:bCs/>
          <w:color w:val="auto"/>
          <w:kern w:val="2"/>
          <w:sz w:val="21"/>
          <w:szCs w:val="21"/>
          <w:highlight w:val="none"/>
          <w:u w:val="single"/>
          <w:lang w:val="zh-CN" w:eastAsia="zh-CN"/>
        </w:rPr>
        <w:t>本项目各包组</w:t>
      </w:r>
      <w:r>
        <w:rPr>
          <w:rFonts w:hint="eastAsia" w:ascii="宋体" w:hAnsi="宋体" w:eastAsia="宋体" w:cs="宋体"/>
          <w:b/>
          <w:bCs/>
          <w:color w:val="auto"/>
          <w:kern w:val="2"/>
          <w:sz w:val="21"/>
          <w:szCs w:val="21"/>
          <w:highlight w:val="none"/>
          <w:u w:val="single"/>
          <w:lang w:val="zh-CN"/>
        </w:rPr>
        <w:t>处理服务费单价不含税的最高限价为</w:t>
      </w:r>
      <w:r>
        <w:rPr>
          <w:rFonts w:hint="eastAsia" w:ascii="宋体" w:hAnsi="宋体" w:cs="宋体"/>
          <w:b/>
          <w:bCs/>
          <w:color w:val="auto"/>
          <w:kern w:val="2"/>
          <w:sz w:val="21"/>
          <w:szCs w:val="21"/>
          <w:highlight w:val="none"/>
          <w:u w:val="single"/>
          <w:lang w:val="en-US" w:eastAsia="zh-CN"/>
        </w:rPr>
        <w:t>191.17</w:t>
      </w:r>
      <w:r>
        <w:rPr>
          <w:rFonts w:hint="eastAsia" w:ascii="宋体" w:hAnsi="宋体" w:eastAsia="宋体" w:cs="宋体"/>
          <w:b/>
          <w:bCs/>
          <w:color w:val="auto"/>
          <w:kern w:val="2"/>
          <w:sz w:val="21"/>
          <w:szCs w:val="21"/>
          <w:highlight w:val="none"/>
          <w:u w:val="single"/>
          <w:lang w:val="zh-CN"/>
        </w:rPr>
        <w:t>元/吨（大写：每吨</w:t>
      </w:r>
      <w:r>
        <w:rPr>
          <w:rFonts w:hint="eastAsia" w:ascii="宋体" w:hAnsi="宋体" w:cs="宋体"/>
          <w:b/>
          <w:bCs/>
          <w:color w:val="auto"/>
          <w:kern w:val="2"/>
          <w:sz w:val="21"/>
          <w:szCs w:val="21"/>
          <w:highlight w:val="none"/>
          <w:u w:val="single"/>
          <w:lang w:val="en-US" w:eastAsia="zh-CN"/>
        </w:rPr>
        <w:t>壹</w:t>
      </w:r>
      <w:r>
        <w:rPr>
          <w:rFonts w:hint="eastAsia" w:ascii="宋体" w:hAnsi="宋体" w:eastAsia="宋体" w:cs="宋体"/>
          <w:b/>
          <w:bCs/>
          <w:color w:val="auto"/>
          <w:kern w:val="2"/>
          <w:sz w:val="21"/>
          <w:szCs w:val="21"/>
          <w:highlight w:val="none"/>
          <w:u w:val="single"/>
          <w:lang w:val="zh-CN" w:eastAsia="zh-CN"/>
        </w:rPr>
        <w:t>佰</w:t>
      </w:r>
      <w:r>
        <w:rPr>
          <w:rFonts w:hint="eastAsia" w:ascii="宋体" w:hAnsi="宋体" w:cs="宋体"/>
          <w:b/>
          <w:bCs/>
          <w:color w:val="auto"/>
          <w:kern w:val="2"/>
          <w:sz w:val="21"/>
          <w:szCs w:val="21"/>
          <w:highlight w:val="none"/>
          <w:u w:val="single"/>
          <w:lang w:val="en-US" w:eastAsia="zh-CN"/>
        </w:rPr>
        <w:t>玖</w:t>
      </w:r>
      <w:r>
        <w:rPr>
          <w:rFonts w:hint="eastAsia" w:ascii="宋体" w:hAnsi="宋体" w:eastAsia="宋体" w:cs="宋体"/>
          <w:b/>
          <w:bCs/>
          <w:color w:val="auto"/>
          <w:kern w:val="2"/>
          <w:sz w:val="21"/>
          <w:szCs w:val="21"/>
          <w:highlight w:val="none"/>
          <w:u w:val="single"/>
          <w:lang w:val="zh-CN" w:eastAsia="zh-CN"/>
        </w:rPr>
        <w:t>拾</w:t>
      </w:r>
      <w:r>
        <w:rPr>
          <w:rFonts w:hint="eastAsia" w:ascii="宋体" w:hAnsi="宋体" w:cs="宋体"/>
          <w:b/>
          <w:bCs/>
          <w:color w:val="auto"/>
          <w:kern w:val="2"/>
          <w:sz w:val="21"/>
          <w:szCs w:val="21"/>
          <w:highlight w:val="none"/>
          <w:u w:val="single"/>
          <w:lang w:val="en-US" w:eastAsia="zh-CN"/>
        </w:rPr>
        <w:t>壹</w:t>
      </w:r>
      <w:r>
        <w:rPr>
          <w:rFonts w:hint="eastAsia" w:ascii="宋体" w:hAnsi="宋体" w:eastAsia="宋体" w:cs="宋体"/>
          <w:b/>
          <w:bCs/>
          <w:color w:val="auto"/>
          <w:kern w:val="2"/>
          <w:sz w:val="21"/>
          <w:szCs w:val="21"/>
          <w:highlight w:val="none"/>
          <w:u w:val="single"/>
          <w:lang w:val="zh-CN" w:eastAsia="zh-CN"/>
        </w:rPr>
        <w:t>元</w:t>
      </w:r>
      <w:r>
        <w:rPr>
          <w:rFonts w:hint="eastAsia" w:ascii="宋体" w:hAnsi="宋体" w:cs="宋体"/>
          <w:b/>
          <w:bCs/>
          <w:color w:val="auto"/>
          <w:kern w:val="2"/>
          <w:sz w:val="21"/>
          <w:szCs w:val="21"/>
          <w:highlight w:val="none"/>
          <w:u w:val="single"/>
          <w:lang w:val="en-US" w:eastAsia="zh-CN"/>
        </w:rPr>
        <w:t>壹</w:t>
      </w:r>
      <w:r>
        <w:rPr>
          <w:rFonts w:hint="eastAsia" w:ascii="宋体" w:hAnsi="宋体" w:eastAsia="宋体" w:cs="宋体"/>
          <w:b/>
          <w:bCs/>
          <w:color w:val="auto"/>
          <w:kern w:val="2"/>
          <w:sz w:val="21"/>
          <w:szCs w:val="21"/>
          <w:highlight w:val="none"/>
          <w:u w:val="single"/>
          <w:lang w:val="zh-CN" w:eastAsia="zh-CN"/>
        </w:rPr>
        <w:t>角</w:t>
      </w:r>
      <w:r>
        <w:rPr>
          <w:rFonts w:hint="eastAsia" w:ascii="宋体" w:hAnsi="宋体" w:cs="宋体"/>
          <w:b/>
          <w:bCs/>
          <w:color w:val="auto"/>
          <w:kern w:val="2"/>
          <w:sz w:val="21"/>
          <w:szCs w:val="21"/>
          <w:highlight w:val="none"/>
          <w:u w:val="single"/>
          <w:lang w:val="en-US" w:eastAsia="zh-CN"/>
        </w:rPr>
        <w:t>柒</w:t>
      </w:r>
      <w:r>
        <w:rPr>
          <w:rFonts w:hint="eastAsia" w:ascii="宋体" w:hAnsi="宋体" w:eastAsia="宋体" w:cs="宋体"/>
          <w:b/>
          <w:bCs/>
          <w:color w:val="auto"/>
          <w:kern w:val="2"/>
          <w:sz w:val="21"/>
          <w:szCs w:val="21"/>
          <w:highlight w:val="none"/>
          <w:u w:val="single"/>
          <w:lang w:val="zh-CN" w:eastAsia="zh-CN"/>
        </w:rPr>
        <w:t>分</w:t>
      </w:r>
      <w:r>
        <w:rPr>
          <w:rFonts w:hint="eastAsia" w:ascii="宋体" w:hAnsi="宋体" w:eastAsia="宋体" w:cs="宋体"/>
          <w:b/>
          <w:bCs/>
          <w:color w:val="auto"/>
          <w:kern w:val="2"/>
          <w:sz w:val="21"/>
          <w:szCs w:val="21"/>
          <w:highlight w:val="none"/>
          <w:u w:val="single"/>
          <w:lang w:val="zh-CN"/>
        </w:rPr>
        <w:t>）</w:t>
      </w:r>
      <w:r>
        <w:rPr>
          <w:rFonts w:hint="eastAsia" w:ascii="宋体" w:hAnsi="宋体" w:eastAsia="宋体" w:cs="宋体"/>
          <w:b/>
          <w:bCs/>
          <w:color w:val="auto"/>
          <w:kern w:val="2"/>
          <w:sz w:val="21"/>
          <w:szCs w:val="21"/>
          <w:highlight w:val="none"/>
          <w:lang w:val="zh-CN"/>
        </w:rPr>
        <w:t>。</w:t>
      </w:r>
    </w:p>
    <w:p w14:paraId="30DEEB64">
      <w:pPr>
        <w:tabs>
          <w:tab w:val="left" w:pos="142"/>
        </w:tabs>
        <w:spacing w:line="360" w:lineRule="auto"/>
        <w:ind w:left="532" w:hanging="532"/>
        <w:jc w:val="both"/>
        <w:rPr>
          <w:rFonts w:hint="eastAsia" w:ascii="宋体" w:hAnsi="宋体" w:eastAsia="宋体" w:cs="宋体"/>
          <w:b/>
          <w:bCs/>
          <w:color w:val="auto"/>
          <w:sz w:val="21"/>
          <w:highlight w:val="none"/>
          <w:u w:val="single"/>
        </w:rPr>
      </w:pPr>
    </w:p>
    <w:p w14:paraId="45667451">
      <w:pPr>
        <w:spacing w:line="360" w:lineRule="auto"/>
        <w:ind w:left="567" w:hanging="567"/>
        <w:jc w:val="both"/>
        <w:outlineLvl w:val="2"/>
        <w:rPr>
          <w:rFonts w:hint="eastAsia" w:ascii="宋体" w:hAnsi="宋体" w:eastAsia="宋体" w:cs="宋体"/>
          <w:b/>
          <w:bCs/>
          <w:color w:val="auto"/>
          <w:kern w:val="2"/>
          <w:sz w:val="21"/>
          <w:szCs w:val="21"/>
          <w:highlight w:val="none"/>
          <w:lang w:val="zh-CN"/>
        </w:rPr>
      </w:pPr>
      <w:bookmarkStart w:id="64" w:name="_Toc15993"/>
      <w:bookmarkStart w:id="65" w:name="_Toc450662862"/>
      <w:bookmarkStart w:id="66" w:name="_Toc521918079"/>
      <w:r>
        <w:rPr>
          <w:rFonts w:hint="eastAsia" w:ascii="宋体" w:hAnsi="宋体" w:eastAsia="宋体" w:cs="宋体"/>
          <w:b/>
          <w:bCs/>
          <w:color w:val="auto"/>
          <w:kern w:val="2"/>
          <w:sz w:val="21"/>
          <w:szCs w:val="21"/>
          <w:highlight w:val="none"/>
          <w:lang w:val="zh-CN"/>
        </w:rPr>
        <w:t>12</w:t>
      </w:r>
      <w:r>
        <w:rPr>
          <w:rFonts w:hint="eastAsia" w:ascii="宋体" w:hAnsi="宋体" w:cs="宋体"/>
          <w:b/>
          <w:bCs/>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lang w:val="zh-CN"/>
        </w:rPr>
        <w:t>响应报价货币</w:t>
      </w:r>
      <w:bookmarkEnd w:id="64"/>
      <w:bookmarkEnd w:id="65"/>
      <w:bookmarkEnd w:id="66"/>
    </w:p>
    <w:p w14:paraId="369C1D6D">
      <w:pPr>
        <w:spacing w:line="360" w:lineRule="auto"/>
        <w:ind w:left="540" w:hanging="15"/>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u w:val="single"/>
          <w:lang w:val="zh-CN"/>
        </w:rPr>
        <w:t>响应报价表上的价格须以人民币报价，以其它货币标价的报价将予以拒绝</w:t>
      </w:r>
      <w:r>
        <w:rPr>
          <w:rFonts w:hint="eastAsia" w:ascii="宋体" w:hAnsi="宋体" w:eastAsia="宋体" w:cs="宋体"/>
          <w:b/>
          <w:bCs/>
          <w:color w:val="auto"/>
          <w:kern w:val="2"/>
          <w:sz w:val="21"/>
          <w:szCs w:val="21"/>
          <w:highlight w:val="none"/>
          <w:lang w:val="zh-CN"/>
        </w:rPr>
        <w:t>。</w:t>
      </w:r>
    </w:p>
    <w:p w14:paraId="4FF07475">
      <w:pPr>
        <w:spacing w:line="360" w:lineRule="auto"/>
        <w:ind w:left="540" w:hanging="15"/>
        <w:jc w:val="both"/>
        <w:rPr>
          <w:rFonts w:hint="eastAsia" w:ascii="宋体" w:hAnsi="宋体" w:eastAsia="宋体" w:cs="宋体"/>
          <w:color w:val="auto"/>
          <w:kern w:val="2"/>
          <w:sz w:val="21"/>
          <w:szCs w:val="21"/>
          <w:highlight w:val="none"/>
          <w:lang w:val="zh-CN"/>
        </w:rPr>
      </w:pPr>
    </w:p>
    <w:p w14:paraId="64DD651F">
      <w:pPr>
        <w:tabs>
          <w:tab w:val="left" w:pos="570"/>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67" w:name="_Toc450662863"/>
      <w:bookmarkStart w:id="68" w:name="_Toc521918080"/>
      <w:bookmarkStart w:id="69" w:name="_Toc26760"/>
      <w:r>
        <w:rPr>
          <w:rFonts w:hint="eastAsia" w:ascii="宋体" w:hAnsi="宋体" w:eastAsia="宋体" w:cs="宋体"/>
          <w:color w:val="auto"/>
          <w:kern w:val="2"/>
          <w:sz w:val="21"/>
          <w:szCs w:val="21"/>
          <w:highlight w:val="none"/>
          <w:lang w:val="zh-CN"/>
        </w:rPr>
        <w:t>13</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证明供应商的合格性和资格的声明文件</w:t>
      </w:r>
      <w:bookmarkEnd w:id="67"/>
      <w:bookmarkEnd w:id="68"/>
      <w:bookmarkEnd w:id="69"/>
    </w:p>
    <w:p w14:paraId="15133FC7">
      <w:pPr>
        <w:tabs>
          <w:tab w:val="left" w:pos="567"/>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13.1</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根据第2条、第13.2款规定，供应商须提交证明其有资格进行</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和有能力履行合同的文件，</w:t>
      </w:r>
    </w:p>
    <w:p w14:paraId="6BCC3525">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28" w:leftChars="22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作为响应文件的一部分。</w:t>
      </w:r>
    </w:p>
    <w:p w14:paraId="47AEFC72">
      <w:pPr>
        <w:spacing w:line="360" w:lineRule="auto"/>
        <w:ind w:left="567" w:hanging="567"/>
        <w:jc w:val="both"/>
        <w:rPr>
          <w:rFonts w:hint="eastAsia" w:ascii="宋体" w:hAnsi="宋体" w:eastAsia="宋体" w:cs="宋体"/>
          <w:color w:val="auto"/>
          <w:kern w:val="2"/>
          <w:sz w:val="21"/>
          <w:szCs w:val="21"/>
          <w:highlight w:val="none"/>
          <w:vertAlign w:val="superscript"/>
          <w:lang w:val="zh-CN"/>
        </w:rPr>
      </w:pPr>
      <w:r>
        <w:rPr>
          <w:rFonts w:hint="eastAsia" w:ascii="宋体" w:hAnsi="宋体" w:eastAsia="宋体" w:cs="宋体"/>
          <w:color w:val="auto"/>
          <w:kern w:val="2"/>
          <w:sz w:val="21"/>
          <w:szCs w:val="21"/>
          <w:highlight w:val="none"/>
          <w:lang w:val="zh-CN"/>
        </w:rPr>
        <w:t>13.2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供应商提供的履行合同的资格声明文件应符合：</w:t>
      </w:r>
    </w:p>
    <w:p w14:paraId="26E18424">
      <w:pPr>
        <w:spacing w:line="360" w:lineRule="auto"/>
        <w:ind w:left="563" w:hanging="562" w:hangingChars="268"/>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（1）符合</w:t>
      </w:r>
      <w:r>
        <w:rPr>
          <w:rFonts w:hint="eastAsia" w:ascii="宋体" w:hAnsi="宋体" w:eastAsia="宋体" w:cs="宋体"/>
          <w:color w:val="auto"/>
          <w:kern w:val="2"/>
          <w:sz w:val="21"/>
          <w:szCs w:val="21"/>
          <w:highlight w:val="none"/>
          <w:lang w:val="en-US" w:eastAsia="zh-CN"/>
        </w:rPr>
        <w:t>竞争性磋商文件合格供应商应</w:t>
      </w:r>
      <w:r>
        <w:rPr>
          <w:rFonts w:hint="eastAsia" w:ascii="宋体" w:hAnsi="宋体" w:eastAsia="宋体" w:cs="宋体"/>
          <w:color w:val="auto"/>
          <w:kern w:val="2"/>
          <w:sz w:val="21"/>
          <w:szCs w:val="21"/>
          <w:highlight w:val="none"/>
          <w:lang w:val="zh-CN"/>
        </w:rPr>
        <w:t>当具备的条件；</w:t>
      </w:r>
    </w:p>
    <w:p w14:paraId="397235E5">
      <w:pPr>
        <w:spacing w:line="360" w:lineRule="auto"/>
        <w:ind w:left="839" w:leftChars="1" w:hanging="837" w:hangingChars="399"/>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kern w:val="2"/>
          <w:sz w:val="21"/>
          <w:szCs w:val="21"/>
          <w:highlight w:val="none"/>
          <w:lang w:val="zh-CN"/>
        </w:rPr>
        <w:t>具有履行本项目所必须的证明文件；</w:t>
      </w:r>
    </w:p>
    <w:p w14:paraId="2D2E8A6D">
      <w:pPr>
        <w:spacing w:line="360" w:lineRule="auto"/>
        <w:ind w:left="839" w:leftChars="1" w:hanging="837" w:hangingChars="399"/>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（3）供应商证明其相应资格符合或优于竞争性磋商文件要求的其它文件。</w:t>
      </w:r>
    </w:p>
    <w:p w14:paraId="6CE20E90">
      <w:pPr>
        <w:tabs>
          <w:tab w:val="left" w:pos="142"/>
        </w:tabs>
        <w:spacing w:line="360" w:lineRule="auto"/>
        <w:ind w:left="532" w:hanging="532"/>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13.3</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供应商根据竞争性磋商文件载明的</w:t>
      </w:r>
      <w:r>
        <w:rPr>
          <w:rFonts w:hint="eastAsia" w:ascii="宋体" w:hAnsi="宋体" w:cs="宋体"/>
          <w:color w:val="auto"/>
          <w:kern w:val="2"/>
          <w:sz w:val="21"/>
          <w:szCs w:val="21"/>
          <w:highlight w:val="none"/>
          <w:lang w:val="en-US" w:eastAsia="zh-CN"/>
        </w:rPr>
        <w:t>相关</w:t>
      </w:r>
      <w:r>
        <w:rPr>
          <w:rFonts w:hint="eastAsia" w:ascii="宋体" w:hAnsi="宋体" w:eastAsia="宋体" w:cs="宋体"/>
          <w:color w:val="auto"/>
          <w:kern w:val="2"/>
          <w:sz w:val="21"/>
          <w:szCs w:val="21"/>
          <w:highlight w:val="none"/>
          <w:lang w:val="zh-CN"/>
        </w:rPr>
        <w:t>服务要求的实际情况，拟在</w:t>
      </w:r>
      <w:r>
        <w:rPr>
          <w:rFonts w:hint="eastAsia" w:ascii="宋体" w:hAnsi="宋体" w:eastAsia="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后将</w:t>
      </w:r>
      <w:r>
        <w:rPr>
          <w:rFonts w:hint="eastAsia" w:ascii="宋体" w:hAnsi="宋体" w:eastAsia="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项目的非主体、</w:t>
      </w:r>
    </w:p>
    <w:p w14:paraId="044EAC0B">
      <w:pPr>
        <w:keepNext w:val="0"/>
        <w:keepLines w:val="0"/>
        <w:pageBreakBefore w:val="0"/>
        <w:widowControl w:val="0"/>
        <w:tabs>
          <w:tab w:val="left" w:pos="142"/>
        </w:tabs>
        <w:kinsoku/>
        <w:wordWrap/>
        <w:overflowPunct/>
        <w:topLinePunct w:val="0"/>
        <w:autoSpaceDE w:val="0"/>
        <w:autoSpaceDN w:val="0"/>
        <w:bidi w:val="0"/>
        <w:adjustRightInd w:val="0"/>
        <w:snapToGrid/>
        <w:spacing w:line="360" w:lineRule="auto"/>
        <w:ind w:left="528" w:leftChars="22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非关键性专业工作交由他人完成的，应当在响应文件中载明，并提供</w:t>
      </w:r>
      <w:r>
        <w:rPr>
          <w:rFonts w:hint="eastAsia" w:ascii="宋体" w:hAnsi="宋体" w:cs="宋体"/>
          <w:color w:val="auto"/>
          <w:kern w:val="2"/>
          <w:sz w:val="21"/>
          <w:szCs w:val="21"/>
          <w:highlight w:val="none"/>
          <w:lang w:val="en-US" w:eastAsia="zh-CN"/>
        </w:rPr>
        <w:t>他</w:t>
      </w:r>
      <w:r>
        <w:rPr>
          <w:rFonts w:hint="eastAsia" w:ascii="宋体" w:hAnsi="宋体" w:eastAsia="宋体" w:cs="宋体"/>
          <w:color w:val="auto"/>
          <w:kern w:val="2"/>
          <w:sz w:val="21"/>
          <w:szCs w:val="21"/>
          <w:highlight w:val="none"/>
          <w:lang w:val="zh-CN"/>
        </w:rPr>
        <w:t>人的资质、能力证明材料。</w:t>
      </w:r>
    </w:p>
    <w:p w14:paraId="2BC40EE5">
      <w:pPr>
        <w:tabs>
          <w:tab w:val="left" w:pos="142"/>
        </w:tabs>
        <w:spacing w:line="360" w:lineRule="auto"/>
        <w:ind w:left="532" w:hanging="532"/>
        <w:jc w:val="both"/>
        <w:rPr>
          <w:rFonts w:hint="eastAsia" w:ascii="宋体" w:hAnsi="宋体" w:eastAsia="宋体" w:cs="宋体"/>
          <w:color w:val="auto"/>
          <w:kern w:val="2"/>
          <w:sz w:val="21"/>
          <w:szCs w:val="21"/>
          <w:highlight w:val="none"/>
        </w:rPr>
      </w:pPr>
    </w:p>
    <w:p w14:paraId="61442671">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70" w:name="_Toc450662864"/>
      <w:bookmarkStart w:id="71" w:name="_Toc521918081"/>
      <w:bookmarkStart w:id="72" w:name="_Toc20713"/>
      <w:r>
        <w:rPr>
          <w:rFonts w:hint="eastAsia" w:ascii="宋体" w:hAnsi="宋体" w:eastAsia="宋体" w:cs="宋体"/>
          <w:color w:val="auto"/>
          <w:kern w:val="2"/>
          <w:sz w:val="21"/>
          <w:szCs w:val="21"/>
          <w:highlight w:val="none"/>
          <w:lang w:val="zh-CN"/>
        </w:rPr>
        <w:t>14</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证明服务的合格性并符合竞争性磋商文件规定的声明文件</w:t>
      </w:r>
      <w:bookmarkEnd w:id="70"/>
      <w:bookmarkEnd w:id="71"/>
      <w:bookmarkEnd w:id="72"/>
    </w:p>
    <w:p w14:paraId="0A0E5865">
      <w:pPr>
        <w:tabs>
          <w:tab w:val="left" w:pos="567"/>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14.1</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根据第9条规定，供应商须提交证明其拟供服务的合格性并符合竞争性磋商文件规定的声明文</w:t>
      </w:r>
    </w:p>
    <w:p w14:paraId="28C7F100">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28" w:leftChars="22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件，作为响应文件的一部分。</w:t>
      </w:r>
    </w:p>
    <w:p w14:paraId="167B8B7E">
      <w:pPr>
        <w:tabs>
          <w:tab w:val="left" w:pos="142"/>
        </w:tabs>
        <w:spacing w:line="360" w:lineRule="auto"/>
        <w:ind w:left="532" w:hanging="532"/>
        <w:jc w:val="both"/>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zh-CN"/>
        </w:rPr>
        <w:t>14.2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证明服务与竞争性磋商文件的要求相一致的文件可以是文字资料、图纸和数据资料。</w:t>
      </w:r>
    </w:p>
    <w:p w14:paraId="4037E940">
      <w:pPr>
        <w:tabs>
          <w:tab w:val="left" w:pos="567"/>
        </w:tabs>
        <w:spacing w:line="360" w:lineRule="auto"/>
        <w:ind w:left="567" w:hanging="567"/>
        <w:jc w:val="both"/>
        <w:rPr>
          <w:rFonts w:hint="eastAsia" w:ascii="宋体" w:hAnsi="宋体" w:eastAsia="宋体" w:cs="宋体"/>
          <w:b/>
          <w:color w:val="auto"/>
          <w:kern w:val="2"/>
          <w:sz w:val="21"/>
          <w:szCs w:val="21"/>
          <w:highlight w:val="none"/>
          <w:u w:val="single"/>
          <w:lang w:val="zh-CN"/>
        </w:rPr>
      </w:pPr>
      <w:r>
        <w:rPr>
          <w:rFonts w:hint="eastAsia" w:ascii="宋体" w:hAnsi="宋体" w:eastAsia="宋体" w:cs="宋体"/>
          <w:color w:val="auto"/>
          <w:kern w:val="2"/>
          <w:sz w:val="21"/>
          <w:szCs w:val="21"/>
          <w:highlight w:val="none"/>
          <w:lang w:val="zh-CN"/>
        </w:rPr>
        <w:t xml:space="preserve">14.3 </w:t>
      </w:r>
      <w:r>
        <w:rPr>
          <w:rFonts w:hint="eastAsia" w:ascii="宋体" w:hAnsi="宋体" w:eastAsia="宋体" w:cs="宋体"/>
          <w:b/>
          <w:color w:val="auto"/>
          <w:kern w:val="2"/>
          <w:sz w:val="21"/>
          <w:szCs w:val="21"/>
          <w:highlight w:val="none"/>
          <w:u w:val="single"/>
          <w:lang w:val="zh-CN"/>
        </w:rPr>
        <w:t>为说明第14.2款的规定，供应商应注意本竞争性磋商文件在《用户需求书》中对服务要求</w:t>
      </w:r>
      <w:r>
        <w:rPr>
          <w:rFonts w:hint="eastAsia" w:ascii="宋体" w:hAnsi="宋体" w:cs="宋体"/>
          <w:b/>
          <w:color w:val="auto"/>
          <w:kern w:val="2"/>
          <w:sz w:val="21"/>
          <w:szCs w:val="21"/>
          <w:highlight w:val="none"/>
          <w:u w:val="single"/>
          <w:lang w:val="en-US" w:eastAsia="zh-CN"/>
        </w:rPr>
        <w:t>的</w:t>
      </w:r>
      <w:r>
        <w:rPr>
          <w:rFonts w:hint="eastAsia" w:ascii="宋体" w:hAnsi="宋体" w:eastAsia="宋体" w:cs="宋体"/>
          <w:b/>
          <w:color w:val="auto"/>
          <w:kern w:val="2"/>
          <w:sz w:val="21"/>
          <w:szCs w:val="21"/>
          <w:highlight w:val="none"/>
          <w:u w:val="single"/>
          <w:lang w:val="zh-CN"/>
        </w:rPr>
        <w:t>说</w:t>
      </w:r>
    </w:p>
    <w:p w14:paraId="2C7BB349">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28" w:leftChars="220"/>
        <w:jc w:val="both"/>
        <w:textAlignment w:val="auto"/>
        <w:rPr>
          <w:rFonts w:hint="eastAsia" w:ascii="宋体" w:hAnsi="宋体" w:eastAsia="宋体" w:cs="宋体"/>
          <w:b/>
          <w:color w:val="auto"/>
          <w:kern w:val="2"/>
          <w:sz w:val="21"/>
          <w:szCs w:val="21"/>
          <w:highlight w:val="none"/>
          <w:lang w:val="zh-CN"/>
        </w:rPr>
      </w:pPr>
      <w:r>
        <w:rPr>
          <w:rFonts w:hint="eastAsia" w:ascii="宋体" w:hAnsi="宋体" w:eastAsia="宋体" w:cs="宋体"/>
          <w:b/>
          <w:color w:val="auto"/>
          <w:kern w:val="2"/>
          <w:sz w:val="21"/>
          <w:szCs w:val="21"/>
          <w:highlight w:val="none"/>
          <w:u w:val="single"/>
          <w:lang w:val="zh-CN"/>
        </w:rPr>
        <w:t>明只是概括性的，不能理解为所需要的全部服务的要求，供应商应按国家、行业相关技术标准、规范和以往的服务经验，合格优质的完成采购内容和包含的全部服务。凡标有“★”的地方均被视为重要的技术</w:t>
      </w:r>
      <w:r>
        <w:rPr>
          <w:rFonts w:hint="eastAsia" w:ascii="宋体" w:hAnsi="宋体" w:cs="宋体"/>
          <w:b/>
          <w:color w:val="auto"/>
          <w:kern w:val="2"/>
          <w:sz w:val="21"/>
          <w:szCs w:val="21"/>
          <w:highlight w:val="none"/>
          <w:u w:val="single"/>
          <w:lang w:val="en-US" w:eastAsia="zh-CN"/>
        </w:rPr>
        <w:t>指标</w:t>
      </w:r>
      <w:r>
        <w:rPr>
          <w:rFonts w:hint="eastAsia" w:ascii="宋体" w:hAnsi="宋体" w:eastAsia="宋体" w:cs="宋体"/>
          <w:b/>
          <w:color w:val="auto"/>
          <w:kern w:val="2"/>
          <w:sz w:val="21"/>
          <w:szCs w:val="21"/>
          <w:highlight w:val="none"/>
          <w:u w:val="single"/>
          <w:lang w:val="zh-CN"/>
        </w:rPr>
        <w:t>要求或</w:t>
      </w:r>
      <w:r>
        <w:rPr>
          <w:rFonts w:hint="eastAsia" w:ascii="宋体" w:hAnsi="宋体" w:cs="宋体"/>
          <w:b/>
          <w:color w:val="auto"/>
          <w:kern w:val="2"/>
          <w:sz w:val="21"/>
          <w:szCs w:val="21"/>
          <w:highlight w:val="none"/>
          <w:u w:val="single"/>
          <w:lang w:val="en-US" w:eastAsia="zh-CN"/>
        </w:rPr>
        <w:t>性能</w:t>
      </w:r>
      <w:r>
        <w:rPr>
          <w:rFonts w:hint="eastAsia" w:ascii="宋体" w:hAnsi="宋体" w:eastAsia="宋体" w:cs="宋体"/>
          <w:b/>
          <w:color w:val="auto"/>
          <w:kern w:val="2"/>
          <w:sz w:val="21"/>
          <w:szCs w:val="21"/>
          <w:highlight w:val="none"/>
          <w:u w:val="single"/>
          <w:lang w:val="zh-CN"/>
        </w:rPr>
        <w:t>要求。供应商要特别加以注意，必须对此回答并完全满足这些要求，否则若有一项带“★”的条款未响应或不满足，将按无效</w:t>
      </w:r>
      <w:r>
        <w:rPr>
          <w:rFonts w:hint="eastAsia" w:ascii="宋体" w:hAnsi="宋体" w:eastAsia="宋体" w:cs="宋体"/>
          <w:b/>
          <w:color w:val="auto"/>
          <w:kern w:val="2"/>
          <w:sz w:val="21"/>
          <w:szCs w:val="21"/>
          <w:highlight w:val="none"/>
          <w:u w:val="single"/>
          <w:lang w:val="en-US" w:eastAsia="zh-CN"/>
        </w:rPr>
        <w:t>响应</w:t>
      </w:r>
      <w:r>
        <w:rPr>
          <w:rFonts w:hint="eastAsia" w:ascii="宋体" w:hAnsi="宋体" w:eastAsia="宋体" w:cs="宋体"/>
          <w:b/>
          <w:color w:val="auto"/>
          <w:kern w:val="2"/>
          <w:sz w:val="21"/>
          <w:szCs w:val="21"/>
          <w:highlight w:val="none"/>
          <w:u w:val="single"/>
          <w:lang w:val="zh-CN"/>
        </w:rPr>
        <w:t>处理。</w:t>
      </w:r>
    </w:p>
    <w:p w14:paraId="5114B561">
      <w:pPr>
        <w:tabs>
          <w:tab w:val="left" w:pos="567"/>
        </w:tabs>
        <w:spacing w:line="360" w:lineRule="auto"/>
        <w:ind w:left="567" w:hanging="567"/>
        <w:jc w:val="both"/>
        <w:rPr>
          <w:rFonts w:hint="eastAsia" w:ascii="宋体" w:hAnsi="宋体" w:eastAsia="宋体" w:cs="宋体"/>
          <w:b/>
          <w:color w:val="auto"/>
          <w:kern w:val="2"/>
          <w:sz w:val="21"/>
          <w:szCs w:val="21"/>
          <w:highlight w:val="none"/>
          <w:lang w:val="zh-CN"/>
        </w:rPr>
      </w:pPr>
    </w:p>
    <w:p w14:paraId="135B5EA3">
      <w:pPr>
        <w:keepNext w:val="0"/>
        <w:keepLines w:val="0"/>
        <w:pageBreakBefore w:val="0"/>
        <w:widowControl w:val="0"/>
        <w:tabs>
          <w:tab w:val="left" w:pos="567"/>
        </w:tabs>
        <w:kinsoku/>
        <w:wordWrap/>
        <w:overflowPunct/>
        <w:topLinePunct w:val="0"/>
        <w:autoSpaceDE w:val="0"/>
        <w:autoSpaceDN w:val="0"/>
        <w:bidi w:val="0"/>
        <w:adjustRightInd w:val="0"/>
        <w:snapToGrid/>
        <w:spacing w:line="420" w:lineRule="exact"/>
        <w:ind w:left="567" w:hanging="567"/>
        <w:jc w:val="both"/>
        <w:textAlignment w:val="auto"/>
        <w:outlineLvl w:val="2"/>
        <w:rPr>
          <w:rFonts w:hint="eastAsia" w:ascii="宋体" w:hAnsi="宋体" w:eastAsia="宋体" w:cs="宋体"/>
          <w:b/>
          <w:bCs/>
          <w:color w:val="auto"/>
          <w:kern w:val="2"/>
          <w:sz w:val="21"/>
          <w:szCs w:val="21"/>
          <w:highlight w:val="none"/>
          <w:lang w:val="zh-CN"/>
        </w:rPr>
      </w:pPr>
      <w:bookmarkStart w:id="73" w:name="_Toc521918082"/>
      <w:bookmarkStart w:id="74" w:name="_Toc12553"/>
      <w:r>
        <w:rPr>
          <w:rFonts w:hint="eastAsia" w:ascii="宋体" w:hAnsi="宋体" w:eastAsia="宋体" w:cs="宋体"/>
          <w:bCs/>
          <w:color w:val="auto"/>
          <w:kern w:val="2"/>
          <w:sz w:val="21"/>
          <w:szCs w:val="21"/>
          <w:highlight w:val="none"/>
          <w:lang w:val="zh-CN"/>
        </w:rPr>
        <w:t>15</w:t>
      </w:r>
      <w:r>
        <w:rPr>
          <w:rFonts w:hint="eastAsia" w:ascii="宋体" w:hAnsi="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磋商</w:t>
      </w:r>
      <w:r>
        <w:rPr>
          <w:rFonts w:hint="eastAsia" w:ascii="宋体" w:hAnsi="宋体" w:eastAsia="宋体" w:cs="宋体"/>
          <w:bCs/>
          <w:color w:val="auto"/>
          <w:kern w:val="2"/>
          <w:sz w:val="21"/>
          <w:szCs w:val="21"/>
          <w:highlight w:val="none"/>
          <w:lang w:val="zh-CN"/>
        </w:rPr>
        <w:t>保证金</w:t>
      </w:r>
      <w:bookmarkEnd w:id="73"/>
      <w:bookmarkEnd w:id="74"/>
    </w:p>
    <w:p w14:paraId="54FFD893">
      <w:pPr>
        <w:pStyle w:val="107"/>
        <w:keepNext w:val="0"/>
        <w:keepLines w:val="0"/>
        <w:pageBreakBefore w:val="0"/>
        <w:widowControl w:val="0"/>
        <w:kinsoku/>
        <w:wordWrap/>
        <w:overflowPunct/>
        <w:topLinePunct w:val="0"/>
        <w:autoSpaceDE w:val="0"/>
        <w:autoSpaceDN w:val="0"/>
        <w:bidi w:val="0"/>
        <w:adjustRightInd w:val="0"/>
        <w:snapToGrid/>
        <w:spacing w:line="420" w:lineRule="exact"/>
        <w:jc w:val="both"/>
        <w:textAlignment w:val="auto"/>
        <w:rPr>
          <w:rFonts w:hint="eastAsia" w:ascii="宋体" w:hAnsi="宋体" w:cs="宋体"/>
          <w:b/>
          <w:bCs w:val="0"/>
          <w:color w:val="auto"/>
          <w:sz w:val="21"/>
          <w:szCs w:val="21"/>
          <w:highlight w:val="none"/>
          <w:u w:val="single"/>
          <w:lang w:val="en-US" w:eastAsia="zh-CN"/>
        </w:rPr>
      </w:pPr>
      <w:bookmarkStart w:id="75" w:name="_Toc521918083"/>
      <w:bookmarkStart w:id="76" w:name="_Toc450662865"/>
      <w:r>
        <w:rPr>
          <w:rFonts w:hint="eastAsia" w:ascii="宋体" w:hAnsi="宋体" w:eastAsia="宋体" w:cs="宋体"/>
          <w:color w:val="auto"/>
          <w:sz w:val="21"/>
          <w:szCs w:val="21"/>
          <w:highlight w:val="none"/>
          <w:lang w:val="zh-CN"/>
        </w:rPr>
        <w:t>15.1</w:t>
      </w:r>
      <w:r>
        <w:rPr>
          <w:rFonts w:hint="eastAsia" w:ascii="宋体" w:hAnsi="宋体" w:cs="宋体"/>
          <w:color w:val="auto"/>
          <w:sz w:val="21"/>
          <w:szCs w:val="21"/>
          <w:highlight w:val="none"/>
          <w:lang w:val="en-US" w:eastAsia="zh-CN"/>
        </w:rPr>
        <w:t xml:space="preserve"> </w:t>
      </w:r>
      <w:r>
        <w:rPr>
          <w:rFonts w:hint="eastAsia" w:ascii="宋体" w:hAnsi="宋体" w:cs="宋体"/>
          <w:b/>
          <w:bCs w:val="0"/>
          <w:color w:val="auto"/>
          <w:sz w:val="21"/>
          <w:szCs w:val="21"/>
          <w:highlight w:val="none"/>
          <w:u w:val="single"/>
          <w:lang w:val="en-US" w:eastAsia="zh-CN"/>
        </w:rPr>
        <w:t>供应商响应</w:t>
      </w:r>
      <w:r>
        <w:rPr>
          <w:rFonts w:hint="eastAsia" w:ascii="宋体" w:hAnsi="宋体" w:eastAsia="宋体" w:cs="宋体"/>
          <w:b/>
          <w:bCs w:val="0"/>
          <w:color w:val="auto"/>
          <w:sz w:val="21"/>
          <w:szCs w:val="21"/>
          <w:highlight w:val="none"/>
          <w:u w:val="single"/>
          <w:lang w:val="zh-CN"/>
        </w:rPr>
        <w:t>时须</w:t>
      </w:r>
      <w:r>
        <w:rPr>
          <w:rFonts w:hint="eastAsia" w:ascii="宋体" w:hAnsi="宋体" w:cs="宋体"/>
          <w:b/>
          <w:bCs w:val="0"/>
          <w:color w:val="auto"/>
          <w:sz w:val="21"/>
          <w:szCs w:val="21"/>
          <w:highlight w:val="none"/>
          <w:u w:val="single"/>
          <w:lang w:val="en-US" w:eastAsia="zh-CN"/>
        </w:rPr>
        <w:t>提交磋商保证金41</w:t>
      </w:r>
      <w:r>
        <w:rPr>
          <w:rFonts w:hint="eastAsia" w:ascii="宋体" w:hAnsi="宋体" w:eastAsia="宋体" w:cs="宋体"/>
          <w:b/>
          <w:bCs w:val="0"/>
          <w:color w:val="auto"/>
          <w:sz w:val="21"/>
          <w:szCs w:val="21"/>
          <w:highlight w:val="none"/>
          <w:u w:val="single"/>
          <w:lang w:val="zh-CN"/>
        </w:rPr>
        <w:t>,</w:t>
      </w:r>
      <w:r>
        <w:rPr>
          <w:rFonts w:hint="eastAsia" w:ascii="宋体" w:hAnsi="宋体" w:cs="宋体"/>
          <w:b/>
          <w:bCs w:val="0"/>
          <w:color w:val="auto"/>
          <w:sz w:val="21"/>
          <w:szCs w:val="21"/>
          <w:highlight w:val="none"/>
          <w:u w:val="single"/>
          <w:lang w:val="en-US" w:eastAsia="zh-CN"/>
        </w:rPr>
        <w:t>8</w:t>
      </w:r>
      <w:r>
        <w:rPr>
          <w:rFonts w:hint="eastAsia" w:ascii="宋体" w:hAnsi="宋体" w:eastAsia="宋体" w:cs="宋体"/>
          <w:b/>
          <w:bCs w:val="0"/>
          <w:color w:val="auto"/>
          <w:sz w:val="21"/>
          <w:szCs w:val="21"/>
          <w:highlight w:val="none"/>
          <w:u w:val="single"/>
          <w:lang w:val="zh-CN"/>
        </w:rPr>
        <w:t>00.00元（大写：人民币</w:t>
      </w:r>
      <w:r>
        <w:rPr>
          <w:rFonts w:hint="eastAsia" w:ascii="宋体" w:hAnsi="宋体" w:cs="宋体"/>
          <w:b/>
          <w:bCs w:val="0"/>
          <w:color w:val="auto"/>
          <w:sz w:val="21"/>
          <w:szCs w:val="21"/>
          <w:highlight w:val="none"/>
          <w:u w:val="single"/>
          <w:lang w:val="en-US" w:eastAsia="zh-CN"/>
        </w:rPr>
        <w:t>肆</w:t>
      </w:r>
      <w:r>
        <w:rPr>
          <w:rFonts w:hint="eastAsia" w:ascii="宋体" w:hAnsi="宋体" w:eastAsia="宋体" w:cs="宋体"/>
          <w:b/>
          <w:bCs w:val="0"/>
          <w:color w:val="auto"/>
          <w:sz w:val="21"/>
          <w:szCs w:val="21"/>
          <w:highlight w:val="none"/>
          <w:u w:val="single"/>
          <w:lang w:val="zh-CN"/>
        </w:rPr>
        <w:t>万</w:t>
      </w:r>
      <w:r>
        <w:rPr>
          <w:rFonts w:hint="eastAsia" w:ascii="宋体" w:hAnsi="宋体" w:cs="宋体"/>
          <w:b/>
          <w:bCs w:val="0"/>
          <w:color w:val="auto"/>
          <w:sz w:val="21"/>
          <w:szCs w:val="21"/>
          <w:highlight w:val="none"/>
          <w:u w:val="single"/>
          <w:lang w:val="en-US" w:eastAsia="zh-CN"/>
        </w:rPr>
        <w:t>壹</w:t>
      </w:r>
      <w:r>
        <w:rPr>
          <w:rFonts w:hint="eastAsia" w:ascii="宋体" w:hAnsi="宋体" w:eastAsia="宋体" w:cs="宋体"/>
          <w:b/>
          <w:bCs w:val="0"/>
          <w:color w:val="auto"/>
          <w:sz w:val="21"/>
          <w:szCs w:val="21"/>
          <w:highlight w:val="none"/>
          <w:u w:val="single"/>
          <w:lang w:val="zh-CN" w:eastAsia="zh-CN"/>
        </w:rPr>
        <w:t>仟</w:t>
      </w:r>
      <w:r>
        <w:rPr>
          <w:rFonts w:hint="eastAsia" w:ascii="宋体" w:hAnsi="宋体" w:cs="宋体"/>
          <w:b/>
          <w:bCs w:val="0"/>
          <w:color w:val="auto"/>
          <w:sz w:val="21"/>
          <w:szCs w:val="21"/>
          <w:highlight w:val="none"/>
          <w:u w:val="single"/>
          <w:lang w:val="en-US" w:eastAsia="zh-CN"/>
        </w:rPr>
        <w:t>捌佰</w:t>
      </w:r>
      <w:r>
        <w:rPr>
          <w:rFonts w:hint="eastAsia" w:ascii="宋体" w:hAnsi="宋体" w:eastAsia="宋体" w:cs="宋体"/>
          <w:b/>
          <w:bCs w:val="0"/>
          <w:color w:val="auto"/>
          <w:sz w:val="21"/>
          <w:szCs w:val="21"/>
          <w:highlight w:val="none"/>
          <w:u w:val="single"/>
          <w:lang w:val="zh-CN"/>
        </w:rPr>
        <w:t>元整）</w:t>
      </w:r>
      <w:r>
        <w:rPr>
          <w:rFonts w:hint="eastAsia" w:ascii="宋体" w:hAnsi="宋体" w:cs="宋体"/>
          <w:b/>
          <w:bCs w:val="0"/>
          <w:color w:val="auto"/>
          <w:sz w:val="21"/>
          <w:szCs w:val="21"/>
          <w:highlight w:val="none"/>
          <w:u w:val="single"/>
          <w:lang w:val="zh-CN"/>
        </w:rPr>
        <w:t>，</w:t>
      </w:r>
      <w:r>
        <w:rPr>
          <w:rFonts w:hint="eastAsia" w:ascii="宋体" w:hAnsi="宋体" w:cs="宋体"/>
          <w:b/>
          <w:bCs w:val="0"/>
          <w:color w:val="auto"/>
          <w:sz w:val="21"/>
          <w:szCs w:val="21"/>
          <w:highlight w:val="none"/>
          <w:u w:val="single"/>
          <w:lang w:val="en-US" w:eastAsia="zh-CN"/>
        </w:rPr>
        <w:t>本项目磋</w:t>
      </w:r>
    </w:p>
    <w:p w14:paraId="4169EDC5">
      <w:pPr>
        <w:pStyle w:val="107"/>
        <w:keepNext w:val="0"/>
        <w:keepLines w:val="0"/>
        <w:pageBreakBefore w:val="0"/>
        <w:widowControl w:val="0"/>
        <w:kinsoku/>
        <w:wordWrap/>
        <w:overflowPunct/>
        <w:topLinePunct w:val="0"/>
        <w:autoSpaceDE w:val="0"/>
        <w:autoSpaceDN w:val="0"/>
        <w:bidi w:val="0"/>
        <w:adjustRightInd w:val="0"/>
        <w:snapToGrid/>
        <w:spacing w:line="420" w:lineRule="exact"/>
        <w:ind w:left="528" w:leftChars="220"/>
        <w:jc w:val="both"/>
        <w:textAlignment w:val="auto"/>
        <w:rPr>
          <w:rFonts w:hint="eastAsia" w:ascii="宋体" w:hAnsi="宋体" w:eastAsia="宋体" w:cs="宋体"/>
          <w:color w:val="auto"/>
          <w:sz w:val="21"/>
          <w:szCs w:val="21"/>
          <w:highlight w:val="none"/>
          <w:lang w:val="zh-CN"/>
        </w:rPr>
      </w:pPr>
      <w:r>
        <w:rPr>
          <w:rFonts w:hint="eastAsia" w:ascii="宋体" w:hAnsi="宋体" w:cs="宋体"/>
          <w:b/>
          <w:bCs w:val="0"/>
          <w:color w:val="auto"/>
          <w:sz w:val="21"/>
          <w:szCs w:val="21"/>
          <w:highlight w:val="none"/>
          <w:u w:val="single"/>
          <w:lang w:val="en-US" w:eastAsia="zh-CN"/>
        </w:rPr>
        <w:t>商保证金适用所有包组，供应商同时参加本项目一个或多个包组响应时，仅须提交一次磋商保证金，无需按照本项目包组重复提交磋商保证金</w:t>
      </w:r>
      <w:r>
        <w:rPr>
          <w:rFonts w:hint="eastAsia" w:ascii="宋体" w:hAnsi="宋体" w:eastAsia="宋体" w:cs="宋体"/>
          <w:b/>
          <w:bCs w:val="0"/>
          <w:color w:val="auto"/>
          <w:sz w:val="21"/>
          <w:szCs w:val="21"/>
          <w:highlight w:val="none"/>
          <w:u w:val="single"/>
          <w:lang w:val="zh-CN"/>
        </w:rPr>
        <w:t>。</w:t>
      </w:r>
    </w:p>
    <w:p w14:paraId="3FF8A3A3">
      <w:pPr>
        <w:pStyle w:val="107"/>
        <w:keepNext w:val="0"/>
        <w:keepLines w:val="0"/>
        <w:pageBreakBefore w:val="0"/>
        <w:widowControl w:val="0"/>
        <w:kinsoku/>
        <w:wordWrap/>
        <w:overflowPunct/>
        <w:topLinePunct w:val="0"/>
        <w:autoSpaceDE w:val="0"/>
        <w:autoSpaceDN w:val="0"/>
        <w:bidi w:val="0"/>
        <w:adjustRightInd w:val="0"/>
        <w:snapToGrid/>
        <w:spacing w:line="420" w:lineRule="exact"/>
        <w:jc w:val="both"/>
        <w:textAlignment w:val="auto"/>
        <w:rPr>
          <w:rFonts w:hint="eastAsia" w:ascii="宋体" w:hAnsi="宋体" w:eastAsia="宋体" w:cs="宋体"/>
          <w:b/>
          <w:bCs w:val="0"/>
          <w:color w:val="auto"/>
          <w:sz w:val="21"/>
          <w:szCs w:val="21"/>
          <w:highlight w:val="none"/>
          <w:u w:val="single"/>
          <w:lang w:val="zh-CN"/>
        </w:rPr>
      </w:pPr>
      <w:r>
        <w:rPr>
          <w:rFonts w:hint="eastAsia" w:ascii="宋体" w:hAnsi="宋体" w:eastAsia="宋体" w:cs="宋体"/>
          <w:color w:val="auto"/>
          <w:sz w:val="21"/>
          <w:szCs w:val="21"/>
          <w:highlight w:val="none"/>
          <w:lang w:val="zh-CN"/>
        </w:rPr>
        <w:t>15.2</w:t>
      </w:r>
      <w:r>
        <w:rPr>
          <w:rFonts w:hint="eastAsia" w:ascii="宋体" w:hAnsi="宋体" w:cs="宋体"/>
          <w:color w:val="auto"/>
          <w:sz w:val="21"/>
          <w:szCs w:val="21"/>
          <w:highlight w:val="none"/>
          <w:lang w:val="en-US" w:eastAsia="zh-CN"/>
        </w:rPr>
        <w:t xml:space="preserve"> 供应商</w:t>
      </w:r>
      <w:r>
        <w:rPr>
          <w:rFonts w:hint="eastAsia" w:ascii="宋体" w:hAnsi="宋体" w:eastAsia="宋体" w:cs="宋体"/>
          <w:color w:val="auto"/>
          <w:sz w:val="21"/>
          <w:szCs w:val="21"/>
          <w:highlight w:val="none"/>
          <w:lang w:val="zh-CN"/>
        </w:rPr>
        <w:t>应按要求提交</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lang w:val="zh-CN"/>
        </w:rPr>
        <w:t>保证金，</w:t>
      </w:r>
      <w:r>
        <w:rPr>
          <w:rFonts w:hint="eastAsia" w:ascii="宋体" w:hAnsi="宋体" w:cs="宋体"/>
          <w:b/>
          <w:bCs w:val="0"/>
          <w:color w:val="auto"/>
          <w:sz w:val="21"/>
          <w:szCs w:val="21"/>
          <w:highlight w:val="none"/>
          <w:u w:val="single"/>
          <w:lang w:val="en-US" w:eastAsia="zh-CN"/>
        </w:rPr>
        <w:t>供应商</w:t>
      </w:r>
      <w:r>
        <w:rPr>
          <w:rFonts w:hint="eastAsia" w:ascii="宋体" w:hAnsi="宋体" w:eastAsia="宋体" w:cs="宋体"/>
          <w:b/>
          <w:bCs w:val="0"/>
          <w:color w:val="auto"/>
          <w:sz w:val="21"/>
          <w:szCs w:val="21"/>
          <w:highlight w:val="none"/>
          <w:u w:val="single"/>
          <w:lang w:val="zh-CN"/>
        </w:rPr>
        <w:t>必须通过本单位银行基本账户采用银行转账、电汇形</w:t>
      </w:r>
    </w:p>
    <w:p w14:paraId="43270578">
      <w:pPr>
        <w:pStyle w:val="107"/>
        <w:keepNext w:val="0"/>
        <w:keepLines w:val="0"/>
        <w:pageBreakBefore w:val="0"/>
        <w:widowControl w:val="0"/>
        <w:kinsoku/>
        <w:wordWrap/>
        <w:overflowPunct/>
        <w:topLinePunct w:val="0"/>
        <w:autoSpaceDE w:val="0"/>
        <w:autoSpaceDN w:val="0"/>
        <w:bidi w:val="0"/>
        <w:adjustRightInd w:val="0"/>
        <w:snapToGrid/>
        <w:spacing w:line="420" w:lineRule="exact"/>
        <w:ind w:left="528" w:leftChars="22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b/>
          <w:bCs w:val="0"/>
          <w:color w:val="auto"/>
          <w:sz w:val="21"/>
          <w:szCs w:val="21"/>
          <w:highlight w:val="none"/>
          <w:u w:val="single"/>
          <w:lang w:val="zh-CN"/>
        </w:rPr>
        <w:t>式缴交，</w:t>
      </w:r>
      <w:r>
        <w:rPr>
          <w:rFonts w:hint="eastAsia" w:ascii="宋体" w:hAnsi="宋体" w:cs="宋体"/>
          <w:b/>
          <w:bCs w:val="0"/>
          <w:color w:val="auto"/>
          <w:sz w:val="21"/>
          <w:szCs w:val="21"/>
          <w:highlight w:val="none"/>
          <w:u w:val="single"/>
          <w:lang w:val="en-US" w:eastAsia="zh-CN"/>
        </w:rPr>
        <w:t>供应商</w:t>
      </w:r>
      <w:r>
        <w:rPr>
          <w:rFonts w:hint="eastAsia" w:ascii="宋体" w:hAnsi="宋体" w:eastAsia="宋体" w:cs="宋体"/>
          <w:b/>
          <w:bCs w:val="0"/>
          <w:color w:val="auto"/>
          <w:sz w:val="21"/>
          <w:szCs w:val="21"/>
          <w:highlight w:val="none"/>
          <w:u w:val="single"/>
          <w:lang w:val="zh-CN"/>
        </w:rPr>
        <w:t>与交款人名称必须一致，非</w:t>
      </w:r>
      <w:r>
        <w:rPr>
          <w:rFonts w:hint="eastAsia" w:ascii="宋体" w:hAnsi="宋体" w:cs="宋体"/>
          <w:b/>
          <w:bCs w:val="0"/>
          <w:color w:val="auto"/>
          <w:sz w:val="21"/>
          <w:szCs w:val="21"/>
          <w:highlight w:val="none"/>
          <w:u w:val="single"/>
          <w:lang w:val="en-US" w:eastAsia="zh-CN"/>
        </w:rPr>
        <w:t>供应商</w:t>
      </w:r>
      <w:r>
        <w:rPr>
          <w:rFonts w:hint="eastAsia" w:ascii="宋体" w:hAnsi="宋体" w:eastAsia="宋体" w:cs="宋体"/>
          <w:b/>
          <w:bCs w:val="0"/>
          <w:color w:val="auto"/>
          <w:sz w:val="21"/>
          <w:szCs w:val="21"/>
          <w:highlight w:val="none"/>
          <w:u w:val="single"/>
          <w:lang w:val="zh-CN"/>
        </w:rPr>
        <w:t>缴纳的或未通过其基本账户提交的</w:t>
      </w:r>
      <w:r>
        <w:rPr>
          <w:rFonts w:hint="eastAsia" w:ascii="宋体" w:hAnsi="宋体" w:cs="宋体"/>
          <w:b/>
          <w:bCs w:val="0"/>
          <w:color w:val="auto"/>
          <w:sz w:val="21"/>
          <w:szCs w:val="21"/>
          <w:highlight w:val="none"/>
          <w:u w:val="single"/>
          <w:lang w:val="en-US" w:eastAsia="zh-CN"/>
        </w:rPr>
        <w:t>磋商</w:t>
      </w:r>
      <w:r>
        <w:rPr>
          <w:rFonts w:hint="eastAsia" w:ascii="宋体" w:hAnsi="宋体" w:eastAsia="宋体" w:cs="宋体"/>
          <w:b/>
          <w:bCs w:val="0"/>
          <w:color w:val="auto"/>
          <w:sz w:val="21"/>
          <w:szCs w:val="21"/>
          <w:highlight w:val="none"/>
          <w:u w:val="single"/>
          <w:lang w:val="zh-CN"/>
        </w:rPr>
        <w:t>保证金无效</w:t>
      </w:r>
      <w:r>
        <w:rPr>
          <w:rFonts w:hint="eastAsia" w:ascii="宋体" w:hAnsi="宋体" w:eastAsia="宋体" w:cs="宋体"/>
          <w:b/>
          <w:bCs w:val="0"/>
          <w:color w:val="auto"/>
          <w:sz w:val="21"/>
          <w:szCs w:val="21"/>
          <w:highlight w:val="none"/>
          <w:u w:val="none"/>
          <w:lang w:val="zh-CN"/>
        </w:rPr>
        <w:t>。</w:t>
      </w:r>
    </w:p>
    <w:p w14:paraId="1991AB15">
      <w:pPr>
        <w:pStyle w:val="107"/>
        <w:keepNext w:val="0"/>
        <w:keepLines w:val="0"/>
        <w:pageBreakBefore w:val="0"/>
        <w:widowControl w:val="0"/>
        <w:kinsoku/>
        <w:wordWrap/>
        <w:overflowPunct/>
        <w:topLinePunct w:val="0"/>
        <w:autoSpaceDE w:val="0"/>
        <w:autoSpaceDN w:val="0"/>
        <w:bidi w:val="0"/>
        <w:adjustRightInd w:val="0"/>
        <w:snapToGrid/>
        <w:spacing w:line="420" w:lineRule="exact"/>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15.3 提交</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lang w:val="zh-CN"/>
        </w:rPr>
        <w:t>保证金时应符合下列规定：</w:t>
      </w:r>
    </w:p>
    <w:p w14:paraId="684A1D31">
      <w:pPr>
        <w:pStyle w:val="107"/>
        <w:keepNext w:val="0"/>
        <w:keepLines w:val="0"/>
        <w:pageBreakBefore w:val="0"/>
        <w:widowControl w:val="0"/>
        <w:kinsoku/>
        <w:wordWrap/>
        <w:overflowPunct/>
        <w:topLinePunct w:val="0"/>
        <w:autoSpaceDE w:val="0"/>
        <w:autoSpaceDN w:val="0"/>
        <w:bidi w:val="0"/>
        <w:adjustRightInd w:val="0"/>
        <w:snapToGrid/>
        <w:spacing w:line="420" w:lineRule="exact"/>
        <w:ind w:left="960" w:leftChars="4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必须通过本单位基本账户采用银行转账、电汇方式提交，且在递交</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zh-CN"/>
        </w:rPr>
        <w:t>文件截止时间前到</w:t>
      </w:r>
    </w:p>
    <w:p w14:paraId="7AD26ABD">
      <w:pPr>
        <w:pStyle w:val="107"/>
        <w:keepNext w:val="0"/>
        <w:keepLines w:val="0"/>
        <w:pageBreakBefore w:val="0"/>
        <w:widowControl w:val="0"/>
        <w:kinsoku/>
        <w:wordWrap/>
        <w:overflowPunct/>
        <w:topLinePunct w:val="0"/>
        <w:autoSpaceDE w:val="0"/>
        <w:autoSpaceDN w:val="0"/>
        <w:bidi w:val="0"/>
        <w:adjustRightInd w:val="0"/>
        <w:snapToGrid/>
        <w:spacing w:line="420" w:lineRule="exact"/>
        <w:ind w:left="528" w:leftChars="22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达以下账户上。</w:t>
      </w:r>
    </w:p>
    <w:p w14:paraId="419CBBAE">
      <w:pPr>
        <w:pStyle w:val="107"/>
        <w:keepNext w:val="0"/>
        <w:keepLines w:val="0"/>
        <w:pageBreakBefore w:val="0"/>
        <w:widowControl w:val="0"/>
        <w:kinsoku/>
        <w:wordWrap/>
        <w:overflowPunct/>
        <w:topLinePunct w:val="0"/>
        <w:autoSpaceDE w:val="0"/>
        <w:autoSpaceDN w:val="0"/>
        <w:bidi w:val="0"/>
        <w:adjustRightInd w:val="0"/>
        <w:snapToGrid/>
        <w:spacing w:line="420" w:lineRule="exact"/>
        <w:ind w:left="960" w:leftChars="4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开户名称：</w:t>
      </w:r>
      <w:r>
        <w:rPr>
          <w:rFonts w:hint="eastAsia" w:ascii="宋体" w:hAnsi="宋体" w:eastAsia="宋体" w:cs="宋体"/>
          <w:color w:val="auto"/>
          <w:sz w:val="21"/>
          <w:szCs w:val="21"/>
          <w:highlight w:val="none"/>
          <w:lang w:val="zh-CN" w:eastAsia="zh-CN"/>
        </w:rPr>
        <w:t xml:space="preserve">东莞市众源环境投资有限公司 </w:t>
      </w:r>
      <w:r>
        <w:rPr>
          <w:rFonts w:hint="eastAsia" w:ascii="宋体" w:hAnsi="宋体" w:eastAsia="宋体" w:cs="宋体"/>
          <w:color w:val="auto"/>
          <w:sz w:val="21"/>
          <w:szCs w:val="21"/>
          <w:highlight w:val="none"/>
          <w:lang w:val="zh-CN"/>
        </w:rPr>
        <w:t xml:space="preserve"> </w:t>
      </w:r>
    </w:p>
    <w:p w14:paraId="3F7C2159">
      <w:pPr>
        <w:pStyle w:val="107"/>
        <w:keepNext w:val="0"/>
        <w:keepLines w:val="0"/>
        <w:pageBreakBefore w:val="0"/>
        <w:widowControl w:val="0"/>
        <w:kinsoku/>
        <w:wordWrap/>
        <w:overflowPunct/>
        <w:topLinePunct w:val="0"/>
        <w:autoSpaceDE w:val="0"/>
        <w:autoSpaceDN w:val="0"/>
        <w:bidi w:val="0"/>
        <w:adjustRightInd w:val="0"/>
        <w:snapToGrid/>
        <w:spacing w:line="420" w:lineRule="exact"/>
        <w:ind w:left="960" w:leftChars="4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开户银行：</w:t>
      </w:r>
      <w:r>
        <w:rPr>
          <w:rFonts w:hint="eastAsia" w:ascii="宋体" w:hAnsi="宋体" w:eastAsia="宋体" w:cs="宋体"/>
          <w:color w:val="auto"/>
          <w:sz w:val="21"/>
          <w:szCs w:val="21"/>
          <w:highlight w:val="none"/>
          <w:lang w:val="zh-CN" w:eastAsia="zh-CN"/>
        </w:rPr>
        <w:t>招商银行股份有限公司东莞分行</w:t>
      </w:r>
    </w:p>
    <w:p w14:paraId="348A0E6C">
      <w:pPr>
        <w:pStyle w:val="107"/>
        <w:keepNext w:val="0"/>
        <w:keepLines w:val="0"/>
        <w:pageBreakBefore w:val="0"/>
        <w:widowControl w:val="0"/>
        <w:kinsoku/>
        <w:wordWrap/>
        <w:overflowPunct/>
        <w:topLinePunct w:val="0"/>
        <w:autoSpaceDE w:val="0"/>
        <w:autoSpaceDN w:val="0"/>
        <w:bidi w:val="0"/>
        <w:adjustRightInd w:val="0"/>
        <w:snapToGrid/>
        <w:spacing w:line="420" w:lineRule="exact"/>
        <w:ind w:left="960" w:leftChars="400"/>
        <w:jc w:val="both"/>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rPr>
        <w:t>银行账号：</w:t>
      </w:r>
      <w:r>
        <w:rPr>
          <w:rFonts w:hint="eastAsia" w:ascii="宋体" w:hAnsi="宋体" w:eastAsia="宋体" w:cs="宋体"/>
          <w:color w:val="auto"/>
          <w:sz w:val="21"/>
          <w:szCs w:val="21"/>
          <w:highlight w:val="none"/>
          <w:lang w:val="zh-CN" w:eastAsia="zh-CN"/>
        </w:rPr>
        <w:t>769908269610828</w:t>
      </w:r>
    </w:p>
    <w:p w14:paraId="03B2E0F1">
      <w:pPr>
        <w:pStyle w:val="107"/>
        <w:keepNext w:val="0"/>
        <w:keepLines w:val="0"/>
        <w:pageBreakBefore w:val="0"/>
        <w:widowControl w:val="0"/>
        <w:kinsoku/>
        <w:wordWrap/>
        <w:overflowPunct/>
        <w:topLinePunct w:val="0"/>
        <w:autoSpaceDE w:val="0"/>
        <w:autoSpaceDN w:val="0"/>
        <w:bidi w:val="0"/>
        <w:adjustRightInd w:val="0"/>
        <w:snapToGrid/>
        <w:spacing w:line="420" w:lineRule="exact"/>
        <w:ind w:left="528" w:leftChars="220"/>
        <w:jc w:val="both"/>
        <w:textAlignment w:val="auto"/>
        <w:rPr>
          <w:rFonts w:hint="eastAsia" w:ascii="宋体" w:hAnsi="宋体" w:eastAsia="宋体" w:cs="宋体"/>
          <w:b/>
          <w:bCs w:val="0"/>
          <w:color w:val="auto"/>
          <w:sz w:val="21"/>
          <w:szCs w:val="21"/>
          <w:highlight w:val="none"/>
          <w:lang w:val="zh-CN"/>
        </w:rPr>
      </w:pPr>
      <w:r>
        <w:rPr>
          <w:rFonts w:hint="eastAsia" w:ascii="宋体" w:hAnsi="宋体" w:cs="宋体"/>
          <w:b/>
          <w:bCs w:val="0"/>
          <w:color w:val="auto"/>
          <w:sz w:val="21"/>
          <w:szCs w:val="21"/>
          <w:highlight w:val="none"/>
          <w:u w:val="single"/>
          <w:lang w:val="en-US" w:eastAsia="zh-CN"/>
        </w:rPr>
        <w:t>磋商</w:t>
      </w:r>
      <w:r>
        <w:rPr>
          <w:rFonts w:hint="eastAsia" w:ascii="宋体" w:hAnsi="宋体" w:eastAsia="宋体" w:cs="宋体"/>
          <w:b/>
          <w:bCs w:val="0"/>
          <w:color w:val="auto"/>
          <w:sz w:val="21"/>
          <w:szCs w:val="21"/>
          <w:highlight w:val="none"/>
          <w:u w:val="single"/>
          <w:lang w:val="zh-CN"/>
        </w:rPr>
        <w:t>保证金未按规定时间到达指定账户或提交金额不足的，将被视为无效</w:t>
      </w:r>
      <w:r>
        <w:rPr>
          <w:rFonts w:hint="eastAsia" w:ascii="宋体" w:hAnsi="宋体" w:cs="宋体"/>
          <w:b/>
          <w:bCs w:val="0"/>
          <w:color w:val="auto"/>
          <w:sz w:val="21"/>
          <w:szCs w:val="21"/>
          <w:highlight w:val="none"/>
          <w:u w:val="single"/>
          <w:lang w:val="en-US" w:eastAsia="zh-CN"/>
        </w:rPr>
        <w:t>磋商</w:t>
      </w:r>
      <w:r>
        <w:rPr>
          <w:rFonts w:hint="eastAsia" w:ascii="宋体" w:hAnsi="宋体" w:eastAsia="宋体" w:cs="宋体"/>
          <w:b/>
          <w:bCs w:val="0"/>
          <w:color w:val="auto"/>
          <w:sz w:val="21"/>
          <w:szCs w:val="21"/>
          <w:highlight w:val="none"/>
          <w:u w:val="single"/>
          <w:lang w:val="zh-CN"/>
        </w:rPr>
        <w:t>保证金</w:t>
      </w:r>
      <w:r>
        <w:rPr>
          <w:rFonts w:hint="eastAsia" w:ascii="宋体" w:hAnsi="宋体" w:eastAsia="宋体" w:cs="宋体"/>
          <w:b/>
          <w:bCs w:val="0"/>
          <w:color w:val="auto"/>
          <w:sz w:val="21"/>
          <w:szCs w:val="21"/>
          <w:highlight w:val="none"/>
          <w:lang w:val="zh-CN"/>
        </w:rPr>
        <w:t>。</w:t>
      </w:r>
    </w:p>
    <w:p w14:paraId="1F7A110C">
      <w:pPr>
        <w:pStyle w:val="107"/>
        <w:keepNext w:val="0"/>
        <w:keepLines w:val="0"/>
        <w:pageBreakBefore w:val="0"/>
        <w:widowControl w:val="0"/>
        <w:kinsoku/>
        <w:wordWrap/>
        <w:overflowPunct/>
        <w:topLinePunct w:val="0"/>
        <w:autoSpaceDE w:val="0"/>
        <w:autoSpaceDN w:val="0"/>
        <w:bidi w:val="0"/>
        <w:adjustRightInd w:val="0"/>
        <w:snapToGrid/>
        <w:spacing w:line="420" w:lineRule="exact"/>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15.4 </w:t>
      </w:r>
      <w:r>
        <w:rPr>
          <w:rFonts w:hint="eastAsia" w:ascii="宋体" w:hAnsi="宋体" w:eastAsia="宋体" w:cs="宋体"/>
          <w:b/>
          <w:bCs w:val="0"/>
          <w:color w:val="auto"/>
          <w:sz w:val="21"/>
          <w:szCs w:val="21"/>
          <w:highlight w:val="none"/>
          <w:u w:val="single"/>
          <w:lang w:val="zh-CN"/>
        </w:rPr>
        <w:t>任何未按第15.1款、第15.2款、第15.3款规定提交</w:t>
      </w:r>
      <w:r>
        <w:rPr>
          <w:rFonts w:hint="eastAsia" w:ascii="宋体" w:hAnsi="宋体" w:cs="宋体"/>
          <w:b/>
          <w:bCs w:val="0"/>
          <w:color w:val="auto"/>
          <w:sz w:val="21"/>
          <w:szCs w:val="21"/>
          <w:highlight w:val="none"/>
          <w:u w:val="single"/>
          <w:lang w:val="en-US" w:eastAsia="zh-CN"/>
        </w:rPr>
        <w:t>磋商</w:t>
      </w:r>
      <w:r>
        <w:rPr>
          <w:rFonts w:hint="eastAsia" w:ascii="宋体" w:hAnsi="宋体" w:eastAsia="宋体" w:cs="宋体"/>
          <w:b/>
          <w:bCs w:val="0"/>
          <w:color w:val="auto"/>
          <w:sz w:val="21"/>
          <w:szCs w:val="21"/>
          <w:highlight w:val="none"/>
          <w:u w:val="single"/>
          <w:lang w:val="zh-CN"/>
        </w:rPr>
        <w:t>保证金的</w:t>
      </w:r>
      <w:r>
        <w:rPr>
          <w:rFonts w:hint="eastAsia" w:ascii="宋体" w:hAnsi="宋体" w:cs="宋体"/>
          <w:b/>
          <w:bCs w:val="0"/>
          <w:color w:val="auto"/>
          <w:sz w:val="21"/>
          <w:szCs w:val="21"/>
          <w:highlight w:val="none"/>
          <w:u w:val="single"/>
          <w:lang w:val="en-US" w:eastAsia="zh-CN"/>
        </w:rPr>
        <w:t>响应</w:t>
      </w:r>
      <w:r>
        <w:rPr>
          <w:rFonts w:hint="eastAsia" w:ascii="宋体" w:hAnsi="宋体" w:eastAsia="宋体" w:cs="宋体"/>
          <w:b/>
          <w:bCs w:val="0"/>
          <w:color w:val="auto"/>
          <w:sz w:val="21"/>
          <w:szCs w:val="21"/>
          <w:highlight w:val="none"/>
          <w:u w:val="single"/>
          <w:lang w:val="zh-CN"/>
        </w:rPr>
        <w:t>，将被视为无效</w:t>
      </w:r>
      <w:r>
        <w:rPr>
          <w:rFonts w:hint="eastAsia" w:ascii="宋体" w:hAnsi="宋体" w:cs="宋体"/>
          <w:b/>
          <w:bCs w:val="0"/>
          <w:color w:val="auto"/>
          <w:sz w:val="21"/>
          <w:szCs w:val="21"/>
          <w:highlight w:val="none"/>
          <w:u w:val="single"/>
          <w:lang w:val="en-US" w:eastAsia="zh-CN"/>
        </w:rPr>
        <w:t>响应</w:t>
      </w:r>
      <w:r>
        <w:rPr>
          <w:rFonts w:hint="eastAsia" w:ascii="宋体" w:hAnsi="宋体" w:eastAsia="宋体" w:cs="宋体"/>
          <w:b/>
          <w:bCs w:val="0"/>
          <w:color w:val="auto"/>
          <w:sz w:val="21"/>
          <w:szCs w:val="21"/>
          <w:highlight w:val="none"/>
          <w:lang w:val="zh-CN"/>
        </w:rPr>
        <w:t>。</w:t>
      </w:r>
    </w:p>
    <w:p w14:paraId="5C8F27E7">
      <w:pPr>
        <w:pStyle w:val="107"/>
        <w:keepNext w:val="0"/>
        <w:keepLines w:val="0"/>
        <w:pageBreakBefore w:val="0"/>
        <w:widowControl w:val="0"/>
        <w:kinsoku/>
        <w:wordWrap/>
        <w:overflowPunct/>
        <w:topLinePunct w:val="0"/>
        <w:autoSpaceDE w:val="0"/>
        <w:autoSpaceDN w:val="0"/>
        <w:bidi w:val="0"/>
        <w:adjustRightInd w:val="0"/>
        <w:snapToGrid/>
        <w:spacing w:line="420" w:lineRule="exact"/>
        <w:ind w:left="528" w:leftChars="220"/>
        <w:jc w:val="both"/>
        <w:textAlignment w:val="auto"/>
        <w:rPr>
          <w:rFonts w:hint="eastAsia" w:ascii="宋体" w:hAnsi="宋体" w:eastAsia="宋体" w:cs="宋体"/>
          <w:b/>
          <w:bCs w:val="0"/>
          <w:color w:val="auto"/>
          <w:sz w:val="21"/>
          <w:szCs w:val="21"/>
          <w:highlight w:val="none"/>
          <w:lang w:val="zh-CN" w:eastAsia="zh-CN"/>
        </w:rPr>
      </w:pPr>
      <w:r>
        <w:rPr>
          <w:rFonts w:hint="eastAsia" w:ascii="宋体" w:hAnsi="宋体" w:eastAsia="宋体" w:cs="宋体"/>
          <w:b/>
          <w:bCs w:val="0"/>
          <w:color w:val="auto"/>
          <w:sz w:val="21"/>
          <w:szCs w:val="21"/>
          <w:highlight w:val="none"/>
          <w:u w:val="single"/>
          <w:lang w:val="zh-CN" w:eastAsia="zh-CN"/>
        </w:rPr>
        <w:t>为更快捷将</w:t>
      </w:r>
      <w:r>
        <w:rPr>
          <w:rFonts w:hint="eastAsia" w:ascii="宋体" w:hAnsi="宋体" w:cs="宋体"/>
          <w:b/>
          <w:bCs w:val="0"/>
          <w:color w:val="auto"/>
          <w:sz w:val="21"/>
          <w:szCs w:val="21"/>
          <w:highlight w:val="none"/>
          <w:u w:val="single"/>
          <w:lang w:val="en-US" w:eastAsia="zh-CN"/>
        </w:rPr>
        <w:t>磋商</w:t>
      </w:r>
      <w:r>
        <w:rPr>
          <w:rFonts w:hint="eastAsia" w:ascii="宋体" w:hAnsi="宋体" w:eastAsia="宋体" w:cs="宋体"/>
          <w:b/>
          <w:bCs w:val="0"/>
          <w:color w:val="auto"/>
          <w:sz w:val="21"/>
          <w:szCs w:val="21"/>
          <w:highlight w:val="none"/>
          <w:u w:val="single"/>
          <w:lang w:val="zh-CN" w:eastAsia="zh-CN"/>
        </w:rPr>
        <w:t>保证金关联到本项目，</w:t>
      </w:r>
      <w:r>
        <w:rPr>
          <w:rFonts w:hint="eastAsia" w:ascii="宋体" w:hAnsi="宋体" w:cs="宋体"/>
          <w:b/>
          <w:bCs w:val="0"/>
          <w:color w:val="auto"/>
          <w:sz w:val="21"/>
          <w:szCs w:val="21"/>
          <w:highlight w:val="none"/>
          <w:u w:val="single"/>
          <w:lang w:val="en-US" w:eastAsia="zh-CN"/>
        </w:rPr>
        <w:t>供应商</w:t>
      </w:r>
      <w:r>
        <w:rPr>
          <w:rFonts w:hint="eastAsia" w:ascii="宋体" w:hAnsi="宋体" w:eastAsia="宋体" w:cs="宋体"/>
          <w:b/>
          <w:bCs w:val="0"/>
          <w:color w:val="auto"/>
          <w:sz w:val="21"/>
          <w:szCs w:val="21"/>
          <w:highlight w:val="none"/>
          <w:u w:val="single"/>
          <w:lang w:val="zh-CN" w:eastAsia="zh-CN"/>
        </w:rPr>
        <w:t>应在转账时</w:t>
      </w:r>
      <w:r>
        <w:rPr>
          <w:rFonts w:hint="eastAsia" w:ascii="宋体" w:hAnsi="宋体" w:eastAsia="宋体" w:cs="宋体"/>
          <w:b/>
          <w:bCs w:val="0"/>
          <w:color w:val="auto"/>
          <w:sz w:val="21"/>
          <w:szCs w:val="21"/>
          <w:highlight w:val="none"/>
          <w:u w:val="single"/>
          <w:lang w:val="zh-CN"/>
        </w:rPr>
        <w:t>注明</w:t>
      </w:r>
      <w:r>
        <w:rPr>
          <w:rFonts w:hint="eastAsia" w:ascii="宋体" w:hAnsi="宋体" w:cs="宋体"/>
          <w:b/>
          <w:bCs w:val="0"/>
          <w:color w:val="auto"/>
          <w:sz w:val="21"/>
          <w:szCs w:val="21"/>
          <w:highlight w:val="none"/>
          <w:u w:val="single"/>
          <w:lang w:val="en-US" w:eastAsia="zh-CN"/>
        </w:rPr>
        <w:t>采购</w:t>
      </w:r>
      <w:r>
        <w:rPr>
          <w:rFonts w:hint="eastAsia" w:ascii="宋体" w:hAnsi="宋体" w:eastAsia="宋体" w:cs="宋体"/>
          <w:b/>
          <w:bCs w:val="0"/>
          <w:color w:val="auto"/>
          <w:sz w:val="21"/>
          <w:szCs w:val="21"/>
          <w:highlight w:val="none"/>
          <w:u w:val="single"/>
          <w:lang w:val="zh-CN"/>
        </w:rPr>
        <w:t>编号</w:t>
      </w:r>
      <w:r>
        <w:rPr>
          <w:rFonts w:hint="eastAsia" w:ascii="宋体" w:hAnsi="宋体" w:eastAsia="宋体" w:cs="宋体"/>
          <w:b/>
          <w:bCs w:val="0"/>
          <w:color w:val="auto"/>
          <w:sz w:val="21"/>
          <w:szCs w:val="21"/>
          <w:highlight w:val="none"/>
          <w:u w:val="single"/>
          <w:lang w:val="zh-CN" w:eastAsia="zh-CN"/>
        </w:rPr>
        <w:t>，否则因此导致的无法识别</w:t>
      </w:r>
      <w:r>
        <w:rPr>
          <w:rFonts w:hint="eastAsia" w:ascii="宋体" w:hAnsi="宋体" w:cs="宋体"/>
          <w:b/>
          <w:bCs w:val="0"/>
          <w:color w:val="auto"/>
          <w:sz w:val="21"/>
          <w:szCs w:val="21"/>
          <w:highlight w:val="none"/>
          <w:u w:val="single"/>
          <w:lang w:val="en-US" w:eastAsia="zh-CN"/>
        </w:rPr>
        <w:t>磋商</w:t>
      </w:r>
      <w:r>
        <w:rPr>
          <w:rFonts w:hint="eastAsia" w:ascii="宋体" w:hAnsi="宋体" w:eastAsia="宋体" w:cs="宋体"/>
          <w:b/>
          <w:bCs w:val="0"/>
          <w:color w:val="auto"/>
          <w:sz w:val="21"/>
          <w:szCs w:val="21"/>
          <w:highlight w:val="none"/>
          <w:u w:val="single"/>
          <w:lang w:val="zh-CN" w:eastAsia="zh-CN"/>
        </w:rPr>
        <w:t>保证金对应项目等不利后果将由</w:t>
      </w:r>
      <w:r>
        <w:rPr>
          <w:rFonts w:hint="eastAsia" w:ascii="宋体" w:hAnsi="宋体" w:cs="宋体"/>
          <w:b/>
          <w:bCs w:val="0"/>
          <w:color w:val="auto"/>
          <w:sz w:val="21"/>
          <w:szCs w:val="21"/>
          <w:highlight w:val="none"/>
          <w:u w:val="single"/>
          <w:lang w:val="zh-CN" w:eastAsia="zh-CN"/>
        </w:rPr>
        <w:t>供应商</w:t>
      </w:r>
      <w:r>
        <w:rPr>
          <w:rFonts w:hint="eastAsia" w:ascii="宋体" w:hAnsi="宋体" w:eastAsia="宋体" w:cs="宋体"/>
          <w:b/>
          <w:bCs w:val="0"/>
          <w:color w:val="auto"/>
          <w:sz w:val="21"/>
          <w:szCs w:val="21"/>
          <w:highlight w:val="none"/>
          <w:u w:val="single"/>
          <w:lang w:val="zh-CN" w:eastAsia="zh-CN"/>
        </w:rPr>
        <w:t>承担</w:t>
      </w:r>
      <w:r>
        <w:rPr>
          <w:rFonts w:hint="eastAsia" w:ascii="宋体" w:hAnsi="宋体" w:eastAsia="宋体" w:cs="宋体"/>
          <w:b/>
          <w:bCs w:val="0"/>
          <w:color w:val="auto"/>
          <w:sz w:val="21"/>
          <w:szCs w:val="21"/>
          <w:highlight w:val="none"/>
          <w:lang w:val="zh-CN" w:eastAsia="zh-CN"/>
        </w:rPr>
        <w:t>。</w:t>
      </w:r>
    </w:p>
    <w:p w14:paraId="5A5F6A13">
      <w:pPr>
        <w:pStyle w:val="107"/>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15.5 未</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zh-CN"/>
        </w:rPr>
        <w:t>的</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rPr>
        <w:t>的</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lang w:val="zh-CN"/>
        </w:rPr>
        <w:t>保证金，</w:t>
      </w:r>
      <w:r>
        <w:rPr>
          <w:rFonts w:hint="eastAsia" w:ascii="宋体" w:hAnsi="宋体" w:eastAsia="宋体" w:cs="宋体"/>
          <w:color w:val="auto"/>
          <w:sz w:val="21"/>
          <w:szCs w:val="21"/>
          <w:highlight w:val="none"/>
          <w:lang w:val="zh-CN" w:eastAsia="zh-CN"/>
        </w:rPr>
        <w:t>最迟应</w:t>
      </w:r>
      <w:r>
        <w:rPr>
          <w:rFonts w:hint="eastAsia" w:ascii="宋体" w:hAnsi="宋体" w:eastAsia="宋体" w:cs="宋体"/>
          <w:color w:val="auto"/>
          <w:sz w:val="21"/>
          <w:szCs w:val="21"/>
          <w:highlight w:val="none"/>
          <w:lang w:val="zh-CN"/>
        </w:rPr>
        <w:t>在本项目的书面合同签订后5日内，按照其</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lang w:val="zh-CN"/>
        </w:rPr>
        <w:t>保证金</w:t>
      </w:r>
    </w:p>
    <w:p w14:paraId="31DD484D">
      <w:pPr>
        <w:pStyle w:val="107"/>
        <w:keepNext w:val="0"/>
        <w:keepLines w:val="0"/>
        <w:pageBreakBefore w:val="0"/>
        <w:widowControl w:val="0"/>
        <w:kinsoku/>
        <w:wordWrap/>
        <w:overflowPunct/>
        <w:topLinePunct w:val="0"/>
        <w:autoSpaceDE w:val="0"/>
        <w:autoSpaceDN w:val="0"/>
        <w:bidi w:val="0"/>
        <w:adjustRightInd w:val="0"/>
        <w:snapToGrid/>
        <w:spacing w:line="440" w:lineRule="exact"/>
        <w:ind w:left="528" w:leftChars="22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支付凭证上注明的收款人名称和账号予以退还，除非</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lang w:val="zh-CN"/>
        </w:rPr>
        <w:t>保证金有效期已延长。</w:t>
      </w:r>
    </w:p>
    <w:p w14:paraId="39B8E5AF">
      <w:pPr>
        <w:pStyle w:val="107"/>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15.6 </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zh-CN"/>
        </w:rPr>
        <w:t>人的</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lang w:val="zh-CN"/>
        </w:rPr>
        <w:t>保证金，满足下列要求，并</w:t>
      </w:r>
      <w:r>
        <w:rPr>
          <w:rFonts w:hint="eastAsia" w:ascii="宋体" w:hAnsi="宋体" w:eastAsia="宋体" w:cs="宋体"/>
          <w:color w:val="auto"/>
          <w:sz w:val="21"/>
          <w:szCs w:val="21"/>
          <w:highlight w:val="none"/>
          <w:lang w:val="zh-CN" w:eastAsia="zh-CN"/>
        </w:rPr>
        <w:t>最迟应</w:t>
      </w:r>
      <w:r>
        <w:rPr>
          <w:rFonts w:hint="eastAsia" w:ascii="宋体" w:hAnsi="宋体" w:eastAsia="宋体" w:cs="宋体"/>
          <w:color w:val="auto"/>
          <w:sz w:val="21"/>
          <w:szCs w:val="21"/>
          <w:highlight w:val="none"/>
          <w:lang w:val="zh-CN"/>
        </w:rPr>
        <w:t>在</w:t>
      </w:r>
      <w:r>
        <w:rPr>
          <w:rFonts w:hint="eastAsia" w:ascii="宋体" w:hAnsi="宋体" w:eastAsia="宋体" w:cs="宋体"/>
          <w:color w:val="auto"/>
          <w:sz w:val="21"/>
          <w:szCs w:val="21"/>
          <w:highlight w:val="none"/>
          <w:lang w:val="zh-CN" w:eastAsia="zh-CN"/>
        </w:rPr>
        <w:t>本项目的书面</w:t>
      </w:r>
      <w:r>
        <w:rPr>
          <w:rFonts w:hint="eastAsia" w:ascii="宋体" w:hAnsi="宋体" w:eastAsia="宋体" w:cs="宋体"/>
          <w:color w:val="auto"/>
          <w:sz w:val="21"/>
          <w:szCs w:val="21"/>
          <w:highlight w:val="none"/>
          <w:lang w:val="zh-CN"/>
        </w:rPr>
        <w:t>合同签订后5日内退还。</w:t>
      </w:r>
    </w:p>
    <w:p w14:paraId="77FC2384">
      <w:pPr>
        <w:pStyle w:val="107"/>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zh-CN"/>
        </w:rPr>
        <w:t>人提交了履约担保；</w:t>
      </w:r>
    </w:p>
    <w:p w14:paraId="5DE7C6BD">
      <w:pPr>
        <w:pStyle w:val="107"/>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（2）在</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lang w:val="zh-CN"/>
        </w:rPr>
        <w:t>过程中不存在违反本</w:t>
      </w:r>
      <w:r>
        <w:rPr>
          <w:rFonts w:hint="eastAsia" w:ascii="宋体" w:hAnsi="宋体" w:cs="宋体"/>
          <w:color w:val="auto"/>
          <w:sz w:val="21"/>
          <w:szCs w:val="21"/>
          <w:highlight w:val="none"/>
          <w:lang w:val="en-US" w:eastAsia="zh-CN"/>
        </w:rPr>
        <w:t>竞争性磋商</w:t>
      </w:r>
      <w:r>
        <w:rPr>
          <w:rFonts w:hint="eastAsia" w:ascii="宋体" w:hAnsi="宋体" w:eastAsia="宋体" w:cs="宋体"/>
          <w:color w:val="auto"/>
          <w:sz w:val="21"/>
          <w:szCs w:val="21"/>
          <w:highlight w:val="none"/>
          <w:lang w:val="zh-CN"/>
        </w:rPr>
        <w:t>文件</w:t>
      </w:r>
      <w:r>
        <w:rPr>
          <w:rFonts w:hint="eastAsia" w:ascii="宋体" w:hAnsi="宋体" w:cs="宋体"/>
          <w:color w:val="auto"/>
          <w:sz w:val="21"/>
          <w:szCs w:val="21"/>
          <w:highlight w:val="none"/>
          <w:lang w:val="en-US" w:eastAsia="zh-CN"/>
        </w:rPr>
        <w:t>或</w:t>
      </w:r>
      <w:r>
        <w:rPr>
          <w:rFonts w:hint="eastAsia" w:ascii="宋体" w:hAnsi="宋体" w:eastAsia="宋体" w:cs="宋体"/>
          <w:color w:val="auto"/>
          <w:sz w:val="21"/>
          <w:szCs w:val="21"/>
          <w:highlight w:val="none"/>
          <w:lang w:val="zh-CN"/>
        </w:rPr>
        <w:t>有关法律、法规、规章相关规定的行为。</w:t>
      </w:r>
    </w:p>
    <w:p w14:paraId="2F9BE1CA">
      <w:pPr>
        <w:pStyle w:val="107"/>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15.7 若发生下列情况，</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lang w:val="zh-CN"/>
        </w:rPr>
        <w:t>人在书面通知</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rPr>
        <w:t>（或</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zh-CN"/>
        </w:rPr>
        <w:t>人）后有权不予退还</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lang w:val="zh-CN"/>
        </w:rPr>
        <w:t>保证金：</w:t>
      </w:r>
    </w:p>
    <w:p w14:paraId="0A42939D">
      <w:pPr>
        <w:pStyle w:val="107"/>
        <w:keepNext w:val="0"/>
        <w:keepLines w:val="0"/>
        <w:pageBreakBefore w:val="0"/>
        <w:widowControl w:val="0"/>
        <w:kinsoku/>
        <w:wordWrap/>
        <w:overflowPunct/>
        <w:topLinePunct w:val="0"/>
        <w:autoSpaceDE w:val="0"/>
        <w:autoSpaceDN w:val="0"/>
        <w:bidi w:val="0"/>
        <w:adjustRightInd w:val="0"/>
        <w:snapToGrid/>
        <w:spacing w:line="440" w:lineRule="exact"/>
        <w:ind w:left="528" w:leftChars="22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如果</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rPr>
        <w:t>（或</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zh-CN"/>
        </w:rPr>
        <w:t>人）：</w:t>
      </w:r>
    </w:p>
    <w:p w14:paraId="70267EC5">
      <w:pPr>
        <w:pStyle w:val="107"/>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rPr>
        <w:t>在规定的</w:t>
      </w:r>
      <w:r>
        <w:rPr>
          <w:rFonts w:hint="eastAsia" w:ascii="宋体" w:hAnsi="宋体" w:cs="宋体"/>
          <w:color w:val="auto"/>
          <w:sz w:val="21"/>
          <w:szCs w:val="21"/>
          <w:highlight w:val="none"/>
          <w:lang w:val="en-US" w:eastAsia="zh-CN"/>
        </w:rPr>
        <w:t>递交响应文件</w:t>
      </w:r>
      <w:r>
        <w:rPr>
          <w:rFonts w:hint="eastAsia" w:ascii="宋体" w:hAnsi="宋体" w:eastAsia="宋体" w:cs="宋体"/>
          <w:color w:val="auto"/>
          <w:sz w:val="21"/>
          <w:szCs w:val="21"/>
          <w:highlight w:val="none"/>
          <w:lang w:val="zh-CN"/>
        </w:rPr>
        <w:t>截止时间后至</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zh-CN"/>
        </w:rPr>
        <w:t>有效期满之前撤销或修改其</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zh-CN"/>
        </w:rPr>
        <w:t>文件；</w:t>
      </w:r>
    </w:p>
    <w:p w14:paraId="45E7DE8D">
      <w:pPr>
        <w:pStyle w:val="107"/>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zh-CN"/>
        </w:rPr>
        <w:t>人未能在规定期限内提交履约担保；</w:t>
      </w:r>
    </w:p>
    <w:p w14:paraId="0FB58388">
      <w:pPr>
        <w:pStyle w:val="107"/>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（3）未根据第34条规定签署合同；</w:t>
      </w:r>
    </w:p>
    <w:p w14:paraId="4611CA91">
      <w:pPr>
        <w:pStyle w:val="107"/>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（4）将</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zh-CN"/>
        </w:rPr>
        <w:t>项目转让给他人，或者在</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zh-CN"/>
        </w:rPr>
        <w:t>文件中未说明，且未经</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lang w:val="zh-CN"/>
        </w:rPr>
        <w:t>人同意，将</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zh-CN"/>
        </w:rPr>
        <w:t>项目的合同的</w:t>
      </w:r>
    </w:p>
    <w:p w14:paraId="712938B7">
      <w:pPr>
        <w:pStyle w:val="107"/>
        <w:keepNext w:val="0"/>
        <w:keepLines w:val="0"/>
        <w:pageBreakBefore w:val="0"/>
        <w:widowControl w:val="0"/>
        <w:kinsoku/>
        <w:wordWrap/>
        <w:overflowPunct/>
        <w:topLinePunct w:val="0"/>
        <w:autoSpaceDE w:val="0"/>
        <w:autoSpaceDN w:val="0"/>
        <w:bidi w:val="0"/>
        <w:adjustRightInd w:val="0"/>
        <w:snapToGrid/>
        <w:spacing w:line="440" w:lineRule="exact"/>
        <w:ind w:left="528" w:leftChars="22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权利义务转让给第三方的；</w:t>
      </w:r>
    </w:p>
    <w:p w14:paraId="4F089C23">
      <w:pPr>
        <w:pStyle w:val="107"/>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（5）提供虚假</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zh-CN"/>
        </w:rPr>
        <w:t>文件或虚假补充文件的，或违反有关法律、法规、规章相关规定的行为。</w:t>
      </w:r>
    </w:p>
    <w:p w14:paraId="64666986">
      <w:pPr>
        <w:pStyle w:val="107"/>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eastAsia" w:ascii="宋体" w:hAnsi="宋体" w:eastAsia="宋体" w:cs="宋体"/>
          <w:color w:val="auto"/>
          <w:highlight w:val="none"/>
          <w:lang w:val="zh-CN"/>
        </w:rPr>
      </w:pPr>
    </w:p>
    <w:p w14:paraId="56C61F86">
      <w:pPr>
        <w:keepNext w:val="0"/>
        <w:keepLines w:val="0"/>
        <w:pageBreakBefore w:val="0"/>
        <w:widowControl w:val="0"/>
        <w:tabs>
          <w:tab w:val="left" w:pos="567"/>
        </w:tabs>
        <w:kinsoku/>
        <w:wordWrap/>
        <w:overflowPunct/>
        <w:topLinePunct w:val="0"/>
        <w:autoSpaceDE w:val="0"/>
        <w:autoSpaceDN w:val="0"/>
        <w:bidi w:val="0"/>
        <w:adjustRightInd w:val="0"/>
        <w:snapToGrid/>
        <w:spacing w:line="440" w:lineRule="exact"/>
        <w:ind w:left="567" w:hanging="567"/>
        <w:jc w:val="both"/>
        <w:textAlignment w:val="auto"/>
        <w:outlineLvl w:val="2"/>
        <w:rPr>
          <w:rFonts w:hint="eastAsia" w:ascii="宋体" w:hAnsi="宋体" w:eastAsia="宋体" w:cs="宋体"/>
          <w:color w:val="auto"/>
          <w:kern w:val="2"/>
          <w:sz w:val="21"/>
          <w:szCs w:val="21"/>
          <w:highlight w:val="none"/>
          <w:lang w:val="zh-CN"/>
        </w:rPr>
      </w:pPr>
      <w:bookmarkStart w:id="77" w:name="_Toc7692"/>
      <w:r>
        <w:rPr>
          <w:rFonts w:hint="eastAsia" w:ascii="宋体" w:hAnsi="宋体" w:eastAsia="宋体" w:cs="宋体"/>
          <w:color w:val="auto"/>
          <w:kern w:val="2"/>
          <w:sz w:val="21"/>
          <w:szCs w:val="21"/>
          <w:highlight w:val="none"/>
          <w:lang w:val="zh-CN"/>
        </w:rPr>
        <w:t>16</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有效期</w:t>
      </w:r>
      <w:bookmarkEnd w:id="75"/>
      <w:bookmarkEnd w:id="76"/>
      <w:bookmarkEnd w:id="77"/>
    </w:p>
    <w:p w14:paraId="750E7E5A">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b/>
          <w:bCs/>
          <w:color w:val="auto"/>
          <w:kern w:val="2"/>
          <w:sz w:val="21"/>
          <w:szCs w:val="21"/>
          <w:highlight w:val="none"/>
          <w:lang w:val="zh-CN"/>
        </w:rPr>
      </w:pPr>
      <w:r>
        <w:rPr>
          <w:rFonts w:hint="eastAsia" w:ascii="宋体" w:hAnsi="宋体" w:eastAsia="宋体" w:cs="宋体"/>
          <w:color w:val="auto"/>
          <w:kern w:val="2"/>
          <w:sz w:val="21"/>
          <w:szCs w:val="21"/>
          <w:highlight w:val="none"/>
          <w:lang w:val="zh-CN"/>
        </w:rPr>
        <w:t>16.1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u w:val="single"/>
          <w:lang w:val="zh-CN"/>
        </w:rPr>
        <w:t>响应文件将在递交响应文件截止时间届满后90日内有效。</w:t>
      </w:r>
      <w:r>
        <w:rPr>
          <w:rFonts w:hint="eastAsia" w:ascii="宋体" w:hAnsi="宋体" w:eastAsia="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有效期比规定时间短的</w:t>
      </w:r>
      <w:r>
        <w:rPr>
          <w:rFonts w:hint="eastAsia" w:ascii="宋体" w:hAnsi="宋体" w:cs="宋体"/>
          <w:b/>
          <w:bCs/>
          <w:color w:val="auto"/>
          <w:kern w:val="2"/>
          <w:sz w:val="21"/>
          <w:szCs w:val="21"/>
          <w:highlight w:val="none"/>
          <w:u w:val="single"/>
          <w:lang w:val="en-US" w:eastAsia="zh-CN"/>
        </w:rPr>
        <w:t>按无效响应文件处理</w:t>
      </w:r>
      <w:r>
        <w:rPr>
          <w:rFonts w:hint="eastAsia" w:ascii="宋体" w:hAnsi="宋体" w:eastAsia="宋体" w:cs="宋体"/>
          <w:b/>
          <w:bCs/>
          <w:color w:val="auto"/>
          <w:kern w:val="2"/>
          <w:sz w:val="21"/>
          <w:szCs w:val="21"/>
          <w:highlight w:val="none"/>
          <w:lang w:val="zh-CN"/>
        </w:rPr>
        <w:t>。</w:t>
      </w:r>
    </w:p>
    <w:p w14:paraId="24563F90">
      <w:pPr>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16.2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成交人的响应文件作为合同附件，合同失效时同时失效。</w:t>
      </w:r>
    </w:p>
    <w:p w14:paraId="0D430A24">
      <w:pPr>
        <w:keepNext w:val="0"/>
        <w:keepLines w:val="0"/>
        <w:pageBreakBefore w:val="0"/>
        <w:widowControl w:val="0"/>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16.3</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在特殊情况下，采购代理机构可于</w:t>
      </w:r>
      <w:r>
        <w:rPr>
          <w:rFonts w:hint="eastAsia" w:ascii="宋体" w:hAnsi="宋体" w:eastAsia="宋体" w:cs="宋体"/>
          <w:color w:val="auto"/>
          <w:kern w:val="2"/>
          <w:sz w:val="21"/>
          <w:szCs w:val="21"/>
          <w:highlight w:val="none"/>
          <w:lang w:val="en-US" w:eastAsia="zh-CN"/>
        </w:rPr>
        <w:t>响应文件</w:t>
      </w:r>
      <w:r>
        <w:rPr>
          <w:rFonts w:hint="eastAsia" w:ascii="宋体" w:hAnsi="宋体" w:eastAsia="宋体" w:cs="宋体"/>
          <w:color w:val="auto"/>
          <w:kern w:val="2"/>
          <w:sz w:val="21"/>
          <w:szCs w:val="21"/>
          <w:highlight w:val="none"/>
          <w:lang w:val="zh-CN"/>
        </w:rPr>
        <w:t>有效期满之前要求供应商同意延长</w:t>
      </w:r>
      <w:r>
        <w:rPr>
          <w:rFonts w:hint="eastAsia" w:ascii="宋体" w:hAnsi="宋体" w:eastAsia="宋体" w:cs="宋体"/>
          <w:color w:val="auto"/>
          <w:kern w:val="2"/>
          <w:sz w:val="21"/>
          <w:szCs w:val="21"/>
          <w:highlight w:val="none"/>
          <w:lang w:val="en-US" w:eastAsia="zh-CN"/>
        </w:rPr>
        <w:t>响应文件</w:t>
      </w:r>
      <w:r>
        <w:rPr>
          <w:rFonts w:hint="eastAsia" w:ascii="宋体" w:hAnsi="宋体" w:eastAsia="宋体" w:cs="宋体"/>
          <w:color w:val="auto"/>
          <w:kern w:val="2"/>
          <w:sz w:val="21"/>
          <w:szCs w:val="21"/>
          <w:highlight w:val="none"/>
          <w:lang w:val="zh-CN"/>
        </w:rPr>
        <w:t>有效期。要求与答复均应为书面形式往来。供应商可以拒绝上述要求</w:t>
      </w:r>
      <w:r>
        <w:rPr>
          <w:rFonts w:hint="eastAsia" w:ascii="宋体" w:hAnsi="宋体" w:cs="宋体"/>
          <w:color w:val="auto"/>
          <w:kern w:val="2"/>
          <w:sz w:val="21"/>
          <w:szCs w:val="21"/>
          <w:highlight w:val="none"/>
          <w:lang w:val="zh-CN"/>
        </w:rPr>
        <w:t>，</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人将退还其</w:t>
      </w:r>
      <w:r>
        <w:rPr>
          <w:rFonts w:hint="eastAsia" w:ascii="宋体" w:hAnsi="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保证金。对于同意该要求的</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，既不要求也不允许其修改</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文件，但将要求其相应延长</w:t>
      </w:r>
      <w:r>
        <w:rPr>
          <w:rFonts w:hint="eastAsia" w:ascii="宋体" w:hAnsi="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保证金的有效期。第15条</w:t>
      </w:r>
      <w:r>
        <w:rPr>
          <w:rFonts w:hint="eastAsia" w:ascii="宋体" w:hAnsi="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保证金的有关规定在</w:t>
      </w:r>
      <w:r>
        <w:rPr>
          <w:rFonts w:hint="eastAsia" w:ascii="宋体" w:hAnsi="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保证金延长期内仍适用。</w:t>
      </w:r>
    </w:p>
    <w:p w14:paraId="55660015">
      <w:pPr>
        <w:spacing w:line="360" w:lineRule="auto"/>
        <w:ind w:left="567" w:hanging="567"/>
        <w:jc w:val="both"/>
        <w:rPr>
          <w:rFonts w:hint="eastAsia" w:ascii="宋体" w:hAnsi="宋体" w:eastAsia="宋体" w:cs="宋体"/>
          <w:color w:val="auto"/>
          <w:kern w:val="2"/>
          <w:sz w:val="21"/>
          <w:szCs w:val="21"/>
          <w:highlight w:val="none"/>
          <w:lang w:val="zh-CN"/>
        </w:rPr>
      </w:pPr>
    </w:p>
    <w:p w14:paraId="05034B37">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78" w:name="_Toc521918084"/>
      <w:bookmarkStart w:id="79" w:name="_Toc450662866"/>
      <w:bookmarkStart w:id="80" w:name="_Toc25421"/>
      <w:r>
        <w:rPr>
          <w:rFonts w:hint="eastAsia" w:ascii="宋体" w:hAnsi="宋体" w:eastAsia="宋体" w:cs="宋体"/>
          <w:color w:val="auto"/>
          <w:kern w:val="2"/>
          <w:sz w:val="21"/>
          <w:szCs w:val="21"/>
          <w:highlight w:val="none"/>
          <w:lang w:val="zh-CN"/>
        </w:rPr>
        <w:t>17</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响应文件的式样和签署</w:t>
      </w:r>
      <w:bookmarkEnd w:id="78"/>
      <w:bookmarkEnd w:id="79"/>
      <w:bookmarkEnd w:id="80"/>
    </w:p>
    <w:p w14:paraId="58146BE1">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17.1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b/>
          <w:color w:val="auto"/>
          <w:kern w:val="2"/>
          <w:sz w:val="21"/>
          <w:szCs w:val="21"/>
          <w:highlight w:val="none"/>
          <w:u w:val="single"/>
          <w:lang w:val="zh-CN"/>
        </w:rPr>
        <w:t>供应商应准备一份响应文件电子文件、一份正本和</w:t>
      </w:r>
      <w:r>
        <w:rPr>
          <w:rFonts w:hint="eastAsia" w:ascii="宋体" w:hAnsi="宋体" w:cs="宋体"/>
          <w:b/>
          <w:color w:val="auto"/>
          <w:kern w:val="2"/>
          <w:sz w:val="21"/>
          <w:szCs w:val="21"/>
          <w:highlight w:val="none"/>
          <w:u w:val="single"/>
          <w:lang w:val="en-US" w:eastAsia="zh-CN"/>
        </w:rPr>
        <w:t>五</w:t>
      </w:r>
      <w:r>
        <w:rPr>
          <w:rFonts w:hint="eastAsia" w:ascii="宋体" w:hAnsi="宋体" w:eastAsia="宋体" w:cs="宋体"/>
          <w:b/>
          <w:color w:val="auto"/>
          <w:kern w:val="2"/>
          <w:sz w:val="21"/>
          <w:szCs w:val="21"/>
          <w:highlight w:val="none"/>
          <w:u w:val="single"/>
          <w:lang w:val="zh-CN"/>
        </w:rPr>
        <w:t>份副本“响应文件”</w:t>
      </w:r>
      <w:r>
        <w:rPr>
          <w:rFonts w:hint="eastAsia" w:ascii="宋体" w:hAnsi="宋体" w:eastAsia="宋体" w:cs="宋体"/>
          <w:color w:val="auto"/>
          <w:kern w:val="2"/>
          <w:sz w:val="21"/>
          <w:szCs w:val="21"/>
          <w:highlight w:val="none"/>
          <w:lang w:val="zh-CN"/>
        </w:rPr>
        <w:t>。在每一份响应文件上编上目录（目录内的页码必须与实际内容对应）、页次，装订成册（不允许使用活页夹），并要明确注明 “正本”或“副本”，一旦正本和副本发现差异，以正本为准。</w:t>
      </w:r>
    </w:p>
    <w:p w14:paraId="2A6970E8">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17.2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lang w:val="zh-CN"/>
        </w:rPr>
        <w:t>响应文件正本和副本须打印或用不褪色墨水书写，竞争性磋商文件提供的格式文件或响应文件中</w:t>
      </w:r>
      <w:r>
        <w:rPr>
          <w:rFonts w:hint="eastAsia" w:ascii="宋体" w:hAnsi="宋体" w:eastAsia="宋体" w:cs="宋体"/>
          <w:color w:val="auto"/>
          <w:kern w:val="2"/>
          <w:sz w:val="21"/>
          <w:szCs w:val="21"/>
          <w:highlight w:val="none"/>
          <w:lang w:val="zh-CN"/>
        </w:rPr>
        <w:t>明确要求签署的，</w:t>
      </w:r>
      <w:r>
        <w:rPr>
          <w:rFonts w:hint="eastAsia" w:ascii="宋体" w:hAnsi="宋体" w:cs="宋体"/>
          <w:color w:val="auto"/>
          <w:kern w:val="2"/>
          <w:sz w:val="21"/>
          <w:szCs w:val="21"/>
          <w:highlight w:val="none"/>
          <w:lang w:val="en-US" w:eastAsia="zh-CN"/>
        </w:rPr>
        <w:t>由供应商法定代表人或其授权代表签字（或盖私章），后者须将“法定代表人授权书”以书面形式附在响应文件中。副本文件可由正本文件复印而成。</w:t>
      </w:r>
    </w:p>
    <w:p w14:paraId="10D92A93">
      <w:pPr>
        <w:keepNext w:val="0"/>
        <w:keepLines w:val="0"/>
        <w:pageBreakBefore w:val="0"/>
        <w:widowControl w:val="0"/>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bCs/>
          <w:color w:val="auto"/>
          <w:kern w:val="2"/>
          <w:sz w:val="21"/>
          <w:szCs w:val="21"/>
          <w:highlight w:val="none"/>
          <w:lang w:val="zh-CN"/>
        </w:rPr>
      </w:pPr>
      <w:r>
        <w:rPr>
          <w:rFonts w:hint="eastAsia" w:ascii="宋体" w:hAnsi="宋体" w:eastAsia="宋体" w:cs="宋体"/>
          <w:color w:val="auto"/>
          <w:kern w:val="2"/>
          <w:sz w:val="21"/>
          <w:szCs w:val="21"/>
          <w:highlight w:val="none"/>
          <w:lang w:val="zh-CN"/>
        </w:rPr>
        <w:t>17.3</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除供应商对错处作必要修改外，响应文件中不许有加行、涂抹或改写。</w:t>
      </w:r>
      <w:r>
        <w:rPr>
          <w:rFonts w:hint="eastAsia" w:ascii="宋体" w:hAnsi="宋体" w:eastAsia="宋体" w:cs="宋体"/>
          <w:bCs/>
          <w:color w:val="auto"/>
          <w:kern w:val="2"/>
          <w:sz w:val="21"/>
          <w:szCs w:val="21"/>
          <w:highlight w:val="none"/>
          <w:lang w:val="zh-CN"/>
        </w:rPr>
        <w:t>若有修改须由签署响应文件的人进行签字（或盖私章），并加盖供应商法人公章。</w:t>
      </w:r>
    </w:p>
    <w:p w14:paraId="76C09B39">
      <w:pPr>
        <w:keepNext w:val="0"/>
        <w:keepLines w:val="0"/>
        <w:pageBreakBefore w:val="0"/>
        <w:widowControl w:val="0"/>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b/>
          <w:bCs/>
          <w:color w:val="auto"/>
          <w:kern w:val="2"/>
          <w:sz w:val="21"/>
          <w:szCs w:val="21"/>
          <w:highlight w:val="none"/>
          <w:u w:val="single"/>
          <w:lang w:val="zh-CN"/>
        </w:rPr>
      </w:pPr>
      <w:r>
        <w:rPr>
          <w:rFonts w:hint="eastAsia" w:ascii="宋体" w:hAnsi="宋体" w:eastAsia="宋体" w:cs="宋体"/>
          <w:color w:val="auto"/>
          <w:kern w:val="2"/>
          <w:sz w:val="21"/>
          <w:szCs w:val="21"/>
          <w:highlight w:val="none"/>
          <w:lang w:val="zh-CN"/>
        </w:rPr>
        <w:t>17.4 响应文件的封面应注明“项目名称、采购编号、</w:t>
      </w:r>
      <w:r>
        <w:rPr>
          <w:rFonts w:hint="eastAsia" w:ascii="宋体" w:hAnsi="宋体" w:cs="宋体"/>
          <w:color w:val="auto"/>
          <w:kern w:val="2"/>
          <w:sz w:val="21"/>
          <w:szCs w:val="21"/>
          <w:highlight w:val="none"/>
          <w:lang w:val="en-US" w:eastAsia="zh-CN"/>
        </w:rPr>
        <w:t>包组号、</w:t>
      </w:r>
      <w:r>
        <w:rPr>
          <w:rFonts w:hint="eastAsia" w:ascii="宋体" w:hAnsi="宋体" w:eastAsia="宋体" w:cs="宋体"/>
          <w:color w:val="auto"/>
          <w:kern w:val="2"/>
          <w:sz w:val="21"/>
          <w:szCs w:val="21"/>
          <w:highlight w:val="none"/>
          <w:lang w:val="zh-CN"/>
        </w:rPr>
        <w:t>供应商名称、</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日期等”。</w:t>
      </w:r>
    </w:p>
    <w:p w14:paraId="53ADCCE4">
      <w:pPr>
        <w:keepNext w:val="0"/>
        <w:keepLines w:val="0"/>
        <w:pageBreakBefore w:val="0"/>
        <w:widowControl w:val="0"/>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b w:val="0"/>
          <w:bCs w:val="0"/>
          <w:color w:val="auto"/>
          <w:kern w:val="2"/>
          <w:sz w:val="21"/>
          <w:szCs w:val="21"/>
          <w:highlight w:val="none"/>
          <w:lang w:val="zh-CN"/>
        </w:rPr>
      </w:pPr>
      <w:r>
        <w:rPr>
          <w:rFonts w:hint="eastAsia" w:ascii="宋体" w:hAnsi="宋体" w:eastAsia="宋体" w:cs="宋体"/>
          <w:color w:val="auto"/>
          <w:kern w:val="2"/>
          <w:sz w:val="21"/>
          <w:szCs w:val="21"/>
          <w:highlight w:val="none"/>
          <w:lang w:val="zh-CN"/>
        </w:rPr>
        <w:t>17.5</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b w:val="0"/>
          <w:bCs w:val="0"/>
          <w:color w:val="auto"/>
          <w:kern w:val="2"/>
          <w:sz w:val="21"/>
          <w:szCs w:val="21"/>
          <w:highlight w:val="none"/>
          <w:u w:val="none"/>
          <w:lang w:val="zh-CN"/>
        </w:rPr>
        <w:t>电子文件：电子文件不可设置密码，用DVD或CD-R光盘</w:t>
      </w:r>
      <w:r>
        <w:rPr>
          <w:rFonts w:hint="eastAsia" w:ascii="宋体" w:hAnsi="宋体" w:eastAsia="宋体" w:cs="宋体"/>
          <w:b w:val="0"/>
          <w:bCs w:val="0"/>
          <w:color w:val="auto"/>
          <w:kern w:val="2"/>
          <w:sz w:val="21"/>
          <w:szCs w:val="21"/>
          <w:highlight w:val="none"/>
          <w:u w:val="none"/>
          <w:lang w:val="en-US" w:eastAsia="zh-CN"/>
        </w:rPr>
        <w:t>或U盘</w:t>
      </w:r>
      <w:r>
        <w:rPr>
          <w:rFonts w:hint="eastAsia" w:ascii="宋体" w:hAnsi="宋体" w:eastAsia="宋体" w:cs="宋体"/>
          <w:b w:val="0"/>
          <w:bCs w:val="0"/>
          <w:color w:val="auto"/>
          <w:kern w:val="2"/>
          <w:sz w:val="21"/>
          <w:szCs w:val="21"/>
          <w:highlight w:val="none"/>
          <w:u w:val="none"/>
          <w:lang w:val="zh-CN"/>
        </w:rPr>
        <w:t>储存 ，并</w:t>
      </w:r>
      <w:r>
        <w:rPr>
          <w:rFonts w:hint="eastAsia" w:ascii="宋体" w:hAnsi="宋体" w:eastAsia="宋体" w:cs="宋体"/>
          <w:b w:val="0"/>
          <w:bCs w:val="0"/>
          <w:color w:val="auto"/>
          <w:kern w:val="2"/>
          <w:sz w:val="21"/>
          <w:szCs w:val="21"/>
          <w:highlight w:val="none"/>
          <w:u w:val="none"/>
          <w:lang w:val="en-US" w:eastAsia="zh-CN"/>
        </w:rPr>
        <w:t>独立</w:t>
      </w:r>
      <w:r>
        <w:rPr>
          <w:rFonts w:hint="eastAsia" w:ascii="宋体" w:hAnsi="宋体" w:eastAsia="宋体" w:cs="宋体"/>
          <w:b w:val="0"/>
          <w:bCs w:val="0"/>
          <w:color w:val="auto"/>
          <w:kern w:val="2"/>
          <w:sz w:val="21"/>
          <w:szCs w:val="21"/>
          <w:highlight w:val="none"/>
          <w:u w:val="none"/>
          <w:lang w:val="zh-CN"/>
        </w:rPr>
        <w:t>密封（电子文件的包装封面需注明项目名称、采购编号、</w:t>
      </w:r>
      <w:r>
        <w:rPr>
          <w:rFonts w:hint="eastAsia" w:ascii="宋体" w:hAnsi="宋体" w:cs="宋体"/>
          <w:b w:val="0"/>
          <w:bCs w:val="0"/>
          <w:color w:val="auto"/>
          <w:kern w:val="2"/>
          <w:sz w:val="21"/>
          <w:szCs w:val="21"/>
          <w:highlight w:val="none"/>
          <w:u w:val="none"/>
          <w:lang w:val="en-US" w:eastAsia="zh-CN"/>
        </w:rPr>
        <w:t>包组号、</w:t>
      </w:r>
      <w:r>
        <w:rPr>
          <w:rFonts w:hint="eastAsia" w:ascii="宋体" w:hAnsi="宋体" w:eastAsia="宋体" w:cs="宋体"/>
          <w:b w:val="0"/>
          <w:bCs w:val="0"/>
          <w:color w:val="auto"/>
          <w:kern w:val="2"/>
          <w:sz w:val="21"/>
          <w:szCs w:val="21"/>
          <w:highlight w:val="none"/>
          <w:u w:val="none"/>
          <w:lang w:val="zh-CN"/>
        </w:rPr>
        <w:t>供应商名称，并加盖供应商法人公章）。</w:t>
      </w:r>
    </w:p>
    <w:p w14:paraId="39FB117D">
      <w:pPr>
        <w:keepNext w:val="0"/>
        <w:keepLines w:val="0"/>
        <w:pageBreakBefore w:val="0"/>
        <w:widowControl w:val="0"/>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17.6</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电报、电传、传真的</w:t>
      </w:r>
      <w:r>
        <w:rPr>
          <w:rFonts w:hint="eastAsia" w:ascii="宋体" w:hAnsi="宋体" w:eastAsia="宋体" w:cs="宋体"/>
          <w:color w:val="auto"/>
          <w:kern w:val="2"/>
          <w:sz w:val="21"/>
          <w:szCs w:val="21"/>
          <w:highlight w:val="none"/>
          <w:lang w:val="en-US" w:eastAsia="zh-CN"/>
        </w:rPr>
        <w:t>响应文件</w:t>
      </w:r>
      <w:r>
        <w:rPr>
          <w:rFonts w:hint="eastAsia" w:ascii="宋体" w:hAnsi="宋体" w:eastAsia="宋体" w:cs="宋体"/>
          <w:color w:val="auto"/>
          <w:kern w:val="2"/>
          <w:sz w:val="21"/>
          <w:szCs w:val="21"/>
          <w:highlight w:val="none"/>
          <w:lang w:val="zh-CN"/>
        </w:rPr>
        <w:t>概不接受。</w:t>
      </w:r>
      <w:bookmarkStart w:id="81" w:name="_Toc450662867"/>
    </w:p>
    <w:p w14:paraId="13BD0701">
      <w:pPr>
        <w:spacing w:line="360" w:lineRule="auto"/>
        <w:ind w:left="567" w:hanging="567"/>
        <w:jc w:val="both"/>
        <w:rPr>
          <w:rFonts w:hint="eastAsia" w:ascii="宋体" w:hAnsi="宋体" w:eastAsia="宋体" w:cs="宋体"/>
          <w:color w:val="auto"/>
          <w:kern w:val="2"/>
          <w:sz w:val="21"/>
          <w:szCs w:val="21"/>
          <w:highlight w:val="none"/>
          <w:lang w:val="zh-CN"/>
        </w:rPr>
      </w:pPr>
    </w:p>
    <w:p w14:paraId="460F66DA">
      <w:pPr>
        <w:pStyle w:val="5"/>
        <w:keepNext/>
        <w:keepLines/>
        <w:pageBreakBefore w:val="0"/>
        <w:widowControl w:val="0"/>
        <w:tabs>
          <w:tab w:val="left" w:pos="567"/>
        </w:tabs>
        <w:kinsoku/>
        <w:wordWrap/>
        <w:overflowPunct/>
        <w:topLinePunct w:val="0"/>
        <w:autoSpaceDE w:val="0"/>
        <w:autoSpaceDN w:val="0"/>
        <w:bidi w:val="0"/>
        <w:adjustRightInd w:val="0"/>
        <w:snapToGrid/>
        <w:spacing w:line="360" w:lineRule="auto"/>
        <w:ind w:firstLine="211" w:firstLineChars="100"/>
        <w:jc w:val="both"/>
        <w:textAlignment w:val="auto"/>
        <w:outlineLvl w:val="1"/>
        <w:rPr>
          <w:rFonts w:hint="eastAsia" w:ascii="宋体" w:hAnsi="宋体" w:eastAsia="宋体" w:cs="宋体"/>
          <w:b/>
          <w:bCs/>
          <w:color w:val="auto"/>
          <w:kern w:val="44"/>
          <w:sz w:val="21"/>
          <w:szCs w:val="21"/>
          <w:highlight w:val="none"/>
          <w:lang w:val="zh-CN"/>
        </w:rPr>
      </w:pPr>
      <w:bookmarkStart w:id="82" w:name="_Toc4448"/>
      <w:bookmarkStart w:id="83" w:name="_Toc521918085"/>
      <w:r>
        <w:rPr>
          <w:rFonts w:hint="eastAsia" w:ascii="宋体" w:hAnsi="宋体" w:eastAsia="宋体" w:cs="宋体"/>
          <w:b/>
          <w:bCs/>
          <w:color w:val="auto"/>
          <w:kern w:val="44"/>
          <w:sz w:val="21"/>
          <w:szCs w:val="21"/>
          <w:highlight w:val="none"/>
          <w:lang w:val="zh-CN"/>
        </w:rPr>
        <w:t>四、响应文件的递交</w:t>
      </w:r>
      <w:bookmarkEnd w:id="81"/>
      <w:bookmarkEnd w:id="82"/>
      <w:bookmarkEnd w:id="83"/>
    </w:p>
    <w:p w14:paraId="41737A58">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67" w:hanging="525" w:hangingChars="250"/>
        <w:jc w:val="both"/>
        <w:textAlignment w:val="auto"/>
        <w:outlineLvl w:val="2"/>
        <w:rPr>
          <w:rFonts w:hint="eastAsia" w:ascii="宋体" w:hAnsi="宋体" w:eastAsia="宋体" w:cs="宋体"/>
          <w:color w:val="auto"/>
          <w:kern w:val="2"/>
          <w:sz w:val="21"/>
          <w:szCs w:val="21"/>
          <w:highlight w:val="none"/>
          <w:lang w:val="zh-CN"/>
        </w:rPr>
      </w:pPr>
      <w:bookmarkStart w:id="84" w:name="_Toc521918086"/>
      <w:bookmarkStart w:id="85" w:name="_Toc26006"/>
      <w:bookmarkStart w:id="86" w:name="_Toc450662868"/>
      <w:r>
        <w:rPr>
          <w:rFonts w:hint="eastAsia" w:ascii="宋体" w:hAnsi="宋体" w:eastAsia="宋体" w:cs="宋体"/>
          <w:color w:val="auto"/>
          <w:kern w:val="2"/>
          <w:sz w:val="21"/>
          <w:szCs w:val="21"/>
          <w:highlight w:val="none"/>
          <w:lang w:val="zh-CN"/>
        </w:rPr>
        <w:t>18</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响应文件的密封和标记</w:t>
      </w:r>
      <w:bookmarkEnd w:id="84"/>
      <w:bookmarkEnd w:id="85"/>
      <w:bookmarkEnd w:id="86"/>
    </w:p>
    <w:p w14:paraId="099CF331">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18.1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供应商应将所有正本和副本响应文件（本处不含响应文件电子文件）密封在不透明的外层封装中。</w:t>
      </w:r>
    </w:p>
    <w:p w14:paraId="777B8050">
      <w:pPr>
        <w:keepNext w:val="0"/>
        <w:keepLines w:val="0"/>
        <w:pageBreakBefore w:val="0"/>
        <w:widowControl w:val="0"/>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18.</w:t>
      </w:r>
      <w:r>
        <w:rPr>
          <w:rFonts w:hint="eastAsia" w:ascii="宋体" w:hAnsi="宋体" w:eastAsia="宋体" w:cs="宋体"/>
          <w:color w:val="auto"/>
          <w:kern w:val="2"/>
          <w:sz w:val="21"/>
          <w:szCs w:val="21"/>
          <w:highlight w:val="none"/>
          <w:lang w:val="en-US" w:eastAsia="zh-CN"/>
        </w:rPr>
        <w:t xml:space="preserve">2 </w:t>
      </w:r>
      <w:r>
        <w:rPr>
          <w:rFonts w:hint="eastAsia" w:ascii="宋体" w:hAnsi="宋体" w:eastAsia="宋体" w:cs="宋体"/>
          <w:color w:val="auto"/>
          <w:kern w:val="2"/>
          <w:sz w:val="21"/>
          <w:szCs w:val="21"/>
          <w:highlight w:val="none"/>
          <w:lang w:val="zh-CN"/>
        </w:rPr>
        <w:t>响应文件密封封装标记：</w:t>
      </w:r>
    </w:p>
    <w:p w14:paraId="39E491C5">
      <w:pPr>
        <w:keepNext w:val="0"/>
        <w:keepLines w:val="0"/>
        <w:pageBreakBefore w:val="0"/>
        <w:widowControl w:val="0"/>
        <w:kinsoku/>
        <w:wordWrap/>
        <w:overflowPunct/>
        <w:topLinePunct w:val="0"/>
        <w:autoSpaceDE w:val="0"/>
        <w:autoSpaceDN w:val="0"/>
        <w:bidi w:val="0"/>
        <w:adjustRightInd w:val="0"/>
        <w:snapToGrid/>
        <w:spacing w:line="360" w:lineRule="auto"/>
        <w:ind w:left="563" w:right="35"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（1）外层密封封装表面应正确注明项目名称、</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编号、</w:t>
      </w:r>
      <w:r>
        <w:rPr>
          <w:rFonts w:hint="eastAsia" w:ascii="宋体" w:hAnsi="宋体" w:eastAsia="宋体" w:cs="宋体"/>
          <w:color w:val="auto"/>
          <w:kern w:val="2"/>
          <w:sz w:val="21"/>
          <w:szCs w:val="21"/>
          <w:highlight w:val="none"/>
          <w:lang w:val="zh-CN" w:eastAsia="zh-CN"/>
        </w:rPr>
        <w:t>包组号、</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名称、并注明</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文件递交截止时间之前不得开封（在封口位置的封条上标注注明），封口位置的封条上须加盖</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法人公章；</w:t>
      </w:r>
    </w:p>
    <w:p w14:paraId="71A6BA0E">
      <w:pPr>
        <w:keepNext w:val="0"/>
        <w:keepLines w:val="0"/>
        <w:pageBreakBefore w:val="0"/>
        <w:widowControl w:val="0"/>
        <w:kinsoku/>
        <w:wordWrap/>
        <w:overflowPunct/>
        <w:topLinePunct w:val="0"/>
        <w:autoSpaceDE w:val="0"/>
        <w:autoSpaceDN w:val="0"/>
        <w:bidi w:val="0"/>
        <w:adjustRightInd w:val="0"/>
        <w:snapToGrid/>
        <w:spacing w:line="360" w:lineRule="auto"/>
        <w:ind w:left="563" w:right="35"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文件已密封但不按前述标志封包，由此而引起的提前开封或错放责任由</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承担；</w:t>
      </w:r>
    </w:p>
    <w:p w14:paraId="349F137E">
      <w:pPr>
        <w:keepNext w:val="0"/>
        <w:keepLines w:val="0"/>
        <w:pageBreakBefore w:val="0"/>
        <w:widowControl w:val="0"/>
        <w:kinsoku/>
        <w:wordWrap/>
        <w:overflowPunct/>
        <w:topLinePunct w:val="0"/>
        <w:autoSpaceDE w:val="0"/>
        <w:autoSpaceDN w:val="0"/>
        <w:bidi w:val="0"/>
        <w:adjustRightInd w:val="0"/>
        <w:snapToGrid/>
        <w:spacing w:line="360" w:lineRule="auto"/>
        <w:ind w:left="563" w:right="35"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（3）不足以造成</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文件可以从外包装内散出而导致</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文件泄密的，不认定为</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文件未密封。</w:t>
      </w:r>
    </w:p>
    <w:p w14:paraId="12E4F8EA">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18.</w:t>
      </w:r>
      <w:r>
        <w:rPr>
          <w:rFonts w:hint="eastAsia" w:ascii="宋体" w:hAnsi="宋体" w:eastAsia="宋体" w:cs="宋体"/>
          <w:color w:val="auto"/>
          <w:kern w:val="2"/>
          <w:sz w:val="21"/>
          <w:szCs w:val="21"/>
          <w:highlight w:val="none"/>
          <w:lang w:val="en-US" w:eastAsia="zh-CN"/>
        </w:rPr>
        <w:t xml:space="preserve">3 </w:t>
      </w:r>
      <w:r>
        <w:rPr>
          <w:rFonts w:hint="eastAsia" w:ascii="宋体" w:hAnsi="宋体" w:eastAsia="宋体" w:cs="宋体"/>
          <w:b/>
          <w:bCs/>
          <w:color w:val="auto"/>
          <w:kern w:val="2"/>
          <w:sz w:val="21"/>
          <w:szCs w:val="21"/>
          <w:highlight w:val="none"/>
          <w:u w:val="single"/>
          <w:lang w:val="zh-CN"/>
        </w:rPr>
        <w:t>如果密封封装未按本款规定密封和标记，采购代理机构对响应文件的误投或提前拆封不负责任。对由此造成提前开封的响应文件，采购代理机构予以拒绝，并退回供应商</w:t>
      </w:r>
      <w:r>
        <w:rPr>
          <w:rFonts w:hint="eastAsia" w:ascii="宋体" w:hAnsi="宋体" w:eastAsia="宋体" w:cs="宋体"/>
          <w:b/>
          <w:bCs/>
          <w:color w:val="auto"/>
          <w:kern w:val="2"/>
          <w:sz w:val="21"/>
          <w:szCs w:val="21"/>
          <w:highlight w:val="none"/>
          <w:lang w:val="zh-CN"/>
        </w:rPr>
        <w:t>。</w:t>
      </w:r>
    </w:p>
    <w:p w14:paraId="592A370B">
      <w:pPr>
        <w:keepNext w:val="0"/>
        <w:keepLines w:val="0"/>
        <w:pageBreakBefore w:val="0"/>
        <w:widowControl w:val="0"/>
        <w:kinsoku/>
        <w:wordWrap/>
        <w:overflowPunct/>
        <w:topLinePunct w:val="0"/>
        <w:autoSpaceDE w:val="0"/>
        <w:autoSpaceDN w:val="0"/>
        <w:bidi w:val="0"/>
        <w:adjustRightInd w:val="0"/>
        <w:snapToGrid/>
        <w:spacing w:line="360" w:lineRule="auto"/>
        <w:ind w:left="523" w:leftChars="-1"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18.</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 xml:space="preserve"> </w:t>
      </w:r>
      <w:r>
        <w:rPr>
          <w:rFonts w:hint="eastAsia" w:ascii="宋体" w:hAnsi="宋体" w:eastAsia="宋体" w:cs="宋体"/>
          <w:color w:val="auto"/>
          <w:kern w:val="2"/>
          <w:sz w:val="21"/>
          <w:szCs w:val="21"/>
          <w:highlight w:val="none"/>
          <w:lang w:val="en-US" w:eastAsia="zh-CN"/>
        </w:rPr>
        <w:t>开启响应文件</w:t>
      </w:r>
      <w:r>
        <w:rPr>
          <w:rFonts w:hint="eastAsia" w:ascii="宋体" w:hAnsi="宋体" w:eastAsia="宋体" w:cs="宋体"/>
          <w:color w:val="auto"/>
          <w:kern w:val="2"/>
          <w:sz w:val="21"/>
          <w:szCs w:val="21"/>
          <w:highlight w:val="none"/>
          <w:lang w:val="zh-CN"/>
        </w:rPr>
        <w:t>前，由供应商代表（第一位递交响应文件的供应商代表及主动自愿参与检查的供应商代表）和采购人代表将对所有的响应文件的密封性进行检查，并签署进行确认。</w:t>
      </w:r>
    </w:p>
    <w:p w14:paraId="744340B8">
      <w:pPr>
        <w:keepNext w:val="0"/>
        <w:keepLines w:val="0"/>
        <w:pageBreakBefore w:val="0"/>
        <w:widowControl w:val="0"/>
        <w:kinsoku/>
        <w:wordWrap/>
        <w:overflowPunct/>
        <w:topLinePunct w:val="0"/>
        <w:autoSpaceDE w:val="0"/>
        <w:autoSpaceDN w:val="0"/>
        <w:bidi w:val="0"/>
        <w:adjustRightInd w:val="0"/>
        <w:snapToGrid/>
        <w:spacing w:line="360" w:lineRule="auto"/>
        <w:ind w:left="523" w:leftChars="-1" w:right="18" w:hanging="525" w:hangingChars="250"/>
        <w:jc w:val="both"/>
        <w:textAlignment w:val="auto"/>
        <w:rPr>
          <w:rFonts w:hint="eastAsia" w:ascii="宋体" w:hAnsi="宋体" w:eastAsia="宋体" w:cs="宋体"/>
          <w:color w:val="auto"/>
          <w:kern w:val="2"/>
          <w:sz w:val="21"/>
          <w:szCs w:val="21"/>
          <w:highlight w:val="none"/>
          <w:lang w:val="zh-CN"/>
        </w:rPr>
      </w:pPr>
    </w:p>
    <w:p w14:paraId="34C184E4">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67" w:hanging="525" w:hangingChars="250"/>
        <w:jc w:val="both"/>
        <w:textAlignment w:val="auto"/>
        <w:outlineLvl w:val="2"/>
        <w:rPr>
          <w:rFonts w:hint="eastAsia" w:ascii="宋体" w:hAnsi="宋体" w:eastAsia="宋体" w:cs="宋体"/>
          <w:color w:val="auto"/>
          <w:kern w:val="2"/>
          <w:sz w:val="21"/>
          <w:szCs w:val="21"/>
          <w:highlight w:val="none"/>
          <w:lang w:val="zh-CN"/>
        </w:rPr>
      </w:pPr>
      <w:bookmarkStart w:id="87" w:name="_Toc450662869"/>
      <w:bookmarkStart w:id="88" w:name="_Toc521918087"/>
      <w:bookmarkStart w:id="89" w:name="_Toc1491"/>
      <w:r>
        <w:rPr>
          <w:rFonts w:hint="eastAsia" w:ascii="宋体" w:hAnsi="宋体" w:eastAsia="宋体" w:cs="宋体"/>
          <w:color w:val="auto"/>
          <w:kern w:val="2"/>
          <w:sz w:val="21"/>
          <w:szCs w:val="21"/>
          <w:highlight w:val="none"/>
          <w:lang w:val="zh-CN"/>
        </w:rPr>
        <w:t>19</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递交响应文件的截止日期</w:t>
      </w:r>
      <w:bookmarkEnd w:id="87"/>
      <w:bookmarkEnd w:id="88"/>
      <w:bookmarkEnd w:id="89"/>
    </w:p>
    <w:p w14:paraId="55C514BF">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67"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19.1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采购代理机构收到响应文件的时间不得迟于第一篇“竞争性磋商</w:t>
      </w:r>
      <w:r>
        <w:rPr>
          <w:rFonts w:hint="eastAsia" w:ascii="宋体" w:hAnsi="宋体" w:cs="宋体"/>
          <w:color w:val="auto"/>
          <w:kern w:val="2"/>
          <w:sz w:val="21"/>
          <w:szCs w:val="21"/>
          <w:highlight w:val="none"/>
          <w:lang w:val="en-US" w:eastAsia="zh-CN"/>
        </w:rPr>
        <w:t>公告</w:t>
      </w:r>
      <w:r>
        <w:rPr>
          <w:rFonts w:hint="eastAsia" w:ascii="宋体" w:hAnsi="宋体" w:eastAsia="宋体" w:cs="宋体"/>
          <w:color w:val="auto"/>
          <w:kern w:val="2"/>
          <w:sz w:val="21"/>
          <w:szCs w:val="21"/>
          <w:highlight w:val="none"/>
          <w:lang w:val="zh-CN"/>
        </w:rPr>
        <w:t>”中规定的截止时间。</w:t>
      </w:r>
    </w:p>
    <w:p w14:paraId="73706873">
      <w:pPr>
        <w:keepNext w:val="0"/>
        <w:keepLines w:val="0"/>
        <w:pageBreakBefore w:val="0"/>
        <w:widowControl w:val="0"/>
        <w:kinsoku/>
        <w:wordWrap/>
        <w:overflowPunct/>
        <w:topLinePunct w:val="0"/>
        <w:autoSpaceDE w:val="0"/>
        <w:autoSpaceDN w:val="0"/>
        <w:bidi w:val="0"/>
        <w:adjustRightInd w:val="0"/>
        <w:snapToGrid/>
        <w:spacing w:line="360" w:lineRule="auto"/>
        <w:ind w:left="567"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19.2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采购代理机构可按照第7条的规定修改竞争性磋商文件并酌情延长递交响应文件的截止时间，因此，已规定的采购代理机构和供应商的一切权利和义务将按延期后的递交响应文件截止时间履行。</w:t>
      </w:r>
    </w:p>
    <w:p w14:paraId="10C3E447">
      <w:pPr>
        <w:spacing w:line="360" w:lineRule="auto"/>
        <w:ind w:left="567" w:hanging="567"/>
        <w:jc w:val="both"/>
        <w:rPr>
          <w:rFonts w:hint="eastAsia" w:ascii="宋体" w:hAnsi="宋体" w:eastAsia="宋体" w:cs="宋体"/>
          <w:color w:val="auto"/>
          <w:kern w:val="2"/>
          <w:sz w:val="21"/>
          <w:szCs w:val="21"/>
          <w:highlight w:val="none"/>
          <w:lang w:val="zh-CN"/>
        </w:rPr>
      </w:pPr>
    </w:p>
    <w:p w14:paraId="58744E97">
      <w:pPr>
        <w:tabs>
          <w:tab w:val="left" w:pos="567"/>
        </w:tabs>
        <w:spacing w:line="360" w:lineRule="auto"/>
        <w:ind w:left="567" w:hanging="567"/>
        <w:jc w:val="both"/>
        <w:outlineLvl w:val="2"/>
        <w:rPr>
          <w:rFonts w:hint="eastAsia" w:ascii="宋体" w:hAnsi="宋体" w:eastAsia="宋体" w:cs="宋体"/>
          <w:color w:val="auto"/>
          <w:highlight w:val="none"/>
        </w:rPr>
      </w:pPr>
      <w:bookmarkStart w:id="90" w:name="_Toc450662870"/>
      <w:bookmarkStart w:id="91" w:name="_Toc521918088"/>
      <w:bookmarkStart w:id="92" w:name="_Toc26095"/>
      <w:r>
        <w:rPr>
          <w:rFonts w:hint="eastAsia" w:ascii="宋体" w:hAnsi="宋体" w:eastAsia="宋体" w:cs="宋体"/>
          <w:color w:val="auto"/>
          <w:kern w:val="2"/>
          <w:sz w:val="21"/>
          <w:szCs w:val="21"/>
          <w:highlight w:val="none"/>
          <w:lang w:val="zh-CN"/>
        </w:rPr>
        <w:t>20</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迟交的</w:t>
      </w:r>
      <w:bookmarkEnd w:id="90"/>
      <w:bookmarkEnd w:id="91"/>
      <w:r>
        <w:rPr>
          <w:rFonts w:hint="eastAsia" w:ascii="宋体" w:hAnsi="宋体" w:eastAsia="宋体" w:cs="宋体"/>
          <w:color w:val="auto"/>
          <w:kern w:val="2"/>
          <w:sz w:val="21"/>
          <w:szCs w:val="21"/>
          <w:highlight w:val="none"/>
          <w:lang w:val="zh-CN"/>
        </w:rPr>
        <w:t>响应文件</w:t>
      </w:r>
      <w:bookmarkEnd w:id="92"/>
    </w:p>
    <w:p w14:paraId="799DB628">
      <w:pPr>
        <w:spacing w:line="360" w:lineRule="auto"/>
        <w:ind w:firstLine="525" w:firstLine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根据第19条规定，采购代理机构将拒绝任何晚于递交响应文件的截止时间交到的响应文件。</w:t>
      </w:r>
    </w:p>
    <w:p w14:paraId="577B7157">
      <w:pPr>
        <w:spacing w:line="360" w:lineRule="auto"/>
        <w:ind w:firstLine="525" w:firstLineChars="250"/>
        <w:jc w:val="both"/>
        <w:rPr>
          <w:rFonts w:hint="eastAsia" w:ascii="宋体" w:hAnsi="宋体" w:eastAsia="宋体" w:cs="宋体"/>
          <w:color w:val="auto"/>
          <w:kern w:val="2"/>
          <w:sz w:val="21"/>
          <w:szCs w:val="21"/>
          <w:highlight w:val="none"/>
          <w:lang w:val="zh-CN"/>
        </w:rPr>
      </w:pPr>
    </w:p>
    <w:p w14:paraId="673DD54A">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93" w:name="_Toc31955"/>
      <w:bookmarkStart w:id="94" w:name="_Toc450662871"/>
      <w:bookmarkStart w:id="95" w:name="_Toc521918089"/>
      <w:r>
        <w:rPr>
          <w:rFonts w:hint="eastAsia" w:ascii="宋体" w:hAnsi="宋体" w:eastAsia="宋体" w:cs="宋体"/>
          <w:color w:val="auto"/>
          <w:kern w:val="2"/>
          <w:sz w:val="21"/>
          <w:szCs w:val="21"/>
          <w:highlight w:val="none"/>
          <w:lang w:val="zh-CN"/>
        </w:rPr>
        <w:t>21</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响应文件的修改和撤回</w:t>
      </w:r>
      <w:bookmarkEnd w:id="93"/>
      <w:bookmarkEnd w:id="94"/>
      <w:bookmarkEnd w:id="95"/>
    </w:p>
    <w:p w14:paraId="6E0ABB25">
      <w:pPr>
        <w:pageBreakBefore w:val="0"/>
        <w:widowControl w:val="0"/>
        <w:tabs>
          <w:tab w:val="left" w:pos="567"/>
        </w:tabs>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21.1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供应商在提交响应文件后可对其响应文件进行修改或撤回，但采购代理机构须在提交响应文件截止日期前收到该修改或撤回的书面通知。</w:t>
      </w:r>
    </w:p>
    <w:p w14:paraId="32458C70">
      <w:pPr>
        <w:pageBreakBefore w:val="0"/>
        <w:widowControl w:val="0"/>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21.2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供应商对响应文件的修改或撤回的通知应按第17条和第18条规定进行准备、密封、标注和递送。</w:t>
      </w:r>
    </w:p>
    <w:p w14:paraId="566396C2">
      <w:pPr>
        <w:pageBreakBefore w:val="0"/>
        <w:widowControl w:val="0"/>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21.3</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递交响应文件截止时间后不得修改响应文件。</w:t>
      </w:r>
    </w:p>
    <w:p w14:paraId="791CD046">
      <w:pPr>
        <w:pageBreakBefore w:val="0"/>
        <w:widowControl w:val="0"/>
        <w:kinsoku/>
        <w:wordWrap/>
        <w:overflowPunct/>
        <w:topLinePunct w:val="0"/>
        <w:autoSpaceDE w:val="0"/>
        <w:autoSpaceDN w:val="0"/>
        <w:bidi w:val="0"/>
        <w:adjustRightInd w:val="0"/>
        <w:snapToGrid/>
        <w:spacing w:line="360" w:lineRule="auto"/>
        <w:ind w:left="567" w:right="18" w:hanging="525" w:hangingChars="250"/>
        <w:jc w:val="both"/>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zh-CN"/>
        </w:rPr>
        <w:t>21.4</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供应商不得在递交响应文件截止时间起至第16条规定的响应文件有效期期满前撤销响应文件</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否则采购人将按15.7款（1）规定不予退还其磋商保证金。</w:t>
      </w:r>
    </w:p>
    <w:p w14:paraId="4495A601">
      <w:pPr>
        <w:pageBreakBefore w:val="0"/>
        <w:widowControl w:val="0"/>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p>
    <w:p w14:paraId="018D63CA">
      <w:pPr>
        <w:pStyle w:val="5"/>
        <w:keepNext/>
        <w:keepLines/>
        <w:pageBreakBefore w:val="0"/>
        <w:widowControl w:val="0"/>
        <w:tabs>
          <w:tab w:val="left" w:pos="567"/>
        </w:tabs>
        <w:kinsoku/>
        <w:wordWrap/>
        <w:overflowPunct/>
        <w:topLinePunct w:val="0"/>
        <w:autoSpaceDE w:val="0"/>
        <w:autoSpaceDN w:val="0"/>
        <w:bidi w:val="0"/>
        <w:adjustRightInd w:val="0"/>
        <w:snapToGrid/>
        <w:spacing w:line="360" w:lineRule="auto"/>
        <w:ind w:firstLine="211" w:firstLineChars="100"/>
        <w:jc w:val="both"/>
        <w:textAlignment w:val="auto"/>
        <w:outlineLvl w:val="1"/>
        <w:rPr>
          <w:rFonts w:hint="eastAsia" w:ascii="宋体" w:hAnsi="宋体" w:eastAsia="宋体" w:cs="宋体"/>
          <w:b/>
          <w:bCs/>
          <w:color w:val="auto"/>
          <w:kern w:val="44"/>
          <w:sz w:val="21"/>
          <w:szCs w:val="21"/>
          <w:highlight w:val="none"/>
          <w:lang w:val="en-US" w:eastAsia="zh-CN"/>
        </w:rPr>
      </w:pPr>
      <w:bookmarkStart w:id="96" w:name="_Toc450662872"/>
      <w:bookmarkStart w:id="97" w:name="_Toc521918090"/>
      <w:bookmarkStart w:id="98" w:name="_Toc25968"/>
      <w:r>
        <w:rPr>
          <w:rFonts w:hint="eastAsia" w:ascii="宋体" w:hAnsi="宋体" w:eastAsia="宋体" w:cs="宋体"/>
          <w:b/>
          <w:bCs/>
          <w:color w:val="auto"/>
          <w:kern w:val="44"/>
          <w:sz w:val="21"/>
          <w:szCs w:val="21"/>
          <w:highlight w:val="none"/>
          <w:lang w:val="zh-CN"/>
        </w:rPr>
        <w:t>五、</w:t>
      </w:r>
      <w:bookmarkEnd w:id="96"/>
      <w:bookmarkEnd w:id="97"/>
      <w:r>
        <w:rPr>
          <w:rFonts w:hint="eastAsia" w:ascii="宋体" w:hAnsi="宋体" w:eastAsia="宋体" w:cs="宋体"/>
          <w:b/>
          <w:bCs/>
          <w:color w:val="auto"/>
          <w:kern w:val="44"/>
          <w:sz w:val="21"/>
          <w:szCs w:val="21"/>
          <w:highlight w:val="none"/>
          <w:lang w:val="en-US" w:eastAsia="zh-CN"/>
        </w:rPr>
        <w:t>竞争性磋商流程</w:t>
      </w:r>
      <w:bookmarkEnd w:id="98"/>
    </w:p>
    <w:p w14:paraId="10868CC9">
      <w:pPr>
        <w:tabs>
          <w:tab w:val="left" w:pos="567"/>
        </w:tabs>
        <w:spacing w:line="360" w:lineRule="auto"/>
        <w:ind w:left="567" w:hanging="567"/>
        <w:jc w:val="both"/>
        <w:outlineLvl w:val="2"/>
        <w:rPr>
          <w:rFonts w:hint="default" w:ascii="宋体" w:hAnsi="宋体" w:eastAsia="宋体" w:cs="宋体"/>
          <w:color w:val="auto"/>
          <w:kern w:val="2"/>
          <w:sz w:val="21"/>
          <w:szCs w:val="21"/>
          <w:highlight w:val="none"/>
          <w:lang w:val="en-US" w:eastAsia="zh-CN"/>
        </w:rPr>
      </w:pPr>
      <w:bookmarkStart w:id="99" w:name="_Toc27377"/>
      <w:bookmarkStart w:id="100" w:name="_Toc17049"/>
      <w:bookmarkStart w:id="101" w:name="_Toc11614"/>
      <w:r>
        <w:rPr>
          <w:rFonts w:hint="eastAsia" w:ascii="宋体" w:hAnsi="宋体" w:eastAsia="宋体" w:cs="宋体"/>
          <w:color w:val="auto"/>
          <w:kern w:val="2"/>
          <w:sz w:val="21"/>
          <w:szCs w:val="21"/>
          <w:highlight w:val="none"/>
          <w:lang w:val="zh-CN"/>
        </w:rPr>
        <w:t>22</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响应文件</w:t>
      </w:r>
      <w:r>
        <w:rPr>
          <w:rFonts w:hint="eastAsia" w:ascii="宋体" w:hAnsi="宋体" w:cs="宋体"/>
          <w:color w:val="auto"/>
          <w:kern w:val="2"/>
          <w:sz w:val="21"/>
          <w:szCs w:val="21"/>
          <w:highlight w:val="none"/>
          <w:lang w:val="en-US" w:eastAsia="zh-CN"/>
        </w:rPr>
        <w:t>密封性检查</w:t>
      </w:r>
      <w:bookmarkEnd w:id="99"/>
    </w:p>
    <w:p w14:paraId="019E3CE4">
      <w:pPr>
        <w:tabs>
          <w:tab w:val="left" w:pos="142"/>
        </w:tabs>
        <w:spacing w:line="360" w:lineRule="auto"/>
        <w:ind w:left="532" w:hanging="532"/>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en-US" w:eastAsia="zh-CN"/>
        </w:rPr>
        <w:t>采购代理机构在供应商代表自愿出席的情况下，在第一篇“竞争性磋商</w:t>
      </w:r>
      <w:r>
        <w:rPr>
          <w:rFonts w:hint="eastAsia" w:ascii="宋体" w:hAnsi="宋体" w:cs="宋体"/>
          <w:color w:val="auto"/>
          <w:kern w:val="2"/>
          <w:sz w:val="21"/>
          <w:szCs w:val="21"/>
          <w:highlight w:val="none"/>
          <w:lang w:val="en-US" w:eastAsia="zh-CN"/>
        </w:rPr>
        <w:t>公告</w:t>
      </w:r>
      <w:r>
        <w:rPr>
          <w:rFonts w:hint="eastAsia" w:ascii="宋体" w:hAnsi="宋体" w:eastAsia="宋体" w:cs="宋体"/>
          <w:color w:val="auto"/>
          <w:kern w:val="2"/>
          <w:sz w:val="21"/>
          <w:szCs w:val="21"/>
          <w:highlight w:val="none"/>
          <w:lang w:val="en-US" w:eastAsia="zh-CN"/>
        </w:rPr>
        <w:t>”规定的地点和时间</w:t>
      </w:r>
      <w:r>
        <w:rPr>
          <w:rFonts w:hint="eastAsia" w:ascii="宋体" w:hAnsi="宋体" w:cs="宋体"/>
          <w:color w:val="auto"/>
          <w:kern w:val="2"/>
          <w:sz w:val="21"/>
          <w:szCs w:val="21"/>
          <w:highlight w:val="none"/>
          <w:lang w:val="en-US" w:eastAsia="zh-CN"/>
        </w:rPr>
        <w:t>进行响应文件密封性检查</w:t>
      </w:r>
      <w:r>
        <w:rPr>
          <w:rFonts w:hint="eastAsia" w:ascii="宋体" w:hAnsi="宋体" w:eastAsia="宋体" w:cs="宋体"/>
          <w:color w:val="auto"/>
          <w:kern w:val="2"/>
          <w:sz w:val="21"/>
          <w:szCs w:val="21"/>
          <w:highlight w:val="none"/>
          <w:lang w:val="en-US" w:eastAsia="zh-CN"/>
        </w:rPr>
        <w:t>，出席代表需登记以示出席</w:t>
      </w:r>
      <w:r>
        <w:rPr>
          <w:rFonts w:hint="eastAsia" w:ascii="宋体" w:hAnsi="宋体" w:eastAsia="宋体" w:cs="宋体"/>
          <w:color w:val="auto"/>
          <w:kern w:val="2"/>
          <w:sz w:val="21"/>
          <w:szCs w:val="21"/>
          <w:highlight w:val="none"/>
          <w:lang w:val="zh-CN"/>
        </w:rPr>
        <w:t>。</w:t>
      </w:r>
    </w:p>
    <w:p w14:paraId="501485AB">
      <w:pPr>
        <w:tabs>
          <w:tab w:val="left" w:pos="567"/>
        </w:tabs>
        <w:spacing w:line="360" w:lineRule="auto"/>
        <w:ind w:left="567" w:hanging="567"/>
        <w:jc w:val="both"/>
        <w:outlineLvl w:val="9"/>
        <w:rPr>
          <w:rFonts w:hint="eastAsia" w:ascii="宋体" w:hAnsi="宋体" w:eastAsia="宋体" w:cs="宋体"/>
          <w:color w:val="auto"/>
          <w:kern w:val="2"/>
          <w:sz w:val="21"/>
          <w:szCs w:val="21"/>
          <w:highlight w:val="none"/>
          <w:lang w:val="zh-CN"/>
        </w:rPr>
      </w:pPr>
      <w:bookmarkStart w:id="102" w:name="_Toc11996"/>
      <w:bookmarkStart w:id="103" w:name="_Toc16019"/>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w:t>
      </w:r>
      <w:r>
        <w:rPr>
          <w:rFonts w:hint="eastAsia" w:ascii="宋体" w:hAnsi="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 xml:space="preserve"> </w:t>
      </w:r>
      <w:r>
        <w:rPr>
          <w:rFonts w:hint="eastAsia" w:ascii="宋体" w:hAnsi="宋体" w:eastAsia="宋体" w:cs="宋体"/>
          <w:color w:val="auto"/>
          <w:kern w:val="2"/>
          <w:sz w:val="21"/>
          <w:szCs w:val="21"/>
          <w:highlight w:val="none"/>
          <w:lang w:val="zh-CN" w:eastAsia="zh-CN"/>
        </w:rPr>
        <w:t>供应商</w:t>
      </w:r>
      <w:r>
        <w:rPr>
          <w:rFonts w:hint="eastAsia" w:ascii="宋体" w:hAnsi="宋体" w:eastAsia="宋体" w:cs="宋体"/>
          <w:color w:val="auto"/>
          <w:kern w:val="2"/>
          <w:sz w:val="21"/>
          <w:szCs w:val="21"/>
          <w:highlight w:val="none"/>
          <w:lang w:val="zh-CN"/>
        </w:rPr>
        <w:t>对</w:t>
      </w:r>
      <w:r>
        <w:rPr>
          <w:rFonts w:hint="eastAsia" w:ascii="宋体" w:hAnsi="宋体" w:cs="宋体"/>
          <w:color w:val="auto"/>
          <w:kern w:val="2"/>
          <w:sz w:val="21"/>
          <w:szCs w:val="21"/>
          <w:highlight w:val="none"/>
          <w:lang w:val="en-US" w:eastAsia="zh-CN"/>
        </w:rPr>
        <w:t>响应文件密封性检查</w:t>
      </w:r>
      <w:r>
        <w:rPr>
          <w:rFonts w:hint="eastAsia" w:ascii="宋体" w:hAnsi="宋体" w:eastAsia="宋体" w:cs="宋体"/>
          <w:color w:val="auto"/>
          <w:kern w:val="2"/>
          <w:sz w:val="21"/>
          <w:szCs w:val="21"/>
          <w:highlight w:val="none"/>
          <w:lang w:val="zh-CN"/>
        </w:rPr>
        <w:t>有异议的，应当在</w:t>
      </w:r>
      <w:r>
        <w:rPr>
          <w:rFonts w:hint="eastAsia" w:ascii="宋体" w:hAnsi="宋体" w:cs="宋体"/>
          <w:color w:val="auto"/>
          <w:kern w:val="2"/>
          <w:sz w:val="21"/>
          <w:szCs w:val="21"/>
          <w:highlight w:val="none"/>
          <w:lang w:val="en-US" w:eastAsia="zh-CN"/>
        </w:rPr>
        <w:t>密封性检查</w:t>
      </w:r>
      <w:r>
        <w:rPr>
          <w:rFonts w:hint="eastAsia" w:ascii="宋体" w:hAnsi="宋体" w:eastAsia="宋体" w:cs="宋体"/>
          <w:color w:val="auto"/>
          <w:kern w:val="2"/>
          <w:sz w:val="21"/>
          <w:szCs w:val="21"/>
          <w:highlight w:val="none"/>
          <w:lang w:val="zh-CN"/>
        </w:rPr>
        <w:t>现场提出，</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en-US" w:eastAsia="zh-CN"/>
        </w:rPr>
        <w:t>代理机构</w:t>
      </w:r>
      <w:r>
        <w:rPr>
          <w:rFonts w:hint="eastAsia" w:ascii="宋体" w:hAnsi="宋体" w:eastAsia="宋体" w:cs="宋体"/>
          <w:color w:val="auto"/>
          <w:kern w:val="2"/>
          <w:sz w:val="21"/>
          <w:szCs w:val="21"/>
          <w:highlight w:val="none"/>
          <w:lang w:val="zh-CN"/>
        </w:rPr>
        <w:t>应当当场</w:t>
      </w:r>
    </w:p>
    <w:p w14:paraId="3C864342">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28" w:leftChars="220"/>
        <w:jc w:val="both"/>
        <w:textAlignment w:val="auto"/>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作出答复，并制作记录。</w:t>
      </w:r>
      <w:bookmarkEnd w:id="102"/>
      <w:bookmarkEnd w:id="103"/>
    </w:p>
    <w:p w14:paraId="44022A50">
      <w:pPr>
        <w:tabs>
          <w:tab w:val="left" w:pos="567"/>
        </w:tabs>
        <w:spacing w:line="360" w:lineRule="auto"/>
        <w:ind w:left="567" w:hanging="567"/>
        <w:jc w:val="both"/>
        <w:outlineLvl w:val="9"/>
        <w:rPr>
          <w:rFonts w:hint="eastAsia" w:ascii="宋体" w:hAnsi="宋体" w:eastAsia="宋体" w:cs="宋体"/>
          <w:color w:val="auto"/>
          <w:kern w:val="2"/>
          <w:sz w:val="21"/>
          <w:szCs w:val="21"/>
          <w:highlight w:val="none"/>
          <w:lang w:val="zh-CN"/>
        </w:rPr>
      </w:pPr>
      <w:bookmarkStart w:id="104" w:name="_Toc26343"/>
      <w:bookmarkStart w:id="105" w:name="_Toc20173"/>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w:t>
      </w:r>
      <w:r>
        <w:rPr>
          <w:rFonts w:hint="eastAsia" w:ascii="宋体" w:hAnsi="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 xml:space="preserve"> </w:t>
      </w:r>
      <w:r>
        <w:rPr>
          <w:rFonts w:hint="eastAsia" w:ascii="宋体" w:hAnsi="宋体" w:eastAsia="宋体" w:cs="宋体"/>
          <w:color w:val="auto"/>
          <w:kern w:val="2"/>
          <w:sz w:val="21"/>
          <w:szCs w:val="21"/>
          <w:highlight w:val="none"/>
          <w:lang w:val="en-US" w:eastAsia="zh-CN"/>
        </w:rPr>
        <w:t>采购代理机构将做</w:t>
      </w:r>
      <w:r>
        <w:rPr>
          <w:rFonts w:hint="eastAsia" w:ascii="宋体" w:hAnsi="宋体" w:cs="宋体"/>
          <w:color w:val="auto"/>
          <w:kern w:val="2"/>
          <w:sz w:val="21"/>
          <w:szCs w:val="21"/>
          <w:highlight w:val="none"/>
          <w:lang w:val="en-US" w:eastAsia="zh-CN"/>
        </w:rPr>
        <w:t>密封性检查</w:t>
      </w:r>
      <w:r>
        <w:rPr>
          <w:rFonts w:hint="eastAsia" w:ascii="宋体" w:hAnsi="宋体" w:eastAsia="宋体" w:cs="宋体"/>
          <w:color w:val="auto"/>
          <w:kern w:val="2"/>
          <w:sz w:val="21"/>
          <w:szCs w:val="21"/>
          <w:highlight w:val="none"/>
          <w:lang w:val="en-US" w:eastAsia="zh-CN"/>
        </w:rPr>
        <w:t>记录，记录包括第22.</w:t>
      </w:r>
      <w:r>
        <w:rPr>
          <w:rFonts w:hint="eastAsia" w:ascii="宋体" w:hAnsi="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en-US" w:eastAsia="zh-CN"/>
        </w:rPr>
        <w:t>款发生的异议及答复的全部内容</w:t>
      </w:r>
      <w:r>
        <w:rPr>
          <w:rFonts w:hint="eastAsia" w:ascii="宋体" w:hAnsi="宋体" w:eastAsia="宋体" w:cs="宋体"/>
          <w:color w:val="auto"/>
          <w:kern w:val="2"/>
          <w:sz w:val="21"/>
          <w:szCs w:val="21"/>
          <w:highlight w:val="none"/>
          <w:lang w:val="zh-CN"/>
        </w:rPr>
        <w:t>。</w:t>
      </w:r>
      <w:bookmarkEnd w:id="104"/>
      <w:bookmarkEnd w:id="105"/>
    </w:p>
    <w:bookmarkEnd w:id="100"/>
    <w:bookmarkEnd w:id="101"/>
    <w:p w14:paraId="54B33C46">
      <w:pPr>
        <w:pageBreakBefore w:val="0"/>
        <w:widowControl w:val="0"/>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sz w:val="21"/>
          <w:szCs w:val="21"/>
          <w:highlight w:val="none"/>
        </w:rPr>
      </w:pPr>
    </w:p>
    <w:p w14:paraId="3FC6FABD">
      <w:pPr>
        <w:pageBreakBefore w:val="0"/>
        <w:widowControl w:val="0"/>
        <w:tabs>
          <w:tab w:val="left" w:pos="567"/>
        </w:tabs>
        <w:kinsoku/>
        <w:wordWrap/>
        <w:overflowPunct/>
        <w:topLinePunct w:val="0"/>
        <w:autoSpaceDE w:val="0"/>
        <w:autoSpaceDN w:val="0"/>
        <w:bidi w:val="0"/>
        <w:adjustRightInd w:val="0"/>
        <w:snapToGrid/>
        <w:spacing w:line="360" w:lineRule="auto"/>
        <w:ind w:left="567" w:hanging="525" w:hangingChars="250"/>
        <w:jc w:val="both"/>
        <w:textAlignment w:val="auto"/>
        <w:outlineLvl w:val="2"/>
        <w:rPr>
          <w:rFonts w:hint="eastAsia" w:ascii="宋体" w:hAnsi="宋体" w:eastAsia="宋体" w:cs="宋体"/>
          <w:color w:val="auto"/>
          <w:kern w:val="2"/>
          <w:sz w:val="21"/>
          <w:szCs w:val="21"/>
          <w:highlight w:val="none"/>
          <w:lang w:val="zh-CN"/>
        </w:rPr>
      </w:pPr>
      <w:bookmarkStart w:id="106" w:name="_Toc1749"/>
      <w:bookmarkStart w:id="107" w:name="_Toc521918092"/>
      <w:bookmarkStart w:id="108" w:name="_Toc450662874"/>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3</w:t>
      </w:r>
      <w:r>
        <w:rPr>
          <w:rFonts w:hint="eastAsia" w:ascii="宋体" w:hAnsi="宋体" w:cs="宋体"/>
          <w:color w:val="auto"/>
          <w:kern w:val="2"/>
          <w:sz w:val="21"/>
          <w:szCs w:val="21"/>
          <w:highlight w:val="none"/>
          <w:lang w:val="en-US" w:eastAsia="zh-CN"/>
        </w:rPr>
        <w:t xml:space="preserve"> </w:t>
      </w:r>
      <w:r>
        <w:rPr>
          <w:rFonts w:hint="eastAsia" w:ascii="宋体" w:hAnsi="宋体" w:cs="宋体"/>
          <w:color w:val="auto"/>
          <w:sz w:val="21"/>
          <w:highlight w:val="none"/>
          <w:lang w:val="en-US" w:eastAsia="zh-CN"/>
        </w:rPr>
        <w:t>磋商</w:t>
      </w:r>
      <w:r>
        <w:rPr>
          <w:rFonts w:hint="eastAsia" w:ascii="宋体" w:hAnsi="宋体" w:eastAsia="宋体" w:cs="宋体"/>
          <w:color w:val="auto"/>
          <w:sz w:val="21"/>
          <w:highlight w:val="none"/>
        </w:rPr>
        <w:t>过程的保密性</w:t>
      </w:r>
      <w:bookmarkEnd w:id="106"/>
      <w:bookmarkEnd w:id="107"/>
      <w:bookmarkEnd w:id="108"/>
    </w:p>
    <w:p w14:paraId="09C0D475">
      <w:pPr>
        <w:pageBreakBefore w:val="0"/>
        <w:widowControl w:val="0"/>
        <w:tabs>
          <w:tab w:val="left" w:pos="567"/>
        </w:tabs>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递交响应文件后，直至向成交人授予合同时止，凡与审查、澄清、</w:t>
      </w:r>
      <w:r>
        <w:rPr>
          <w:rFonts w:hint="eastAsia" w:ascii="宋体" w:hAnsi="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评估和比较响应报价的有关资料以及意见等，均不得向供应商及与</w:t>
      </w:r>
      <w:r>
        <w:rPr>
          <w:rFonts w:hint="eastAsia" w:ascii="宋体" w:hAnsi="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无关的其他人透露，否则追究有关当事人的法律责任。</w:t>
      </w:r>
    </w:p>
    <w:p w14:paraId="0B3E4F0C">
      <w:pPr>
        <w:pageBreakBefore w:val="0"/>
        <w:widowControl w:val="0"/>
        <w:tabs>
          <w:tab w:val="left" w:pos="567"/>
        </w:tabs>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在</w:t>
      </w:r>
      <w:r>
        <w:rPr>
          <w:rFonts w:hint="eastAsia" w:ascii="宋体" w:hAnsi="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过程中，如果供应商试图在响应文件审查、澄清、</w:t>
      </w:r>
      <w:r>
        <w:rPr>
          <w:rFonts w:hint="eastAsia" w:ascii="宋体" w:hAnsi="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比较及授予合同方面向采购代理机构和采购人施加任何影响，其响应文件将被拒绝。</w:t>
      </w:r>
    </w:p>
    <w:p w14:paraId="705EDC83">
      <w:pPr>
        <w:spacing w:line="360" w:lineRule="auto"/>
        <w:ind w:left="0" w:firstLine="0"/>
        <w:jc w:val="both"/>
        <w:rPr>
          <w:rFonts w:hint="eastAsia" w:ascii="宋体" w:hAnsi="宋体" w:eastAsia="宋体" w:cs="宋体"/>
          <w:color w:val="auto"/>
          <w:kern w:val="2"/>
          <w:sz w:val="21"/>
          <w:szCs w:val="21"/>
          <w:highlight w:val="none"/>
          <w:lang w:val="zh-CN"/>
        </w:rPr>
      </w:pPr>
    </w:p>
    <w:p w14:paraId="7397D1DE">
      <w:pPr>
        <w:pageBreakBefore w:val="0"/>
        <w:widowControl w:val="0"/>
        <w:tabs>
          <w:tab w:val="left" w:pos="567"/>
        </w:tabs>
        <w:kinsoku/>
        <w:wordWrap/>
        <w:overflowPunct/>
        <w:topLinePunct w:val="0"/>
        <w:autoSpaceDE w:val="0"/>
        <w:autoSpaceDN w:val="0"/>
        <w:bidi w:val="0"/>
        <w:adjustRightInd w:val="0"/>
        <w:snapToGrid/>
        <w:spacing w:line="360" w:lineRule="auto"/>
        <w:ind w:left="567" w:hanging="525" w:hangingChars="250"/>
        <w:jc w:val="both"/>
        <w:textAlignment w:val="auto"/>
        <w:outlineLvl w:val="2"/>
        <w:rPr>
          <w:rFonts w:hint="eastAsia" w:ascii="宋体" w:hAnsi="宋体" w:eastAsia="宋体" w:cs="宋体"/>
          <w:color w:val="auto"/>
          <w:kern w:val="2"/>
          <w:sz w:val="21"/>
          <w:szCs w:val="21"/>
          <w:highlight w:val="none"/>
          <w:lang w:val="en-US" w:eastAsia="zh-CN"/>
        </w:rPr>
      </w:pPr>
      <w:bookmarkStart w:id="109" w:name="_Toc11934"/>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4</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磋商小组</w:t>
      </w:r>
      <w:bookmarkEnd w:id="109"/>
    </w:p>
    <w:p w14:paraId="3CC2379E">
      <w:pPr>
        <w:tabs>
          <w:tab w:val="left" w:pos="142"/>
        </w:tabs>
        <w:spacing w:line="360" w:lineRule="auto"/>
        <w:ind w:left="532" w:hanging="532"/>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本项目由采购</w:t>
      </w:r>
      <w:r>
        <w:rPr>
          <w:rFonts w:hint="eastAsia" w:ascii="宋体" w:hAnsi="宋体" w:cs="宋体"/>
          <w:color w:val="auto"/>
          <w:kern w:val="2"/>
          <w:sz w:val="21"/>
          <w:szCs w:val="21"/>
          <w:highlight w:val="none"/>
          <w:lang w:val="en-US" w:eastAsia="zh-CN"/>
        </w:rPr>
        <w:t>人</w:t>
      </w:r>
      <w:r>
        <w:rPr>
          <w:rFonts w:hint="eastAsia" w:ascii="宋体" w:hAnsi="宋体" w:eastAsia="宋体" w:cs="宋体"/>
          <w:color w:val="auto"/>
          <w:kern w:val="2"/>
          <w:sz w:val="21"/>
          <w:szCs w:val="21"/>
          <w:highlight w:val="none"/>
          <w:lang w:val="zh-CN"/>
        </w:rPr>
        <w:t>组建磋商小组。</w:t>
      </w:r>
    </w:p>
    <w:p w14:paraId="42D43270">
      <w:pPr>
        <w:tabs>
          <w:tab w:val="left" w:pos="567"/>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磋商小组依法根据竞争性磋商文件的规定，进行响应文件的评审，得出评审结果，并向采购人推荐成交候选人。</w:t>
      </w:r>
    </w:p>
    <w:p w14:paraId="5D9E4717">
      <w:pPr>
        <w:spacing w:line="360" w:lineRule="auto"/>
        <w:jc w:val="both"/>
        <w:rPr>
          <w:rFonts w:hint="eastAsia" w:ascii="宋体" w:hAnsi="宋体" w:eastAsia="宋体" w:cs="宋体"/>
          <w:color w:val="auto"/>
          <w:kern w:val="2"/>
          <w:sz w:val="21"/>
          <w:szCs w:val="21"/>
          <w:highlight w:val="none"/>
          <w:lang w:val="zh-CN"/>
        </w:rPr>
      </w:pPr>
    </w:p>
    <w:p w14:paraId="0559F4DE">
      <w:pPr>
        <w:tabs>
          <w:tab w:val="left" w:pos="525"/>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10" w:name="_Toc719"/>
      <w:bookmarkStart w:id="111" w:name="_Toc32302"/>
      <w:bookmarkStart w:id="112" w:name="_Toc28048"/>
      <w:bookmarkStart w:id="113" w:name="_Toc521918094"/>
      <w:bookmarkStart w:id="114" w:name="_Toc450662876"/>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5</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响应文件的评审</w:t>
      </w:r>
      <w:bookmarkEnd w:id="110"/>
      <w:bookmarkEnd w:id="111"/>
      <w:bookmarkEnd w:id="112"/>
    </w:p>
    <w:p w14:paraId="14F58240">
      <w:pPr>
        <w:spacing w:line="360" w:lineRule="auto"/>
        <w:ind w:left="525"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val="zh-CN"/>
        </w:rPr>
        <w:t>.1 磋商小组根据</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须知规定的方法和“评审工作大纲”中规定的审查标准，对所有已接收的响应文件进行评审。没有规定的方法和标准不得作为评审依据。</w:t>
      </w:r>
    </w:p>
    <w:p w14:paraId="5A0DCCBB">
      <w:pPr>
        <w:spacing w:line="360" w:lineRule="auto"/>
        <w:ind w:left="525" w:hanging="525" w:hangingChars="250"/>
        <w:jc w:val="both"/>
        <w:rPr>
          <w:rFonts w:hint="eastAsia" w:ascii="宋体" w:hAnsi="宋体" w:eastAsia="宋体" w:cs="宋体"/>
          <w:color w:val="auto"/>
          <w:kern w:val="2"/>
          <w:sz w:val="21"/>
          <w:szCs w:val="21"/>
          <w:highlight w:val="none"/>
          <w:lang w:val="zh-CN"/>
        </w:rPr>
      </w:pPr>
    </w:p>
    <w:p w14:paraId="0B1F00B0">
      <w:pPr>
        <w:tabs>
          <w:tab w:val="left" w:pos="525"/>
        </w:tabs>
        <w:spacing w:line="360" w:lineRule="auto"/>
        <w:ind w:left="567" w:hanging="567" w:firstLineChars="0"/>
        <w:jc w:val="both"/>
        <w:outlineLvl w:val="2"/>
        <w:rPr>
          <w:rFonts w:hint="eastAsia" w:ascii="宋体" w:hAnsi="宋体" w:eastAsia="宋体" w:cs="宋体"/>
          <w:color w:val="auto"/>
          <w:kern w:val="2"/>
          <w:sz w:val="21"/>
          <w:szCs w:val="21"/>
          <w:highlight w:val="none"/>
          <w:lang w:val="zh-CN" w:eastAsia="zh-CN"/>
        </w:rPr>
      </w:pPr>
      <w:bookmarkStart w:id="115" w:name="_Toc10697"/>
      <w:r>
        <w:rPr>
          <w:rFonts w:hint="eastAsia" w:ascii="宋体" w:hAnsi="宋体" w:eastAsia="宋体" w:cs="宋体"/>
          <w:color w:val="auto"/>
          <w:kern w:val="2"/>
          <w:sz w:val="21"/>
          <w:szCs w:val="21"/>
          <w:highlight w:val="none"/>
          <w:lang w:val="zh-CN" w:eastAsia="zh-CN"/>
        </w:rPr>
        <w:t>26</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eastAsia="zh-CN"/>
        </w:rPr>
        <w:t>响应文件的澄清</w:t>
      </w:r>
      <w:bookmarkEnd w:id="115"/>
    </w:p>
    <w:p w14:paraId="6F1AAC45">
      <w:pPr>
        <w:spacing w:line="360" w:lineRule="auto"/>
        <w:ind w:left="525"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zh-CN"/>
        </w:rPr>
        <w:t xml:space="preserve"> 对响应文件中含义不明确、同类问题表述不一致或者有明显文字和计算错误的内容，磋商小组可以书面形式（应当由磋商小组专家签字）要求供应商作出必要的澄清、说明或者纠正。供应商的澄清、说明或者补正应当采用书面形式，由其授权的代表签字，并不得超出响应文件的范围或者改变响应文件的实质性内容。</w:t>
      </w:r>
    </w:p>
    <w:p w14:paraId="51E92475">
      <w:pPr>
        <w:autoSpaceDE/>
        <w:autoSpaceDN/>
        <w:adjustRightInd/>
        <w:spacing w:line="360" w:lineRule="auto"/>
        <w:ind w:left="525" w:leftChars="0" w:right="0" w:rightChars="0" w:hanging="525" w:hangingChars="250"/>
        <w:jc w:val="both"/>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lang w:val="zh-CN"/>
        </w:rPr>
        <w:t xml:space="preserve">26.2 </w:t>
      </w:r>
      <w:r>
        <w:rPr>
          <w:rFonts w:hint="eastAsia" w:ascii="宋体" w:hAnsi="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eastAsia="zh-CN"/>
        </w:rPr>
        <w:t>当天</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法定代表人或法定代表人授权书列明的被授权人的联系电话应保持开机状态，以便在</w:t>
      </w:r>
      <w:r>
        <w:rPr>
          <w:rFonts w:hint="eastAsia" w:ascii="宋体" w:hAnsi="宋体" w:eastAsia="宋体" w:cs="宋体"/>
          <w:color w:val="auto"/>
          <w:kern w:val="2"/>
          <w:sz w:val="21"/>
          <w:szCs w:val="21"/>
          <w:highlight w:val="none"/>
          <w:lang w:val="en-US" w:eastAsia="zh-CN"/>
        </w:rPr>
        <w:t>评审</w:t>
      </w:r>
      <w:r>
        <w:rPr>
          <w:rFonts w:hint="eastAsia" w:ascii="宋体" w:hAnsi="宋体" w:eastAsia="宋体" w:cs="宋体"/>
          <w:color w:val="auto"/>
          <w:kern w:val="2"/>
          <w:sz w:val="21"/>
          <w:szCs w:val="21"/>
          <w:highlight w:val="none"/>
          <w:lang w:val="zh-CN"/>
        </w:rPr>
        <w:t>期间，</w:t>
      </w:r>
      <w:r>
        <w:rPr>
          <w:rFonts w:hint="eastAsia" w:ascii="宋体" w:hAnsi="宋体" w:eastAsia="宋体" w:cs="宋体"/>
          <w:color w:val="auto"/>
          <w:kern w:val="2"/>
          <w:sz w:val="21"/>
          <w:szCs w:val="21"/>
          <w:highlight w:val="none"/>
          <w:lang w:val="en-US" w:eastAsia="zh-CN"/>
        </w:rPr>
        <w:t>磋商小组</w:t>
      </w:r>
      <w:r>
        <w:rPr>
          <w:rFonts w:hint="eastAsia" w:ascii="宋体" w:hAnsi="宋体" w:eastAsia="宋体" w:cs="宋体"/>
          <w:color w:val="auto"/>
          <w:kern w:val="2"/>
          <w:sz w:val="21"/>
          <w:szCs w:val="21"/>
          <w:highlight w:val="none"/>
          <w:lang w:val="zh-CN"/>
        </w:rPr>
        <w:t>要求</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对</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文件进行澄清时能够收到有关通知，否则视为</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放弃澄清的权利，对</w:t>
      </w:r>
      <w:r>
        <w:rPr>
          <w:rFonts w:hint="eastAsia" w:ascii="宋体" w:hAnsi="宋体" w:eastAsia="宋体" w:cs="宋体"/>
          <w:color w:val="auto"/>
          <w:kern w:val="2"/>
          <w:sz w:val="21"/>
          <w:szCs w:val="21"/>
          <w:highlight w:val="none"/>
          <w:lang w:val="en-US" w:eastAsia="zh-CN"/>
        </w:rPr>
        <w:t>磋商小组</w:t>
      </w:r>
      <w:r>
        <w:rPr>
          <w:rFonts w:hint="eastAsia" w:ascii="宋体" w:hAnsi="宋体" w:eastAsia="宋体" w:cs="宋体"/>
          <w:color w:val="auto"/>
          <w:kern w:val="2"/>
          <w:sz w:val="21"/>
          <w:szCs w:val="21"/>
          <w:highlight w:val="none"/>
          <w:lang w:val="zh-CN"/>
        </w:rPr>
        <w:t>就该项内容的评审意见无异议。</w:t>
      </w:r>
    </w:p>
    <w:p w14:paraId="606CC7D1">
      <w:pPr>
        <w:spacing w:line="360" w:lineRule="auto"/>
        <w:ind w:left="525" w:hanging="525" w:hangingChars="250"/>
        <w:jc w:val="both"/>
        <w:rPr>
          <w:rFonts w:hint="eastAsia" w:ascii="宋体" w:hAnsi="宋体" w:eastAsia="宋体" w:cs="宋体"/>
          <w:color w:val="auto"/>
          <w:kern w:val="2"/>
          <w:sz w:val="21"/>
          <w:szCs w:val="21"/>
          <w:highlight w:val="none"/>
          <w:lang w:val="zh-CN"/>
        </w:rPr>
      </w:pPr>
    </w:p>
    <w:p w14:paraId="1255C6A9">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16" w:name="_Toc522047355"/>
      <w:bookmarkStart w:id="117" w:name="_Toc22065"/>
      <w:bookmarkStart w:id="118" w:name="_Toc521918096"/>
      <w:bookmarkStart w:id="119" w:name="_Toc18368_WPSOffice_Level3"/>
      <w:bookmarkStart w:id="120" w:name="_Toc10967"/>
      <w:bookmarkStart w:id="121" w:name="_Toc142508343"/>
      <w:bookmarkStart w:id="122" w:name="_Toc30630"/>
      <w:bookmarkStart w:id="123" w:name="_Toc6970"/>
      <w:r>
        <w:rPr>
          <w:rFonts w:hint="eastAsia" w:ascii="宋体" w:hAnsi="宋体" w:eastAsia="宋体" w:cs="宋体"/>
          <w:color w:val="auto"/>
          <w:kern w:val="2"/>
          <w:sz w:val="21"/>
          <w:szCs w:val="21"/>
          <w:highlight w:val="none"/>
          <w:lang w:val="zh-CN"/>
        </w:rPr>
        <w:t>27</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对</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文件的比较和评价</w:t>
      </w:r>
      <w:bookmarkEnd w:id="116"/>
      <w:bookmarkEnd w:id="117"/>
      <w:bookmarkEnd w:id="118"/>
      <w:bookmarkEnd w:id="119"/>
      <w:bookmarkEnd w:id="120"/>
      <w:bookmarkEnd w:id="121"/>
      <w:bookmarkEnd w:id="122"/>
      <w:bookmarkEnd w:id="123"/>
    </w:p>
    <w:p w14:paraId="2865D3DA">
      <w:pPr>
        <w:autoSpaceDE/>
        <w:autoSpaceDN/>
        <w:adjustRightInd/>
        <w:spacing w:line="360" w:lineRule="auto"/>
        <w:ind w:left="525" w:leftChars="0" w:right="0" w:rightChars="0"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27.1</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en-US" w:eastAsia="zh-CN"/>
        </w:rPr>
        <w:t>磋商小组</w:t>
      </w:r>
      <w:r>
        <w:rPr>
          <w:rFonts w:hint="eastAsia" w:ascii="宋体" w:hAnsi="宋体" w:eastAsia="宋体" w:cs="宋体"/>
          <w:color w:val="auto"/>
          <w:kern w:val="2"/>
          <w:sz w:val="21"/>
          <w:szCs w:val="21"/>
          <w:highlight w:val="none"/>
          <w:lang w:val="zh-CN"/>
        </w:rPr>
        <w:t>将对资格性检查和符合性检查合格的响应文件进行比较和评价，包括商务、技术和价格的详细评审。</w:t>
      </w:r>
    </w:p>
    <w:p w14:paraId="43C30DF8">
      <w:pPr>
        <w:autoSpaceDE/>
        <w:autoSpaceDN/>
        <w:adjustRightInd/>
        <w:spacing w:line="360" w:lineRule="auto"/>
        <w:ind w:left="525" w:leftChars="0" w:right="0" w:rightChars="0"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27.2</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对</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文件商务的评审详见</w:t>
      </w:r>
      <w:r>
        <w:rPr>
          <w:rFonts w:hint="eastAsia" w:ascii="宋体" w:hAnsi="宋体" w:cs="宋体"/>
          <w:color w:val="auto"/>
          <w:kern w:val="2"/>
          <w:sz w:val="21"/>
          <w:szCs w:val="21"/>
          <w:highlight w:val="none"/>
          <w:lang w:val="en-US" w:eastAsia="zh-CN"/>
        </w:rPr>
        <w:t>评审</w:t>
      </w:r>
      <w:r>
        <w:rPr>
          <w:rFonts w:hint="eastAsia" w:ascii="宋体" w:hAnsi="宋体" w:eastAsia="宋体" w:cs="宋体"/>
          <w:color w:val="auto"/>
          <w:kern w:val="2"/>
          <w:sz w:val="21"/>
          <w:szCs w:val="21"/>
          <w:highlight w:val="none"/>
          <w:lang w:val="zh-CN"/>
        </w:rPr>
        <w:t>工作大纲。</w:t>
      </w:r>
    </w:p>
    <w:p w14:paraId="5969CE42">
      <w:pPr>
        <w:autoSpaceDE/>
        <w:autoSpaceDN/>
        <w:adjustRightInd/>
        <w:spacing w:line="360" w:lineRule="auto"/>
        <w:ind w:left="525" w:leftChars="0" w:right="0" w:rightChars="0"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27.3</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对</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文件技术的评审详见</w:t>
      </w:r>
      <w:r>
        <w:rPr>
          <w:rFonts w:hint="eastAsia" w:ascii="宋体" w:hAnsi="宋体" w:cs="宋体"/>
          <w:color w:val="auto"/>
          <w:kern w:val="2"/>
          <w:sz w:val="21"/>
          <w:szCs w:val="21"/>
          <w:highlight w:val="none"/>
          <w:lang w:val="en-US" w:eastAsia="zh-CN"/>
        </w:rPr>
        <w:t>评审</w:t>
      </w:r>
      <w:r>
        <w:rPr>
          <w:rFonts w:hint="eastAsia" w:ascii="宋体" w:hAnsi="宋体" w:eastAsia="宋体" w:cs="宋体"/>
          <w:color w:val="auto"/>
          <w:kern w:val="2"/>
          <w:sz w:val="21"/>
          <w:szCs w:val="21"/>
          <w:highlight w:val="none"/>
          <w:lang w:val="zh-CN"/>
        </w:rPr>
        <w:t>工作大纲。</w:t>
      </w:r>
    </w:p>
    <w:p w14:paraId="7C0E710D">
      <w:pPr>
        <w:autoSpaceDE/>
        <w:autoSpaceDN/>
        <w:adjustRightInd/>
        <w:spacing w:line="360" w:lineRule="auto"/>
        <w:ind w:left="525" w:leftChars="0" w:right="0" w:rightChars="0"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27.4</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对</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价格的评审详见</w:t>
      </w:r>
      <w:r>
        <w:rPr>
          <w:rFonts w:hint="eastAsia" w:ascii="宋体" w:hAnsi="宋体" w:cs="宋体"/>
          <w:color w:val="auto"/>
          <w:kern w:val="2"/>
          <w:sz w:val="21"/>
          <w:szCs w:val="21"/>
          <w:highlight w:val="none"/>
          <w:lang w:val="en-US" w:eastAsia="zh-CN"/>
        </w:rPr>
        <w:t>评审</w:t>
      </w:r>
      <w:r>
        <w:rPr>
          <w:rFonts w:hint="eastAsia" w:ascii="宋体" w:hAnsi="宋体" w:eastAsia="宋体" w:cs="宋体"/>
          <w:color w:val="auto"/>
          <w:kern w:val="2"/>
          <w:sz w:val="21"/>
          <w:szCs w:val="21"/>
          <w:highlight w:val="none"/>
          <w:lang w:val="zh-CN"/>
        </w:rPr>
        <w:t>工作大纲。</w:t>
      </w:r>
    </w:p>
    <w:p w14:paraId="20DFCC83">
      <w:pPr>
        <w:autoSpaceDE/>
        <w:autoSpaceDN/>
        <w:adjustRightInd/>
        <w:spacing w:line="360" w:lineRule="auto"/>
        <w:ind w:left="525" w:leftChars="0" w:right="0" w:rightChars="0"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27.5</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本次</w:t>
      </w:r>
      <w:r>
        <w:rPr>
          <w:rFonts w:hint="eastAsia" w:ascii="宋体" w:hAnsi="宋体" w:cs="宋体"/>
          <w:color w:val="auto"/>
          <w:kern w:val="2"/>
          <w:sz w:val="21"/>
          <w:szCs w:val="21"/>
          <w:highlight w:val="none"/>
          <w:lang w:val="en-US" w:eastAsia="zh-CN"/>
        </w:rPr>
        <w:t>评审</w:t>
      </w:r>
      <w:r>
        <w:rPr>
          <w:rFonts w:hint="eastAsia" w:ascii="宋体" w:hAnsi="宋体" w:eastAsia="宋体" w:cs="宋体"/>
          <w:color w:val="auto"/>
          <w:kern w:val="2"/>
          <w:sz w:val="21"/>
          <w:szCs w:val="21"/>
          <w:highlight w:val="none"/>
          <w:lang w:val="zh-CN"/>
        </w:rPr>
        <w:t>的评分权重详见</w:t>
      </w:r>
      <w:r>
        <w:rPr>
          <w:rFonts w:hint="eastAsia" w:ascii="宋体" w:hAnsi="宋体" w:cs="宋体"/>
          <w:color w:val="auto"/>
          <w:kern w:val="2"/>
          <w:sz w:val="21"/>
          <w:szCs w:val="21"/>
          <w:highlight w:val="none"/>
          <w:lang w:val="en-US" w:eastAsia="zh-CN"/>
        </w:rPr>
        <w:t>评审</w:t>
      </w:r>
      <w:r>
        <w:rPr>
          <w:rFonts w:hint="eastAsia" w:ascii="宋体" w:hAnsi="宋体" w:eastAsia="宋体" w:cs="宋体"/>
          <w:color w:val="auto"/>
          <w:kern w:val="2"/>
          <w:sz w:val="21"/>
          <w:szCs w:val="21"/>
          <w:highlight w:val="none"/>
          <w:lang w:val="zh-CN"/>
        </w:rPr>
        <w:t>工作大纲。</w:t>
      </w:r>
    </w:p>
    <w:p w14:paraId="376FFA9D">
      <w:pPr>
        <w:autoSpaceDE/>
        <w:autoSpaceDN/>
        <w:adjustRightInd/>
        <w:spacing w:line="360" w:lineRule="auto"/>
        <w:ind w:left="525" w:hanging="525" w:hangingChars="250"/>
        <w:jc w:val="both"/>
        <w:outlineLvl w:val="9"/>
        <w:rPr>
          <w:rFonts w:hint="eastAsia" w:ascii="宋体" w:hAnsi="宋体" w:eastAsia="宋体" w:cs="宋体"/>
          <w:color w:val="auto"/>
          <w:highlight w:val="none"/>
          <w:lang w:val="zh-CN"/>
        </w:rPr>
      </w:pPr>
      <w:r>
        <w:rPr>
          <w:rFonts w:hint="eastAsia" w:ascii="宋体" w:hAnsi="宋体" w:eastAsia="宋体" w:cs="宋体"/>
          <w:color w:val="auto"/>
          <w:kern w:val="2"/>
          <w:sz w:val="21"/>
          <w:szCs w:val="21"/>
          <w:highlight w:val="none"/>
          <w:lang w:val="zh-CN"/>
        </w:rPr>
        <w:t>27.6</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根据上述商务、技术及价格综合评价的权重分配计算出各</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的综合得分。</w:t>
      </w:r>
    </w:p>
    <w:p w14:paraId="71A82A08">
      <w:pPr>
        <w:spacing w:line="360" w:lineRule="auto"/>
        <w:outlineLvl w:val="9"/>
        <w:rPr>
          <w:rFonts w:hint="eastAsia" w:ascii="宋体" w:hAnsi="宋体" w:eastAsia="宋体" w:cs="宋体"/>
          <w:color w:val="auto"/>
          <w:highlight w:val="none"/>
          <w:lang w:val="zh-CN"/>
        </w:rPr>
      </w:pPr>
    </w:p>
    <w:bookmarkEnd w:id="113"/>
    <w:bookmarkEnd w:id="114"/>
    <w:p w14:paraId="10EC667A">
      <w:pPr>
        <w:pageBreakBefore w:val="0"/>
        <w:widowControl w:val="0"/>
        <w:tabs>
          <w:tab w:val="left" w:pos="525"/>
        </w:tabs>
        <w:kinsoku/>
        <w:wordWrap/>
        <w:overflowPunct/>
        <w:topLinePunct w:val="0"/>
        <w:autoSpaceDE w:val="0"/>
        <w:autoSpaceDN w:val="0"/>
        <w:bidi w:val="0"/>
        <w:adjustRightInd w:val="0"/>
        <w:snapToGrid/>
        <w:spacing w:line="360" w:lineRule="auto"/>
        <w:ind w:left="567" w:hanging="525" w:hangingChars="250"/>
        <w:jc w:val="both"/>
        <w:textAlignment w:val="auto"/>
        <w:outlineLvl w:val="2"/>
        <w:rPr>
          <w:rFonts w:hint="eastAsia" w:ascii="宋体" w:hAnsi="宋体" w:eastAsia="宋体" w:cs="宋体"/>
          <w:color w:val="auto"/>
          <w:kern w:val="2"/>
          <w:sz w:val="21"/>
          <w:szCs w:val="21"/>
          <w:highlight w:val="none"/>
          <w:lang w:val="zh-CN"/>
        </w:rPr>
      </w:pPr>
      <w:bookmarkStart w:id="124" w:name="_Toc51642375"/>
      <w:bookmarkStart w:id="125" w:name="_Toc32098"/>
      <w:bookmarkStart w:id="126" w:name="_Toc521918097"/>
      <w:bookmarkStart w:id="127" w:name="_Toc450662879"/>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8</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评审原则及方法</w:t>
      </w:r>
      <w:bookmarkEnd w:id="124"/>
      <w:bookmarkEnd w:id="125"/>
    </w:p>
    <w:p w14:paraId="70D8B9F2">
      <w:pPr>
        <w:pageBreakBefore w:val="0"/>
        <w:widowControl w:val="0"/>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color w:val="auto"/>
          <w:kern w:val="2"/>
          <w:sz w:val="21"/>
          <w:szCs w:val="21"/>
          <w:highlight w:val="none"/>
          <w:lang w:val="zh-CN"/>
        </w:rPr>
      </w:pPr>
      <w:bookmarkStart w:id="128" w:name="_Toc56076579"/>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lang w:val="zh-CN"/>
        </w:rPr>
        <w:t>.1 磋商小组对所有响应文件的评审，都采用相同的程序和标准。</w:t>
      </w:r>
      <w:bookmarkEnd w:id="128"/>
    </w:p>
    <w:p w14:paraId="2C1D90FC">
      <w:pPr>
        <w:pageBreakBefore w:val="0"/>
        <w:widowControl w:val="0"/>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color w:val="auto"/>
          <w:kern w:val="2"/>
          <w:sz w:val="21"/>
          <w:szCs w:val="21"/>
          <w:highlight w:val="none"/>
          <w:lang w:val="zh-CN"/>
        </w:rPr>
      </w:pPr>
      <w:bookmarkStart w:id="129" w:name="_Toc56076580"/>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lang w:val="zh-CN"/>
        </w:rPr>
        <w:t>.2 评审严格按照竞争性磋商文件的要求和条件进行。</w:t>
      </w:r>
      <w:bookmarkEnd w:id="129"/>
    </w:p>
    <w:p w14:paraId="4D4BA19E">
      <w:pPr>
        <w:tabs>
          <w:tab w:val="left" w:pos="360"/>
        </w:tabs>
        <w:spacing w:line="360" w:lineRule="auto"/>
        <w:ind w:left="525" w:leftChars="0" w:right="51" w:hanging="525" w:hangingChars="250"/>
        <w:jc w:val="both"/>
        <w:rPr>
          <w:rFonts w:hint="eastAsia" w:ascii="宋体" w:hAnsi="宋体" w:eastAsia="宋体" w:cs="宋体"/>
          <w:color w:val="auto"/>
          <w:kern w:val="2"/>
          <w:sz w:val="21"/>
          <w:szCs w:val="21"/>
          <w:highlight w:val="none"/>
          <w:lang w:val="zh-CN"/>
        </w:rPr>
      </w:pPr>
      <w:bookmarkStart w:id="130" w:name="_Toc56076581"/>
      <w:r>
        <w:rPr>
          <w:rFonts w:hint="eastAsia" w:ascii="宋体" w:hAnsi="宋体" w:eastAsia="宋体" w:cs="宋体"/>
          <w:color w:val="auto"/>
          <w:kern w:val="2"/>
          <w:sz w:val="21"/>
          <w:szCs w:val="21"/>
          <w:highlight w:val="none"/>
          <w:lang w:val="zh-CN" w:eastAsia="zh-CN"/>
        </w:rPr>
        <w:t xml:space="preserve"> </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在评审时将根据第27条，采用综合评分法的评审方法，对所有实质响应性响应文件进行综合打分。</w:t>
      </w:r>
      <w:bookmarkEnd w:id="130"/>
    </w:p>
    <w:p w14:paraId="3ADD3DCD">
      <w:pPr>
        <w:pageBreakBefore w:val="0"/>
        <w:widowControl w:val="0"/>
        <w:tabs>
          <w:tab w:val="left" w:pos="360"/>
        </w:tabs>
        <w:kinsoku/>
        <w:wordWrap/>
        <w:overflowPunct/>
        <w:topLinePunct w:val="0"/>
        <w:autoSpaceDE w:val="0"/>
        <w:autoSpaceDN w:val="0"/>
        <w:bidi w:val="0"/>
        <w:adjustRightInd w:val="0"/>
        <w:snapToGrid/>
        <w:spacing w:line="360" w:lineRule="auto"/>
        <w:ind w:left="540" w:right="51" w:hanging="525" w:hangingChars="25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lang w:val="zh-CN"/>
        </w:rPr>
        <w:t>.</w:t>
      </w:r>
      <w:r>
        <w:rPr>
          <w:rFonts w:hint="eastAsia" w:ascii="宋体" w:hAnsi="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 xml:space="preserve"> </w:t>
      </w:r>
      <w:r>
        <w:rPr>
          <w:rFonts w:hint="eastAsia" w:ascii="宋体" w:hAnsi="宋体" w:eastAsia="宋体" w:cs="宋体"/>
          <w:b/>
          <w:bCs/>
          <w:color w:val="auto"/>
          <w:kern w:val="2"/>
          <w:sz w:val="21"/>
          <w:szCs w:val="21"/>
          <w:highlight w:val="none"/>
          <w:u w:val="single"/>
          <w:lang w:val="zh-CN"/>
        </w:rPr>
        <w:t>若本次</w:t>
      </w:r>
      <w:r>
        <w:rPr>
          <w:rFonts w:hint="eastAsia" w:ascii="宋体" w:hAnsi="宋体" w:eastAsia="宋体" w:cs="宋体"/>
          <w:b/>
          <w:bCs/>
          <w:color w:val="auto"/>
          <w:kern w:val="2"/>
          <w:sz w:val="21"/>
          <w:szCs w:val="21"/>
          <w:highlight w:val="none"/>
          <w:u w:val="single"/>
          <w:lang w:val="en-US" w:eastAsia="zh-CN"/>
        </w:rPr>
        <w:t>采购</w:t>
      </w:r>
      <w:r>
        <w:rPr>
          <w:rFonts w:hint="eastAsia" w:ascii="宋体" w:hAnsi="宋体" w:eastAsia="宋体" w:cs="宋体"/>
          <w:b/>
          <w:bCs/>
          <w:color w:val="auto"/>
          <w:kern w:val="2"/>
          <w:sz w:val="21"/>
          <w:szCs w:val="21"/>
          <w:highlight w:val="none"/>
          <w:u w:val="single"/>
          <w:lang w:val="zh-CN"/>
        </w:rPr>
        <w:t>过程中</w:t>
      </w:r>
      <w:r>
        <w:rPr>
          <w:rFonts w:hint="eastAsia" w:ascii="宋体" w:hAnsi="宋体" w:cs="宋体"/>
          <w:b/>
          <w:bCs/>
          <w:color w:val="auto"/>
          <w:kern w:val="2"/>
          <w:sz w:val="21"/>
          <w:szCs w:val="21"/>
          <w:highlight w:val="none"/>
          <w:u w:val="single"/>
          <w:lang w:val="en-US" w:eastAsia="zh-CN"/>
        </w:rPr>
        <w:t>单个包组</w:t>
      </w:r>
      <w:r>
        <w:rPr>
          <w:rFonts w:hint="eastAsia" w:ascii="宋体" w:hAnsi="宋体" w:eastAsia="宋体" w:cs="宋体"/>
          <w:b/>
          <w:bCs/>
          <w:color w:val="auto"/>
          <w:kern w:val="2"/>
          <w:sz w:val="21"/>
          <w:szCs w:val="21"/>
          <w:highlight w:val="none"/>
          <w:u w:val="single"/>
          <w:lang w:val="zh-CN"/>
        </w:rPr>
        <w:t>有效</w:t>
      </w:r>
      <w:r>
        <w:rPr>
          <w:rFonts w:hint="eastAsia" w:ascii="宋体" w:hAnsi="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en-US" w:eastAsia="zh-CN"/>
        </w:rPr>
        <w:t>供应商</w:t>
      </w:r>
      <w:r>
        <w:rPr>
          <w:rFonts w:hint="eastAsia" w:ascii="宋体" w:hAnsi="宋体" w:cs="宋体"/>
          <w:b/>
          <w:bCs/>
          <w:color w:val="auto"/>
          <w:kern w:val="2"/>
          <w:sz w:val="21"/>
          <w:szCs w:val="21"/>
          <w:highlight w:val="none"/>
          <w:u w:val="single"/>
          <w:lang w:val="en-US" w:eastAsia="zh-CN"/>
        </w:rPr>
        <w:t>不足三个时</w:t>
      </w:r>
      <w:r>
        <w:rPr>
          <w:rFonts w:hint="eastAsia" w:ascii="宋体" w:hAnsi="宋体" w:eastAsia="宋体" w:cs="宋体"/>
          <w:b/>
          <w:bCs/>
          <w:color w:val="auto"/>
          <w:kern w:val="2"/>
          <w:sz w:val="21"/>
          <w:szCs w:val="21"/>
          <w:highlight w:val="none"/>
          <w:u w:val="single"/>
          <w:lang w:val="en-US" w:eastAsia="zh-CN"/>
        </w:rPr>
        <w:t>，</w:t>
      </w:r>
      <w:r>
        <w:rPr>
          <w:rFonts w:hint="eastAsia" w:ascii="宋体" w:hAnsi="宋体" w:cs="宋体"/>
          <w:b/>
          <w:bCs/>
          <w:color w:val="auto"/>
          <w:kern w:val="2"/>
          <w:sz w:val="21"/>
          <w:szCs w:val="21"/>
          <w:highlight w:val="none"/>
          <w:u w:val="single"/>
          <w:lang w:val="en-US" w:eastAsia="zh-CN"/>
        </w:rPr>
        <w:t>对应包组</w:t>
      </w:r>
      <w:r>
        <w:rPr>
          <w:rFonts w:hint="eastAsia" w:ascii="宋体" w:hAnsi="宋体" w:eastAsia="宋体" w:cs="宋体"/>
          <w:b/>
          <w:bCs/>
          <w:color w:val="auto"/>
          <w:kern w:val="2"/>
          <w:sz w:val="21"/>
          <w:szCs w:val="21"/>
          <w:highlight w:val="none"/>
          <w:u w:val="single"/>
          <w:lang w:val="en-US" w:eastAsia="zh-CN"/>
        </w:rPr>
        <w:t>竞争性磋商失败</w:t>
      </w:r>
      <w:r>
        <w:rPr>
          <w:rFonts w:hint="eastAsia" w:ascii="宋体" w:hAnsi="宋体" w:eastAsia="宋体" w:cs="宋体"/>
          <w:b/>
          <w:bCs/>
          <w:color w:val="auto"/>
          <w:kern w:val="2"/>
          <w:sz w:val="21"/>
          <w:szCs w:val="21"/>
          <w:highlight w:val="none"/>
          <w:lang w:val="zh-CN"/>
        </w:rPr>
        <w:t>。</w:t>
      </w:r>
    </w:p>
    <w:p w14:paraId="0799CB64">
      <w:pPr>
        <w:pageBreakBefore w:val="0"/>
        <w:widowControl w:val="0"/>
        <w:tabs>
          <w:tab w:val="left" w:pos="360"/>
        </w:tabs>
        <w:kinsoku/>
        <w:wordWrap/>
        <w:overflowPunct/>
        <w:topLinePunct w:val="0"/>
        <w:autoSpaceDE w:val="0"/>
        <w:autoSpaceDN w:val="0"/>
        <w:bidi w:val="0"/>
        <w:adjustRightInd w:val="0"/>
        <w:snapToGrid/>
        <w:spacing w:line="360" w:lineRule="auto"/>
        <w:ind w:left="540" w:right="51" w:hanging="600" w:hangingChars="250"/>
        <w:jc w:val="both"/>
        <w:textAlignment w:val="auto"/>
        <w:rPr>
          <w:rFonts w:hint="eastAsia" w:ascii="宋体" w:hAnsi="宋体" w:eastAsia="宋体" w:cs="宋体"/>
          <w:color w:val="auto"/>
          <w:highlight w:val="none"/>
          <w:lang w:val="zh-CN"/>
        </w:rPr>
      </w:pPr>
    </w:p>
    <w:p w14:paraId="74D751D3">
      <w:pPr>
        <w:tabs>
          <w:tab w:val="left" w:pos="525"/>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31" w:name="_Toc14120"/>
      <w:bookmarkStart w:id="132" w:name="_Toc51642376"/>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9</w:t>
      </w:r>
      <w:r>
        <w:rPr>
          <w:rFonts w:hint="eastAsia" w:ascii="宋体" w:hAnsi="宋体" w:cs="宋体"/>
          <w:color w:val="auto"/>
          <w:kern w:val="2"/>
          <w:sz w:val="21"/>
          <w:szCs w:val="21"/>
          <w:highlight w:val="none"/>
          <w:lang w:val="en-US" w:eastAsia="zh-CN"/>
        </w:rPr>
        <w:t xml:space="preserve"> 评审</w:t>
      </w:r>
      <w:r>
        <w:rPr>
          <w:rFonts w:hint="eastAsia" w:ascii="宋体" w:hAnsi="宋体" w:eastAsia="宋体" w:cs="宋体"/>
          <w:color w:val="auto"/>
          <w:kern w:val="2"/>
          <w:sz w:val="21"/>
          <w:szCs w:val="21"/>
          <w:highlight w:val="none"/>
          <w:lang w:val="en-US" w:eastAsia="zh-CN"/>
        </w:rPr>
        <w:t>结果公示</w:t>
      </w:r>
      <w:r>
        <w:rPr>
          <w:rFonts w:hint="eastAsia" w:ascii="宋体" w:hAnsi="宋体" w:eastAsia="宋体" w:cs="宋体"/>
          <w:color w:val="auto"/>
          <w:kern w:val="2"/>
          <w:sz w:val="21"/>
          <w:szCs w:val="21"/>
          <w:highlight w:val="none"/>
          <w:lang w:val="zh-CN"/>
        </w:rPr>
        <w:t>及异议、投诉</w:t>
      </w:r>
      <w:bookmarkEnd w:id="131"/>
      <w:bookmarkEnd w:id="132"/>
    </w:p>
    <w:p w14:paraId="22A86FDD">
      <w:pPr>
        <w:tabs>
          <w:tab w:val="left" w:pos="360"/>
        </w:tabs>
        <w:spacing w:line="360" w:lineRule="auto"/>
        <w:ind w:left="525" w:right="51" w:hanging="525" w:hangingChars="250"/>
        <w:jc w:val="both"/>
        <w:rPr>
          <w:rFonts w:hint="eastAsia" w:ascii="宋体" w:hAnsi="宋体" w:eastAsia="宋体" w:cs="宋体"/>
          <w:color w:val="auto"/>
          <w:kern w:val="2"/>
          <w:sz w:val="21"/>
          <w:szCs w:val="21"/>
          <w:highlight w:val="none"/>
          <w:lang w:val="zh-CN"/>
        </w:rPr>
      </w:pPr>
      <w:bookmarkStart w:id="133" w:name="_Toc56076583"/>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lang w:val="zh-CN"/>
        </w:rPr>
        <w:t>.1 采购代理机构在</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公告发布媒介公示</w:t>
      </w:r>
      <w:r>
        <w:rPr>
          <w:rFonts w:hint="eastAsia" w:ascii="宋体" w:hAnsi="宋体" w:eastAsia="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候选人，公示期为3日。供应商或者其他利害关系人对</w:t>
      </w:r>
      <w:r>
        <w:rPr>
          <w:rFonts w:hint="eastAsia" w:ascii="宋体" w:hAnsi="宋体" w:cs="宋体"/>
          <w:color w:val="auto"/>
          <w:kern w:val="2"/>
          <w:sz w:val="21"/>
          <w:szCs w:val="21"/>
          <w:highlight w:val="none"/>
          <w:lang w:val="en-US" w:eastAsia="zh-CN"/>
        </w:rPr>
        <w:t>评审</w:t>
      </w:r>
      <w:r>
        <w:rPr>
          <w:rFonts w:hint="eastAsia" w:ascii="宋体" w:hAnsi="宋体" w:eastAsia="宋体" w:cs="宋体"/>
          <w:color w:val="auto"/>
          <w:kern w:val="2"/>
          <w:sz w:val="21"/>
          <w:szCs w:val="21"/>
          <w:highlight w:val="none"/>
          <w:lang w:val="zh-CN"/>
        </w:rPr>
        <w:t>结果有异议的，应当在</w:t>
      </w:r>
      <w:r>
        <w:rPr>
          <w:rFonts w:hint="eastAsia" w:ascii="宋体" w:hAnsi="宋体" w:cs="宋体"/>
          <w:color w:val="auto"/>
          <w:kern w:val="2"/>
          <w:sz w:val="21"/>
          <w:szCs w:val="21"/>
          <w:highlight w:val="none"/>
          <w:lang w:val="en-US" w:eastAsia="zh-CN"/>
        </w:rPr>
        <w:t>评审</w:t>
      </w:r>
      <w:r>
        <w:rPr>
          <w:rFonts w:hint="eastAsia" w:ascii="宋体" w:hAnsi="宋体" w:eastAsia="宋体" w:cs="宋体"/>
          <w:color w:val="auto"/>
          <w:kern w:val="2"/>
          <w:sz w:val="21"/>
          <w:szCs w:val="21"/>
          <w:highlight w:val="none"/>
          <w:lang w:val="zh-CN"/>
        </w:rPr>
        <w:t>结果公示期间向</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代理机构以书面的形式提出，并将完整的异议书面材料原件送达</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代理机构，逾期则视为对</w:t>
      </w:r>
      <w:r>
        <w:rPr>
          <w:rFonts w:hint="eastAsia" w:ascii="宋体" w:hAnsi="宋体" w:cs="宋体"/>
          <w:color w:val="auto"/>
          <w:kern w:val="2"/>
          <w:sz w:val="21"/>
          <w:szCs w:val="21"/>
          <w:highlight w:val="none"/>
          <w:lang w:val="en-US" w:eastAsia="zh-CN"/>
        </w:rPr>
        <w:t>评审</w:t>
      </w:r>
      <w:r>
        <w:rPr>
          <w:rFonts w:hint="eastAsia" w:ascii="宋体" w:hAnsi="宋体" w:eastAsia="宋体" w:cs="宋体"/>
          <w:color w:val="auto"/>
          <w:kern w:val="2"/>
          <w:sz w:val="21"/>
          <w:szCs w:val="21"/>
          <w:highlight w:val="none"/>
          <w:lang w:val="zh-CN"/>
        </w:rPr>
        <w:t>结果无异议。超出提交异议截止时间而提出的任何疑问，</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代理机构可不予答复。</w:t>
      </w:r>
    </w:p>
    <w:p w14:paraId="72468E5A">
      <w:pPr>
        <w:tabs>
          <w:tab w:val="left" w:pos="360"/>
        </w:tabs>
        <w:autoSpaceDE/>
        <w:autoSpaceDN/>
        <w:spacing w:line="360" w:lineRule="auto"/>
        <w:ind w:left="480" w:leftChars="200" w:right="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p>
    <w:p w14:paraId="3D45E356">
      <w:pPr>
        <w:tabs>
          <w:tab w:val="left" w:pos="360"/>
        </w:tabs>
        <w:autoSpaceDE/>
        <w:autoSpaceDN/>
        <w:spacing w:line="360" w:lineRule="auto"/>
        <w:ind w:left="0" w:right="22" w:rightChars="9" w:hanging="525" w:hangingChars="250"/>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29</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ab/>
      </w:r>
      <w:r>
        <w:rPr>
          <w:rFonts w:hint="eastAsia" w:ascii="宋体" w:hAnsi="宋体" w:eastAsia="宋体" w:cs="宋体"/>
          <w:b/>
          <w:bCs/>
          <w:color w:val="auto"/>
          <w:kern w:val="2"/>
          <w:sz w:val="21"/>
          <w:szCs w:val="21"/>
          <w:highlight w:val="none"/>
          <w:u w:val="single"/>
          <w:lang w:val="zh-CN"/>
        </w:rPr>
        <w:t>结果公示后，</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有权要求</w:t>
      </w:r>
      <w:r>
        <w:rPr>
          <w:rFonts w:hint="eastAsia" w:ascii="宋体" w:hAnsi="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候选人在结果公示之日起3日内提交</w:t>
      </w:r>
      <w:r>
        <w:rPr>
          <w:rFonts w:hint="eastAsia" w:ascii="宋体" w:hAnsi="宋体" w:eastAsia="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文件中所提供的资格证明文件、业绩证明文件、对</w:t>
      </w:r>
      <w:r>
        <w:rPr>
          <w:rFonts w:hint="eastAsia" w:ascii="宋体" w:hAnsi="宋体" w:eastAsia="宋体" w:cs="宋体"/>
          <w:b/>
          <w:bCs/>
          <w:color w:val="auto"/>
          <w:kern w:val="2"/>
          <w:sz w:val="21"/>
          <w:szCs w:val="21"/>
          <w:highlight w:val="none"/>
          <w:u w:val="single"/>
          <w:lang w:val="en-US" w:eastAsia="zh-CN"/>
        </w:rPr>
        <w:t>竞争性磋商</w:t>
      </w:r>
      <w:r>
        <w:rPr>
          <w:rFonts w:hint="eastAsia" w:ascii="宋体" w:hAnsi="宋体" w:eastAsia="宋体" w:cs="宋体"/>
          <w:b/>
          <w:bCs/>
          <w:color w:val="auto"/>
          <w:kern w:val="2"/>
          <w:sz w:val="21"/>
          <w:szCs w:val="21"/>
          <w:highlight w:val="none"/>
          <w:u w:val="single"/>
          <w:lang w:val="zh-CN"/>
        </w:rPr>
        <w:t>文件实质性条款响应文件、履约能力证明文件的原件供</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核查。</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如有需要，</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候选人有义务提供</w:t>
      </w:r>
      <w:r>
        <w:rPr>
          <w:rFonts w:hint="eastAsia" w:ascii="宋体" w:hAnsi="宋体" w:eastAsia="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文件外其他相关证明资料原件（包括但不限于业绩合同对应的发票等）供</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核查。</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如发现</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人提供虚假证明文件、虚假响应文件等弄虚作假行为骗取</w:t>
      </w:r>
      <w:r>
        <w:rPr>
          <w:rFonts w:hint="eastAsia" w:ascii="宋体" w:hAnsi="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的，</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将取消其</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资格</w:t>
      </w:r>
      <w:r>
        <w:rPr>
          <w:rFonts w:hint="eastAsia" w:ascii="宋体" w:hAnsi="宋体" w:cs="宋体"/>
          <w:b/>
          <w:bCs/>
          <w:color w:val="auto"/>
          <w:kern w:val="2"/>
          <w:sz w:val="21"/>
          <w:szCs w:val="21"/>
          <w:highlight w:val="none"/>
          <w:u w:val="single"/>
          <w:lang w:val="zh-CN"/>
        </w:rPr>
        <w:t>，</w:t>
      </w:r>
      <w:r>
        <w:rPr>
          <w:rFonts w:hint="eastAsia" w:ascii="宋体" w:hAnsi="宋体" w:cs="宋体"/>
          <w:b/>
          <w:bCs/>
          <w:color w:val="auto"/>
          <w:kern w:val="2"/>
          <w:sz w:val="21"/>
          <w:szCs w:val="21"/>
          <w:highlight w:val="none"/>
          <w:u w:val="single"/>
          <w:lang w:val="en-US" w:eastAsia="zh-CN"/>
        </w:rPr>
        <w:t>不予退还其磋商保证金</w:t>
      </w:r>
      <w:r>
        <w:rPr>
          <w:rFonts w:hint="eastAsia" w:ascii="宋体" w:hAnsi="宋体" w:eastAsia="宋体" w:cs="宋体"/>
          <w:b/>
          <w:bCs/>
          <w:color w:val="auto"/>
          <w:kern w:val="2"/>
          <w:sz w:val="21"/>
          <w:szCs w:val="21"/>
          <w:highlight w:val="none"/>
          <w:u w:val="single"/>
          <w:lang w:val="zh-CN"/>
        </w:rPr>
        <w:t>。涉嫌违法犯罪的，将移交司法机关处理</w:t>
      </w:r>
      <w:r>
        <w:rPr>
          <w:rFonts w:hint="eastAsia" w:ascii="宋体" w:hAnsi="宋体" w:eastAsia="宋体" w:cs="宋体"/>
          <w:b/>
          <w:bCs/>
          <w:color w:val="auto"/>
          <w:kern w:val="2"/>
          <w:sz w:val="21"/>
          <w:szCs w:val="21"/>
          <w:highlight w:val="none"/>
          <w:lang w:val="zh-CN"/>
        </w:rPr>
        <w:t>。</w:t>
      </w:r>
    </w:p>
    <w:p w14:paraId="61239D78">
      <w:pPr>
        <w:autoSpaceDE/>
        <w:autoSpaceDN/>
        <w:adjustRightInd/>
        <w:snapToGrid/>
        <w:spacing w:line="360" w:lineRule="auto"/>
        <w:ind w:left="480" w:leftChars="200" w:firstLine="422" w:firstLineChars="200"/>
        <w:jc w:val="both"/>
        <w:rPr>
          <w:rFonts w:hint="eastAsia" w:ascii="宋体" w:hAnsi="宋体" w:eastAsia="宋体" w:cs="宋体"/>
          <w:b w:val="0"/>
          <w:color w:val="auto"/>
          <w:kern w:val="2"/>
          <w:sz w:val="21"/>
          <w:szCs w:val="21"/>
          <w:highlight w:val="none"/>
          <w:lang w:val="zh-CN"/>
        </w:rPr>
      </w:pPr>
      <w:r>
        <w:rPr>
          <w:rFonts w:hint="eastAsia" w:ascii="宋体" w:hAnsi="宋体" w:eastAsia="宋体" w:cs="宋体"/>
          <w:b/>
          <w:bCs/>
          <w:color w:val="auto"/>
          <w:kern w:val="2"/>
          <w:sz w:val="21"/>
          <w:szCs w:val="21"/>
          <w:highlight w:val="none"/>
          <w:u w:val="single"/>
          <w:lang w:val="zh-CN"/>
        </w:rPr>
        <w:t>当</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（或其委托的</w:t>
      </w:r>
      <w:r>
        <w:rPr>
          <w:rFonts w:hint="eastAsia" w:ascii="宋体" w:hAnsi="宋体" w:eastAsia="宋体" w:cs="宋体"/>
          <w:b/>
          <w:bCs/>
          <w:color w:val="auto"/>
          <w:kern w:val="2"/>
          <w:sz w:val="21"/>
          <w:szCs w:val="21"/>
          <w:highlight w:val="none"/>
          <w:u w:val="single"/>
          <w:lang w:val="en-US" w:eastAsia="zh-CN"/>
        </w:rPr>
        <w:t>采购</w:t>
      </w:r>
      <w:r>
        <w:rPr>
          <w:rFonts w:hint="eastAsia" w:ascii="宋体" w:hAnsi="宋体" w:eastAsia="宋体" w:cs="宋体"/>
          <w:b/>
          <w:bCs/>
          <w:color w:val="auto"/>
          <w:kern w:val="2"/>
          <w:sz w:val="21"/>
          <w:szCs w:val="21"/>
          <w:highlight w:val="none"/>
          <w:u w:val="single"/>
          <w:lang w:val="zh-CN"/>
        </w:rPr>
        <w:t>代理机构）向</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候选人发出提供上述</w:t>
      </w:r>
      <w:r>
        <w:rPr>
          <w:rFonts w:hint="eastAsia" w:ascii="宋体" w:hAnsi="宋体" w:eastAsia="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文件或</w:t>
      </w:r>
      <w:r>
        <w:rPr>
          <w:rFonts w:hint="eastAsia" w:ascii="宋体" w:hAnsi="宋体" w:eastAsia="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文件外其他相关（包括但不限于业绩合同对应的发票等）的证明资料原件进行核查的书面通知后，第一</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候选人未能在</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（或其委托的</w:t>
      </w:r>
      <w:r>
        <w:rPr>
          <w:rFonts w:hint="eastAsia" w:ascii="宋体" w:hAnsi="宋体" w:eastAsia="宋体" w:cs="宋体"/>
          <w:b/>
          <w:bCs/>
          <w:color w:val="auto"/>
          <w:kern w:val="2"/>
          <w:sz w:val="21"/>
          <w:szCs w:val="21"/>
          <w:highlight w:val="none"/>
          <w:u w:val="single"/>
          <w:lang w:val="en-US" w:eastAsia="zh-CN"/>
        </w:rPr>
        <w:t>采购</w:t>
      </w:r>
      <w:r>
        <w:rPr>
          <w:rFonts w:hint="eastAsia" w:ascii="宋体" w:hAnsi="宋体" w:eastAsia="宋体" w:cs="宋体"/>
          <w:b/>
          <w:bCs/>
          <w:color w:val="auto"/>
          <w:kern w:val="2"/>
          <w:sz w:val="21"/>
          <w:szCs w:val="21"/>
          <w:highlight w:val="none"/>
          <w:u w:val="single"/>
          <w:lang w:val="zh-CN"/>
        </w:rPr>
        <w:t>代理机构) 书面要求的时间(一般不少于三个工作日) 内提供完整的材料原件进行核查的，视为其无法提供真实的资料，</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有权取消其</w:t>
      </w:r>
      <w:r>
        <w:rPr>
          <w:rFonts w:hint="eastAsia" w:ascii="宋体" w:hAnsi="宋体" w:eastAsia="宋体" w:cs="宋体"/>
          <w:b/>
          <w:bCs/>
          <w:color w:val="auto"/>
          <w:kern w:val="2"/>
          <w:sz w:val="21"/>
          <w:szCs w:val="21"/>
          <w:highlight w:val="none"/>
          <w:u w:val="single"/>
          <w:lang w:val="en-US" w:eastAsia="zh-CN"/>
        </w:rPr>
        <w:t>成交候</w:t>
      </w:r>
      <w:r>
        <w:rPr>
          <w:rFonts w:hint="eastAsia" w:ascii="宋体" w:hAnsi="宋体" w:eastAsia="宋体" w:cs="宋体"/>
          <w:b/>
          <w:bCs/>
          <w:color w:val="auto"/>
          <w:kern w:val="2"/>
          <w:sz w:val="21"/>
          <w:szCs w:val="21"/>
          <w:highlight w:val="none"/>
          <w:u w:val="single"/>
          <w:lang w:val="zh-CN"/>
        </w:rPr>
        <w:t>选人资格</w:t>
      </w:r>
      <w:r>
        <w:rPr>
          <w:rFonts w:hint="eastAsia" w:ascii="宋体" w:hAnsi="宋体" w:eastAsia="宋体" w:cs="宋体"/>
          <w:b/>
          <w:bCs/>
          <w:color w:val="auto"/>
          <w:kern w:val="2"/>
          <w:sz w:val="21"/>
          <w:szCs w:val="21"/>
          <w:highlight w:val="none"/>
          <w:lang w:val="zh-CN"/>
        </w:rPr>
        <w:t>。</w:t>
      </w:r>
    </w:p>
    <w:bookmarkEnd w:id="126"/>
    <w:bookmarkEnd w:id="127"/>
    <w:bookmarkEnd w:id="133"/>
    <w:p w14:paraId="3BDF7F8D">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 xml:space="preserve"> 供应商或者其他利害关系人认为采购活动不符合法律、行政法规规定的，可以自知道或者应当知道之日起10日内，按程序向采购人</w:t>
      </w:r>
      <w:r>
        <w:rPr>
          <w:rFonts w:hint="eastAsia" w:ascii="宋体" w:hAnsi="宋体" w:cs="宋体"/>
          <w:color w:val="auto"/>
          <w:kern w:val="2"/>
          <w:sz w:val="21"/>
          <w:szCs w:val="21"/>
          <w:highlight w:val="none"/>
          <w:lang w:val="en-US" w:eastAsia="zh-CN"/>
        </w:rPr>
        <w:t>采购活动的监督部门</w:t>
      </w:r>
      <w:r>
        <w:rPr>
          <w:rFonts w:hint="eastAsia" w:ascii="宋体" w:hAnsi="宋体" w:eastAsia="宋体" w:cs="宋体"/>
          <w:color w:val="auto"/>
          <w:kern w:val="2"/>
          <w:sz w:val="21"/>
          <w:szCs w:val="21"/>
          <w:highlight w:val="none"/>
          <w:lang w:val="zh-CN"/>
        </w:rPr>
        <w:t>投诉。投诉应当提供</w:t>
      </w:r>
      <w:r>
        <w:rPr>
          <w:rFonts w:hint="eastAsia" w:ascii="宋体" w:hAnsi="宋体" w:eastAsia="宋体" w:cs="宋体"/>
          <w:color w:val="auto"/>
          <w:sz w:val="21"/>
          <w:szCs w:val="21"/>
          <w:highlight w:val="none"/>
          <w:lang w:val="zh-CN"/>
        </w:rPr>
        <w:t>有明确请求</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kern w:val="2"/>
          <w:sz w:val="21"/>
          <w:szCs w:val="21"/>
          <w:highlight w:val="none"/>
          <w:lang w:val="zh-CN"/>
        </w:rPr>
        <w:t>纸质投诉书及必要的证明材料。投诉书应当包括下列内容：</w:t>
      </w:r>
    </w:p>
    <w:p w14:paraId="2AE3D884">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（一）投诉人和被投诉人的姓名或者名称、通讯地址、邮编、联系人及联系电话；</w:t>
      </w:r>
    </w:p>
    <w:p w14:paraId="7F39F084">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（二）异议和异议答复情况说明及相关证明材料；</w:t>
      </w:r>
    </w:p>
    <w:p w14:paraId="727BC9CC">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（三）具体、明确的投诉事项和与投诉事项相关的投诉请求；</w:t>
      </w:r>
    </w:p>
    <w:p w14:paraId="6E7A47AA">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（四）事实依据；</w:t>
      </w:r>
    </w:p>
    <w:p w14:paraId="493BE79A">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（五）法律依据；</w:t>
      </w:r>
    </w:p>
    <w:p w14:paraId="01D4CBF9">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（六）提起投诉的日期；</w:t>
      </w:r>
    </w:p>
    <w:p w14:paraId="58468917">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投诉人为法人或者其他组织的，应当由法定代表人、主要负责人，或者其授权代表签字或者盖章，并加盖公章。</w:t>
      </w:r>
    </w:p>
    <w:p w14:paraId="2A9C32B9">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投诉人投诉的事项不得超出</w:t>
      </w:r>
      <w:r>
        <w:rPr>
          <w:rFonts w:hint="eastAsia" w:ascii="宋体" w:hAnsi="宋体" w:cs="宋体"/>
          <w:color w:val="auto"/>
          <w:kern w:val="2"/>
          <w:sz w:val="21"/>
          <w:szCs w:val="21"/>
          <w:highlight w:val="none"/>
          <w:lang w:val="en-US" w:eastAsia="zh-CN"/>
        </w:rPr>
        <w:t>异议</w:t>
      </w:r>
      <w:r>
        <w:rPr>
          <w:rFonts w:hint="eastAsia" w:ascii="宋体" w:hAnsi="宋体" w:eastAsia="宋体" w:cs="宋体"/>
          <w:color w:val="auto"/>
          <w:kern w:val="2"/>
          <w:sz w:val="21"/>
          <w:szCs w:val="21"/>
          <w:highlight w:val="none"/>
          <w:lang w:val="zh-CN"/>
        </w:rPr>
        <w:t>事项的范围，但基于异议答复内容提出的投诉事项除外。</w:t>
      </w:r>
    </w:p>
    <w:p w14:paraId="274EDB31">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监督</w:t>
      </w:r>
      <w:r>
        <w:rPr>
          <w:rFonts w:hint="eastAsia" w:ascii="宋体" w:hAnsi="宋体" w:eastAsia="宋体" w:cs="宋体"/>
          <w:color w:val="auto"/>
          <w:kern w:val="2"/>
          <w:sz w:val="21"/>
          <w:szCs w:val="21"/>
          <w:highlight w:val="none"/>
          <w:lang w:val="zh-CN"/>
        </w:rPr>
        <w:t>部门：东莞市水务集团有限公司，联系人：莫先生，联系电话：0769-28823251。</w:t>
      </w:r>
    </w:p>
    <w:p w14:paraId="3D13BAD9">
      <w:pPr>
        <w:snapToGrid w:val="0"/>
        <w:spacing w:line="360" w:lineRule="auto"/>
        <w:ind w:left="529" w:hanging="529" w:hangingChars="252"/>
        <w:jc w:val="both"/>
        <w:rPr>
          <w:rFonts w:hint="eastAsia" w:ascii="宋体" w:hAnsi="宋体" w:eastAsia="宋体" w:cs="宋体"/>
          <w:color w:val="auto"/>
          <w:kern w:val="2"/>
          <w:sz w:val="21"/>
          <w:szCs w:val="21"/>
          <w:highlight w:val="none"/>
          <w:lang w:val="zh-CN"/>
        </w:rPr>
      </w:pPr>
    </w:p>
    <w:p w14:paraId="2BCDCE85">
      <w:pPr>
        <w:tabs>
          <w:tab w:val="left" w:pos="567"/>
        </w:tabs>
        <w:spacing w:line="360" w:lineRule="auto"/>
        <w:jc w:val="both"/>
        <w:outlineLvl w:val="2"/>
        <w:rPr>
          <w:rFonts w:hint="eastAsia" w:ascii="宋体" w:hAnsi="宋体" w:eastAsia="宋体" w:cs="宋体"/>
          <w:b/>
          <w:bCs/>
          <w:color w:val="auto"/>
          <w:kern w:val="2"/>
          <w:sz w:val="21"/>
          <w:szCs w:val="21"/>
          <w:highlight w:val="none"/>
          <w:lang w:val="zh-CN"/>
        </w:rPr>
      </w:pPr>
      <w:bookmarkStart w:id="134" w:name="_Toc466882018"/>
      <w:bookmarkStart w:id="135" w:name="_Toc521918099"/>
      <w:bookmarkStart w:id="136" w:name="_Toc465358970"/>
      <w:bookmarkStart w:id="137" w:name="_Toc7700"/>
      <w:r>
        <w:rPr>
          <w:rFonts w:hint="eastAsia" w:ascii="宋体" w:hAnsi="宋体" w:eastAsia="宋体" w:cs="宋体"/>
          <w:b/>
          <w:bCs/>
          <w:color w:val="auto"/>
          <w:kern w:val="2"/>
          <w:sz w:val="21"/>
          <w:szCs w:val="21"/>
          <w:highlight w:val="none"/>
          <w:lang w:val="en-US" w:eastAsia="zh-CN"/>
        </w:rPr>
        <w:t>30</w:t>
      </w:r>
      <w:r>
        <w:rPr>
          <w:rFonts w:hint="eastAsia" w:ascii="宋体" w:hAnsi="宋体" w:cs="宋体"/>
          <w:b/>
          <w:bCs/>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lang w:val="zh-CN"/>
        </w:rPr>
        <w:t>真实性审查</w:t>
      </w:r>
      <w:bookmarkEnd w:id="134"/>
      <w:bookmarkEnd w:id="135"/>
      <w:bookmarkEnd w:id="136"/>
      <w:bookmarkEnd w:id="137"/>
    </w:p>
    <w:p w14:paraId="7F59B657">
      <w:pPr>
        <w:snapToGrid w:val="0"/>
        <w:spacing w:line="360" w:lineRule="auto"/>
        <w:ind w:left="529" w:hanging="531" w:hangingChars="252"/>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en-US" w:eastAsia="zh-CN"/>
        </w:rPr>
        <w:t>30</w:t>
      </w:r>
      <w:r>
        <w:rPr>
          <w:rFonts w:hint="eastAsia" w:ascii="宋体" w:hAnsi="宋体" w:eastAsia="宋体" w:cs="宋体"/>
          <w:b/>
          <w:bCs/>
          <w:color w:val="auto"/>
          <w:kern w:val="2"/>
          <w:sz w:val="21"/>
          <w:szCs w:val="21"/>
          <w:highlight w:val="none"/>
          <w:lang w:val="zh-CN"/>
        </w:rPr>
        <w:t xml:space="preserve">.1 </w:t>
      </w:r>
      <w:r>
        <w:rPr>
          <w:rFonts w:hint="eastAsia" w:ascii="宋体" w:hAnsi="宋体" w:eastAsia="宋体" w:cs="宋体"/>
          <w:b/>
          <w:bCs/>
          <w:color w:val="auto"/>
          <w:kern w:val="2"/>
          <w:sz w:val="21"/>
          <w:szCs w:val="21"/>
          <w:highlight w:val="none"/>
          <w:u w:val="single"/>
          <w:lang w:val="zh-CN"/>
        </w:rPr>
        <w:t>在授予合同前，采购人（或其委托的采购代理机构）或磋商小组有权组织对供应商的真实性审查。包括对供应商资格证明文件、</w:t>
      </w:r>
      <w:r>
        <w:rPr>
          <w:rFonts w:hint="eastAsia" w:ascii="宋体" w:hAnsi="宋体" w:eastAsia="宋体" w:cs="宋体"/>
          <w:b/>
          <w:bCs/>
          <w:color w:val="auto"/>
          <w:kern w:val="2"/>
          <w:sz w:val="21"/>
          <w:szCs w:val="21"/>
          <w:highlight w:val="none"/>
          <w:u w:val="single"/>
        </w:rPr>
        <w:t>业绩证明资料</w:t>
      </w:r>
      <w:r>
        <w:rPr>
          <w:rFonts w:hint="eastAsia" w:ascii="宋体" w:hAnsi="宋体" w:eastAsia="宋体" w:cs="宋体"/>
          <w:b/>
          <w:bCs/>
          <w:color w:val="auto"/>
          <w:kern w:val="2"/>
          <w:sz w:val="21"/>
          <w:szCs w:val="21"/>
          <w:highlight w:val="none"/>
          <w:u w:val="single"/>
          <w:lang w:val="zh-CN"/>
        </w:rPr>
        <w:t>、对竞争性磋商文件实质性条款响应文件、履约能力证明文件的真实性进行核查。</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sz w:val="21"/>
          <w:szCs w:val="21"/>
          <w:highlight w:val="none"/>
          <w:u w:val="single"/>
          <w:lang w:val="zh-CN"/>
        </w:rPr>
        <w:t>如有需要，</w:t>
      </w:r>
      <w:r>
        <w:rPr>
          <w:rFonts w:hint="eastAsia" w:ascii="宋体" w:hAnsi="宋体" w:eastAsia="宋体" w:cs="宋体"/>
          <w:b/>
          <w:bCs/>
          <w:color w:val="auto"/>
          <w:sz w:val="21"/>
          <w:szCs w:val="21"/>
          <w:highlight w:val="none"/>
          <w:u w:val="single"/>
          <w:lang w:val="en-US" w:eastAsia="zh-CN"/>
        </w:rPr>
        <w:t>供应商</w:t>
      </w:r>
      <w:r>
        <w:rPr>
          <w:rFonts w:hint="eastAsia" w:ascii="宋体" w:hAnsi="宋体" w:eastAsia="宋体" w:cs="宋体"/>
          <w:b/>
          <w:bCs/>
          <w:color w:val="auto"/>
          <w:sz w:val="21"/>
          <w:szCs w:val="21"/>
          <w:highlight w:val="none"/>
          <w:u w:val="single"/>
          <w:lang w:val="zh-CN"/>
        </w:rPr>
        <w:t>有义务提供</w:t>
      </w:r>
      <w:r>
        <w:rPr>
          <w:rFonts w:hint="eastAsia" w:ascii="宋体" w:hAnsi="宋体" w:eastAsia="宋体" w:cs="宋体"/>
          <w:b/>
          <w:bCs/>
          <w:color w:val="auto"/>
          <w:sz w:val="21"/>
          <w:szCs w:val="21"/>
          <w:highlight w:val="none"/>
          <w:u w:val="single"/>
          <w:lang w:val="en-US" w:eastAsia="zh-CN"/>
        </w:rPr>
        <w:t>响应</w:t>
      </w:r>
      <w:r>
        <w:rPr>
          <w:rFonts w:hint="eastAsia" w:ascii="宋体" w:hAnsi="宋体" w:eastAsia="宋体" w:cs="宋体"/>
          <w:b/>
          <w:bCs/>
          <w:color w:val="auto"/>
          <w:sz w:val="21"/>
          <w:szCs w:val="21"/>
          <w:highlight w:val="none"/>
          <w:u w:val="single"/>
          <w:lang w:val="zh-CN"/>
        </w:rPr>
        <w:t>文件外其他相关证明资料原件（包括但不限于业绩合同对应的发票等）供</w:t>
      </w:r>
      <w:r>
        <w:rPr>
          <w:rFonts w:hint="eastAsia" w:ascii="宋体" w:hAnsi="宋体" w:eastAsia="宋体" w:cs="宋体"/>
          <w:b/>
          <w:bCs/>
          <w:color w:val="auto"/>
          <w:sz w:val="21"/>
          <w:szCs w:val="21"/>
          <w:highlight w:val="none"/>
          <w:u w:val="single"/>
          <w:lang w:val="en-US" w:eastAsia="zh-CN"/>
        </w:rPr>
        <w:t>采购人</w:t>
      </w:r>
      <w:r>
        <w:rPr>
          <w:rFonts w:hint="eastAsia" w:ascii="宋体" w:hAnsi="宋体" w:eastAsia="宋体" w:cs="宋体"/>
          <w:b/>
          <w:bCs/>
          <w:color w:val="auto"/>
          <w:sz w:val="21"/>
          <w:szCs w:val="21"/>
          <w:highlight w:val="none"/>
          <w:u w:val="single"/>
          <w:lang w:val="zh-CN"/>
        </w:rPr>
        <w:t>核查。</w:t>
      </w:r>
      <w:r>
        <w:rPr>
          <w:rFonts w:hint="eastAsia" w:ascii="宋体" w:hAnsi="宋体" w:eastAsia="宋体" w:cs="宋体"/>
          <w:b/>
          <w:bCs/>
          <w:color w:val="auto"/>
          <w:kern w:val="2"/>
          <w:sz w:val="21"/>
          <w:szCs w:val="21"/>
          <w:highlight w:val="none"/>
          <w:u w:val="single"/>
          <w:lang w:val="zh-CN"/>
        </w:rPr>
        <w:t>若发现</w:t>
      </w:r>
      <w:r>
        <w:rPr>
          <w:rFonts w:hint="eastAsia" w:ascii="宋体" w:hAnsi="宋体" w:cs="宋体"/>
          <w:b/>
          <w:bCs/>
          <w:color w:val="auto"/>
          <w:kern w:val="2"/>
          <w:sz w:val="21"/>
          <w:szCs w:val="21"/>
          <w:highlight w:val="none"/>
          <w:u w:val="single"/>
          <w:lang w:val="en-US" w:eastAsia="zh-CN"/>
        </w:rPr>
        <w:t>供应商</w:t>
      </w:r>
      <w:r>
        <w:rPr>
          <w:rFonts w:hint="eastAsia" w:ascii="宋体" w:hAnsi="宋体" w:eastAsia="宋体" w:cs="宋体"/>
          <w:b/>
          <w:bCs/>
          <w:color w:val="auto"/>
          <w:kern w:val="2"/>
          <w:sz w:val="21"/>
          <w:szCs w:val="21"/>
          <w:highlight w:val="none"/>
          <w:u w:val="single"/>
          <w:lang w:val="zh-CN"/>
        </w:rPr>
        <w:t>提供虚假证明文件、虚假响应文件等弄虚作假行为的，或经审查确认其经营、财务状况发生较大变化（或者存在违法行为）导致无法按照响应文件的承诺履约的，或其明确表示不按照响应文件承诺履约等影响</w:t>
      </w:r>
      <w:r>
        <w:rPr>
          <w:rFonts w:hint="eastAsia" w:ascii="宋体" w:hAnsi="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结果的行为，采购人有权</w:t>
      </w:r>
      <w:r>
        <w:rPr>
          <w:rFonts w:hint="eastAsia" w:ascii="宋体" w:hAnsi="宋体" w:eastAsia="宋体" w:cs="宋体"/>
          <w:b/>
          <w:bCs/>
          <w:color w:val="auto"/>
          <w:kern w:val="0"/>
          <w:sz w:val="21"/>
          <w:szCs w:val="21"/>
          <w:highlight w:val="none"/>
          <w:u w:val="single"/>
        </w:rPr>
        <w:t>按照</w:t>
      </w:r>
      <w:r>
        <w:rPr>
          <w:rFonts w:hint="eastAsia" w:ascii="宋体" w:hAnsi="宋体" w:eastAsia="宋体" w:cs="宋体"/>
          <w:b/>
          <w:bCs/>
          <w:color w:val="auto"/>
          <w:kern w:val="0"/>
          <w:sz w:val="21"/>
          <w:szCs w:val="21"/>
          <w:highlight w:val="none"/>
          <w:u w:val="single"/>
          <w:lang w:val="en-US" w:eastAsia="zh-CN"/>
        </w:rPr>
        <w:t>磋商小组</w:t>
      </w:r>
      <w:r>
        <w:rPr>
          <w:rFonts w:hint="eastAsia" w:ascii="宋体" w:hAnsi="宋体" w:eastAsia="宋体" w:cs="宋体"/>
          <w:b/>
          <w:bCs/>
          <w:color w:val="auto"/>
          <w:kern w:val="0"/>
          <w:sz w:val="21"/>
          <w:szCs w:val="21"/>
          <w:highlight w:val="none"/>
          <w:u w:val="single"/>
        </w:rPr>
        <w:t>提出</w:t>
      </w:r>
      <w:r>
        <w:rPr>
          <w:rFonts w:hint="eastAsia" w:ascii="宋体" w:hAnsi="宋体" w:eastAsia="宋体" w:cs="宋体"/>
          <w:b/>
          <w:bCs/>
          <w:color w:val="auto"/>
          <w:kern w:val="0"/>
          <w:sz w:val="21"/>
          <w:szCs w:val="21"/>
          <w:highlight w:val="none"/>
          <w:u w:val="single"/>
          <w:lang w:val="en-US" w:eastAsia="zh-CN"/>
        </w:rPr>
        <w:t>的成交</w:t>
      </w:r>
      <w:r>
        <w:rPr>
          <w:rFonts w:hint="eastAsia" w:ascii="宋体" w:hAnsi="宋体" w:eastAsia="宋体" w:cs="宋体"/>
          <w:b/>
          <w:bCs/>
          <w:color w:val="auto"/>
          <w:kern w:val="0"/>
          <w:sz w:val="21"/>
          <w:szCs w:val="21"/>
          <w:highlight w:val="none"/>
          <w:u w:val="single"/>
        </w:rPr>
        <w:t>候选人名单排序依次确定其他</w:t>
      </w:r>
      <w:r>
        <w:rPr>
          <w:rFonts w:hint="eastAsia" w:ascii="宋体" w:hAnsi="宋体" w:eastAsia="宋体" w:cs="宋体"/>
          <w:b/>
          <w:bCs/>
          <w:color w:val="auto"/>
          <w:kern w:val="0"/>
          <w:sz w:val="21"/>
          <w:szCs w:val="21"/>
          <w:highlight w:val="none"/>
          <w:u w:val="single"/>
          <w:lang w:val="en-US" w:eastAsia="zh-CN"/>
        </w:rPr>
        <w:t>成交</w:t>
      </w:r>
      <w:r>
        <w:rPr>
          <w:rFonts w:hint="eastAsia" w:ascii="宋体" w:hAnsi="宋体" w:eastAsia="宋体" w:cs="宋体"/>
          <w:b/>
          <w:bCs/>
          <w:color w:val="auto"/>
          <w:kern w:val="0"/>
          <w:sz w:val="21"/>
          <w:szCs w:val="21"/>
          <w:highlight w:val="none"/>
          <w:u w:val="single"/>
        </w:rPr>
        <w:t>候选人为</w:t>
      </w:r>
      <w:r>
        <w:rPr>
          <w:rFonts w:hint="eastAsia" w:ascii="宋体" w:hAnsi="宋体" w:eastAsia="宋体" w:cs="宋体"/>
          <w:b/>
          <w:bCs/>
          <w:color w:val="auto"/>
          <w:kern w:val="0"/>
          <w:sz w:val="21"/>
          <w:szCs w:val="21"/>
          <w:highlight w:val="none"/>
          <w:u w:val="single"/>
          <w:lang w:val="en-US" w:eastAsia="zh-CN"/>
        </w:rPr>
        <w:t>成交</w:t>
      </w:r>
      <w:r>
        <w:rPr>
          <w:rFonts w:hint="eastAsia" w:ascii="宋体" w:hAnsi="宋体" w:eastAsia="宋体" w:cs="宋体"/>
          <w:b/>
          <w:bCs/>
          <w:color w:val="auto"/>
          <w:kern w:val="0"/>
          <w:sz w:val="21"/>
          <w:szCs w:val="21"/>
          <w:highlight w:val="none"/>
          <w:u w:val="single"/>
        </w:rPr>
        <w:t>人或重新</w:t>
      </w:r>
      <w:r>
        <w:rPr>
          <w:rFonts w:hint="eastAsia" w:ascii="宋体" w:hAnsi="宋体" w:eastAsia="宋体" w:cs="宋体"/>
          <w:b/>
          <w:bCs/>
          <w:color w:val="auto"/>
          <w:kern w:val="0"/>
          <w:sz w:val="21"/>
          <w:szCs w:val="21"/>
          <w:highlight w:val="none"/>
          <w:u w:val="single"/>
          <w:lang w:val="en-US" w:eastAsia="zh-CN"/>
        </w:rPr>
        <w:t>采购</w:t>
      </w:r>
      <w:r>
        <w:rPr>
          <w:rFonts w:hint="eastAsia" w:ascii="宋体" w:hAnsi="宋体" w:eastAsia="宋体" w:cs="宋体"/>
          <w:b/>
          <w:bCs/>
          <w:color w:val="auto"/>
          <w:sz w:val="21"/>
          <w:szCs w:val="21"/>
          <w:highlight w:val="none"/>
        </w:rPr>
        <w:t>。</w:t>
      </w:r>
    </w:p>
    <w:p w14:paraId="51E0DA70">
      <w:pPr>
        <w:snapToGrid w:val="0"/>
        <w:spacing w:line="360" w:lineRule="auto"/>
        <w:ind w:left="529" w:hanging="531" w:hangingChars="252"/>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en-US" w:eastAsia="zh-CN"/>
        </w:rPr>
        <w:t>30</w:t>
      </w:r>
      <w:r>
        <w:rPr>
          <w:rFonts w:hint="eastAsia" w:ascii="宋体" w:hAnsi="宋体" w:eastAsia="宋体" w:cs="宋体"/>
          <w:b/>
          <w:bCs/>
          <w:color w:val="auto"/>
          <w:kern w:val="2"/>
          <w:sz w:val="21"/>
          <w:szCs w:val="21"/>
          <w:highlight w:val="none"/>
          <w:lang w:val="zh-CN"/>
        </w:rPr>
        <w:t xml:space="preserve">.2 </w:t>
      </w:r>
      <w:r>
        <w:rPr>
          <w:rFonts w:hint="eastAsia" w:ascii="宋体" w:hAnsi="宋体" w:eastAsia="宋体" w:cs="宋体"/>
          <w:b/>
          <w:bCs/>
          <w:color w:val="auto"/>
          <w:kern w:val="2"/>
          <w:sz w:val="21"/>
          <w:szCs w:val="21"/>
          <w:highlight w:val="none"/>
          <w:u w:val="single"/>
          <w:lang w:val="zh-CN"/>
        </w:rPr>
        <w:t>供应商在采购人（或其委托的采购代理机构）</w:t>
      </w:r>
      <w:r>
        <w:rPr>
          <w:rFonts w:hint="eastAsia" w:ascii="宋体" w:hAnsi="宋体" w:cs="宋体"/>
          <w:b/>
          <w:bCs/>
          <w:color w:val="auto"/>
          <w:kern w:val="2"/>
          <w:sz w:val="21"/>
          <w:szCs w:val="21"/>
          <w:highlight w:val="none"/>
          <w:u w:val="single"/>
          <w:lang w:val="zh-CN"/>
        </w:rPr>
        <w:t>、</w:t>
      </w:r>
      <w:r>
        <w:rPr>
          <w:rFonts w:hint="eastAsia" w:ascii="宋体" w:hAnsi="宋体" w:eastAsia="宋体" w:cs="宋体"/>
          <w:b/>
          <w:bCs/>
          <w:color w:val="auto"/>
          <w:kern w:val="2"/>
          <w:sz w:val="21"/>
          <w:szCs w:val="21"/>
          <w:highlight w:val="none"/>
          <w:u w:val="single"/>
          <w:lang w:val="zh-CN"/>
        </w:rPr>
        <w:t>或磋商小组通知其提供上述</w:t>
      </w:r>
      <w:r>
        <w:rPr>
          <w:rFonts w:hint="eastAsia" w:ascii="宋体" w:hAnsi="宋体" w:cs="宋体"/>
          <w:b/>
          <w:bCs/>
          <w:color w:val="auto"/>
          <w:kern w:val="2"/>
          <w:sz w:val="21"/>
          <w:szCs w:val="21"/>
          <w:highlight w:val="none"/>
          <w:u w:val="single"/>
          <w:lang w:val="en-US" w:eastAsia="zh-CN"/>
        </w:rPr>
        <w:t>响应文件或响应文件外其他相关（包括但不限于业绩合同对应的发票等）的</w:t>
      </w:r>
      <w:r>
        <w:rPr>
          <w:rFonts w:hint="eastAsia" w:ascii="宋体" w:hAnsi="宋体" w:eastAsia="宋体" w:cs="宋体"/>
          <w:b/>
          <w:bCs/>
          <w:color w:val="auto"/>
          <w:kern w:val="2"/>
          <w:sz w:val="21"/>
          <w:szCs w:val="21"/>
          <w:highlight w:val="none"/>
          <w:u w:val="single"/>
          <w:lang w:val="zh-CN"/>
        </w:rPr>
        <w:t>证明资料原件进行核查的要求后，未能在约定的时间内提供原件进行核查的，视为供应商无法提供真实的资料，采购人有权</w:t>
      </w:r>
      <w:r>
        <w:rPr>
          <w:rFonts w:hint="eastAsia" w:ascii="宋体" w:hAnsi="宋体" w:eastAsia="宋体" w:cs="宋体"/>
          <w:b/>
          <w:bCs/>
          <w:color w:val="auto"/>
          <w:kern w:val="0"/>
          <w:sz w:val="21"/>
          <w:szCs w:val="21"/>
          <w:highlight w:val="none"/>
          <w:u w:val="single"/>
        </w:rPr>
        <w:t>按照</w:t>
      </w:r>
      <w:r>
        <w:rPr>
          <w:rFonts w:hint="eastAsia" w:ascii="宋体" w:hAnsi="宋体" w:eastAsia="宋体" w:cs="宋体"/>
          <w:b/>
          <w:bCs/>
          <w:color w:val="auto"/>
          <w:kern w:val="0"/>
          <w:sz w:val="21"/>
          <w:szCs w:val="21"/>
          <w:highlight w:val="none"/>
          <w:u w:val="single"/>
          <w:lang w:val="en-US" w:eastAsia="zh-CN"/>
        </w:rPr>
        <w:t>磋商小组</w:t>
      </w:r>
      <w:r>
        <w:rPr>
          <w:rFonts w:hint="eastAsia" w:ascii="宋体" w:hAnsi="宋体" w:eastAsia="宋体" w:cs="宋体"/>
          <w:b/>
          <w:bCs/>
          <w:color w:val="auto"/>
          <w:kern w:val="0"/>
          <w:sz w:val="21"/>
          <w:szCs w:val="21"/>
          <w:highlight w:val="none"/>
          <w:u w:val="single"/>
        </w:rPr>
        <w:t>提出</w:t>
      </w:r>
      <w:r>
        <w:rPr>
          <w:rFonts w:hint="eastAsia" w:ascii="宋体" w:hAnsi="宋体" w:eastAsia="宋体" w:cs="宋体"/>
          <w:b/>
          <w:bCs/>
          <w:color w:val="auto"/>
          <w:kern w:val="0"/>
          <w:sz w:val="21"/>
          <w:szCs w:val="21"/>
          <w:highlight w:val="none"/>
          <w:u w:val="single"/>
          <w:lang w:val="en-US" w:eastAsia="zh-CN"/>
        </w:rPr>
        <w:t>的成交</w:t>
      </w:r>
      <w:r>
        <w:rPr>
          <w:rFonts w:hint="eastAsia" w:ascii="宋体" w:hAnsi="宋体" w:eastAsia="宋体" w:cs="宋体"/>
          <w:b/>
          <w:bCs/>
          <w:color w:val="auto"/>
          <w:kern w:val="0"/>
          <w:sz w:val="21"/>
          <w:szCs w:val="21"/>
          <w:highlight w:val="none"/>
          <w:u w:val="single"/>
        </w:rPr>
        <w:t>候选人名单排序依次确定其他</w:t>
      </w:r>
      <w:r>
        <w:rPr>
          <w:rFonts w:hint="eastAsia" w:ascii="宋体" w:hAnsi="宋体" w:eastAsia="宋体" w:cs="宋体"/>
          <w:b/>
          <w:bCs/>
          <w:color w:val="auto"/>
          <w:kern w:val="0"/>
          <w:sz w:val="21"/>
          <w:szCs w:val="21"/>
          <w:highlight w:val="none"/>
          <w:u w:val="single"/>
          <w:lang w:val="en-US" w:eastAsia="zh-CN"/>
        </w:rPr>
        <w:t>成交</w:t>
      </w:r>
      <w:r>
        <w:rPr>
          <w:rFonts w:hint="eastAsia" w:ascii="宋体" w:hAnsi="宋体" w:eastAsia="宋体" w:cs="宋体"/>
          <w:b/>
          <w:bCs/>
          <w:color w:val="auto"/>
          <w:kern w:val="0"/>
          <w:sz w:val="21"/>
          <w:szCs w:val="21"/>
          <w:highlight w:val="none"/>
          <w:u w:val="single"/>
        </w:rPr>
        <w:t>候选人为</w:t>
      </w:r>
      <w:r>
        <w:rPr>
          <w:rFonts w:hint="eastAsia" w:ascii="宋体" w:hAnsi="宋体" w:eastAsia="宋体" w:cs="宋体"/>
          <w:b/>
          <w:bCs/>
          <w:color w:val="auto"/>
          <w:kern w:val="0"/>
          <w:sz w:val="21"/>
          <w:szCs w:val="21"/>
          <w:highlight w:val="none"/>
          <w:u w:val="single"/>
          <w:lang w:val="en-US" w:eastAsia="zh-CN"/>
        </w:rPr>
        <w:t>成交</w:t>
      </w:r>
      <w:r>
        <w:rPr>
          <w:rFonts w:hint="eastAsia" w:ascii="宋体" w:hAnsi="宋体" w:eastAsia="宋体" w:cs="宋体"/>
          <w:b/>
          <w:bCs/>
          <w:color w:val="auto"/>
          <w:kern w:val="0"/>
          <w:sz w:val="21"/>
          <w:szCs w:val="21"/>
          <w:highlight w:val="none"/>
          <w:u w:val="single"/>
        </w:rPr>
        <w:t>人或重新</w:t>
      </w:r>
      <w:r>
        <w:rPr>
          <w:rFonts w:hint="eastAsia" w:ascii="宋体" w:hAnsi="宋体" w:eastAsia="宋体" w:cs="宋体"/>
          <w:b/>
          <w:bCs/>
          <w:color w:val="auto"/>
          <w:kern w:val="0"/>
          <w:sz w:val="21"/>
          <w:szCs w:val="21"/>
          <w:highlight w:val="none"/>
          <w:u w:val="single"/>
          <w:lang w:val="en-US" w:eastAsia="zh-CN"/>
        </w:rPr>
        <w:t>采购</w:t>
      </w:r>
      <w:r>
        <w:rPr>
          <w:rFonts w:hint="eastAsia" w:ascii="宋体" w:hAnsi="宋体" w:eastAsia="宋体" w:cs="宋体"/>
          <w:b/>
          <w:bCs/>
          <w:color w:val="auto"/>
          <w:kern w:val="2"/>
          <w:sz w:val="21"/>
          <w:szCs w:val="21"/>
          <w:highlight w:val="none"/>
          <w:lang w:val="zh-CN"/>
        </w:rPr>
        <w:t>。</w:t>
      </w:r>
      <w:bookmarkStart w:id="138" w:name="_Toc466882019"/>
      <w:bookmarkStart w:id="139" w:name="_Toc465358971"/>
    </w:p>
    <w:p w14:paraId="49351902">
      <w:pPr>
        <w:snapToGrid w:val="0"/>
        <w:spacing w:line="360" w:lineRule="auto"/>
        <w:ind w:left="529" w:hanging="531" w:hangingChars="252"/>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en-US" w:eastAsia="zh-CN"/>
        </w:rPr>
        <w:t>30</w:t>
      </w:r>
      <w:r>
        <w:rPr>
          <w:rFonts w:hint="eastAsia" w:ascii="宋体" w:hAnsi="宋体" w:eastAsia="宋体" w:cs="宋体"/>
          <w:b/>
          <w:bCs/>
          <w:color w:val="auto"/>
          <w:kern w:val="2"/>
          <w:sz w:val="21"/>
          <w:szCs w:val="21"/>
          <w:highlight w:val="none"/>
          <w:lang w:val="zh-CN"/>
        </w:rPr>
        <w:t xml:space="preserve">.3 </w:t>
      </w:r>
      <w:r>
        <w:rPr>
          <w:rFonts w:hint="eastAsia" w:ascii="宋体" w:hAnsi="宋体" w:eastAsia="宋体" w:cs="宋体"/>
          <w:b/>
          <w:bCs/>
          <w:color w:val="auto"/>
          <w:kern w:val="2"/>
          <w:sz w:val="21"/>
          <w:szCs w:val="21"/>
          <w:highlight w:val="none"/>
          <w:u w:val="single"/>
          <w:lang w:val="zh-CN"/>
        </w:rPr>
        <w:t>若供应商在</w:t>
      </w:r>
      <w:r>
        <w:rPr>
          <w:rFonts w:hint="eastAsia" w:ascii="宋体" w:hAnsi="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或履约过程中存在提供虚假材料、虚假响应</w:t>
      </w:r>
      <w:r>
        <w:rPr>
          <w:rFonts w:hint="eastAsia" w:ascii="宋体" w:hAnsi="宋体" w:cs="宋体"/>
          <w:b/>
          <w:bCs/>
          <w:color w:val="auto"/>
          <w:kern w:val="2"/>
          <w:sz w:val="21"/>
          <w:szCs w:val="21"/>
          <w:highlight w:val="none"/>
          <w:u w:val="single"/>
          <w:lang w:val="en-US" w:eastAsia="zh-CN"/>
        </w:rPr>
        <w:t>竞争性磋商</w:t>
      </w:r>
      <w:r>
        <w:rPr>
          <w:rFonts w:hint="eastAsia" w:ascii="宋体" w:hAnsi="宋体" w:eastAsia="宋体" w:cs="宋体"/>
          <w:b/>
          <w:bCs/>
          <w:color w:val="auto"/>
          <w:kern w:val="2"/>
          <w:sz w:val="21"/>
          <w:szCs w:val="21"/>
          <w:highlight w:val="none"/>
          <w:u w:val="single"/>
          <w:lang w:val="zh-CN"/>
        </w:rPr>
        <w:t>文件</w:t>
      </w:r>
      <w:r>
        <w:rPr>
          <w:rFonts w:hint="eastAsia" w:ascii="宋体" w:hAnsi="宋体" w:cs="宋体"/>
          <w:b/>
          <w:bCs/>
          <w:color w:val="auto"/>
          <w:kern w:val="2"/>
          <w:sz w:val="21"/>
          <w:szCs w:val="21"/>
          <w:highlight w:val="none"/>
          <w:u w:val="single"/>
          <w:lang w:val="en-US" w:eastAsia="zh-CN"/>
        </w:rPr>
        <w:t>要求</w:t>
      </w:r>
      <w:r>
        <w:rPr>
          <w:rFonts w:hint="eastAsia" w:ascii="宋体" w:hAnsi="宋体" w:eastAsia="宋体" w:cs="宋体"/>
          <w:b/>
          <w:bCs/>
          <w:color w:val="auto"/>
          <w:kern w:val="2"/>
          <w:sz w:val="21"/>
          <w:szCs w:val="21"/>
          <w:highlight w:val="none"/>
          <w:u w:val="single"/>
          <w:lang w:val="zh-CN"/>
        </w:rPr>
        <w:t>等弄虚作假行为，</w:t>
      </w:r>
      <w:r>
        <w:rPr>
          <w:rFonts w:hint="eastAsia" w:ascii="宋体" w:hAnsi="宋体" w:eastAsia="宋体" w:cs="宋体"/>
          <w:b/>
          <w:bCs/>
          <w:color w:val="auto"/>
          <w:sz w:val="21"/>
          <w:szCs w:val="21"/>
          <w:highlight w:val="none"/>
          <w:u w:val="single"/>
        </w:rPr>
        <w:t>或未能根据本须知2</w:t>
      </w:r>
      <w:r>
        <w:rPr>
          <w:rFonts w:hint="eastAsia" w:ascii="宋体" w:hAnsi="宋体" w:eastAsia="宋体" w:cs="宋体"/>
          <w:b/>
          <w:bCs/>
          <w:color w:val="auto"/>
          <w:sz w:val="21"/>
          <w:szCs w:val="21"/>
          <w:highlight w:val="none"/>
          <w:u w:val="single"/>
          <w:lang w:val="en-US" w:eastAsia="zh-CN"/>
        </w:rPr>
        <w:t>9</w:t>
      </w:r>
      <w:r>
        <w:rPr>
          <w:rFonts w:hint="eastAsia" w:ascii="宋体" w:hAnsi="宋体" w:eastAsia="宋体" w:cs="宋体"/>
          <w:b/>
          <w:bCs/>
          <w:color w:val="auto"/>
          <w:sz w:val="21"/>
          <w:szCs w:val="21"/>
          <w:highlight w:val="none"/>
          <w:u w:val="single"/>
        </w:rPr>
        <w:t>.2款约定按时提供原件进行核查的，</w:t>
      </w:r>
      <w:r>
        <w:rPr>
          <w:rFonts w:hint="eastAsia" w:ascii="宋体" w:hAnsi="宋体" w:eastAsia="宋体" w:cs="宋体"/>
          <w:b/>
          <w:bCs/>
          <w:color w:val="auto"/>
          <w:kern w:val="2"/>
          <w:sz w:val="21"/>
          <w:szCs w:val="21"/>
          <w:highlight w:val="none"/>
          <w:u w:val="single"/>
          <w:lang w:val="zh-CN"/>
        </w:rPr>
        <w:t>或不按照响应文件承诺履约或撤回</w:t>
      </w:r>
      <w:r>
        <w:rPr>
          <w:rFonts w:hint="eastAsia" w:ascii="宋体" w:hAnsi="宋体" w:eastAsia="宋体" w:cs="宋体"/>
          <w:b/>
          <w:bCs/>
          <w:color w:val="auto"/>
          <w:kern w:val="2"/>
          <w:sz w:val="21"/>
          <w:szCs w:val="21"/>
          <w:highlight w:val="none"/>
          <w:u w:val="single"/>
          <w:lang w:val="en-US" w:eastAsia="zh-CN"/>
        </w:rPr>
        <w:t>响应文件</w:t>
      </w:r>
      <w:r>
        <w:rPr>
          <w:rFonts w:hint="eastAsia" w:ascii="宋体" w:hAnsi="宋体" w:eastAsia="宋体" w:cs="宋体"/>
          <w:b/>
          <w:bCs/>
          <w:color w:val="auto"/>
          <w:kern w:val="2"/>
          <w:sz w:val="21"/>
          <w:szCs w:val="21"/>
          <w:highlight w:val="none"/>
          <w:u w:val="single"/>
          <w:lang w:val="zh-CN"/>
        </w:rPr>
        <w:t>或放弃</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资格或不按要求与采购人签订合同等影响</w:t>
      </w:r>
      <w:r>
        <w:rPr>
          <w:rFonts w:hint="eastAsia" w:ascii="宋体" w:hAnsi="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结果的行为，因此导致供应商无法参与东莞市水务集团有限公司相关采购等活动的，由供应商自行承担全部后果</w:t>
      </w:r>
      <w:r>
        <w:rPr>
          <w:rFonts w:hint="eastAsia" w:ascii="宋体" w:hAnsi="宋体" w:eastAsia="宋体" w:cs="宋体"/>
          <w:b/>
          <w:bCs/>
          <w:color w:val="auto"/>
          <w:kern w:val="2"/>
          <w:sz w:val="21"/>
          <w:szCs w:val="21"/>
          <w:highlight w:val="none"/>
          <w:lang w:val="zh-CN"/>
        </w:rPr>
        <w:t>。</w:t>
      </w:r>
    </w:p>
    <w:p w14:paraId="290772AE">
      <w:pPr>
        <w:snapToGrid w:val="0"/>
        <w:spacing w:line="360" w:lineRule="auto"/>
        <w:ind w:left="529" w:hanging="529" w:hangingChars="252"/>
        <w:jc w:val="both"/>
        <w:rPr>
          <w:rFonts w:hint="eastAsia" w:ascii="宋体" w:hAnsi="宋体" w:eastAsia="宋体" w:cs="宋体"/>
          <w:color w:val="auto"/>
          <w:kern w:val="2"/>
          <w:sz w:val="21"/>
          <w:szCs w:val="21"/>
          <w:highlight w:val="none"/>
          <w:lang w:val="zh-CN"/>
        </w:rPr>
      </w:pPr>
    </w:p>
    <w:p w14:paraId="11C9BF0F">
      <w:pPr>
        <w:tabs>
          <w:tab w:val="left" w:pos="567"/>
        </w:tabs>
        <w:spacing w:line="360" w:lineRule="auto"/>
        <w:jc w:val="both"/>
        <w:outlineLvl w:val="2"/>
        <w:rPr>
          <w:rFonts w:hint="eastAsia" w:ascii="宋体" w:hAnsi="宋体" w:eastAsia="宋体" w:cs="宋体"/>
          <w:color w:val="auto"/>
          <w:kern w:val="2"/>
          <w:sz w:val="21"/>
          <w:szCs w:val="21"/>
          <w:highlight w:val="none"/>
          <w:lang w:val="zh-CN"/>
        </w:rPr>
      </w:pPr>
      <w:bookmarkStart w:id="140" w:name="_Toc521918100"/>
      <w:bookmarkStart w:id="141" w:name="_Toc3336"/>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1</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磋商小组和采购人接受或拒绝任何</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或所有</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的权利</w:t>
      </w:r>
      <w:bookmarkEnd w:id="138"/>
      <w:bookmarkEnd w:id="139"/>
      <w:bookmarkEnd w:id="140"/>
      <w:bookmarkEnd w:id="141"/>
    </w:p>
    <w:p w14:paraId="24B2353F">
      <w:pPr>
        <w:spacing w:line="360" w:lineRule="auto"/>
        <w:ind w:left="523" w:hanging="523" w:hangingChars="218"/>
        <w:jc w:val="both"/>
        <w:rPr>
          <w:rFonts w:hint="eastAsia" w:ascii="宋体" w:hAnsi="宋体" w:eastAsia="宋体" w:cs="宋体"/>
          <w:color w:val="auto"/>
          <w:sz w:val="21"/>
          <w:szCs w:val="21"/>
          <w:highlight w:val="none"/>
        </w:rPr>
      </w:pPr>
      <w:r>
        <w:rPr>
          <w:rFonts w:hint="eastAsia" w:ascii="宋体" w:hAnsi="宋体" w:eastAsia="宋体" w:cs="宋体"/>
          <w:color w:val="auto"/>
          <w:kern w:val="2"/>
          <w:highlight w:val="none"/>
          <w:lang w:val="zh-CN"/>
        </w:rPr>
        <w:t xml:space="preserve">    </w:t>
      </w:r>
      <w:r>
        <w:rPr>
          <w:rFonts w:hint="eastAsia" w:ascii="宋体" w:hAnsi="宋体" w:eastAsia="宋体" w:cs="宋体"/>
          <w:color w:val="auto"/>
          <w:kern w:val="2"/>
          <w:highlight w:val="none"/>
          <w:lang w:val="en-US" w:eastAsia="zh-CN"/>
        </w:rPr>
        <w:t xml:space="preserve">    </w:t>
      </w:r>
      <w:r>
        <w:rPr>
          <w:rFonts w:hint="eastAsia" w:ascii="宋体" w:hAnsi="宋体" w:eastAsia="宋体" w:cs="宋体"/>
          <w:color w:val="auto"/>
          <w:sz w:val="21"/>
          <w:szCs w:val="21"/>
          <w:highlight w:val="none"/>
        </w:rPr>
        <w:t>在授予合同前的任何时候，采购人仍保留接受或拒绝任何</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rPr>
        <w:t>，宣布</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程序无效或拒绝所有</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rPr>
        <w:t>的权利，无需向受影响的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承担任何责任。</w:t>
      </w:r>
    </w:p>
    <w:p w14:paraId="11F0C2D2">
      <w:pPr>
        <w:snapToGrid w:val="0"/>
        <w:spacing w:line="360" w:lineRule="auto"/>
        <w:ind w:left="629" w:leftChars="-58" w:hanging="768" w:hangingChars="320"/>
        <w:jc w:val="both"/>
        <w:rPr>
          <w:rFonts w:hint="eastAsia" w:ascii="宋体" w:hAnsi="宋体" w:eastAsia="宋体" w:cs="宋体"/>
          <w:color w:val="auto"/>
          <w:kern w:val="44"/>
          <w:highlight w:val="none"/>
          <w:lang w:val="zh-CN"/>
        </w:rPr>
      </w:pPr>
      <w:bookmarkStart w:id="142" w:name="_Toc450662880"/>
    </w:p>
    <w:p w14:paraId="242F4449">
      <w:pPr>
        <w:pStyle w:val="5"/>
        <w:keepNext/>
        <w:keepLines/>
        <w:pageBreakBefore w:val="0"/>
        <w:widowControl w:val="0"/>
        <w:tabs>
          <w:tab w:val="left" w:pos="567"/>
        </w:tabs>
        <w:kinsoku/>
        <w:wordWrap/>
        <w:overflowPunct/>
        <w:topLinePunct w:val="0"/>
        <w:autoSpaceDE w:val="0"/>
        <w:autoSpaceDN w:val="0"/>
        <w:bidi w:val="0"/>
        <w:adjustRightInd w:val="0"/>
        <w:snapToGrid/>
        <w:spacing w:line="360" w:lineRule="auto"/>
        <w:ind w:firstLine="211" w:firstLineChars="100"/>
        <w:jc w:val="both"/>
        <w:textAlignment w:val="auto"/>
        <w:outlineLvl w:val="1"/>
        <w:rPr>
          <w:rFonts w:hint="eastAsia" w:ascii="宋体" w:hAnsi="宋体" w:eastAsia="宋体" w:cs="宋体"/>
          <w:b/>
          <w:bCs/>
          <w:color w:val="auto"/>
          <w:kern w:val="44"/>
          <w:sz w:val="21"/>
          <w:szCs w:val="21"/>
          <w:highlight w:val="none"/>
          <w:lang w:val="zh-CN"/>
        </w:rPr>
      </w:pPr>
      <w:bookmarkStart w:id="143" w:name="_Toc29619"/>
      <w:bookmarkStart w:id="144" w:name="_Toc521918101"/>
      <w:r>
        <w:rPr>
          <w:rFonts w:hint="eastAsia" w:ascii="宋体" w:hAnsi="宋体" w:eastAsia="宋体" w:cs="宋体"/>
          <w:b/>
          <w:bCs/>
          <w:color w:val="auto"/>
          <w:kern w:val="44"/>
          <w:sz w:val="21"/>
          <w:szCs w:val="21"/>
          <w:highlight w:val="none"/>
          <w:lang w:val="zh-CN"/>
        </w:rPr>
        <w:t>六、授予合同</w:t>
      </w:r>
      <w:bookmarkEnd w:id="142"/>
      <w:bookmarkEnd w:id="143"/>
      <w:bookmarkEnd w:id="144"/>
    </w:p>
    <w:p w14:paraId="2FE374E2">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45" w:name="_Toc521918102"/>
      <w:bookmarkStart w:id="146" w:name="_Toc2314"/>
      <w:bookmarkStart w:id="147" w:name="_Toc450662881"/>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2</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授予合同的准则</w:t>
      </w:r>
      <w:bookmarkEnd w:id="145"/>
      <w:bookmarkEnd w:id="146"/>
      <w:bookmarkEnd w:id="147"/>
    </w:p>
    <w:p w14:paraId="74A2349F">
      <w:pPr>
        <w:tabs>
          <w:tab w:val="left" w:pos="645"/>
        </w:tabs>
        <w:spacing w:line="360" w:lineRule="auto"/>
        <w:ind w:left="540" w:right="51" w:hanging="54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除第2</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lang w:val="zh-CN"/>
        </w:rPr>
        <w:t>条、</w:t>
      </w:r>
      <w:r>
        <w:rPr>
          <w:rFonts w:hint="eastAsia" w:ascii="宋体" w:hAnsi="宋体" w:eastAsia="宋体" w:cs="宋体"/>
          <w:color w:val="auto"/>
          <w:kern w:val="2"/>
          <w:sz w:val="21"/>
          <w:szCs w:val="21"/>
          <w:highlight w:val="none"/>
          <w:lang w:val="en-US" w:eastAsia="zh-CN"/>
        </w:rPr>
        <w:t>30</w:t>
      </w:r>
      <w:r>
        <w:rPr>
          <w:rFonts w:hint="eastAsia" w:ascii="宋体" w:hAnsi="宋体" w:eastAsia="宋体" w:cs="宋体"/>
          <w:color w:val="auto"/>
          <w:kern w:val="2"/>
          <w:sz w:val="21"/>
          <w:szCs w:val="21"/>
          <w:highlight w:val="none"/>
          <w:lang w:val="zh-CN"/>
        </w:rPr>
        <w:t>条</w:t>
      </w:r>
      <w:r>
        <w:rPr>
          <w:rFonts w:hint="eastAsia" w:ascii="宋体" w:hAnsi="宋体" w:eastAsia="宋体" w:cs="宋体"/>
          <w:color w:val="auto"/>
          <w:highlight w:val="none"/>
        </w:rPr>
        <w:t>、</w:t>
      </w:r>
      <w:r>
        <w:rPr>
          <w:rFonts w:hint="eastAsia" w:ascii="宋体" w:hAnsi="宋体" w:eastAsia="宋体" w:cs="宋体"/>
          <w:color w:val="auto"/>
          <w:sz w:val="21"/>
          <w:highlight w:val="none"/>
        </w:rPr>
        <w:t>3</w:t>
      </w:r>
      <w:r>
        <w:rPr>
          <w:rFonts w:hint="eastAsia" w:ascii="宋体" w:hAnsi="宋体" w:eastAsia="宋体" w:cs="宋体"/>
          <w:color w:val="auto"/>
          <w:sz w:val="21"/>
          <w:highlight w:val="none"/>
          <w:lang w:val="en-US" w:eastAsia="zh-CN"/>
        </w:rPr>
        <w:t>1</w:t>
      </w:r>
      <w:r>
        <w:rPr>
          <w:rFonts w:hint="eastAsia" w:ascii="宋体" w:hAnsi="宋体" w:eastAsia="宋体" w:cs="宋体"/>
          <w:color w:val="auto"/>
          <w:kern w:val="2"/>
          <w:sz w:val="21"/>
          <w:szCs w:val="21"/>
          <w:highlight w:val="none"/>
          <w:lang w:val="zh-CN"/>
        </w:rPr>
        <w:t>条规定外，采购人将合同授予其响应文件符合竞争性磋商文件要求，并且能承诺履行合同，对采购人最为有利的供应商。</w:t>
      </w:r>
    </w:p>
    <w:p w14:paraId="45EDFC00">
      <w:pPr>
        <w:numPr>
          <w:ilvl w:val="1"/>
          <w:numId w:val="0"/>
        </w:numPr>
        <w:tabs>
          <w:tab w:val="left" w:pos="540"/>
        </w:tabs>
        <w:spacing w:line="360" w:lineRule="auto"/>
        <w:ind w:left="540" w:right="51" w:hanging="54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.2</w:t>
      </w:r>
      <w:r>
        <w:rPr>
          <w:rFonts w:hint="eastAsia" w:ascii="宋体" w:hAnsi="宋体" w:eastAsia="宋体" w:cs="宋体"/>
          <w:b w:val="0"/>
          <w:bCs w:val="0"/>
          <w:color w:val="auto"/>
          <w:kern w:val="2"/>
          <w:sz w:val="21"/>
          <w:szCs w:val="21"/>
          <w:highlight w:val="none"/>
          <w:u w:val="none"/>
          <w:lang w:val="zh-CN"/>
        </w:rPr>
        <w:t xml:space="preserve"> 采购人依法按照评</w:t>
      </w:r>
      <w:r>
        <w:rPr>
          <w:rFonts w:hint="eastAsia" w:ascii="宋体" w:hAnsi="宋体" w:cs="宋体"/>
          <w:b w:val="0"/>
          <w:bCs w:val="0"/>
          <w:color w:val="auto"/>
          <w:kern w:val="2"/>
          <w:sz w:val="21"/>
          <w:szCs w:val="21"/>
          <w:highlight w:val="none"/>
          <w:u w:val="none"/>
          <w:lang w:val="en-US" w:eastAsia="zh-CN"/>
        </w:rPr>
        <w:t>审</w:t>
      </w:r>
      <w:r>
        <w:rPr>
          <w:rFonts w:hint="eastAsia" w:ascii="宋体" w:hAnsi="宋体" w:eastAsia="宋体" w:cs="宋体"/>
          <w:b w:val="0"/>
          <w:bCs w:val="0"/>
          <w:color w:val="auto"/>
          <w:kern w:val="2"/>
          <w:sz w:val="21"/>
          <w:szCs w:val="21"/>
          <w:highlight w:val="none"/>
          <w:u w:val="none"/>
          <w:lang w:val="zh-CN"/>
        </w:rPr>
        <w:t>报告中推荐的成交候选人</w:t>
      </w:r>
      <w:r>
        <w:rPr>
          <w:rFonts w:hint="eastAsia" w:ascii="宋体" w:hAnsi="宋体" w:eastAsia="宋体" w:cs="宋体"/>
          <w:b w:val="0"/>
          <w:bCs w:val="0"/>
          <w:color w:val="auto"/>
          <w:kern w:val="2"/>
          <w:sz w:val="21"/>
          <w:szCs w:val="21"/>
          <w:highlight w:val="none"/>
          <w:u w:val="none"/>
          <w:lang w:val="en-US" w:eastAsia="zh-CN"/>
        </w:rPr>
        <w:t>顺序确定</w:t>
      </w:r>
      <w:r>
        <w:rPr>
          <w:rFonts w:hint="eastAsia" w:ascii="宋体" w:hAnsi="宋体" w:eastAsia="宋体" w:cs="宋体"/>
          <w:b w:val="0"/>
          <w:bCs w:val="0"/>
          <w:color w:val="auto"/>
          <w:kern w:val="2"/>
          <w:sz w:val="21"/>
          <w:szCs w:val="21"/>
          <w:highlight w:val="none"/>
          <w:u w:val="none"/>
          <w:lang w:val="zh-CN"/>
        </w:rPr>
        <w:t>成交人。</w:t>
      </w:r>
    </w:p>
    <w:p w14:paraId="075DA512">
      <w:pPr>
        <w:tabs>
          <w:tab w:val="left" w:pos="645"/>
        </w:tabs>
        <w:autoSpaceDE/>
        <w:autoSpaceDN/>
        <w:adjustRightInd/>
        <w:snapToGrid/>
        <w:spacing w:line="360" w:lineRule="auto"/>
        <w:ind w:left="540" w:leftChars="0" w:right="51" w:hanging="540" w:firstLineChars="0"/>
        <w:jc w:val="both"/>
        <w:rPr>
          <w:rFonts w:hint="eastAsia" w:ascii="宋体" w:hAnsi="宋体" w:eastAsia="宋体" w:cs="宋体"/>
          <w:b w:val="0"/>
          <w:color w:val="auto"/>
          <w:kern w:val="2"/>
          <w:sz w:val="21"/>
          <w:szCs w:val="21"/>
          <w:highlight w:val="none"/>
          <w:lang w:val="zh-CN"/>
        </w:rPr>
      </w:pPr>
      <w:bookmarkStart w:id="148" w:name="_Toc450662886"/>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.3 因不可抗力或自身原因不能履行合同的、不按要求</w:t>
      </w:r>
      <w:r>
        <w:rPr>
          <w:rFonts w:hint="eastAsia" w:ascii="宋体" w:hAnsi="宋体" w:eastAsia="宋体" w:cs="宋体"/>
          <w:color w:val="auto"/>
          <w:kern w:val="2"/>
          <w:sz w:val="21"/>
          <w:szCs w:val="21"/>
          <w:highlight w:val="none"/>
          <w:lang w:val="en-US" w:eastAsia="zh-CN"/>
        </w:rPr>
        <w:t>或约定时间内</w:t>
      </w:r>
      <w:r>
        <w:rPr>
          <w:rFonts w:hint="eastAsia" w:ascii="宋体" w:hAnsi="宋体" w:eastAsia="宋体" w:cs="宋体"/>
          <w:color w:val="auto"/>
          <w:kern w:val="2"/>
          <w:sz w:val="21"/>
          <w:szCs w:val="21"/>
          <w:highlight w:val="none"/>
          <w:lang w:val="zh-CN"/>
        </w:rPr>
        <w:t>与</w:t>
      </w:r>
      <w:r>
        <w:rPr>
          <w:rFonts w:hint="eastAsia" w:ascii="宋体" w:hAnsi="宋体" w:eastAsia="宋体" w:cs="宋体"/>
          <w:color w:val="auto"/>
          <w:kern w:val="2"/>
          <w:sz w:val="21"/>
          <w:szCs w:val="21"/>
          <w:highlight w:val="none"/>
          <w:lang w:val="zh-CN" w:eastAsia="zh-CN"/>
        </w:rPr>
        <w:t>采购人</w:t>
      </w:r>
      <w:r>
        <w:rPr>
          <w:rFonts w:hint="eastAsia" w:ascii="宋体" w:hAnsi="宋体" w:eastAsia="宋体" w:cs="宋体"/>
          <w:color w:val="auto"/>
          <w:kern w:val="2"/>
          <w:sz w:val="21"/>
          <w:szCs w:val="21"/>
          <w:highlight w:val="none"/>
          <w:lang w:val="zh-CN"/>
        </w:rPr>
        <w:t>签订合同、</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人放弃</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资格被依法确认无效的，</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人可以按照</w:t>
      </w:r>
      <w:r>
        <w:rPr>
          <w:rFonts w:hint="eastAsia" w:ascii="宋体" w:hAnsi="宋体" w:eastAsia="宋体" w:cs="宋体"/>
          <w:color w:val="auto"/>
          <w:kern w:val="2"/>
          <w:sz w:val="21"/>
          <w:szCs w:val="21"/>
          <w:highlight w:val="none"/>
          <w:lang w:val="zh-CN" w:eastAsia="zh-CN"/>
        </w:rPr>
        <w:t>磋商小组</w:t>
      </w:r>
      <w:r>
        <w:rPr>
          <w:rFonts w:hint="eastAsia" w:ascii="宋体" w:hAnsi="宋体" w:eastAsia="宋体" w:cs="宋体"/>
          <w:color w:val="auto"/>
          <w:kern w:val="2"/>
          <w:sz w:val="21"/>
          <w:szCs w:val="21"/>
          <w:highlight w:val="none"/>
          <w:lang w:val="zh-CN"/>
        </w:rPr>
        <w:t>提出的</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候选人名单排序依次确定其他</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候选人为</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人或重新</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b w:val="0"/>
          <w:color w:val="auto"/>
          <w:kern w:val="2"/>
          <w:sz w:val="21"/>
          <w:szCs w:val="21"/>
          <w:highlight w:val="none"/>
          <w:lang w:val="zh-CN"/>
        </w:rPr>
        <w:t>。</w:t>
      </w:r>
    </w:p>
    <w:p w14:paraId="543DD389">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p>
    <w:p w14:paraId="52526B93">
      <w:pPr>
        <w:tabs>
          <w:tab w:val="left" w:pos="567"/>
        </w:tabs>
        <w:autoSpaceDE/>
        <w:autoSpaceDN/>
        <w:adjustRightInd/>
        <w:spacing w:line="360" w:lineRule="auto"/>
        <w:ind w:left="567" w:leftChars="0" w:hanging="567"/>
        <w:jc w:val="both"/>
        <w:outlineLvl w:val="2"/>
        <w:rPr>
          <w:rFonts w:hint="eastAsia" w:ascii="宋体" w:hAnsi="宋体" w:eastAsia="宋体" w:cs="宋体"/>
          <w:color w:val="auto"/>
          <w:kern w:val="2"/>
          <w:sz w:val="21"/>
          <w:szCs w:val="21"/>
          <w:highlight w:val="none"/>
          <w:lang w:val="zh-CN"/>
        </w:rPr>
      </w:pPr>
      <w:bookmarkStart w:id="149" w:name="_Toc18984"/>
      <w:bookmarkStart w:id="150" w:name="_Toc6726_WPSOffice_Level3"/>
      <w:bookmarkStart w:id="151" w:name="_Toc304"/>
      <w:bookmarkStart w:id="152" w:name="_Toc142508350"/>
      <w:bookmarkStart w:id="153" w:name="_Toc486167699"/>
      <w:bookmarkStart w:id="154" w:name="_Toc8196"/>
      <w:bookmarkStart w:id="155" w:name="_Toc14377"/>
      <w:r>
        <w:rPr>
          <w:rFonts w:hint="eastAsia" w:ascii="宋体" w:hAnsi="宋体" w:eastAsia="宋体" w:cs="宋体"/>
          <w:color w:val="auto"/>
          <w:kern w:val="2"/>
          <w:sz w:val="21"/>
          <w:szCs w:val="21"/>
          <w:highlight w:val="none"/>
          <w:lang w:val="zh-CN"/>
        </w:rPr>
        <w:t>3</w:t>
      </w:r>
      <w:r>
        <w:rPr>
          <w:rFonts w:hint="eastAsia" w:ascii="宋体" w:hAnsi="宋体" w:cs="宋体"/>
          <w:color w:val="auto"/>
          <w:kern w:val="2"/>
          <w:sz w:val="21"/>
          <w:szCs w:val="21"/>
          <w:highlight w:val="none"/>
          <w:lang w:val="en-US" w:eastAsia="zh-CN"/>
        </w:rPr>
        <w:t xml:space="preserve">3 </w:t>
      </w:r>
      <w:r>
        <w:rPr>
          <w:rFonts w:hint="eastAsia" w:ascii="宋体" w:hAnsi="宋体" w:eastAsia="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通知</w:t>
      </w:r>
      <w:bookmarkEnd w:id="149"/>
      <w:bookmarkEnd w:id="150"/>
      <w:bookmarkEnd w:id="151"/>
      <w:bookmarkEnd w:id="152"/>
      <w:bookmarkEnd w:id="153"/>
      <w:bookmarkEnd w:id="154"/>
      <w:bookmarkEnd w:id="155"/>
    </w:p>
    <w:p w14:paraId="1EFD8C54">
      <w:pPr>
        <w:numPr>
          <w:ilvl w:val="1"/>
          <w:numId w:val="0"/>
        </w:numPr>
        <w:tabs>
          <w:tab w:val="left" w:pos="540"/>
        </w:tabs>
        <w:autoSpaceDE/>
        <w:autoSpaceDN/>
        <w:adjustRightInd/>
        <w:snapToGrid/>
        <w:spacing w:line="360" w:lineRule="auto"/>
        <w:ind w:left="540" w:leftChars="0" w:right="51" w:hanging="540" w:firstLineChars="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代理机构向</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人发出书面通知，</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通知书是合同的一个组成部分。</w:t>
      </w:r>
    </w:p>
    <w:p w14:paraId="34A26D33">
      <w:pPr>
        <w:numPr>
          <w:ilvl w:val="-1"/>
          <w:numId w:val="0"/>
        </w:numPr>
        <w:autoSpaceDE/>
        <w:autoSpaceDN/>
        <w:adjustRightInd/>
        <w:snapToGrid w:val="0"/>
        <w:spacing w:line="360" w:lineRule="auto"/>
        <w:ind w:left="525" w:leftChars="0" w:right="0" w:hanging="525" w:hangingChars="25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代理机构向</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人发出书面通知的同时，</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代理机构通知落选的</w:t>
      </w:r>
      <w:r>
        <w:rPr>
          <w:rFonts w:hint="eastAsia" w:ascii="宋体" w:hAnsi="宋体" w:eastAsia="宋体" w:cs="宋体"/>
          <w:color w:val="auto"/>
          <w:kern w:val="2"/>
          <w:sz w:val="21"/>
          <w:szCs w:val="21"/>
          <w:highlight w:val="none"/>
          <w:lang w:val="zh-CN" w:eastAsia="zh-CN"/>
        </w:rPr>
        <w:t>供应商</w:t>
      </w:r>
      <w:r>
        <w:rPr>
          <w:rFonts w:hint="eastAsia" w:ascii="宋体" w:hAnsi="宋体" w:eastAsia="宋体" w:cs="宋体"/>
          <w:color w:val="auto"/>
          <w:kern w:val="2"/>
          <w:sz w:val="21"/>
          <w:szCs w:val="21"/>
          <w:highlight w:val="none"/>
          <w:lang w:val="zh-CN"/>
        </w:rPr>
        <w:t>其</w:t>
      </w:r>
      <w:r>
        <w:rPr>
          <w:rFonts w:hint="eastAsia" w:ascii="宋体" w:hAnsi="宋体" w:eastAsia="宋体" w:cs="宋体"/>
          <w:color w:val="auto"/>
          <w:kern w:val="2"/>
          <w:sz w:val="21"/>
          <w:szCs w:val="21"/>
          <w:highlight w:val="none"/>
          <w:lang w:val="zh-CN" w:eastAsia="zh-CN"/>
        </w:rPr>
        <w:t>响应</w:t>
      </w:r>
      <w:r>
        <w:rPr>
          <w:rFonts w:hint="eastAsia" w:ascii="宋体" w:hAnsi="宋体" w:eastAsia="宋体" w:cs="宋体"/>
          <w:color w:val="auto"/>
          <w:kern w:val="2"/>
          <w:sz w:val="21"/>
          <w:szCs w:val="21"/>
          <w:highlight w:val="none"/>
          <w:lang w:val="zh-CN"/>
        </w:rPr>
        <w:t>文件未被接受而不提原因。</w:t>
      </w:r>
    </w:p>
    <w:p w14:paraId="710A16C8">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p>
    <w:p w14:paraId="0CCF92AD">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p>
    <w:p w14:paraId="05A82816">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56" w:name="_Toc29614"/>
      <w:bookmarkStart w:id="157" w:name="_Toc521918104"/>
      <w:r>
        <w:rPr>
          <w:rFonts w:hint="eastAsia" w:ascii="宋体" w:hAnsi="宋体" w:eastAsia="宋体" w:cs="宋体"/>
          <w:color w:val="auto"/>
          <w:kern w:val="2"/>
          <w:sz w:val="21"/>
          <w:szCs w:val="21"/>
          <w:highlight w:val="none"/>
          <w:lang w:val="zh-CN"/>
        </w:rPr>
        <w:t>3</w:t>
      </w:r>
      <w:r>
        <w:rPr>
          <w:rFonts w:hint="eastAsia" w:ascii="宋体" w:hAnsi="宋体" w:cs="宋体"/>
          <w:color w:val="auto"/>
          <w:kern w:val="2"/>
          <w:sz w:val="21"/>
          <w:szCs w:val="21"/>
          <w:highlight w:val="none"/>
          <w:lang w:val="en-US" w:eastAsia="zh-CN"/>
        </w:rPr>
        <w:t xml:space="preserve">4 </w:t>
      </w:r>
      <w:r>
        <w:rPr>
          <w:rFonts w:hint="eastAsia" w:ascii="宋体" w:hAnsi="宋体" w:eastAsia="宋体" w:cs="宋体"/>
          <w:color w:val="auto"/>
          <w:kern w:val="2"/>
          <w:sz w:val="21"/>
          <w:szCs w:val="21"/>
          <w:highlight w:val="none"/>
          <w:lang w:val="zh-CN"/>
        </w:rPr>
        <w:t>签署合同</w:t>
      </w:r>
      <w:bookmarkEnd w:id="148"/>
      <w:bookmarkEnd w:id="156"/>
      <w:bookmarkEnd w:id="157"/>
    </w:p>
    <w:p w14:paraId="345A6EF6">
      <w:pPr>
        <w:tabs>
          <w:tab w:val="left" w:pos="540"/>
        </w:tabs>
        <w:spacing w:line="360" w:lineRule="auto"/>
        <w:ind w:left="540" w:right="18" w:hanging="54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b/>
          <w:color w:val="auto"/>
          <w:kern w:val="2"/>
          <w:sz w:val="21"/>
          <w:szCs w:val="21"/>
          <w:highlight w:val="none"/>
          <w:u w:val="single"/>
          <w:lang w:val="zh-CN"/>
        </w:rPr>
        <w:t>成交人在自成交通知书发出之日起</w:t>
      </w:r>
      <w:r>
        <w:rPr>
          <w:rFonts w:hint="eastAsia" w:ascii="宋体" w:hAnsi="宋体" w:cs="宋体"/>
          <w:b/>
          <w:color w:val="auto"/>
          <w:kern w:val="2"/>
          <w:sz w:val="21"/>
          <w:szCs w:val="21"/>
          <w:highlight w:val="none"/>
          <w:u w:val="single"/>
          <w:lang w:val="en-US" w:eastAsia="zh-CN"/>
        </w:rPr>
        <w:t>30</w:t>
      </w:r>
      <w:r>
        <w:rPr>
          <w:rFonts w:hint="eastAsia" w:ascii="宋体" w:hAnsi="宋体" w:eastAsia="宋体" w:cs="宋体"/>
          <w:b/>
          <w:color w:val="auto"/>
          <w:kern w:val="2"/>
          <w:sz w:val="21"/>
          <w:szCs w:val="21"/>
          <w:highlight w:val="none"/>
          <w:u w:val="single"/>
          <w:lang w:val="zh-CN"/>
        </w:rPr>
        <w:t>日内，</w:t>
      </w:r>
      <w:r>
        <w:rPr>
          <w:rFonts w:hint="eastAsia" w:ascii="宋体" w:hAnsi="宋体" w:cs="宋体"/>
          <w:b/>
          <w:color w:val="auto"/>
          <w:kern w:val="2"/>
          <w:sz w:val="21"/>
          <w:szCs w:val="21"/>
          <w:highlight w:val="none"/>
          <w:u w:val="single"/>
          <w:lang w:val="en-US" w:eastAsia="zh-CN"/>
        </w:rPr>
        <w:t>按照竞争性磋商文件和成交人的响应文件的约定，与采购人签订书面合同，具体签订方式以采购人通知为准。</w:t>
      </w:r>
      <w:r>
        <w:rPr>
          <w:rFonts w:hint="eastAsia" w:ascii="宋体" w:hAnsi="宋体" w:eastAsia="宋体" w:cs="宋体"/>
          <w:b/>
          <w:color w:val="auto"/>
          <w:kern w:val="2"/>
          <w:sz w:val="21"/>
          <w:szCs w:val="21"/>
          <w:highlight w:val="none"/>
          <w:u w:val="single"/>
          <w:lang w:val="zh-CN"/>
        </w:rPr>
        <w:t>否则采购人有权取消</w:t>
      </w:r>
      <w:r>
        <w:rPr>
          <w:rFonts w:hint="eastAsia" w:ascii="宋体" w:hAnsi="宋体" w:eastAsia="宋体" w:cs="宋体"/>
          <w:b/>
          <w:color w:val="auto"/>
          <w:kern w:val="2"/>
          <w:sz w:val="21"/>
          <w:szCs w:val="21"/>
          <w:highlight w:val="none"/>
          <w:u w:val="single"/>
          <w:lang w:val="en-US" w:eastAsia="zh-CN"/>
        </w:rPr>
        <w:t>成交</w:t>
      </w:r>
      <w:r>
        <w:rPr>
          <w:rFonts w:hint="eastAsia" w:ascii="宋体" w:hAnsi="宋体" w:eastAsia="宋体" w:cs="宋体"/>
          <w:b/>
          <w:color w:val="auto"/>
          <w:kern w:val="2"/>
          <w:sz w:val="21"/>
          <w:szCs w:val="21"/>
          <w:highlight w:val="none"/>
          <w:u w:val="single"/>
          <w:lang w:val="zh-CN"/>
        </w:rPr>
        <w:t>资格并按竞争性磋商文件及法律、法规的规定进行处理</w:t>
      </w:r>
      <w:r>
        <w:rPr>
          <w:rFonts w:hint="eastAsia" w:ascii="宋体" w:hAnsi="宋体" w:eastAsia="宋体" w:cs="宋体"/>
          <w:color w:val="auto"/>
          <w:kern w:val="2"/>
          <w:sz w:val="21"/>
          <w:szCs w:val="21"/>
          <w:highlight w:val="none"/>
          <w:lang w:val="zh-CN"/>
        </w:rPr>
        <w:t>。</w:t>
      </w:r>
    </w:p>
    <w:p w14:paraId="362CEF99">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.2 在签署合同前，采购人可对成交人响应报价表内的算术性错误的情况进行修正，修正原则为：</w:t>
      </w:r>
    </w:p>
    <w:p w14:paraId="2411C732">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（1）当以数字表示的金额与以文字表示的金额不一致时，以文字表示的金额为准；</w:t>
      </w:r>
    </w:p>
    <w:p w14:paraId="0A72E07F">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zh-CN" w:eastAsia="zh-CN"/>
        </w:rPr>
        <w:t>2</w:t>
      </w:r>
      <w:r>
        <w:rPr>
          <w:rFonts w:hint="eastAsia" w:ascii="宋体" w:hAnsi="宋体" w:eastAsia="宋体" w:cs="宋体"/>
          <w:color w:val="auto"/>
          <w:kern w:val="2"/>
          <w:sz w:val="21"/>
          <w:szCs w:val="21"/>
          <w:highlight w:val="none"/>
          <w:lang w:val="zh-CN"/>
        </w:rPr>
        <w:t>）当分项报价表内</w:t>
      </w:r>
      <w:r>
        <w:rPr>
          <w:rFonts w:hint="eastAsia" w:ascii="宋体" w:hAnsi="宋体" w:eastAsia="宋体" w:cs="宋体"/>
          <w:color w:val="auto"/>
          <w:kern w:val="2"/>
          <w:sz w:val="21"/>
          <w:szCs w:val="21"/>
          <w:highlight w:val="none"/>
          <w:lang w:val="zh-CN" w:eastAsia="zh-CN"/>
        </w:rPr>
        <w:t>合计</w:t>
      </w:r>
      <w:r>
        <w:rPr>
          <w:rFonts w:hint="eastAsia" w:ascii="宋体" w:hAnsi="宋体" w:eastAsia="宋体" w:cs="宋体"/>
          <w:color w:val="auto"/>
          <w:kern w:val="2"/>
          <w:sz w:val="21"/>
          <w:szCs w:val="21"/>
          <w:highlight w:val="none"/>
          <w:lang w:val="zh-CN"/>
        </w:rPr>
        <w:t>与</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报价表内报价不</w:t>
      </w:r>
      <w:r>
        <w:rPr>
          <w:rFonts w:hint="eastAsia" w:ascii="宋体" w:hAnsi="宋体" w:eastAsia="宋体" w:cs="宋体"/>
          <w:color w:val="auto"/>
          <w:kern w:val="2"/>
          <w:sz w:val="21"/>
          <w:szCs w:val="21"/>
          <w:highlight w:val="none"/>
          <w:lang w:val="zh-CN" w:eastAsia="zh-CN"/>
        </w:rPr>
        <w:t>一致</w:t>
      </w:r>
      <w:r>
        <w:rPr>
          <w:rFonts w:hint="eastAsia" w:ascii="宋体" w:hAnsi="宋体" w:eastAsia="宋体" w:cs="宋体"/>
          <w:color w:val="auto"/>
          <w:kern w:val="2"/>
          <w:sz w:val="21"/>
          <w:szCs w:val="21"/>
          <w:highlight w:val="none"/>
          <w:lang w:val="zh-CN"/>
        </w:rPr>
        <w:t>时，以</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报价表为准，修正分项报价表内的各分项报价；</w:t>
      </w:r>
    </w:p>
    <w:p w14:paraId="1A50C053">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zh-CN" w:eastAsia="zh-CN"/>
        </w:rPr>
        <w:t>3</w:t>
      </w:r>
      <w:r>
        <w:rPr>
          <w:rFonts w:hint="eastAsia" w:ascii="宋体" w:hAnsi="宋体" w:eastAsia="宋体" w:cs="宋体"/>
          <w:color w:val="auto"/>
          <w:kern w:val="2"/>
          <w:sz w:val="21"/>
          <w:szCs w:val="21"/>
          <w:highlight w:val="none"/>
          <w:lang w:val="zh-CN"/>
        </w:rPr>
        <w:t>）按前述修正原则排序依次进行修正至唯一值后的报价表经双方确认后，作为合同文件的组成部分。</w:t>
      </w:r>
    </w:p>
    <w:p w14:paraId="4956A1C8">
      <w:pPr>
        <w:snapToGrid w:val="0"/>
        <w:spacing w:line="360" w:lineRule="auto"/>
        <w:ind w:left="523" w:leftChars="218" w:firstLine="42" w:firstLineChars="20"/>
        <w:jc w:val="both"/>
        <w:rPr>
          <w:rFonts w:hint="eastAsia" w:ascii="宋体" w:hAnsi="宋体" w:eastAsia="宋体" w:cs="宋体"/>
          <w:color w:val="auto"/>
          <w:kern w:val="2"/>
          <w:sz w:val="21"/>
          <w:szCs w:val="21"/>
          <w:highlight w:val="none"/>
          <w:lang w:val="zh-CN"/>
        </w:rPr>
      </w:pPr>
    </w:p>
    <w:p w14:paraId="7018159F">
      <w:pPr>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58" w:name="_Toc51642383"/>
      <w:bookmarkStart w:id="159" w:name="_Toc16657"/>
      <w:bookmarkStart w:id="160" w:name="_Toc450662887"/>
      <w:bookmarkStart w:id="161" w:name="_Toc521918105"/>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5</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履约担保</w:t>
      </w:r>
      <w:bookmarkEnd w:id="158"/>
      <w:bookmarkEnd w:id="159"/>
    </w:p>
    <w:p w14:paraId="050D569A">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35.1</w:t>
      </w:r>
      <w:r>
        <w:rPr>
          <w:rFonts w:hint="eastAsia" w:ascii="宋体" w:hAnsi="宋体" w:eastAsia="宋体" w:cs="宋体"/>
          <w:bCs w:val="0"/>
          <w:color w:val="auto"/>
          <w:kern w:val="2"/>
          <w:sz w:val="21"/>
          <w:szCs w:val="21"/>
          <w:highlight w:val="none"/>
          <w:lang w:val="zh-CN" w:eastAsia="zh-CN"/>
        </w:rPr>
        <w:t xml:space="preserve"> </w:t>
      </w:r>
      <w:r>
        <w:rPr>
          <w:rFonts w:hint="eastAsia" w:ascii="宋体" w:hAnsi="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人应在签订合同前，按本</w:t>
      </w:r>
      <w:r>
        <w:rPr>
          <w:rFonts w:hint="eastAsia" w:ascii="宋体" w:hAnsi="宋体" w:cs="宋体"/>
          <w:b/>
          <w:bCs/>
          <w:color w:val="auto"/>
          <w:kern w:val="2"/>
          <w:sz w:val="21"/>
          <w:szCs w:val="21"/>
          <w:highlight w:val="none"/>
          <w:u w:val="single"/>
          <w:lang w:val="en-US" w:eastAsia="zh-CN"/>
        </w:rPr>
        <w:t>竞争性磋商</w:t>
      </w:r>
      <w:r>
        <w:rPr>
          <w:rFonts w:hint="eastAsia" w:ascii="宋体" w:hAnsi="宋体" w:eastAsia="宋体" w:cs="宋体"/>
          <w:b/>
          <w:bCs/>
          <w:color w:val="auto"/>
          <w:kern w:val="2"/>
          <w:sz w:val="21"/>
          <w:szCs w:val="21"/>
          <w:highlight w:val="none"/>
          <w:u w:val="single"/>
          <w:lang w:val="zh-CN"/>
        </w:rPr>
        <w:t>文件规定金额及形式要求，向</w:t>
      </w:r>
      <w:r>
        <w:rPr>
          <w:rFonts w:hint="eastAsia" w:ascii="宋体" w:hAnsi="宋体" w:cs="宋体"/>
          <w:b/>
          <w:bCs/>
          <w:color w:val="auto"/>
          <w:kern w:val="2"/>
          <w:sz w:val="21"/>
          <w:szCs w:val="21"/>
          <w:highlight w:val="none"/>
          <w:u w:val="single"/>
          <w:lang w:val="en-US" w:eastAsia="zh-CN"/>
        </w:rPr>
        <w:t>采购</w:t>
      </w:r>
      <w:r>
        <w:rPr>
          <w:rFonts w:hint="eastAsia" w:ascii="宋体" w:hAnsi="宋体" w:eastAsia="宋体" w:cs="宋体"/>
          <w:b/>
          <w:bCs/>
          <w:color w:val="auto"/>
          <w:kern w:val="2"/>
          <w:sz w:val="21"/>
          <w:szCs w:val="21"/>
          <w:highlight w:val="none"/>
          <w:u w:val="single"/>
          <w:lang w:val="zh-CN"/>
        </w:rPr>
        <w:t>人提交不可撤销的银行履约保函（或履约保证金</w:t>
      </w:r>
      <w:r>
        <w:rPr>
          <w:rFonts w:hint="eastAsia" w:ascii="宋体" w:hAnsi="宋体" w:eastAsia="宋体" w:cs="宋体"/>
          <w:b/>
          <w:bCs/>
          <w:color w:val="auto"/>
          <w:kern w:val="2"/>
          <w:sz w:val="21"/>
          <w:szCs w:val="21"/>
          <w:highlight w:val="none"/>
          <w:u w:val="single"/>
          <w:lang w:val="zh-CN" w:eastAsia="zh-CN"/>
        </w:rPr>
        <w:t>或</w:t>
      </w:r>
      <w:r>
        <w:rPr>
          <w:rFonts w:hint="eastAsia" w:ascii="宋体" w:hAnsi="宋体" w:eastAsia="宋体" w:cs="宋体"/>
          <w:b/>
          <w:bCs/>
          <w:color w:val="auto"/>
          <w:kern w:val="2"/>
          <w:sz w:val="21"/>
          <w:szCs w:val="21"/>
          <w:highlight w:val="none"/>
          <w:u w:val="single"/>
          <w:lang w:val="zh-CN"/>
        </w:rPr>
        <w:t>履约保证保险或担保公司履约担保书），作为履约担保（所需费用由</w:t>
      </w:r>
      <w:r>
        <w:rPr>
          <w:rFonts w:hint="eastAsia" w:ascii="宋体" w:hAnsi="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人自行承担），否则</w:t>
      </w:r>
      <w:r>
        <w:rPr>
          <w:rFonts w:hint="eastAsia" w:ascii="宋体" w:hAnsi="宋体" w:cs="宋体"/>
          <w:b/>
          <w:bCs/>
          <w:color w:val="auto"/>
          <w:kern w:val="2"/>
          <w:sz w:val="21"/>
          <w:szCs w:val="21"/>
          <w:highlight w:val="none"/>
          <w:u w:val="single"/>
          <w:lang w:val="en-US" w:eastAsia="zh-CN"/>
        </w:rPr>
        <w:t>采购</w:t>
      </w:r>
      <w:r>
        <w:rPr>
          <w:rFonts w:hint="eastAsia" w:ascii="宋体" w:hAnsi="宋体" w:eastAsia="宋体" w:cs="宋体"/>
          <w:b/>
          <w:bCs/>
          <w:color w:val="auto"/>
          <w:kern w:val="2"/>
          <w:sz w:val="21"/>
          <w:szCs w:val="21"/>
          <w:highlight w:val="none"/>
          <w:u w:val="single"/>
          <w:lang w:val="zh-CN"/>
        </w:rPr>
        <w:t>人可有权取消</w:t>
      </w:r>
      <w:r>
        <w:rPr>
          <w:rFonts w:hint="eastAsia" w:ascii="宋体" w:hAnsi="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人的</w:t>
      </w:r>
      <w:r>
        <w:rPr>
          <w:rFonts w:hint="eastAsia" w:ascii="宋体" w:hAnsi="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资格，并不予退还其</w:t>
      </w:r>
      <w:r>
        <w:rPr>
          <w:rFonts w:hint="eastAsia" w:ascii="宋体" w:hAnsi="宋体" w:cs="宋体"/>
          <w:b/>
          <w:bCs/>
          <w:color w:val="auto"/>
          <w:kern w:val="2"/>
          <w:sz w:val="21"/>
          <w:szCs w:val="21"/>
          <w:highlight w:val="none"/>
          <w:u w:val="single"/>
          <w:lang w:val="en-US" w:eastAsia="zh-CN"/>
        </w:rPr>
        <w:t>磋商</w:t>
      </w:r>
      <w:r>
        <w:rPr>
          <w:rFonts w:hint="eastAsia" w:ascii="宋体" w:hAnsi="宋体" w:eastAsia="宋体" w:cs="宋体"/>
          <w:b/>
          <w:bCs/>
          <w:color w:val="auto"/>
          <w:kern w:val="2"/>
          <w:sz w:val="21"/>
          <w:szCs w:val="21"/>
          <w:highlight w:val="none"/>
          <w:u w:val="single"/>
          <w:lang w:val="zh-CN"/>
        </w:rPr>
        <w:t>保证金。履约担保的金额标准为：</w:t>
      </w:r>
      <w:r>
        <w:rPr>
          <w:rFonts w:hint="eastAsia" w:ascii="宋体" w:hAnsi="宋体" w:eastAsia="宋体" w:cs="宋体"/>
          <w:b/>
          <w:bCs/>
          <w:color w:val="auto"/>
          <w:kern w:val="2"/>
          <w:sz w:val="21"/>
          <w:szCs w:val="21"/>
          <w:highlight w:val="none"/>
          <w:u w:val="single"/>
          <w:lang w:val="zh-CN" w:eastAsia="zh-CN"/>
        </w:rPr>
        <w:t>A包组</w:t>
      </w:r>
      <w:r>
        <w:rPr>
          <w:rFonts w:hint="eastAsia" w:ascii="宋体" w:hAnsi="宋体" w:eastAsia="宋体" w:cs="宋体"/>
          <w:b/>
          <w:bCs/>
          <w:color w:val="auto"/>
          <w:kern w:val="2"/>
          <w:sz w:val="21"/>
          <w:szCs w:val="21"/>
          <w:highlight w:val="none"/>
          <w:u w:val="single"/>
          <w:lang w:val="zh-CN"/>
        </w:rPr>
        <w:t>履约担保金额为人民币</w:t>
      </w:r>
      <w:r>
        <w:rPr>
          <w:rFonts w:hint="eastAsia" w:ascii="宋体" w:hAnsi="宋体" w:cs="宋体"/>
          <w:b/>
          <w:bCs/>
          <w:color w:val="auto"/>
          <w:kern w:val="2"/>
          <w:sz w:val="21"/>
          <w:szCs w:val="21"/>
          <w:highlight w:val="none"/>
          <w:u w:val="single"/>
          <w:lang w:val="en-US" w:eastAsia="zh-CN"/>
        </w:rPr>
        <w:t>52</w:t>
      </w:r>
      <w:r>
        <w:rPr>
          <w:rFonts w:hint="eastAsia" w:ascii="宋体" w:hAnsi="宋体" w:eastAsia="宋体" w:cs="宋体"/>
          <w:b/>
          <w:bCs/>
          <w:color w:val="auto"/>
          <w:kern w:val="2"/>
          <w:sz w:val="21"/>
          <w:szCs w:val="21"/>
          <w:highlight w:val="none"/>
          <w:u w:val="single"/>
          <w:lang w:val="zh-CN"/>
        </w:rPr>
        <w:t>万元；</w:t>
      </w:r>
      <w:r>
        <w:rPr>
          <w:rFonts w:hint="eastAsia" w:ascii="宋体" w:hAnsi="宋体" w:eastAsia="宋体" w:cs="宋体"/>
          <w:b/>
          <w:bCs/>
          <w:color w:val="auto"/>
          <w:kern w:val="2"/>
          <w:sz w:val="21"/>
          <w:szCs w:val="21"/>
          <w:highlight w:val="none"/>
          <w:u w:val="single"/>
          <w:lang w:val="zh-CN" w:eastAsia="zh-CN"/>
        </w:rPr>
        <w:t>B包组</w:t>
      </w:r>
      <w:r>
        <w:rPr>
          <w:rFonts w:hint="eastAsia" w:ascii="宋体" w:hAnsi="宋体" w:eastAsia="宋体" w:cs="宋体"/>
          <w:b/>
          <w:bCs/>
          <w:color w:val="auto"/>
          <w:kern w:val="2"/>
          <w:sz w:val="21"/>
          <w:szCs w:val="21"/>
          <w:highlight w:val="none"/>
          <w:u w:val="single"/>
          <w:lang w:val="zh-CN"/>
        </w:rPr>
        <w:t>履约担保金额为人民币</w:t>
      </w:r>
      <w:r>
        <w:rPr>
          <w:rFonts w:hint="eastAsia" w:ascii="宋体" w:hAnsi="宋体" w:cs="宋体"/>
          <w:b/>
          <w:bCs/>
          <w:color w:val="auto"/>
          <w:kern w:val="2"/>
          <w:sz w:val="21"/>
          <w:szCs w:val="21"/>
          <w:highlight w:val="none"/>
          <w:u w:val="single"/>
          <w:lang w:val="en-US" w:eastAsia="zh-CN"/>
        </w:rPr>
        <w:t>34</w:t>
      </w:r>
      <w:r>
        <w:rPr>
          <w:rFonts w:hint="eastAsia" w:ascii="宋体" w:hAnsi="宋体" w:eastAsia="宋体" w:cs="宋体"/>
          <w:b/>
          <w:bCs/>
          <w:color w:val="auto"/>
          <w:kern w:val="2"/>
          <w:sz w:val="21"/>
          <w:szCs w:val="21"/>
          <w:highlight w:val="none"/>
          <w:u w:val="single"/>
          <w:lang w:val="zh-CN"/>
        </w:rPr>
        <w:t>万元；</w:t>
      </w:r>
      <w:r>
        <w:rPr>
          <w:rFonts w:hint="eastAsia" w:ascii="宋体" w:hAnsi="宋体" w:eastAsia="宋体" w:cs="宋体"/>
          <w:b/>
          <w:bCs/>
          <w:color w:val="auto"/>
          <w:kern w:val="2"/>
          <w:sz w:val="21"/>
          <w:szCs w:val="21"/>
          <w:highlight w:val="none"/>
          <w:u w:val="single"/>
          <w:lang w:val="zh-CN" w:eastAsia="zh-CN"/>
        </w:rPr>
        <w:t>C包组</w:t>
      </w:r>
      <w:r>
        <w:rPr>
          <w:rFonts w:hint="eastAsia" w:ascii="宋体" w:hAnsi="宋体" w:eastAsia="宋体" w:cs="宋体"/>
          <w:b/>
          <w:bCs/>
          <w:color w:val="auto"/>
          <w:kern w:val="2"/>
          <w:sz w:val="21"/>
          <w:szCs w:val="21"/>
          <w:highlight w:val="none"/>
          <w:u w:val="single"/>
          <w:lang w:val="zh-CN"/>
        </w:rPr>
        <w:t>履约担保金额为人民币</w:t>
      </w:r>
      <w:r>
        <w:rPr>
          <w:rFonts w:hint="eastAsia" w:ascii="宋体" w:hAnsi="宋体" w:cs="宋体"/>
          <w:b/>
          <w:bCs/>
          <w:color w:val="auto"/>
          <w:kern w:val="2"/>
          <w:sz w:val="21"/>
          <w:szCs w:val="21"/>
          <w:highlight w:val="none"/>
          <w:u w:val="single"/>
          <w:lang w:val="en-US" w:eastAsia="zh-CN"/>
        </w:rPr>
        <w:t>34</w:t>
      </w:r>
      <w:r>
        <w:rPr>
          <w:rFonts w:hint="eastAsia" w:ascii="宋体" w:hAnsi="宋体" w:eastAsia="宋体" w:cs="宋体"/>
          <w:b/>
          <w:bCs/>
          <w:color w:val="auto"/>
          <w:kern w:val="2"/>
          <w:sz w:val="21"/>
          <w:szCs w:val="21"/>
          <w:highlight w:val="none"/>
          <w:u w:val="single"/>
          <w:lang w:val="zh-CN"/>
        </w:rPr>
        <w:t>万元；</w:t>
      </w:r>
      <w:r>
        <w:rPr>
          <w:rFonts w:hint="eastAsia" w:ascii="宋体" w:hAnsi="宋体" w:eastAsia="宋体" w:cs="宋体"/>
          <w:b/>
          <w:bCs/>
          <w:color w:val="auto"/>
          <w:kern w:val="2"/>
          <w:sz w:val="21"/>
          <w:szCs w:val="21"/>
          <w:highlight w:val="none"/>
          <w:u w:val="single"/>
          <w:lang w:val="zh-CN" w:eastAsia="zh-CN"/>
        </w:rPr>
        <w:t>D包组</w:t>
      </w:r>
      <w:r>
        <w:rPr>
          <w:rFonts w:hint="eastAsia" w:ascii="宋体" w:hAnsi="宋体" w:eastAsia="宋体" w:cs="宋体"/>
          <w:b/>
          <w:bCs/>
          <w:color w:val="auto"/>
          <w:kern w:val="2"/>
          <w:sz w:val="21"/>
          <w:szCs w:val="21"/>
          <w:highlight w:val="none"/>
          <w:u w:val="single"/>
          <w:lang w:val="zh-CN"/>
        </w:rPr>
        <w:t>履约担保金额为人民币</w:t>
      </w:r>
      <w:r>
        <w:rPr>
          <w:rFonts w:hint="eastAsia" w:ascii="宋体" w:hAnsi="宋体" w:cs="宋体"/>
          <w:b/>
          <w:bCs/>
          <w:color w:val="auto"/>
          <w:kern w:val="2"/>
          <w:sz w:val="21"/>
          <w:szCs w:val="21"/>
          <w:highlight w:val="none"/>
          <w:u w:val="single"/>
          <w:lang w:val="en-US" w:eastAsia="zh-CN"/>
        </w:rPr>
        <w:t>13</w:t>
      </w:r>
      <w:r>
        <w:rPr>
          <w:rFonts w:hint="eastAsia" w:ascii="宋体" w:hAnsi="宋体" w:eastAsia="宋体" w:cs="宋体"/>
          <w:b/>
          <w:bCs/>
          <w:color w:val="auto"/>
          <w:kern w:val="2"/>
          <w:sz w:val="21"/>
          <w:szCs w:val="21"/>
          <w:highlight w:val="none"/>
          <w:u w:val="single"/>
          <w:lang w:val="zh-CN"/>
        </w:rPr>
        <w:t>万元；</w:t>
      </w:r>
      <w:r>
        <w:rPr>
          <w:rFonts w:hint="eastAsia" w:ascii="宋体" w:hAnsi="宋体" w:eastAsia="宋体" w:cs="宋体"/>
          <w:b/>
          <w:bCs/>
          <w:color w:val="auto"/>
          <w:kern w:val="2"/>
          <w:sz w:val="21"/>
          <w:szCs w:val="21"/>
          <w:highlight w:val="none"/>
          <w:u w:val="single"/>
          <w:lang w:val="zh-CN" w:eastAsia="zh-CN"/>
        </w:rPr>
        <w:t>E包组</w:t>
      </w:r>
      <w:r>
        <w:rPr>
          <w:rFonts w:hint="eastAsia" w:ascii="宋体" w:hAnsi="宋体" w:eastAsia="宋体" w:cs="宋体"/>
          <w:b/>
          <w:bCs/>
          <w:color w:val="auto"/>
          <w:kern w:val="2"/>
          <w:sz w:val="21"/>
          <w:szCs w:val="21"/>
          <w:highlight w:val="none"/>
          <w:u w:val="single"/>
          <w:lang w:val="zh-CN"/>
        </w:rPr>
        <w:t>履约担保金额为人民币</w:t>
      </w:r>
      <w:r>
        <w:rPr>
          <w:rFonts w:hint="eastAsia" w:ascii="宋体" w:hAnsi="宋体" w:cs="宋体"/>
          <w:b/>
          <w:bCs/>
          <w:color w:val="auto"/>
          <w:kern w:val="2"/>
          <w:sz w:val="21"/>
          <w:szCs w:val="21"/>
          <w:highlight w:val="none"/>
          <w:u w:val="single"/>
          <w:lang w:val="en-US" w:eastAsia="zh-CN"/>
        </w:rPr>
        <w:t>10</w:t>
      </w:r>
      <w:r>
        <w:rPr>
          <w:rFonts w:hint="eastAsia" w:ascii="宋体" w:hAnsi="宋体" w:eastAsia="宋体" w:cs="宋体"/>
          <w:b/>
          <w:bCs/>
          <w:color w:val="auto"/>
          <w:kern w:val="2"/>
          <w:sz w:val="21"/>
          <w:szCs w:val="21"/>
          <w:highlight w:val="none"/>
          <w:u w:val="single"/>
          <w:lang w:val="zh-CN"/>
        </w:rPr>
        <w:t>万元</w:t>
      </w:r>
      <w:r>
        <w:rPr>
          <w:rFonts w:hint="eastAsia" w:ascii="宋体" w:hAnsi="宋体" w:eastAsia="宋体" w:cs="宋体"/>
          <w:bCs w:val="0"/>
          <w:color w:val="auto"/>
          <w:kern w:val="2"/>
          <w:sz w:val="21"/>
          <w:szCs w:val="21"/>
          <w:highlight w:val="none"/>
          <w:lang w:val="zh-CN"/>
        </w:rPr>
        <w:t>。合同履行过程中，</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人给</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人造成的损失超过履约担保数额的，</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人还应当对超过部分予以赔偿，</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人并依法追究</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人的相应责任。</w:t>
      </w:r>
    </w:p>
    <w:p w14:paraId="68FCF570">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35.2</w:t>
      </w:r>
      <w:r>
        <w:rPr>
          <w:rFonts w:hint="eastAsia" w:ascii="宋体" w:hAnsi="宋体" w:eastAsia="宋体" w:cs="宋体"/>
          <w:bCs w:val="0"/>
          <w:color w:val="auto"/>
          <w:kern w:val="2"/>
          <w:sz w:val="21"/>
          <w:szCs w:val="21"/>
          <w:highlight w:val="none"/>
          <w:lang w:val="zh-CN" w:eastAsia="zh-CN"/>
        </w:rPr>
        <w:t xml:space="preserve"> </w:t>
      </w:r>
      <w:r>
        <w:rPr>
          <w:rFonts w:hint="eastAsia" w:ascii="宋体" w:hAnsi="宋体" w:eastAsia="宋体" w:cs="宋体"/>
          <w:bCs w:val="0"/>
          <w:color w:val="auto"/>
          <w:kern w:val="2"/>
          <w:sz w:val="21"/>
          <w:szCs w:val="21"/>
          <w:highlight w:val="none"/>
          <w:lang w:val="zh-CN"/>
        </w:rPr>
        <w:t>履约担保用于补偿</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人因</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人不能完全履行其合同义务而蒙受的损失或其他合同约定的事项。如发生下列任一情况时，</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人有权依合同追究违约责任外，同时有权提取履约担保并进行相应处理：</w:t>
      </w:r>
    </w:p>
    <w:p w14:paraId="2CDE4D9E">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（1）</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人将合同项下</w:t>
      </w:r>
      <w:r>
        <w:rPr>
          <w:rFonts w:hint="eastAsia" w:ascii="宋体" w:hAnsi="宋体" w:cs="宋体"/>
          <w:bCs w:val="0"/>
          <w:color w:val="auto"/>
          <w:kern w:val="2"/>
          <w:sz w:val="21"/>
          <w:szCs w:val="21"/>
          <w:highlight w:val="none"/>
          <w:lang w:val="zh-CN"/>
        </w:rPr>
        <w:t>成交人</w:t>
      </w:r>
      <w:r>
        <w:rPr>
          <w:rFonts w:hint="eastAsia" w:ascii="宋体" w:hAnsi="宋体" w:eastAsia="宋体" w:cs="宋体"/>
          <w:bCs w:val="0"/>
          <w:color w:val="auto"/>
          <w:kern w:val="2"/>
          <w:sz w:val="21"/>
          <w:szCs w:val="21"/>
          <w:highlight w:val="none"/>
          <w:lang w:val="zh-CN"/>
        </w:rPr>
        <w:t>的权利义务全部转让给第三方，或未经</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人书面同意将部分权利义务转让给第三方的，</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人有权没收其履约担保。</w:t>
      </w:r>
    </w:p>
    <w:p w14:paraId="41A6C10E">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（2）在合同履行期间，</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人怠于履行合同义务，经</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人通知或要求承担违约金后仍拒不改正的，</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人有权没收或适当扣除其履约担保。</w:t>
      </w:r>
    </w:p>
    <w:p w14:paraId="5495B540">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（3）在合同履行期间，因</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人服务质量问题造成损害、侵权损失（包括但不限于</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人经济损失、</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人所雇人员及第三人人身财产损失等）、拖欠原材料供应商货款或与其所雇用员工发生劳资纠纷、上访、闹事或其他影响</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人生产经营等情况而其未及时妥善处理的，</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人有权使用履约担保予以支付或作出相应处理，由此产生的一切法律后果由</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人承担。</w:t>
      </w:r>
    </w:p>
    <w:p w14:paraId="33ACF6B7">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（4）在合同履行期间，</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人违约产生的违约金、赔偿、罚款或其他应付费用等款项，</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人有权直接从未付款项中直接扣除或启用履约担保予以支付。</w:t>
      </w:r>
    </w:p>
    <w:p w14:paraId="15341831">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（5）合同期内，</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人不能及时完成合同某项义务的，</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人有权提取履约担保用于处理该项工作。</w:t>
      </w:r>
    </w:p>
    <w:p w14:paraId="334592B0">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（6）其他根据本合同约定或法律规定，</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人可启用履约担保的情形。</w:t>
      </w:r>
    </w:p>
    <w:p w14:paraId="70D565D1">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35.3 履约担保应符合如下规定：</w:t>
      </w:r>
    </w:p>
    <w:p w14:paraId="165BC663">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（1）出具履约保函的银行必须是境内支行一级以上机构，并经</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人同意，执行本款时所发生的费用由</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人承担。</w:t>
      </w:r>
    </w:p>
    <w:p w14:paraId="04449412">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（2）履约担保格式应采用</w:t>
      </w:r>
      <w:r>
        <w:rPr>
          <w:rFonts w:hint="eastAsia" w:ascii="宋体" w:hAnsi="宋体" w:cs="宋体"/>
          <w:bCs w:val="0"/>
          <w:color w:val="auto"/>
          <w:kern w:val="2"/>
          <w:sz w:val="21"/>
          <w:szCs w:val="21"/>
          <w:highlight w:val="none"/>
          <w:lang w:val="en-US" w:eastAsia="zh-CN"/>
        </w:rPr>
        <w:t>竞争性磋商</w:t>
      </w:r>
      <w:r>
        <w:rPr>
          <w:rFonts w:hint="eastAsia" w:ascii="宋体" w:hAnsi="宋体" w:eastAsia="宋体" w:cs="宋体"/>
          <w:bCs w:val="0"/>
          <w:color w:val="auto"/>
          <w:kern w:val="2"/>
          <w:sz w:val="21"/>
          <w:szCs w:val="21"/>
          <w:highlight w:val="none"/>
          <w:lang w:val="zh-CN"/>
        </w:rPr>
        <w:t>文件中提供的（格式参见第五篇），</w:t>
      </w:r>
      <w:r>
        <w:rPr>
          <w:rFonts w:hint="eastAsia" w:ascii="宋体" w:hAnsi="宋体" w:cs="宋体"/>
          <w:bCs w:val="0"/>
          <w:color w:val="auto"/>
          <w:kern w:val="2"/>
          <w:sz w:val="21"/>
          <w:szCs w:val="21"/>
          <w:highlight w:val="none"/>
          <w:lang w:val="en-US" w:eastAsia="zh-CN"/>
        </w:rPr>
        <w:t>供应商</w:t>
      </w:r>
      <w:r>
        <w:rPr>
          <w:rFonts w:hint="eastAsia" w:ascii="宋体" w:hAnsi="宋体" w:eastAsia="宋体" w:cs="宋体"/>
          <w:bCs w:val="0"/>
          <w:color w:val="auto"/>
          <w:kern w:val="2"/>
          <w:sz w:val="21"/>
          <w:szCs w:val="21"/>
          <w:highlight w:val="none"/>
          <w:lang w:val="zh-CN"/>
        </w:rPr>
        <w:t>如以履约保函（或履约保证保险或担保公司履约担保书）形式提供履约担保的，</w:t>
      </w:r>
      <w:r>
        <w:rPr>
          <w:rFonts w:hint="eastAsia" w:ascii="宋体" w:hAnsi="宋体" w:cs="宋体"/>
          <w:bCs w:val="0"/>
          <w:color w:val="auto"/>
          <w:kern w:val="2"/>
          <w:sz w:val="21"/>
          <w:szCs w:val="21"/>
          <w:highlight w:val="none"/>
          <w:lang w:val="en-US" w:eastAsia="zh-CN"/>
        </w:rPr>
        <w:t>响应</w:t>
      </w:r>
      <w:r>
        <w:rPr>
          <w:rFonts w:hint="eastAsia" w:ascii="宋体" w:hAnsi="宋体" w:eastAsia="宋体" w:cs="宋体"/>
          <w:bCs w:val="0"/>
          <w:color w:val="auto"/>
          <w:kern w:val="2"/>
          <w:sz w:val="21"/>
          <w:szCs w:val="21"/>
          <w:highlight w:val="none"/>
          <w:lang w:val="zh-CN"/>
        </w:rPr>
        <w:t>前应当自行向其拟申请开具保函的银行（或保险或担保）机构落实履约保函（或履约保证保险或担保公司履约担保书）格式情况，以确保能按本</w:t>
      </w:r>
      <w:r>
        <w:rPr>
          <w:rFonts w:hint="eastAsia" w:ascii="宋体" w:hAnsi="宋体" w:cs="宋体"/>
          <w:bCs w:val="0"/>
          <w:color w:val="auto"/>
          <w:kern w:val="2"/>
          <w:sz w:val="21"/>
          <w:szCs w:val="21"/>
          <w:highlight w:val="none"/>
          <w:lang w:val="en-US" w:eastAsia="zh-CN"/>
        </w:rPr>
        <w:t>竞争性磋商</w:t>
      </w:r>
      <w:r>
        <w:rPr>
          <w:rFonts w:hint="eastAsia" w:ascii="宋体" w:hAnsi="宋体" w:eastAsia="宋体" w:cs="宋体"/>
          <w:bCs w:val="0"/>
          <w:color w:val="auto"/>
          <w:kern w:val="2"/>
          <w:sz w:val="21"/>
          <w:szCs w:val="21"/>
          <w:highlight w:val="none"/>
          <w:lang w:val="zh-CN"/>
        </w:rPr>
        <w:t>文件规定的格式提供保函。如使用其他格式的履约保函（或履约保证保险或担保公司履约担保书），须事先经</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人的书面同意。</w:t>
      </w:r>
    </w:p>
    <w:p w14:paraId="123C663A">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（3）提供担保的担保机构经济性质须为东莞市国有企业，或政府性融资担保机构（</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人须提供能证明其属于政府性融资担保机构的证明文件），并经</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人同意，执行本款时所发生的费用由</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人承担。如</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人合同条款接受担保公司预付款担保函的，对担保机构要求参照本条执行。</w:t>
      </w:r>
    </w:p>
    <w:p w14:paraId="59EE9479">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（4）如果</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人提交的履约担保的有效期届满时间先于</w:t>
      </w:r>
      <w:r>
        <w:rPr>
          <w:rFonts w:hint="eastAsia" w:ascii="宋体" w:hAnsi="宋体" w:cs="宋体"/>
          <w:bCs w:val="0"/>
          <w:color w:val="auto"/>
          <w:kern w:val="2"/>
          <w:sz w:val="21"/>
          <w:szCs w:val="21"/>
          <w:highlight w:val="none"/>
          <w:lang w:val="en-US" w:eastAsia="zh-CN"/>
        </w:rPr>
        <w:t>竞争性磋商</w:t>
      </w:r>
      <w:r>
        <w:rPr>
          <w:rFonts w:hint="eastAsia" w:ascii="宋体" w:hAnsi="宋体" w:eastAsia="宋体" w:cs="宋体"/>
          <w:bCs w:val="0"/>
          <w:color w:val="auto"/>
          <w:kern w:val="2"/>
          <w:sz w:val="21"/>
          <w:szCs w:val="21"/>
          <w:highlight w:val="none"/>
          <w:lang w:val="zh-CN"/>
        </w:rPr>
        <w:t>文件、合同文件要求的，</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人应在原提交的履约担保有效期届满前15日内，无条件办理符合</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人要求的履约担保延期手续，否则视为</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人违约，</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人有权在不可撤销银行履约保函或履约保证保险或担保公司履约担保书到期前向出具履约担保的机构提取履约担保金。在不可撤销银行履约保函（或履约保证保险或担保公司履约担保书）到期后</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人未按</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人要求重新提供的，</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人有权要求</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人以履约担保金额为限承担违约金，违约金可直接从未付采购合同费用中扣除。</w:t>
      </w:r>
    </w:p>
    <w:p w14:paraId="3D385896">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（5）在合同履行过程中，不论何种原因导致履约担保金数额不符合</w:t>
      </w:r>
      <w:r>
        <w:rPr>
          <w:rFonts w:hint="eastAsia" w:ascii="宋体" w:hAnsi="宋体" w:cs="宋体"/>
          <w:bCs w:val="0"/>
          <w:color w:val="auto"/>
          <w:kern w:val="2"/>
          <w:sz w:val="21"/>
          <w:szCs w:val="21"/>
          <w:highlight w:val="none"/>
          <w:lang w:val="en-US" w:eastAsia="zh-CN"/>
        </w:rPr>
        <w:t>竞争性磋商</w:t>
      </w:r>
      <w:r>
        <w:rPr>
          <w:rFonts w:hint="eastAsia" w:ascii="宋体" w:hAnsi="宋体" w:eastAsia="宋体" w:cs="宋体"/>
          <w:bCs w:val="0"/>
          <w:color w:val="auto"/>
          <w:kern w:val="2"/>
          <w:sz w:val="21"/>
          <w:szCs w:val="21"/>
          <w:highlight w:val="none"/>
          <w:lang w:val="zh-CN"/>
        </w:rPr>
        <w:t>文件要求的，</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人应当在5日内予以补足。逾期不予补足的，</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人有权按需补足的金额要求</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人承担违约金，并要求限期补足。如</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人仍不补足的，</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人有权单方解除合同，违约金可直接从未付合同款或履约担保中扣除。</w:t>
      </w:r>
    </w:p>
    <w:p w14:paraId="7C977EFA">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（6）不可撤销银行履约保函（或履约保证保险或担保公司履约担保书）应自合同签订之日起至合同期限届满并完成合同全部服务义务后二十八（28）日内保持有效。</w:t>
      </w:r>
    </w:p>
    <w:p w14:paraId="7BE92A40">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35.4 履约保证金应用本合同货币。</w:t>
      </w:r>
    </w:p>
    <w:p w14:paraId="4D2D3987">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 xml:space="preserve">35.5 </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人也可以按</w:t>
      </w:r>
      <w:r>
        <w:rPr>
          <w:rFonts w:hint="eastAsia" w:ascii="宋体" w:hAnsi="宋体" w:cs="宋体"/>
          <w:bCs w:val="0"/>
          <w:color w:val="auto"/>
          <w:kern w:val="2"/>
          <w:sz w:val="21"/>
          <w:szCs w:val="21"/>
          <w:highlight w:val="none"/>
          <w:lang w:val="en-US" w:eastAsia="zh-CN"/>
        </w:rPr>
        <w:t>竞争性磋商</w:t>
      </w:r>
      <w:r>
        <w:rPr>
          <w:rFonts w:hint="eastAsia" w:ascii="宋体" w:hAnsi="宋体" w:eastAsia="宋体" w:cs="宋体"/>
          <w:bCs w:val="0"/>
          <w:color w:val="auto"/>
          <w:kern w:val="2"/>
          <w:sz w:val="21"/>
          <w:szCs w:val="21"/>
          <w:highlight w:val="none"/>
          <w:lang w:val="zh-CN"/>
        </w:rPr>
        <w:t>文件约定的额度和时间，向</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人交纳同等数额的履约保证金作为履约担保。如</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人提交的履约保证金是其分支机构以转账形式转入的，要提交</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人的法人书面授权，不接受由私人账户和其它单位转入的保证金，也不接受现金形式提交。履约保证金应以存入</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人指定的以下银行账户为准。</w:t>
      </w:r>
    </w:p>
    <w:p w14:paraId="50C67F92">
      <w:pPr>
        <w:numPr>
          <w:ilvl w:val="-1"/>
          <w:numId w:val="0"/>
        </w:numPr>
        <w:snapToGrid w:val="0"/>
        <w:spacing w:line="360" w:lineRule="auto"/>
        <w:ind w:left="629" w:leftChars="262" w:right="0" w:firstLine="316" w:firstLineChars="150"/>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履约保证金账户：</w:t>
      </w:r>
    </w:p>
    <w:p w14:paraId="58E868DA">
      <w:pPr>
        <w:numPr>
          <w:ilvl w:val="-1"/>
          <w:numId w:val="0"/>
        </w:numPr>
        <w:snapToGrid w:val="0"/>
        <w:spacing w:line="360" w:lineRule="auto"/>
        <w:ind w:left="629" w:leftChars="262" w:right="0" w:firstLine="316" w:firstLineChars="150"/>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开户名称：东莞市众源环境投资有限公司</w:t>
      </w:r>
    </w:p>
    <w:p w14:paraId="447E8237">
      <w:pPr>
        <w:numPr>
          <w:ilvl w:val="-1"/>
          <w:numId w:val="0"/>
        </w:numPr>
        <w:snapToGrid w:val="0"/>
        <w:spacing w:line="360" w:lineRule="auto"/>
        <w:ind w:left="629" w:leftChars="262" w:right="0" w:firstLine="316" w:firstLineChars="150"/>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银行账号：769908269610828</w:t>
      </w:r>
    </w:p>
    <w:p w14:paraId="7D960147">
      <w:pPr>
        <w:numPr>
          <w:ilvl w:val="-1"/>
          <w:numId w:val="0"/>
        </w:numPr>
        <w:snapToGrid w:val="0"/>
        <w:spacing w:line="360" w:lineRule="auto"/>
        <w:ind w:left="629" w:leftChars="262" w:right="0" w:firstLine="316" w:firstLineChars="150"/>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开户银行：招商银行股份有限公司东莞分行</w:t>
      </w:r>
    </w:p>
    <w:p w14:paraId="544EEB07">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35.</w:t>
      </w:r>
      <w:r>
        <w:rPr>
          <w:rFonts w:hint="eastAsia" w:ascii="宋体" w:hAnsi="宋体" w:cs="宋体"/>
          <w:bCs w:val="0"/>
          <w:color w:val="auto"/>
          <w:kern w:val="2"/>
          <w:sz w:val="21"/>
          <w:szCs w:val="21"/>
          <w:highlight w:val="none"/>
          <w:lang w:val="en-US" w:eastAsia="zh-CN"/>
        </w:rPr>
        <w:t>6</w:t>
      </w:r>
      <w:r>
        <w:rPr>
          <w:rFonts w:hint="eastAsia" w:ascii="宋体" w:hAnsi="宋体" w:eastAsia="宋体" w:cs="宋体"/>
          <w:bCs w:val="0"/>
          <w:color w:val="auto"/>
          <w:kern w:val="2"/>
          <w:sz w:val="21"/>
          <w:szCs w:val="21"/>
          <w:highlight w:val="none"/>
          <w:lang w:val="zh-CN"/>
        </w:rPr>
        <w:t xml:space="preserve"> </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人以履约保证金（银行转账形式）提供履约担保的在依法完成本项目的所有合同义务后，经</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人确认，</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人可向</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人提交退回履约担保的申请。</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人审核无异议后，办理履约担保退还手续，退回时一律以银行转账的形式无息退回到</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人的</w:t>
      </w:r>
      <w:r>
        <w:rPr>
          <w:rFonts w:hint="eastAsia" w:ascii="宋体" w:hAnsi="宋体" w:eastAsia="宋体" w:cs="宋体"/>
          <w:bCs w:val="0"/>
          <w:color w:val="auto"/>
          <w:kern w:val="2"/>
          <w:sz w:val="21"/>
          <w:szCs w:val="21"/>
          <w:highlight w:val="none"/>
          <w:lang w:val="zh-CN" w:eastAsia="zh-CN"/>
        </w:rPr>
        <w:t>账户</w:t>
      </w:r>
      <w:r>
        <w:rPr>
          <w:rFonts w:hint="eastAsia" w:ascii="宋体" w:hAnsi="宋体" w:eastAsia="宋体" w:cs="宋体"/>
          <w:bCs w:val="0"/>
          <w:color w:val="auto"/>
          <w:kern w:val="2"/>
          <w:sz w:val="21"/>
          <w:szCs w:val="21"/>
          <w:highlight w:val="none"/>
          <w:lang w:val="zh-CN"/>
        </w:rPr>
        <w:t>。</w:t>
      </w:r>
    </w:p>
    <w:bookmarkEnd w:id="160"/>
    <w:bookmarkEnd w:id="161"/>
    <w:p w14:paraId="6FEFB3CC">
      <w:pPr>
        <w:tabs>
          <w:tab w:val="left" w:pos="360"/>
          <w:tab w:val="left" w:pos="4725"/>
        </w:tabs>
        <w:spacing w:line="360" w:lineRule="auto"/>
        <w:ind w:left="720" w:hanging="720" w:hangingChars="300"/>
        <w:jc w:val="both"/>
        <w:rPr>
          <w:rFonts w:hint="eastAsia" w:ascii="宋体" w:hAnsi="宋体" w:eastAsia="宋体" w:cs="宋体"/>
          <w:color w:val="auto"/>
          <w:highlight w:val="none"/>
          <w:lang w:val="zh-CN"/>
        </w:rPr>
      </w:pPr>
    </w:p>
    <w:p w14:paraId="570241DE">
      <w:pPr>
        <w:tabs>
          <w:tab w:val="left" w:pos="360"/>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62" w:name="_Toc2374"/>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6</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在合同履行中变更采购范围的权利</w:t>
      </w:r>
      <w:bookmarkEnd w:id="162"/>
    </w:p>
    <w:p w14:paraId="44CA9413">
      <w:pPr>
        <w:snapToGrid w:val="0"/>
        <w:spacing w:line="360" w:lineRule="auto"/>
        <w:ind w:left="525" w:leftChars="0" w:hanging="525" w:hangingChars="250"/>
        <w:jc w:val="both"/>
        <w:rPr>
          <w:rFonts w:hint="eastAsia" w:ascii="宋体" w:hAnsi="宋体" w:eastAsia="宋体" w:cs="宋体"/>
          <w:color w:val="auto"/>
          <w:sz w:val="21"/>
          <w:szCs w:val="21"/>
          <w:highlight w:val="none"/>
        </w:rPr>
      </w:pPr>
      <w:bookmarkStart w:id="163" w:name="_Toc450662888"/>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lang w:val="zh-CN"/>
        </w:rPr>
        <w:t>.1 合同履行中，采购人在合同约定的</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范围内，采购人有权根据项目实际情况及有关法律法规、政策的规定对采购范围进行变更调整，变更采购范围后，</w:t>
      </w:r>
      <w:r>
        <w:rPr>
          <w:rFonts w:hint="eastAsia" w:ascii="宋体" w:hAnsi="宋体" w:eastAsia="宋体" w:cs="宋体"/>
          <w:color w:val="auto"/>
          <w:kern w:val="2"/>
          <w:sz w:val="21"/>
          <w:szCs w:val="21"/>
          <w:highlight w:val="none"/>
          <w:lang w:val="zh-CN" w:eastAsia="zh-CN"/>
        </w:rPr>
        <w:t>供应商</w:t>
      </w:r>
      <w:r>
        <w:rPr>
          <w:rFonts w:hint="eastAsia" w:ascii="宋体" w:hAnsi="宋体" w:eastAsia="宋体" w:cs="宋体"/>
          <w:color w:val="auto"/>
          <w:kern w:val="2"/>
          <w:sz w:val="21"/>
          <w:szCs w:val="21"/>
          <w:highlight w:val="none"/>
          <w:lang w:val="zh-CN"/>
        </w:rPr>
        <w:t>应遵照执行</w:t>
      </w:r>
      <w:r>
        <w:rPr>
          <w:rFonts w:hint="eastAsia" w:ascii="宋体" w:hAnsi="宋体" w:eastAsia="宋体" w:cs="宋体"/>
          <w:color w:val="auto"/>
          <w:sz w:val="21"/>
          <w:szCs w:val="21"/>
          <w:highlight w:val="none"/>
        </w:rPr>
        <w:t>。</w:t>
      </w:r>
    </w:p>
    <w:p w14:paraId="330A7ADC">
      <w:pPr>
        <w:spacing w:line="360" w:lineRule="auto"/>
        <w:ind w:left="598" w:leftChars="1" w:hanging="596" w:hangingChars="284"/>
        <w:jc w:val="both"/>
        <w:rPr>
          <w:rFonts w:hint="eastAsia" w:ascii="宋体" w:hAnsi="宋体" w:eastAsia="宋体" w:cs="宋体"/>
          <w:color w:val="auto"/>
          <w:sz w:val="21"/>
          <w:szCs w:val="21"/>
          <w:highlight w:val="none"/>
        </w:rPr>
      </w:pPr>
    </w:p>
    <w:p w14:paraId="7DFFD1F5">
      <w:pPr>
        <w:tabs>
          <w:tab w:val="left" w:pos="680"/>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64" w:name="_Toc699"/>
      <w:bookmarkStart w:id="165" w:name="_Toc521918107"/>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7</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代理</w:t>
      </w:r>
      <w:r>
        <w:rPr>
          <w:rFonts w:hint="eastAsia" w:ascii="宋体" w:hAnsi="宋体" w:eastAsia="宋体" w:cs="宋体"/>
          <w:color w:val="auto"/>
          <w:kern w:val="2"/>
          <w:sz w:val="21"/>
          <w:szCs w:val="21"/>
          <w:highlight w:val="none"/>
          <w:lang w:val="zh-CN"/>
        </w:rPr>
        <w:t>服务费</w:t>
      </w:r>
      <w:bookmarkEnd w:id="163"/>
      <w:bookmarkEnd w:id="164"/>
      <w:bookmarkEnd w:id="165"/>
    </w:p>
    <w:p w14:paraId="55F92251">
      <w:pPr>
        <w:spacing w:line="360" w:lineRule="auto"/>
        <w:ind w:right="18"/>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 xml:space="preserve">37.1 </w:t>
      </w:r>
      <w:r>
        <w:rPr>
          <w:rFonts w:hint="eastAsia" w:ascii="宋体" w:hAnsi="宋体" w:eastAsia="宋体" w:cs="宋体"/>
          <w:bCs/>
          <w:color w:val="auto"/>
          <w:kern w:val="2"/>
          <w:sz w:val="21"/>
          <w:szCs w:val="21"/>
          <w:highlight w:val="none"/>
          <w:lang w:val="zh-CN"/>
        </w:rPr>
        <w:t>本项目</w:t>
      </w:r>
      <w:r>
        <w:rPr>
          <w:rFonts w:hint="eastAsia" w:ascii="宋体" w:hAnsi="宋体" w:eastAsia="宋体" w:cs="宋体"/>
          <w:bCs/>
          <w:color w:val="auto"/>
          <w:kern w:val="2"/>
          <w:sz w:val="21"/>
          <w:szCs w:val="21"/>
          <w:highlight w:val="none"/>
          <w:lang w:val="en-US" w:eastAsia="zh-CN"/>
        </w:rPr>
        <w:t>代理服务费由采购人向代理机构支付。</w:t>
      </w:r>
    </w:p>
    <w:p w14:paraId="6F32CA2C">
      <w:pPr>
        <w:spacing w:line="360" w:lineRule="auto"/>
        <w:ind w:left="598" w:leftChars="1" w:hanging="596" w:hangingChars="284"/>
        <w:jc w:val="both"/>
        <w:outlineLvl w:val="9"/>
        <w:rPr>
          <w:rFonts w:hint="eastAsia" w:ascii="宋体" w:hAnsi="宋体" w:eastAsia="宋体" w:cs="宋体"/>
          <w:color w:val="auto"/>
          <w:kern w:val="0"/>
          <w:sz w:val="21"/>
          <w:szCs w:val="21"/>
          <w:highlight w:val="none"/>
          <w:lang w:val="zh-CN"/>
        </w:rPr>
      </w:pPr>
      <w:bookmarkStart w:id="166" w:name="_Toc521918108"/>
      <w:bookmarkStart w:id="167" w:name="_Toc450662889"/>
    </w:p>
    <w:p w14:paraId="333978CC">
      <w:pPr>
        <w:tabs>
          <w:tab w:val="left" w:pos="680"/>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68" w:name="_Toc13969"/>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8</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发票</w:t>
      </w:r>
      <w:bookmarkEnd w:id="166"/>
      <w:bookmarkEnd w:id="167"/>
      <w:bookmarkEnd w:id="168"/>
    </w:p>
    <w:p w14:paraId="7C8142EB">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lang w:val="zh-CN"/>
        </w:rPr>
        <w:t>.1 该项目获得成交的成交人在执行合同过程中，向采购人（或采购人控股公司或由采购人管理的</w:t>
      </w:r>
      <w:r>
        <w:rPr>
          <w:rFonts w:hint="eastAsia" w:ascii="宋体" w:hAnsi="宋体" w:eastAsia="宋体" w:cs="宋体"/>
          <w:color w:val="auto"/>
          <w:sz w:val="21"/>
          <w:szCs w:val="21"/>
          <w:highlight w:val="none"/>
        </w:rPr>
        <w:t>参股</w:t>
      </w:r>
      <w:r>
        <w:rPr>
          <w:rFonts w:hint="eastAsia" w:ascii="宋体" w:hAnsi="宋体" w:eastAsia="宋体" w:cs="宋体"/>
          <w:color w:val="auto"/>
          <w:kern w:val="2"/>
          <w:sz w:val="21"/>
          <w:szCs w:val="21"/>
          <w:highlight w:val="none"/>
          <w:lang w:val="zh-CN"/>
        </w:rPr>
        <w:t>公司</w:t>
      </w:r>
      <w:r>
        <w:rPr>
          <w:rFonts w:hint="eastAsia" w:ascii="宋体" w:hAnsi="宋体" w:cs="宋体"/>
          <w:color w:val="auto"/>
          <w:kern w:val="2"/>
          <w:sz w:val="21"/>
          <w:szCs w:val="21"/>
          <w:highlight w:val="none"/>
          <w:lang w:val="zh-CN"/>
        </w:rPr>
        <w:t>、</w:t>
      </w:r>
      <w:r>
        <w:rPr>
          <w:rFonts w:hint="eastAsia" w:ascii="宋体" w:hAnsi="宋体" w:cs="宋体"/>
          <w:color w:val="auto"/>
          <w:kern w:val="2"/>
          <w:sz w:val="21"/>
          <w:szCs w:val="21"/>
          <w:highlight w:val="none"/>
          <w:lang w:val="en-US" w:eastAsia="zh-CN"/>
        </w:rPr>
        <w:t>代管项目主体公司</w:t>
      </w:r>
      <w:r>
        <w:rPr>
          <w:rFonts w:hint="eastAsia" w:ascii="宋体" w:hAnsi="宋体" w:eastAsia="宋体" w:cs="宋体"/>
          <w:color w:val="auto"/>
          <w:kern w:val="2"/>
          <w:sz w:val="21"/>
          <w:szCs w:val="21"/>
          <w:highlight w:val="none"/>
          <w:lang w:val="zh-CN"/>
        </w:rPr>
        <w:t>）出具的发票必须是由成交人开具，不得以其他单位或个人名义出具，本项目成交人向采购人</w:t>
      </w:r>
      <w:r>
        <w:rPr>
          <w:rFonts w:hint="eastAsia" w:ascii="宋体" w:hAnsi="宋体" w:cs="宋体"/>
          <w:color w:val="auto"/>
          <w:kern w:val="2"/>
          <w:sz w:val="21"/>
          <w:szCs w:val="21"/>
          <w:highlight w:val="none"/>
          <w:lang w:val="zh-CN"/>
        </w:rPr>
        <w:t>（或</w:t>
      </w:r>
      <w:r>
        <w:rPr>
          <w:rFonts w:hint="eastAsia" w:ascii="宋体" w:hAnsi="宋体" w:cs="宋体"/>
          <w:color w:val="auto"/>
          <w:kern w:val="2"/>
          <w:sz w:val="21"/>
          <w:szCs w:val="21"/>
          <w:highlight w:val="none"/>
          <w:lang w:val="en-US" w:eastAsia="zh-CN"/>
        </w:rPr>
        <w:t>采购</w:t>
      </w:r>
      <w:r>
        <w:rPr>
          <w:rFonts w:hint="eastAsia" w:ascii="宋体" w:hAnsi="宋体" w:cs="宋体"/>
          <w:color w:val="auto"/>
          <w:kern w:val="2"/>
          <w:sz w:val="21"/>
          <w:szCs w:val="21"/>
          <w:highlight w:val="none"/>
          <w:lang w:val="zh-CN"/>
        </w:rPr>
        <w:t>人控股公司或由</w:t>
      </w:r>
      <w:r>
        <w:rPr>
          <w:rFonts w:hint="eastAsia" w:ascii="宋体" w:hAnsi="宋体" w:cs="宋体"/>
          <w:color w:val="auto"/>
          <w:kern w:val="2"/>
          <w:sz w:val="21"/>
          <w:szCs w:val="21"/>
          <w:highlight w:val="none"/>
          <w:lang w:val="en-US" w:eastAsia="zh-CN"/>
        </w:rPr>
        <w:t>采购</w:t>
      </w:r>
      <w:r>
        <w:rPr>
          <w:rFonts w:hint="eastAsia" w:ascii="宋体" w:hAnsi="宋体" w:cs="宋体"/>
          <w:color w:val="auto"/>
          <w:kern w:val="2"/>
          <w:sz w:val="21"/>
          <w:szCs w:val="21"/>
          <w:highlight w:val="none"/>
          <w:lang w:val="zh-CN"/>
        </w:rPr>
        <w:t>人管理的参股公司、代管项目主体公司）</w:t>
      </w:r>
      <w:r>
        <w:rPr>
          <w:rFonts w:hint="eastAsia" w:ascii="宋体" w:hAnsi="宋体" w:eastAsia="宋体" w:cs="宋体"/>
          <w:color w:val="auto"/>
          <w:kern w:val="2"/>
          <w:sz w:val="21"/>
          <w:szCs w:val="21"/>
          <w:highlight w:val="none"/>
          <w:lang w:val="zh-CN"/>
        </w:rPr>
        <w:t>出具的发票类型为增值税</w:t>
      </w:r>
      <w:r>
        <w:rPr>
          <w:rFonts w:hint="eastAsia" w:ascii="宋体" w:hAnsi="宋体" w:cs="宋体"/>
          <w:color w:val="auto"/>
          <w:kern w:val="2"/>
          <w:sz w:val="21"/>
          <w:szCs w:val="21"/>
          <w:highlight w:val="none"/>
          <w:lang w:val="en-US" w:eastAsia="zh-CN"/>
        </w:rPr>
        <w:t>专用</w:t>
      </w:r>
      <w:r>
        <w:rPr>
          <w:rFonts w:hint="eastAsia" w:ascii="宋体" w:hAnsi="宋体" w:eastAsia="宋体" w:cs="宋体"/>
          <w:color w:val="auto"/>
          <w:kern w:val="2"/>
          <w:sz w:val="21"/>
          <w:szCs w:val="21"/>
          <w:highlight w:val="none"/>
          <w:lang w:val="zh-CN"/>
        </w:rPr>
        <w:t>发票。</w:t>
      </w:r>
    </w:p>
    <w:p w14:paraId="6A9C6E2E">
      <w:pPr>
        <w:snapToGrid w:val="0"/>
        <w:spacing w:line="360" w:lineRule="auto"/>
        <w:ind w:left="525" w:hanging="600" w:hangingChars="250"/>
        <w:jc w:val="both"/>
        <w:rPr>
          <w:rFonts w:hint="eastAsia" w:ascii="宋体" w:hAnsi="宋体" w:eastAsia="宋体" w:cs="宋体"/>
          <w:color w:val="auto"/>
          <w:highlight w:val="none"/>
          <w:lang w:val="zh-CN"/>
        </w:rPr>
      </w:pPr>
    </w:p>
    <w:p w14:paraId="294AF604">
      <w:pPr>
        <w:tabs>
          <w:tab w:val="left" w:pos="680"/>
        </w:tabs>
        <w:spacing w:line="360" w:lineRule="auto"/>
        <w:ind w:left="567" w:hanging="567"/>
        <w:jc w:val="both"/>
        <w:outlineLvl w:val="2"/>
        <w:rPr>
          <w:rFonts w:hint="eastAsia" w:ascii="宋体" w:hAnsi="宋体" w:eastAsia="宋体" w:cs="宋体"/>
          <w:b/>
          <w:bCs/>
          <w:color w:val="auto"/>
          <w:kern w:val="2"/>
          <w:sz w:val="21"/>
          <w:szCs w:val="21"/>
          <w:highlight w:val="none"/>
          <w:lang w:val="zh-CN"/>
        </w:rPr>
      </w:pPr>
      <w:bookmarkStart w:id="169" w:name="_Toc14106"/>
      <w:bookmarkStart w:id="170" w:name="_Toc24547"/>
      <w:bookmarkStart w:id="171" w:name="_Toc27075"/>
      <w:bookmarkStart w:id="172" w:name="_Toc142508356"/>
      <w:bookmarkStart w:id="173" w:name="_Toc8619"/>
      <w:r>
        <w:rPr>
          <w:rFonts w:hint="eastAsia" w:ascii="宋体" w:hAnsi="宋体" w:eastAsia="宋体" w:cs="宋体"/>
          <w:b/>
          <w:bCs/>
          <w:color w:val="auto"/>
          <w:kern w:val="2"/>
          <w:sz w:val="21"/>
          <w:szCs w:val="21"/>
          <w:highlight w:val="none"/>
          <w:lang w:val="zh-CN"/>
        </w:rPr>
        <w:t>3</w:t>
      </w:r>
      <w:r>
        <w:rPr>
          <w:rFonts w:hint="eastAsia" w:ascii="宋体" w:hAnsi="宋体" w:eastAsia="宋体" w:cs="宋体"/>
          <w:b/>
          <w:bCs/>
          <w:color w:val="auto"/>
          <w:kern w:val="2"/>
          <w:sz w:val="21"/>
          <w:szCs w:val="21"/>
          <w:highlight w:val="none"/>
          <w:lang w:val="en-US" w:eastAsia="zh-CN"/>
        </w:rPr>
        <w:t>9</w:t>
      </w:r>
      <w:r>
        <w:rPr>
          <w:rFonts w:hint="eastAsia" w:ascii="宋体" w:hAnsi="宋体" w:cs="宋体"/>
          <w:b/>
          <w:bCs/>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lang w:val="en-US" w:eastAsia="zh-CN"/>
        </w:rPr>
        <w:t>采购</w:t>
      </w:r>
      <w:r>
        <w:rPr>
          <w:rFonts w:hint="eastAsia" w:ascii="宋体" w:hAnsi="宋体" w:eastAsia="宋体" w:cs="宋体"/>
          <w:b/>
          <w:bCs/>
          <w:color w:val="auto"/>
          <w:kern w:val="2"/>
          <w:sz w:val="21"/>
          <w:szCs w:val="21"/>
          <w:highlight w:val="none"/>
          <w:lang w:val="zh-CN"/>
        </w:rPr>
        <w:t>相关补充约定</w:t>
      </w:r>
      <w:bookmarkEnd w:id="169"/>
      <w:bookmarkEnd w:id="170"/>
      <w:bookmarkEnd w:id="171"/>
      <w:bookmarkEnd w:id="172"/>
      <w:bookmarkEnd w:id="173"/>
    </w:p>
    <w:p w14:paraId="1CA24299">
      <w:pPr>
        <w:autoSpaceDE/>
        <w:autoSpaceDN/>
        <w:adjustRightInd/>
        <w:snapToGrid w:val="0"/>
        <w:spacing w:line="360" w:lineRule="auto"/>
        <w:ind w:left="525" w:hanging="527" w:hangingChars="250"/>
        <w:jc w:val="both"/>
        <w:rPr>
          <w:rFonts w:hint="eastAsia" w:ascii="宋体" w:hAnsi="宋体" w:eastAsia="宋体" w:cs="宋体"/>
          <w:color w:val="auto"/>
          <w:highlight w:val="none"/>
          <w:lang w:val="zh-CN"/>
        </w:rPr>
      </w:pPr>
      <w:r>
        <w:rPr>
          <w:rFonts w:hint="eastAsia" w:ascii="宋体" w:hAnsi="宋体" w:eastAsia="宋体" w:cs="宋体"/>
          <w:b/>
          <w:bCs/>
          <w:color w:val="auto"/>
          <w:kern w:val="2"/>
          <w:sz w:val="21"/>
          <w:szCs w:val="21"/>
          <w:highlight w:val="none"/>
          <w:lang w:val="en-US" w:eastAsia="zh-CN"/>
        </w:rPr>
        <w:t>39</w:t>
      </w:r>
      <w:r>
        <w:rPr>
          <w:rFonts w:hint="eastAsia" w:ascii="宋体" w:hAnsi="宋体" w:eastAsia="宋体" w:cs="宋体"/>
          <w:b/>
          <w:bCs/>
          <w:color w:val="auto"/>
          <w:kern w:val="2"/>
          <w:sz w:val="21"/>
          <w:szCs w:val="21"/>
          <w:highlight w:val="none"/>
          <w:lang w:val="zh-CN"/>
        </w:rPr>
        <w:t>.1</w:t>
      </w:r>
      <w:r>
        <w:rPr>
          <w:rFonts w:hint="eastAsia" w:ascii="宋体" w:hAnsi="宋体" w:eastAsia="宋体" w:cs="宋体"/>
          <w:b w:val="0"/>
          <w:color w:val="auto"/>
          <w:kern w:val="2"/>
          <w:sz w:val="21"/>
          <w:szCs w:val="21"/>
          <w:highlight w:val="none"/>
          <w:lang w:val="zh-CN"/>
        </w:rPr>
        <w:tab/>
      </w:r>
      <w:r>
        <w:rPr>
          <w:rFonts w:hint="eastAsia" w:ascii="宋体" w:hAnsi="宋体" w:eastAsia="宋体" w:cs="宋体"/>
          <w:b/>
          <w:bCs/>
          <w:color w:val="auto"/>
          <w:kern w:val="2"/>
          <w:sz w:val="21"/>
          <w:szCs w:val="21"/>
          <w:highlight w:val="none"/>
          <w:u w:val="single"/>
          <w:lang w:val="zh-CN"/>
        </w:rPr>
        <w:t>本项目</w:t>
      </w:r>
      <w:r>
        <w:rPr>
          <w:rFonts w:hint="eastAsia" w:ascii="宋体" w:hAnsi="宋体" w:eastAsia="宋体" w:cs="宋体"/>
          <w:b/>
          <w:bCs/>
          <w:color w:val="auto"/>
          <w:kern w:val="2"/>
          <w:sz w:val="21"/>
          <w:szCs w:val="21"/>
          <w:highlight w:val="none"/>
          <w:u w:val="single"/>
          <w:lang w:val="en-US" w:eastAsia="zh-CN"/>
        </w:rPr>
        <w:t>磋商</w:t>
      </w:r>
      <w:r>
        <w:rPr>
          <w:rFonts w:hint="eastAsia" w:ascii="宋体" w:hAnsi="宋体" w:eastAsia="宋体" w:cs="宋体"/>
          <w:b/>
          <w:bCs/>
          <w:color w:val="auto"/>
          <w:kern w:val="2"/>
          <w:sz w:val="21"/>
          <w:szCs w:val="21"/>
          <w:highlight w:val="none"/>
          <w:u w:val="single"/>
          <w:lang w:val="zh-CN"/>
        </w:rPr>
        <w:t>须知第2条所述行政处罚信息，以递交响应文件截止时间</w:t>
      </w:r>
      <w:r>
        <w:rPr>
          <w:rFonts w:hint="eastAsia" w:ascii="宋体" w:hAnsi="宋体" w:eastAsia="宋体" w:cs="宋体"/>
          <w:b/>
          <w:bCs/>
          <w:color w:val="auto"/>
          <w:kern w:val="2"/>
          <w:sz w:val="21"/>
          <w:szCs w:val="21"/>
          <w:highlight w:val="none"/>
          <w:u w:val="single"/>
          <w:lang w:val="zh-CN" w:eastAsia="zh-CN"/>
        </w:rPr>
        <w:t>当天</w:t>
      </w:r>
      <w:r>
        <w:rPr>
          <w:rFonts w:hint="eastAsia" w:ascii="宋体" w:hAnsi="宋体" w:eastAsia="宋体" w:cs="宋体"/>
          <w:b/>
          <w:bCs/>
          <w:color w:val="auto"/>
          <w:kern w:val="2"/>
          <w:sz w:val="21"/>
          <w:szCs w:val="21"/>
          <w:highlight w:val="none"/>
          <w:u w:val="single"/>
          <w:lang w:val="zh-CN"/>
        </w:rPr>
        <w:t>在“信用中国”网站（www.creditchina.gov.cn）查询结果为准，或以司法、仲裁机构等出具的生效文件予以认定,时间以认定文件的落款时间为准。</w:t>
      </w:r>
      <w:r>
        <w:rPr>
          <w:rFonts w:hint="eastAsia" w:ascii="宋体" w:hAnsi="宋体" w:cs="宋体"/>
          <w:b/>
          <w:bCs/>
          <w:color w:val="auto"/>
          <w:kern w:val="2"/>
          <w:sz w:val="21"/>
          <w:szCs w:val="21"/>
          <w:highlight w:val="none"/>
          <w:u w:val="single"/>
          <w:lang w:val="en-US" w:eastAsia="zh-CN"/>
        </w:rPr>
        <w:t>磋商</w:t>
      </w:r>
      <w:r>
        <w:rPr>
          <w:rFonts w:hint="eastAsia" w:ascii="宋体" w:hAnsi="宋体" w:eastAsia="宋体" w:cs="宋体"/>
          <w:b/>
          <w:bCs/>
          <w:color w:val="auto"/>
          <w:kern w:val="2"/>
          <w:sz w:val="21"/>
          <w:szCs w:val="21"/>
          <w:highlight w:val="none"/>
          <w:u w:val="single"/>
          <w:lang w:val="zh-CN"/>
        </w:rPr>
        <w:t>结束后，有关</w:t>
      </w:r>
      <w:r>
        <w:rPr>
          <w:rFonts w:hint="eastAsia" w:ascii="宋体" w:hAnsi="宋体" w:cs="宋体"/>
          <w:b/>
          <w:bCs/>
          <w:color w:val="auto"/>
          <w:kern w:val="2"/>
          <w:sz w:val="21"/>
          <w:szCs w:val="21"/>
          <w:highlight w:val="none"/>
          <w:u w:val="single"/>
          <w:lang w:val="en-US" w:eastAsia="zh-CN"/>
        </w:rPr>
        <w:t>响应供应商</w:t>
      </w:r>
      <w:r>
        <w:rPr>
          <w:rFonts w:hint="eastAsia" w:ascii="宋体" w:hAnsi="宋体" w:eastAsia="宋体" w:cs="宋体"/>
          <w:b/>
          <w:bCs/>
          <w:color w:val="auto"/>
          <w:kern w:val="2"/>
          <w:sz w:val="21"/>
          <w:szCs w:val="21"/>
          <w:highlight w:val="none"/>
          <w:u w:val="single"/>
          <w:lang w:val="zh-CN"/>
        </w:rPr>
        <w:t>的行政处罚信息，以递交响应文件截止时间</w:t>
      </w:r>
      <w:r>
        <w:rPr>
          <w:rFonts w:hint="eastAsia" w:ascii="宋体" w:hAnsi="宋体" w:eastAsia="宋体" w:cs="宋体"/>
          <w:b/>
          <w:bCs/>
          <w:color w:val="auto"/>
          <w:kern w:val="2"/>
          <w:sz w:val="21"/>
          <w:szCs w:val="21"/>
          <w:highlight w:val="none"/>
          <w:u w:val="single"/>
          <w:lang w:val="zh-CN" w:eastAsia="zh-CN"/>
        </w:rPr>
        <w:t>当天查询</w:t>
      </w:r>
      <w:r>
        <w:rPr>
          <w:rFonts w:hint="eastAsia" w:ascii="宋体" w:hAnsi="宋体" w:eastAsia="宋体" w:cs="宋体"/>
          <w:b/>
          <w:bCs/>
          <w:color w:val="auto"/>
          <w:kern w:val="2"/>
          <w:sz w:val="21"/>
          <w:szCs w:val="21"/>
          <w:highlight w:val="none"/>
          <w:u w:val="single"/>
          <w:lang w:val="zh-CN"/>
        </w:rPr>
        <w:t>结果为准；结果公示期间，如对有关</w:t>
      </w:r>
      <w:r>
        <w:rPr>
          <w:rFonts w:hint="eastAsia" w:ascii="宋体" w:hAnsi="宋体" w:cs="宋体"/>
          <w:b/>
          <w:bCs/>
          <w:color w:val="auto"/>
          <w:kern w:val="2"/>
          <w:sz w:val="21"/>
          <w:szCs w:val="21"/>
          <w:highlight w:val="none"/>
          <w:u w:val="single"/>
          <w:lang w:val="en-US" w:eastAsia="zh-CN"/>
        </w:rPr>
        <w:t>响应供应商</w:t>
      </w:r>
      <w:r>
        <w:rPr>
          <w:rFonts w:hint="eastAsia" w:ascii="宋体" w:hAnsi="宋体" w:eastAsia="宋体" w:cs="宋体"/>
          <w:b/>
          <w:bCs/>
          <w:color w:val="auto"/>
          <w:kern w:val="2"/>
          <w:sz w:val="21"/>
          <w:szCs w:val="21"/>
          <w:highlight w:val="none"/>
          <w:u w:val="single"/>
          <w:lang w:val="zh-CN"/>
        </w:rPr>
        <w:t>的行政处罚信息存在异议，但不涉及第一</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候选人的，视为对</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结果没有造成实质影响</w:t>
      </w:r>
      <w:r>
        <w:rPr>
          <w:rFonts w:hint="eastAsia" w:ascii="宋体" w:hAnsi="宋体" w:eastAsia="宋体" w:cs="宋体"/>
          <w:b/>
          <w:bCs/>
          <w:color w:val="auto"/>
          <w:kern w:val="2"/>
          <w:sz w:val="21"/>
          <w:szCs w:val="21"/>
          <w:highlight w:val="none"/>
          <w:lang w:val="zh-CN"/>
        </w:rPr>
        <w:t>。</w:t>
      </w:r>
    </w:p>
    <w:p w14:paraId="1441ED9D">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p>
    <w:p w14:paraId="39F711A2">
      <w:pPr>
        <w:tabs>
          <w:tab w:val="left" w:pos="680"/>
        </w:tabs>
        <w:spacing w:line="360" w:lineRule="auto"/>
        <w:ind w:left="567" w:hanging="567"/>
        <w:jc w:val="both"/>
        <w:outlineLvl w:val="2"/>
        <w:rPr>
          <w:rFonts w:hint="eastAsia" w:ascii="宋体" w:hAnsi="宋体" w:eastAsia="宋体" w:cs="宋体"/>
          <w:color w:val="auto"/>
          <w:kern w:val="2"/>
          <w:sz w:val="21"/>
          <w:szCs w:val="21"/>
          <w:highlight w:val="none"/>
          <w:lang w:val="zh-CN"/>
        </w:rPr>
        <w:sectPr>
          <w:headerReference r:id="rId4" w:type="first"/>
          <w:footerReference r:id="rId7" w:type="first"/>
          <w:headerReference r:id="rId3" w:type="default"/>
          <w:footerReference r:id="rId5" w:type="default"/>
          <w:footerReference r:id="rId6" w:type="even"/>
          <w:pgSz w:w="11906" w:h="16838"/>
          <w:pgMar w:top="1417" w:right="1418" w:bottom="1417" w:left="1418" w:header="720" w:footer="1003" w:gutter="0"/>
          <w:pgBorders w:offsetFrom="page">
            <w:top w:val="none" w:sz="0" w:space="0"/>
            <w:left w:val="none" w:sz="0" w:space="0"/>
            <w:bottom w:val="none" w:sz="0" w:space="0"/>
            <w:right w:val="none" w:sz="0" w:space="0"/>
          </w:pgBorders>
          <w:pgNumType w:fmt="decimal"/>
          <w:cols w:space="720" w:num="1"/>
          <w:titlePg/>
          <w:docGrid w:linePitch="326" w:charSpace="0"/>
        </w:sectPr>
      </w:pPr>
      <w:bookmarkStart w:id="174" w:name="_Toc521918109"/>
      <w:bookmarkStart w:id="175" w:name="_Toc11090"/>
      <w:r>
        <w:rPr>
          <w:rFonts w:hint="eastAsia" w:ascii="宋体" w:hAnsi="宋体" w:eastAsia="宋体" w:cs="宋体"/>
          <w:color w:val="auto"/>
          <w:kern w:val="2"/>
          <w:sz w:val="21"/>
          <w:szCs w:val="21"/>
          <w:highlight w:val="none"/>
          <w:lang w:val="en-US" w:eastAsia="zh-CN"/>
        </w:rPr>
        <w:t>40</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本次采购活动的最终解释权归采购代理机构及采购人所有。</w:t>
      </w:r>
      <w:bookmarkEnd w:id="174"/>
      <w:bookmarkEnd w:id="175"/>
    </w:p>
    <w:p w14:paraId="1D2187C9">
      <w:pPr>
        <w:pageBreakBefore/>
        <w:spacing w:line="360" w:lineRule="auto"/>
        <w:ind w:left="-195" w:leftChars="-100" w:hanging="45"/>
        <w:jc w:val="center"/>
        <w:outlineLvl w:val="0"/>
        <w:rPr>
          <w:rFonts w:hint="eastAsia" w:ascii="宋体" w:hAnsi="宋体" w:eastAsia="宋体" w:cs="宋体"/>
          <w:b/>
          <w:bCs/>
          <w:kern w:val="44"/>
          <w:sz w:val="32"/>
          <w:szCs w:val="32"/>
          <w:lang w:val="zh-CN"/>
        </w:rPr>
      </w:pPr>
      <w:bookmarkStart w:id="176" w:name="_Toc450662891"/>
      <w:bookmarkStart w:id="177" w:name="_Toc142508358"/>
      <w:bookmarkStart w:id="178" w:name="_Toc5471"/>
      <w:bookmarkStart w:id="179" w:name="_Toc27939_WPSOffice_Level1"/>
      <w:bookmarkStart w:id="180" w:name="_Toc4386"/>
      <w:bookmarkStart w:id="181" w:name="_Toc21446"/>
      <w:bookmarkStart w:id="182" w:name="_Toc14879"/>
      <w:bookmarkStart w:id="183" w:name="_Toc486167706"/>
      <w:bookmarkStart w:id="184" w:name="_Toc20321"/>
      <w:bookmarkStart w:id="185" w:name="_Toc20661"/>
      <w:bookmarkStart w:id="186" w:name="_Toc19458"/>
      <w:bookmarkStart w:id="187" w:name="_Toc29178"/>
      <w:bookmarkStart w:id="188" w:name="_Toc447045090"/>
      <w:bookmarkStart w:id="189" w:name="_Toc447044603"/>
      <w:bookmarkStart w:id="190" w:name="_Toc523567019"/>
      <w:bookmarkStart w:id="191" w:name="_Toc489359498"/>
      <w:bookmarkStart w:id="192" w:name="_Toc447044479"/>
      <w:bookmarkStart w:id="193" w:name="_Toc521918112"/>
      <w:r>
        <w:rPr>
          <w:rFonts w:hint="eastAsia" w:ascii="宋体" w:hAnsi="宋体" w:eastAsia="宋体" w:cs="宋体"/>
          <w:b/>
          <w:bCs/>
          <w:kern w:val="44"/>
          <w:sz w:val="32"/>
          <w:szCs w:val="32"/>
          <w:lang w:val="zh-CN"/>
        </w:rPr>
        <w:t>第三篇 用户需求书</w:t>
      </w:r>
      <w:bookmarkEnd w:id="176"/>
      <w:bookmarkEnd w:id="177"/>
      <w:bookmarkEnd w:id="178"/>
      <w:bookmarkEnd w:id="179"/>
      <w:bookmarkEnd w:id="180"/>
      <w:bookmarkEnd w:id="181"/>
      <w:bookmarkEnd w:id="182"/>
      <w:bookmarkEnd w:id="183"/>
      <w:bookmarkEnd w:id="184"/>
    </w:p>
    <w:p w14:paraId="47D9DEA6">
      <w:pPr>
        <w:autoSpaceDE/>
        <w:autoSpaceDN/>
        <w:adjustRightInd/>
        <w:snapToGrid w:val="0"/>
        <w:spacing w:line="360" w:lineRule="auto"/>
        <w:ind w:firstLine="420"/>
        <w:contextualSpacing/>
        <w:jc w:val="both"/>
        <w:outlineLvl w:val="9"/>
        <w:rPr>
          <w:rFonts w:hint="eastAsia" w:ascii="宋体" w:hAnsi="宋体" w:eastAsia="宋体" w:cs="宋体"/>
          <w:b/>
          <w:bCs/>
          <w:kern w:val="2"/>
          <w:sz w:val="21"/>
          <w:szCs w:val="21"/>
          <w:lang w:val="zh-CN"/>
        </w:rPr>
      </w:pPr>
      <w:bookmarkStart w:id="194" w:name="_Toc6474_WPSOffice_Level2"/>
      <w:bookmarkStart w:id="195" w:name="_Toc23768_WPSOffice_Level2"/>
      <w:r>
        <w:rPr>
          <w:rFonts w:hint="eastAsia" w:ascii="宋体" w:hAnsi="宋体" w:eastAsia="宋体" w:cs="宋体"/>
          <w:b/>
          <w:bCs/>
          <w:kern w:val="2"/>
          <w:sz w:val="21"/>
          <w:szCs w:val="21"/>
          <w:lang w:val="zh-CN"/>
        </w:rPr>
        <w:t>一、项目概况</w:t>
      </w:r>
      <w:bookmarkEnd w:id="194"/>
      <w:bookmarkEnd w:id="195"/>
    </w:p>
    <w:p w14:paraId="24A1A399">
      <w:pPr>
        <w:widowControl/>
        <w:snapToGrid w:val="0"/>
        <w:spacing w:line="360" w:lineRule="auto"/>
        <w:ind w:firstLine="420"/>
        <w:contextualSpacing/>
        <w:outlineLvl w:val="9"/>
        <w:rPr>
          <w:rFonts w:hint="eastAsia" w:ascii="宋体" w:hAnsi="宋体" w:eastAsia="宋体" w:cs="宋体"/>
          <w:sz w:val="21"/>
          <w:szCs w:val="21"/>
        </w:rPr>
      </w:pPr>
      <w:r>
        <w:rPr>
          <w:rFonts w:hint="eastAsia" w:ascii="宋体" w:hAnsi="宋体" w:eastAsia="宋体" w:cs="宋体"/>
          <w:sz w:val="21"/>
          <w:szCs w:val="21"/>
        </w:rPr>
        <w:t>1、东莞市</w:t>
      </w:r>
      <w:r>
        <w:rPr>
          <w:rFonts w:hint="eastAsia" w:ascii="宋体" w:hAnsi="宋体" w:eastAsia="宋体" w:cs="宋体"/>
          <w:sz w:val="21"/>
          <w:szCs w:val="21"/>
          <w:lang w:val="en-US" w:eastAsia="zh-CN"/>
        </w:rPr>
        <w:t>BOT污水处理厂滨海湾片区</w:t>
      </w:r>
      <w:r>
        <w:rPr>
          <w:rFonts w:hint="eastAsia" w:ascii="宋体" w:hAnsi="宋体" w:eastAsia="宋体" w:cs="宋体"/>
          <w:sz w:val="21"/>
          <w:szCs w:val="21"/>
        </w:rPr>
        <w:t>由</w:t>
      </w:r>
      <w:r>
        <w:rPr>
          <w:rFonts w:hint="eastAsia" w:ascii="宋体" w:hAnsi="宋体" w:cs="宋体"/>
          <w:sz w:val="21"/>
          <w:szCs w:val="21"/>
          <w:lang w:val="en-US" w:eastAsia="zh-CN"/>
        </w:rPr>
        <w:t>采购</w:t>
      </w:r>
      <w:r>
        <w:rPr>
          <w:rFonts w:hint="eastAsia" w:ascii="宋体" w:hAnsi="宋体" w:eastAsia="宋体" w:cs="宋体"/>
          <w:sz w:val="21"/>
          <w:szCs w:val="21"/>
          <w:lang w:val="en-US" w:eastAsia="zh-CN"/>
        </w:rPr>
        <w:t>人</w:t>
      </w:r>
      <w:r>
        <w:rPr>
          <w:rFonts w:hint="eastAsia" w:ascii="宋体" w:hAnsi="宋体" w:eastAsia="宋体" w:cs="宋体"/>
          <w:sz w:val="21"/>
          <w:szCs w:val="21"/>
        </w:rPr>
        <w:t>在</w:t>
      </w:r>
      <w:r>
        <w:rPr>
          <w:rFonts w:hint="eastAsia" w:ascii="宋体" w:hAnsi="宋体" w:eastAsia="宋体" w:cs="宋体"/>
          <w:sz w:val="21"/>
          <w:szCs w:val="21"/>
          <w:lang w:val="en-US" w:eastAsia="zh-CN"/>
        </w:rPr>
        <w:t>各污水处理</w:t>
      </w:r>
      <w:r>
        <w:rPr>
          <w:rFonts w:hint="eastAsia" w:ascii="宋体" w:hAnsi="宋体" w:eastAsia="宋体" w:cs="宋体"/>
          <w:sz w:val="21"/>
          <w:szCs w:val="21"/>
        </w:rPr>
        <w:t>厂内实施污泥脱水减量化处理</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本采购项目划分为5个包组，分别为A包组长安锦厦三洲厂脱水减量化项目、B包组厚街沙塘一期脱水减量化项目、C包组虎门宁洲一期脱水减量化项目、D包组沙田福禄沙厂脱水减量化项目、E包组东城牛山一期脱水减量化项目</w:t>
      </w:r>
      <w:r>
        <w:rPr>
          <w:rFonts w:hint="eastAsia" w:ascii="宋体" w:hAnsi="宋体" w:eastAsia="宋体" w:cs="宋体"/>
          <w:sz w:val="21"/>
          <w:szCs w:val="21"/>
          <w:lang w:eastAsia="zh-CN"/>
        </w:rPr>
        <w:t>。</w:t>
      </w:r>
      <w:r>
        <w:rPr>
          <w:rFonts w:hint="eastAsia" w:ascii="宋体" w:hAnsi="宋体" w:eastAsia="宋体" w:cs="宋体"/>
          <w:color w:val="auto"/>
          <w:sz w:val="21"/>
          <w:szCs w:val="21"/>
          <w:highlight w:val="none"/>
          <w:lang w:val="zh-CN" w:eastAsia="zh-CN"/>
        </w:rPr>
        <w:t>同一个供应商可申请参加本项目的一个或多个包组的竞争性磋商，也可以成为本项目多个包组成交人</w:t>
      </w:r>
      <w:r>
        <w:rPr>
          <w:rFonts w:hint="eastAsia" w:ascii="宋体" w:hAnsi="宋体" w:eastAsia="宋体" w:cs="宋体"/>
          <w:sz w:val="21"/>
          <w:szCs w:val="21"/>
          <w:lang w:val="en-US" w:eastAsia="zh-CN"/>
        </w:rPr>
        <w:t>。本采购项目各包组目前已有服务单位在实施污泥脱水减量化服务，服务期至2024年10月5日。由于原服务合同即将到期，</w:t>
      </w:r>
      <w:r>
        <w:rPr>
          <w:rFonts w:hint="eastAsia" w:ascii="宋体" w:hAnsi="宋体" w:eastAsia="宋体" w:cs="宋体"/>
          <w:color w:val="auto"/>
          <w:sz w:val="21"/>
          <w:szCs w:val="21"/>
          <w:highlight w:val="none"/>
          <w:lang w:val="zh-CN" w:eastAsia="zh-CN"/>
        </w:rPr>
        <w:t>本次</w:t>
      </w:r>
      <w:r>
        <w:rPr>
          <w:rFonts w:hint="eastAsia" w:ascii="宋体" w:hAnsi="宋体" w:cs="宋体"/>
          <w:color w:val="auto"/>
          <w:sz w:val="21"/>
          <w:szCs w:val="21"/>
          <w:highlight w:val="none"/>
          <w:lang w:val="zh-CN" w:eastAsia="zh-CN"/>
        </w:rPr>
        <w:t>采购人</w:t>
      </w:r>
      <w:r>
        <w:rPr>
          <w:rFonts w:hint="eastAsia" w:ascii="宋体" w:hAnsi="宋体" w:eastAsia="宋体" w:cs="宋体"/>
          <w:color w:val="auto"/>
          <w:sz w:val="21"/>
          <w:szCs w:val="21"/>
          <w:highlight w:val="none"/>
          <w:lang w:val="zh-CN" w:eastAsia="zh-CN"/>
        </w:rPr>
        <w:t>通过</w:t>
      </w:r>
      <w:r>
        <w:rPr>
          <w:rFonts w:hint="eastAsia" w:ascii="宋体" w:hAnsi="宋体" w:cs="宋体"/>
          <w:color w:val="auto"/>
          <w:sz w:val="21"/>
          <w:szCs w:val="21"/>
          <w:highlight w:val="none"/>
          <w:lang w:val="en-US" w:eastAsia="zh-CN"/>
        </w:rPr>
        <w:t>竞争性磋商</w:t>
      </w:r>
      <w:r>
        <w:rPr>
          <w:rFonts w:hint="eastAsia" w:ascii="宋体" w:hAnsi="宋体" w:eastAsia="宋体" w:cs="宋体"/>
          <w:color w:val="auto"/>
          <w:sz w:val="21"/>
          <w:szCs w:val="21"/>
          <w:highlight w:val="none"/>
          <w:lang w:val="zh-CN" w:eastAsia="zh-CN"/>
        </w:rPr>
        <w:t>的方式，采购污泥脱水减量化服务单位，由相应包组</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zh-CN" w:eastAsia="zh-CN"/>
        </w:rPr>
        <w:t>的服务单位在该包组</w:t>
      </w:r>
      <w:r>
        <w:rPr>
          <w:rFonts w:hint="eastAsia" w:ascii="宋体" w:hAnsi="宋体" w:eastAsia="宋体" w:cs="宋体"/>
          <w:color w:val="auto"/>
          <w:sz w:val="21"/>
          <w:szCs w:val="21"/>
          <w:highlight w:val="none"/>
          <w:lang w:val="zh-CN"/>
        </w:rPr>
        <w:t>污水处理厂</w:t>
      </w:r>
      <w:r>
        <w:rPr>
          <w:rFonts w:hint="eastAsia" w:ascii="宋体" w:hAnsi="宋体" w:eastAsia="宋体" w:cs="宋体"/>
          <w:color w:val="auto"/>
          <w:sz w:val="21"/>
          <w:szCs w:val="21"/>
          <w:highlight w:val="none"/>
          <w:lang w:val="zh-CN" w:eastAsia="zh-CN"/>
        </w:rPr>
        <w:t>内</w:t>
      </w:r>
      <w:r>
        <w:rPr>
          <w:rFonts w:hint="eastAsia" w:ascii="宋体" w:hAnsi="宋体" w:eastAsia="宋体" w:cs="宋体"/>
          <w:color w:val="auto"/>
          <w:sz w:val="21"/>
          <w:szCs w:val="21"/>
          <w:highlight w:val="none"/>
          <w:lang w:val="zh-CN"/>
        </w:rPr>
        <w:t>实施污泥脱水减量化服务</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zh-CN"/>
        </w:rPr>
        <w:t>将</w:t>
      </w:r>
      <w:r>
        <w:rPr>
          <w:rFonts w:hint="eastAsia" w:ascii="宋体" w:hAnsi="宋体" w:eastAsia="宋体" w:cs="宋体"/>
          <w:color w:val="auto"/>
          <w:sz w:val="21"/>
          <w:szCs w:val="21"/>
          <w:highlight w:val="none"/>
          <w:lang w:val="zh-CN" w:eastAsia="zh-CN"/>
        </w:rPr>
        <w:t>从污水厂储泥池或沉淀池抽取的污泥</w:t>
      </w:r>
      <w:r>
        <w:rPr>
          <w:rFonts w:hint="eastAsia" w:ascii="宋体" w:hAnsi="宋体" w:eastAsia="宋体" w:cs="宋体"/>
          <w:color w:val="auto"/>
          <w:sz w:val="21"/>
          <w:szCs w:val="21"/>
          <w:highlight w:val="none"/>
          <w:lang w:val="zh-CN"/>
        </w:rPr>
        <w:t>脱水减量</w:t>
      </w:r>
      <w:r>
        <w:rPr>
          <w:rFonts w:hint="eastAsia" w:ascii="宋体" w:hAnsi="宋体" w:eastAsia="宋体" w:cs="宋体"/>
          <w:color w:val="auto"/>
          <w:sz w:val="21"/>
          <w:szCs w:val="21"/>
          <w:highlight w:val="none"/>
          <w:lang w:val="zh-CN" w:eastAsia="zh-CN"/>
        </w:rPr>
        <w:t>至</w:t>
      </w:r>
      <w:r>
        <w:rPr>
          <w:rFonts w:hint="eastAsia" w:ascii="宋体" w:hAnsi="宋体" w:eastAsia="宋体" w:cs="宋体"/>
          <w:color w:val="auto"/>
          <w:sz w:val="21"/>
          <w:szCs w:val="21"/>
          <w:highlight w:val="none"/>
          <w:lang w:val="zh-CN"/>
        </w:rPr>
        <w:t>含水率</w:t>
      </w:r>
      <w:r>
        <w:rPr>
          <w:rFonts w:hint="eastAsia" w:ascii="宋体" w:hAnsi="宋体" w:eastAsia="宋体" w:cs="宋体"/>
          <w:color w:val="auto"/>
          <w:sz w:val="21"/>
          <w:szCs w:val="21"/>
          <w:highlight w:val="none"/>
          <w:lang w:val="zh-CN" w:eastAsia="zh-CN"/>
        </w:rPr>
        <w:t>不高于55%的半干化泥粉</w:t>
      </w:r>
      <w:r>
        <w:rPr>
          <w:rFonts w:hint="eastAsia" w:ascii="宋体" w:hAnsi="宋体" w:eastAsia="宋体" w:cs="宋体"/>
          <w:sz w:val="21"/>
          <w:szCs w:val="21"/>
        </w:rPr>
        <w:t>。</w:t>
      </w:r>
    </w:p>
    <w:p w14:paraId="64987B83">
      <w:pPr>
        <w:widowControl/>
        <w:snapToGrid w:val="0"/>
        <w:spacing w:line="360" w:lineRule="auto"/>
        <w:ind w:firstLine="420"/>
        <w:contextualSpacing/>
        <w:outlineLvl w:val="9"/>
        <w:rPr>
          <w:rFonts w:hint="eastAsia" w:ascii="宋体" w:hAnsi="宋体" w:eastAsia="宋体" w:cs="宋体"/>
          <w:sz w:val="21"/>
          <w:szCs w:val="21"/>
          <w:lang w:val="en-US"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BOT权属滨海湾片区基本情况信息表</w:t>
      </w:r>
    </w:p>
    <w:tbl>
      <w:tblPr>
        <w:tblStyle w:val="55"/>
        <w:tblW w:w="99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58"/>
        <w:gridCol w:w="1340"/>
        <w:gridCol w:w="860"/>
        <w:gridCol w:w="1150"/>
        <w:gridCol w:w="810"/>
        <w:gridCol w:w="840"/>
        <w:gridCol w:w="1480"/>
        <w:gridCol w:w="1690"/>
        <w:gridCol w:w="1414"/>
      </w:tblGrid>
      <w:tr w14:paraId="78EF69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jc w:val="center"/>
        </w:trPr>
        <w:tc>
          <w:tcPr>
            <w:tcW w:w="358" w:type="dxa"/>
            <w:tcBorders>
              <w:bottom w:val="single" w:color="auto" w:sz="4" w:space="0"/>
              <w:right w:val="single" w:color="auto" w:sz="4" w:space="0"/>
            </w:tcBorders>
            <w:shd w:val="clear" w:color="auto" w:fill="auto"/>
            <w:vAlign w:val="center"/>
          </w:tcPr>
          <w:p w14:paraId="0489CD63">
            <w:pPr>
              <w:keepNext w:val="0"/>
              <w:keepLines w:val="0"/>
              <w:widowControl/>
              <w:suppressLineNumbers w:val="0"/>
              <w:spacing w:before="0" w:beforeAutospacing="0" w:after="0" w:afterAutospacing="0"/>
              <w:ind w:left="0" w:right="0"/>
              <w:jc w:val="center"/>
              <w:textAlignment w:val="center"/>
              <w:outlineLvl w:val="9"/>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包组</w:t>
            </w:r>
            <w:r>
              <w:rPr>
                <w:rFonts w:hint="eastAsia" w:ascii="宋体" w:hAnsi="宋体" w:cs="宋体"/>
                <w:i w:val="0"/>
                <w:iCs w:val="0"/>
                <w:color w:val="000000"/>
                <w:kern w:val="0"/>
                <w:sz w:val="18"/>
                <w:szCs w:val="18"/>
                <w:u w:val="none"/>
                <w:lang w:val="en-US" w:eastAsia="zh-CN" w:bidi="ar"/>
              </w:rPr>
              <w:t>号</w:t>
            </w:r>
          </w:p>
        </w:tc>
        <w:tc>
          <w:tcPr>
            <w:tcW w:w="1340" w:type="dxa"/>
            <w:tcBorders>
              <w:left w:val="single" w:color="auto" w:sz="4" w:space="0"/>
              <w:bottom w:val="single" w:color="auto" w:sz="4" w:space="0"/>
              <w:right w:val="single" w:color="auto" w:sz="4" w:space="0"/>
            </w:tcBorders>
            <w:shd w:val="clear" w:color="auto" w:fill="auto"/>
            <w:vAlign w:val="center"/>
          </w:tcPr>
          <w:p w14:paraId="463CC0DF">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860" w:type="dxa"/>
            <w:tcBorders>
              <w:left w:val="single" w:color="auto" w:sz="4" w:space="0"/>
              <w:bottom w:val="single" w:color="auto" w:sz="4" w:space="0"/>
              <w:right w:val="single" w:color="auto" w:sz="4" w:space="0"/>
            </w:tcBorders>
            <w:shd w:val="clear" w:color="auto" w:fill="auto"/>
            <w:vAlign w:val="center"/>
          </w:tcPr>
          <w:p w14:paraId="57B17C9A">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污水处理设计规模（万吨/日）</w:t>
            </w:r>
          </w:p>
        </w:tc>
        <w:tc>
          <w:tcPr>
            <w:tcW w:w="1150" w:type="dxa"/>
            <w:tcBorders>
              <w:left w:val="single" w:color="auto" w:sz="4" w:space="0"/>
              <w:bottom w:val="single" w:color="auto" w:sz="4" w:space="0"/>
              <w:right w:val="single" w:color="auto" w:sz="4" w:space="0"/>
            </w:tcBorders>
            <w:shd w:val="clear" w:color="auto" w:fill="auto"/>
            <w:vAlign w:val="center"/>
          </w:tcPr>
          <w:p w14:paraId="75DED1C7">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设计污泥脱水减量能力</w:t>
            </w:r>
          </w:p>
          <w:p w14:paraId="0F68B29E">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（吨/日，含水率80%）</w:t>
            </w:r>
          </w:p>
        </w:tc>
        <w:tc>
          <w:tcPr>
            <w:tcW w:w="810" w:type="dxa"/>
            <w:tcBorders>
              <w:left w:val="single" w:color="auto" w:sz="4" w:space="0"/>
              <w:bottom w:val="single" w:color="auto" w:sz="4" w:space="0"/>
              <w:right w:val="single" w:color="auto" w:sz="4" w:space="0"/>
            </w:tcBorders>
            <w:shd w:val="clear" w:color="auto" w:fill="auto"/>
            <w:vAlign w:val="center"/>
          </w:tcPr>
          <w:p w14:paraId="513420B2">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减量项目可用地面积约（M²）</w:t>
            </w:r>
          </w:p>
        </w:tc>
        <w:tc>
          <w:tcPr>
            <w:tcW w:w="840" w:type="dxa"/>
            <w:tcBorders>
              <w:left w:val="single" w:color="auto" w:sz="4" w:space="0"/>
              <w:bottom w:val="single" w:color="auto" w:sz="4" w:space="0"/>
              <w:right w:val="single" w:color="auto" w:sz="4" w:space="0"/>
            </w:tcBorders>
            <w:shd w:val="clear" w:color="auto" w:fill="auto"/>
            <w:vAlign w:val="center"/>
          </w:tcPr>
          <w:p w14:paraId="0BBA3EC3">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减量项目可装机容量约（KW）</w:t>
            </w:r>
          </w:p>
        </w:tc>
        <w:tc>
          <w:tcPr>
            <w:tcW w:w="1480" w:type="dxa"/>
            <w:tcBorders>
              <w:left w:val="single" w:color="auto" w:sz="4" w:space="0"/>
              <w:bottom w:val="single" w:color="auto" w:sz="4" w:space="0"/>
              <w:right w:val="single" w:color="auto" w:sz="4" w:space="0"/>
            </w:tcBorders>
            <w:shd w:val="clear" w:color="auto" w:fill="auto"/>
            <w:vAlign w:val="center"/>
          </w:tcPr>
          <w:p w14:paraId="393F2EC1">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污水处理工艺</w:t>
            </w:r>
          </w:p>
        </w:tc>
        <w:tc>
          <w:tcPr>
            <w:tcW w:w="1690" w:type="dxa"/>
            <w:tcBorders>
              <w:left w:val="single" w:color="auto" w:sz="4" w:space="0"/>
              <w:bottom w:val="single" w:color="auto" w:sz="4" w:space="0"/>
              <w:right w:val="single" w:color="auto" w:sz="4" w:space="0"/>
            </w:tcBorders>
            <w:shd w:val="clear" w:color="auto" w:fill="auto"/>
            <w:noWrap/>
            <w:vAlign w:val="center"/>
          </w:tcPr>
          <w:p w14:paraId="5045D594">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地址</w:t>
            </w:r>
          </w:p>
        </w:tc>
        <w:tc>
          <w:tcPr>
            <w:tcW w:w="1414" w:type="dxa"/>
            <w:tcBorders>
              <w:left w:val="single" w:color="auto" w:sz="4" w:space="0"/>
              <w:bottom w:val="single" w:color="auto" w:sz="4" w:space="0"/>
            </w:tcBorders>
            <w:shd w:val="clear" w:color="auto" w:fill="auto"/>
            <w:vAlign w:val="center"/>
          </w:tcPr>
          <w:p w14:paraId="33AF6B4E">
            <w:pPr>
              <w:keepNext w:val="0"/>
              <w:keepLines w:val="0"/>
              <w:widowControl/>
              <w:suppressLineNumbers w:val="0"/>
              <w:spacing w:before="0" w:beforeAutospacing="0" w:after="0" w:afterAutospacing="0"/>
              <w:ind w:left="0" w:right="0"/>
              <w:jc w:val="center"/>
              <w:textAlignment w:val="center"/>
              <w:outlineLvl w:val="9"/>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采购</w:t>
            </w:r>
            <w:r>
              <w:rPr>
                <w:rFonts w:hint="eastAsia" w:ascii="宋体" w:hAnsi="宋体" w:eastAsia="宋体" w:cs="宋体"/>
                <w:i w:val="0"/>
                <w:iCs w:val="0"/>
                <w:color w:val="000000"/>
                <w:kern w:val="0"/>
                <w:sz w:val="18"/>
                <w:szCs w:val="18"/>
                <w:u w:val="none"/>
                <w:lang w:val="en-US" w:eastAsia="zh-CN" w:bidi="ar"/>
              </w:rPr>
              <w:t>人承接东莞市BOT污水处理厂污泥处理处置服务合同期限</w:t>
            </w:r>
          </w:p>
        </w:tc>
      </w:tr>
      <w:tr w14:paraId="5D3387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58" w:type="dxa"/>
            <w:tcBorders>
              <w:top w:val="single" w:color="auto" w:sz="4" w:space="0"/>
              <w:bottom w:val="single" w:color="auto" w:sz="4" w:space="0"/>
              <w:right w:val="single" w:color="auto" w:sz="4" w:space="0"/>
            </w:tcBorders>
            <w:shd w:val="clear" w:color="auto" w:fill="auto"/>
            <w:vAlign w:val="center"/>
          </w:tcPr>
          <w:p w14:paraId="4A76C1C7">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tcPr>
          <w:p w14:paraId="45D0D6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长安锦厦三洲厂</w:t>
            </w:r>
          </w:p>
        </w:tc>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BCAA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F216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150</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2E62CE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2E1AC2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14:paraId="78A363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CASS</w:t>
            </w:r>
          </w:p>
        </w:tc>
        <w:tc>
          <w:tcPr>
            <w:tcW w:w="1690" w:type="dxa"/>
            <w:tcBorders>
              <w:top w:val="single" w:color="auto" w:sz="4" w:space="0"/>
              <w:left w:val="single" w:color="auto" w:sz="4" w:space="0"/>
              <w:bottom w:val="single" w:color="auto" w:sz="4" w:space="0"/>
              <w:right w:val="single" w:color="auto" w:sz="4" w:space="0"/>
            </w:tcBorders>
            <w:shd w:val="clear" w:color="auto" w:fill="auto"/>
            <w:vAlign w:val="center"/>
          </w:tcPr>
          <w:p w14:paraId="29658E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长安镇锦厦三洲路2号</w:t>
            </w:r>
          </w:p>
        </w:tc>
        <w:tc>
          <w:tcPr>
            <w:tcW w:w="1414" w:type="dxa"/>
            <w:vMerge w:val="restart"/>
            <w:tcBorders>
              <w:top w:val="single" w:color="auto" w:sz="4" w:space="0"/>
              <w:left w:val="single" w:color="auto" w:sz="4" w:space="0"/>
              <w:bottom w:val="single" w:color="auto" w:sz="4" w:space="0"/>
            </w:tcBorders>
            <w:shd w:val="clear" w:color="auto" w:fill="auto"/>
            <w:vAlign w:val="center"/>
          </w:tcPr>
          <w:p w14:paraId="587AA2D4">
            <w:pPr>
              <w:keepNext w:val="0"/>
              <w:keepLines w:val="0"/>
              <w:widowControl/>
              <w:suppressLineNumbers w:val="0"/>
              <w:spacing w:before="0" w:beforeAutospacing="0" w:after="0" w:afterAutospacing="0"/>
              <w:ind w:left="0" w:right="0"/>
              <w:jc w:val="left"/>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自2023年1月5日起至东莞市污泥集中处理处置特许经营项目建成投运为止（具体以产业中心通知为准），最长不超过2026年1月4日。</w:t>
            </w:r>
          </w:p>
        </w:tc>
      </w:tr>
      <w:tr w14:paraId="70102C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358" w:type="dxa"/>
            <w:tcBorders>
              <w:top w:val="single" w:color="auto" w:sz="4" w:space="0"/>
              <w:bottom w:val="single" w:color="000000" w:sz="4" w:space="0"/>
              <w:right w:val="single" w:color="000000" w:sz="4" w:space="0"/>
            </w:tcBorders>
            <w:shd w:val="clear" w:color="auto" w:fill="auto"/>
            <w:vAlign w:val="center"/>
          </w:tcPr>
          <w:p w14:paraId="03A997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1340" w:type="dxa"/>
            <w:tcBorders>
              <w:top w:val="single" w:color="auto" w:sz="4" w:space="0"/>
              <w:left w:val="single" w:color="000000" w:sz="4" w:space="0"/>
              <w:bottom w:val="single" w:color="000000" w:sz="4" w:space="0"/>
              <w:right w:val="single" w:color="000000" w:sz="4" w:space="0"/>
            </w:tcBorders>
            <w:shd w:val="clear" w:color="auto" w:fill="auto"/>
            <w:vAlign w:val="center"/>
          </w:tcPr>
          <w:p w14:paraId="64E677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厚街沙塘一期</w:t>
            </w:r>
          </w:p>
        </w:tc>
        <w:tc>
          <w:tcPr>
            <w:tcW w:w="86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CB92E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w:t>
            </w:r>
          </w:p>
        </w:tc>
        <w:tc>
          <w:tcPr>
            <w:tcW w:w="115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F702E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100</w:t>
            </w:r>
          </w:p>
        </w:tc>
        <w:tc>
          <w:tcPr>
            <w:tcW w:w="810" w:type="dxa"/>
            <w:tcBorders>
              <w:top w:val="single" w:color="auto" w:sz="4" w:space="0"/>
              <w:left w:val="single" w:color="000000" w:sz="4" w:space="0"/>
              <w:bottom w:val="single" w:color="000000" w:sz="4" w:space="0"/>
              <w:right w:val="single" w:color="000000" w:sz="4" w:space="0"/>
            </w:tcBorders>
            <w:shd w:val="clear" w:color="auto" w:fill="auto"/>
            <w:vAlign w:val="center"/>
          </w:tcPr>
          <w:p w14:paraId="76C5CE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650</w:t>
            </w:r>
          </w:p>
        </w:tc>
        <w:tc>
          <w:tcPr>
            <w:tcW w:w="840" w:type="dxa"/>
            <w:tcBorders>
              <w:top w:val="single" w:color="auto" w:sz="4" w:space="0"/>
              <w:left w:val="single" w:color="000000" w:sz="4" w:space="0"/>
              <w:bottom w:val="single" w:color="000000" w:sz="4" w:space="0"/>
              <w:right w:val="single" w:color="000000" w:sz="4" w:space="0"/>
            </w:tcBorders>
            <w:shd w:val="clear" w:color="auto" w:fill="auto"/>
            <w:vAlign w:val="center"/>
          </w:tcPr>
          <w:p w14:paraId="1685B2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w:t>
            </w:r>
          </w:p>
        </w:tc>
        <w:tc>
          <w:tcPr>
            <w:tcW w:w="1480" w:type="dxa"/>
            <w:tcBorders>
              <w:top w:val="single" w:color="auto" w:sz="4" w:space="0"/>
              <w:left w:val="single" w:color="000000" w:sz="4" w:space="0"/>
              <w:bottom w:val="single" w:color="000000" w:sz="4" w:space="0"/>
              <w:right w:val="single" w:color="000000" w:sz="4" w:space="0"/>
            </w:tcBorders>
            <w:shd w:val="clear" w:color="auto" w:fill="auto"/>
            <w:vAlign w:val="center"/>
          </w:tcPr>
          <w:p w14:paraId="2A3C8C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CASS</w:t>
            </w:r>
          </w:p>
        </w:tc>
        <w:tc>
          <w:tcPr>
            <w:tcW w:w="1690" w:type="dxa"/>
            <w:tcBorders>
              <w:top w:val="single" w:color="auto" w:sz="4" w:space="0"/>
              <w:left w:val="single" w:color="000000" w:sz="4" w:space="0"/>
              <w:bottom w:val="single" w:color="000000" w:sz="4" w:space="0"/>
              <w:right w:val="single" w:color="000000" w:sz="4" w:space="0"/>
            </w:tcBorders>
            <w:shd w:val="clear" w:color="auto" w:fill="auto"/>
            <w:vAlign w:val="center"/>
          </w:tcPr>
          <w:p w14:paraId="73D119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厚街镇沙塘村东引河南岸</w:t>
            </w:r>
          </w:p>
        </w:tc>
        <w:tc>
          <w:tcPr>
            <w:tcW w:w="1414" w:type="dxa"/>
            <w:vMerge w:val="continue"/>
            <w:tcBorders>
              <w:top w:val="single" w:color="auto" w:sz="4" w:space="0"/>
              <w:left w:val="single" w:color="000000" w:sz="4" w:space="0"/>
            </w:tcBorders>
            <w:shd w:val="clear" w:color="auto" w:fill="auto"/>
            <w:vAlign w:val="center"/>
          </w:tcPr>
          <w:p w14:paraId="57C7C4D6">
            <w:pPr>
              <w:keepNext w:val="0"/>
              <w:keepLines w:val="0"/>
              <w:widowControl/>
              <w:suppressLineNumbers w:val="0"/>
              <w:spacing w:before="0" w:beforeAutospacing="0" w:after="0" w:afterAutospacing="0"/>
              <w:ind w:left="0" w:right="0"/>
              <w:jc w:val="left"/>
              <w:textAlignment w:val="center"/>
              <w:outlineLvl w:val="9"/>
              <w:rPr>
                <w:rFonts w:hint="eastAsia" w:ascii="宋体" w:hAnsi="宋体" w:eastAsia="宋体" w:cs="宋体"/>
                <w:i w:val="0"/>
                <w:iCs w:val="0"/>
                <w:color w:val="000000"/>
                <w:sz w:val="18"/>
                <w:szCs w:val="18"/>
                <w:u w:val="none"/>
              </w:rPr>
            </w:pPr>
          </w:p>
        </w:tc>
      </w:tr>
      <w:tr w14:paraId="59DDD5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358" w:type="dxa"/>
            <w:tcBorders>
              <w:top w:val="single" w:color="000000" w:sz="4" w:space="0"/>
              <w:bottom w:val="single" w:color="000000" w:sz="4" w:space="0"/>
              <w:right w:val="single" w:color="000000" w:sz="4" w:space="0"/>
            </w:tcBorders>
            <w:shd w:val="clear" w:color="auto" w:fill="auto"/>
            <w:vAlign w:val="center"/>
          </w:tcPr>
          <w:p w14:paraId="3F073A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4A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虎门宁洲一期</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0AD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44C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5E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81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240</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C4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AA/O</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214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虎门镇南栅第六工业区民昌路十巷5号</w:t>
            </w:r>
          </w:p>
        </w:tc>
        <w:tc>
          <w:tcPr>
            <w:tcW w:w="1414" w:type="dxa"/>
            <w:vMerge w:val="continue"/>
            <w:tcBorders>
              <w:left w:val="single" w:color="000000" w:sz="4" w:space="0"/>
            </w:tcBorders>
            <w:shd w:val="clear" w:color="auto" w:fill="auto"/>
            <w:vAlign w:val="center"/>
          </w:tcPr>
          <w:p w14:paraId="5C21A578">
            <w:pPr>
              <w:keepNext w:val="0"/>
              <w:keepLines w:val="0"/>
              <w:suppressLineNumbers w:val="0"/>
              <w:spacing w:before="0" w:beforeAutospacing="0" w:after="0" w:afterAutospacing="0"/>
              <w:ind w:left="0" w:right="0"/>
              <w:jc w:val="left"/>
              <w:outlineLvl w:val="9"/>
              <w:rPr>
                <w:rFonts w:hint="eastAsia" w:ascii="宋体" w:hAnsi="宋体" w:eastAsia="宋体" w:cs="宋体"/>
                <w:i w:val="0"/>
                <w:iCs w:val="0"/>
                <w:color w:val="000000"/>
                <w:sz w:val="18"/>
                <w:szCs w:val="18"/>
                <w:u w:val="none"/>
              </w:rPr>
            </w:pPr>
          </w:p>
        </w:tc>
      </w:tr>
      <w:tr w14:paraId="1F99D4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358" w:type="dxa"/>
            <w:tcBorders>
              <w:top w:val="single" w:color="000000" w:sz="4" w:space="0"/>
              <w:bottom w:val="single" w:color="000000" w:sz="4" w:space="0"/>
              <w:right w:val="single" w:color="000000" w:sz="4" w:space="0"/>
            </w:tcBorders>
            <w:shd w:val="clear" w:color="auto" w:fill="auto"/>
            <w:vAlign w:val="center"/>
          </w:tcPr>
          <w:p w14:paraId="53FD57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21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沙田福禄沙厂</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216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AD1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0CA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D6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220</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77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CASS</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B3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沙田镇福禄沙村</w:t>
            </w:r>
          </w:p>
        </w:tc>
        <w:tc>
          <w:tcPr>
            <w:tcW w:w="1414" w:type="dxa"/>
            <w:vMerge w:val="continue"/>
            <w:tcBorders>
              <w:left w:val="single" w:color="000000" w:sz="4" w:space="0"/>
            </w:tcBorders>
            <w:shd w:val="clear" w:color="auto" w:fill="auto"/>
            <w:vAlign w:val="center"/>
          </w:tcPr>
          <w:p w14:paraId="3B52B00A">
            <w:pPr>
              <w:keepNext w:val="0"/>
              <w:keepLines w:val="0"/>
              <w:suppressLineNumbers w:val="0"/>
              <w:spacing w:before="0" w:beforeAutospacing="0" w:after="0" w:afterAutospacing="0"/>
              <w:ind w:left="0" w:right="0"/>
              <w:jc w:val="left"/>
              <w:outlineLvl w:val="9"/>
              <w:rPr>
                <w:rFonts w:hint="eastAsia" w:ascii="宋体" w:hAnsi="宋体" w:eastAsia="宋体" w:cs="宋体"/>
                <w:i w:val="0"/>
                <w:iCs w:val="0"/>
                <w:color w:val="000000"/>
                <w:sz w:val="18"/>
                <w:szCs w:val="18"/>
                <w:u w:val="none"/>
              </w:rPr>
            </w:pPr>
          </w:p>
        </w:tc>
      </w:tr>
      <w:tr w14:paraId="0968CC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358" w:type="dxa"/>
            <w:tcBorders>
              <w:top w:val="single" w:color="000000" w:sz="4" w:space="0"/>
              <w:right w:val="single" w:color="000000" w:sz="4" w:space="0"/>
            </w:tcBorders>
            <w:shd w:val="clear" w:color="auto" w:fill="auto"/>
            <w:vAlign w:val="center"/>
          </w:tcPr>
          <w:p w14:paraId="532D02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E</w:t>
            </w:r>
          </w:p>
        </w:tc>
        <w:tc>
          <w:tcPr>
            <w:tcW w:w="1340" w:type="dxa"/>
            <w:tcBorders>
              <w:top w:val="single" w:color="000000" w:sz="4" w:space="0"/>
              <w:left w:val="single" w:color="000000" w:sz="4" w:space="0"/>
              <w:right w:val="single" w:color="000000" w:sz="4" w:space="0"/>
            </w:tcBorders>
            <w:shd w:val="clear" w:color="auto" w:fill="auto"/>
            <w:vAlign w:val="center"/>
          </w:tcPr>
          <w:p w14:paraId="50D45F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东城牛山一期</w:t>
            </w:r>
          </w:p>
        </w:tc>
        <w:tc>
          <w:tcPr>
            <w:tcW w:w="860" w:type="dxa"/>
            <w:tcBorders>
              <w:top w:val="single" w:color="000000" w:sz="4" w:space="0"/>
              <w:left w:val="single" w:color="000000" w:sz="4" w:space="0"/>
              <w:right w:val="single" w:color="000000" w:sz="4" w:space="0"/>
            </w:tcBorders>
            <w:shd w:val="clear" w:color="auto" w:fill="auto"/>
            <w:noWrap/>
            <w:vAlign w:val="center"/>
          </w:tcPr>
          <w:p w14:paraId="1936BF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150" w:type="dxa"/>
            <w:tcBorders>
              <w:top w:val="single" w:color="000000" w:sz="4" w:space="0"/>
              <w:left w:val="single" w:color="000000" w:sz="4" w:space="0"/>
              <w:right w:val="single" w:color="000000" w:sz="4" w:space="0"/>
            </w:tcBorders>
            <w:shd w:val="clear" w:color="auto" w:fill="auto"/>
            <w:noWrap/>
            <w:vAlign w:val="center"/>
          </w:tcPr>
          <w:p w14:paraId="45EF3C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810" w:type="dxa"/>
            <w:tcBorders>
              <w:top w:val="single" w:color="000000" w:sz="4" w:space="0"/>
              <w:left w:val="single" w:color="000000" w:sz="4" w:space="0"/>
              <w:right w:val="single" w:color="000000" w:sz="4" w:space="0"/>
            </w:tcBorders>
            <w:shd w:val="clear" w:color="auto" w:fill="auto"/>
            <w:vAlign w:val="center"/>
          </w:tcPr>
          <w:p w14:paraId="774A8B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right w:val="single" w:color="000000" w:sz="4" w:space="0"/>
            </w:tcBorders>
            <w:shd w:val="clear" w:color="auto" w:fill="auto"/>
            <w:vAlign w:val="center"/>
          </w:tcPr>
          <w:p w14:paraId="5B6343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1480" w:type="dxa"/>
            <w:tcBorders>
              <w:top w:val="single" w:color="000000" w:sz="4" w:space="0"/>
              <w:left w:val="single" w:color="000000" w:sz="4" w:space="0"/>
              <w:right w:val="single" w:color="000000" w:sz="4" w:space="0"/>
            </w:tcBorders>
            <w:shd w:val="clear" w:color="auto" w:fill="auto"/>
            <w:vAlign w:val="center"/>
          </w:tcPr>
          <w:p w14:paraId="545673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SBR</w:t>
            </w:r>
          </w:p>
        </w:tc>
        <w:tc>
          <w:tcPr>
            <w:tcW w:w="1690" w:type="dxa"/>
            <w:tcBorders>
              <w:top w:val="single" w:color="000000" w:sz="4" w:space="0"/>
              <w:left w:val="single" w:color="000000" w:sz="4" w:space="0"/>
              <w:right w:val="single" w:color="000000" w:sz="4" w:space="0"/>
            </w:tcBorders>
            <w:shd w:val="clear" w:color="auto" w:fill="auto"/>
            <w:vAlign w:val="center"/>
          </w:tcPr>
          <w:p w14:paraId="2C3190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东城牛山老围村工业区象山路7号</w:t>
            </w:r>
          </w:p>
        </w:tc>
        <w:tc>
          <w:tcPr>
            <w:tcW w:w="1414" w:type="dxa"/>
            <w:vMerge w:val="continue"/>
            <w:tcBorders>
              <w:left w:val="single" w:color="000000" w:sz="4" w:space="0"/>
            </w:tcBorders>
            <w:shd w:val="clear" w:color="auto" w:fill="auto"/>
            <w:vAlign w:val="center"/>
          </w:tcPr>
          <w:p w14:paraId="47B89E6A">
            <w:pPr>
              <w:keepNext w:val="0"/>
              <w:keepLines w:val="0"/>
              <w:suppressLineNumbers w:val="0"/>
              <w:spacing w:before="0" w:beforeAutospacing="0" w:after="0" w:afterAutospacing="0"/>
              <w:ind w:left="0" w:right="0"/>
              <w:jc w:val="left"/>
              <w:outlineLvl w:val="9"/>
              <w:rPr>
                <w:rFonts w:hint="eastAsia" w:ascii="宋体" w:hAnsi="宋体" w:eastAsia="宋体" w:cs="宋体"/>
                <w:i w:val="0"/>
                <w:iCs w:val="0"/>
                <w:color w:val="000000"/>
                <w:sz w:val="18"/>
                <w:szCs w:val="18"/>
                <w:u w:val="none"/>
              </w:rPr>
            </w:pPr>
          </w:p>
        </w:tc>
      </w:tr>
    </w:tbl>
    <w:p w14:paraId="467D9C55">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0" w:firstLineChars="0"/>
        <w:textAlignment w:val="auto"/>
        <w:rPr>
          <w:rFonts w:hint="eastAsia" w:ascii="宋体" w:hAnsi="宋体" w:eastAsia="宋体" w:cs="宋体"/>
          <w:color w:val="auto"/>
          <w:sz w:val="21"/>
          <w:szCs w:val="21"/>
          <w:highlight w:val="none"/>
          <w:lang w:val="zh-CN"/>
        </w:rPr>
      </w:pPr>
    </w:p>
    <w:p w14:paraId="33114FD0">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2" w:firstLineChars="20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3、</w:t>
      </w:r>
      <w:r>
        <w:rPr>
          <w:rFonts w:hint="eastAsia" w:ascii="宋体" w:hAnsi="宋体" w:eastAsia="宋体" w:cs="宋体"/>
          <w:b/>
          <w:bCs/>
          <w:color w:val="auto"/>
          <w:sz w:val="21"/>
          <w:szCs w:val="21"/>
          <w:highlight w:val="none"/>
          <w:u w:val="single"/>
          <w:lang w:val="zh-CN"/>
        </w:rPr>
        <w:t>本用户需求书介绍的污泥减量化处理规模仅为便于</w:t>
      </w:r>
      <w:r>
        <w:rPr>
          <w:rFonts w:hint="eastAsia" w:ascii="宋体" w:hAnsi="宋体" w:cs="宋体"/>
          <w:b/>
          <w:bCs/>
          <w:color w:val="auto"/>
          <w:sz w:val="21"/>
          <w:szCs w:val="21"/>
          <w:highlight w:val="none"/>
          <w:u w:val="single"/>
          <w:lang w:val="en-US" w:eastAsia="zh-CN"/>
        </w:rPr>
        <w:t>供应商</w:t>
      </w:r>
      <w:r>
        <w:rPr>
          <w:rFonts w:hint="eastAsia" w:ascii="宋体" w:hAnsi="宋体" w:eastAsia="宋体" w:cs="宋体"/>
          <w:b/>
          <w:bCs/>
          <w:color w:val="auto"/>
          <w:sz w:val="21"/>
          <w:szCs w:val="21"/>
          <w:highlight w:val="none"/>
          <w:u w:val="single"/>
          <w:lang w:val="zh-CN"/>
        </w:rPr>
        <w:t>了解项目情况使用，不作为</w:t>
      </w:r>
      <w:r>
        <w:rPr>
          <w:rFonts w:hint="eastAsia" w:ascii="宋体" w:hAnsi="宋体" w:cs="宋体"/>
          <w:b/>
          <w:bCs/>
          <w:color w:val="auto"/>
          <w:sz w:val="21"/>
          <w:szCs w:val="21"/>
          <w:highlight w:val="none"/>
          <w:u w:val="single"/>
          <w:lang w:val="zh-CN"/>
        </w:rPr>
        <w:t>采购人</w:t>
      </w:r>
      <w:r>
        <w:rPr>
          <w:rFonts w:hint="eastAsia" w:ascii="宋体" w:hAnsi="宋体" w:eastAsia="宋体" w:cs="宋体"/>
          <w:b/>
          <w:bCs/>
          <w:color w:val="auto"/>
          <w:sz w:val="21"/>
          <w:szCs w:val="21"/>
          <w:highlight w:val="none"/>
          <w:u w:val="single"/>
          <w:lang w:val="zh-CN"/>
        </w:rPr>
        <w:t>最终委托减量化处理量的保证。最终按实际处理量结算，</w:t>
      </w:r>
      <w:r>
        <w:rPr>
          <w:rFonts w:hint="eastAsia" w:ascii="宋体" w:hAnsi="宋体" w:cs="宋体"/>
          <w:b/>
          <w:bCs/>
          <w:color w:val="auto"/>
          <w:sz w:val="21"/>
          <w:szCs w:val="21"/>
          <w:highlight w:val="none"/>
          <w:u w:val="single"/>
          <w:lang w:val="en-US" w:eastAsia="zh-CN"/>
        </w:rPr>
        <w:t>成交人</w:t>
      </w:r>
      <w:r>
        <w:rPr>
          <w:rFonts w:hint="eastAsia" w:ascii="宋体" w:hAnsi="宋体" w:eastAsia="宋体" w:cs="宋体"/>
          <w:b/>
          <w:bCs/>
          <w:color w:val="auto"/>
          <w:sz w:val="21"/>
          <w:szCs w:val="21"/>
          <w:highlight w:val="none"/>
          <w:u w:val="single"/>
          <w:lang w:val="zh-CN"/>
        </w:rPr>
        <w:t>不得因脱水减量化处理量的减少或增加而要求提供任何形式的补偿或赔偿，或要求</w:t>
      </w:r>
      <w:r>
        <w:rPr>
          <w:rFonts w:hint="eastAsia" w:ascii="宋体" w:hAnsi="宋体" w:cs="宋体"/>
          <w:b/>
          <w:bCs/>
          <w:color w:val="auto"/>
          <w:sz w:val="21"/>
          <w:szCs w:val="21"/>
          <w:highlight w:val="none"/>
          <w:u w:val="single"/>
          <w:lang w:val="zh-CN"/>
        </w:rPr>
        <w:t>采购人</w:t>
      </w:r>
      <w:r>
        <w:rPr>
          <w:rFonts w:hint="eastAsia" w:ascii="宋体" w:hAnsi="宋体" w:eastAsia="宋体" w:cs="宋体"/>
          <w:b/>
          <w:bCs/>
          <w:color w:val="auto"/>
          <w:sz w:val="21"/>
          <w:szCs w:val="21"/>
          <w:highlight w:val="none"/>
          <w:u w:val="single"/>
          <w:lang w:val="zh-CN"/>
        </w:rPr>
        <w:t>按本用户需求书介绍的范围或规模采购相应的减量化处理服务</w:t>
      </w:r>
      <w:r>
        <w:rPr>
          <w:rFonts w:hint="eastAsia" w:ascii="宋体" w:hAnsi="宋体" w:eastAsia="宋体" w:cs="宋体"/>
          <w:b/>
          <w:bCs/>
          <w:color w:val="auto"/>
          <w:sz w:val="21"/>
          <w:szCs w:val="21"/>
          <w:highlight w:val="none"/>
          <w:lang w:val="zh-CN"/>
        </w:rPr>
        <w:t>。</w:t>
      </w:r>
    </w:p>
    <w:p w14:paraId="5CA1D7EC">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2" w:firstLineChars="20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eastAsia="zh-CN"/>
        </w:rPr>
        <w:t>4</w:t>
      </w:r>
      <w:r>
        <w:rPr>
          <w:rFonts w:hint="eastAsia" w:ascii="宋体" w:hAnsi="宋体" w:eastAsia="宋体" w:cs="宋体"/>
          <w:b/>
          <w:bCs/>
          <w:color w:val="auto"/>
          <w:sz w:val="21"/>
          <w:szCs w:val="21"/>
          <w:highlight w:val="none"/>
          <w:lang w:val="zh-CN"/>
        </w:rPr>
        <w:t>、</w:t>
      </w:r>
      <w:r>
        <w:rPr>
          <w:rFonts w:hint="eastAsia" w:ascii="宋体" w:hAnsi="宋体" w:eastAsia="宋体" w:cs="宋体"/>
          <w:b/>
          <w:bCs/>
          <w:color w:val="auto"/>
          <w:sz w:val="21"/>
          <w:szCs w:val="21"/>
          <w:highlight w:val="none"/>
          <w:u w:val="single"/>
          <w:lang w:val="zh-CN"/>
        </w:rPr>
        <w:t>风险特别约定情况：</w:t>
      </w:r>
      <w:r>
        <w:rPr>
          <w:rFonts w:hint="eastAsia" w:ascii="宋体" w:hAnsi="宋体" w:cs="宋体"/>
          <w:b/>
          <w:bCs/>
          <w:color w:val="auto"/>
          <w:sz w:val="21"/>
          <w:szCs w:val="21"/>
          <w:highlight w:val="none"/>
          <w:u w:val="single"/>
          <w:lang w:val="en-US" w:eastAsia="zh-CN"/>
        </w:rPr>
        <w:t>供应商</w:t>
      </w:r>
      <w:r>
        <w:rPr>
          <w:rFonts w:hint="eastAsia" w:ascii="宋体" w:hAnsi="宋体" w:eastAsia="宋体" w:cs="宋体"/>
          <w:b/>
          <w:bCs/>
          <w:color w:val="auto"/>
          <w:sz w:val="21"/>
          <w:szCs w:val="21"/>
          <w:highlight w:val="none"/>
          <w:u w:val="single"/>
          <w:lang w:val="zh-CN"/>
        </w:rPr>
        <w:t>清楚理解</w:t>
      </w:r>
      <w:r>
        <w:rPr>
          <w:rFonts w:hint="eastAsia" w:ascii="宋体" w:hAnsi="宋体" w:eastAsia="宋体" w:cs="宋体"/>
          <w:b/>
          <w:bCs/>
          <w:color w:val="auto"/>
          <w:sz w:val="21"/>
          <w:szCs w:val="21"/>
          <w:highlight w:val="none"/>
          <w:u w:val="single"/>
          <w:lang w:val="zh-CN" w:eastAsia="zh-CN"/>
        </w:rPr>
        <w:t>并同意接受</w:t>
      </w:r>
      <w:r>
        <w:rPr>
          <w:rFonts w:hint="eastAsia" w:ascii="宋体" w:hAnsi="宋体" w:eastAsia="宋体" w:cs="宋体"/>
          <w:b/>
          <w:bCs/>
          <w:color w:val="auto"/>
          <w:sz w:val="21"/>
          <w:szCs w:val="21"/>
          <w:highlight w:val="none"/>
          <w:u w:val="single"/>
          <w:lang w:val="zh-CN"/>
        </w:rPr>
        <w:t>本项目具有很大的不确定性</w:t>
      </w:r>
      <w:r>
        <w:rPr>
          <w:rFonts w:hint="eastAsia" w:ascii="宋体" w:hAnsi="宋体" w:eastAsia="宋体" w:cs="宋体"/>
          <w:b/>
          <w:bCs/>
          <w:color w:val="auto"/>
          <w:sz w:val="21"/>
          <w:szCs w:val="21"/>
          <w:highlight w:val="none"/>
          <w:u w:val="single"/>
          <w:lang w:val="zh-CN" w:eastAsia="zh-CN"/>
        </w:rPr>
        <w:t>，存在</w:t>
      </w:r>
      <w:r>
        <w:rPr>
          <w:rFonts w:hint="eastAsia" w:ascii="宋体" w:hAnsi="宋体" w:eastAsia="宋体" w:cs="宋体"/>
          <w:b/>
          <w:bCs/>
          <w:color w:val="auto"/>
          <w:sz w:val="21"/>
          <w:szCs w:val="21"/>
          <w:highlight w:val="none"/>
          <w:u w:val="single"/>
          <w:lang w:val="zh-CN"/>
        </w:rPr>
        <w:t>包括但不限于以下不确定性因素</w:t>
      </w:r>
      <w:r>
        <w:rPr>
          <w:rFonts w:hint="eastAsia" w:ascii="宋体" w:hAnsi="宋体" w:eastAsia="宋体" w:cs="宋体"/>
          <w:b/>
          <w:bCs/>
          <w:color w:val="auto"/>
          <w:sz w:val="21"/>
          <w:szCs w:val="21"/>
          <w:highlight w:val="none"/>
          <w:u w:val="single"/>
          <w:lang w:val="zh-CN" w:eastAsia="zh-CN"/>
        </w:rPr>
        <w:t>：</w:t>
      </w:r>
      <w:r>
        <w:rPr>
          <w:rFonts w:hint="eastAsia" w:ascii="宋体" w:hAnsi="宋体" w:cs="宋体"/>
          <w:b/>
          <w:bCs/>
          <w:color w:val="auto"/>
          <w:sz w:val="21"/>
          <w:szCs w:val="21"/>
          <w:highlight w:val="none"/>
          <w:u w:val="single"/>
          <w:lang w:val="zh-CN"/>
        </w:rPr>
        <w:t>采购人</w:t>
      </w:r>
      <w:r>
        <w:rPr>
          <w:rFonts w:hint="eastAsia" w:ascii="宋体" w:hAnsi="宋体" w:eastAsia="宋体" w:cs="宋体"/>
          <w:b/>
          <w:bCs/>
          <w:color w:val="auto"/>
          <w:sz w:val="21"/>
          <w:szCs w:val="21"/>
          <w:highlight w:val="none"/>
          <w:u w:val="single"/>
          <w:lang w:val="zh-CN" w:eastAsia="zh-CN"/>
        </w:rPr>
        <w:t>的BOT污水处理厂污泥处理处置服务合同因政策变化等原因的调整而</w:t>
      </w:r>
      <w:r>
        <w:rPr>
          <w:rFonts w:hint="eastAsia" w:ascii="宋体" w:hAnsi="宋体" w:eastAsia="宋体" w:cs="宋体"/>
          <w:b/>
          <w:bCs/>
          <w:color w:val="auto"/>
          <w:sz w:val="21"/>
          <w:szCs w:val="21"/>
          <w:highlight w:val="none"/>
          <w:u w:val="single"/>
          <w:lang w:val="zh-CN"/>
        </w:rPr>
        <w:t>导致</w:t>
      </w:r>
      <w:r>
        <w:rPr>
          <w:rFonts w:hint="eastAsia" w:ascii="宋体" w:hAnsi="宋体" w:eastAsia="宋体" w:cs="宋体"/>
          <w:b/>
          <w:bCs/>
          <w:color w:val="auto"/>
          <w:sz w:val="21"/>
          <w:szCs w:val="21"/>
          <w:highlight w:val="none"/>
          <w:u w:val="single"/>
          <w:lang w:val="zh-CN" w:eastAsia="zh-CN"/>
        </w:rPr>
        <w:t>需提前解除</w:t>
      </w:r>
      <w:r>
        <w:rPr>
          <w:rFonts w:hint="eastAsia" w:ascii="宋体" w:hAnsi="宋体" w:eastAsia="宋体" w:cs="宋体"/>
          <w:b/>
          <w:bCs/>
          <w:color w:val="auto"/>
          <w:sz w:val="21"/>
          <w:szCs w:val="21"/>
          <w:highlight w:val="none"/>
          <w:u w:val="single"/>
          <w:lang w:val="zh-CN"/>
        </w:rPr>
        <w:t>污泥脱水减量化</w:t>
      </w:r>
      <w:r>
        <w:rPr>
          <w:rFonts w:hint="eastAsia" w:ascii="宋体" w:hAnsi="宋体" w:eastAsia="宋体" w:cs="宋体"/>
          <w:b/>
          <w:bCs/>
          <w:color w:val="auto"/>
          <w:sz w:val="21"/>
          <w:szCs w:val="21"/>
          <w:highlight w:val="none"/>
          <w:u w:val="single"/>
          <w:lang w:val="zh-CN" w:eastAsia="zh-CN"/>
        </w:rPr>
        <w:t>处理服务合同、因</w:t>
      </w:r>
      <w:r>
        <w:rPr>
          <w:rFonts w:hint="eastAsia" w:ascii="宋体" w:hAnsi="宋体" w:cs="宋体"/>
          <w:b/>
          <w:bCs/>
          <w:color w:val="auto"/>
          <w:sz w:val="21"/>
          <w:szCs w:val="21"/>
          <w:highlight w:val="none"/>
          <w:u w:val="single"/>
          <w:lang w:val="zh-CN" w:eastAsia="zh-CN"/>
        </w:rPr>
        <w:t>采购人</w:t>
      </w:r>
      <w:r>
        <w:rPr>
          <w:rFonts w:hint="eastAsia" w:ascii="宋体" w:hAnsi="宋体" w:eastAsia="宋体" w:cs="宋体"/>
          <w:b/>
          <w:bCs/>
          <w:color w:val="auto"/>
          <w:sz w:val="21"/>
          <w:szCs w:val="21"/>
          <w:highlight w:val="none"/>
          <w:u w:val="single"/>
          <w:lang w:val="zh-CN" w:eastAsia="zh-CN"/>
        </w:rPr>
        <w:t>（或污水处理厂）自行建设并运营污泥脱水减量化处理设施而导致需提前解除污泥脱水减量化处理服务合同、因</w:t>
      </w:r>
      <w:r>
        <w:rPr>
          <w:rFonts w:hint="eastAsia" w:ascii="宋体" w:hAnsi="宋体" w:cs="宋体"/>
          <w:b/>
          <w:bCs/>
          <w:color w:val="auto"/>
          <w:sz w:val="21"/>
          <w:szCs w:val="21"/>
          <w:highlight w:val="none"/>
          <w:u w:val="single"/>
          <w:lang w:val="en-US" w:eastAsia="zh-CN"/>
        </w:rPr>
        <w:t>供应商</w:t>
      </w:r>
      <w:r>
        <w:rPr>
          <w:rFonts w:hint="eastAsia" w:ascii="宋体" w:hAnsi="宋体" w:eastAsia="宋体" w:cs="宋体"/>
          <w:b/>
          <w:bCs/>
          <w:color w:val="auto"/>
          <w:sz w:val="21"/>
          <w:szCs w:val="21"/>
          <w:highlight w:val="none"/>
          <w:u w:val="single"/>
          <w:lang w:val="zh-CN" w:eastAsia="zh-CN"/>
        </w:rPr>
        <w:t>的设施不达标或超标或用电用地的原因导致</w:t>
      </w:r>
      <w:r>
        <w:rPr>
          <w:rFonts w:hint="eastAsia" w:ascii="宋体" w:hAnsi="宋体" w:eastAsia="宋体" w:cs="宋体"/>
          <w:b/>
          <w:bCs/>
          <w:color w:val="auto"/>
          <w:sz w:val="21"/>
          <w:szCs w:val="21"/>
          <w:highlight w:val="none"/>
          <w:u w:val="single"/>
          <w:lang w:val="zh-CN"/>
        </w:rPr>
        <w:t>污水处理厂不接受</w:t>
      </w:r>
      <w:r>
        <w:rPr>
          <w:rFonts w:hint="eastAsia" w:ascii="宋体" w:hAnsi="宋体" w:cs="宋体"/>
          <w:b/>
          <w:bCs/>
          <w:color w:val="auto"/>
          <w:sz w:val="21"/>
          <w:szCs w:val="21"/>
          <w:highlight w:val="none"/>
          <w:u w:val="single"/>
          <w:lang w:val="en-US" w:eastAsia="zh-CN"/>
        </w:rPr>
        <w:t>供应商</w:t>
      </w:r>
      <w:r>
        <w:rPr>
          <w:rFonts w:hint="eastAsia" w:ascii="宋体" w:hAnsi="宋体" w:eastAsia="宋体" w:cs="宋体"/>
          <w:b/>
          <w:bCs/>
          <w:color w:val="auto"/>
          <w:sz w:val="21"/>
          <w:szCs w:val="21"/>
          <w:highlight w:val="none"/>
          <w:u w:val="single"/>
          <w:lang w:val="zh-CN"/>
        </w:rPr>
        <w:t>安装污泥脱水减量化处理设施</w:t>
      </w:r>
      <w:r>
        <w:rPr>
          <w:rFonts w:hint="eastAsia" w:ascii="宋体" w:hAnsi="宋体" w:eastAsia="宋体" w:cs="宋体"/>
          <w:b/>
          <w:bCs/>
          <w:color w:val="auto"/>
          <w:sz w:val="21"/>
          <w:szCs w:val="21"/>
          <w:highlight w:val="none"/>
          <w:u w:val="single"/>
          <w:lang w:val="zh-CN" w:eastAsia="zh-CN"/>
        </w:rPr>
        <w:t>、</w:t>
      </w:r>
      <w:r>
        <w:rPr>
          <w:rFonts w:hint="eastAsia" w:ascii="宋体" w:hAnsi="宋体" w:eastAsia="宋体" w:cs="宋体"/>
          <w:b/>
          <w:bCs/>
          <w:color w:val="auto"/>
          <w:sz w:val="21"/>
          <w:szCs w:val="21"/>
          <w:highlight w:val="none"/>
          <w:u w:val="single"/>
          <w:lang w:val="zh-CN"/>
        </w:rPr>
        <w:t>污水处理厂不具备安装</w:t>
      </w:r>
      <w:r>
        <w:rPr>
          <w:rFonts w:hint="eastAsia" w:ascii="宋体" w:hAnsi="宋体" w:cs="宋体"/>
          <w:b/>
          <w:bCs/>
          <w:color w:val="auto"/>
          <w:sz w:val="21"/>
          <w:szCs w:val="21"/>
          <w:highlight w:val="none"/>
          <w:u w:val="single"/>
          <w:lang w:val="en-US" w:eastAsia="zh-CN"/>
        </w:rPr>
        <w:t>供应商</w:t>
      </w:r>
      <w:r>
        <w:rPr>
          <w:rFonts w:hint="eastAsia" w:ascii="宋体" w:hAnsi="宋体" w:eastAsia="宋体" w:cs="宋体"/>
          <w:b/>
          <w:bCs/>
          <w:color w:val="auto"/>
          <w:sz w:val="21"/>
          <w:szCs w:val="21"/>
          <w:highlight w:val="none"/>
          <w:u w:val="single"/>
          <w:lang w:val="zh-CN" w:eastAsia="zh-CN"/>
        </w:rPr>
        <w:t>的</w:t>
      </w:r>
      <w:r>
        <w:rPr>
          <w:rFonts w:hint="eastAsia" w:ascii="宋体" w:hAnsi="宋体" w:eastAsia="宋体" w:cs="宋体"/>
          <w:b/>
          <w:bCs/>
          <w:color w:val="auto"/>
          <w:sz w:val="21"/>
          <w:szCs w:val="21"/>
          <w:highlight w:val="none"/>
          <w:u w:val="single"/>
          <w:lang w:val="zh-CN"/>
        </w:rPr>
        <w:t>污泥脱水减量化处理设施条件、</w:t>
      </w:r>
      <w:r>
        <w:rPr>
          <w:rFonts w:hint="eastAsia" w:ascii="宋体" w:hAnsi="宋体" w:cs="宋体"/>
          <w:b/>
          <w:bCs/>
          <w:sz w:val="21"/>
          <w:szCs w:val="21"/>
          <w:u w:val="single"/>
          <w:lang w:val="en-US" w:eastAsia="zh-CN"/>
        </w:rPr>
        <w:t>原服务单位协商不顺利未拆除现有设备导致供应商无法进场安装污泥脱水减量化处理设施、</w:t>
      </w:r>
      <w:r>
        <w:rPr>
          <w:rFonts w:hint="eastAsia" w:ascii="宋体" w:hAnsi="宋体" w:eastAsia="宋体" w:cs="宋体"/>
          <w:b/>
          <w:bCs/>
          <w:color w:val="auto"/>
          <w:sz w:val="21"/>
          <w:szCs w:val="21"/>
          <w:highlight w:val="none"/>
          <w:u w:val="single"/>
          <w:lang w:val="zh-CN" w:eastAsia="zh-CN"/>
        </w:rPr>
        <w:t>因污水处理厂用地手续不完善等问题被相关行政主管部门叫停而导致需提前解除污泥脱水减量化处理服务合同、</w:t>
      </w:r>
      <w:r>
        <w:rPr>
          <w:rFonts w:hint="eastAsia" w:ascii="宋体" w:hAnsi="宋体" w:eastAsia="宋体" w:cs="宋体"/>
          <w:b/>
          <w:bCs/>
          <w:color w:val="auto"/>
          <w:sz w:val="21"/>
          <w:szCs w:val="21"/>
          <w:highlight w:val="none"/>
          <w:u w:val="single"/>
          <w:lang w:val="zh-CN"/>
        </w:rPr>
        <w:t>提供给</w:t>
      </w:r>
      <w:r>
        <w:rPr>
          <w:rFonts w:hint="eastAsia" w:ascii="宋体" w:hAnsi="宋体" w:cs="宋体"/>
          <w:b/>
          <w:bCs/>
          <w:color w:val="auto"/>
          <w:sz w:val="21"/>
          <w:szCs w:val="21"/>
          <w:highlight w:val="none"/>
          <w:u w:val="single"/>
          <w:lang w:val="en-US" w:eastAsia="zh-CN"/>
        </w:rPr>
        <w:t>供应商</w:t>
      </w:r>
      <w:r>
        <w:rPr>
          <w:rFonts w:hint="eastAsia" w:ascii="宋体" w:hAnsi="宋体" w:eastAsia="宋体" w:cs="宋体"/>
          <w:b/>
          <w:bCs/>
          <w:color w:val="auto"/>
          <w:sz w:val="21"/>
          <w:szCs w:val="21"/>
          <w:highlight w:val="none"/>
          <w:u w:val="single"/>
          <w:lang w:val="zh-CN"/>
        </w:rPr>
        <w:t>脱水减量化处理的泥量严重不符、</w:t>
      </w:r>
      <w:r>
        <w:rPr>
          <w:rFonts w:hint="eastAsia" w:ascii="宋体" w:hAnsi="宋体" w:eastAsia="宋体" w:cs="宋体"/>
          <w:b/>
          <w:bCs/>
          <w:color w:val="auto"/>
          <w:sz w:val="21"/>
          <w:szCs w:val="21"/>
          <w:highlight w:val="none"/>
          <w:u w:val="single"/>
          <w:lang w:val="zh-CN" w:eastAsia="zh-CN"/>
        </w:rPr>
        <w:t>污泥脱水减量化含水率的变化、或因东莞市污泥集中处理处置特许经营项目建设运营情况而导致需提前解除污泥脱水减量化处理服务合同</w:t>
      </w:r>
      <w:r>
        <w:rPr>
          <w:rFonts w:hint="eastAsia" w:ascii="宋体" w:hAnsi="宋体" w:eastAsia="宋体" w:cs="宋体"/>
          <w:b/>
          <w:bCs/>
          <w:color w:val="auto"/>
          <w:sz w:val="21"/>
          <w:szCs w:val="21"/>
          <w:highlight w:val="none"/>
          <w:u w:val="single"/>
          <w:lang w:val="zh-CN"/>
        </w:rPr>
        <w:t>等，因前述原因或同类因素导致已委托给</w:t>
      </w:r>
      <w:r>
        <w:rPr>
          <w:rFonts w:hint="eastAsia" w:ascii="宋体" w:hAnsi="宋体" w:cs="宋体"/>
          <w:b/>
          <w:bCs/>
          <w:color w:val="auto"/>
          <w:sz w:val="21"/>
          <w:szCs w:val="21"/>
          <w:highlight w:val="none"/>
          <w:u w:val="single"/>
          <w:lang w:val="zh-CN"/>
        </w:rPr>
        <w:t>成交人</w:t>
      </w:r>
      <w:r>
        <w:rPr>
          <w:rFonts w:hint="eastAsia" w:ascii="宋体" w:hAnsi="宋体" w:eastAsia="宋体" w:cs="宋体"/>
          <w:b/>
          <w:bCs/>
          <w:color w:val="auto"/>
          <w:sz w:val="21"/>
          <w:szCs w:val="21"/>
          <w:highlight w:val="none"/>
          <w:u w:val="single"/>
          <w:lang w:val="zh-CN"/>
        </w:rPr>
        <w:t>的项目无法实施或已安装了污泥脱水处理设施后项目取消的，</w:t>
      </w:r>
      <w:r>
        <w:rPr>
          <w:rFonts w:hint="eastAsia" w:ascii="宋体" w:hAnsi="宋体" w:cs="宋体"/>
          <w:b/>
          <w:bCs/>
          <w:color w:val="auto"/>
          <w:sz w:val="21"/>
          <w:szCs w:val="21"/>
          <w:highlight w:val="none"/>
          <w:u w:val="single"/>
          <w:lang w:val="en-US" w:eastAsia="zh-CN"/>
        </w:rPr>
        <w:t>供应商</w:t>
      </w:r>
      <w:r>
        <w:rPr>
          <w:rFonts w:hint="eastAsia" w:ascii="宋体" w:hAnsi="宋体" w:eastAsia="宋体" w:cs="宋体"/>
          <w:b/>
          <w:bCs/>
          <w:color w:val="auto"/>
          <w:sz w:val="21"/>
          <w:szCs w:val="21"/>
          <w:highlight w:val="none"/>
          <w:u w:val="single"/>
          <w:lang w:val="zh-CN"/>
        </w:rPr>
        <w:t>同意放弃向</w:t>
      </w:r>
      <w:r>
        <w:rPr>
          <w:rFonts w:hint="eastAsia" w:ascii="宋体" w:hAnsi="宋体" w:cs="宋体"/>
          <w:b/>
          <w:bCs/>
          <w:color w:val="auto"/>
          <w:sz w:val="21"/>
          <w:szCs w:val="21"/>
          <w:highlight w:val="none"/>
          <w:u w:val="single"/>
          <w:lang w:val="zh-CN"/>
        </w:rPr>
        <w:t>采购人</w:t>
      </w:r>
      <w:r>
        <w:rPr>
          <w:rFonts w:hint="eastAsia" w:ascii="宋体" w:hAnsi="宋体" w:eastAsia="宋体" w:cs="宋体"/>
          <w:b/>
          <w:bCs/>
          <w:color w:val="auto"/>
          <w:sz w:val="21"/>
          <w:szCs w:val="21"/>
          <w:highlight w:val="none"/>
          <w:u w:val="single"/>
          <w:lang w:val="zh-CN"/>
        </w:rPr>
        <w:t>追讨任何费用或主张任何权利和责任。</w:t>
      </w:r>
    </w:p>
    <w:p w14:paraId="659FAA87">
      <w:pPr>
        <w:widowControl/>
        <w:autoSpaceDE/>
        <w:autoSpaceDN/>
        <w:adjustRightInd/>
        <w:snapToGrid w:val="0"/>
        <w:spacing w:line="360" w:lineRule="auto"/>
        <w:ind w:firstLine="420"/>
        <w:contextualSpacing/>
        <w:jc w:val="both"/>
        <w:outlineLvl w:val="9"/>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二、采购范围、服务期限、建设进度</w:t>
      </w:r>
    </w:p>
    <w:p w14:paraId="3DF08D85">
      <w:pPr>
        <w:widowControl/>
        <w:autoSpaceDE/>
        <w:autoSpaceDN/>
        <w:adjustRightInd/>
        <w:snapToGrid w:val="0"/>
        <w:spacing w:line="360" w:lineRule="auto"/>
        <w:ind w:firstLine="420"/>
        <w:contextualSpacing/>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1、采购范围：</w:t>
      </w:r>
    </w:p>
    <w:p w14:paraId="57958A16">
      <w:pPr>
        <w:widowControl/>
        <w:autoSpaceDE/>
        <w:autoSpaceDN/>
        <w:adjustRightInd/>
        <w:snapToGrid w:val="0"/>
        <w:spacing w:line="360" w:lineRule="auto"/>
        <w:ind w:firstLine="420"/>
        <w:contextualSpacing/>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由服务单位在污水处理厂内实施污泥脱水减量化服务，将从污水厂储泥池或沉淀池抽取的污泥脱水减量至含水率不高于55%的半干化泥粉。</w:t>
      </w:r>
    </w:p>
    <w:p w14:paraId="34FB2279">
      <w:pPr>
        <w:widowControl/>
        <w:autoSpaceDE/>
        <w:autoSpaceDN/>
        <w:adjustRightInd/>
        <w:snapToGrid w:val="0"/>
        <w:spacing w:line="360" w:lineRule="auto"/>
        <w:ind w:firstLine="420"/>
        <w:contextualSpacing/>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2、服务期限：</w:t>
      </w:r>
    </w:p>
    <w:p w14:paraId="0441190C">
      <w:pPr>
        <w:widowControl/>
        <w:autoSpaceDE/>
        <w:autoSpaceDN/>
        <w:adjustRightInd/>
        <w:snapToGrid w:val="0"/>
        <w:spacing w:line="360" w:lineRule="auto"/>
        <w:ind w:firstLine="420"/>
        <w:contextualSpacing/>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w:t>
      </w:r>
      <w:r>
        <w:rPr>
          <w:rFonts w:hint="eastAsia" w:ascii="宋体" w:hAnsi="宋体" w:eastAsia="宋体" w:cs="宋体"/>
          <w:b/>
          <w:bCs/>
          <w:kern w:val="2"/>
          <w:sz w:val="21"/>
          <w:szCs w:val="21"/>
          <w:u w:val="single"/>
          <w:lang w:val="zh-CN"/>
        </w:rPr>
        <w:t>污泥厂内减量化处理服务期限自采购人发出</w:t>
      </w:r>
      <w:r>
        <w:rPr>
          <w:rFonts w:hint="eastAsia" w:ascii="宋体" w:hAnsi="宋体" w:eastAsia="宋体" w:cs="宋体"/>
          <w:b/>
          <w:bCs/>
          <w:kern w:val="2"/>
          <w:sz w:val="21"/>
          <w:szCs w:val="21"/>
          <w:u w:val="single"/>
          <w:lang w:val="zh-CN" w:eastAsia="zh-CN"/>
        </w:rPr>
        <w:t>《进场</w:t>
      </w:r>
      <w:r>
        <w:rPr>
          <w:rFonts w:hint="eastAsia" w:ascii="宋体" w:hAnsi="宋体" w:eastAsia="宋体" w:cs="宋体"/>
          <w:b/>
          <w:bCs/>
          <w:kern w:val="2"/>
          <w:sz w:val="21"/>
          <w:szCs w:val="21"/>
          <w:u w:val="single"/>
          <w:lang w:val="zh-CN"/>
        </w:rPr>
        <w:t>通知</w:t>
      </w:r>
      <w:r>
        <w:rPr>
          <w:rFonts w:hint="eastAsia" w:ascii="宋体" w:hAnsi="宋体" w:eastAsia="宋体" w:cs="宋体"/>
          <w:b/>
          <w:bCs/>
          <w:kern w:val="2"/>
          <w:sz w:val="21"/>
          <w:szCs w:val="21"/>
          <w:u w:val="single"/>
          <w:lang w:val="zh-CN" w:eastAsia="zh-CN"/>
        </w:rPr>
        <w:t>书》</w:t>
      </w:r>
      <w:r>
        <w:rPr>
          <w:rFonts w:hint="eastAsia" w:ascii="宋体" w:hAnsi="宋体" w:eastAsia="宋体" w:cs="宋体"/>
          <w:b/>
          <w:bCs/>
          <w:kern w:val="2"/>
          <w:sz w:val="21"/>
          <w:szCs w:val="21"/>
          <w:u w:val="single"/>
          <w:lang w:val="zh-CN"/>
        </w:rPr>
        <w:t>之日起至</w:t>
      </w:r>
      <w:r>
        <w:rPr>
          <w:rFonts w:hint="eastAsia" w:ascii="宋体" w:hAnsi="宋体" w:eastAsia="宋体" w:cs="宋体"/>
          <w:b/>
          <w:bCs/>
          <w:kern w:val="2"/>
          <w:sz w:val="21"/>
          <w:szCs w:val="21"/>
          <w:u w:val="single"/>
          <w:lang w:val="en-US" w:eastAsia="zh-CN"/>
        </w:rPr>
        <w:t>2026年1月4日</w:t>
      </w:r>
      <w:r>
        <w:rPr>
          <w:rFonts w:hint="eastAsia" w:ascii="宋体" w:hAnsi="宋体" w:cs="宋体"/>
          <w:b/>
          <w:bCs/>
          <w:kern w:val="2"/>
          <w:sz w:val="21"/>
          <w:szCs w:val="21"/>
          <w:u w:val="single"/>
          <w:lang w:val="en-US" w:eastAsia="zh-CN"/>
        </w:rPr>
        <w:t>止（具体以采购人通知为准）</w:t>
      </w:r>
      <w:r>
        <w:rPr>
          <w:rFonts w:hint="eastAsia" w:ascii="宋体" w:hAnsi="宋体" w:eastAsia="宋体" w:cs="宋体"/>
          <w:b/>
          <w:bCs/>
          <w:kern w:val="2"/>
          <w:sz w:val="21"/>
          <w:szCs w:val="21"/>
          <w:u w:val="single"/>
          <w:lang w:val="zh-CN"/>
        </w:rPr>
        <w:t>。服务期内，采购人根据</w:t>
      </w:r>
      <w:r>
        <w:rPr>
          <w:rFonts w:hint="eastAsia" w:ascii="宋体" w:hAnsi="宋体" w:eastAsia="宋体" w:cs="宋体"/>
          <w:b/>
          <w:bCs/>
          <w:kern w:val="2"/>
          <w:sz w:val="21"/>
          <w:szCs w:val="21"/>
          <w:u w:val="single"/>
          <w:lang w:val="zh-CN" w:eastAsia="zh-CN"/>
        </w:rPr>
        <w:t>污水厂厂区污泥脱水减量设备进行的实施进度或东莞市污泥集中处理处置特许经营项目建设运营情况</w:t>
      </w:r>
      <w:r>
        <w:rPr>
          <w:rFonts w:hint="eastAsia" w:ascii="宋体" w:hAnsi="宋体" w:eastAsia="宋体" w:cs="宋体"/>
          <w:b/>
          <w:bCs/>
          <w:kern w:val="2"/>
          <w:sz w:val="21"/>
          <w:szCs w:val="21"/>
          <w:u w:val="single"/>
          <w:lang w:val="zh-CN"/>
        </w:rPr>
        <w:t>有权要求</w:t>
      </w:r>
      <w:r>
        <w:rPr>
          <w:rFonts w:hint="eastAsia" w:ascii="宋体" w:hAnsi="宋体" w:eastAsia="宋体" w:cs="宋体"/>
          <w:b/>
          <w:bCs/>
          <w:kern w:val="2"/>
          <w:sz w:val="21"/>
          <w:szCs w:val="21"/>
          <w:u w:val="single"/>
          <w:lang w:val="en-US" w:eastAsia="zh-CN"/>
        </w:rPr>
        <w:t>成交人</w:t>
      </w:r>
      <w:r>
        <w:rPr>
          <w:rFonts w:hint="eastAsia" w:ascii="宋体" w:hAnsi="宋体" w:eastAsia="宋体" w:cs="宋体"/>
          <w:b/>
          <w:bCs/>
          <w:kern w:val="2"/>
          <w:sz w:val="21"/>
          <w:szCs w:val="21"/>
          <w:u w:val="single"/>
          <w:lang w:val="zh-CN"/>
        </w:rPr>
        <w:t>无条件提前终止服务并撤场。在服务期满后，如采购人需委托</w:t>
      </w:r>
      <w:r>
        <w:rPr>
          <w:rFonts w:hint="eastAsia" w:ascii="宋体" w:hAnsi="宋体" w:eastAsia="宋体" w:cs="宋体"/>
          <w:b/>
          <w:bCs/>
          <w:kern w:val="2"/>
          <w:sz w:val="21"/>
          <w:szCs w:val="21"/>
          <w:u w:val="single"/>
          <w:lang w:val="en-US" w:eastAsia="zh-CN"/>
        </w:rPr>
        <w:t>成交</w:t>
      </w:r>
      <w:r>
        <w:rPr>
          <w:rFonts w:hint="eastAsia" w:ascii="宋体" w:hAnsi="宋体" w:eastAsia="宋体" w:cs="宋体"/>
          <w:b/>
          <w:bCs/>
          <w:kern w:val="2"/>
          <w:sz w:val="21"/>
          <w:szCs w:val="21"/>
          <w:u w:val="single"/>
          <w:lang w:val="zh-CN"/>
        </w:rPr>
        <w:t>人继续开展服务范围内的服务时，</w:t>
      </w:r>
      <w:r>
        <w:rPr>
          <w:rFonts w:hint="eastAsia" w:ascii="宋体" w:hAnsi="宋体" w:eastAsia="宋体" w:cs="宋体"/>
          <w:b/>
          <w:bCs/>
          <w:kern w:val="2"/>
          <w:sz w:val="21"/>
          <w:szCs w:val="21"/>
          <w:u w:val="single"/>
          <w:lang w:val="zh-CN" w:eastAsia="zh-CN"/>
        </w:rPr>
        <w:t>经双方协商一致，</w:t>
      </w:r>
      <w:r>
        <w:rPr>
          <w:rFonts w:hint="eastAsia" w:ascii="宋体" w:hAnsi="宋体" w:eastAsia="宋体" w:cs="宋体"/>
          <w:b/>
          <w:bCs/>
          <w:kern w:val="2"/>
          <w:sz w:val="21"/>
          <w:szCs w:val="21"/>
          <w:u w:val="single"/>
          <w:lang w:val="en-US" w:eastAsia="zh-CN"/>
        </w:rPr>
        <w:t>成交</w:t>
      </w:r>
      <w:r>
        <w:rPr>
          <w:rFonts w:hint="eastAsia" w:ascii="宋体" w:hAnsi="宋体" w:eastAsia="宋体" w:cs="宋体"/>
          <w:b/>
          <w:bCs/>
          <w:kern w:val="2"/>
          <w:sz w:val="21"/>
          <w:szCs w:val="21"/>
          <w:u w:val="single"/>
          <w:lang w:val="zh-CN"/>
        </w:rPr>
        <w:t>人应按合同约定的计价方式和服务标准向采购人继续提供处理服务</w:t>
      </w:r>
      <w:r>
        <w:rPr>
          <w:rFonts w:hint="eastAsia" w:ascii="宋体" w:hAnsi="宋体" w:eastAsia="宋体" w:cs="宋体"/>
          <w:b/>
          <w:bCs/>
          <w:kern w:val="2"/>
          <w:sz w:val="21"/>
          <w:szCs w:val="21"/>
          <w:lang w:val="zh-CN"/>
        </w:rPr>
        <w:t>。</w:t>
      </w:r>
    </w:p>
    <w:p w14:paraId="63A34EBB">
      <w:pPr>
        <w:widowControl/>
        <w:autoSpaceDE/>
        <w:autoSpaceDN/>
        <w:adjustRightInd/>
        <w:snapToGrid w:val="0"/>
        <w:spacing w:line="360" w:lineRule="auto"/>
        <w:ind w:firstLine="420"/>
        <w:contextualSpacing/>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3、脱水减量化处理设施建设进度要求</w:t>
      </w:r>
    </w:p>
    <w:p w14:paraId="74B81A93">
      <w:pPr>
        <w:widowControl/>
        <w:autoSpaceDE/>
        <w:autoSpaceDN/>
        <w:adjustRightInd/>
        <w:snapToGrid w:val="0"/>
        <w:spacing w:line="360" w:lineRule="auto"/>
        <w:ind w:firstLine="420"/>
        <w:contextualSpacing/>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w:t>
      </w:r>
      <w:r>
        <w:rPr>
          <w:rFonts w:hint="eastAsia" w:ascii="宋体" w:hAnsi="宋体" w:eastAsia="宋体" w:cs="宋体"/>
          <w:b/>
          <w:bCs/>
          <w:kern w:val="2"/>
          <w:sz w:val="21"/>
          <w:szCs w:val="21"/>
          <w:u w:val="single"/>
          <w:lang w:val="zh-CN"/>
        </w:rPr>
        <w:t>污水处理厂脱水减量化处理项目,</w:t>
      </w:r>
      <w:r>
        <w:rPr>
          <w:rFonts w:hint="eastAsia" w:ascii="宋体" w:hAnsi="宋体" w:eastAsia="宋体" w:cs="宋体"/>
          <w:b/>
          <w:bCs/>
          <w:kern w:val="2"/>
          <w:sz w:val="21"/>
          <w:szCs w:val="21"/>
          <w:u w:val="single"/>
          <w:lang w:val="en-US" w:eastAsia="zh-CN"/>
        </w:rPr>
        <w:t>供应商</w:t>
      </w:r>
      <w:r>
        <w:rPr>
          <w:rFonts w:hint="eastAsia" w:ascii="宋体" w:hAnsi="宋体" w:eastAsia="宋体" w:cs="宋体"/>
          <w:b/>
          <w:bCs/>
          <w:kern w:val="2"/>
          <w:sz w:val="21"/>
          <w:szCs w:val="21"/>
          <w:u w:val="single"/>
          <w:lang w:val="zh-CN"/>
        </w:rPr>
        <w:t>必须承诺在收到采购人</w:t>
      </w:r>
      <w:r>
        <w:rPr>
          <w:rFonts w:hint="eastAsia" w:ascii="宋体" w:hAnsi="宋体" w:eastAsia="宋体" w:cs="宋体"/>
          <w:b/>
          <w:bCs/>
          <w:kern w:val="2"/>
          <w:sz w:val="21"/>
          <w:szCs w:val="21"/>
          <w:u w:val="single"/>
          <w:lang w:val="zh-CN" w:eastAsia="zh-CN"/>
        </w:rPr>
        <w:t>《进场</w:t>
      </w:r>
      <w:r>
        <w:rPr>
          <w:rFonts w:hint="eastAsia" w:ascii="宋体" w:hAnsi="宋体" w:eastAsia="宋体" w:cs="宋体"/>
          <w:b/>
          <w:bCs/>
          <w:kern w:val="2"/>
          <w:sz w:val="21"/>
          <w:szCs w:val="21"/>
          <w:u w:val="single"/>
          <w:lang w:val="zh-CN"/>
        </w:rPr>
        <w:t>通知</w:t>
      </w:r>
      <w:r>
        <w:rPr>
          <w:rFonts w:hint="eastAsia" w:ascii="宋体" w:hAnsi="宋体" w:eastAsia="宋体" w:cs="宋体"/>
          <w:b/>
          <w:bCs/>
          <w:kern w:val="2"/>
          <w:sz w:val="21"/>
          <w:szCs w:val="21"/>
          <w:u w:val="single"/>
          <w:lang w:val="zh-CN" w:eastAsia="zh-CN"/>
        </w:rPr>
        <w:t>书》</w:t>
      </w:r>
      <w:r>
        <w:rPr>
          <w:rFonts w:hint="eastAsia" w:ascii="宋体" w:hAnsi="宋体" w:eastAsia="宋体" w:cs="宋体"/>
          <w:b/>
          <w:bCs/>
          <w:kern w:val="2"/>
          <w:sz w:val="21"/>
          <w:szCs w:val="21"/>
          <w:u w:val="single"/>
          <w:lang w:val="zh-CN"/>
        </w:rPr>
        <w:t>之日起30天内完成设备安装并具备正式投产条件</w:t>
      </w:r>
      <w:r>
        <w:rPr>
          <w:rFonts w:hint="eastAsia" w:ascii="宋体" w:hAnsi="宋体" w:eastAsia="宋体" w:cs="宋体"/>
          <w:b/>
          <w:bCs/>
          <w:kern w:val="2"/>
          <w:sz w:val="21"/>
          <w:szCs w:val="21"/>
          <w:lang w:val="zh-CN"/>
        </w:rPr>
        <w:t>。</w:t>
      </w:r>
      <w:r>
        <w:rPr>
          <w:rFonts w:hint="eastAsia" w:ascii="宋体" w:hAnsi="宋体" w:eastAsia="宋体" w:cs="宋体"/>
          <w:kern w:val="2"/>
          <w:sz w:val="21"/>
          <w:szCs w:val="21"/>
          <w:lang w:val="zh-CN"/>
        </w:rPr>
        <w:t xml:space="preserve"> </w:t>
      </w:r>
    </w:p>
    <w:p w14:paraId="18B014E3">
      <w:pPr>
        <w:widowControl/>
        <w:autoSpaceDE/>
        <w:autoSpaceDN/>
        <w:adjustRightInd/>
        <w:snapToGrid w:val="0"/>
        <w:spacing w:line="360" w:lineRule="auto"/>
        <w:ind w:firstLine="420"/>
        <w:contextualSpacing/>
        <w:jc w:val="both"/>
        <w:outlineLvl w:val="9"/>
        <w:rPr>
          <w:rFonts w:hint="eastAsia" w:ascii="宋体" w:hAnsi="宋体" w:eastAsia="宋体" w:cs="宋体"/>
          <w:color w:val="auto"/>
          <w:sz w:val="21"/>
          <w:szCs w:val="21"/>
          <w:highlight w:val="none"/>
          <w:lang w:val="zh-CN"/>
        </w:rPr>
      </w:pPr>
      <w:bookmarkStart w:id="196" w:name="_Toc1332"/>
      <w:bookmarkStart w:id="197" w:name="_Toc24054"/>
      <w:r>
        <w:rPr>
          <w:rFonts w:hint="eastAsia" w:ascii="宋体" w:hAnsi="宋体" w:eastAsia="宋体" w:cs="宋体"/>
          <w:kern w:val="2"/>
          <w:sz w:val="21"/>
          <w:szCs w:val="21"/>
          <w:lang w:val="zh-CN"/>
        </w:rPr>
        <w:t>污泥脱水减量化项目的“投产”是指污泥脱水减量化产能连续三天稳定达到该处理点设计规模产能的70%或以上，减量化后的半干化污泥含水率不高于55%（若由于污泥产出单位自身原因导致的污泥产量不足，则由采购人与污泥产生单位经现场确认其产能是否符合要求）。</w:t>
      </w:r>
      <w:bookmarkEnd w:id="196"/>
      <w:bookmarkEnd w:id="197"/>
      <w:bookmarkStart w:id="198" w:name="_Toc5313"/>
      <w:bookmarkStart w:id="199" w:name="_Toc17256"/>
    </w:p>
    <w:bookmarkEnd w:id="198"/>
    <w:bookmarkEnd w:id="199"/>
    <w:p w14:paraId="6E0E27DD">
      <w:pPr>
        <w:widowControl/>
        <w:autoSpaceDE/>
        <w:autoSpaceDN/>
        <w:adjustRightInd/>
        <w:snapToGrid w:val="0"/>
        <w:spacing w:line="360" w:lineRule="auto"/>
        <w:ind w:firstLine="420"/>
        <w:contextualSpacing/>
        <w:jc w:val="both"/>
        <w:outlineLvl w:val="9"/>
        <w:rPr>
          <w:rFonts w:hint="eastAsia" w:ascii="宋体" w:hAnsi="宋体" w:eastAsia="宋体" w:cs="宋体"/>
          <w:b/>
          <w:bCs/>
          <w:kern w:val="2"/>
          <w:sz w:val="21"/>
          <w:szCs w:val="21"/>
          <w:lang w:val="zh-CN"/>
        </w:rPr>
      </w:pPr>
      <w:r>
        <w:rPr>
          <w:rFonts w:hint="eastAsia" w:ascii="宋体" w:hAnsi="宋体" w:eastAsia="宋体" w:cs="宋体"/>
          <w:b/>
          <w:bCs/>
          <w:kern w:val="2"/>
          <w:sz w:val="21"/>
          <w:szCs w:val="21"/>
          <w:lang w:val="zh-CN"/>
        </w:rPr>
        <w:t>三、污泥计量、脱水减量化处理后污泥的含水率及</w:t>
      </w:r>
      <w:r>
        <w:rPr>
          <w:rFonts w:hint="eastAsia" w:ascii="宋体" w:hAnsi="宋体" w:eastAsia="宋体" w:cs="宋体"/>
          <w:b/>
          <w:bCs/>
          <w:kern w:val="2"/>
          <w:sz w:val="21"/>
          <w:szCs w:val="21"/>
          <w:lang w:val="zh-CN" w:eastAsia="zh-CN"/>
        </w:rPr>
        <w:t>检测</w:t>
      </w:r>
      <w:r>
        <w:rPr>
          <w:rFonts w:hint="eastAsia" w:ascii="宋体" w:hAnsi="宋体" w:eastAsia="宋体" w:cs="宋体"/>
          <w:b/>
          <w:bCs/>
          <w:kern w:val="2"/>
          <w:sz w:val="21"/>
          <w:szCs w:val="21"/>
          <w:lang w:val="zh-CN"/>
        </w:rPr>
        <w:t>、计费</w:t>
      </w:r>
    </w:p>
    <w:p w14:paraId="2EBCC7E6">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1、污水处理厂污泥减量化项目减量化服务费单价按含水率80%的湿泥计价（元/吨）。若在项目服务期间，因污泥减量化技术升级，污泥含水率可脱水至更低，经双方协商</w:t>
      </w:r>
      <w:r>
        <w:rPr>
          <w:rFonts w:hint="eastAsia" w:ascii="宋体" w:hAnsi="宋体" w:eastAsia="宋体" w:cs="宋体"/>
          <w:kern w:val="2"/>
          <w:sz w:val="21"/>
          <w:szCs w:val="21"/>
          <w:lang w:val="zh-CN" w:eastAsia="zh-CN"/>
        </w:rPr>
        <w:t>一致</w:t>
      </w:r>
      <w:r>
        <w:rPr>
          <w:rFonts w:hint="eastAsia" w:ascii="宋体" w:hAnsi="宋体" w:eastAsia="宋体" w:cs="宋体"/>
          <w:kern w:val="2"/>
          <w:sz w:val="21"/>
          <w:szCs w:val="21"/>
          <w:lang w:val="zh-CN"/>
        </w:rPr>
        <w:t>，可调整折算公式。</w:t>
      </w:r>
    </w:p>
    <w:p w14:paraId="67E39207">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（1）污泥称重计量：污水处理厂出厂的半干化泥粉，通过采购人指定的地磅的称重数据（磅单）为计量计费依据，计量相关费用均由采购人承担。</w:t>
      </w:r>
    </w:p>
    <w:p w14:paraId="1C6E849F">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（2）当车结算泥量。当车结算泥量=称重数据（磅单）×（1-55%）/（1-80%）。</w:t>
      </w:r>
    </w:p>
    <w:p w14:paraId="3ECF2435">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2、含水率。</w:t>
      </w:r>
    </w:p>
    <w:p w14:paraId="76F33392">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en-US" w:eastAsia="zh-CN"/>
        </w:rPr>
        <w:t>成交</w:t>
      </w:r>
      <w:r>
        <w:rPr>
          <w:rFonts w:hint="eastAsia" w:ascii="宋体" w:hAnsi="宋体" w:eastAsia="宋体" w:cs="宋体"/>
          <w:kern w:val="2"/>
          <w:sz w:val="21"/>
          <w:szCs w:val="21"/>
          <w:lang w:val="zh-CN"/>
        </w:rPr>
        <w:t>人应严格遵照采购人要求将污泥脱水减量化至含水率不高于55%，按合同单价（将从污水厂储泥池或沉淀池抽取的污泥脱水减量至含水率不高于55%的半干化污泥服务费单价）计取。</w:t>
      </w:r>
    </w:p>
    <w:p w14:paraId="6E845993">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eastAsia="zh-CN"/>
        </w:rPr>
      </w:pPr>
      <w:r>
        <w:rPr>
          <w:rFonts w:hint="eastAsia" w:ascii="宋体" w:hAnsi="宋体" w:eastAsia="宋体" w:cs="宋体"/>
          <w:kern w:val="2"/>
          <w:sz w:val="21"/>
          <w:szCs w:val="21"/>
          <w:lang w:val="zh-CN"/>
        </w:rPr>
        <w:t>3、含水率</w:t>
      </w:r>
      <w:r>
        <w:rPr>
          <w:rFonts w:hint="eastAsia" w:ascii="宋体" w:hAnsi="宋体" w:eastAsia="宋体" w:cs="宋体"/>
          <w:kern w:val="2"/>
          <w:sz w:val="21"/>
          <w:szCs w:val="21"/>
          <w:lang w:val="zh-CN" w:eastAsia="zh-CN"/>
        </w:rPr>
        <w:t>检测</w:t>
      </w:r>
    </w:p>
    <w:p w14:paraId="7CDAE513">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含水率</w:t>
      </w:r>
      <w:r>
        <w:rPr>
          <w:rFonts w:hint="eastAsia" w:ascii="宋体" w:hAnsi="宋体" w:eastAsia="宋体" w:cs="宋体"/>
          <w:kern w:val="2"/>
          <w:sz w:val="21"/>
          <w:szCs w:val="21"/>
          <w:lang w:val="zh-CN" w:eastAsia="zh-CN"/>
        </w:rPr>
        <w:t>检测</w:t>
      </w:r>
      <w:r>
        <w:rPr>
          <w:rFonts w:hint="eastAsia" w:ascii="宋体" w:hAnsi="宋体" w:eastAsia="宋体" w:cs="宋体"/>
          <w:kern w:val="2"/>
          <w:sz w:val="21"/>
          <w:szCs w:val="21"/>
          <w:lang w:val="zh-CN"/>
        </w:rPr>
        <w:t>包括由污水处理厂化验室（或</w:t>
      </w:r>
      <w:r>
        <w:rPr>
          <w:rFonts w:hint="eastAsia" w:ascii="宋体" w:hAnsi="宋体" w:eastAsia="宋体" w:cs="宋体"/>
          <w:kern w:val="2"/>
          <w:sz w:val="21"/>
          <w:szCs w:val="21"/>
          <w:lang w:val="zh-CN" w:eastAsia="zh-CN"/>
        </w:rPr>
        <w:t>采购人委托的第三方检测机构、或污泥产生单位</w:t>
      </w:r>
      <w:r>
        <w:rPr>
          <w:rFonts w:hint="eastAsia" w:ascii="宋体" w:hAnsi="宋体" w:eastAsia="宋体" w:cs="宋体"/>
          <w:kern w:val="2"/>
          <w:sz w:val="21"/>
          <w:szCs w:val="21"/>
          <w:lang w:val="zh-CN"/>
        </w:rPr>
        <w:t>委托的第三方检测机构）检测及采购人抽检两部分。</w:t>
      </w:r>
    </w:p>
    <w:p w14:paraId="5C290BA7">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（1）</w:t>
      </w:r>
      <w:r>
        <w:rPr>
          <w:rFonts w:hint="eastAsia" w:ascii="宋体" w:hAnsi="宋体" w:eastAsia="宋体" w:cs="宋体"/>
          <w:kern w:val="2"/>
          <w:sz w:val="21"/>
          <w:szCs w:val="21"/>
          <w:lang w:val="zh-CN" w:eastAsia="zh-CN"/>
        </w:rPr>
        <w:t>检测</w:t>
      </w:r>
      <w:r>
        <w:rPr>
          <w:rFonts w:hint="eastAsia" w:ascii="宋体" w:hAnsi="宋体" w:eastAsia="宋体" w:cs="宋体"/>
          <w:kern w:val="2"/>
          <w:sz w:val="21"/>
          <w:szCs w:val="21"/>
          <w:lang w:val="zh-CN"/>
        </w:rPr>
        <w:t>采样方式：在本项目半干化泥粉外运装车时采集半干化泥粉样品，采样点为外运半干化泥粉的运输车内，采样方法执行《城镇污水处理厂污染物排放标准》（GB18918-2002）的规定，多点取样，即在运输车3个不同的地方，用不锈钢采样器采集泥样后，现场混合碾碎为一个均匀样。前述采集的均匀样分为3份，并对3份样品进行编码以便记录和区分。1份交由污水处理厂化验室（或</w:t>
      </w:r>
      <w:r>
        <w:rPr>
          <w:rFonts w:hint="eastAsia" w:ascii="宋体" w:hAnsi="宋体" w:eastAsia="宋体" w:cs="宋体"/>
          <w:kern w:val="2"/>
          <w:sz w:val="21"/>
          <w:szCs w:val="21"/>
          <w:lang w:val="zh-CN" w:eastAsia="zh-CN"/>
        </w:rPr>
        <w:t>采购人委托的第三方检测机构、或污泥产生单位</w:t>
      </w:r>
      <w:r>
        <w:rPr>
          <w:rFonts w:hint="eastAsia" w:ascii="宋体" w:hAnsi="宋体" w:eastAsia="宋体" w:cs="宋体"/>
          <w:kern w:val="2"/>
          <w:sz w:val="21"/>
          <w:szCs w:val="21"/>
          <w:lang w:val="zh-CN"/>
        </w:rPr>
        <w:t>委托的第三方检测机构）检测及存底，1份放至污水处理厂化验室（或</w:t>
      </w:r>
      <w:r>
        <w:rPr>
          <w:rFonts w:hint="eastAsia" w:ascii="宋体" w:hAnsi="宋体" w:eastAsia="宋体" w:cs="宋体"/>
          <w:kern w:val="2"/>
          <w:sz w:val="21"/>
          <w:szCs w:val="21"/>
          <w:lang w:val="zh-CN" w:eastAsia="zh-CN"/>
        </w:rPr>
        <w:t>采购人委托的第三方检测机构、或污泥产生单位</w:t>
      </w:r>
      <w:r>
        <w:rPr>
          <w:rFonts w:hint="eastAsia" w:ascii="宋体" w:hAnsi="宋体" w:eastAsia="宋体" w:cs="宋体"/>
          <w:kern w:val="2"/>
          <w:sz w:val="21"/>
          <w:szCs w:val="21"/>
          <w:lang w:val="zh-CN"/>
        </w:rPr>
        <w:t>委托的第三方检测机构），以便采购人委托的第三方检测机构复检（有异议时）或抽检（每月4次）；剩余1交由成交人自行保留或自检。若成交人对污水处理厂化验室（或</w:t>
      </w:r>
      <w:r>
        <w:rPr>
          <w:rFonts w:hint="eastAsia" w:ascii="宋体" w:hAnsi="宋体" w:eastAsia="宋体" w:cs="宋体"/>
          <w:kern w:val="2"/>
          <w:sz w:val="21"/>
          <w:szCs w:val="21"/>
          <w:lang w:val="zh-CN" w:eastAsia="zh-CN"/>
        </w:rPr>
        <w:t>采购人委托的第三方检测机构、或污泥产生单位</w:t>
      </w:r>
      <w:r>
        <w:rPr>
          <w:rFonts w:hint="eastAsia" w:ascii="宋体" w:hAnsi="宋体" w:eastAsia="宋体" w:cs="宋体"/>
          <w:kern w:val="2"/>
          <w:sz w:val="21"/>
          <w:szCs w:val="21"/>
          <w:lang w:val="zh-CN"/>
        </w:rPr>
        <w:t>委托的第三方检测机构）检测的含水率有异议（24小时内提出），则由采购人委托的第三方有资质的检测公司对污水处理厂留底的样品进行检测（48小时内），并以该含水率作为最终计费依据。</w:t>
      </w:r>
    </w:p>
    <w:p w14:paraId="4A92C99E">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（2）采样时成交人需用水印相机拍摄采样过程视频，并由成交人负责建立《采样台账》（具体格式由成交人自定，</w:t>
      </w:r>
      <w:r>
        <w:rPr>
          <w:rFonts w:hint="eastAsia" w:ascii="宋体" w:hAnsi="宋体" w:eastAsia="宋体" w:cs="宋体"/>
          <w:kern w:val="2"/>
          <w:sz w:val="21"/>
          <w:szCs w:val="21"/>
          <w:lang w:val="zh-CN" w:eastAsia="zh-CN"/>
        </w:rPr>
        <w:t>应至少</w:t>
      </w:r>
      <w:r>
        <w:rPr>
          <w:rFonts w:hint="eastAsia" w:ascii="宋体" w:hAnsi="宋体" w:eastAsia="宋体" w:cs="宋体"/>
          <w:kern w:val="2"/>
          <w:sz w:val="21"/>
          <w:szCs w:val="21"/>
          <w:lang w:val="zh-CN"/>
        </w:rPr>
        <w:t>含样品编码、抽检位置、抽检时间及双方签字记录等信息），由污水处理厂（或污水处理厂委托的第三方检测机构）和成交人共同在《采样台账》上签名确认污泥样品，采样视频及《采样台账》于每月请款时交采购人留底。</w:t>
      </w:r>
    </w:p>
    <w:p w14:paraId="2E888EA1">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（3）污水处理厂化验室（或</w:t>
      </w:r>
      <w:r>
        <w:rPr>
          <w:rFonts w:hint="eastAsia" w:ascii="宋体" w:hAnsi="宋体" w:eastAsia="宋体" w:cs="宋体"/>
          <w:kern w:val="2"/>
          <w:sz w:val="21"/>
          <w:szCs w:val="21"/>
          <w:lang w:val="zh-CN" w:eastAsia="zh-CN"/>
        </w:rPr>
        <w:t>采购人委托的第三方检测机构、或污泥产生单位</w:t>
      </w:r>
      <w:r>
        <w:rPr>
          <w:rFonts w:hint="eastAsia" w:ascii="宋体" w:hAnsi="宋体" w:eastAsia="宋体" w:cs="宋体"/>
          <w:kern w:val="2"/>
          <w:sz w:val="21"/>
          <w:szCs w:val="21"/>
          <w:lang w:val="zh-CN"/>
        </w:rPr>
        <w:t>委托的第三方检测机构）检测。由污水处理厂化验室（或</w:t>
      </w:r>
      <w:r>
        <w:rPr>
          <w:rFonts w:hint="eastAsia" w:ascii="宋体" w:hAnsi="宋体" w:eastAsia="宋体" w:cs="宋体"/>
          <w:kern w:val="2"/>
          <w:sz w:val="21"/>
          <w:szCs w:val="21"/>
          <w:lang w:val="zh-CN" w:eastAsia="zh-CN"/>
        </w:rPr>
        <w:t>采购人委托的第三方检测机构、或污泥产生单位</w:t>
      </w:r>
      <w:r>
        <w:rPr>
          <w:rFonts w:hint="eastAsia" w:ascii="宋体" w:hAnsi="宋体" w:eastAsia="宋体" w:cs="宋体"/>
          <w:kern w:val="2"/>
          <w:sz w:val="21"/>
          <w:szCs w:val="21"/>
          <w:lang w:val="zh-CN"/>
        </w:rPr>
        <w:t>委托的第三方检测机构）对出厂时每车半干化泥粉进行采样检测。脱水减量化后的半干化泥粉出厂含水率的确认，由</w:t>
      </w:r>
      <w:r>
        <w:rPr>
          <w:rFonts w:hint="eastAsia" w:ascii="宋体" w:hAnsi="宋体" w:eastAsia="宋体" w:cs="宋体"/>
          <w:kern w:val="2"/>
          <w:sz w:val="21"/>
          <w:szCs w:val="21"/>
          <w:lang w:val="zh-CN" w:eastAsia="zh-CN"/>
        </w:rPr>
        <w:t>污泥产生单位</w:t>
      </w:r>
      <w:r>
        <w:rPr>
          <w:rFonts w:hint="eastAsia" w:ascii="宋体" w:hAnsi="宋体" w:eastAsia="宋体" w:cs="宋体"/>
          <w:kern w:val="2"/>
          <w:sz w:val="21"/>
          <w:szCs w:val="21"/>
          <w:lang w:val="zh-CN"/>
        </w:rPr>
        <w:t>、采购人及成交人三方共同确认，形成《统计台账》，于每月请款时交采购人留底。</w:t>
      </w:r>
    </w:p>
    <w:p w14:paraId="1CF2AB34">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4）采购人委托的第三方检测机构每月随机从采集的样品中选取4个进行检测，并最终以采购人委托的第三方检测机构的检测数据作为当车污泥脱水减量化处理服务费计费依据，当月其余车次含水率以《统计台账》为准，形成《XXX年XX月XXX厂污泥脱水减量服务费结算台账》（下称“《结算台账》”），作为采购人向成交人支付当月污泥脱水减量化处理服务费的结算依据。</w:t>
      </w:r>
    </w:p>
    <w:p w14:paraId="17F0C5F9">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4、污泥脱水减量化处理服务费计费。</w:t>
      </w:r>
    </w:p>
    <w:p w14:paraId="5B5CF8F8">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（1）当车含水率小于等于55%时，当车污泥脱水减量化处理服务费=当车结算泥量×合同单价（从污水厂储泥池或沉淀池抽取的污泥减量至含水率不高于55%的半干化污泥服务费单价）。</w:t>
      </w:r>
    </w:p>
    <w:p w14:paraId="2761C773">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w:t>
      </w:r>
      <w:r>
        <w:rPr>
          <w:rFonts w:hint="eastAsia" w:ascii="宋体" w:hAnsi="宋体" w:eastAsia="宋体" w:cs="宋体"/>
          <w:kern w:val="2"/>
          <w:sz w:val="21"/>
          <w:szCs w:val="21"/>
          <w:lang w:val="zh-CN" w:eastAsia="zh-CN"/>
        </w:rPr>
        <w:t>2</w:t>
      </w:r>
      <w:r>
        <w:rPr>
          <w:rFonts w:hint="eastAsia" w:ascii="宋体" w:hAnsi="宋体" w:eastAsia="宋体" w:cs="宋体"/>
          <w:kern w:val="2"/>
          <w:sz w:val="21"/>
          <w:szCs w:val="21"/>
          <w:lang w:val="zh-CN"/>
        </w:rPr>
        <w:t>）采购人按月支付污泥脱水减量化处理服务费给成交人。</w:t>
      </w:r>
    </w:p>
    <w:p w14:paraId="615BE981">
      <w:pPr>
        <w:autoSpaceDE/>
        <w:autoSpaceDN/>
        <w:adjustRightInd/>
        <w:snapToGrid w:val="0"/>
        <w:spacing w:line="360" w:lineRule="auto"/>
        <w:ind w:firstLine="422" w:firstLineChars="200"/>
        <w:jc w:val="both"/>
        <w:outlineLvl w:val="9"/>
        <w:rPr>
          <w:rFonts w:hint="eastAsia" w:ascii="宋体" w:hAnsi="宋体" w:eastAsia="宋体" w:cs="宋体"/>
          <w:b/>
          <w:kern w:val="2"/>
          <w:sz w:val="21"/>
          <w:szCs w:val="21"/>
          <w:lang w:val="zh-CN"/>
        </w:rPr>
      </w:pPr>
      <w:r>
        <w:rPr>
          <w:rFonts w:hint="eastAsia" w:ascii="宋体" w:hAnsi="宋体" w:eastAsia="宋体" w:cs="宋体"/>
          <w:b/>
          <w:kern w:val="2"/>
          <w:sz w:val="21"/>
          <w:szCs w:val="21"/>
          <w:lang w:val="zh-CN"/>
        </w:rPr>
        <w:t>四、污泥减量化项目技术要求</w:t>
      </w:r>
    </w:p>
    <w:p w14:paraId="22A32267">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1、 污泥处理要求</w:t>
      </w:r>
    </w:p>
    <w:p w14:paraId="09B7B770">
      <w:pPr>
        <w:autoSpaceDE/>
        <w:autoSpaceDN/>
        <w:adjustRightInd/>
        <w:snapToGrid w:val="0"/>
        <w:spacing w:line="360" w:lineRule="auto"/>
        <w:ind w:firstLine="420" w:firstLineChars="200"/>
        <w:jc w:val="both"/>
        <w:outlineLvl w:val="9"/>
        <w:rPr>
          <w:rFonts w:hint="eastAsia" w:ascii="宋体" w:hAnsi="宋体" w:eastAsia="宋体" w:cs="宋体"/>
          <w:b/>
          <w:bCs w:val="0"/>
          <w:kern w:val="2"/>
          <w:sz w:val="21"/>
          <w:szCs w:val="21"/>
          <w:lang w:val="zh-CN"/>
        </w:rPr>
      </w:pPr>
      <w:r>
        <w:rPr>
          <w:rFonts w:hint="eastAsia" w:ascii="宋体" w:hAnsi="宋体" w:eastAsia="宋体" w:cs="宋体"/>
          <w:bCs/>
          <w:kern w:val="2"/>
          <w:sz w:val="21"/>
          <w:szCs w:val="21"/>
          <w:lang w:val="zh-CN"/>
        </w:rPr>
        <w:t>（1）★</w:t>
      </w:r>
      <w:r>
        <w:rPr>
          <w:rFonts w:hint="eastAsia" w:ascii="宋体" w:hAnsi="宋体" w:eastAsia="宋体" w:cs="宋体"/>
          <w:b/>
          <w:bCs w:val="0"/>
          <w:kern w:val="2"/>
          <w:sz w:val="21"/>
          <w:szCs w:val="21"/>
          <w:u w:val="single"/>
          <w:lang w:val="zh-CN"/>
        </w:rPr>
        <w:t>脱水减量化处理后的半干化污泥含水率应≤55%。考虑到脱水减量化的半干化污泥后端送砖厂、纸厂、电厂处置的要求，成交人需采取措施将半干化污泥粉进行适当破碎</w:t>
      </w:r>
      <w:r>
        <w:rPr>
          <w:rFonts w:hint="eastAsia" w:ascii="宋体" w:hAnsi="宋体" w:eastAsia="宋体" w:cs="宋体"/>
          <w:b/>
          <w:bCs w:val="0"/>
          <w:kern w:val="2"/>
          <w:sz w:val="21"/>
          <w:szCs w:val="21"/>
          <w:lang w:val="zh-CN"/>
        </w:rPr>
        <w:t>。</w:t>
      </w:r>
    </w:p>
    <w:p w14:paraId="77516946">
      <w:pPr>
        <w:autoSpaceDE/>
        <w:autoSpaceDN/>
        <w:adjustRightInd/>
        <w:snapToGrid w:val="0"/>
        <w:spacing w:line="360" w:lineRule="auto"/>
        <w:ind w:firstLine="420" w:firstLineChars="200"/>
        <w:jc w:val="both"/>
        <w:outlineLvl w:val="9"/>
        <w:rPr>
          <w:rFonts w:hint="eastAsia" w:ascii="宋体" w:hAnsi="宋体" w:eastAsia="宋体" w:cs="宋体"/>
          <w:bCs/>
          <w:kern w:val="2"/>
          <w:sz w:val="21"/>
          <w:szCs w:val="21"/>
          <w:lang w:val="zh-CN"/>
        </w:rPr>
      </w:pPr>
      <w:r>
        <w:rPr>
          <w:rFonts w:hint="eastAsia" w:ascii="宋体" w:hAnsi="宋体" w:eastAsia="宋体" w:cs="宋体"/>
          <w:bCs/>
          <w:kern w:val="2"/>
          <w:sz w:val="21"/>
          <w:szCs w:val="21"/>
          <w:lang w:val="zh-CN"/>
        </w:rPr>
        <w:t>（2）★</w:t>
      </w:r>
      <w:r>
        <w:rPr>
          <w:rFonts w:hint="eastAsia" w:ascii="宋体" w:hAnsi="宋体" w:eastAsia="宋体" w:cs="宋体"/>
          <w:b/>
          <w:bCs w:val="0"/>
          <w:kern w:val="2"/>
          <w:sz w:val="21"/>
          <w:szCs w:val="21"/>
          <w:u w:val="single"/>
          <w:lang w:val="zh-CN"/>
        </w:rPr>
        <w:t>为保证污泥减量效果，不允许添加石灰以及含石灰的调理剂</w:t>
      </w:r>
      <w:r>
        <w:rPr>
          <w:rFonts w:hint="eastAsia" w:ascii="宋体" w:hAnsi="宋体" w:eastAsia="宋体" w:cs="宋体"/>
          <w:b/>
          <w:bCs w:val="0"/>
          <w:kern w:val="2"/>
          <w:sz w:val="21"/>
          <w:szCs w:val="21"/>
          <w:lang w:val="zh-CN"/>
        </w:rPr>
        <w:t>。</w:t>
      </w:r>
    </w:p>
    <w:p w14:paraId="1A039202">
      <w:pPr>
        <w:autoSpaceDE/>
        <w:autoSpaceDN/>
        <w:adjustRightInd/>
        <w:snapToGrid w:val="0"/>
        <w:spacing w:line="360" w:lineRule="auto"/>
        <w:ind w:firstLine="420" w:firstLineChars="200"/>
        <w:jc w:val="both"/>
        <w:outlineLvl w:val="9"/>
        <w:rPr>
          <w:rFonts w:hint="eastAsia" w:ascii="宋体" w:hAnsi="宋体" w:eastAsia="宋体" w:cs="宋体"/>
          <w:bCs/>
          <w:kern w:val="2"/>
          <w:sz w:val="21"/>
          <w:szCs w:val="21"/>
          <w:lang w:val="zh-CN"/>
        </w:rPr>
      </w:pPr>
      <w:r>
        <w:rPr>
          <w:rFonts w:hint="eastAsia" w:ascii="宋体" w:hAnsi="宋体" w:eastAsia="宋体" w:cs="宋体"/>
          <w:color w:val="auto"/>
          <w:sz w:val="21"/>
          <w:szCs w:val="21"/>
          <w:highlight w:val="none"/>
          <w:lang w:val="zh-CN"/>
        </w:rPr>
        <w:t>（</w:t>
      </w:r>
      <w:r>
        <w:rPr>
          <w:rFonts w:hint="eastAsia" w:ascii="宋体" w:hAnsi="宋体" w:eastAsia="宋体" w:cs="宋体"/>
          <w:bCs/>
          <w:kern w:val="2"/>
          <w:sz w:val="21"/>
          <w:szCs w:val="21"/>
          <w:lang w:val="zh-CN"/>
        </w:rPr>
        <w:t>3）成交人需做好调理剂等添加药剂的出入库单（或进出场记录）或用量记录，定期提供给采购人，以备各级政府主管部门检查、核查。</w:t>
      </w:r>
    </w:p>
    <w:p w14:paraId="61E09639">
      <w:pPr>
        <w:autoSpaceDE/>
        <w:autoSpaceDN/>
        <w:adjustRightInd/>
        <w:snapToGrid w:val="0"/>
        <w:spacing w:line="360" w:lineRule="auto"/>
        <w:ind w:firstLine="420" w:firstLineChars="200"/>
        <w:jc w:val="both"/>
        <w:outlineLvl w:val="9"/>
        <w:rPr>
          <w:rFonts w:hint="eastAsia" w:ascii="宋体" w:hAnsi="宋体" w:eastAsia="宋体" w:cs="宋体"/>
          <w:bCs/>
          <w:kern w:val="2"/>
          <w:sz w:val="21"/>
          <w:szCs w:val="21"/>
          <w:lang w:val="zh-CN"/>
        </w:rPr>
      </w:pPr>
      <w:r>
        <w:rPr>
          <w:rFonts w:hint="eastAsia" w:ascii="宋体" w:hAnsi="宋体" w:eastAsia="宋体" w:cs="宋体"/>
          <w:bCs/>
          <w:kern w:val="2"/>
          <w:sz w:val="21"/>
          <w:szCs w:val="21"/>
          <w:lang w:val="zh-CN"/>
        </w:rPr>
        <w:t>2、配套设施排放要求</w:t>
      </w:r>
    </w:p>
    <w:p w14:paraId="61142904">
      <w:pPr>
        <w:autoSpaceDE/>
        <w:autoSpaceDN/>
        <w:adjustRightInd/>
        <w:snapToGrid w:val="0"/>
        <w:spacing w:line="360" w:lineRule="auto"/>
        <w:ind w:firstLine="420" w:firstLineChars="200"/>
        <w:jc w:val="both"/>
        <w:outlineLvl w:val="9"/>
        <w:rPr>
          <w:rFonts w:hint="eastAsia" w:ascii="宋体" w:hAnsi="宋体" w:eastAsia="宋体" w:cs="宋体"/>
          <w:bCs/>
          <w:kern w:val="2"/>
          <w:sz w:val="21"/>
          <w:szCs w:val="21"/>
          <w:lang w:val="zh-CN"/>
        </w:rPr>
      </w:pPr>
      <w:r>
        <w:rPr>
          <w:rFonts w:hint="eastAsia" w:ascii="宋体" w:hAnsi="宋体" w:eastAsia="宋体" w:cs="宋体"/>
          <w:bCs/>
          <w:kern w:val="2"/>
          <w:sz w:val="21"/>
          <w:szCs w:val="21"/>
          <w:lang w:val="zh-CN"/>
        </w:rPr>
        <w:t>（1）成交人减量化设备设施一般建设在污水处理厂污泥脱水车间或附近可利用空地，具体根据各处理点实际情况及污泥产生单位意见确定。</w:t>
      </w:r>
    </w:p>
    <w:p w14:paraId="55CD4F13">
      <w:pPr>
        <w:autoSpaceDE/>
        <w:autoSpaceDN/>
        <w:adjustRightInd/>
        <w:snapToGrid w:val="0"/>
        <w:spacing w:line="360" w:lineRule="auto"/>
        <w:ind w:firstLine="420" w:firstLineChars="200"/>
        <w:jc w:val="both"/>
        <w:outlineLvl w:val="9"/>
        <w:rPr>
          <w:rFonts w:hint="eastAsia" w:ascii="宋体" w:hAnsi="宋体" w:eastAsia="宋体" w:cs="宋体"/>
          <w:bCs/>
          <w:kern w:val="2"/>
          <w:sz w:val="21"/>
          <w:szCs w:val="21"/>
          <w:lang w:val="zh-CN"/>
        </w:rPr>
      </w:pPr>
      <w:r>
        <w:rPr>
          <w:rFonts w:hint="eastAsia" w:ascii="宋体" w:hAnsi="宋体" w:eastAsia="宋体" w:cs="宋体"/>
          <w:bCs/>
          <w:kern w:val="2"/>
          <w:sz w:val="21"/>
          <w:szCs w:val="21"/>
          <w:lang w:val="zh-CN"/>
        </w:rPr>
        <w:t>（2）减量化处理过程中产生的废水须回流至污水处理厂指定地方，不得直接外排。</w:t>
      </w:r>
    </w:p>
    <w:p w14:paraId="0B20C5A5">
      <w:pPr>
        <w:autoSpaceDE/>
        <w:autoSpaceDN/>
        <w:adjustRightInd/>
        <w:snapToGrid w:val="0"/>
        <w:spacing w:line="360" w:lineRule="auto"/>
        <w:ind w:firstLine="420" w:firstLineChars="200"/>
        <w:jc w:val="both"/>
        <w:outlineLvl w:val="9"/>
        <w:rPr>
          <w:rFonts w:hint="eastAsia" w:ascii="宋体" w:hAnsi="宋体" w:eastAsia="宋体" w:cs="宋体"/>
          <w:bCs/>
          <w:kern w:val="2"/>
          <w:sz w:val="21"/>
          <w:szCs w:val="21"/>
          <w:lang w:val="zh-CN"/>
        </w:rPr>
      </w:pPr>
      <w:r>
        <w:rPr>
          <w:rFonts w:hint="eastAsia" w:ascii="宋体" w:hAnsi="宋体" w:eastAsia="宋体" w:cs="宋体"/>
          <w:bCs/>
          <w:kern w:val="2"/>
          <w:sz w:val="21"/>
          <w:szCs w:val="21"/>
          <w:lang w:val="zh-CN"/>
        </w:rPr>
        <w:t>（3）</w:t>
      </w:r>
      <w:r>
        <w:rPr>
          <w:rFonts w:hint="eastAsia" w:ascii="宋体" w:hAnsi="宋体" w:eastAsia="宋体" w:cs="宋体"/>
          <w:bCs/>
          <w:kern w:val="2"/>
          <w:sz w:val="21"/>
          <w:szCs w:val="21"/>
          <w:lang w:val="zh-CN" w:eastAsia="zh-CN"/>
        </w:rPr>
        <w:t>供应商应确保</w:t>
      </w:r>
      <w:r>
        <w:rPr>
          <w:rFonts w:hint="eastAsia" w:ascii="宋体" w:hAnsi="宋体" w:eastAsia="宋体" w:cs="宋体"/>
          <w:bCs/>
          <w:kern w:val="2"/>
          <w:sz w:val="21"/>
          <w:szCs w:val="21"/>
          <w:lang w:val="zh-CN"/>
        </w:rPr>
        <w:t>减量处理项目产生的臭气、噪声不引起投诉。如出现相关投诉或</w:t>
      </w:r>
      <w:r>
        <w:rPr>
          <w:rFonts w:hint="eastAsia" w:ascii="宋体" w:hAnsi="宋体" w:eastAsia="宋体" w:cs="宋体"/>
          <w:bCs/>
          <w:kern w:val="2"/>
          <w:sz w:val="21"/>
          <w:szCs w:val="21"/>
          <w:lang w:val="zh-CN" w:eastAsia="zh-CN"/>
        </w:rPr>
        <w:t>被</w:t>
      </w:r>
      <w:r>
        <w:rPr>
          <w:rFonts w:hint="eastAsia" w:ascii="宋体" w:hAnsi="宋体" w:eastAsia="宋体" w:cs="宋体"/>
          <w:bCs/>
          <w:kern w:val="2"/>
          <w:sz w:val="21"/>
          <w:szCs w:val="21"/>
          <w:lang w:val="zh-CN"/>
        </w:rPr>
        <w:t>行政主管部门通知整改时，由成交人负责制定整改方案并限期完成整改工作，产生的相关费用由成交人自行承担。</w:t>
      </w:r>
    </w:p>
    <w:p w14:paraId="2DEA0D50">
      <w:pPr>
        <w:autoSpaceDE/>
        <w:autoSpaceDN/>
        <w:adjustRightInd/>
        <w:snapToGrid w:val="0"/>
        <w:spacing w:line="360" w:lineRule="auto"/>
        <w:ind w:firstLine="420" w:firstLineChars="200"/>
        <w:jc w:val="both"/>
        <w:outlineLvl w:val="9"/>
        <w:rPr>
          <w:rFonts w:hint="eastAsia" w:ascii="宋体" w:hAnsi="宋体" w:eastAsia="宋体" w:cs="宋体"/>
          <w:bCs/>
          <w:kern w:val="2"/>
          <w:sz w:val="21"/>
          <w:szCs w:val="21"/>
          <w:lang w:val="zh-CN"/>
        </w:rPr>
      </w:pPr>
      <w:r>
        <w:rPr>
          <w:rFonts w:hint="eastAsia" w:ascii="宋体" w:hAnsi="宋体" w:eastAsia="宋体" w:cs="宋体"/>
          <w:bCs/>
          <w:kern w:val="2"/>
          <w:sz w:val="21"/>
          <w:szCs w:val="21"/>
          <w:lang w:val="zh-CN"/>
        </w:rPr>
        <w:t>（4）在国家、广东省以及东莞市的相关环保标准调整时，项目执行的排放标准相应进行调整。</w:t>
      </w:r>
    </w:p>
    <w:p w14:paraId="5D6FD6E8">
      <w:pPr>
        <w:autoSpaceDE/>
        <w:autoSpaceDN/>
        <w:adjustRightInd/>
        <w:snapToGrid w:val="0"/>
        <w:spacing w:line="360" w:lineRule="auto"/>
        <w:ind w:firstLine="422" w:firstLineChars="200"/>
        <w:jc w:val="both"/>
        <w:outlineLvl w:val="9"/>
        <w:rPr>
          <w:rFonts w:hint="eastAsia" w:ascii="宋体" w:hAnsi="宋体" w:eastAsia="宋体" w:cs="宋体"/>
          <w:b/>
          <w:kern w:val="2"/>
          <w:sz w:val="21"/>
          <w:szCs w:val="21"/>
          <w:lang w:val="zh-CN"/>
        </w:rPr>
      </w:pPr>
      <w:r>
        <w:rPr>
          <w:rFonts w:hint="eastAsia" w:ascii="宋体" w:hAnsi="宋体" w:eastAsia="宋体" w:cs="宋体"/>
          <w:b/>
          <w:kern w:val="2"/>
          <w:sz w:val="21"/>
          <w:szCs w:val="21"/>
          <w:lang w:val="zh-CN"/>
        </w:rPr>
        <w:t>五、服务要求</w:t>
      </w:r>
    </w:p>
    <w:p w14:paraId="5EF50155">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在合同履行期间，本用户需求书所提及或采购人要求的相关法律、法规、规章、标准、规范等有修订、修正、更新，或被新的法律、法规、规章、标准、规范等取代，或在相关领域内有新的法律、法规、规章、标准、规范等出台，成交人应无条件按新的法律、法规、规章、标准、规范等执行。</w:t>
      </w:r>
    </w:p>
    <w:p w14:paraId="75AACD59">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1、项目服务要求</w:t>
      </w:r>
    </w:p>
    <w:p w14:paraId="785E2E13">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（1）成交人污泥减量化服务过程中的用水、用电、产生的废水处理费等产生的费用视污水处理厂要求支付，若污水处理厂要求支付，相应费用由成交人承担。</w:t>
      </w:r>
    </w:p>
    <w:p w14:paraId="774B2064">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（2）采购人按现状提供指定范围内的空地。项目用地的“三通一平”由成交人自主负责，若涉及总配电系统、供水管网、供气管网等设施设备改造或加装，所有费用亦由成交人承担，采购人予以配合。</w:t>
      </w:r>
    </w:p>
    <w:p w14:paraId="1013E736">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（3）成交人对各污水处理厂原有道路、绿化等造成损坏，需在采购人限期内恢复原状并承担一切费用。</w:t>
      </w:r>
    </w:p>
    <w:p w14:paraId="7F96FCE5">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（4）在服务期间，成交人需保证本项目设施的外立面简洁美观，设备外观整洁，无明显的破损及渗漏，周边环境整洁，无污泥、污水、泥饼等跑、冒、滴、漏的现象。</w:t>
      </w:r>
    </w:p>
    <w:p w14:paraId="55986C4B">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5）成交人完成项目前置或准备工作后，进入试运行需通知采购人，采购人将对设备设施或项目临时组建成果进行全面考核。成交人应积极配合采购人对项目建设费用、项目运营成本、设备运行效果、设备稳定性、环境影响进行评估。</w:t>
      </w:r>
    </w:p>
    <w:p w14:paraId="4F773CBF">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（6）由成交人负责半干化泥粉的外运装车工作，装车费用由成交人承担，成交人视现场情况考量是否配备铲车。</w:t>
      </w:r>
    </w:p>
    <w:p w14:paraId="6D5DFDAC">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7）脱水减量化设备设施布置在污水处理厂脱水车间附近，应充分做好沟通协调，降低对现有脱水车间运行影响。若需要调整现有脱水车间设备运行情况，应提交专项方案，由采购人和污泥产生单位审核同意后实施。</w:t>
      </w:r>
    </w:p>
    <w:p w14:paraId="30277EA5">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2、项目管理要求</w:t>
      </w:r>
    </w:p>
    <w:p w14:paraId="436160B0">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（1）成交人应严格执行《中华人民共和国安全生产法》、《企业安全生产标准化基本规范》（GB/T 33000-2016）等国家有关安全生产和劳动保护的规范和标准，并遵守采购人及污水处理厂的安全生产管理制度以及《安全生产管理协议》，建立完善的安全生产和劳动保护体系，制定与污泥安全处理有关的规章制度、污泥安全监督管理实施方案和突发事故等安全生产应急预防方案，并向采购人报备。成交人须在合同履行期间保证安全与卫生设施随项目主体同时投入使用，并制定相应的操作规程。</w:t>
      </w:r>
    </w:p>
    <w:p w14:paraId="22C26369">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2）如因成交人安全生产设备、措施、操作规程、环保设备设施、劳动保护条件等不符合规范要求或标准，导致安全生产事故/造成人身损害或财产损失的，由成交人自行承担全部责任和后果，如因此给采购人造成损失的，成交人承担全部赔偿责任。</w:t>
      </w:r>
    </w:p>
    <w:p w14:paraId="0EF993CE">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（3）合同期内，成交人的一切活动均须服从采购人的管理要求，接受采购人对本项目实施过程中的监督管理，采购人及其上级主管部门有权随时检查成交人的贮存和处理情况。</w:t>
      </w:r>
    </w:p>
    <w:p w14:paraId="1FE87099">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4）成交人应建立项目《生产台账》(具体格式由成交人自定)，《生产台账》内容应包括但不限于：如实记录日常运营中的污泥进料量、主要设备工艺及配套设备的运行参数、药剂使用量和进出场记录、能源使用量、污泥脱水产生量及含水率等。为便利采购人监管，成交人需及时向采购人提交项目《生产台账》并持续更新内容。</w:t>
      </w:r>
    </w:p>
    <w:p w14:paraId="15BFEF32">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（5）服务期内，成交人应对本项目所含各项设施设备进行日常养护、维修、更新改造或重置，以满足项目运营目标之需要，并承担相应费用。</w:t>
      </w:r>
    </w:p>
    <w:p w14:paraId="170B0C47">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6）成交人在各污水处理厂内的一切活动均须服从采购人的管理要求，成交人的所有工作人员须遵守采购人、污泥产生单位及相关污水处理厂的安全生产管理制度，未经采购人、污泥产生单位同意，不能进入与运营无关的区域，不得影响采购人、污泥产生单位的办公、生产、生活等。成交人管理人员、车辆、机械等进出采购人、污泥产生单位相关污水处理厂须服从采购人的管理规定，并佩戴成交人的工作牌，对不服从管理的人员，采购人有权拒绝其进入。</w:t>
      </w:r>
    </w:p>
    <w:p w14:paraId="4ED431E9">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7）如是可预见性的计划外停产，成交人应提前书面通知采购人并经采购人同意。如是不可预见性的任何计划外停产时，成交人应立即通知采购人并采取有效的补救措施，且须在停产后的2日内向采购人提交书面的情况说明。</w:t>
      </w:r>
    </w:p>
    <w:p w14:paraId="1ACAD427">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（8）成交人自行负责合同履行期间管理人员食宿等的办公生活保障。</w:t>
      </w:r>
    </w:p>
    <w:p w14:paraId="64EAEDB1">
      <w:pPr>
        <w:autoSpaceDE/>
        <w:autoSpaceDN/>
        <w:adjustRightInd/>
        <w:snapToGrid w:val="0"/>
        <w:spacing w:line="360" w:lineRule="auto"/>
        <w:ind w:firstLine="413" w:firstLineChars="196"/>
        <w:jc w:val="both"/>
        <w:outlineLvl w:val="9"/>
        <w:rPr>
          <w:rFonts w:hint="eastAsia" w:ascii="宋体" w:hAnsi="宋体" w:eastAsia="宋体" w:cs="宋体"/>
          <w:b/>
          <w:kern w:val="2"/>
          <w:sz w:val="21"/>
          <w:szCs w:val="21"/>
          <w:lang w:val="zh-CN"/>
        </w:rPr>
      </w:pPr>
      <w:r>
        <w:rPr>
          <w:rFonts w:hint="eastAsia" w:ascii="宋体" w:hAnsi="宋体" w:eastAsia="宋体" w:cs="宋体"/>
          <w:b/>
          <w:kern w:val="2"/>
          <w:sz w:val="21"/>
          <w:szCs w:val="21"/>
          <w:lang w:val="zh-CN"/>
        </w:rPr>
        <w:t>六、付费机制</w:t>
      </w:r>
    </w:p>
    <w:p w14:paraId="257E5024">
      <w:pPr>
        <w:autoSpaceDE/>
        <w:autoSpaceDN/>
        <w:adjustRightInd/>
        <w:snapToGrid w:val="0"/>
        <w:spacing w:line="360" w:lineRule="auto"/>
        <w:ind w:firstLine="424" w:firstLineChars="202"/>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1、合同的履约过程中，成交人根据合同约定需向采购人支付违约金、赔偿金、或其他应付费用等款项的，成交人必须向采购人支付完相关款项后，采购人才根据合同向成交人支付服务费。若因成交人未能支付前述费用，影响项目实施的，采购人有权直接从履约担保或未付服务费中直接扣除，且成交人必须按照扣除前述费用前的</w:t>
      </w:r>
      <w:r>
        <w:rPr>
          <w:rFonts w:hint="eastAsia" w:ascii="宋体" w:hAnsi="宋体" w:eastAsia="宋体" w:cs="宋体"/>
          <w:kern w:val="2"/>
          <w:sz w:val="21"/>
          <w:szCs w:val="21"/>
          <w:lang w:val="zh-CN" w:eastAsia="zh-CN"/>
        </w:rPr>
        <w:t>污泥</w:t>
      </w:r>
      <w:r>
        <w:rPr>
          <w:rFonts w:hint="eastAsia" w:ascii="宋体" w:hAnsi="宋体" w:eastAsia="宋体" w:cs="宋体"/>
          <w:kern w:val="2"/>
          <w:sz w:val="21"/>
          <w:szCs w:val="21"/>
          <w:lang w:val="zh-CN"/>
        </w:rPr>
        <w:t>脱水减量处理费</w:t>
      </w:r>
      <w:r>
        <w:rPr>
          <w:rFonts w:hint="eastAsia" w:ascii="宋体" w:hAnsi="宋体" w:eastAsia="宋体" w:cs="宋体"/>
          <w:kern w:val="2"/>
          <w:sz w:val="21"/>
          <w:szCs w:val="21"/>
          <w:lang w:val="zh-CN" w:eastAsia="zh-CN"/>
        </w:rPr>
        <w:t>（销售额）</w:t>
      </w:r>
      <w:r>
        <w:rPr>
          <w:rFonts w:hint="eastAsia" w:ascii="宋体" w:hAnsi="宋体" w:eastAsia="宋体" w:cs="宋体"/>
          <w:kern w:val="2"/>
          <w:sz w:val="21"/>
          <w:szCs w:val="21"/>
          <w:lang w:val="zh-CN"/>
        </w:rPr>
        <w:t>开具等额、合法、有效的增值税专用发票。</w:t>
      </w:r>
    </w:p>
    <w:p w14:paraId="0B643750">
      <w:pPr>
        <w:autoSpaceDE/>
        <w:autoSpaceDN/>
        <w:adjustRightInd/>
        <w:snapToGrid w:val="0"/>
        <w:spacing w:line="360" w:lineRule="auto"/>
        <w:ind w:firstLine="424" w:firstLineChars="202"/>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2、支付方式：</w:t>
      </w:r>
    </w:p>
    <w:p w14:paraId="2886CEE2">
      <w:pPr>
        <w:autoSpaceDE/>
        <w:autoSpaceDN/>
        <w:adjustRightInd/>
        <w:snapToGrid w:val="0"/>
        <w:spacing w:line="360" w:lineRule="auto"/>
        <w:ind w:firstLine="424" w:firstLineChars="202"/>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1）采购人通过银行承兑汇票或商业承兑汇票方式向成交人支付半干化泥粉脱水减量处理费。成交人应每月15日前，向采购人提交以下文件及单据等有效的请款凭证（所有资料需加盖成交人公章），申请支付上月污泥脱水减量处理费，采购人收到请款凭证后在45个工作日内完成核实工作，核实后向成交人支付请款金额的50%，采用银行承兑汇票或商业承兑汇票的方式支付，付款期限不超过3个月。</w:t>
      </w:r>
    </w:p>
    <w:p w14:paraId="4CB80D90">
      <w:pPr>
        <w:autoSpaceDE/>
        <w:autoSpaceDN/>
        <w:adjustRightInd/>
        <w:snapToGrid w:val="0"/>
        <w:spacing w:line="360" w:lineRule="auto"/>
        <w:ind w:firstLine="424" w:firstLineChars="202"/>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A.请款报告；</w:t>
      </w:r>
    </w:p>
    <w:p w14:paraId="798DF53E">
      <w:pPr>
        <w:autoSpaceDE/>
        <w:autoSpaceDN/>
        <w:adjustRightInd/>
        <w:snapToGrid w:val="0"/>
        <w:spacing w:line="360" w:lineRule="auto"/>
        <w:ind w:firstLine="424" w:firstLineChars="202"/>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B.请款月份污泥脱水减量处理费100%的足额、合法、有效的增值税专用发票；</w:t>
      </w:r>
    </w:p>
    <w:p w14:paraId="50B7A438">
      <w:pPr>
        <w:autoSpaceDE/>
        <w:autoSpaceDN/>
        <w:adjustRightInd/>
        <w:snapToGrid w:val="0"/>
        <w:spacing w:line="360" w:lineRule="auto"/>
        <w:ind w:firstLine="424" w:firstLineChars="202"/>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C.《结算台账》。</w:t>
      </w:r>
    </w:p>
    <w:p w14:paraId="55593A00">
      <w:pPr>
        <w:autoSpaceDE/>
        <w:autoSpaceDN/>
        <w:adjustRightInd/>
        <w:snapToGrid w:val="0"/>
        <w:spacing w:line="360" w:lineRule="auto"/>
        <w:ind w:firstLine="424" w:firstLineChars="202"/>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（2）在前述第（1）项款项支付后三个月内，</w:t>
      </w:r>
      <w:r>
        <w:rPr>
          <w:rFonts w:hint="eastAsia" w:ascii="宋体" w:hAnsi="宋体" w:eastAsia="宋体" w:cs="宋体"/>
          <w:kern w:val="2"/>
          <w:sz w:val="21"/>
          <w:szCs w:val="21"/>
          <w:lang w:val="zh-CN" w:eastAsia="zh-CN"/>
        </w:rPr>
        <w:t>且采购人</w:t>
      </w:r>
      <w:r>
        <w:rPr>
          <w:rFonts w:hint="eastAsia" w:ascii="宋体" w:hAnsi="宋体" w:eastAsia="宋体" w:cs="宋体"/>
          <w:kern w:val="2"/>
          <w:sz w:val="21"/>
          <w:szCs w:val="21"/>
          <w:lang w:val="zh-CN"/>
        </w:rPr>
        <w:t>扣除成交人根据合同约定需向采购人支付的违约金、赔偿金、或其他应付费用等款项后，通过银行转账或汇款方式向成交人支付剩余款项。</w:t>
      </w:r>
    </w:p>
    <w:p w14:paraId="2B304E02">
      <w:pPr>
        <w:tabs>
          <w:tab w:val="left" w:pos="142"/>
        </w:tabs>
        <w:autoSpaceDE/>
        <w:autoSpaceDN/>
        <w:adjustRightInd/>
        <w:snapToGrid w:val="0"/>
        <w:spacing w:line="360" w:lineRule="auto"/>
        <w:ind w:firstLine="422" w:firstLineChars="200"/>
        <w:jc w:val="both"/>
        <w:outlineLvl w:val="9"/>
        <w:rPr>
          <w:rFonts w:hint="eastAsia" w:ascii="宋体" w:hAnsi="宋体" w:eastAsia="宋体" w:cs="宋体"/>
          <w:b/>
          <w:bCs/>
          <w:kern w:val="2"/>
          <w:sz w:val="21"/>
          <w:szCs w:val="21"/>
          <w:lang w:val="zh-CN"/>
        </w:rPr>
      </w:pPr>
      <w:r>
        <w:rPr>
          <w:rFonts w:hint="eastAsia" w:ascii="宋体" w:hAnsi="宋体" w:eastAsia="宋体" w:cs="宋体"/>
          <w:b/>
          <w:bCs/>
          <w:kern w:val="2"/>
          <w:sz w:val="21"/>
          <w:szCs w:val="21"/>
          <w:lang w:val="zh-CN"/>
        </w:rPr>
        <w:t>七、服务期满后</w:t>
      </w:r>
    </w:p>
    <w:p w14:paraId="6A06A606">
      <w:pPr>
        <w:widowControl/>
        <w:autoSpaceDE/>
        <w:autoSpaceDN/>
        <w:adjustRightInd/>
        <w:snapToGrid w:val="0"/>
        <w:spacing w:line="360" w:lineRule="auto"/>
        <w:ind w:firstLine="424" w:firstLineChars="202"/>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w:t>
      </w:r>
      <w:r>
        <w:rPr>
          <w:rFonts w:hint="eastAsia" w:ascii="宋体" w:hAnsi="宋体" w:eastAsia="宋体" w:cs="宋体"/>
          <w:b/>
          <w:bCs/>
          <w:kern w:val="2"/>
          <w:sz w:val="21"/>
          <w:szCs w:val="21"/>
          <w:u w:val="single"/>
          <w:lang w:val="zh-CN"/>
        </w:rPr>
        <w:t>除非双方另有合同约定，成交人在以下情况应自行拆除本项目服务期间新建的设备设施，并恢复本项目场地的原状：（1）服务期内，发生风险特别约定情况，采购人要求成交人无条件提前终止服务并发出撤场通知之日起30日内；（2）服务期内，</w:t>
      </w:r>
      <w:r>
        <w:rPr>
          <w:rFonts w:hint="eastAsia" w:ascii="宋体" w:hAnsi="宋体" w:eastAsia="宋体" w:cs="宋体"/>
          <w:b/>
          <w:bCs/>
          <w:kern w:val="2"/>
          <w:sz w:val="21"/>
          <w:szCs w:val="21"/>
          <w:u w:val="single"/>
          <w:lang w:val="zh-CN" w:eastAsia="zh-CN"/>
        </w:rPr>
        <w:t>因成交人存在违约行为等，采购人根据合同约定要求</w:t>
      </w:r>
      <w:r>
        <w:rPr>
          <w:rFonts w:hint="eastAsia" w:ascii="宋体" w:hAnsi="宋体" w:eastAsia="宋体" w:cs="宋体"/>
          <w:b/>
          <w:bCs/>
          <w:kern w:val="2"/>
          <w:sz w:val="21"/>
          <w:szCs w:val="21"/>
          <w:u w:val="single"/>
          <w:lang w:val="zh-CN"/>
        </w:rPr>
        <w:t>成交人提前终止服务并发出撤场通知之日起30日内；（3）服务期届满后30日内。以上所导致的因拆除设备设施及场地复原产生的相应费用由成交人承担，在本项目的拆除过程中和拆除之后，采购人无须向成交人支付任何补偿或移交费用</w:t>
      </w:r>
      <w:r>
        <w:rPr>
          <w:rFonts w:hint="eastAsia" w:ascii="宋体" w:hAnsi="宋体" w:eastAsia="宋体" w:cs="宋体"/>
          <w:b/>
          <w:bCs/>
          <w:kern w:val="2"/>
          <w:sz w:val="21"/>
          <w:szCs w:val="21"/>
          <w:lang w:val="zh-CN"/>
        </w:rPr>
        <w:t>。</w:t>
      </w:r>
    </w:p>
    <w:p w14:paraId="0097B0CD">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0" w:firstLineChars="0"/>
        <w:textAlignment w:val="auto"/>
        <w:rPr>
          <w:rFonts w:hint="eastAsia" w:ascii="宋体" w:hAnsi="宋体" w:eastAsia="宋体" w:cs="宋体"/>
          <w:color w:val="auto"/>
          <w:sz w:val="21"/>
          <w:szCs w:val="21"/>
          <w:highlight w:val="none"/>
          <w:lang w:val="zh-CN"/>
        </w:rPr>
      </w:pPr>
    </w:p>
    <w:p w14:paraId="442338CE">
      <w:pPr>
        <w:bidi w:val="0"/>
        <w:rPr>
          <w:rFonts w:hint="eastAsia"/>
          <w:color w:val="auto"/>
          <w:highlight w:val="none"/>
          <w:lang w:val="zh-CN" w:eastAsia="zh-CN"/>
        </w:rPr>
      </w:pPr>
    </w:p>
    <w:bookmarkEnd w:id="185"/>
    <w:bookmarkEnd w:id="186"/>
    <w:bookmarkEnd w:id="187"/>
    <w:p w14:paraId="62D81E71">
      <w:pPr>
        <w:pageBreakBefore w:val="0"/>
        <w:tabs>
          <w:tab w:val="left" w:pos="621"/>
        </w:tabs>
        <w:kinsoku/>
        <w:wordWrap/>
        <w:overflowPunct/>
        <w:topLinePunct w:val="0"/>
        <w:bidi w:val="0"/>
        <w:snapToGrid/>
        <w:spacing w:line="360" w:lineRule="auto"/>
        <w:rPr>
          <w:rFonts w:hint="eastAsia" w:ascii="宋体" w:hAnsi="宋体" w:eastAsia="宋体" w:cs="宋体"/>
          <w:color w:val="auto"/>
          <w:sz w:val="21"/>
          <w:szCs w:val="21"/>
          <w:highlight w:val="none"/>
          <w:lang w:val="zh-CN"/>
        </w:rPr>
      </w:pPr>
    </w:p>
    <w:bookmarkEnd w:id="188"/>
    <w:bookmarkEnd w:id="189"/>
    <w:bookmarkEnd w:id="190"/>
    <w:bookmarkEnd w:id="191"/>
    <w:bookmarkEnd w:id="192"/>
    <w:bookmarkEnd w:id="193"/>
    <w:p w14:paraId="71356B32">
      <w:pPr>
        <w:pageBreakBefore/>
        <w:tabs>
          <w:tab w:val="left" w:pos="1080"/>
        </w:tabs>
        <w:autoSpaceDE w:val="0"/>
        <w:autoSpaceDN w:val="0"/>
        <w:adjustRightInd w:val="0"/>
        <w:spacing w:line="360" w:lineRule="auto"/>
        <w:ind w:left="327" w:leftChars="-100" w:hanging="567"/>
        <w:jc w:val="center"/>
        <w:outlineLvl w:val="0"/>
        <w:rPr>
          <w:rFonts w:hint="eastAsia" w:ascii="宋体" w:hAnsi="宋体" w:eastAsia="宋体" w:cs="宋体"/>
          <w:b/>
          <w:bCs/>
          <w:kern w:val="44"/>
          <w:sz w:val="32"/>
          <w:szCs w:val="32"/>
          <w:lang w:val="zh-CN"/>
        </w:rPr>
      </w:pPr>
      <w:bookmarkStart w:id="200" w:name="_Toc31357"/>
      <w:bookmarkStart w:id="201" w:name="_Toc450662892"/>
      <w:bookmarkStart w:id="202" w:name="_Toc16287"/>
      <w:bookmarkStart w:id="203" w:name="_Toc20401"/>
      <w:bookmarkStart w:id="204" w:name="_Toc11281_WPSOffice_Level1"/>
      <w:bookmarkStart w:id="205" w:name="_Toc28077"/>
      <w:bookmarkStart w:id="206" w:name="_Toc486167707"/>
      <w:bookmarkStart w:id="207" w:name="_Toc142508359"/>
      <w:bookmarkStart w:id="208" w:name="_Toc25251"/>
      <w:bookmarkStart w:id="209" w:name="_Toc3093"/>
      <w:bookmarkStart w:id="210" w:name="_Toc29174"/>
      <w:bookmarkStart w:id="211" w:name="_Toc20774"/>
      <w:bookmarkStart w:id="212" w:name="_Toc521918113"/>
      <w:bookmarkStart w:id="213" w:name="_Toc450662895"/>
      <w:r>
        <w:rPr>
          <w:rFonts w:hint="eastAsia" w:ascii="宋体" w:hAnsi="宋体" w:eastAsia="宋体" w:cs="宋体"/>
          <w:b/>
          <w:bCs/>
          <w:kern w:val="44"/>
          <w:sz w:val="32"/>
          <w:szCs w:val="32"/>
          <w:lang w:val="zh-CN"/>
        </w:rPr>
        <w:t>第四篇 合同条款格式</w:t>
      </w:r>
      <w:bookmarkEnd w:id="200"/>
      <w:bookmarkEnd w:id="201"/>
      <w:bookmarkEnd w:id="202"/>
      <w:bookmarkEnd w:id="203"/>
      <w:bookmarkEnd w:id="204"/>
      <w:bookmarkEnd w:id="205"/>
      <w:bookmarkEnd w:id="206"/>
      <w:bookmarkEnd w:id="207"/>
      <w:bookmarkEnd w:id="208"/>
    </w:p>
    <w:p w14:paraId="6C7E185A">
      <w:pPr>
        <w:autoSpaceDE w:val="0"/>
        <w:autoSpaceDN w:val="0"/>
        <w:adjustRightInd w:val="0"/>
        <w:snapToGrid w:val="0"/>
        <w:spacing w:line="360" w:lineRule="auto"/>
        <w:jc w:val="center"/>
        <w:rPr>
          <w:rFonts w:hint="eastAsia" w:ascii="宋体" w:hAnsi="宋体" w:eastAsia="宋体" w:cs="宋体"/>
          <w:kern w:val="0"/>
          <w:sz w:val="24"/>
          <w:szCs w:val="24"/>
        </w:rPr>
      </w:pPr>
    </w:p>
    <w:p w14:paraId="1E085B74">
      <w:pPr>
        <w:autoSpaceDE w:val="0"/>
        <w:autoSpaceDN w:val="0"/>
        <w:adjustRightInd w:val="0"/>
        <w:snapToGrid w:val="0"/>
        <w:spacing w:line="360" w:lineRule="auto"/>
        <w:jc w:val="center"/>
        <w:rPr>
          <w:rFonts w:hint="eastAsia" w:ascii="宋体" w:hAnsi="宋体" w:eastAsia="宋体" w:cs="宋体"/>
          <w:kern w:val="0"/>
          <w:sz w:val="24"/>
          <w:szCs w:val="24"/>
        </w:rPr>
      </w:pPr>
    </w:p>
    <w:p w14:paraId="064C7572">
      <w:pPr>
        <w:autoSpaceDE w:val="0"/>
        <w:autoSpaceDN w:val="0"/>
        <w:adjustRightInd w:val="0"/>
        <w:snapToGrid w:val="0"/>
        <w:spacing w:line="360" w:lineRule="auto"/>
        <w:jc w:val="center"/>
        <w:outlineLvl w:val="9"/>
        <w:rPr>
          <w:rFonts w:hint="eastAsia" w:ascii="宋体" w:hAnsi="宋体" w:eastAsia="宋体" w:cs="宋体"/>
          <w:kern w:val="0"/>
          <w:sz w:val="24"/>
          <w:szCs w:val="24"/>
        </w:rPr>
      </w:pPr>
    </w:p>
    <w:p w14:paraId="7C5C1A63">
      <w:pPr>
        <w:autoSpaceDE w:val="0"/>
        <w:autoSpaceDN w:val="0"/>
        <w:adjustRightInd w:val="0"/>
        <w:spacing w:line="360" w:lineRule="auto"/>
        <w:jc w:val="center"/>
        <w:outlineLvl w:val="9"/>
        <w:rPr>
          <w:rFonts w:hint="eastAsia" w:ascii="宋体" w:hAnsi="宋体" w:eastAsia="宋体" w:cs="宋体"/>
          <w:b/>
          <w:kern w:val="0"/>
          <w:sz w:val="44"/>
          <w:szCs w:val="44"/>
          <w:lang w:eastAsia="zh-CN"/>
        </w:rPr>
      </w:pPr>
      <w:r>
        <w:rPr>
          <w:rFonts w:hint="eastAsia" w:ascii="宋体" w:hAnsi="宋体" w:cs="宋体"/>
          <w:b/>
          <w:kern w:val="0"/>
          <w:sz w:val="44"/>
          <w:szCs w:val="44"/>
          <w:lang w:eastAsia="zh-CN"/>
        </w:rPr>
        <w:t>东莞市众源环境投资有限公司污水处理厂污泥脱水减量处理服务（BOT权属滨海湾片区）采购项目</w:t>
      </w:r>
    </w:p>
    <w:p w14:paraId="443F74AB">
      <w:pPr>
        <w:autoSpaceDE w:val="0"/>
        <w:autoSpaceDN w:val="0"/>
        <w:adjustRightInd w:val="0"/>
        <w:spacing w:line="360" w:lineRule="auto"/>
        <w:jc w:val="center"/>
        <w:outlineLvl w:val="9"/>
        <w:rPr>
          <w:rFonts w:hint="eastAsia" w:ascii="宋体" w:hAnsi="宋体" w:eastAsia="宋体" w:cs="宋体"/>
          <w:bCs/>
          <w:kern w:val="0"/>
          <w:sz w:val="52"/>
          <w:szCs w:val="52"/>
        </w:rPr>
      </w:pPr>
    </w:p>
    <w:p w14:paraId="36236C49">
      <w:pPr>
        <w:pStyle w:val="2"/>
        <w:rPr>
          <w:rFonts w:hint="eastAsia"/>
          <w:sz w:val="44"/>
          <w:szCs w:val="44"/>
        </w:rPr>
      </w:pPr>
    </w:p>
    <w:p w14:paraId="537FCDC7">
      <w:pPr>
        <w:autoSpaceDE w:val="0"/>
        <w:autoSpaceDN w:val="0"/>
        <w:adjustRightInd w:val="0"/>
        <w:spacing w:before="840" w:beforeLines="350" w:after="360" w:afterLines="150" w:line="360" w:lineRule="auto"/>
        <w:jc w:val="center"/>
        <w:outlineLvl w:val="9"/>
        <w:rPr>
          <w:rFonts w:hint="eastAsia" w:ascii="宋体" w:hAnsi="宋体" w:eastAsia="宋体" w:cs="宋体"/>
          <w:b/>
          <w:bCs/>
          <w:spacing w:val="60"/>
          <w:kern w:val="0"/>
          <w:sz w:val="52"/>
          <w:szCs w:val="52"/>
        </w:rPr>
      </w:pPr>
      <w:r>
        <w:rPr>
          <w:rFonts w:hint="eastAsia" w:ascii="宋体" w:hAnsi="宋体" w:eastAsia="宋体" w:cs="宋体"/>
          <w:b/>
          <w:bCs/>
          <w:spacing w:val="60"/>
          <w:kern w:val="0"/>
          <w:sz w:val="52"/>
          <w:szCs w:val="52"/>
        </w:rPr>
        <w:t>采购合同</w:t>
      </w:r>
    </w:p>
    <w:p w14:paraId="0380F177">
      <w:pPr>
        <w:autoSpaceDE w:val="0"/>
        <w:autoSpaceDN w:val="0"/>
        <w:adjustRightInd w:val="0"/>
        <w:spacing w:line="360" w:lineRule="auto"/>
        <w:jc w:val="center"/>
        <w:outlineLvl w:val="9"/>
        <w:rPr>
          <w:rFonts w:hint="eastAsia" w:ascii="宋体" w:hAnsi="宋体" w:eastAsia="宋体" w:cs="宋体"/>
          <w:b/>
          <w:bCs/>
          <w:kern w:val="0"/>
          <w:sz w:val="24"/>
          <w:szCs w:val="21"/>
        </w:rPr>
      </w:pPr>
      <w:r>
        <w:rPr>
          <w:rFonts w:hint="eastAsia" w:ascii="宋体" w:hAnsi="宋体" w:eastAsia="宋体" w:cs="宋体"/>
          <w:b/>
          <w:bCs/>
          <w:kern w:val="0"/>
          <w:sz w:val="24"/>
          <w:szCs w:val="21"/>
        </w:rPr>
        <w:t>（合同编号：       ）</w:t>
      </w:r>
    </w:p>
    <w:p w14:paraId="21F5D2DE">
      <w:pPr>
        <w:autoSpaceDE w:val="0"/>
        <w:autoSpaceDN w:val="0"/>
        <w:adjustRightInd w:val="0"/>
        <w:spacing w:line="360" w:lineRule="auto"/>
        <w:jc w:val="left"/>
        <w:outlineLvl w:val="9"/>
        <w:rPr>
          <w:rFonts w:hint="eastAsia" w:ascii="宋体" w:hAnsi="宋体" w:eastAsia="宋体" w:cs="宋体"/>
          <w:b/>
          <w:bCs/>
          <w:kern w:val="0"/>
          <w:sz w:val="24"/>
          <w:szCs w:val="21"/>
        </w:rPr>
      </w:pPr>
    </w:p>
    <w:p w14:paraId="17936B38">
      <w:pPr>
        <w:autoSpaceDE w:val="0"/>
        <w:autoSpaceDN w:val="0"/>
        <w:adjustRightInd w:val="0"/>
        <w:spacing w:line="360" w:lineRule="auto"/>
        <w:jc w:val="left"/>
        <w:outlineLvl w:val="9"/>
        <w:rPr>
          <w:rFonts w:hint="eastAsia" w:ascii="宋体" w:hAnsi="宋体" w:eastAsia="宋体" w:cs="宋体"/>
          <w:b/>
          <w:bCs/>
          <w:kern w:val="0"/>
          <w:sz w:val="24"/>
          <w:szCs w:val="21"/>
        </w:rPr>
      </w:pPr>
    </w:p>
    <w:p w14:paraId="5343B362">
      <w:pPr>
        <w:pStyle w:val="2"/>
        <w:jc w:val="both"/>
        <w:rPr>
          <w:rFonts w:hint="eastAsia"/>
        </w:rPr>
      </w:pPr>
    </w:p>
    <w:p w14:paraId="2C40AAE9">
      <w:pPr>
        <w:autoSpaceDE w:val="0"/>
        <w:autoSpaceDN w:val="0"/>
        <w:adjustRightInd w:val="0"/>
        <w:spacing w:line="360" w:lineRule="auto"/>
        <w:jc w:val="left"/>
        <w:outlineLvl w:val="9"/>
        <w:rPr>
          <w:rFonts w:hint="eastAsia" w:ascii="宋体" w:hAnsi="宋体" w:eastAsia="宋体" w:cs="宋体"/>
          <w:b/>
          <w:bCs/>
          <w:kern w:val="0"/>
          <w:sz w:val="24"/>
          <w:szCs w:val="21"/>
        </w:rPr>
      </w:pPr>
    </w:p>
    <w:p w14:paraId="5636CF1F">
      <w:pPr>
        <w:autoSpaceDE w:val="0"/>
        <w:autoSpaceDN w:val="0"/>
        <w:adjustRightInd w:val="0"/>
        <w:spacing w:line="480" w:lineRule="auto"/>
        <w:ind w:firstLine="1102" w:firstLineChars="392"/>
        <w:jc w:val="left"/>
        <w:outlineLvl w:val="9"/>
        <w:rPr>
          <w:rFonts w:hint="eastAsia" w:ascii="宋体" w:hAnsi="宋体" w:eastAsia="宋体" w:cs="宋体"/>
          <w:b/>
          <w:bCs/>
          <w:kern w:val="0"/>
          <w:sz w:val="28"/>
          <w:szCs w:val="28"/>
        </w:rPr>
      </w:pPr>
      <w:r>
        <w:rPr>
          <w:rFonts w:hint="eastAsia" w:ascii="宋体" w:hAnsi="宋体" w:eastAsia="宋体" w:cs="宋体"/>
          <w:b/>
          <w:bCs/>
          <w:kern w:val="0"/>
          <w:sz w:val="28"/>
          <w:szCs w:val="28"/>
        </w:rPr>
        <w:t>甲方：</w:t>
      </w:r>
      <w:r>
        <w:rPr>
          <w:rFonts w:hint="eastAsia" w:ascii="宋体" w:hAnsi="宋体" w:eastAsia="宋体" w:cs="宋体"/>
          <w:b/>
          <w:bCs/>
          <w:kern w:val="0"/>
          <w:sz w:val="28"/>
          <w:szCs w:val="28"/>
          <w:u w:val="single"/>
        </w:rPr>
        <w:t xml:space="preserve">东莞市众源环境投资有限公司 </w:t>
      </w:r>
      <w:r>
        <w:rPr>
          <w:rFonts w:hint="eastAsia" w:ascii="宋体" w:hAnsi="宋体" w:eastAsia="宋体" w:cs="宋体"/>
          <w:b/>
          <w:bCs/>
          <w:kern w:val="0"/>
          <w:sz w:val="28"/>
          <w:szCs w:val="28"/>
        </w:rPr>
        <w:t xml:space="preserve"> </w:t>
      </w:r>
    </w:p>
    <w:p w14:paraId="212CA9DB">
      <w:pPr>
        <w:autoSpaceDE w:val="0"/>
        <w:autoSpaceDN w:val="0"/>
        <w:adjustRightInd w:val="0"/>
        <w:spacing w:line="480" w:lineRule="auto"/>
        <w:ind w:firstLine="1102" w:firstLineChars="392"/>
        <w:jc w:val="left"/>
        <w:outlineLvl w:val="9"/>
        <w:rPr>
          <w:rFonts w:hint="eastAsia" w:ascii="宋体" w:hAnsi="宋体" w:eastAsia="宋体" w:cs="宋体"/>
          <w:b/>
          <w:bCs/>
          <w:kern w:val="0"/>
          <w:sz w:val="28"/>
          <w:szCs w:val="28"/>
          <w:u w:val="single"/>
        </w:rPr>
      </w:pPr>
      <w:r>
        <w:rPr>
          <w:rFonts w:hint="eastAsia" w:ascii="宋体" w:hAnsi="宋体" w:eastAsia="宋体" w:cs="宋体"/>
          <w:b/>
          <w:bCs/>
          <w:kern w:val="0"/>
          <w:sz w:val="28"/>
          <w:szCs w:val="28"/>
        </w:rPr>
        <w:t>乙方：</w:t>
      </w:r>
      <w:r>
        <w:rPr>
          <w:rFonts w:hint="eastAsia" w:ascii="宋体" w:hAnsi="宋体" w:eastAsia="宋体" w:cs="宋体"/>
          <w:b/>
          <w:bCs/>
          <w:kern w:val="0"/>
          <w:sz w:val="28"/>
          <w:szCs w:val="28"/>
          <w:u w:val="single"/>
        </w:rPr>
        <w:t xml:space="preserve">                          </w:t>
      </w:r>
    </w:p>
    <w:p w14:paraId="2F1C97B5">
      <w:pPr>
        <w:autoSpaceDE w:val="0"/>
        <w:autoSpaceDN w:val="0"/>
        <w:adjustRightInd w:val="0"/>
        <w:spacing w:line="360" w:lineRule="auto"/>
        <w:ind w:firstLine="1102" w:firstLineChars="392"/>
        <w:jc w:val="left"/>
        <w:outlineLvl w:val="9"/>
        <w:rPr>
          <w:rFonts w:hint="eastAsia" w:ascii="宋体" w:hAnsi="宋体" w:eastAsia="宋体" w:cs="宋体"/>
          <w:b/>
          <w:bCs/>
          <w:kern w:val="0"/>
          <w:sz w:val="28"/>
          <w:szCs w:val="28"/>
        </w:rPr>
      </w:pPr>
    </w:p>
    <w:p w14:paraId="61FECE71">
      <w:pPr>
        <w:autoSpaceDE w:val="0"/>
        <w:autoSpaceDN w:val="0"/>
        <w:adjustRightInd w:val="0"/>
        <w:spacing w:line="360" w:lineRule="auto"/>
        <w:ind w:firstLine="1102" w:firstLineChars="392"/>
        <w:jc w:val="left"/>
        <w:outlineLvl w:val="9"/>
        <w:rPr>
          <w:rFonts w:hint="eastAsia" w:ascii="宋体" w:hAnsi="宋体" w:eastAsia="宋体" w:cs="宋体"/>
          <w:b/>
          <w:bCs/>
          <w:kern w:val="0"/>
          <w:sz w:val="28"/>
          <w:szCs w:val="28"/>
        </w:rPr>
      </w:pPr>
      <w:r>
        <w:rPr>
          <w:rFonts w:hint="eastAsia" w:ascii="宋体" w:hAnsi="宋体" w:eastAsia="宋体" w:cs="宋体"/>
          <w:b/>
          <w:bCs/>
          <w:kern w:val="0"/>
          <w:sz w:val="28"/>
          <w:szCs w:val="28"/>
        </w:rPr>
        <w:t>签订日期：   年   月   日</w:t>
      </w:r>
    </w:p>
    <w:p w14:paraId="5D284FAF">
      <w:pPr>
        <w:snapToGrid w:val="0"/>
        <w:spacing w:line="360" w:lineRule="auto"/>
        <w:outlineLvl w:val="9"/>
        <w:rPr>
          <w:rFonts w:hint="eastAsia" w:ascii="宋体" w:hAnsi="宋体" w:eastAsia="宋体" w:cs="宋体"/>
          <w:b/>
          <w:bCs/>
          <w:sz w:val="21"/>
          <w:szCs w:val="21"/>
        </w:rPr>
      </w:pPr>
    </w:p>
    <w:p w14:paraId="6B087F83">
      <w:pPr>
        <w:snapToGrid w:val="0"/>
        <w:spacing w:line="360" w:lineRule="auto"/>
        <w:outlineLvl w:val="9"/>
        <w:rPr>
          <w:rFonts w:hint="eastAsia" w:ascii="宋体" w:hAnsi="宋体" w:eastAsia="宋体" w:cs="宋体"/>
          <w:b/>
          <w:bCs/>
          <w:sz w:val="21"/>
          <w:szCs w:val="21"/>
        </w:rPr>
      </w:pPr>
      <w:r>
        <w:rPr>
          <w:rFonts w:hint="eastAsia" w:ascii="宋体" w:hAnsi="宋体" w:eastAsia="宋体" w:cs="宋体"/>
          <w:b/>
          <w:bCs/>
          <w:sz w:val="21"/>
          <w:szCs w:val="21"/>
        </w:rPr>
        <w:t xml:space="preserve">委托方（甲方）：东莞市众源环境投资有限公司 </w:t>
      </w:r>
    </w:p>
    <w:p w14:paraId="5EF2CD29">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 xml:space="preserve">统一社会信用代码： </w:t>
      </w:r>
    </w:p>
    <w:p w14:paraId="340ECE61">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住所：</w:t>
      </w:r>
    </w:p>
    <w:p w14:paraId="639B62F8">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法定代表人：</w:t>
      </w:r>
    </w:p>
    <w:p w14:paraId="251CD73F">
      <w:pPr>
        <w:widowControl/>
        <w:snapToGrid w:val="0"/>
        <w:spacing w:line="360" w:lineRule="auto"/>
        <w:outlineLvl w:val="9"/>
        <w:rPr>
          <w:rFonts w:hint="eastAsia" w:ascii="宋体" w:hAnsi="宋体" w:eastAsia="宋体" w:cs="宋体"/>
          <w:b/>
          <w:bCs/>
          <w:sz w:val="21"/>
          <w:szCs w:val="21"/>
        </w:rPr>
      </w:pPr>
    </w:p>
    <w:p w14:paraId="5F707214">
      <w:pPr>
        <w:widowControl/>
        <w:snapToGrid w:val="0"/>
        <w:spacing w:line="360" w:lineRule="auto"/>
        <w:outlineLvl w:val="9"/>
        <w:rPr>
          <w:rFonts w:hint="eastAsia" w:ascii="宋体" w:hAnsi="宋体" w:eastAsia="宋体" w:cs="宋体"/>
          <w:sz w:val="21"/>
          <w:szCs w:val="21"/>
        </w:rPr>
      </w:pPr>
      <w:r>
        <w:rPr>
          <w:rFonts w:hint="eastAsia" w:ascii="宋体" w:hAnsi="宋体" w:eastAsia="宋体" w:cs="宋体"/>
          <w:b/>
          <w:bCs/>
          <w:sz w:val="21"/>
          <w:szCs w:val="21"/>
        </w:rPr>
        <w:t xml:space="preserve">受托方（乙方）： </w:t>
      </w:r>
    </w:p>
    <w:p w14:paraId="4BC3FBCF">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 xml:space="preserve">统一社会信用代码： </w:t>
      </w:r>
    </w:p>
    <w:p w14:paraId="62021436">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 xml:space="preserve">住所： </w:t>
      </w:r>
    </w:p>
    <w:p w14:paraId="425B130D">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 xml:space="preserve">法定代表人： </w:t>
      </w:r>
    </w:p>
    <w:p w14:paraId="49D5CFA5">
      <w:pPr>
        <w:widowControl/>
        <w:snapToGrid w:val="0"/>
        <w:spacing w:line="360" w:lineRule="auto"/>
        <w:ind w:firstLine="420" w:firstLineChars="200"/>
        <w:outlineLvl w:val="9"/>
        <w:rPr>
          <w:rFonts w:hint="eastAsia" w:ascii="宋体" w:hAnsi="宋体" w:eastAsia="宋体" w:cs="宋体"/>
          <w:sz w:val="21"/>
          <w:szCs w:val="21"/>
        </w:rPr>
      </w:pPr>
    </w:p>
    <w:p w14:paraId="1A6762EE">
      <w:pPr>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基于甲方通过</w:t>
      </w:r>
      <w:r>
        <w:rPr>
          <w:rFonts w:hint="eastAsia" w:ascii="宋体" w:hAnsi="宋体" w:eastAsia="宋体" w:cs="宋体"/>
          <w:sz w:val="21"/>
          <w:szCs w:val="21"/>
          <w:lang w:val="en-US" w:eastAsia="zh-CN"/>
        </w:rPr>
        <w:t>竞争性磋商</w:t>
      </w:r>
      <w:r>
        <w:rPr>
          <w:rFonts w:hint="eastAsia" w:ascii="宋体" w:hAnsi="宋体" w:eastAsia="宋体" w:cs="宋体"/>
          <w:sz w:val="21"/>
          <w:szCs w:val="21"/>
        </w:rPr>
        <w:t>方式确定乙方为东莞市众源环境投资有限公司污水处理厂污泥脱水减量处理服务（</w:t>
      </w:r>
      <w:r>
        <w:rPr>
          <w:rFonts w:hint="eastAsia" w:ascii="宋体" w:hAnsi="宋体" w:eastAsia="宋体" w:cs="宋体"/>
          <w:sz w:val="21"/>
          <w:szCs w:val="21"/>
          <w:lang w:eastAsia="zh-CN"/>
        </w:rPr>
        <w:t>BOT权属</w:t>
      </w:r>
      <w:r>
        <w:rPr>
          <w:rFonts w:hint="eastAsia" w:ascii="宋体" w:hAnsi="宋体" w:cs="宋体"/>
          <w:sz w:val="21"/>
          <w:szCs w:val="21"/>
          <w:lang w:val="en-US" w:eastAsia="zh-CN"/>
        </w:rPr>
        <w:t>滨海湾</w:t>
      </w:r>
      <w:r>
        <w:rPr>
          <w:rFonts w:hint="eastAsia" w:ascii="宋体" w:hAnsi="宋体" w:eastAsia="宋体" w:cs="宋体"/>
          <w:sz w:val="21"/>
          <w:szCs w:val="21"/>
        </w:rPr>
        <w:t>片区）</w:t>
      </w:r>
      <w:r>
        <w:rPr>
          <w:rFonts w:hint="eastAsia" w:ascii="宋体" w:hAnsi="宋体" w:eastAsia="宋体" w:cs="宋体"/>
          <w:sz w:val="21"/>
          <w:szCs w:val="21"/>
          <w:u w:val="single"/>
        </w:rPr>
        <w:t xml:space="preserve">     </w:t>
      </w:r>
      <w:r>
        <w:rPr>
          <w:rFonts w:hint="eastAsia" w:ascii="宋体" w:hAnsi="宋体" w:eastAsia="宋体" w:cs="宋体"/>
          <w:sz w:val="21"/>
          <w:szCs w:val="21"/>
          <w:lang w:eastAsia="zh-CN"/>
        </w:rPr>
        <w:t>包组</w:t>
      </w:r>
      <w:r>
        <w:rPr>
          <w:rFonts w:hint="eastAsia" w:ascii="宋体" w:hAnsi="宋体" w:eastAsia="宋体" w:cs="宋体"/>
          <w:sz w:val="21"/>
          <w:szCs w:val="21"/>
        </w:rPr>
        <w:t>的</w:t>
      </w:r>
      <w:r>
        <w:rPr>
          <w:rFonts w:hint="eastAsia" w:ascii="宋体" w:hAnsi="宋体" w:eastAsia="宋体" w:cs="宋体"/>
          <w:sz w:val="21"/>
          <w:szCs w:val="21"/>
          <w:lang w:val="en-US" w:eastAsia="zh-CN"/>
        </w:rPr>
        <w:t>成交</w:t>
      </w:r>
      <w:r>
        <w:rPr>
          <w:rFonts w:hint="eastAsia" w:ascii="宋体" w:hAnsi="宋体" w:eastAsia="宋体" w:cs="宋体"/>
          <w:sz w:val="21"/>
          <w:szCs w:val="21"/>
        </w:rPr>
        <w:t>单位，就委托乙方实施的</w:t>
      </w:r>
      <w:r>
        <w:rPr>
          <w:rFonts w:hint="eastAsia" w:ascii="宋体" w:hAnsi="宋体" w:eastAsia="宋体" w:cs="宋体"/>
          <w:sz w:val="21"/>
          <w:szCs w:val="21"/>
          <w:lang w:eastAsia="zh-CN"/>
        </w:rPr>
        <w:t>BOT权属</w:t>
      </w:r>
      <w:r>
        <w:rPr>
          <w:rFonts w:hint="eastAsia" w:ascii="宋体" w:hAnsi="宋体" w:cs="宋体"/>
          <w:sz w:val="21"/>
          <w:szCs w:val="21"/>
          <w:lang w:val="en-US" w:eastAsia="zh-CN"/>
        </w:rPr>
        <w:t>滨海湾</w:t>
      </w:r>
      <w:r>
        <w:rPr>
          <w:rFonts w:hint="eastAsia" w:ascii="宋体" w:hAnsi="宋体" w:eastAsia="宋体" w:cs="宋体"/>
          <w:sz w:val="21"/>
          <w:szCs w:val="21"/>
        </w:rPr>
        <w:t>片区</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污水处理厂污泥厂内脱水减量化处理服务，甲乙双方本着诚实守信、平等互利的原则，经平等协商，订立本合同。 </w:t>
      </w:r>
    </w:p>
    <w:p w14:paraId="0C135AFB">
      <w:pPr>
        <w:widowControl/>
        <w:snapToGrid w:val="0"/>
        <w:spacing w:line="360" w:lineRule="auto"/>
        <w:outlineLvl w:val="9"/>
        <w:rPr>
          <w:rFonts w:hint="eastAsia" w:ascii="宋体" w:hAnsi="宋体" w:eastAsia="宋体" w:cs="宋体"/>
          <w:b/>
          <w:bCs/>
          <w:sz w:val="21"/>
          <w:szCs w:val="21"/>
        </w:rPr>
      </w:pPr>
    </w:p>
    <w:p w14:paraId="6753751F">
      <w:pPr>
        <w:snapToGrid w:val="0"/>
        <w:spacing w:line="360" w:lineRule="auto"/>
        <w:ind w:firstLine="413" w:firstLineChars="196"/>
        <w:outlineLvl w:val="9"/>
        <w:rPr>
          <w:rFonts w:hint="eastAsia" w:ascii="宋体" w:hAnsi="宋体" w:eastAsia="宋体" w:cs="宋体"/>
          <w:b/>
          <w:sz w:val="21"/>
          <w:szCs w:val="21"/>
        </w:rPr>
      </w:pPr>
      <w:r>
        <w:rPr>
          <w:rFonts w:hint="eastAsia" w:ascii="宋体" w:hAnsi="宋体" w:eastAsia="宋体" w:cs="宋体"/>
          <w:b/>
          <w:sz w:val="21"/>
          <w:szCs w:val="21"/>
        </w:rPr>
        <w:t>第一条 合同范围、服务内容及风险的特别约定</w:t>
      </w:r>
    </w:p>
    <w:p w14:paraId="5E7C52B2">
      <w:pPr>
        <w:tabs>
          <w:tab w:val="left" w:pos="0"/>
        </w:tabs>
        <w:snapToGrid w:val="0"/>
        <w:spacing w:line="360" w:lineRule="auto"/>
        <w:ind w:right="-34" w:firstLine="420" w:firstLineChars="200"/>
        <w:outlineLvl w:val="9"/>
        <w:rPr>
          <w:rFonts w:hint="eastAsia" w:ascii="宋体" w:hAnsi="宋体" w:eastAsia="宋体" w:cs="宋体"/>
          <w:sz w:val="21"/>
          <w:szCs w:val="21"/>
        </w:rPr>
      </w:pPr>
      <w:r>
        <w:rPr>
          <w:rFonts w:hint="eastAsia" w:ascii="宋体" w:hAnsi="宋体" w:eastAsia="宋体" w:cs="宋体"/>
          <w:sz w:val="21"/>
          <w:szCs w:val="21"/>
        </w:rPr>
        <w:t>1、乙方负责在</w:t>
      </w:r>
      <w:r>
        <w:rPr>
          <w:rFonts w:hint="eastAsia" w:ascii="宋体" w:hAnsi="宋体" w:eastAsia="宋体" w:cs="宋体"/>
          <w:sz w:val="21"/>
          <w:szCs w:val="21"/>
          <w:u w:val="single"/>
        </w:rPr>
        <w:t xml:space="preserve">           污水处理厂</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lang w:val="en-US" w:eastAsia="zh-CN"/>
        </w:rPr>
        <w:t xml:space="preserve">  吨/天</w:t>
      </w:r>
      <w:r>
        <w:rPr>
          <w:rFonts w:hint="eastAsia" w:ascii="宋体" w:hAnsi="宋体" w:eastAsia="宋体" w:cs="宋体"/>
          <w:sz w:val="21"/>
          <w:szCs w:val="21"/>
          <w:u w:val="single"/>
          <w:lang w:eastAsia="zh-CN"/>
        </w:rPr>
        <w:t>）</w:t>
      </w:r>
      <w:r>
        <w:rPr>
          <w:rFonts w:hint="eastAsia" w:ascii="宋体" w:hAnsi="宋体" w:eastAsia="宋体" w:cs="宋体"/>
          <w:sz w:val="21"/>
          <w:szCs w:val="21"/>
        </w:rPr>
        <w:t>安装污泥脱水减量化处理设施，根据甲方书面正式通知，按照甲方通知的时间运营已安装的污泥脱水减量化处理设施开展脱水减量化处理服务，主要将从污水厂储泥池或沉淀池抽取的污泥脱水减量至含水率不高于55%的半干化</w:t>
      </w:r>
      <w:r>
        <w:rPr>
          <w:rFonts w:hint="eastAsia" w:ascii="宋体" w:hAnsi="宋体" w:eastAsia="宋体" w:cs="宋体"/>
          <w:sz w:val="21"/>
          <w:szCs w:val="21"/>
          <w:lang w:val="en-US" w:eastAsia="zh-CN"/>
        </w:rPr>
        <w:t>泥粉</w:t>
      </w:r>
      <w:r>
        <w:rPr>
          <w:rFonts w:hint="eastAsia" w:ascii="宋体" w:hAnsi="宋体" w:eastAsia="宋体" w:cs="宋体"/>
          <w:sz w:val="21"/>
          <w:szCs w:val="21"/>
        </w:rPr>
        <w:t>。</w:t>
      </w:r>
    </w:p>
    <w:p w14:paraId="4AC9A4D6">
      <w:pPr>
        <w:tabs>
          <w:tab w:val="left" w:pos="0"/>
        </w:tabs>
        <w:snapToGrid w:val="0"/>
        <w:spacing w:line="360" w:lineRule="auto"/>
        <w:ind w:right="-34" w:firstLine="422" w:firstLineChars="200"/>
        <w:outlineLvl w:val="9"/>
        <w:rPr>
          <w:rFonts w:hint="eastAsia" w:ascii="宋体" w:hAnsi="宋体" w:eastAsia="宋体" w:cs="宋体"/>
          <w:sz w:val="21"/>
          <w:szCs w:val="21"/>
        </w:rPr>
      </w:pPr>
      <w:r>
        <w:rPr>
          <w:rFonts w:hint="eastAsia" w:ascii="宋体" w:hAnsi="宋体" w:eastAsia="宋体" w:cs="宋体"/>
          <w:b/>
          <w:bCs/>
          <w:sz w:val="21"/>
          <w:szCs w:val="21"/>
          <w:u w:val="single"/>
          <w:lang w:val="en-US" w:eastAsia="zh-CN"/>
        </w:rPr>
        <w:t>本包组内</w:t>
      </w:r>
      <w:r>
        <w:rPr>
          <w:rFonts w:hint="eastAsia" w:ascii="宋体" w:hAnsi="宋体" w:eastAsia="宋体" w:cs="宋体"/>
          <w:b/>
          <w:bCs/>
          <w:sz w:val="21"/>
          <w:szCs w:val="21"/>
          <w:u w:val="single"/>
        </w:rPr>
        <w:t>单项污水处理厂污泥脱水减量化处理项目服务期内，经甲乙双方协商一致同意，乙方投入该项目的设备设施可转移至其他服务地点实施污泥脱水减量化处理</w:t>
      </w:r>
      <w:r>
        <w:rPr>
          <w:rFonts w:hint="eastAsia" w:ascii="宋体" w:hAnsi="宋体" w:eastAsia="宋体" w:cs="宋体"/>
          <w:sz w:val="21"/>
          <w:szCs w:val="21"/>
        </w:rPr>
        <w:t>。</w:t>
      </w:r>
    </w:p>
    <w:p w14:paraId="30D0176F">
      <w:pPr>
        <w:tabs>
          <w:tab w:val="left" w:pos="0"/>
        </w:tabs>
        <w:snapToGrid w:val="0"/>
        <w:spacing w:line="360" w:lineRule="auto"/>
        <w:ind w:right="-34" w:firstLine="420" w:firstLineChars="200"/>
        <w:outlineLvl w:val="9"/>
        <w:rPr>
          <w:rFonts w:hint="eastAsia" w:ascii="宋体" w:hAnsi="宋体" w:eastAsia="宋体" w:cs="宋体"/>
          <w:sz w:val="21"/>
          <w:szCs w:val="21"/>
        </w:rPr>
      </w:pPr>
      <w:r>
        <w:rPr>
          <w:rFonts w:hint="eastAsia" w:ascii="宋体" w:hAnsi="宋体" w:eastAsia="宋体" w:cs="宋体"/>
          <w:sz w:val="21"/>
          <w:szCs w:val="21"/>
        </w:rPr>
        <w:t>2、关于风险的特别约定。</w:t>
      </w:r>
    </w:p>
    <w:p w14:paraId="148C852D">
      <w:pPr>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本合同以及订立合同过程中甲方提供的</w:t>
      </w:r>
      <w:r>
        <w:rPr>
          <w:rFonts w:hint="eastAsia" w:ascii="宋体" w:hAnsi="宋体" w:eastAsia="宋体" w:cs="宋体"/>
          <w:sz w:val="21"/>
          <w:szCs w:val="21"/>
          <w:lang w:val="en-US" w:eastAsia="zh-CN"/>
        </w:rPr>
        <w:t>竞争性磋商</w:t>
      </w:r>
      <w:r>
        <w:rPr>
          <w:rFonts w:hint="eastAsia" w:ascii="宋体" w:hAnsi="宋体" w:eastAsia="宋体" w:cs="宋体"/>
          <w:sz w:val="21"/>
          <w:szCs w:val="21"/>
        </w:rPr>
        <w:t>文件内介绍的污水处理厂污泥减量化处理规模仅为便于乙方了解项目情况使用，不作为甲方最终委托实施脱水减量化处理量的保证。</w:t>
      </w:r>
    </w:p>
    <w:p w14:paraId="0BA85674">
      <w:pPr>
        <w:snapToGrid w:val="0"/>
        <w:spacing w:line="360" w:lineRule="auto"/>
        <w:ind w:firstLine="422" w:firstLineChars="200"/>
        <w:outlineLvl w:val="9"/>
        <w:rPr>
          <w:rFonts w:hint="eastAsia" w:ascii="宋体" w:hAnsi="宋体" w:eastAsia="宋体" w:cs="宋体"/>
          <w:sz w:val="21"/>
          <w:szCs w:val="21"/>
        </w:rPr>
      </w:pPr>
      <w:r>
        <w:rPr>
          <w:rFonts w:hint="eastAsia" w:ascii="宋体" w:hAnsi="宋体" w:eastAsia="宋体" w:cs="宋体"/>
          <w:b/>
          <w:bCs/>
          <w:sz w:val="21"/>
          <w:szCs w:val="21"/>
          <w:u w:val="single"/>
        </w:rPr>
        <w:t>乙方清楚理解</w:t>
      </w:r>
      <w:r>
        <w:rPr>
          <w:rFonts w:hint="eastAsia" w:ascii="宋体" w:hAnsi="宋体" w:eastAsia="宋体" w:cs="宋体"/>
          <w:b/>
          <w:bCs/>
          <w:sz w:val="21"/>
          <w:szCs w:val="21"/>
          <w:u w:val="single"/>
          <w:lang w:val="en-US" w:eastAsia="zh-CN"/>
        </w:rPr>
        <w:t>并同意接受</w:t>
      </w:r>
      <w:r>
        <w:rPr>
          <w:rFonts w:hint="eastAsia" w:ascii="宋体" w:hAnsi="宋体" w:eastAsia="宋体" w:cs="宋体"/>
          <w:b/>
          <w:bCs/>
          <w:sz w:val="21"/>
          <w:szCs w:val="21"/>
          <w:u w:val="single"/>
        </w:rPr>
        <w:t>本项目具有很大的不确定性</w:t>
      </w:r>
      <w:r>
        <w:rPr>
          <w:rFonts w:hint="eastAsia" w:ascii="宋体" w:hAnsi="宋体" w:eastAsia="宋体" w:cs="宋体"/>
          <w:b/>
          <w:bCs/>
          <w:sz w:val="21"/>
          <w:szCs w:val="21"/>
          <w:u w:val="single"/>
          <w:lang w:eastAsia="zh-CN"/>
        </w:rPr>
        <w:t>，</w:t>
      </w:r>
      <w:r>
        <w:rPr>
          <w:rFonts w:hint="eastAsia" w:ascii="宋体" w:hAnsi="宋体" w:eastAsia="宋体" w:cs="宋体"/>
          <w:b/>
          <w:bCs/>
          <w:sz w:val="21"/>
          <w:szCs w:val="21"/>
          <w:u w:val="single"/>
          <w:lang w:val="en-US" w:eastAsia="zh-CN"/>
        </w:rPr>
        <w:t>存在</w:t>
      </w:r>
      <w:r>
        <w:rPr>
          <w:rFonts w:hint="eastAsia" w:ascii="宋体" w:hAnsi="宋体" w:eastAsia="宋体" w:cs="宋体"/>
          <w:b/>
          <w:bCs/>
          <w:sz w:val="21"/>
          <w:szCs w:val="21"/>
          <w:u w:val="single"/>
        </w:rPr>
        <w:t>包括但不限于以下不确定性因素</w:t>
      </w:r>
      <w:r>
        <w:rPr>
          <w:rFonts w:hint="eastAsia" w:ascii="宋体" w:hAnsi="宋体" w:eastAsia="宋体" w:cs="宋体"/>
          <w:b/>
          <w:bCs/>
          <w:sz w:val="21"/>
          <w:szCs w:val="21"/>
          <w:u w:val="single"/>
          <w:lang w:eastAsia="zh-CN"/>
        </w:rPr>
        <w:t>：</w:t>
      </w:r>
      <w:r>
        <w:rPr>
          <w:rFonts w:hint="eastAsia" w:ascii="宋体" w:hAnsi="宋体" w:eastAsia="宋体" w:cs="宋体"/>
          <w:b/>
          <w:bCs/>
          <w:sz w:val="21"/>
          <w:szCs w:val="21"/>
          <w:u w:val="single"/>
          <w:lang w:val="en-US" w:eastAsia="zh-CN"/>
        </w:rPr>
        <w:t>甲方的BOT污水处理厂污泥处理处置服务合同因政策变化等原因的调整而</w:t>
      </w:r>
      <w:r>
        <w:rPr>
          <w:rFonts w:hint="eastAsia" w:ascii="宋体" w:hAnsi="宋体" w:eastAsia="宋体" w:cs="宋体"/>
          <w:b/>
          <w:bCs/>
          <w:sz w:val="21"/>
          <w:szCs w:val="21"/>
          <w:u w:val="single"/>
        </w:rPr>
        <w:t>导致</w:t>
      </w:r>
      <w:r>
        <w:rPr>
          <w:rFonts w:hint="eastAsia" w:ascii="宋体" w:hAnsi="宋体" w:eastAsia="宋体" w:cs="宋体"/>
          <w:b/>
          <w:bCs/>
          <w:sz w:val="21"/>
          <w:szCs w:val="21"/>
          <w:u w:val="single"/>
          <w:lang w:val="en-US" w:eastAsia="zh-CN"/>
        </w:rPr>
        <w:t>需提前解除本合同</w:t>
      </w:r>
      <w:r>
        <w:rPr>
          <w:rFonts w:hint="eastAsia" w:ascii="宋体" w:hAnsi="宋体" w:eastAsia="宋体" w:cs="宋体"/>
          <w:b/>
          <w:bCs/>
          <w:sz w:val="21"/>
          <w:szCs w:val="21"/>
          <w:u w:val="single"/>
          <w:lang w:eastAsia="zh-CN"/>
        </w:rPr>
        <w:t>、</w:t>
      </w:r>
      <w:r>
        <w:rPr>
          <w:rFonts w:hint="eastAsia" w:ascii="宋体" w:hAnsi="宋体" w:eastAsia="宋体" w:cs="宋体"/>
          <w:b/>
          <w:bCs/>
          <w:sz w:val="21"/>
          <w:szCs w:val="21"/>
          <w:u w:val="single"/>
          <w:lang w:val="en-US" w:eastAsia="zh-CN"/>
        </w:rPr>
        <w:t>因甲方（或污水处理厂）自行建设并运营污泥脱水减量化处理设施而导致需提前解除本合同、因乙方的设施不达标或超标或用电用地的原因导致</w:t>
      </w:r>
      <w:r>
        <w:rPr>
          <w:rFonts w:hint="eastAsia" w:ascii="宋体" w:hAnsi="宋体" w:eastAsia="宋体" w:cs="宋体"/>
          <w:b/>
          <w:bCs/>
          <w:sz w:val="21"/>
          <w:szCs w:val="21"/>
          <w:u w:val="single"/>
        </w:rPr>
        <w:t>污水处理厂不接受</w:t>
      </w:r>
      <w:r>
        <w:rPr>
          <w:rFonts w:hint="eastAsia" w:ascii="宋体" w:hAnsi="宋体" w:eastAsia="宋体" w:cs="宋体"/>
          <w:b/>
          <w:bCs/>
          <w:sz w:val="21"/>
          <w:szCs w:val="21"/>
          <w:u w:val="single"/>
          <w:lang w:val="en-US" w:eastAsia="zh-CN"/>
        </w:rPr>
        <w:t>乙方</w:t>
      </w:r>
      <w:r>
        <w:rPr>
          <w:rFonts w:hint="eastAsia" w:ascii="宋体" w:hAnsi="宋体" w:eastAsia="宋体" w:cs="宋体"/>
          <w:b/>
          <w:bCs/>
          <w:sz w:val="21"/>
          <w:szCs w:val="21"/>
          <w:u w:val="single"/>
        </w:rPr>
        <w:t>安装污泥脱水减量化处理设施</w:t>
      </w:r>
      <w:r>
        <w:rPr>
          <w:rFonts w:hint="eastAsia" w:ascii="宋体" w:hAnsi="宋体" w:eastAsia="宋体" w:cs="宋体"/>
          <w:b/>
          <w:bCs/>
          <w:sz w:val="21"/>
          <w:szCs w:val="21"/>
          <w:u w:val="single"/>
          <w:lang w:eastAsia="zh-CN"/>
        </w:rPr>
        <w:t>、</w:t>
      </w:r>
      <w:r>
        <w:rPr>
          <w:rFonts w:hint="eastAsia" w:ascii="宋体" w:hAnsi="宋体" w:eastAsia="宋体" w:cs="宋体"/>
          <w:b/>
          <w:bCs/>
          <w:sz w:val="21"/>
          <w:szCs w:val="21"/>
          <w:u w:val="single"/>
        </w:rPr>
        <w:t>污水处理厂不具备安装</w:t>
      </w:r>
      <w:r>
        <w:rPr>
          <w:rFonts w:hint="eastAsia" w:ascii="宋体" w:hAnsi="宋体" w:eastAsia="宋体" w:cs="宋体"/>
          <w:b/>
          <w:bCs/>
          <w:sz w:val="21"/>
          <w:szCs w:val="21"/>
          <w:u w:val="single"/>
          <w:lang w:val="en-US" w:eastAsia="zh-CN"/>
        </w:rPr>
        <w:t>乙方的</w:t>
      </w:r>
      <w:r>
        <w:rPr>
          <w:rFonts w:hint="eastAsia" w:ascii="宋体" w:hAnsi="宋体" w:eastAsia="宋体" w:cs="宋体"/>
          <w:b/>
          <w:bCs/>
          <w:sz w:val="21"/>
          <w:szCs w:val="21"/>
          <w:u w:val="single"/>
        </w:rPr>
        <w:t>污泥脱水减量化处理设施条件、</w:t>
      </w:r>
      <w:r>
        <w:rPr>
          <w:rFonts w:hint="eastAsia" w:ascii="宋体" w:hAnsi="宋体" w:cs="宋体"/>
          <w:b/>
          <w:bCs/>
          <w:sz w:val="21"/>
          <w:szCs w:val="21"/>
          <w:u w:val="single"/>
          <w:lang w:val="en-US" w:eastAsia="zh-CN"/>
        </w:rPr>
        <w:t>原服务单位协商不顺利未拆除现有设备导致乙方无法进场安装污泥脱水减量化处理设施、</w:t>
      </w:r>
      <w:r>
        <w:rPr>
          <w:rFonts w:hint="eastAsia" w:ascii="宋体" w:hAnsi="宋体" w:eastAsia="宋体" w:cs="宋体"/>
          <w:b/>
          <w:bCs/>
          <w:sz w:val="21"/>
          <w:szCs w:val="21"/>
          <w:u w:val="single"/>
          <w:lang w:val="en-US" w:eastAsia="zh-CN"/>
        </w:rPr>
        <w:t>因污水处理厂用地手续不完善等问题被相关行政主管部门叫停而导致需提前解除本合同、</w:t>
      </w:r>
      <w:r>
        <w:rPr>
          <w:rFonts w:hint="eastAsia" w:ascii="宋体" w:hAnsi="宋体" w:eastAsia="宋体" w:cs="宋体"/>
          <w:b/>
          <w:bCs/>
          <w:sz w:val="21"/>
          <w:szCs w:val="21"/>
          <w:u w:val="single"/>
        </w:rPr>
        <w:t>提供给</w:t>
      </w:r>
      <w:r>
        <w:rPr>
          <w:rFonts w:hint="eastAsia" w:ascii="宋体" w:hAnsi="宋体" w:eastAsia="宋体" w:cs="宋体"/>
          <w:b/>
          <w:bCs/>
          <w:sz w:val="21"/>
          <w:szCs w:val="21"/>
          <w:u w:val="single"/>
          <w:lang w:val="en-US" w:eastAsia="zh-CN"/>
        </w:rPr>
        <w:t>乙方</w:t>
      </w:r>
      <w:r>
        <w:rPr>
          <w:rFonts w:hint="eastAsia" w:ascii="宋体" w:hAnsi="宋体" w:eastAsia="宋体" w:cs="宋体"/>
          <w:b/>
          <w:bCs/>
          <w:sz w:val="21"/>
          <w:szCs w:val="21"/>
          <w:u w:val="single"/>
        </w:rPr>
        <w:t>脱水减量化处理的泥量严重不符、</w:t>
      </w:r>
      <w:r>
        <w:rPr>
          <w:rFonts w:hint="eastAsia" w:ascii="宋体" w:hAnsi="宋体" w:eastAsia="宋体" w:cs="宋体"/>
          <w:b/>
          <w:bCs/>
          <w:sz w:val="21"/>
          <w:szCs w:val="21"/>
          <w:u w:val="single"/>
          <w:lang w:val="en-US" w:eastAsia="zh-CN"/>
        </w:rPr>
        <w:t>污泥脱水减量化含水率的变化、或因东莞市污泥集中处理处置特许经营项目建设运营情况而导致提前解除本合同</w:t>
      </w:r>
      <w:r>
        <w:rPr>
          <w:rFonts w:hint="eastAsia" w:ascii="宋体" w:hAnsi="宋体" w:eastAsia="宋体" w:cs="宋体"/>
          <w:b/>
          <w:bCs/>
          <w:sz w:val="21"/>
          <w:szCs w:val="21"/>
          <w:u w:val="single"/>
        </w:rPr>
        <w:t>等，因前述原因或同类因素导致已委托给</w:t>
      </w:r>
      <w:r>
        <w:rPr>
          <w:rFonts w:hint="eastAsia" w:ascii="宋体" w:hAnsi="宋体" w:eastAsia="宋体" w:cs="宋体"/>
          <w:b/>
          <w:bCs/>
          <w:sz w:val="21"/>
          <w:szCs w:val="21"/>
          <w:u w:val="single"/>
          <w:lang w:val="en-US" w:eastAsia="zh-CN"/>
        </w:rPr>
        <w:t>乙方</w:t>
      </w:r>
      <w:r>
        <w:rPr>
          <w:rFonts w:hint="eastAsia" w:ascii="宋体" w:hAnsi="宋体" w:eastAsia="宋体" w:cs="宋体"/>
          <w:b/>
          <w:bCs/>
          <w:sz w:val="21"/>
          <w:szCs w:val="21"/>
          <w:u w:val="single"/>
        </w:rPr>
        <w:t>的项目无法实施或已安装了污泥脱水处理设施后项目取消的，</w:t>
      </w:r>
      <w:r>
        <w:rPr>
          <w:rFonts w:hint="eastAsia" w:ascii="宋体" w:hAnsi="宋体" w:eastAsia="宋体" w:cs="宋体"/>
          <w:b/>
          <w:bCs/>
          <w:sz w:val="21"/>
          <w:szCs w:val="21"/>
          <w:u w:val="single"/>
          <w:lang w:val="en-US" w:eastAsia="zh-CN"/>
        </w:rPr>
        <w:t>乙方</w:t>
      </w:r>
      <w:r>
        <w:rPr>
          <w:rFonts w:hint="eastAsia" w:ascii="宋体" w:hAnsi="宋体" w:eastAsia="宋体" w:cs="宋体"/>
          <w:b/>
          <w:bCs/>
          <w:sz w:val="21"/>
          <w:szCs w:val="21"/>
          <w:u w:val="single"/>
        </w:rPr>
        <w:t>同意放弃向</w:t>
      </w:r>
      <w:r>
        <w:rPr>
          <w:rFonts w:hint="eastAsia" w:ascii="宋体" w:hAnsi="宋体" w:eastAsia="宋体" w:cs="宋体"/>
          <w:b/>
          <w:bCs/>
          <w:sz w:val="21"/>
          <w:szCs w:val="21"/>
          <w:u w:val="single"/>
          <w:lang w:val="en-US" w:eastAsia="zh-CN"/>
        </w:rPr>
        <w:t>甲方</w:t>
      </w:r>
      <w:r>
        <w:rPr>
          <w:rFonts w:hint="eastAsia" w:ascii="宋体" w:hAnsi="宋体" w:eastAsia="宋体" w:cs="宋体"/>
          <w:b/>
          <w:bCs/>
          <w:sz w:val="21"/>
          <w:szCs w:val="21"/>
          <w:u w:val="single"/>
        </w:rPr>
        <w:t>追讨任何费用或主张任何权利和责任</w:t>
      </w:r>
      <w:r>
        <w:rPr>
          <w:rFonts w:hint="eastAsia" w:ascii="宋体" w:hAnsi="宋体" w:eastAsia="宋体" w:cs="宋体"/>
          <w:sz w:val="21"/>
          <w:szCs w:val="21"/>
        </w:rPr>
        <w:t>。</w:t>
      </w:r>
    </w:p>
    <w:p w14:paraId="5675CFF6">
      <w:pPr>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乙方与甲方签订本合同，即视为清楚了解和接受本项目的风险，并同意自行承担前述风险，乙方同意并承诺不因前述风险事项的发生而向甲方追究违约责任或主张损失赔偿。</w:t>
      </w:r>
    </w:p>
    <w:p w14:paraId="256092DD">
      <w:pPr>
        <w:snapToGrid w:val="0"/>
        <w:spacing w:line="360" w:lineRule="auto"/>
        <w:ind w:firstLine="413" w:firstLineChars="196"/>
        <w:outlineLvl w:val="9"/>
        <w:rPr>
          <w:rFonts w:hint="eastAsia" w:ascii="宋体" w:hAnsi="宋体" w:eastAsia="宋体" w:cs="宋体"/>
          <w:b/>
          <w:sz w:val="21"/>
          <w:szCs w:val="21"/>
        </w:rPr>
      </w:pPr>
      <w:r>
        <w:rPr>
          <w:rFonts w:hint="eastAsia" w:ascii="宋体" w:hAnsi="宋体" w:eastAsia="宋体" w:cs="宋体"/>
          <w:b/>
          <w:sz w:val="21"/>
          <w:szCs w:val="21"/>
        </w:rPr>
        <w:t>第二条 服务期限、处理服务费用</w:t>
      </w:r>
    </w:p>
    <w:p w14:paraId="3FC9C96B">
      <w:pPr>
        <w:tabs>
          <w:tab w:val="left" w:pos="0"/>
        </w:tabs>
        <w:snapToGrid w:val="0"/>
        <w:spacing w:line="360" w:lineRule="auto"/>
        <w:ind w:right="-34" w:firstLine="420" w:firstLineChars="200"/>
        <w:outlineLvl w:val="9"/>
        <w:rPr>
          <w:rFonts w:hint="eastAsia" w:ascii="宋体" w:hAnsi="宋体" w:eastAsia="宋体" w:cs="宋体"/>
          <w:sz w:val="21"/>
          <w:szCs w:val="21"/>
        </w:rPr>
      </w:pPr>
      <w:r>
        <w:rPr>
          <w:rFonts w:hint="eastAsia" w:ascii="宋体" w:hAnsi="宋体" w:eastAsia="宋体" w:cs="宋体"/>
          <w:sz w:val="21"/>
          <w:szCs w:val="21"/>
        </w:rPr>
        <w:t>1、服务期限：</w:t>
      </w:r>
    </w:p>
    <w:p w14:paraId="288F0F43">
      <w:pPr>
        <w:tabs>
          <w:tab w:val="left" w:pos="0"/>
        </w:tabs>
        <w:snapToGrid w:val="0"/>
        <w:spacing w:line="360" w:lineRule="auto"/>
        <w:ind w:right="-34" w:firstLine="420" w:firstLineChars="200"/>
        <w:outlineLvl w:val="9"/>
        <w:rPr>
          <w:rFonts w:hint="eastAsia" w:ascii="宋体" w:hAnsi="宋体" w:eastAsia="宋体" w:cs="宋体"/>
          <w:sz w:val="21"/>
          <w:szCs w:val="21"/>
        </w:rPr>
      </w:pPr>
      <w:r>
        <w:rPr>
          <w:rFonts w:hint="eastAsia" w:ascii="宋体" w:hAnsi="宋体" w:eastAsia="宋体" w:cs="宋体"/>
          <w:sz w:val="21"/>
          <w:szCs w:val="21"/>
        </w:rPr>
        <w:t>污泥厂内减量化处理服务期限自甲方发出</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进场通知书</w:t>
      </w:r>
      <w:r>
        <w:rPr>
          <w:rFonts w:hint="eastAsia" w:ascii="宋体" w:hAnsi="宋体" w:eastAsia="宋体" w:cs="宋体"/>
          <w:sz w:val="21"/>
          <w:szCs w:val="21"/>
          <w:lang w:eastAsia="zh-CN"/>
        </w:rPr>
        <w:t>》</w:t>
      </w:r>
      <w:r>
        <w:rPr>
          <w:rFonts w:hint="eastAsia" w:ascii="宋体" w:hAnsi="宋体" w:eastAsia="宋体" w:cs="宋体"/>
          <w:sz w:val="21"/>
          <w:szCs w:val="21"/>
        </w:rPr>
        <w:t>之日起至</w:t>
      </w:r>
      <w:r>
        <w:rPr>
          <w:rFonts w:hint="eastAsia" w:ascii="宋体" w:hAnsi="宋体" w:eastAsia="宋体" w:cs="宋体"/>
          <w:sz w:val="21"/>
          <w:szCs w:val="21"/>
          <w:lang w:val="en-US" w:eastAsia="zh-CN"/>
        </w:rPr>
        <w:t>2026年1月4日</w:t>
      </w:r>
      <w:r>
        <w:rPr>
          <w:rFonts w:hint="eastAsia" w:ascii="宋体" w:hAnsi="宋体" w:cs="宋体"/>
          <w:sz w:val="21"/>
          <w:szCs w:val="21"/>
          <w:lang w:val="en-US" w:eastAsia="zh-CN"/>
        </w:rPr>
        <w:t>止</w:t>
      </w:r>
      <w:r>
        <w:rPr>
          <w:rFonts w:hint="eastAsia" w:ascii="宋体" w:hAnsi="宋体" w:eastAsia="宋体" w:cs="宋体"/>
          <w:sz w:val="21"/>
          <w:szCs w:val="21"/>
        </w:rPr>
        <w:t>。服务期内，</w:t>
      </w:r>
      <w:r>
        <w:rPr>
          <w:rFonts w:hint="eastAsia" w:ascii="宋体" w:hAnsi="宋体" w:eastAsia="宋体" w:cs="宋体"/>
          <w:b/>
          <w:bCs/>
          <w:sz w:val="21"/>
          <w:szCs w:val="21"/>
          <w:u w:val="single"/>
          <w:lang w:val="en-US" w:eastAsia="zh-CN"/>
        </w:rPr>
        <w:t>甲方</w:t>
      </w:r>
      <w:r>
        <w:rPr>
          <w:rFonts w:hint="eastAsia" w:ascii="宋体" w:hAnsi="宋体" w:eastAsia="宋体" w:cs="宋体"/>
          <w:b/>
          <w:bCs/>
          <w:sz w:val="21"/>
          <w:szCs w:val="21"/>
          <w:u w:val="single"/>
        </w:rPr>
        <w:t>根据</w:t>
      </w:r>
      <w:r>
        <w:rPr>
          <w:rFonts w:hint="eastAsia" w:ascii="宋体" w:hAnsi="宋体" w:eastAsia="宋体" w:cs="宋体"/>
          <w:b/>
          <w:bCs/>
          <w:sz w:val="21"/>
          <w:szCs w:val="21"/>
          <w:u w:val="single"/>
          <w:lang w:val="en-US" w:eastAsia="zh-CN"/>
        </w:rPr>
        <w:t>污水厂厂区污泥脱水减量设备进行的实施进度或东莞市污泥集中处理处置特许经营项目建设运营情况</w:t>
      </w:r>
      <w:r>
        <w:rPr>
          <w:rFonts w:hint="eastAsia" w:ascii="宋体" w:hAnsi="宋体" w:eastAsia="宋体" w:cs="宋体"/>
          <w:b/>
          <w:bCs/>
          <w:sz w:val="21"/>
          <w:szCs w:val="21"/>
          <w:u w:val="single"/>
        </w:rPr>
        <w:t>有权要求</w:t>
      </w:r>
      <w:r>
        <w:rPr>
          <w:rFonts w:hint="eastAsia" w:ascii="宋体" w:hAnsi="宋体" w:eastAsia="宋体" w:cs="宋体"/>
          <w:b/>
          <w:bCs/>
          <w:sz w:val="21"/>
          <w:szCs w:val="21"/>
          <w:u w:val="single"/>
          <w:lang w:val="en-US" w:eastAsia="zh-CN"/>
        </w:rPr>
        <w:t>乙方</w:t>
      </w:r>
      <w:r>
        <w:rPr>
          <w:rFonts w:hint="eastAsia" w:ascii="宋体" w:hAnsi="宋体" w:eastAsia="宋体" w:cs="宋体"/>
          <w:b/>
          <w:bCs/>
          <w:sz w:val="21"/>
          <w:szCs w:val="21"/>
          <w:u w:val="single"/>
        </w:rPr>
        <w:t>无条件提前终止服务并撤场</w:t>
      </w:r>
      <w:r>
        <w:rPr>
          <w:rFonts w:hint="eastAsia" w:ascii="宋体" w:hAnsi="宋体" w:eastAsia="宋体" w:cs="宋体"/>
          <w:sz w:val="21"/>
          <w:szCs w:val="21"/>
        </w:rPr>
        <w:t>。在服务期满后，如甲方需委托乙方继续开展服务范围内的服务时，</w:t>
      </w:r>
      <w:r>
        <w:rPr>
          <w:rFonts w:hint="eastAsia" w:ascii="宋体" w:hAnsi="宋体" w:eastAsia="宋体" w:cs="宋体"/>
          <w:sz w:val="21"/>
          <w:szCs w:val="21"/>
          <w:lang w:val="en-US" w:eastAsia="zh-CN"/>
        </w:rPr>
        <w:t>经双方协商一致，</w:t>
      </w:r>
      <w:r>
        <w:rPr>
          <w:rFonts w:hint="eastAsia" w:ascii="宋体" w:hAnsi="宋体" w:eastAsia="宋体" w:cs="宋体"/>
          <w:sz w:val="21"/>
          <w:szCs w:val="21"/>
        </w:rPr>
        <w:t>乙方应按本合同约定的计价方式和服务标准向甲方继续提供处理服务。</w:t>
      </w:r>
    </w:p>
    <w:p w14:paraId="0950B96C">
      <w:pPr>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2、乙方在收到甲方</w:t>
      </w:r>
      <w:r>
        <w:rPr>
          <w:rFonts w:hint="eastAsia" w:ascii="宋体" w:hAnsi="宋体" w:eastAsia="宋体" w:cs="宋体"/>
          <w:sz w:val="21"/>
          <w:szCs w:val="21"/>
          <w:lang w:eastAsia="zh-CN"/>
        </w:rPr>
        <w:t>《</w:t>
      </w:r>
      <w:r>
        <w:rPr>
          <w:rFonts w:hint="eastAsia" w:ascii="宋体" w:hAnsi="宋体" w:eastAsia="宋体" w:cs="宋体"/>
          <w:sz w:val="21"/>
          <w:szCs w:val="21"/>
        </w:rPr>
        <w:t>进场通知</w:t>
      </w:r>
      <w:r>
        <w:rPr>
          <w:rFonts w:hint="eastAsia" w:ascii="宋体" w:hAnsi="宋体" w:eastAsia="宋体" w:cs="宋体"/>
          <w:sz w:val="21"/>
          <w:szCs w:val="21"/>
          <w:lang w:val="en-US" w:eastAsia="zh-CN"/>
        </w:rPr>
        <w:t>书</w:t>
      </w:r>
      <w:r>
        <w:rPr>
          <w:rFonts w:hint="eastAsia" w:ascii="宋体" w:hAnsi="宋体" w:eastAsia="宋体" w:cs="宋体"/>
          <w:sz w:val="21"/>
          <w:szCs w:val="21"/>
          <w:lang w:eastAsia="zh-CN"/>
        </w:rPr>
        <w:t>》</w:t>
      </w:r>
      <w:r>
        <w:rPr>
          <w:rFonts w:hint="eastAsia" w:ascii="宋体" w:hAnsi="宋体" w:eastAsia="宋体" w:cs="宋体"/>
          <w:sz w:val="21"/>
          <w:szCs w:val="21"/>
        </w:rPr>
        <w:t>之日起</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天内完成设备安装并具备正式投产条件。</w:t>
      </w:r>
    </w:p>
    <w:p w14:paraId="42954E85">
      <w:pPr>
        <w:widowControl/>
        <w:snapToGrid w:val="0"/>
        <w:spacing w:line="360" w:lineRule="auto"/>
        <w:ind w:firstLine="420"/>
        <w:contextualSpacing/>
        <w:outlineLvl w:val="9"/>
        <w:rPr>
          <w:rFonts w:hint="eastAsia" w:ascii="宋体" w:hAnsi="宋体" w:eastAsia="宋体" w:cs="宋体"/>
          <w:sz w:val="21"/>
          <w:szCs w:val="21"/>
        </w:rPr>
      </w:pPr>
      <w:r>
        <w:rPr>
          <w:rFonts w:hint="eastAsia" w:ascii="宋体" w:hAnsi="宋体" w:eastAsia="宋体" w:cs="宋体"/>
          <w:sz w:val="21"/>
          <w:szCs w:val="21"/>
        </w:rPr>
        <w:t>本合同内的“投产”是指污泥脱水减量化产能连续三天稳定达到该处理点设计规模产能的70%或以上，减量化后的半干化</w:t>
      </w:r>
      <w:r>
        <w:rPr>
          <w:rFonts w:hint="eastAsia" w:ascii="宋体" w:hAnsi="宋体" w:eastAsia="宋体" w:cs="宋体"/>
          <w:sz w:val="21"/>
          <w:szCs w:val="21"/>
          <w:lang w:val="en-US" w:eastAsia="zh-CN"/>
        </w:rPr>
        <w:t>泥粉</w:t>
      </w:r>
      <w:r>
        <w:rPr>
          <w:rFonts w:hint="eastAsia" w:ascii="宋体" w:hAnsi="宋体" w:eastAsia="宋体" w:cs="宋体"/>
          <w:sz w:val="21"/>
          <w:szCs w:val="21"/>
        </w:rPr>
        <w:t>含水率不高于55%（若由于污泥产出单位自身原因导致的污泥产量不足，则由甲方与污泥产生单位经现场确认其产能是否符合要求）。</w:t>
      </w:r>
    </w:p>
    <w:p w14:paraId="11B4B17D">
      <w:pPr>
        <w:snapToGrid w:val="0"/>
        <w:spacing w:line="360" w:lineRule="auto"/>
        <w:ind w:firstLine="482"/>
        <w:outlineLvl w:val="9"/>
        <w:rPr>
          <w:rFonts w:hint="eastAsia" w:ascii="宋体" w:hAnsi="宋体" w:eastAsia="宋体" w:cs="宋体"/>
          <w:sz w:val="21"/>
          <w:szCs w:val="21"/>
        </w:rPr>
      </w:pPr>
      <w:r>
        <w:rPr>
          <w:rFonts w:hint="eastAsia" w:ascii="宋体" w:hAnsi="宋体" w:eastAsia="宋体" w:cs="宋体"/>
          <w:sz w:val="21"/>
          <w:szCs w:val="21"/>
        </w:rPr>
        <w:t>3、除非双方另有合同约定，乙方在以下情况应自行拆除本项目服务期间新建的设备设施，并恢复本项目场地的原状：</w:t>
      </w:r>
      <w:r>
        <w:rPr>
          <w:rFonts w:hint="eastAsia" w:ascii="宋体" w:hAnsi="宋体" w:eastAsia="宋体" w:cs="宋体"/>
          <w:b/>
          <w:bCs/>
          <w:sz w:val="21"/>
          <w:szCs w:val="21"/>
          <w:u w:val="single"/>
        </w:rPr>
        <w:t>（1）服务期内，发生</w:t>
      </w:r>
      <w:r>
        <w:rPr>
          <w:rFonts w:hint="eastAsia" w:ascii="宋体" w:hAnsi="宋体" w:eastAsia="宋体" w:cs="宋体"/>
          <w:b/>
          <w:bCs/>
          <w:sz w:val="21"/>
          <w:szCs w:val="21"/>
          <w:u w:val="single"/>
          <w:lang w:val="en-US" w:eastAsia="zh-CN"/>
        </w:rPr>
        <w:t>第一条第2款</w:t>
      </w:r>
      <w:r>
        <w:rPr>
          <w:rFonts w:hint="eastAsia" w:ascii="宋体" w:hAnsi="宋体" w:eastAsia="宋体" w:cs="宋体"/>
          <w:b/>
          <w:bCs/>
          <w:sz w:val="21"/>
          <w:szCs w:val="21"/>
          <w:u w:val="single"/>
        </w:rPr>
        <w:t>风险特别约定情况，甲方要求乙方无条件提前终止服务并发出撤场通知之日起30日内；（2）服务期内，</w:t>
      </w:r>
      <w:r>
        <w:rPr>
          <w:rFonts w:hint="eastAsia" w:ascii="宋体" w:hAnsi="宋体" w:eastAsia="宋体" w:cs="宋体"/>
          <w:b/>
          <w:bCs/>
          <w:sz w:val="21"/>
          <w:szCs w:val="21"/>
          <w:u w:val="single"/>
          <w:lang w:val="en-US" w:eastAsia="zh-CN"/>
        </w:rPr>
        <w:t>因乙方存在违约行为等，</w:t>
      </w:r>
      <w:r>
        <w:rPr>
          <w:rFonts w:hint="eastAsia" w:ascii="宋体" w:hAnsi="宋体" w:eastAsia="宋体" w:cs="宋体"/>
          <w:b/>
          <w:bCs/>
          <w:sz w:val="21"/>
          <w:szCs w:val="21"/>
          <w:u w:val="single"/>
        </w:rPr>
        <w:t>甲方</w:t>
      </w:r>
      <w:r>
        <w:rPr>
          <w:rFonts w:hint="eastAsia" w:ascii="宋体" w:hAnsi="宋体" w:eastAsia="宋体" w:cs="宋体"/>
          <w:b/>
          <w:bCs/>
          <w:sz w:val="21"/>
          <w:szCs w:val="21"/>
          <w:u w:val="single"/>
          <w:lang w:val="en-US" w:eastAsia="zh-CN"/>
        </w:rPr>
        <w:t>根据本合同约定要求乙方提前终止服务并发出</w:t>
      </w:r>
      <w:r>
        <w:rPr>
          <w:rFonts w:hint="eastAsia" w:ascii="宋体" w:hAnsi="宋体" w:eastAsia="宋体" w:cs="宋体"/>
          <w:b/>
          <w:bCs/>
          <w:sz w:val="21"/>
          <w:szCs w:val="21"/>
          <w:u w:val="single"/>
        </w:rPr>
        <w:t>撤场通知之日起30日内；（3）服务期届满后30日内</w:t>
      </w:r>
      <w:r>
        <w:rPr>
          <w:rFonts w:hint="eastAsia" w:ascii="宋体" w:hAnsi="宋体" w:eastAsia="宋体" w:cs="宋体"/>
          <w:sz w:val="21"/>
          <w:szCs w:val="21"/>
        </w:rPr>
        <w:t>。以上所导致的因拆除设备设施及场地复原产生的相应费用由乙方承担，在本项目的拆除过程中和拆除之后，甲方无须向乙方支付任何补偿或移交费用。</w:t>
      </w:r>
    </w:p>
    <w:p w14:paraId="601AA7FE">
      <w:pPr>
        <w:snapToGrid w:val="0"/>
        <w:spacing w:line="360" w:lineRule="auto"/>
        <w:ind w:firstLine="482"/>
        <w:outlineLvl w:val="9"/>
        <w:rPr>
          <w:rFonts w:hint="eastAsia" w:ascii="宋体" w:hAnsi="宋体" w:eastAsia="宋体" w:cs="宋体"/>
          <w:sz w:val="21"/>
          <w:szCs w:val="21"/>
        </w:rPr>
      </w:pPr>
      <w:r>
        <w:rPr>
          <w:rFonts w:hint="eastAsia" w:ascii="宋体" w:hAnsi="宋体" w:eastAsia="宋体" w:cs="宋体"/>
          <w:sz w:val="21"/>
          <w:szCs w:val="21"/>
        </w:rPr>
        <w:t>4、污泥脱水减量化服务费用：</w:t>
      </w:r>
    </w:p>
    <w:p w14:paraId="08512F5C">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（1）减量化服务费单价按含水率80%的湿泥计价（元/吨）。将从污水厂储泥池或沉淀池抽取的污泥脱水减量至含水率不高于55%的半干化</w:t>
      </w:r>
      <w:r>
        <w:rPr>
          <w:rFonts w:hint="eastAsia" w:ascii="宋体" w:hAnsi="宋体" w:eastAsia="宋体" w:cs="宋体"/>
          <w:sz w:val="21"/>
          <w:szCs w:val="21"/>
          <w:lang w:val="en-US" w:eastAsia="zh-CN"/>
        </w:rPr>
        <w:t>泥粉</w:t>
      </w:r>
      <w:r>
        <w:rPr>
          <w:rFonts w:hint="eastAsia" w:ascii="宋体" w:hAnsi="宋体" w:eastAsia="宋体" w:cs="宋体"/>
          <w:sz w:val="21"/>
          <w:szCs w:val="21"/>
        </w:rPr>
        <w:t>的不含税服务费单价（合同单价）为</w:t>
      </w:r>
      <w:r>
        <w:rPr>
          <w:rFonts w:hint="eastAsia" w:ascii="宋体" w:hAnsi="宋体" w:eastAsia="宋体" w:cs="宋体"/>
          <w:sz w:val="21"/>
          <w:szCs w:val="21"/>
          <w:u w:val="single"/>
        </w:rPr>
        <w:t xml:space="preserve">    </w:t>
      </w:r>
      <w:r>
        <w:rPr>
          <w:rFonts w:hint="eastAsia" w:ascii="宋体" w:hAnsi="宋体" w:eastAsia="宋体" w:cs="宋体"/>
          <w:sz w:val="21"/>
          <w:szCs w:val="21"/>
        </w:rPr>
        <w:t>元/吨。在本合同履行过程中，合同单价（即销售额，不含乙方销项税额）不随法律法规政策、物价人工、服务期调整而进行调整，未经甲方书面确认，乙方无权增加任何费用。</w:t>
      </w:r>
    </w:p>
    <w:p w14:paraId="439DF6E8">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（2）依法计得并根据本合同约定确定的销项税额由甲方承担。根据</w:t>
      </w:r>
      <w:r>
        <w:rPr>
          <w:rFonts w:hint="eastAsia" w:ascii="宋体" w:hAnsi="宋体" w:eastAsia="宋体" w:cs="宋体"/>
          <w:sz w:val="21"/>
          <w:szCs w:val="21"/>
          <w:lang w:val="zh-CN"/>
        </w:rPr>
        <w:t>《中华人民共和国增值税</w:t>
      </w:r>
      <w:r>
        <w:rPr>
          <w:rFonts w:hint="eastAsia" w:ascii="宋体" w:hAnsi="宋体" w:eastAsia="宋体" w:cs="宋体"/>
          <w:sz w:val="21"/>
          <w:szCs w:val="21"/>
        </w:rPr>
        <w:t>暂行</w:t>
      </w:r>
      <w:r>
        <w:rPr>
          <w:rFonts w:hint="eastAsia" w:ascii="宋体" w:hAnsi="宋体" w:eastAsia="宋体" w:cs="宋体"/>
          <w:sz w:val="21"/>
          <w:szCs w:val="21"/>
          <w:lang w:val="zh-CN"/>
        </w:rPr>
        <w:t>条例》（国务院令第691号修订版）</w:t>
      </w:r>
      <w:r>
        <w:rPr>
          <w:rFonts w:hint="eastAsia" w:ascii="宋体" w:hAnsi="宋体" w:eastAsia="宋体" w:cs="宋体"/>
          <w:sz w:val="21"/>
          <w:szCs w:val="21"/>
        </w:rPr>
        <w:t>及当前税务部门的相关规定，本合同项目污泥处理服务费的增值税税率暂定为</w:t>
      </w:r>
      <w:r>
        <w:rPr>
          <w:rFonts w:hint="eastAsia" w:ascii="宋体" w:hAnsi="宋体" w:eastAsia="宋体" w:cs="宋体"/>
          <w:sz w:val="21"/>
          <w:szCs w:val="21"/>
          <w:u w:val="single"/>
        </w:rPr>
        <w:t xml:space="preserve">    %</w:t>
      </w:r>
      <w:r>
        <w:rPr>
          <w:rFonts w:hint="eastAsia" w:ascii="宋体" w:hAnsi="宋体" w:eastAsia="宋体" w:cs="宋体"/>
          <w:sz w:val="21"/>
          <w:szCs w:val="21"/>
        </w:rPr>
        <w:t>，乙方的增值税销项税额根据本合同约定按实结算。但因乙方未按合同约定提供服务、未根据合同约定提供合法、完整的请款资料等原因导致销项税额增加的，相应损失由乙方承担。</w:t>
      </w:r>
    </w:p>
    <w:p w14:paraId="6A9291DB">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因乙方未按法定税率计算税额或未根据本合同约定出具对应税额的增值税专用发票等乙方原因导致甲方多支付税额的，乙方必须退还甲方，给甲方造成损失的，乙方须向甲方赔偿相应损失。</w:t>
      </w:r>
    </w:p>
    <w:p w14:paraId="338B428F">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（3）合同单价价税合计暂定为</w:t>
      </w:r>
      <w:r>
        <w:rPr>
          <w:rFonts w:hint="eastAsia" w:ascii="宋体" w:hAnsi="宋体" w:eastAsia="宋体" w:cs="宋体"/>
          <w:sz w:val="21"/>
          <w:szCs w:val="21"/>
          <w:u w:val="single"/>
        </w:rPr>
        <w:t xml:space="preserve">      </w:t>
      </w:r>
      <w:r>
        <w:rPr>
          <w:rFonts w:hint="eastAsia" w:ascii="宋体" w:hAnsi="宋体" w:eastAsia="宋体" w:cs="宋体"/>
          <w:sz w:val="21"/>
          <w:szCs w:val="21"/>
        </w:rPr>
        <w:t>元/吨，合同履行期间根据上述第（2）项规定调整销项税额的，结算合同单价价税合计对应调整。</w:t>
      </w:r>
    </w:p>
    <w:p w14:paraId="0FA320EF">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4）本项目合同单价，包含了甲方污水处理厂现状条件下（其他污水处理厂运至该减量化集中处理点的污泥由甲方负责运输），乙方完成甲方污泥减量化达标处理服务所需的设备设施、物资、服务、人力等全部费用，包括但不限于：</w:t>
      </w:r>
    </w:p>
    <w:p w14:paraId="141A48CB">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①</w:t>
      </w:r>
      <w:r>
        <w:rPr>
          <w:rFonts w:hint="eastAsia" w:ascii="宋体" w:hAnsi="宋体" w:eastAsia="宋体" w:cs="宋体"/>
          <w:sz w:val="21"/>
          <w:szCs w:val="21"/>
          <w:lang w:val="zh-CN"/>
        </w:rPr>
        <w:t>在污水处理厂或污泥集中处理点进行污泥脱水减量化成套设备设施</w:t>
      </w:r>
      <w:r>
        <w:rPr>
          <w:rFonts w:hint="eastAsia" w:ascii="宋体" w:hAnsi="宋体" w:eastAsia="宋体" w:cs="宋体"/>
          <w:sz w:val="21"/>
          <w:szCs w:val="21"/>
        </w:rPr>
        <w:t>的设计、供应、运输（至项目现场）、保险、装卸、安装（含安全防护、文明施工措施，设备安装基础）、调试、验收及日常运营、维护和维修，以及服务期满后的拆除、场地恢复原貌的费用；</w:t>
      </w:r>
    </w:p>
    <w:p w14:paraId="141CBC82">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②</w:t>
      </w:r>
      <w:r>
        <w:rPr>
          <w:rFonts w:hint="eastAsia" w:ascii="宋体" w:hAnsi="宋体" w:eastAsia="宋体" w:cs="宋体"/>
          <w:sz w:val="21"/>
          <w:szCs w:val="21"/>
          <w:lang w:val="zh-CN"/>
        </w:rPr>
        <w:t>脱水</w:t>
      </w:r>
      <w:r>
        <w:rPr>
          <w:rFonts w:hint="eastAsia" w:ascii="宋体" w:hAnsi="宋体" w:eastAsia="宋体" w:cs="宋体"/>
          <w:sz w:val="21"/>
          <w:szCs w:val="21"/>
        </w:rPr>
        <w:t>减量化处理所需调理剂等药剂的供应、投加，以及加装符合国家及行业标准要求的计量装置的相关费用；</w:t>
      </w:r>
    </w:p>
    <w:p w14:paraId="42EF1011">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③从</w:t>
      </w:r>
      <w:r>
        <w:rPr>
          <w:rFonts w:hint="eastAsia" w:ascii="宋体" w:hAnsi="宋体" w:eastAsia="宋体" w:cs="宋体"/>
          <w:sz w:val="21"/>
          <w:szCs w:val="21"/>
          <w:lang w:val="zh-CN"/>
        </w:rPr>
        <w:t>污水处理厂储泥</w:t>
      </w:r>
      <w:r>
        <w:rPr>
          <w:rFonts w:hint="eastAsia" w:ascii="宋体" w:hAnsi="宋体" w:eastAsia="宋体" w:cs="宋体"/>
          <w:sz w:val="21"/>
          <w:szCs w:val="21"/>
          <w:lang w:val="en-US" w:eastAsia="zh-CN"/>
        </w:rPr>
        <w:t>池或沉淀池将甲方污泥转运（或管道输送）</w:t>
      </w:r>
      <w:r>
        <w:rPr>
          <w:rFonts w:hint="eastAsia" w:ascii="宋体" w:hAnsi="宋体" w:eastAsia="宋体" w:cs="宋体"/>
          <w:sz w:val="21"/>
          <w:szCs w:val="21"/>
        </w:rPr>
        <w:t>、投加到脱水减量化设备的费用（含从其他污水处理厂运至该减量化集中处理点的污泥处理前的暂存储泥仓或稀释池费用），将脱水减量化处理后的污泥转运到污水处理厂（或处理后贮存点）内甲方指定暂存地点的费用；将脱水减量化以后</w:t>
      </w:r>
      <w:r>
        <w:rPr>
          <w:rFonts w:hint="eastAsia" w:ascii="宋体" w:hAnsi="宋体" w:eastAsia="宋体" w:cs="宋体"/>
          <w:sz w:val="21"/>
          <w:szCs w:val="21"/>
          <w:lang w:val="en-US" w:eastAsia="zh-CN"/>
        </w:rPr>
        <w:t>的</w:t>
      </w:r>
      <w:r>
        <w:rPr>
          <w:rFonts w:hint="eastAsia" w:ascii="宋体" w:hAnsi="宋体" w:eastAsia="宋体" w:cs="宋体"/>
          <w:sz w:val="21"/>
          <w:szCs w:val="21"/>
        </w:rPr>
        <w:t>污泥进行破碎</w:t>
      </w:r>
      <w:r>
        <w:rPr>
          <w:rFonts w:hint="eastAsia" w:ascii="宋体" w:hAnsi="宋体" w:eastAsia="宋体" w:cs="宋体"/>
          <w:sz w:val="21"/>
          <w:szCs w:val="21"/>
          <w:lang w:val="en-US" w:eastAsia="zh-CN"/>
        </w:rPr>
        <w:t>和外运装车</w:t>
      </w:r>
      <w:r>
        <w:rPr>
          <w:rFonts w:hint="eastAsia" w:ascii="宋体" w:hAnsi="宋体" w:eastAsia="宋体" w:cs="宋体"/>
          <w:sz w:val="21"/>
          <w:szCs w:val="21"/>
        </w:rPr>
        <w:t>的费用</w:t>
      </w:r>
      <w:r>
        <w:rPr>
          <w:rFonts w:hint="eastAsia" w:ascii="宋体" w:hAnsi="宋体" w:eastAsia="宋体" w:cs="宋体"/>
          <w:sz w:val="21"/>
          <w:szCs w:val="21"/>
          <w:lang w:val="zh-CN"/>
        </w:rPr>
        <w:t>；</w:t>
      </w:r>
    </w:p>
    <w:p w14:paraId="6F117B5E">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④乙方</w:t>
      </w:r>
      <w:r>
        <w:rPr>
          <w:rFonts w:hint="eastAsia" w:ascii="宋体" w:hAnsi="宋体" w:eastAsia="宋体" w:cs="宋体"/>
          <w:sz w:val="21"/>
          <w:szCs w:val="21"/>
          <w:lang w:val="zh-CN"/>
        </w:rPr>
        <w:t>脱水</w:t>
      </w:r>
      <w:r>
        <w:rPr>
          <w:rFonts w:hint="eastAsia" w:ascii="宋体" w:hAnsi="宋体" w:eastAsia="宋体" w:cs="宋体"/>
          <w:sz w:val="21"/>
          <w:szCs w:val="21"/>
        </w:rPr>
        <w:t>减量化处理服务全过程的人工、住宿、餐饮、人员社会保险、人身意外保险、第三方责任险、项目投资、建设及运营风险等费用；</w:t>
      </w:r>
    </w:p>
    <w:p w14:paraId="1D0A24F0">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⑤室外</w:t>
      </w:r>
      <w:r>
        <w:rPr>
          <w:rFonts w:hint="eastAsia" w:ascii="宋体" w:hAnsi="宋体" w:eastAsia="宋体" w:cs="宋体"/>
          <w:sz w:val="21"/>
          <w:szCs w:val="21"/>
          <w:lang w:val="zh-CN"/>
        </w:rPr>
        <w:t>脱水</w:t>
      </w:r>
      <w:r>
        <w:rPr>
          <w:rFonts w:hint="eastAsia" w:ascii="宋体" w:hAnsi="宋体" w:eastAsia="宋体" w:cs="宋体"/>
          <w:sz w:val="21"/>
          <w:szCs w:val="21"/>
        </w:rPr>
        <w:t>减量化处理服务所需的“三通一平”、临时设施建设（含保证</w:t>
      </w:r>
      <w:r>
        <w:rPr>
          <w:rFonts w:hint="eastAsia" w:ascii="宋体" w:hAnsi="宋体" w:eastAsia="宋体" w:cs="宋体"/>
          <w:sz w:val="21"/>
          <w:szCs w:val="21"/>
          <w:lang w:val="zh-CN"/>
        </w:rPr>
        <w:t>脱水</w:t>
      </w:r>
      <w:r>
        <w:rPr>
          <w:rFonts w:hint="eastAsia" w:ascii="宋体" w:hAnsi="宋体" w:eastAsia="宋体" w:cs="宋体"/>
          <w:sz w:val="21"/>
          <w:szCs w:val="21"/>
        </w:rPr>
        <w:t>减量化设备正常运行所需的临时设施、设备基础，脱水后半干化</w:t>
      </w:r>
      <w:r>
        <w:rPr>
          <w:rFonts w:hint="eastAsia" w:ascii="宋体" w:hAnsi="宋体" w:eastAsia="宋体" w:cs="宋体"/>
          <w:sz w:val="21"/>
          <w:szCs w:val="21"/>
          <w:lang w:val="en-US" w:eastAsia="zh-CN"/>
        </w:rPr>
        <w:t>泥粉</w:t>
      </w:r>
      <w:r>
        <w:rPr>
          <w:rFonts w:hint="eastAsia" w:ascii="宋体" w:hAnsi="宋体" w:eastAsia="宋体" w:cs="宋体"/>
          <w:sz w:val="21"/>
          <w:szCs w:val="21"/>
        </w:rPr>
        <w:t>临时暂存避雨防水的储泥仓等）；</w:t>
      </w:r>
    </w:p>
    <w:p w14:paraId="4968059F">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⑥污泥减量化处理相关知识产权版税等使用费；</w:t>
      </w:r>
    </w:p>
    <w:p w14:paraId="19CF3589">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⑦乙方销项税额以外的税费、利润等；</w:t>
      </w:r>
    </w:p>
    <w:p w14:paraId="5A8A33D5">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⑧实现污泥</w:t>
      </w:r>
      <w:r>
        <w:rPr>
          <w:rFonts w:hint="eastAsia" w:ascii="宋体" w:hAnsi="宋体" w:eastAsia="宋体" w:cs="宋体"/>
          <w:sz w:val="21"/>
          <w:szCs w:val="21"/>
          <w:lang w:val="zh-CN"/>
        </w:rPr>
        <w:t>脱水</w:t>
      </w:r>
      <w:r>
        <w:rPr>
          <w:rFonts w:hint="eastAsia" w:ascii="宋体" w:hAnsi="宋体" w:eastAsia="宋体" w:cs="宋体"/>
          <w:sz w:val="21"/>
          <w:szCs w:val="21"/>
        </w:rPr>
        <w:t>减量化达标、废水、废气、噪声达标，以及完成</w:t>
      </w:r>
      <w:r>
        <w:rPr>
          <w:rFonts w:hint="eastAsia" w:ascii="宋体" w:hAnsi="宋体" w:eastAsia="宋体" w:cs="宋体"/>
          <w:sz w:val="21"/>
          <w:szCs w:val="21"/>
          <w:lang w:val="zh-CN"/>
        </w:rPr>
        <w:t>脱水减量化</w:t>
      </w:r>
      <w:r>
        <w:rPr>
          <w:rFonts w:hint="eastAsia" w:ascii="宋体" w:hAnsi="宋体" w:eastAsia="宋体" w:cs="宋体"/>
          <w:sz w:val="21"/>
          <w:szCs w:val="21"/>
        </w:rPr>
        <w:t>处理服务相关的其他直接及间接费用。</w:t>
      </w:r>
    </w:p>
    <w:p w14:paraId="50D547AF">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（5）乙方污泥脱水减量化服务费的具体单价取值，根据本合同第三条的约定确定。</w:t>
      </w:r>
    </w:p>
    <w:p w14:paraId="454746DC">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5、甲方按</w:t>
      </w:r>
      <w:r>
        <w:rPr>
          <w:rFonts w:hint="eastAsia" w:ascii="宋体" w:hAnsi="宋体" w:eastAsia="宋体" w:cs="宋体"/>
          <w:sz w:val="21"/>
          <w:szCs w:val="21"/>
          <w:lang w:val="en-US" w:eastAsia="zh-CN"/>
        </w:rPr>
        <w:t>车次</w:t>
      </w:r>
      <w:r>
        <w:rPr>
          <w:rFonts w:hint="eastAsia" w:ascii="宋体" w:hAnsi="宋体" w:eastAsia="宋体" w:cs="宋体"/>
          <w:sz w:val="21"/>
          <w:szCs w:val="21"/>
        </w:rPr>
        <w:t>检测减量化</w:t>
      </w:r>
      <w:r>
        <w:rPr>
          <w:rFonts w:hint="eastAsia" w:ascii="宋体" w:hAnsi="宋体" w:eastAsia="宋体" w:cs="宋体"/>
          <w:sz w:val="21"/>
          <w:szCs w:val="21"/>
          <w:lang w:val="en-US" w:eastAsia="zh-CN"/>
        </w:rPr>
        <w:t>后</w:t>
      </w:r>
      <w:r>
        <w:rPr>
          <w:rFonts w:hint="eastAsia" w:ascii="宋体" w:hAnsi="宋体" w:eastAsia="宋体" w:cs="宋体"/>
          <w:sz w:val="21"/>
          <w:szCs w:val="21"/>
        </w:rPr>
        <w:t>的</w:t>
      </w:r>
      <w:r>
        <w:rPr>
          <w:rFonts w:hint="eastAsia" w:ascii="宋体" w:hAnsi="宋体" w:eastAsia="宋体" w:cs="宋体"/>
          <w:sz w:val="21"/>
          <w:szCs w:val="21"/>
          <w:lang w:val="en-US" w:eastAsia="zh-CN"/>
        </w:rPr>
        <w:t>泥粉</w:t>
      </w:r>
      <w:r>
        <w:rPr>
          <w:rFonts w:hint="eastAsia" w:ascii="宋体" w:hAnsi="宋体" w:eastAsia="宋体" w:cs="宋体"/>
          <w:sz w:val="21"/>
          <w:szCs w:val="21"/>
        </w:rPr>
        <w:t>含水率，费用由甲方承担，乙方无条件配合检测工作；因建立台账而产生自检的费用由乙方自行负责。</w:t>
      </w:r>
    </w:p>
    <w:p w14:paraId="18D92394">
      <w:pPr>
        <w:snapToGrid w:val="0"/>
        <w:spacing w:line="360" w:lineRule="auto"/>
        <w:ind w:firstLine="413" w:firstLineChars="196"/>
        <w:outlineLvl w:val="9"/>
        <w:rPr>
          <w:rFonts w:hint="eastAsia" w:ascii="宋体" w:hAnsi="宋体" w:eastAsia="宋体" w:cs="宋体"/>
          <w:b/>
          <w:sz w:val="21"/>
          <w:szCs w:val="21"/>
        </w:rPr>
      </w:pPr>
      <w:r>
        <w:rPr>
          <w:rFonts w:hint="eastAsia" w:ascii="宋体" w:hAnsi="宋体" w:eastAsia="宋体" w:cs="宋体"/>
          <w:b/>
          <w:sz w:val="21"/>
          <w:szCs w:val="21"/>
        </w:rPr>
        <w:t>第三条 污泥计量、脱水减量化处理后污泥的含水率检测及计费</w:t>
      </w:r>
    </w:p>
    <w:p w14:paraId="60C468B9">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1、污水处理厂污泥减量化项目减量化服务费单价按含水率80%的湿泥计价（元/吨）。</w:t>
      </w:r>
    </w:p>
    <w:p w14:paraId="7E16CA39">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若在项目服务期间，因污泥减量化技术升级，污泥含水率可脱水至更低，经双方协商</w:t>
      </w:r>
      <w:r>
        <w:rPr>
          <w:rFonts w:hint="eastAsia" w:ascii="宋体" w:hAnsi="宋体" w:eastAsia="宋体" w:cs="宋体"/>
          <w:sz w:val="21"/>
          <w:szCs w:val="21"/>
          <w:lang w:val="en-US" w:eastAsia="zh-CN"/>
        </w:rPr>
        <w:t>一致</w:t>
      </w:r>
      <w:r>
        <w:rPr>
          <w:rFonts w:hint="eastAsia" w:ascii="宋体" w:hAnsi="宋体" w:eastAsia="宋体" w:cs="宋体"/>
          <w:sz w:val="21"/>
          <w:szCs w:val="21"/>
        </w:rPr>
        <w:t>，可调整折算公式。</w:t>
      </w:r>
    </w:p>
    <w:p w14:paraId="6A9B7B2E">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（1）污泥称重计量：污水处理厂出厂的半干化泥粉，通过甲方指定的地磅的称重数据（磅单）为计量计费依据，计量相关费用均由甲方承担。</w:t>
      </w:r>
    </w:p>
    <w:p w14:paraId="6F177BB4">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（2）当车结算泥量。当车结算泥量=称重数据（磅单）×（1-55%）/（1-80%）。</w:t>
      </w:r>
    </w:p>
    <w:p w14:paraId="5254F08A">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2、含水率</w:t>
      </w:r>
    </w:p>
    <w:p w14:paraId="78FE169F">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乙方应严格遵照合同及甲方要求将污泥脱水减量化至含水率不高于55%，合同统一按含水率55%统计污泥减量化处理量，并折算为含水率80%的湿泥计价，按合同单价（将从污水厂储泥池或沉淀池抽取的污泥脱水减量至含水率不高于55%的半干化</w:t>
      </w:r>
      <w:r>
        <w:rPr>
          <w:rFonts w:hint="eastAsia" w:ascii="宋体" w:hAnsi="宋体" w:eastAsia="宋体" w:cs="宋体"/>
          <w:sz w:val="21"/>
          <w:szCs w:val="21"/>
          <w:lang w:val="en-US" w:eastAsia="zh-CN"/>
        </w:rPr>
        <w:t>泥粉</w:t>
      </w:r>
      <w:r>
        <w:rPr>
          <w:rFonts w:hint="eastAsia" w:ascii="宋体" w:hAnsi="宋体" w:eastAsia="宋体" w:cs="宋体"/>
          <w:sz w:val="21"/>
          <w:szCs w:val="21"/>
        </w:rPr>
        <w:t>服务费单价）计取。</w:t>
      </w:r>
    </w:p>
    <w:p w14:paraId="52B38DEB">
      <w:pPr>
        <w:snapToGrid w:val="0"/>
        <w:spacing w:line="360" w:lineRule="auto"/>
        <w:ind w:firstLine="424" w:firstLineChars="202"/>
        <w:outlineLvl w:val="9"/>
        <w:rPr>
          <w:rFonts w:hint="eastAsia" w:ascii="宋体" w:hAnsi="宋体" w:eastAsia="宋体" w:cs="宋体"/>
          <w:sz w:val="21"/>
          <w:szCs w:val="21"/>
          <w:lang w:eastAsia="zh-CN"/>
        </w:rPr>
      </w:pPr>
      <w:r>
        <w:rPr>
          <w:rFonts w:hint="eastAsia" w:ascii="宋体" w:hAnsi="宋体" w:eastAsia="宋体" w:cs="宋体"/>
          <w:sz w:val="21"/>
          <w:szCs w:val="21"/>
        </w:rPr>
        <w:t>3、含水率</w:t>
      </w:r>
      <w:r>
        <w:rPr>
          <w:rFonts w:hint="eastAsia" w:ascii="宋体" w:hAnsi="宋体" w:eastAsia="宋体" w:cs="宋体"/>
          <w:sz w:val="21"/>
          <w:szCs w:val="21"/>
          <w:lang w:val="en-US" w:eastAsia="zh-CN"/>
        </w:rPr>
        <w:t>检测</w:t>
      </w:r>
    </w:p>
    <w:p w14:paraId="6C07D6B3">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含水率</w:t>
      </w:r>
      <w:r>
        <w:rPr>
          <w:rFonts w:hint="eastAsia" w:ascii="宋体" w:hAnsi="宋体" w:eastAsia="宋体" w:cs="宋体"/>
          <w:sz w:val="21"/>
          <w:szCs w:val="21"/>
          <w:lang w:val="en-US" w:eastAsia="zh-CN"/>
        </w:rPr>
        <w:t>检测</w:t>
      </w:r>
      <w:r>
        <w:rPr>
          <w:rFonts w:hint="eastAsia" w:ascii="宋体" w:hAnsi="宋体" w:eastAsia="宋体" w:cs="宋体"/>
          <w:sz w:val="21"/>
          <w:szCs w:val="21"/>
        </w:rPr>
        <w:t>包括由污水处理厂化验室（或</w:t>
      </w:r>
      <w:r>
        <w:rPr>
          <w:rFonts w:hint="eastAsia" w:ascii="宋体" w:hAnsi="宋体" w:eastAsia="宋体" w:cs="宋体"/>
          <w:sz w:val="21"/>
          <w:szCs w:val="21"/>
          <w:lang w:val="en-US" w:eastAsia="zh-CN"/>
        </w:rPr>
        <w:t>甲方委托的第三方检测机构、或污泥产生单位</w:t>
      </w:r>
      <w:r>
        <w:rPr>
          <w:rFonts w:hint="eastAsia" w:ascii="宋体" w:hAnsi="宋体" w:eastAsia="宋体" w:cs="宋体"/>
          <w:sz w:val="21"/>
          <w:szCs w:val="21"/>
        </w:rPr>
        <w:t>委托的第三方检测机构）检测及甲方抽检两部分。</w:t>
      </w:r>
    </w:p>
    <w:p w14:paraId="67D8FBC5">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检测</w:t>
      </w:r>
      <w:r>
        <w:rPr>
          <w:rFonts w:hint="eastAsia" w:ascii="宋体" w:hAnsi="宋体" w:eastAsia="宋体" w:cs="宋体"/>
          <w:sz w:val="21"/>
          <w:szCs w:val="21"/>
        </w:rPr>
        <w:t>采样方式：在本项目半干化泥粉外运装车时采集半干化泥粉样品，采样点为外运半干化泥粉的运输车内，采样方法执行《城镇污水处理厂污染物排放标准》（GB18918-2002）的规定，多点取样，即在污泥运输车上3个不同的地方，用不锈钢采样器采集泥样后，现场混合碾碎为一个均匀样。前述采集的均匀样分为3份，并对3份样品进行编码以便记录和区分。1份交由污水处理厂化验室（或</w:t>
      </w:r>
      <w:r>
        <w:rPr>
          <w:rFonts w:hint="eastAsia" w:ascii="宋体" w:hAnsi="宋体" w:eastAsia="宋体" w:cs="宋体"/>
          <w:sz w:val="21"/>
          <w:szCs w:val="21"/>
          <w:lang w:val="en-US" w:eastAsia="zh-CN"/>
        </w:rPr>
        <w:t>甲方委托的第三方检测机构、或污泥产生单位</w:t>
      </w:r>
      <w:r>
        <w:rPr>
          <w:rFonts w:hint="eastAsia" w:ascii="宋体" w:hAnsi="宋体" w:eastAsia="宋体" w:cs="宋体"/>
          <w:sz w:val="21"/>
          <w:szCs w:val="21"/>
        </w:rPr>
        <w:t>委托的第三方检测机构）检测及存底；1份放至污水处理厂化验室（或</w:t>
      </w:r>
      <w:r>
        <w:rPr>
          <w:rFonts w:hint="eastAsia" w:ascii="宋体" w:hAnsi="宋体" w:eastAsia="宋体" w:cs="宋体"/>
          <w:sz w:val="21"/>
          <w:szCs w:val="21"/>
          <w:lang w:val="en-US" w:eastAsia="zh-CN"/>
        </w:rPr>
        <w:t>甲方委托的第三方检测机构、或污泥产生单位</w:t>
      </w:r>
      <w:r>
        <w:rPr>
          <w:rFonts w:hint="eastAsia" w:ascii="宋体" w:hAnsi="宋体" w:eastAsia="宋体" w:cs="宋体"/>
          <w:sz w:val="21"/>
          <w:szCs w:val="21"/>
        </w:rPr>
        <w:t>委托的第三方检测机构），以备甲方委托的第三方检测机构复检（有异议时）或抽检（每月4次）；剩余1份交由乙方自行保留或自检。若乙方对污水处理厂化验室（或</w:t>
      </w:r>
      <w:r>
        <w:rPr>
          <w:rFonts w:hint="eastAsia" w:ascii="宋体" w:hAnsi="宋体" w:eastAsia="宋体" w:cs="宋体"/>
          <w:sz w:val="21"/>
          <w:szCs w:val="21"/>
          <w:lang w:val="en-US" w:eastAsia="zh-CN"/>
        </w:rPr>
        <w:t>甲方委托的第三方检测机构、或污泥产生单位</w:t>
      </w:r>
      <w:r>
        <w:rPr>
          <w:rFonts w:hint="eastAsia" w:ascii="宋体" w:hAnsi="宋体" w:eastAsia="宋体" w:cs="宋体"/>
          <w:sz w:val="21"/>
          <w:szCs w:val="21"/>
        </w:rPr>
        <w:t>委托的第三方检测机构）检测的含水率有异议（24小时内提出），则由甲方委托的第三方有资质的检测公司对污水处理厂留底的样品进行检测（48小时内），并以该含水率作为最终计费依据。</w:t>
      </w:r>
    </w:p>
    <w:p w14:paraId="61D75AD9">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（2）采样时乙方需用水印相机拍摄采样过程视频，并由乙方负责建立《采样台账》（具体格式由乙方自定，</w:t>
      </w:r>
      <w:r>
        <w:rPr>
          <w:rFonts w:hint="eastAsia" w:ascii="宋体" w:hAnsi="宋体" w:eastAsia="宋体" w:cs="宋体"/>
          <w:sz w:val="21"/>
          <w:szCs w:val="21"/>
          <w:lang w:val="en-US" w:eastAsia="zh-CN"/>
        </w:rPr>
        <w:t>应至少</w:t>
      </w:r>
      <w:r>
        <w:rPr>
          <w:rFonts w:hint="eastAsia" w:ascii="宋体" w:hAnsi="宋体" w:eastAsia="宋体" w:cs="宋体"/>
          <w:sz w:val="21"/>
          <w:szCs w:val="21"/>
        </w:rPr>
        <w:t>含样品编码、抽检位置、抽检时间及双方签字记录等信息），由污水处理厂（或</w:t>
      </w:r>
      <w:r>
        <w:rPr>
          <w:rFonts w:hint="eastAsia" w:ascii="宋体" w:hAnsi="宋体" w:eastAsia="宋体" w:cs="宋体"/>
          <w:sz w:val="21"/>
          <w:szCs w:val="21"/>
          <w:lang w:val="en-US" w:eastAsia="zh-CN"/>
        </w:rPr>
        <w:t>甲方委托的第三方检测机构、或污泥产生单位</w:t>
      </w:r>
      <w:r>
        <w:rPr>
          <w:rFonts w:hint="eastAsia" w:ascii="宋体" w:hAnsi="宋体" w:eastAsia="宋体" w:cs="宋体"/>
          <w:sz w:val="21"/>
          <w:szCs w:val="21"/>
        </w:rPr>
        <w:t>委托的第三方检测机构）和乙方共同在《采样台账》上签名确认污泥样品，采样视频及《采样台账》于每月请款时交甲方留底。</w:t>
      </w:r>
    </w:p>
    <w:p w14:paraId="0C895E39">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（3）污水处理厂化验室（或</w:t>
      </w:r>
      <w:r>
        <w:rPr>
          <w:rFonts w:hint="eastAsia" w:ascii="宋体" w:hAnsi="宋体" w:eastAsia="宋体" w:cs="宋体"/>
          <w:sz w:val="21"/>
          <w:szCs w:val="21"/>
          <w:lang w:val="en-US" w:eastAsia="zh-CN"/>
        </w:rPr>
        <w:t>甲方委托的第三方检测机构、或污泥产生单位</w:t>
      </w:r>
      <w:r>
        <w:rPr>
          <w:rFonts w:hint="eastAsia" w:ascii="宋体" w:hAnsi="宋体" w:eastAsia="宋体" w:cs="宋体"/>
          <w:sz w:val="21"/>
          <w:szCs w:val="21"/>
        </w:rPr>
        <w:t>委托的第三方检测机构）检测。由污水处理厂化验室（或</w:t>
      </w:r>
      <w:r>
        <w:rPr>
          <w:rFonts w:hint="eastAsia" w:ascii="宋体" w:hAnsi="宋体" w:eastAsia="宋体" w:cs="宋体"/>
          <w:sz w:val="21"/>
          <w:szCs w:val="21"/>
          <w:lang w:val="en-US" w:eastAsia="zh-CN"/>
        </w:rPr>
        <w:t>甲方委托的第三方检测机构、或污泥产生单位</w:t>
      </w:r>
      <w:r>
        <w:rPr>
          <w:rFonts w:hint="eastAsia" w:ascii="宋体" w:hAnsi="宋体" w:eastAsia="宋体" w:cs="宋体"/>
          <w:sz w:val="21"/>
          <w:szCs w:val="21"/>
        </w:rPr>
        <w:t>委托的第三方检测机构）对出厂时每车半干化泥粉进行采样检测。脱水减量化后的半干化泥粉出厂含水率的确认，由</w:t>
      </w:r>
      <w:r>
        <w:rPr>
          <w:rFonts w:hint="eastAsia" w:ascii="宋体" w:hAnsi="宋体" w:eastAsia="宋体" w:cs="宋体"/>
          <w:sz w:val="21"/>
          <w:szCs w:val="21"/>
          <w:lang w:val="en-US" w:eastAsia="zh-CN"/>
        </w:rPr>
        <w:t>污泥产生单位</w:t>
      </w:r>
      <w:r>
        <w:rPr>
          <w:rFonts w:hint="eastAsia" w:ascii="宋体" w:hAnsi="宋体" w:eastAsia="宋体" w:cs="宋体"/>
          <w:sz w:val="21"/>
          <w:szCs w:val="21"/>
        </w:rPr>
        <w:t>、甲方及乙方三方共同确认，形成《统计台账》，于每月请款时交甲方留底。</w:t>
      </w:r>
    </w:p>
    <w:p w14:paraId="23903EF1">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4）甲方委托的第三方检测机构每月随机从采集的样品中选取4个进行检测，并最终以甲方委托的第三方检测机构的检测数据作为当车污泥脱水减量化处理服务费计费依据，当月其余车次含水率以《统计台账》为准，形成《XXX年XX月XXX厂污泥脱水减量服务费结算台账》（下称“《结算台账》”），作为甲方向乙方支付当月污泥脱水减量化处理服务费的结算依据。</w:t>
      </w:r>
    </w:p>
    <w:p w14:paraId="18E300C7">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4、污泥脱水减量化处理服务费计费。</w:t>
      </w:r>
    </w:p>
    <w:p w14:paraId="7D8E5C9D">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（1）当车含水率小于等于55%时，当车污泥脱水减量化处理服务费=当车结算泥量×合同单价（从污水厂储泥池或沉淀池抽取的污泥减量至含水率不高于55%的半干化</w:t>
      </w:r>
      <w:r>
        <w:rPr>
          <w:rFonts w:hint="eastAsia" w:ascii="宋体" w:hAnsi="宋体" w:eastAsia="宋体" w:cs="宋体"/>
          <w:sz w:val="21"/>
          <w:szCs w:val="21"/>
          <w:lang w:val="en-US" w:eastAsia="zh-CN"/>
        </w:rPr>
        <w:t>泥粉</w:t>
      </w:r>
      <w:r>
        <w:rPr>
          <w:rFonts w:hint="eastAsia" w:ascii="宋体" w:hAnsi="宋体" w:eastAsia="宋体" w:cs="宋体"/>
          <w:sz w:val="21"/>
          <w:szCs w:val="21"/>
        </w:rPr>
        <w:t>服务费单价）。</w:t>
      </w:r>
    </w:p>
    <w:p w14:paraId="5CAC6809">
      <w:pPr>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）甲方按月支付污泥脱水减量化处理服务费给乙方。</w:t>
      </w:r>
    </w:p>
    <w:p w14:paraId="29CA6F69">
      <w:pPr>
        <w:snapToGrid w:val="0"/>
        <w:spacing w:line="360" w:lineRule="auto"/>
        <w:ind w:firstLine="413" w:firstLineChars="196"/>
        <w:outlineLvl w:val="9"/>
        <w:rPr>
          <w:rFonts w:hint="eastAsia" w:ascii="宋体" w:hAnsi="宋体" w:eastAsia="宋体" w:cs="宋体"/>
          <w:b/>
          <w:sz w:val="21"/>
          <w:szCs w:val="21"/>
        </w:rPr>
      </w:pPr>
      <w:r>
        <w:rPr>
          <w:rFonts w:hint="eastAsia" w:ascii="宋体" w:hAnsi="宋体" w:eastAsia="宋体" w:cs="宋体"/>
          <w:b/>
          <w:sz w:val="21"/>
          <w:szCs w:val="21"/>
        </w:rPr>
        <w:t>第四条 费用核算与支付</w:t>
      </w:r>
    </w:p>
    <w:p w14:paraId="42700575">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合同的履约过程中，乙方根据本合同约定需向甲方支付违约金、赔偿金、或其他应付费用等款项的，乙方必须向甲方支付完相关款项后，甲方才根据本合同向乙方支付服务费。若因乙方未能支付前述费用，影响项目实施的，甲方有权直接从履约担保或未付服务费款项中直接扣除，且乙方必须按照</w:t>
      </w:r>
      <w:r>
        <w:rPr>
          <w:rFonts w:hint="eastAsia" w:ascii="宋体" w:hAnsi="宋体" w:eastAsia="宋体" w:cs="宋体"/>
          <w:b/>
          <w:bCs/>
          <w:sz w:val="21"/>
          <w:szCs w:val="21"/>
          <w:u w:val="single"/>
        </w:rPr>
        <w:t>扣除前述费用前的</w:t>
      </w:r>
      <w:r>
        <w:rPr>
          <w:rFonts w:hint="eastAsia" w:ascii="宋体" w:hAnsi="宋体" w:eastAsia="宋体" w:cs="宋体"/>
          <w:b/>
          <w:bCs/>
          <w:sz w:val="21"/>
          <w:szCs w:val="21"/>
          <w:u w:val="single"/>
          <w:lang w:val="en-US" w:eastAsia="zh-CN"/>
        </w:rPr>
        <w:t>污泥脱水减量处理费</w:t>
      </w:r>
      <w:r>
        <w:rPr>
          <w:rFonts w:hint="eastAsia" w:ascii="宋体" w:hAnsi="宋体" w:eastAsia="宋体" w:cs="宋体"/>
          <w:sz w:val="21"/>
          <w:szCs w:val="21"/>
        </w:rPr>
        <w:t>（销售额）开具等额、合法、有效的增值税专用发票。</w:t>
      </w:r>
    </w:p>
    <w:p w14:paraId="5AB15CCF">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2、支付方式：</w:t>
      </w:r>
    </w:p>
    <w:p w14:paraId="06E24B48">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甲方通过银行承兑汇票或商业承兑汇票方式向乙方支付处理服务费。乙方应每月15日前，向甲方提交以下文件及单据等有效的请款凭证（所有资料需加盖乙方公章），申请支付上月污泥脱水减量化服务费，甲方收到请款凭证后在45个工作日内完成核实工作，核实后向乙方支付请款金额的50%，采用银行承兑汇票或商业承兑汇票的方式支付，付款期限不超过3个月。</w:t>
      </w:r>
    </w:p>
    <w:p w14:paraId="73A7ABB9">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A.请款报告；</w:t>
      </w:r>
    </w:p>
    <w:p w14:paraId="72C3C188">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B.</w:t>
      </w:r>
      <w:r>
        <w:rPr>
          <w:rFonts w:hint="eastAsia" w:ascii="宋体" w:hAnsi="宋体" w:eastAsia="宋体" w:cs="宋体"/>
          <w:sz w:val="21"/>
          <w:szCs w:val="21"/>
          <w:lang w:val="en-US" w:eastAsia="zh-CN"/>
        </w:rPr>
        <w:t>请款月份污泥脱水减量处理费100%的足</w:t>
      </w:r>
      <w:r>
        <w:rPr>
          <w:rFonts w:hint="eastAsia" w:ascii="宋体" w:hAnsi="宋体" w:eastAsia="宋体" w:cs="宋体"/>
          <w:sz w:val="21"/>
          <w:szCs w:val="21"/>
        </w:rPr>
        <w:t xml:space="preserve">额、合法、有效的增值税专用发票（收款方、出具票据方、合同受托方均需与乙方名称一致，付款方为东莞市众源环境投资有限公司）； </w:t>
      </w:r>
    </w:p>
    <w:p w14:paraId="159041F5">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C.《结算台账》。</w:t>
      </w:r>
    </w:p>
    <w:p w14:paraId="1DE42166">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(2) 剩余款项将在第一期款项支付后三个月内，</w:t>
      </w:r>
      <w:r>
        <w:rPr>
          <w:rFonts w:hint="eastAsia" w:ascii="宋体" w:hAnsi="宋体" w:eastAsia="宋体" w:cs="宋体"/>
          <w:sz w:val="21"/>
          <w:szCs w:val="21"/>
          <w:lang w:val="en-US" w:eastAsia="zh-CN"/>
        </w:rPr>
        <w:t>且甲方</w:t>
      </w:r>
      <w:r>
        <w:rPr>
          <w:rFonts w:hint="eastAsia" w:ascii="宋体" w:hAnsi="宋体" w:eastAsia="宋体" w:cs="宋体"/>
          <w:sz w:val="21"/>
          <w:szCs w:val="21"/>
        </w:rPr>
        <w:t>扣除乙方根据本合同约定需向甲方支付的违约金、赔偿金、或其他应付费用等款项后，</w:t>
      </w:r>
      <w:r>
        <w:rPr>
          <w:rFonts w:hint="eastAsia" w:ascii="宋体" w:hAnsi="宋体" w:eastAsia="宋体" w:cs="宋体"/>
          <w:sz w:val="21"/>
          <w:szCs w:val="21"/>
          <w:lang w:val="en-US" w:eastAsia="zh-CN"/>
        </w:rPr>
        <w:t>通过</w:t>
      </w:r>
      <w:r>
        <w:rPr>
          <w:rFonts w:hint="eastAsia" w:ascii="宋体" w:hAnsi="宋体" w:eastAsia="宋体" w:cs="宋体"/>
          <w:sz w:val="21"/>
          <w:szCs w:val="21"/>
        </w:rPr>
        <w:t>银行转账或汇款方式向乙方支付。</w:t>
      </w:r>
    </w:p>
    <w:p w14:paraId="721356CC">
      <w:pPr>
        <w:pStyle w:val="2"/>
        <w:snapToGrid w:val="0"/>
        <w:spacing w:line="360" w:lineRule="auto"/>
        <w:ind w:firstLine="420" w:firstLineChars="200"/>
        <w:jc w:val="both"/>
        <w:outlineLvl w:val="9"/>
        <w:rPr>
          <w:rFonts w:hint="eastAsia" w:ascii="宋体" w:hAnsi="宋体" w:eastAsia="宋体" w:cs="宋体"/>
          <w:b w:val="0"/>
          <w:bCs w:val="0"/>
          <w:kern w:val="0"/>
          <w:sz w:val="21"/>
          <w:szCs w:val="21"/>
          <w:lang w:val="en-US"/>
        </w:rPr>
      </w:pPr>
      <w:r>
        <w:rPr>
          <w:rFonts w:hint="eastAsia" w:ascii="宋体" w:hAnsi="宋体" w:eastAsia="宋体" w:cs="宋体"/>
          <w:b w:val="0"/>
          <w:bCs w:val="0"/>
          <w:kern w:val="0"/>
          <w:sz w:val="21"/>
          <w:szCs w:val="21"/>
          <w:lang w:val="en-US" w:eastAsia="zh-CN"/>
        </w:rPr>
        <w:t>3、</w:t>
      </w:r>
      <w:r>
        <w:rPr>
          <w:rFonts w:hint="eastAsia" w:ascii="宋体" w:hAnsi="宋体" w:eastAsia="宋体" w:cs="宋体"/>
          <w:b w:val="0"/>
          <w:bCs w:val="0"/>
          <w:kern w:val="0"/>
          <w:sz w:val="21"/>
          <w:szCs w:val="21"/>
          <w:lang w:val="en-US"/>
        </w:rPr>
        <w:t>乙方收款账号信息</w:t>
      </w:r>
    </w:p>
    <w:p w14:paraId="6B2F5D26">
      <w:pPr>
        <w:pStyle w:val="3"/>
        <w:autoSpaceDE/>
        <w:autoSpaceDN/>
        <w:adjustRightInd/>
        <w:snapToGrid w:val="0"/>
        <w:spacing w:after="0" w:line="360" w:lineRule="auto"/>
        <w:ind w:right="0" w:firstLineChars="200"/>
        <w:jc w:val="both"/>
        <w:outlineLvl w:val="9"/>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（1）乙方转账或汇款收款账户：</w:t>
      </w:r>
    </w:p>
    <w:p w14:paraId="09635455">
      <w:pPr>
        <w:pStyle w:val="3"/>
        <w:autoSpaceDE/>
        <w:autoSpaceDN/>
        <w:adjustRightInd/>
        <w:snapToGrid w:val="0"/>
        <w:spacing w:after="0" w:line="360" w:lineRule="auto"/>
        <w:ind w:right="0" w:firstLineChars="200"/>
        <w:jc w:val="both"/>
        <w:outlineLvl w:val="9"/>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账号户名：</w:t>
      </w:r>
    </w:p>
    <w:p w14:paraId="31679CCB">
      <w:pPr>
        <w:pStyle w:val="3"/>
        <w:autoSpaceDE/>
        <w:autoSpaceDN/>
        <w:adjustRightInd/>
        <w:snapToGrid w:val="0"/>
        <w:spacing w:after="0" w:line="360" w:lineRule="auto"/>
        <w:ind w:right="0" w:firstLineChars="200"/>
        <w:jc w:val="both"/>
        <w:outlineLvl w:val="9"/>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开户银行名称：</w:t>
      </w:r>
    </w:p>
    <w:p w14:paraId="218039A1">
      <w:pPr>
        <w:pStyle w:val="3"/>
        <w:autoSpaceDE/>
        <w:autoSpaceDN/>
        <w:adjustRightInd/>
        <w:snapToGrid w:val="0"/>
        <w:spacing w:after="0" w:line="360" w:lineRule="auto"/>
        <w:ind w:right="0" w:firstLineChars="200"/>
        <w:jc w:val="both"/>
        <w:outlineLvl w:val="9"/>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银行账号：</w:t>
      </w:r>
    </w:p>
    <w:p w14:paraId="2413495D">
      <w:pPr>
        <w:pStyle w:val="2"/>
        <w:snapToGrid w:val="0"/>
        <w:spacing w:line="360" w:lineRule="auto"/>
        <w:ind w:firstLine="420" w:firstLineChars="200"/>
        <w:jc w:val="both"/>
        <w:outlineLvl w:val="9"/>
        <w:rPr>
          <w:rFonts w:hint="eastAsia" w:ascii="宋体" w:hAnsi="宋体" w:eastAsia="宋体" w:cs="宋体"/>
          <w:b w:val="0"/>
          <w:bCs w:val="0"/>
          <w:kern w:val="0"/>
          <w:sz w:val="21"/>
          <w:szCs w:val="21"/>
          <w:lang w:val="en-US"/>
        </w:rPr>
      </w:pPr>
      <w:r>
        <w:rPr>
          <w:rFonts w:hint="eastAsia" w:ascii="宋体" w:hAnsi="宋体" w:eastAsia="宋体" w:cs="宋体"/>
          <w:b w:val="0"/>
          <w:bCs w:val="0"/>
          <w:kern w:val="0"/>
          <w:sz w:val="21"/>
          <w:szCs w:val="21"/>
          <w:lang w:val="en-US"/>
        </w:rPr>
        <w:t>（2）乙方汇票账号：</w:t>
      </w:r>
    </w:p>
    <w:p w14:paraId="092DDF75">
      <w:pPr>
        <w:pStyle w:val="2"/>
        <w:snapToGrid w:val="0"/>
        <w:spacing w:line="360" w:lineRule="auto"/>
        <w:ind w:firstLine="420" w:firstLineChars="200"/>
        <w:jc w:val="both"/>
        <w:outlineLvl w:val="9"/>
        <w:rPr>
          <w:rFonts w:hint="eastAsia" w:ascii="宋体" w:hAnsi="宋体" w:eastAsia="宋体" w:cs="宋体"/>
          <w:b w:val="0"/>
          <w:bCs w:val="0"/>
          <w:kern w:val="0"/>
          <w:sz w:val="21"/>
          <w:szCs w:val="21"/>
          <w:lang w:val="en-US"/>
        </w:rPr>
      </w:pPr>
      <w:r>
        <w:rPr>
          <w:rFonts w:hint="eastAsia" w:ascii="宋体" w:hAnsi="宋体" w:eastAsia="宋体" w:cs="宋体"/>
          <w:b w:val="0"/>
          <w:bCs w:val="0"/>
          <w:kern w:val="0"/>
          <w:sz w:val="21"/>
          <w:szCs w:val="21"/>
          <w:lang w:val="en-US"/>
        </w:rPr>
        <w:t>账号户名：</w:t>
      </w:r>
    </w:p>
    <w:p w14:paraId="3A4AB438">
      <w:pPr>
        <w:pStyle w:val="2"/>
        <w:snapToGrid w:val="0"/>
        <w:spacing w:line="360" w:lineRule="auto"/>
        <w:ind w:firstLine="420" w:firstLineChars="200"/>
        <w:jc w:val="both"/>
        <w:outlineLvl w:val="9"/>
        <w:rPr>
          <w:rFonts w:hint="eastAsia" w:ascii="宋体" w:hAnsi="宋体" w:eastAsia="宋体" w:cs="宋体"/>
          <w:b w:val="0"/>
          <w:bCs w:val="0"/>
          <w:kern w:val="0"/>
          <w:sz w:val="21"/>
          <w:szCs w:val="21"/>
          <w:lang w:val="en-US"/>
        </w:rPr>
      </w:pPr>
      <w:r>
        <w:rPr>
          <w:rFonts w:hint="eastAsia" w:ascii="宋体" w:hAnsi="宋体" w:eastAsia="宋体" w:cs="宋体"/>
          <w:b w:val="0"/>
          <w:bCs w:val="0"/>
          <w:kern w:val="0"/>
          <w:sz w:val="21"/>
          <w:szCs w:val="21"/>
          <w:lang w:val="en-US"/>
        </w:rPr>
        <w:t>开户银行名称：</w:t>
      </w:r>
    </w:p>
    <w:p w14:paraId="10AB8AD8">
      <w:pPr>
        <w:snapToGrid w:val="0"/>
        <w:spacing w:line="360" w:lineRule="auto"/>
        <w:ind w:firstLine="411" w:firstLineChars="196"/>
        <w:outlineLvl w:val="9"/>
        <w:rPr>
          <w:rFonts w:hint="eastAsia" w:ascii="宋体" w:hAnsi="宋体" w:eastAsia="宋体" w:cs="宋体"/>
          <w:b/>
          <w:sz w:val="21"/>
          <w:szCs w:val="21"/>
        </w:rPr>
      </w:pPr>
      <w:r>
        <w:rPr>
          <w:rFonts w:hint="eastAsia" w:ascii="宋体" w:hAnsi="宋体" w:eastAsia="宋体" w:cs="宋体"/>
          <w:b w:val="0"/>
          <w:bCs w:val="0"/>
          <w:kern w:val="0"/>
          <w:sz w:val="21"/>
          <w:szCs w:val="21"/>
          <w:lang w:val="en-US"/>
        </w:rPr>
        <w:t>银行账号：</w:t>
      </w:r>
    </w:p>
    <w:p w14:paraId="04B49D17">
      <w:pPr>
        <w:snapToGrid w:val="0"/>
        <w:spacing w:line="360" w:lineRule="auto"/>
        <w:ind w:firstLine="413" w:firstLineChars="196"/>
        <w:outlineLvl w:val="9"/>
        <w:rPr>
          <w:rFonts w:hint="eastAsia" w:ascii="宋体" w:hAnsi="宋体" w:eastAsia="宋体" w:cs="宋体"/>
          <w:b/>
          <w:sz w:val="21"/>
          <w:szCs w:val="21"/>
        </w:rPr>
      </w:pPr>
      <w:r>
        <w:rPr>
          <w:rFonts w:hint="eastAsia" w:ascii="宋体" w:hAnsi="宋体" w:eastAsia="宋体" w:cs="宋体"/>
          <w:b/>
          <w:sz w:val="21"/>
          <w:szCs w:val="21"/>
        </w:rPr>
        <w:t>第五条 技术服务标准</w:t>
      </w:r>
    </w:p>
    <w:p w14:paraId="6ED6AF18">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1、污泥处理标准</w:t>
      </w:r>
    </w:p>
    <w:p w14:paraId="35B09B74">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（1）脱水减量化处理后的半干化</w:t>
      </w:r>
      <w:r>
        <w:rPr>
          <w:rFonts w:hint="eastAsia" w:ascii="宋体" w:hAnsi="宋体" w:eastAsia="宋体" w:cs="宋体"/>
          <w:sz w:val="21"/>
          <w:szCs w:val="21"/>
          <w:lang w:val="en-US" w:eastAsia="zh-CN"/>
        </w:rPr>
        <w:t>泥粉</w:t>
      </w:r>
      <w:r>
        <w:rPr>
          <w:rFonts w:hint="eastAsia" w:ascii="宋体" w:hAnsi="宋体" w:eastAsia="宋体" w:cs="宋体"/>
          <w:sz w:val="21"/>
          <w:szCs w:val="21"/>
        </w:rPr>
        <w:t>含水率应不高于55%。考虑到脱水减量化的半干化</w:t>
      </w:r>
      <w:r>
        <w:rPr>
          <w:rFonts w:hint="eastAsia" w:ascii="宋体" w:hAnsi="宋体" w:eastAsia="宋体" w:cs="宋体"/>
          <w:sz w:val="21"/>
          <w:szCs w:val="21"/>
          <w:lang w:val="en-US" w:eastAsia="zh-CN"/>
        </w:rPr>
        <w:t>泥粉</w:t>
      </w:r>
      <w:r>
        <w:rPr>
          <w:rFonts w:hint="eastAsia" w:ascii="宋体" w:hAnsi="宋体" w:eastAsia="宋体" w:cs="宋体"/>
          <w:sz w:val="21"/>
          <w:szCs w:val="21"/>
        </w:rPr>
        <w:t>后端送砖厂、纸厂、电厂处置的要求，乙方需采取措施将半干化</w:t>
      </w:r>
      <w:r>
        <w:rPr>
          <w:rFonts w:hint="eastAsia" w:ascii="宋体" w:hAnsi="宋体" w:eastAsia="宋体" w:cs="宋体"/>
          <w:sz w:val="21"/>
          <w:szCs w:val="21"/>
          <w:lang w:val="en-US" w:eastAsia="zh-CN"/>
        </w:rPr>
        <w:t>泥粉</w:t>
      </w:r>
      <w:r>
        <w:rPr>
          <w:rFonts w:hint="eastAsia" w:ascii="宋体" w:hAnsi="宋体" w:eastAsia="宋体" w:cs="宋体"/>
          <w:sz w:val="21"/>
          <w:szCs w:val="21"/>
        </w:rPr>
        <w:t>进行适当破碎。</w:t>
      </w:r>
    </w:p>
    <w:p w14:paraId="24B0EB06">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（2）为保证污泥减量效果，不允许添加石灰以及含石灰的调理剂。</w:t>
      </w:r>
    </w:p>
    <w:p w14:paraId="7437056D">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（3）乙方需做好调理剂等添加药剂的出入库单（或进出场记录）或用量记录，定期提供给甲方，以备各级政府主管部门检查、核查。</w:t>
      </w:r>
    </w:p>
    <w:p w14:paraId="77397C4E">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2、配套设施排放要求</w:t>
      </w:r>
    </w:p>
    <w:p w14:paraId="12DE122F">
      <w:pPr>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（1）乙方减量化设备设施一般建设在污水处理厂污泥脱水车间或附近可利用空地，具体根据各处理点实际情况及污泥产生单位意见确定。</w:t>
      </w:r>
    </w:p>
    <w:p w14:paraId="3EE24BAC">
      <w:pPr>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（2）减量化处理过程中产生的废水须回流至污水处理厂指定地方，不得直接外排。</w:t>
      </w:r>
    </w:p>
    <w:p w14:paraId="1FA373C1">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乙方应确保</w:t>
      </w:r>
      <w:r>
        <w:rPr>
          <w:rFonts w:hint="eastAsia" w:ascii="宋体" w:hAnsi="宋体" w:eastAsia="宋体" w:cs="宋体"/>
          <w:sz w:val="21"/>
          <w:szCs w:val="21"/>
        </w:rPr>
        <w:t>减量处理项目产生的臭气、噪声不引起投诉。如出现相关投诉或</w:t>
      </w:r>
      <w:r>
        <w:rPr>
          <w:rFonts w:hint="eastAsia" w:ascii="宋体" w:hAnsi="宋体" w:eastAsia="宋体" w:cs="宋体"/>
          <w:sz w:val="21"/>
          <w:szCs w:val="21"/>
          <w:lang w:val="en-US" w:eastAsia="zh-CN"/>
        </w:rPr>
        <w:t>被</w:t>
      </w:r>
      <w:r>
        <w:rPr>
          <w:rFonts w:hint="eastAsia" w:ascii="宋体" w:hAnsi="宋体" w:eastAsia="宋体" w:cs="宋体"/>
          <w:sz w:val="21"/>
          <w:szCs w:val="21"/>
        </w:rPr>
        <w:t>行政主管部门通知整改时，由乙方负责制定整改方案并限期完成整改工作，产生的相关费用由乙方自行承担。</w:t>
      </w:r>
    </w:p>
    <w:p w14:paraId="4647D9E2">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（4）在国家、广东省以及东莞市的相关环保标准调整时，本合同下项目执行的排放标准相应进行调整。</w:t>
      </w:r>
    </w:p>
    <w:p w14:paraId="65F52A16">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3、项目服务标准</w:t>
      </w:r>
    </w:p>
    <w:p w14:paraId="42E3AD75">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在合同履行期间，合同对应的用户需求书所提及或甲方要求的相关法律、法规、规章、标准、规范等有修订、修正、更新，或被新的法律、法规、规章、标准、规范等取代，或在相关领域内有新的法律、法规、规章、标准、规范等出台，乙方应无条件按新的法律、法规、规章、标准、规范等执行。</w:t>
      </w:r>
    </w:p>
    <w:p w14:paraId="5EE53B2B">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（2）甲方按现状提供指定范围内的空地。项目用地的“三通一平”由乙方自主负责，若涉及总配电系统、供水管网、供气管网等设施设备改造或加装，所有费用亦由乙方承担，甲方予以配合。</w:t>
      </w:r>
    </w:p>
    <w:p w14:paraId="01BBCEBE">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（3）乙方对各污水处理厂原有道路、绿化等造成损坏，需在甲方限期内恢复原状并承担一切费用。</w:t>
      </w:r>
    </w:p>
    <w:p w14:paraId="531358BE">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（4）在服务期间，乙方需保证项目设施的外立面简洁美观，设备外观整洁，无明显的破损及渗漏，周边环境整洁，无污泥、污水、泥饼等跑、冒、滴、漏的现象。</w:t>
      </w:r>
    </w:p>
    <w:p w14:paraId="1E60A562">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5）乙方完成合同下项目前置或准备工作后，进入试运行需通知甲方，由甲方对设备设施或项目临时组建成果进行全面考核。乙方应积极配合甲方对项目建设费用、项目运营成本、设备运行效果、设备稳定性、环境影响进行评估。</w:t>
      </w:r>
    </w:p>
    <w:p w14:paraId="4BFE8AAE">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（6）由乙方负责半干化泥粉的外运装车工作，装车费用由乙方承担，乙方视现场情况考量是否配备铲车。</w:t>
      </w:r>
    </w:p>
    <w:p w14:paraId="33858E45">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7）脱水减量化设备设施布置在污水处理厂脱水车间附近，乙方应与甲方充分做好沟通协调，降低对现有脱水车间运行影响。若需要调整现有脱水车间设备运行情况，应提交专项方案，由甲方和污泥产生单位审核同意后实施。</w:t>
      </w:r>
    </w:p>
    <w:p w14:paraId="326D64EF">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4、项目管理要求</w:t>
      </w:r>
    </w:p>
    <w:p w14:paraId="759F023B">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（1）乙方应严格执行《中华人民共和国安全生产法》、《企业安全生产标准化基本规范》（GB/T 33000-2016）等国家有关安全生产和劳动保护的规范和标准，并遵守甲方及污水处理厂的安全生产管理制度以及《安全生产管理协议》，建立完善的安全生产和劳动保护体系，制定与污泥安全处理有关的规章制度、污泥安全监督管理实施方案和突发事故等安全生产应急预防方案，并向甲方报备。乙方须在合同履行期间保证安全与卫生设施随项目主体同时投入使用，并制定相应的操作规程。</w:t>
      </w:r>
    </w:p>
    <w:p w14:paraId="3B87E9AF">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2）如因乙方安全生产设备、措施、操作规程、环保设备设施、劳动保护条件等不符合规范要求或标准，导致安全生产事故/造成人身损害或财产损失的，由乙方自行承担全部责任和后果，如因此给甲方造成损失的，乙方承担全部赔偿责任。</w:t>
      </w:r>
    </w:p>
    <w:p w14:paraId="3D684628">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（3）合同期内，乙方的一切活动均须服从甲方的管理要求，接受甲方对本项目实施过程中的监督管理，甲方及其上级主管部门有权随时检查乙方的贮存和处理情况。</w:t>
      </w:r>
    </w:p>
    <w:p w14:paraId="5926D24B">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4）乙方应建立项目《生产台账》(具体格式由乙方自定)，《生产台账》内容应包括但不限于：如实记录日常运营中的污泥进料量、主要设备工艺及配套设备的运行参数、药剂使用量和进出场记录、能源使用量、污泥脱水产生量及含水率等。为便利甲方监管，乙方需及时向甲方提交项目《生产台账》并持续更新内容。</w:t>
      </w:r>
    </w:p>
    <w:p w14:paraId="05FAD79A">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（5）合同期内，乙方应对本项目所含各项设施设备进行日常养护、维修、更新改造或重置，以满足项目运营目标之需要，并承担相应费用。</w:t>
      </w:r>
    </w:p>
    <w:p w14:paraId="12673581">
      <w:pPr>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6）乙方在各污水处理厂内的一切活动均须服从甲方的管理要求，乙方的所有工作人员须遵守甲方、污泥产生单位及相关污水处理厂的安全生产管理制度，未经甲方、污泥产生单位同意，不能进入与运营无关的区域，不得影响甲方、污泥产生单位的办公、生产、生活等。乙方管理人员、车辆、机械等进出甲方、污泥产生单位相关污水处理厂须服从甲方的管理规定，并佩戴乙方的工作牌，对不服从管理的人员，甲方有权拒绝其进入。</w:t>
      </w:r>
    </w:p>
    <w:p w14:paraId="01EBD075">
      <w:pPr>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（7）如是可预见性的计划外停产，乙方应提前书面通知甲方并经甲方同意。如是不可预见性的任何计划外停产时，乙方应立即通知甲方并采取有效的补救措施，且须在停产后的2日内向甲方提交书面的情况说明。</w:t>
      </w:r>
    </w:p>
    <w:p w14:paraId="29361D14">
      <w:pPr>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（8）乙方自行负责合同履行期间管理人员食宿等的办公生活保障。</w:t>
      </w:r>
    </w:p>
    <w:p w14:paraId="24976DD2">
      <w:pPr>
        <w:snapToGrid w:val="0"/>
        <w:spacing w:line="360" w:lineRule="auto"/>
        <w:ind w:firstLine="413" w:firstLineChars="196"/>
        <w:outlineLvl w:val="9"/>
        <w:rPr>
          <w:rFonts w:hint="eastAsia" w:ascii="宋体" w:hAnsi="宋体" w:eastAsia="宋体" w:cs="宋体"/>
          <w:b/>
          <w:sz w:val="21"/>
          <w:szCs w:val="21"/>
        </w:rPr>
      </w:pPr>
      <w:r>
        <w:rPr>
          <w:rFonts w:hint="eastAsia" w:ascii="宋体" w:hAnsi="宋体" w:eastAsia="宋体" w:cs="宋体"/>
          <w:b/>
          <w:sz w:val="21"/>
          <w:szCs w:val="21"/>
        </w:rPr>
        <w:t>第六条 双方的权利与义务</w:t>
      </w:r>
    </w:p>
    <w:p w14:paraId="1E9598FE">
      <w:pPr>
        <w:tabs>
          <w:tab w:val="left" w:pos="142"/>
        </w:tabs>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1、甲方权利和义务</w:t>
      </w:r>
    </w:p>
    <w:p w14:paraId="027F47BF">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（1）审核乙方提交的污泥脱水减量化服务方案进行备案（但不免除乙方应当承担的合同责任）。</w:t>
      </w:r>
    </w:p>
    <w:p w14:paraId="42A850CD">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（2）与乙方共同确认污泥减量化实际产量。</w:t>
      </w:r>
    </w:p>
    <w:p w14:paraId="332811DA">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3）有权不定期地对各处理系统进行检查、巡查、巡视等，有权对各种泥样、水样进行取样检测、分析。如发现乙方存在未按合同及附件相关文件规定执行，或执行内容不符合设计和规范要求行为的（包括但不限于系统操作不当，采购运用于本项目的材料、设备不符合质量要求等），甲方有权要求乙方限期改正等，由此产生的费用由乙方全部承担。</w:t>
      </w:r>
    </w:p>
    <w:p w14:paraId="65134BEF">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（4）监督、指导乙方进行运营管理工作，及时纠正乙方出现问题，甲方有权要求乙方对不符合要求的问题提出书面整改意见，乙方应在甲方规定的时间内完成整改。</w:t>
      </w:r>
    </w:p>
    <w:p w14:paraId="43EC366C">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5）合同履行期内，甲方有权依据国家、行业有关规范标准，调整完善服务技术要求，乙方同意遵照执行。如合同履行期内相关行政管理部门出台相关执行标准，则执行新的标准，当新的标准与用户需求书中的执行标准要求不一致时，以要求最高的规范标准作为本项目的执行标准。在合同履行期内，乙方同意不因相关执行标准的调整而要求甲方增加费用或要求补偿。</w:t>
      </w:r>
    </w:p>
    <w:p w14:paraId="108E1CC2">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（6）甲方按照既定的审批支付程序，及时办理服务费的支付手续。</w:t>
      </w:r>
    </w:p>
    <w:p w14:paraId="4E22449A">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（7）甲方有权根据其他污水处理厂处理需求或水环境、水污染治理、通沟、自来水厂排泥水处理等其他项目污泥运输至本合同下项目由乙方减量化处理。</w:t>
      </w:r>
    </w:p>
    <w:p w14:paraId="74BAEAC9">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8</w:t>
      </w:r>
      <w:r>
        <w:rPr>
          <w:rFonts w:hint="eastAsia" w:ascii="宋体" w:hAnsi="宋体" w:eastAsia="宋体" w:cs="宋体"/>
          <w:sz w:val="21"/>
          <w:szCs w:val="21"/>
        </w:rPr>
        <w:t>）若乙方污泥减量化处理能力不能满足甲方污泥脱水减量化处理需求或乙方未能根据承诺按时投产或达标处理的，甲方有权</w:t>
      </w:r>
      <w:r>
        <w:rPr>
          <w:rFonts w:hint="eastAsia" w:ascii="宋体" w:hAnsi="宋体" w:eastAsia="宋体" w:cs="宋体"/>
          <w:sz w:val="21"/>
          <w:szCs w:val="21"/>
          <w:lang w:val="en-US" w:eastAsia="zh-CN"/>
        </w:rPr>
        <w:t>要求乙方通过增加脱水减量化设备、技术升级或改造等措施以满足污泥脱水减量化处理需求，且甲方有权</w:t>
      </w:r>
      <w:r>
        <w:rPr>
          <w:rFonts w:hint="eastAsia" w:ascii="宋体" w:hAnsi="宋体" w:eastAsia="宋体" w:cs="宋体"/>
          <w:sz w:val="21"/>
          <w:szCs w:val="21"/>
        </w:rPr>
        <w:t>另行委托其他单位实施脱水减量化处理，甲方不承担任何违约责任。</w:t>
      </w:r>
    </w:p>
    <w:p w14:paraId="48077C9C">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9</w:t>
      </w:r>
      <w:r>
        <w:rPr>
          <w:rFonts w:hint="eastAsia" w:ascii="宋体" w:hAnsi="宋体" w:eastAsia="宋体" w:cs="宋体"/>
          <w:sz w:val="21"/>
          <w:szCs w:val="21"/>
        </w:rPr>
        <w:t>）合同文件及附件内容约定的甲方其他权利义务。</w:t>
      </w:r>
    </w:p>
    <w:p w14:paraId="197AAC16">
      <w:pPr>
        <w:tabs>
          <w:tab w:val="left" w:pos="142"/>
        </w:tabs>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2、乙方权利和义务</w:t>
      </w:r>
    </w:p>
    <w:p w14:paraId="3494C08B">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（1）乙方应按甲方的要求连续不间断的接收处理污泥，确保污水处理厂污泥脱水减量化处理服务项目能按设计规模满负荷运行</w:t>
      </w:r>
      <w:r>
        <w:rPr>
          <w:rFonts w:hint="eastAsia" w:ascii="宋体" w:hAnsi="宋体" w:eastAsia="宋体" w:cs="宋体"/>
          <w:sz w:val="21"/>
          <w:szCs w:val="21"/>
          <w:lang w:val="en-US" w:eastAsia="zh-CN"/>
        </w:rPr>
        <w:t>或满足污泥处理量增加、泥质变化等情况下的污水处理厂污泥脱水减量化处理服务需求</w:t>
      </w:r>
      <w:r>
        <w:rPr>
          <w:rFonts w:hint="eastAsia" w:ascii="宋体" w:hAnsi="宋体" w:eastAsia="宋体" w:cs="宋体"/>
          <w:sz w:val="21"/>
          <w:szCs w:val="21"/>
          <w:lang w:eastAsia="zh-CN"/>
        </w:rPr>
        <w:t>，</w:t>
      </w:r>
      <w:r>
        <w:rPr>
          <w:rFonts w:hint="eastAsia" w:ascii="宋体" w:hAnsi="宋体" w:eastAsia="宋体" w:cs="宋体"/>
          <w:sz w:val="21"/>
          <w:szCs w:val="21"/>
          <w:highlight w:val="none"/>
          <w:lang w:val="en-US" w:eastAsia="zh-CN"/>
        </w:rPr>
        <w:t>若乙方污泥减量化处理能力不能满足甲方污泥脱水减量化处理需求时</w:t>
      </w:r>
      <w:r>
        <w:rPr>
          <w:rFonts w:hint="eastAsia" w:ascii="宋体" w:hAnsi="宋体" w:eastAsia="宋体" w:cs="宋体"/>
          <w:sz w:val="21"/>
          <w:szCs w:val="21"/>
          <w:lang w:val="en-US" w:eastAsia="zh-CN"/>
        </w:rPr>
        <w:t>，乙方有义务通过增加脱水减量化设备、技术升级或改造等措施提高产能，以满足污泥脱水减量化处理需求</w:t>
      </w:r>
      <w:r>
        <w:rPr>
          <w:rFonts w:hint="eastAsia" w:ascii="宋体" w:hAnsi="宋体" w:eastAsia="宋体" w:cs="宋体"/>
          <w:sz w:val="21"/>
          <w:szCs w:val="21"/>
        </w:rPr>
        <w:t>。污泥减量化处理过程中，</w:t>
      </w:r>
      <w:r>
        <w:rPr>
          <w:rFonts w:hint="eastAsia" w:ascii="宋体" w:hAnsi="宋体" w:eastAsia="宋体" w:cs="宋体"/>
          <w:sz w:val="21"/>
          <w:szCs w:val="21"/>
          <w:lang w:val="en-US" w:eastAsia="zh-CN"/>
        </w:rPr>
        <w:t>乙方应</w:t>
      </w:r>
      <w:r>
        <w:rPr>
          <w:rFonts w:hint="eastAsia" w:ascii="宋体" w:hAnsi="宋体" w:eastAsia="宋体" w:cs="宋体"/>
          <w:sz w:val="21"/>
          <w:szCs w:val="21"/>
        </w:rPr>
        <w:t>同步操作和运行新增的除臭、污水处理等环境保护设施，确保污泥处理系统满足国家相关法律、法规、技术标准的要求。</w:t>
      </w:r>
    </w:p>
    <w:p w14:paraId="3A01BE58">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2）项目实施前乙方向甲方提交服务方案，严格按照其服务方案（包括实施计划、设备、人员、文明、安全等）执行。根据项目实际情况，如需调整服务的，应按甲方要求无条件调整服务方案等，并以经甲方同意并调整后的方案执行，乙方无权要求增加任何费用。未经甲方书面同意，乙方不得更换项目负责人员、技术服务人员，否则视为违约。</w:t>
      </w:r>
    </w:p>
    <w:p w14:paraId="55015CBE">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3）乙方应严格执行本合同服务范围内甲方、污泥产生单位及污水处理厂的管理规章制度，并根据甲方的生产调度安排，进行本合同项目的污泥脱水的生产运营，不能对项目服务范围内的污水处理厂的正常生产运营、出水达标造成影响。</w:t>
      </w:r>
    </w:p>
    <w:p w14:paraId="07A59A4B">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4）在合同履行期间，遵守有关安全生产管理规定，建立完善安全管理制度，安全生产事故报告制度，采取必要的安全防护措施，定期进行安全隐患排查，消除事故隐患。由于乙方的不尽职、操作不当、安全措施不力、人为疏失等原因造成双方及第三方的财产毁损、人身伤害（含各方雇员及临时聘用人员）及安全事故的责任和因此发生的费用，全部由乙方承担。若造成甲方其他损失，乙方仍需全额赔偿。若产生劳动纠纷或仲裁或诉讼，均由乙方自行处理并承担损害赔偿，甲方不承担任何责任；由此导致甲方需要支出相关律师费、诉讼费等相关费用的，由乙方全额向甲方赔偿。</w:t>
      </w:r>
    </w:p>
    <w:p w14:paraId="60EF3871">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（5）建立及完善符合本项目实施所要求的内部管理制度，如因质量问题、操作不当或乙方自身管理原因而造成一切责任及经济损失由乙方承担。</w:t>
      </w:r>
    </w:p>
    <w:p w14:paraId="5FD8396B">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（6）在服务范围内按规范操作运行各处理系统，并做好各处理系统及配套设施的保护工作。若因乙方防护不力而造成损失，一切责任及经济损失由乙方承担。</w:t>
      </w:r>
    </w:p>
    <w:p w14:paraId="3710860A">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7）在本合同履行期间，承担其聘请人员的用工责任及用人单位责任。为其雇员、劳动者依法提供劳动保护，为从事维护工作的人员购买社会保险或意外伤害保险，并为施工场地内自有人员生命财产和施工机械设备办理保险，承担并支付保险费用。如乙方人员（包括雇员、乙方劳动者等）在服务过程中发生工伤事件或意外事故的，由乙方依法妥善处理，承担全部责任并支付全部费用，并应确保不影响本项目的正常运行。如因此导致甲方损失的，乙方应承担全部赔偿责任。</w:t>
      </w:r>
    </w:p>
    <w:p w14:paraId="591D0B98">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（8）严格遵守国家法律、法规，协助甲方做好社会治安综合管理工作等工作。乙方员工有违法乱纪的行为，乙方应承担一切经济责任和法律责任。</w:t>
      </w:r>
    </w:p>
    <w:p w14:paraId="3859F2D2">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9）甲方上级单位或市有关部门进行监督检查时，乙方应无条件配合甲方及有关部门组织的突击性任务及迎检活动，按时、按标准、按要求完成甲方所分配的工作。积极响应并接受甲方或市、镇街相关主管部门及其他上级部门的监督检查并接受广大市民监督。</w:t>
      </w:r>
    </w:p>
    <w:p w14:paraId="174AF929">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（10）乙方应在每月结束后5日内根据每月工作实况向甲方提供按本合同要求建立的项目</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生产台账</w:t>
      </w:r>
      <w:r>
        <w:rPr>
          <w:rFonts w:hint="eastAsia" w:ascii="宋体" w:hAnsi="宋体" w:eastAsia="宋体" w:cs="宋体"/>
          <w:sz w:val="21"/>
          <w:szCs w:val="21"/>
          <w:lang w:eastAsia="zh-CN"/>
        </w:rPr>
        <w:t>》</w:t>
      </w:r>
      <w:r>
        <w:rPr>
          <w:rFonts w:hint="eastAsia" w:ascii="宋体" w:hAnsi="宋体" w:eastAsia="宋体" w:cs="宋体"/>
          <w:sz w:val="21"/>
          <w:szCs w:val="21"/>
        </w:rPr>
        <w:t>，并协助甲方做好各级政府主管部门的参观检查工作。</w:t>
      </w:r>
    </w:p>
    <w:p w14:paraId="54564981">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11）在合同期限内保存好全部与运营管理相关的文件资料，且不得将上述文件资料向第三人披露或用于本项目之外的目的。在合同解除或终止后，按照甲方的要求，做好本项目的交接工作。如因资料缺失对甲方后续工作造成影响的，由此产生的费用由乙方全部承担。</w:t>
      </w:r>
    </w:p>
    <w:p w14:paraId="0F9EA60F">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（12）禁止乙方将全部的权利义务转让给第三人；未经甲方书面同意，乙方不得将本合同项下乙方的部分权利义务</w:t>
      </w:r>
      <w:r>
        <w:rPr>
          <w:rFonts w:hint="eastAsia" w:ascii="宋体" w:hAnsi="宋体" w:eastAsia="宋体" w:cs="宋体"/>
          <w:sz w:val="21"/>
          <w:szCs w:val="21"/>
          <w:lang w:val="en-US" w:eastAsia="zh-CN"/>
        </w:rPr>
        <w:t>分包</w:t>
      </w:r>
      <w:r>
        <w:rPr>
          <w:rFonts w:hint="eastAsia" w:ascii="宋体" w:hAnsi="宋体" w:eastAsia="宋体" w:cs="宋体"/>
          <w:sz w:val="21"/>
          <w:szCs w:val="21"/>
        </w:rPr>
        <w:t>给第三人。</w:t>
      </w:r>
    </w:p>
    <w:p w14:paraId="1EB9C29E">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（13）在污泥接收及处理过程中，因乙方自身原因引起以及乙方在甲方厂区内外造成污泥二次污染事故，均由乙方承担相应的责任，如给甲方造成损失的，还应当承担全部赔偿责任。</w:t>
      </w:r>
    </w:p>
    <w:p w14:paraId="526D387C">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（14）严格按照符合国家、省及东莞市有关规定的污泥处理方式、工艺及甲方的要求按时、保质完成污泥的减量化处理工作。</w:t>
      </w:r>
    </w:p>
    <w:p w14:paraId="14837E18">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（15）乙方施工进场前应与甲方签订《安全生产管理协议》，明确双方安全工作职责，乙方需配合甲方的安全生产检查以及应急演练等。</w:t>
      </w:r>
    </w:p>
    <w:p w14:paraId="72442276">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（16）乙方在污泥减量化处理过程中</w:t>
      </w:r>
      <w:r>
        <w:rPr>
          <w:rFonts w:hint="eastAsia" w:ascii="宋体" w:hAnsi="宋体" w:eastAsia="宋体" w:cs="宋体"/>
          <w:sz w:val="21"/>
          <w:szCs w:val="21"/>
          <w:lang w:val="en-US" w:eastAsia="zh-CN"/>
        </w:rPr>
        <w:t>不允许添加石灰以及含石灰的调理剂</w:t>
      </w:r>
      <w:r>
        <w:rPr>
          <w:rFonts w:hint="eastAsia" w:ascii="宋体" w:hAnsi="宋体" w:eastAsia="宋体" w:cs="宋体"/>
          <w:sz w:val="21"/>
          <w:szCs w:val="21"/>
        </w:rPr>
        <w:t>。</w:t>
      </w:r>
    </w:p>
    <w:p w14:paraId="21BD8958">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7</w:t>
      </w:r>
      <w:r>
        <w:rPr>
          <w:rFonts w:hint="eastAsia" w:ascii="宋体" w:hAnsi="宋体" w:eastAsia="宋体" w:cs="宋体"/>
          <w:sz w:val="21"/>
          <w:szCs w:val="21"/>
        </w:rPr>
        <w:t>）甲方通过银行承兑汇票或商业承兑汇票支付处理服务费时，乙方还应根据相关法律法规的规定履行以下义务：</w:t>
      </w:r>
    </w:p>
    <w:p w14:paraId="78CEB7E5">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（A）乙方不得更改票据金额、日期、收款人名称，更改的票据无效。对票据上的其他记载事项，甲方可以更改，更改时应当由甲方签章证明。</w:t>
      </w:r>
    </w:p>
    <w:p w14:paraId="2030642B">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（B）乙方应自汇票到期前十日内持汇票向汇票指定银行提示付款。乙方向银行申请汇票贴现的，贴现利息以及相关手续费用等均由乙方自行承担，甲方无需承担因此产生的利息、手续费等任何费用。</w:t>
      </w:r>
    </w:p>
    <w:p w14:paraId="60F40CB5">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（C）乙方获得付款的，应当在汇票上签收，并将汇票交给银行。乙方委托银行收款的，受委托的银行将代收的汇票金额转账收入乙方账户的，视同签收。</w:t>
      </w:r>
    </w:p>
    <w:p w14:paraId="43656D3A">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D）汇票到期被拒绝付款的，自被银行拒绝付款之日起六个月内，乙方可以对甲方行使追索权。乙方行使追索权时，应当提供被拒绝承兑或者被拒绝付款的有关证明。乙方不能出示拒绝证明、退票理由书或者未按照规定期限提供其他合法证明的，丧失对甲方的追索权。</w:t>
      </w:r>
    </w:p>
    <w:p w14:paraId="554CB4DE">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（E）本合同项下的汇票以本合同的真实合法交易关系为基础，乙方不履行合同约定义务的，甲方有权拒绝向乙方付款。</w:t>
      </w:r>
    </w:p>
    <w:p w14:paraId="232CA9D0">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（F）乙方不得提供伪造或变造的票据向银行提示付款，否则，乙方除需依法承担相应的法律责任外，甲方有权追究乙方违约责任，并要求乙方支付1万元违约金，如甲方因此遭受损失的，乙方还应予全额赔偿。</w:t>
      </w:r>
    </w:p>
    <w:p w14:paraId="2489F7C9">
      <w:pPr>
        <w:widowControl/>
        <w:snapToGrid w:val="0"/>
        <w:spacing w:line="360" w:lineRule="auto"/>
        <w:ind w:firstLine="420" w:firstLineChars="200"/>
        <w:outlineLvl w:val="9"/>
        <w:rPr>
          <w:rFonts w:hint="eastAsia" w:ascii="宋体" w:hAnsi="宋体" w:eastAsia="宋体" w:cs="宋体"/>
          <w:b w:val="0"/>
          <w:bCs w:val="0"/>
          <w:sz w:val="21"/>
          <w:szCs w:val="21"/>
          <w:u w:val="none"/>
          <w:lang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18</w:t>
      </w:r>
      <w:r>
        <w:rPr>
          <w:rFonts w:hint="eastAsia" w:ascii="宋体" w:hAnsi="宋体" w:eastAsia="宋体" w:cs="宋体"/>
          <w:sz w:val="21"/>
          <w:szCs w:val="21"/>
        </w:rPr>
        <w:t>）</w:t>
      </w:r>
      <w:r>
        <w:rPr>
          <w:rFonts w:hint="eastAsia" w:ascii="宋体" w:hAnsi="宋体" w:eastAsia="宋体" w:cs="宋体"/>
          <w:sz w:val="21"/>
          <w:szCs w:val="21"/>
          <w:lang w:val="en-US" w:eastAsia="zh-CN"/>
        </w:rPr>
        <w:t>合同履行期间，若</w:t>
      </w:r>
      <w:r>
        <w:rPr>
          <w:rFonts w:hint="eastAsia" w:ascii="宋体" w:hAnsi="宋体" w:eastAsia="宋体" w:cs="宋体"/>
          <w:sz w:val="21"/>
          <w:szCs w:val="21"/>
        </w:rPr>
        <w:t>污水处理厂要求支付污泥减量化服务过程中的用水、用电、</w:t>
      </w:r>
      <w:r>
        <w:rPr>
          <w:rFonts w:hint="eastAsia" w:ascii="宋体" w:hAnsi="宋体" w:eastAsia="宋体" w:cs="宋体"/>
          <w:sz w:val="21"/>
          <w:szCs w:val="21"/>
          <w:lang w:val="en-US" w:eastAsia="zh-CN"/>
        </w:rPr>
        <w:t>生产过程中</w:t>
      </w:r>
      <w:r>
        <w:rPr>
          <w:rFonts w:hint="eastAsia" w:ascii="宋体" w:hAnsi="宋体" w:eastAsia="宋体" w:cs="宋体"/>
          <w:sz w:val="21"/>
          <w:szCs w:val="21"/>
        </w:rPr>
        <w:t>产生的废水处理费</w:t>
      </w:r>
      <w:r>
        <w:rPr>
          <w:rFonts w:hint="eastAsia" w:ascii="宋体" w:hAnsi="宋体" w:eastAsia="宋体" w:cs="宋体"/>
          <w:sz w:val="21"/>
          <w:szCs w:val="21"/>
          <w:lang w:val="en-US" w:eastAsia="zh-CN"/>
        </w:rPr>
        <w:t>的</w:t>
      </w:r>
      <w:r>
        <w:rPr>
          <w:rFonts w:hint="eastAsia" w:ascii="宋体" w:hAnsi="宋体" w:eastAsia="宋体" w:cs="宋体"/>
          <w:sz w:val="21"/>
          <w:szCs w:val="21"/>
        </w:rPr>
        <w:t>，</w:t>
      </w:r>
      <w:r>
        <w:rPr>
          <w:rFonts w:hint="eastAsia" w:ascii="宋体" w:hAnsi="宋体" w:eastAsia="宋体" w:cs="宋体"/>
          <w:sz w:val="21"/>
          <w:szCs w:val="21"/>
          <w:lang w:val="en-US" w:eastAsia="zh-CN"/>
        </w:rPr>
        <w:t>费用由乙方承担，并按照污水处理厂的要求支付</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甲方无需向乙方补偿该部分费用，乙方</w:t>
      </w:r>
      <w:r>
        <w:rPr>
          <w:rFonts w:hint="eastAsia" w:ascii="宋体" w:hAnsi="宋体" w:eastAsia="宋体" w:cs="宋体"/>
          <w:b w:val="0"/>
          <w:bCs w:val="0"/>
          <w:sz w:val="21"/>
          <w:szCs w:val="21"/>
          <w:u w:val="none"/>
        </w:rPr>
        <w:t>同意放弃向</w:t>
      </w:r>
      <w:r>
        <w:rPr>
          <w:rFonts w:hint="eastAsia" w:ascii="宋体" w:hAnsi="宋体" w:eastAsia="宋体" w:cs="宋体"/>
          <w:b w:val="0"/>
          <w:bCs w:val="0"/>
          <w:sz w:val="21"/>
          <w:szCs w:val="21"/>
          <w:u w:val="none"/>
          <w:lang w:val="en-US" w:eastAsia="zh-CN"/>
        </w:rPr>
        <w:t>甲方</w:t>
      </w:r>
      <w:r>
        <w:rPr>
          <w:rFonts w:hint="eastAsia" w:ascii="宋体" w:hAnsi="宋体" w:eastAsia="宋体" w:cs="宋体"/>
          <w:b w:val="0"/>
          <w:bCs w:val="0"/>
          <w:sz w:val="21"/>
          <w:szCs w:val="21"/>
          <w:u w:val="none"/>
        </w:rPr>
        <w:t>追讨任何费用或主张任何权利</w:t>
      </w:r>
      <w:r>
        <w:rPr>
          <w:rFonts w:hint="eastAsia" w:ascii="宋体" w:hAnsi="宋体" w:eastAsia="宋体" w:cs="宋体"/>
          <w:b w:val="0"/>
          <w:bCs w:val="0"/>
          <w:sz w:val="21"/>
          <w:szCs w:val="21"/>
          <w:u w:val="none"/>
          <w:lang w:eastAsia="zh-CN"/>
        </w:rPr>
        <w:t>。</w:t>
      </w:r>
    </w:p>
    <w:p w14:paraId="61078A0C">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19</w:t>
      </w:r>
      <w:r>
        <w:rPr>
          <w:rFonts w:hint="eastAsia" w:ascii="宋体" w:hAnsi="宋体" w:eastAsia="宋体" w:cs="宋体"/>
          <w:sz w:val="21"/>
          <w:szCs w:val="21"/>
        </w:rPr>
        <w:t>）合同文件及附件内容约定的乙方其他权利义务。</w:t>
      </w:r>
    </w:p>
    <w:p w14:paraId="39A9CBC3">
      <w:pPr>
        <w:snapToGrid w:val="0"/>
        <w:spacing w:line="360" w:lineRule="auto"/>
        <w:ind w:firstLine="424" w:firstLineChars="201"/>
        <w:outlineLvl w:val="9"/>
        <w:rPr>
          <w:rFonts w:hint="eastAsia" w:ascii="宋体" w:hAnsi="宋体" w:eastAsia="宋体" w:cs="宋体"/>
          <w:b/>
          <w:bCs/>
          <w:sz w:val="21"/>
          <w:szCs w:val="21"/>
        </w:rPr>
      </w:pPr>
      <w:r>
        <w:rPr>
          <w:rFonts w:hint="eastAsia" w:ascii="宋体" w:hAnsi="宋体" w:eastAsia="宋体" w:cs="宋体"/>
          <w:b/>
          <w:bCs/>
          <w:sz w:val="21"/>
          <w:szCs w:val="21"/>
        </w:rPr>
        <w:t>第七条 履约担保</w:t>
      </w:r>
    </w:p>
    <w:p w14:paraId="3BCA6433">
      <w:pPr>
        <w:snapToGrid w:val="0"/>
        <w:spacing w:line="360" w:lineRule="auto"/>
        <w:ind w:firstLine="420" w:firstLineChars="20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1、乙方应当在规定的时间内向甲方提供履约担保，履约担保形式及金额由乙方从以下方式中任选一种：</w:t>
      </w:r>
    </w:p>
    <w:p w14:paraId="7629C7DB">
      <w:pPr>
        <w:snapToGrid w:val="0"/>
        <w:spacing w:line="360" w:lineRule="auto"/>
        <w:ind w:firstLine="371" w:firstLineChars="177"/>
        <w:outlineLvl w:val="9"/>
        <w:rPr>
          <w:rFonts w:hint="eastAsia" w:ascii="宋体" w:hAnsi="宋体" w:eastAsia="宋体" w:cs="宋体"/>
          <w:color w:val="000000"/>
          <w:sz w:val="21"/>
          <w:szCs w:val="21"/>
          <w:u w:val="single"/>
        </w:rPr>
      </w:pPr>
      <w:r>
        <w:rPr>
          <w:rFonts w:hint="eastAsia" w:ascii="宋体" w:hAnsi="宋体" w:eastAsia="宋体" w:cs="宋体"/>
          <w:color w:val="000000"/>
          <w:sz w:val="21"/>
          <w:szCs w:val="21"/>
        </w:rPr>
        <w:t>□ 履约保证金（银行转账形式）金额为人民币</w:t>
      </w:r>
      <w:r>
        <w:rPr>
          <w:rFonts w:hint="eastAsia" w:ascii="宋体" w:hAnsi="宋体" w:eastAsia="宋体" w:cs="宋体"/>
          <w:color w:val="000000"/>
          <w:sz w:val="21"/>
          <w:szCs w:val="21"/>
          <w:u w:val="single"/>
        </w:rPr>
        <w:t xml:space="preserve">      。</w:t>
      </w:r>
    </w:p>
    <w:p w14:paraId="00311A06">
      <w:pPr>
        <w:snapToGrid w:val="0"/>
        <w:spacing w:line="360" w:lineRule="auto"/>
        <w:ind w:firstLine="371" w:firstLineChars="177"/>
        <w:outlineLvl w:val="9"/>
        <w:rPr>
          <w:rFonts w:hint="eastAsia" w:ascii="宋体" w:hAnsi="宋体" w:eastAsia="宋体" w:cs="宋体"/>
          <w:color w:val="000000"/>
          <w:sz w:val="21"/>
          <w:szCs w:val="21"/>
          <w:u w:val="single"/>
        </w:rPr>
      </w:pPr>
      <w:r>
        <w:rPr>
          <w:rFonts w:hint="eastAsia" w:ascii="宋体" w:hAnsi="宋体" w:eastAsia="宋体" w:cs="宋体"/>
          <w:color w:val="000000"/>
          <w:sz w:val="21"/>
          <w:szCs w:val="21"/>
        </w:rPr>
        <w:t>□ 银行不可撤销履约保函（</w:t>
      </w:r>
      <w:r>
        <w:rPr>
          <w:rFonts w:hint="eastAsia" w:ascii="宋体" w:hAnsi="宋体" w:eastAsia="宋体" w:cs="宋体"/>
          <w:kern w:val="0"/>
          <w:sz w:val="21"/>
          <w:szCs w:val="21"/>
        </w:rPr>
        <w:t>或履约保证保险</w:t>
      </w:r>
      <w:r>
        <w:rPr>
          <w:rFonts w:hint="eastAsia" w:ascii="宋体" w:hAnsi="宋体" w:eastAsia="宋体" w:cs="宋体"/>
          <w:color w:val="000000"/>
          <w:sz w:val="21"/>
          <w:szCs w:val="21"/>
        </w:rPr>
        <w:t>）金额为</w:t>
      </w:r>
      <w:r>
        <w:rPr>
          <w:rFonts w:hint="eastAsia" w:ascii="宋体" w:hAnsi="宋体" w:eastAsia="宋体" w:cs="宋体"/>
          <w:color w:val="000000"/>
          <w:sz w:val="21"/>
          <w:szCs w:val="21"/>
          <w:lang w:val="zh-CN"/>
        </w:rPr>
        <w:t>人民币</w:t>
      </w:r>
      <w:r>
        <w:rPr>
          <w:rFonts w:hint="eastAsia" w:ascii="宋体" w:hAnsi="宋体" w:eastAsia="宋体" w:cs="宋体"/>
          <w:color w:val="000000"/>
          <w:sz w:val="21"/>
          <w:szCs w:val="21"/>
          <w:u w:val="single"/>
        </w:rPr>
        <w:t xml:space="preserve">       。</w:t>
      </w:r>
    </w:p>
    <w:p w14:paraId="3AC0A417">
      <w:pPr>
        <w:snapToGrid w:val="0"/>
        <w:spacing w:line="360" w:lineRule="auto"/>
        <w:ind w:firstLine="371" w:firstLineChars="177"/>
        <w:outlineLvl w:val="9"/>
        <w:rPr>
          <w:rFonts w:hint="eastAsia" w:ascii="宋体" w:hAnsi="宋体" w:eastAsia="宋体" w:cs="宋体"/>
          <w:color w:val="000000"/>
          <w:sz w:val="21"/>
          <w:szCs w:val="21"/>
          <w:u w:val="single"/>
        </w:rPr>
      </w:pPr>
      <w:r>
        <w:rPr>
          <w:rFonts w:hint="eastAsia" w:ascii="宋体" w:hAnsi="宋体" w:eastAsia="宋体" w:cs="宋体"/>
          <w:color w:val="000000"/>
          <w:sz w:val="21"/>
          <w:szCs w:val="21"/>
        </w:rPr>
        <w:t>□ 担保公司履约担保书金额为</w:t>
      </w:r>
      <w:r>
        <w:rPr>
          <w:rFonts w:hint="eastAsia" w:ascii="宋体" w:hAnsi="宋体" w:eastAsia="宋体" w:cs="宋体"/>
          <w:color w:val="000000"/>
          <w:sz w:val="21"/>
          <w:szCs w:val="21"/>
          <w:lang w:val="zh-CN"/>
        </w:rPr>
        <w:t>人民币</w:t>
      </w:r>
      <w:r>
        <w:rPr>
          <w:rFonts w:hint="eastAsia" w:ascii="宋体" w:hAnsi="宋体" w:eastAsia="宋体" w:cs="宋体"/>
          <w:color w:val="000000"/>
          <w:sz w:val="21"/>
          <w:szCs w:val="21"/>
          <w:u w:val="single"/>
        </w:rPr>
        <w:t xml:space="preserve">        。</w:t>
      </w:r>
    </w:p>
    <w:p w14:paraId="40DC754D">
      <w:pPr>
        <w:snapToGrid w:val="0"/>
        <w:spacing w:line="360" w:lineRule="auto"/>
        <w:ind w:firstLine="371" w:firstLineChars="177"/>
        <w:outlineLvl w:val="9"/>
        <w:rPr>
          <w:rFonts w:hint="eastAsia" w:ascii="宋体" w:hAnsi="宋体" w:eastAsia="宋体" w:cs="宋体"/>
          <w:color w:val="000000"/>
          <w:sz w:val="21"/>
          <w:szCs w:val="21"/>
          <w:u w:val="single"/>
        </w:rPr>
      </w:pPr>
      <w:r>
        <w:rPr>
          <w:rFonts w:hint="eastAsia" w:ascii="宋体" w:hAnsi="宋体" w:eastAsia="宋体" w:cs="宋体"/>
          <w:color w:val="000000"/>
          <w:sz w:val="21"/>
          <w:szCs w:val="21"/>
        </w:rPr>
        <w:t>2、履约担保用于补偿甲方因乙方不能完全履行其合同义务而蒙受的损失，如发生下列任一情况时，甲方除有权依合同追究乙方违约责任外，还有权提取履约担保并进行相应处理：</w:t>
      </w:r>
    </w:p>
    <w:p w14:paraId="38CE9736">
      <w:pPr>
        <w:snapToGrid w:val="0"/>
        <w:spacing w:line="360" w:lineRule="auto"/>
        <w:ind w:firstLine="371" w:firstLineChars="177"/>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（1）乙方将本合同项下乙方的权利义务全部转让给第三方，或未经甲方书面同意，乙方将本合同部分权利义务转让给第三方，甲方有权没收其履约担保。</w:t>
      </w:r>
    </w:p>
    <w:p w14:paraId="13F1423B">
      <w:pPr>
        <w:snapToGrid w:val="0"/>
        <w:spacing w:line="360" w:lineRule="auto"/>
        <w:ind w:firstLine="371" w:firstLineChars="177"/>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（2）在合同履行期间，乙方怠于履行合同义务，经甲方通知或要求承担违约金后仍拒不改正的，甲方有权没收或适当扣除其履约担保。</w:t>
      </w:r>
    </w:p>
    <w:p w14:paraId="070FF366">
      <w:pPr>
        <w:snapToGrid w:val="0"/>
        <w:spacing w:line="360" w:lineRule="auto"/>
        <w:ind w:firstLine="371" w:firstLineChars="177"/>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3）在合同履行期间，因乙方服务质量问题造成损害、侵权损失（包括但不限于甲方经济损失、乙方所雇人员及第三人人身财产损失等）、乙方拖欠供应商货款或与其所雇用员工发生劳资纠纷、上访、闹事或其他影响甲方生产经营等情况而其未及时妥善处理的，甲方有权使用履约担保予以支付或作出相应处理，由此产生的一切法律后果由乙方承担。</w:t>
      </w:r>
    </w:p>
    <w:p w14:paraId="77C32C50">
      <w:pPr>
        <w:snapToGrid w:val="0"/>
        <w:spacing w:line="360" w:lineRule="auto"/>
        <w:ind w:firstLine="371" w:firstLineChars="177"/>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（4）在合同履行期间，乙方违约产生的违约金、赔偿、罚款或其他应付费用等款项，甲方有权直接从未付服务费中扣除或使用履约担保予以支付。</w:t>
      </w:r>
    </w:p>
    <w:p w14:paraId="327B5850">
      <w:pPr>
        <w:snapToGrid w:val="0"/>
        <w:spacing w:line="360" w:lineRule="auto"/>
        <w:ind w:left="374" w:leftChars="156"/>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（5）合同期内，乙方不能及时完成合同某项义务的，甲方有权使用履约担保用于处理该项工作。</w:t>
      </w:r>
    </w:p>
    <w:p w14:paraId="2418DD07">
      <w:pPr>
        <w:snapToGrid w:val="0"/>
        <w:spacing w:line="360" w:lineRule="auto"/>
        <w:ind w:left="374" w:leftChars="156"/>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（6）其他根据本合同约定或法律规定，甲方可使用履约担保的情形。</w:t>
      </w:r>
    </w:p>
    <w:p w14:paraId="47DE3EE8">
      <w:pPr>
        <w:snapToGrid w:val="0"/>
        <w:spacing w:line="360" w:lineRule="auto"/>
        <w:ind w:firstLine="424" w:firstLineChars="202"/>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3、在</w:t>
      </w:r>
      <w:r>
        <w:rPr>
          <w:rFonts w:hint="eastAsia" w:ascii="宋体" w:hAnsi="宋体" w:eastAsia="宋体" w:cs="宋体"/>
          <w:sz w:val="21"/>
          <w:szCs w:val="21"/>
        </w:rPr>
        <w:t>期限届满并在</w:t>
      </w:r>
      <w:r>
        <w:rPr>
          <w:rFonts w:hint="eastAsia" w:ascii="宋体" w:hAnsi="宋体" w:eastAsia="宋体" w:cs="宋体"/>
          <w:color w:val="000000"/>
          <w:sz w:val="21"/>
          <w:szCs w:val="21"/>
        </w:rPr>
        <w:t>乙方完成本合同</w:t>
      </w:r>
      <w:r>
        <w:rPr>
          <w:rFonts w:hint="eastAsia" w:ascii="宋体" w:hAnsi="宋体" w:eastAsia="宋体" w:cs="宋体"/>
          <w:sz w:val="21"/>
          <w:szCs w:val="21"/>
        </w:rPr>
        <w:t>的全部服务义务后二十八（28）日内</w:t>
      </w:r>
      <w:r>
        <w:rPr>
          <w:rFonts w:hint="eastAsia" w:ascii="宋体" w:hAnsi="宋体" w:eastAsia="宋体" w:cs="宋体"/>
          <w:color w:val="000000"/>
          <w:sz w:val="21"/>
          <w:szCs w:val="21"/>
        </w:rPr>
        <w:t>，甲方将履约担保余额无息退还乙方。</w:t>
      </w:r>
    </w:p>
    <w:p w14:paraId="613906C7">
      <w:pPr>
        <w:snapToGrid w:val="0"/>
        <w:spacing w:line="360" w:lineRule="auto"/>
        <w:ind w:firstLine="420" w:firstLineChars="20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4、如乙方提供不可撤销银行履约保函或担保公司履约担保书作为履约担保的，不可撤销银行履约保函或担保公司履约担保书应自合同签订之日起到</w:t>
      </w:r>
      <w:r>
        <w:rPr>
          <w:rFonts w:hint="eastAsia" w:ascii="宋体" w:hAnsi="宋体" w:eastAsia="宋体" w:cs="宋体"/>
          <w:sz w:val="21"/>
          <w:szCs w:val="21"/>
        </w:rPr>
        <w:t>期限届满并在</w:t>
      </w:r>
      <w:r>
        <w:rPr>
          <w:rFonts w:hint="eastAsia" w:ascii="宋体" w:hAnsi="宋体" w:eastAsia="宋体" w:cs="宋体"/>
          <w:color w:val="000000"/>
          <w:sz w:val="21"/>
          <w:szCs w:val="21"/>
        </w:rPr>
        <w:t>乙方完成本合同</w:t>
      </w:r>
      <w:r>
        <w:rPr>
          <w:rFonts w:hint="eastAsia" w:ascii="宋体" w:hAnsi="宋体" w:eastAsia="宋体" w:cs="宋体"/>
          <w:sz w:val="21"/>
          <w:szCs w:val="21"/>
        </w:rPr>
        <w:t>的全部服务义务后二十八（28）日内</w:t>
      </w:r>
      <w:r>
        <w:rPr>
          <w:rFonts w:hint="eastAsia" w:ascii="宋体" w:hAnsi="宋体" w:eastAsia="宋体" w:cs="宋体"/>
          <w:color w:val="000000"/>
          <w:sz w:val="21"/>
          <w:szCs w:val="21"/>
        </w:rPr>
        <w:t>保持有效。</w:t>
      </w:r>
    </w:p>
    <w:p w14:paraId="515A87B4">
      <w:pPr>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color w:val="000000"/>
          <w:sz w:val="21"/>
          <w:szCs w:val="21"/>
        </w:rPr>
        <w:t>5、在合同履行过程中，不论何种原因导致履约担保数额不符合</w:t>
      </w:r>
      <w:r>
        <w:rPr>
          <w:rFonts w:hint="eastAsia" w:ascii="宋体" w:hAnsi="宋体" w:eastAsia="宋体" w:cs="宋体"/>
          <w:sz w:val="21"/>
          <w:szCs w:val="21"/>
          <w:lang w:eastAsia="zh-CN"/>
        </w:rPr>
        <w:t>竞争性磋商文件</w:t>
      </w:r>
      <w:r>
        <w:rPr>
          <w:rFonts w:hint="eastAsia" w:ascii="宋体" w:hAnsi="宋体" w:eastAsia="宋体" w:cs="宋体"/>
          <w:color w:val="000000"/>
          <w:sz w:val="21"/>
          <w:szCs w:val="21"/>
        </w:rPr>
        <w:t>要求的，乙方应当在5日内予以补足。逾期不予补足的，甲方有权按需补足的金额要求乙方承担违约金，并要求乙方限期补足。如乙方仍不补足的，甲方有权单方解除合同。</w:t>
      </w:r>
    </w:p>
    <w:p w14:paraId="7F1E842F">
      <w:pPr>
        <w:snapToGrid w:val="0"/>
        <w:spacing w:line="360" w:lineRule="auto"/>
        <w:ind w:firstLine="413" w:firstLineChars="196"/>
        <w:outlineLvl w:val="9"/>
        <w:rPr>
          <w:rFonts w:hint="eastAsia" w:ascii="宋体" w:hAnsi="宋体" w:eastAsia="宋体" w:cs="宋体"/>
          <w:b/>
          <w:sz w:val="21"/>
          <w:szCs w:val="21"/>
        </w:rPr>
      </w:pPr>
      <w:r>
        <w:rPr>
          <w:rFonts w:hint="eastAsia" w:ascii="宋体" w:hAnsi="宋体" w:eastAsia="宋体" w:cs="宋体"/>
          <w:b/>
          <w:sz w:val="21"/>
          <w:szCs w:val="21"/>
        </w:rPr>
        <w:t>第八条  违约责任</w:t>
      </w:r>
    </w:p>
    <w:p w14:paraId="25E0877E">
      <w:pPr>
        <w:snapToGrid w:val="0"/>
        <w:spacing w:line="360" w:lineRule="auto"/>
        <w:ind w:firstLine="420" w:firstLineChars="200"/>
        <w:outlineLvl w:val="9"/>
        <w:rPr>
          <w:rFonts w:hint="eastAsia" w:ascii="宋体" w:hAnsi="宋体" w:eastAsia="宋体" w:cs="宋体"/>
          <w:bCs/>
          <w:sz w:val="21"/>
          <w:szCs w:val="21"/>
        </w:rPr>
      </w:pPr>
      <w:r>
        <w:rPr>
          <w:rFonts w:hint="eastAsia" w:ascii="宋体" w:hAnsi="宋体" w:eastAsia="宋体" w:cs="宋体"/>
          <w:bCs/>
          <w:sz w:val="21"/>
          <w:szCs w:val="21"/>
        </w:rPr>
        <w:t>1、乙方履约过程中，若乙方每迟于一天正式投产的，乙方需向甲方支付违约金，每天违约金为该单项污水处理厂项目污泥脱水减量化设计规模1天（吨）处理量服务费的2倍，即按该单项污水处理厂脱水减量化设施含水率80%污泥设计规模乘以合同含税单价的2倍。</w:t>
      </w:r>
      <w:r>
        <w:rPr>
          <w:rFonts w:hint="eastAsia" w:ascii="宋体" w:hAnsi="宋体" w:eastAsia="宋体" w:cs="宋体"/>
          <w:sz w:val="21"/>
          <w:szCs w:val="21"/>
        </w:rPr>
        <w:t>乙方逾期15日未能</w:t>
      </w:r>
      <w:r>
        <w:rPr>
          <w:rFonts w:hint="eastAsia" w:ascii="宋体" w:hAnsi="宋体" w:eastAsia="宋体" w:cs="宋体"/>
          <w:bCs/>
          <w:sz w:val="21"/>
          <w:szCs w:val="21"/>
        </w:rPr>
        <w:t>具备正式投产条件的</w:t>
      </w:r>
      <w:r>
        <w:rPr>
          <w:rFonts w:hint="eastAsia" w:ascii="宋体" w:hAnsi="宋体" w:eastAsia="宋体" w:cs="宋体"/>
          <w:sz w:val="21"/>
          <w:szCs w:val="21"/>
        </w:rPr>
        <w:t>，在乙方根据前述约定支付违约金外，甲方有权单方解除合同。</w:t>
      </w:r>
      <w:r>
        <w:rPr>
          <w:rFonts w:hint="eastAsia" w:ascii="宋体" w:hAnsi="宋体" w:eastAsia="宋体" w:cs="宋体"/>
          <w:bCs/>
          <w:sz w:val="21"/>
          <w:szCs w:val="21"/>
        </w:rPr>
        <w:t>若由此给甲方造成损失的，乙方还应当承担全部赔偿责任。</w:t>
      </w:r>
    </w:p>
    <w:p w14:paraId="121B743C">
      <w:pPr>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bCs/>
          <w:sz w:val="21"/>
          <w:szCs w:val="21"/>
        </w:rPr>
        <w:t>2、</w:t>
      </w:r>
      <w:r>
        <w:rPr>
          <w:rFonts w:hint="eastAsia" w:ascii="宋体" w:hAnsi="宋体" w:eastAsia="宋体" w:cs="宋体"/>
          <w:sz w:val="21"/>
          <w:szCs w:val="21"/>
        </w:rPr>
        <w:t>乙方在合同约定正式投产之日起7日内，非甲方原因（或非甲方接受的正当理由），乙方未能达到污泥脱水减量化处理点污泥处理规模产能（吨/天，按含水率80%污泥计）</w:t>
      </w:r>
      <w:r>
        <w:rPr>
          <w:rFonts w:hint="eastAsia" w:ascii="宋体" w:hAnsi="宋体" w:eastAsia="宋体" w:cs="宋体"/>
          <w:bCs/>
          <w:sz w:val="21"/>
          <w:szCs w:val="21"/>
        </w:rPr>
        <w:t>的100%</w:t>
      </w:r>
      <w:r>
        <w:rPr>
          <w:rFonts w:hint="eastAsia" w:ascii="宋体" w:hAnsi="宋体" w:eastAsia="宋体" w:cs="宋体"/>
          <w:sz w:val="21"/>
          <w:szCs w:val="21"/>
        </w:rPr>
        <w:t>（含服务期未经甲方书面同意减产、停产导致的产能不足。不含未能正式投产，未能正式投产的违约金金额按本合同第八条第1款的约定执行）。进行污泥减量化处理，</w:t>
      </w:r>
      <w:r>
        <w:rPr>
          <w:rFonts w:hint="eastAsia" w:ascii="宋体" w:hAnsi="宋体" w:eastAsia="宋体" w:cs="宋体"/>
          <w:bCs/>
          <w:sz w:val="21"/>
          <w:szCs w:val="21"/>
        </w:rPr>
        <w:t>甲方有权要求乙方自第8日开始支付3万元/日（含税）的违约金。</w:t>
      </w:r>
      <w:r>
        <w:rPr>
          <w:rFonts w:hint="eastAsia" w:ascii="宋体" w:hAnsi="宋体" w:eastAsia="宋体" w:cs="宋体"/>
          <w:sz w:val="21"/>
          <w:szCs w:val="21"/>
        </w:rPr>
        <w:t>乙方应积极采取措施在甲方限期内提高产能至合同约定量，并承担因此造成甲方损失的全部赔偿责任。乙方在合同约定的投产日期之日起15日内未能达到污泥脱水减量化处理点污泥处理规模产能（且含水率不高于55%），在乙方根据前述约定支付违约金外，甲方有权单方解除合同。</w:t>
      </w:r>
      <w:r>
        <w:rPr>
          <w:rFonts w:hint="eastAsia" w:ascii="宋体" w:hAnsi="宋体" w:eastAsia="宋体" w:cs="宋体"/>
          <w:bCs/>
          <w:sz w:val="21"/>
          <w:szCs w:val="21"/>
        </w:rPr>
        <w:t>若由此给甲方造成损失的，乙方还应当承担全部赔偿责任。</w:t>
      </w:r>
    </w:p>
    <w:p w14:paraId="714E848F">
      <w:pPr>
        <w:snapToGrid w:val="0"/>
        <w:spacing w:line="360" w:lineRule="auto"/>
        <w:ind w:firstLine="420" w:firstLineChars="200"/>
        <w:outlineLvl w:val="9"/>
        <w:rPr>
          <w:rFonts w:hint="eastAsia" w:ascii="宋体" w:hAnsi="宋体" w:eastAsia="宋体" w:cs="宋体"/>
          <w:bCs/>
          <w:sz w:val="21"/>
          <w:szCs w:val="21"/>
        </w:rPr>
      </w:pPr>
      <w:r>
        <w:rPr>
          <w:rFonts w:hint="eastAsia" w:ascii="宋体" w:hAnsi="宋体" w:eastAsia="宋体" w:cs="宋体"/>
          <w:bCs/>
          <w:sz w:val="21"/>
          <w:szCs w:val="21"/>
        </w:rPr>
        <w:t>3、乙方脱水减量化处理后的半干化</w:t>
      </w:r>
      <w:r>
        <w:rPr>
          <w:rFonts w:hint="eastAsia" w:ascii="宋体" w:hAnsi="宋体" w:eastAsia="宋体" w:cs="宋体"/>
          <w:bCs/>
          <w:sz w:val="21"/>
          <w:szCs w:val="21"/>
          <w:lang w:val="en-US" w:eastAsia="zh-CN"/>
        </w:rPr>
        <w:t>泥粉</w:t>
      </w:r>
      <w:r>
        <w:rPr>
          <w:rFonts w:hint="eastAsia" w:ascii="宋体" w:hAnsi="宋体" w:eastAsia="宋体" w:cs="宋体"/>
          <w:sz w:val="21"/>
          <w:szCs w:val="21"/>
        </w:rPr>
        <w:t>当车含水率大于55%不高于60%时</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甲方将扣减乙方</w:t>
      </w:r>
      <w:r>
        <w:rPr>
          <w:rFonts w:hint="eastAsia" w:ascii="宋体" w:hAnsi="宋体" w:eastAsia="宋体" w:cs="宋体"/>
          <w:sz w:val="21"/>
          <w:szCs w:val="21"/>
        </w:rPr>
        <w:t>当车污泥脱水减量化处理服务费</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合同单价</w:t>
      </w:r>
      <w:r>
        <w:rPr>
          <w:rFonts w:hint="eastAsia" w:ascii="宋体" w:hAnsi="宋体" w:eastAsia="宋体" w:cs="宋体"/>
          <w:sz w:val="21"/>
          <w:szCs w:val="21"/>
        </w:rPr>
        <w:t>×当车结算泥量</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的50%作为违约处置，</w:t>
      </w:r>
      <w:r>
        <w:rPr>
          <w:rFonts w:hint="eastAsia" w:ascii="宋体" w:hAnsi="宋体" w:eastAsia="宋体" w:cs="宋体"/>
          <w:bCs/>
          <w:sz w:val="21"/>
          <w:szCs w:val="21"/>
        </w:rPr>
        <w:t>乙方脱水减量化处理后的半干化</w:t>
      </w:r>
      <w:r>
        <w:rPr>
          <w:rFonts w:hint="eastAsia" w:ascii="宋体" w:hAnsi="宋体" w:eastAsia="宋体" w:cs="宋体"/>
          <w:bCs/>
          <w:sz w:val="21"/>
          <w:szCs w:val="21"/>
          <w:lang w:val="en-US" w:eastAsia="zh-CN"/>
        </w:rPr>
        <w:t>泥粉</w:t>
      </w:r>
      <w:r>
        <w:rPr>
          <w:rFonts w:hint="eastAsia" w:ascii="宋体" w:hAnsi="宋体" w:eastAsia="宋体" w:cs="宋体"/>
          <w:sz w:val="21"/>
          <w:szCs w:val="21"/>
        </w:rPr>
        <w:t>当车含水率大于60%时</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甲方将扣减乙方</w:t>
      </w:r>
      <w:r>
        <w:rPr>
          <w:rFonts w:hint="eastAsia" w:ascii="宋体" w:hAnsi="宋体" w:eastAsia="宋体" w:cs="宋体"/>
          <w:sz w:val="21"/>
          <w:szCs w:val="21"/>
        </w:rPr>
        <w:t>当车污泥脱水减量化处理服务费</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合同单价</w:t>
      </w:r>
      <w:r>
        <w:rPr>
          <w:rFonts w:hint="eastAsia" w:ascii="宋体" w:hAnsi="宋体" w:eastAsia="宋体" w:cs="宋体"/>
          <w:sz w:val="21"/>
          <w:szCs w:val="21"/>
        </w:rPr>
        <w:t>×当车结算泥量</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作为违约处置。</w:t>
      </w:r>
      <w:r>
        <w:rPr>
          <w:rFonts w:hint="eastAsia" w:ascii="宋体" w:hAnsi="宋体" w:eastAsia="宋体" w:cs="宋体"/>
          <w:sz w:val="21"/>
          <w:szCs w:val="21"/>
        </w:rPr>
        <w:t>甲方按</w:t>
      </w:r>
      <w:r>
        <w:rPr>
          <w:rFonts w:hint="eastAsia" w:ascii="宋体" w:hAnsi="宋体" w:eastAsia="宋体" w:cs="宋体"/>
          <w:bCs/>
          <w:sz w:val="21"/>
          <w:szCs w:val="21"/>
        </w:rPr>
        <w:t>前述标准</w:t>
      </w:r>
      <w:r>
        <w:rPr>
          <w:rFonts w:hint="eastAsia" w:ascii="宋体" w:hAnsi="宋体" w:eastAsia="宋体" w:cs="宋体"/>
          <w:sz w:val="21"/>
          <w:szCs w:val="21"/>
          <w:lang w:val="en-US" w:eastAsia="zh-CN"/>
        </w:rPr>
        <w:t>扣减</w:t>
      </w:r>
      <w:r>
        <w:rPr>
          <w:rFonts w:hint="eastAsia" w:ascii="宋体" w:hAnsi="宋体" w:eastAsia="宋体" w:cs="宋体"/>
          <w:sz w:val="21"/>
          <w:szCs w:val="21"/>
        </w:rPr>
        <w:t>乙方服务费，不代表甲方对乙方服务工作的认可，</w:t>
      </w:r>
      <w:r>
        <w:rPr>
          <w:rFonts w:hint="eastAsia" w:ascii="宋体" w:hAnsi="宋体" w:eastAsia="宋体" w:cs="宋体"/>
          <w:bCs/>
          <w:sz w:val="21"/>
          <w:szCs w:val="21"/>
        </w:rPr>
        <w:t>若由此给甲方造成损失的，乙方仍应当承担全部赔偿责任</w:t>
      </w: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在本合同履行期间，甲方有权要求乙方采取措施保证减量化处理后的半干化泥粉含水率达标。如单个减量化项目点单个月份内乙方脱水减量化处理后的半干化泥粉含水率不合格次数达到四次以上（含四次）时，甲方</w:t>
      </w:r>
      <w:r>
        <w:rPr>
          <w:rFonts w:hint="eastAsia" w:ascii="宋体" w:hAnsi="宋体" w:eastAsia="宋体" w:cs="宋体"/>
          <w:sz w:val="21"/>
          <w:szCs w:val="21"/>
        </w:rPr>
        <w:t>按</w:t>
      </w:r>
      <w:r>
        <w:rPr>
          <w:rFonts w:hint="eastAsia" w:ascii="宋体" w:hAnsi="宋体" w:eastAsia="宋体" w:cs="宋体"/>
          <w:bCs/>
          <w:sz w:val="21"/>
          <w:szCs w:val="21"/>
        </w:rPr>
        <w:t>前述标准</w:t>
      </w:r>
      <w:r>
        <w:rPr>
          <w:rFonts w:hint="eastAsia" w:ascii="宋体" w:hAnsi="宋体" w:eastAsia="宋体" w:cs="宋体"/>
          <w:sz w:val="21"/>
          <w:szCs w:val="21"/>
          <w:lang w:val="en-US" w:eastAsia="zh-CN"/>
        </w:rPr>
        <w:t>扣减</w:t>
      </w:r>
      <w:r>
        <w:rPr>
          <w:rFonts w:hint="eastAsia" w:ascii="宋体" w:hAnsi="宋体" w:eastAsia="宋体" w:cs="宋体"/>
          <w:sz w:val="21"/>
          <w:szCs w:val="21"/>
        </w:rPr>
        <w:t>乙方服务费</w:t>
      </w:r>
      <w:r>
        <w:rPr>
          <w:rFonts w:hint="eastAsia" w:ascii="宋体" w:hAnsi="宋体" w:eastAsia="宋体" w:cs="宋体"/>
          <w:sz w:val="21"/>
          <w:szCs w:val="21"/>
          <w:lang w:val="en-US" w:eastAsia="zh-CN"/>
        </w:rPr>
        <w:t>后，还有权</w:t>
      </w:r>
      <w:r>
        <w:rPr>
          <w:rFonts w:hint="eastAsia" w:ascii="宋体" w:hAnsi="宋体" w:eastAsia="宋体" w:cs="宋体"/>
          <w:bCs/>
          <w:sz w:val="21"/>
          <w:szCs w:val="21"/>
        </w:rPr>
        <w:t>在乙方</w:t>
      </w:r>
      <w:r>
        <w:rPr>
          <w:rFonts w:hint="eastAsia" w:ascii="宋体" w:hAnsi="宋体" w:eastAsia="宋体" w:cs="宋体"/>
          <w:bCs/>
          <w:sz w:val="21"/>
          <w:szCs w:val="21"/>
          <w:lang w:val="en-US" w:eastAsia="zh-CN"/>
        </w:rPr>
        <w:t>对应单个减量化项目点</w:t>
      </w:r>
      <w:r>
        <w:rPr>
          <w:rFonts w:hint="eastAsia" w:ascii="宋体" w:hAnsi="宋体" w:eastAsia="宋体" w:cs="宋体"/>
          <w:bCs/>
          <w:sz w:val="21"/>
          <w:szCs w:val="21"/>
        </w:rPr>
        <w:t>当月应收取的服务费中扣减</w:t>
      </w:r>
      <w:r>
        <w:rPr>
          <w:rFonts w:hint="eastAsia" w:ascii="宋体" w:hAnsi="宋体" w:eastAsia="宋体" w:cs="宋体"/>
          <w:bCs/>
          <w:sz w:val="21"/>
          <w:szCs w:val="21"/>
          <w:lang w:val="en-US" w:eastAsia="zh-CN"/>
        </w:rPr>
        <w:t>1</w:t>
      </w:r>
      <w:r>
        <w:rPr>
          <w:rFonts w:hint="eastAsia" w:ascii="宋体" w:hAnsi="宋体" w:eastAsia="宋体" w:cs="宋体"/>
          <w:bCs/>
          <w:sz w:val="21"/>
          <w:szCs w:val="21"/>
        </w:rPr>
        <w:t>0%作为违约金。</w:t>
      </w:r>
    </w:p>
    <w:p w14:paraId="45FA31D5">
      <w:pPr>
        <w:snapToGrid w:val="0"/>
        <w:spacing w:line="360" w:lineRule="auto"/>
        <w:ind w:left="-19" w:leftChars="-8" w:firstLine="420" w:firstLineChars="200"/>
        <w:outlineLvl w:val="9"/>
        <w:rPr>
          <w:rFonts w:hint="eastAsia" w:ascii="宋体" w:hAnsi="宋体" w:eastAsia="宋体" w:cs="宋体"/>
          <w:bCs/>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、因乙方减量化处理后的污泥含水率高于55%，导致甲方委外的污泥处置单位拒收，因此发生的往返运输、称重、装车</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重新减量化处理</w:t>
      </w:r>
      <w:r>
        <w:rPr>
          <w:rFonts w:hint="eastAsia" w:ascii="宋体" w:hAnsi="宋体" w:eastAsia="宋体" w:cs="宋体"/>
          <w:sz w:val="21"/>
          <w:szCs w:val="21"/>
        </w:rPr>
        <w:t>等相关费用由乙方承担。</w:t>
      </w:r>
      <w:r>
        <w:rPr>
          <w:rFonts w:hint="eastAsia" w:ascii="宋体" w:hAnsi="宋体" w:eastAsia="宋体" w:cs="宋体"/>
          <w:bCs/>
          <w:sz w:val="21"/>
          <w:szCs w:val="21"/>
        </w:rPr>
        <w:t>若由此给甲方造成损失的，乙方还应当承担全部赔偿责任。</w:t>
      </w:r>
    </w:p>
    <w:p w14:paraId="23B3E721">
      <w:pPr>
        <w:snapToGrid w:val="0"/>
        <w:spacing w:line="360" w:lineRule="auto"/>
        <w:ind w:firstLine="424" w:firstLineChars="202"/>
        <w:outlineLvl w:val="9"/>
        <w:rPr>
          <w:rFonts w:hint="eastAsia" w:ascii="宋体" w:hAnsi="宋体" w:eastAsia="宋体" w:cs="宋体"/>
          <w:bCs/>
          <w:sz w:val="21"/>
          <w:szCs w:val="21"/>
        </w:rPr>
      </w:pPr>
      <w:r>
        <w:rPr>
          <w:rFonts w:hint="eastAsia" w:ascii="宋体" w:hAnsi="宋体" w:eastAsia="宋体" w:cs="宋体"/>
          <w:bCs/>
          <w:sz w:val="21"/>
          <w:szCs w:val="21"/>
          <w:lang w:val="en-US" w:eastAsia="zh-CN"/>
        </w:rPr>
        <w:t>5</w:t>
      </w:r>
      <w:r>
        <w:rPr>
          <w:rFonts w:hint="eastAsia" w:ascii="宋体" w:hAnsi="宋体" w:eastAsia="宋体" w:cs="宋体"/>
          <w:bCs/>
          <w:sz w:val="21"/>
          <w:szCs w:val="21"/>
        </w:rPr>
        <w:t xml:space="preserve">、若乙方在污泥减量化处理过程中添加石灰以及含石灰的调理剂，甲方有权要求乙方立即更换符合本合同约定的调理剂，并有权在乙方当月应收取的服务费中扣减10%作为违约金。 </w:t>
      </w:r>
    </w:p>
    <w:p w14:paraId="637D7860">
      <w:pPr>
        <w:snapToGrid w:val="0"/>
        <w:spacing w:line="360" w:lineRule="auto"/>
        <w:ind w:firstLine="424" w:firstLineChars="202"/>
        <w:outlineLvl w:val="9"/>
        <w:rPr>
          <w:rFonts w:hint="eastAsia" w:ascii="宋体" w:hAnsi="宋体" w:eastAsia="宋体" w:cs="宋体"/>
          <w:bCs/>
          <w:sz w:val="21"/>
          <w:szCs w:val="21"/>
        </w:rPr>
      </w:pPr>
      <w:r>
        <w:rPr>
          <w:rFonts w:hint="eastAsia" w:ascii="宋体" w:hAnsi="宋体" w:eastAsia="宋体" w:cs="宋体"/>
          <w:bCs/>
          <w:sz w:val="21"/>
          <w:szCs w:val="21"/>
          <w:lang w:val="en-US" w:eastAsia="zh-CN"/>
        </w:rPr>
        <w:t>6</w:t>
      </w:r>
      <w:r>
        <w:rPr>
          <w:rFonts w:hint="eastAsia" w:ascii="宋体" w:hAnsi="宋体" w:eastAsia="宋体" w:cs="宋体"/>
          <w:bCs/>
          <w:sz w:val="21"/>
          <w:szCs w:val="21"/>
        </w:rPr>
        <w:t>、若乙方正式投产后无故停产或未达到本合同约定产能（除本条第2款约定的情形外）或未及时对本合同项下的污泥进行脱水减量化处理，甲方有权要求乙方限期整改，并扣减对应项目上月应收取服务费的5%作为违约金。若逾期未完成整改并达到甲方要求，或无故停工累计达5日，甲方有权单方解除合同，并要求乙方按</w:t>
      </w:r>
      <w:r>
        <w:rPr>
          <w:rFonts w:hint="eastAsia" w:ascii="宋体" w:hAnsi="宋体" w:eastAsia="宋体" w:cs="宋体"/>
          <w:bCs/>
          <w:sz w:val="21"/>
          <w:szCs w:val="21"/>
          <w:lang w:val="en-US" w:eastAsia="zh-CN"/>
        </w:rPr>
        <w:t>履约担保等额</w:t>
      </w:r>
      <w:r>
        <w:rPr>
          <w:rFonts w:hint="eastAsia" w:ascii="宋体" w:hAnsi="宋体" w:eastAsia="宋体" w:cs="宋体"/>
          <w:bCs/>
          <w:sz w:val="21"/>
          <w:szCs w:val="21"/>
        </w:rPr>
        <w:t>支付违约金。给甲方造成损失的，乙方还应承担全部赔偿责任。</w:t>
      </w:r>
    </w:p>
    <w:p w14:paraId="226E3626">
      <w:pPr>
        <w:snapToGrid w:val="0"/>
        <w:spacing w:line="360" w:lineRule="auto"/>
        <w:ind w:left="-19" w:leftChars="-8" w:firstLine="420" w:firstLineChars="200"/>
        <w:outlineLvl w:val="9"/>
        <w:rPr>
          <w:rFonts w:hint="eastAsia" w:ascii="宋体" w:hAnsi="宋体" w:eastAsia="宋体" w:cs="宋体"/>
          <w:sz w:val="21"/>
          <w:szCs w:val="21"/>
        </w:rPr>
      </w:pPr>
      <w:r>
        <w:rPr>
          <w:rFonts w:hint="eastAsia" w:ascii="宋体" w:hAnsi="宋体" w:eastAsia="宋体" w:cs="宋体"/>
          <w:bCs/>
          <w:sz w:val="21"/>
          <w:szCs w:val="21"/>
          <w:lang w:val="en-US" w:eastAsia="zh-CN"/>
        </w:rPr>
        <w:t>7</w:t>
      </w:r>
      <w:r>
        <w:rPr>
          <w:rFonts w:hint="eastAsia" w:ascii="宋体" w:hAnsi="宋体" w:eastAsia="宋体" w:cs="宋体"/>
          <w:bCs/>
          <w:sz w:val="21"/>
          <w:szCs w:val="21"/>
        </w:rPr>
        <w:t>、</w:t>
      </w:r>
      <w:r>
        <w:rPr>
          <w:rFonts w:hint="eastAsia" w:ascii="宋体" w:hAnsi="宋体" w:eastAsia="宋体" w:cs="宋体"/>
          <w:sz w:val="21"/>
          <w:szCs w:val="21"/>
        </w:rPr>
        <w:t>若乙方在污泥脱水减量化处理过程中排放的</w:t>
      </w:r>
      <w:r>
        <w:rPr>
          <w:rFonts w:hint="eastAsia" w:ascii="宋体" w:hAnsi="宋体" w:eastAsia="宋体" w:cs="宋体"/>
          <w:bCs/>
          <w:sz w:val="21"/>
          <w:szCs w:val="21"/>
        </w:rPr>
        <w:t>污染物</w:t>
      </w:r>
      <w:r>
        <w:rPr>
          <w:rFonts w:hint="eastAsia" w:ascii="宋体" w:hAnsi="宋体" w:eastAsia="宋体" w:cs="宋体"/>
          <w:sz w:val="21"/>
          <w:szCs w:val="21"/>
        </w:rPr>
        <w:t>未达到本合同第五条第二款约定的相关标准，乙方应在3日内进行整改直至达标排放；因未达标排放造成环境污染的，乙方应妥善处理环境污染事故，承担相应法律责任，同时甲方有权扣除乙方对应项目</w:t>
      </w:r>
      <w:r>
        <w:rPr>
          <w:rFonts w:hint="eastAsia" w:ascii="宋体" w:hAnsi="宋体" w:eastAsia="宋体" w:cs="宋体"/>
          <w:bCs/>
          <w:sz w:val="21"/>
          <w:szCs w:val="21"/>
        </w:rPr>
        <w:t>上月应收取服务费的20%作为违约金</w:t>
      </w:r>
      <w:r>
        <w:rPr>
          <w:rFonts w:hint="eastAsia" w:ascii="宋体" w:hAnsi="宋体" w:eastAsia="宋体" w:cs="宋体"/>
          <w:sz w:val="21"/>
          <w:szCs w:val="21"/>
        </w:rPr>
        <w:t>，并有权单方解除合同。若给甲方造成损失的，乙方应承担全部赔偿责任。</w:t>
      </w:r>
    </w:p>
    <w:p w14:paraId="05A19501">
      <w:pPr>
        <w:snapToGrid w:val="0"/>
        <w:spacing w:line="360" w:lineRule="auto"/>
        <w:ind w:left="-19" w:leftChars="-8" w:firstLine="420" w:firstLineChars="200"/>
        <w:outlineLvl w:val="9"/>
        <w:rPr>
          <w:rFonts w:hint="eastAsia" w:ascii="宋体" w:hAnsi="宋体" w:eastAsia="宋体" w:cs="宋体"/>
          <w:bCs/>
          <w:sz w:val="21"/>
          <w:szCs w:val="21"/>
        </w:rPr>
      </w:pPr>
      <w:r>
        <w:rPr>
          <w:rFonts w:hint="eastAsia" w:ascii="宋体" w:hAnsi="宋体" w:eastAsia="宋体" w:cs="宋体"/>
          <w:bCs/>
          <w:sz w:val="21"/>
          <w:szCs w:val="21"/>
          <w:lang w:val="en-US" w:eastAsia="zh-CN"/>
        </w:rPr>
        <w:t>8</w:t>
      </w:r>
      <w:r>
        <w:rPr>
          <w:rFonts w:hint="eastAsia" w:ascii="宋体" w:hAnsi="宋体" w:eastAsia="宋体" w:cs="宋体"/>
          <w:bCs/>
          <w:sz w:val="21"/>
          <w:szCs w:val="21"/>
        </w:rPr>
        <w:t>、</w:t>
      </w:r>
      <w:r>
        <w:rPr>
          <w:rFonts w:hint="eastAsia" w:ascii="宋体" w:hAnsi="宋体" w:eastAsia="宋体" w:cs="宋体"/>
          <w:sz w:val="21"/>
          <w:szCs w:val="21"/>
        </w:rPr>
        <w:t>当政府主管部门或其委托的有资质的第三方检测机构或甲方委托的第三方有资质的检测机构对本项目排放的污染物进行检测，检测/监测报告中任何一项不达标，则扣除</w:t>
      </w:r>
      <w:r>
        <w:rPr>
          <w:rFonts w:hint="eastAsia" w:ascii="宋体" w:hAnsi="宋体" w:eastAsia="宋体" w:cs="宋体"/>
          <w:bCs/>
          <w:sz w:val="21"/>
          <w:szCs w:val="21"/>
        </w:rPr>
        <w:t>对应项目</w:t>
      </w:r>
      <w:r>
        <w:rPr>
          <w:rFonts w:hint="eastAsia" w:ascii="宋体" w:hAnsi="宋体" w:eastAsia="宋体" w:cs="宋体"/>
          <w:sz w:val="21"/>
          <w:szCs w:val="21"/>
        </w:rPr>
        <w:t>当天的服务费，且乙方需按相关部门要求限期整改。服务期内相关检测/监测不合格次数达到三次以上（含三次），甲方有权单方解除</w:t>
      </w:r>
      <w:r>
        <w:rPr>
          <w:rFonts w:hint="eastAsia" w:ascii="宋体" w:hAnsi="宋体" w:eastAsia="宋体" w:cs="宋体"/>
          <w:bCs/>
          <w:sz w:val="21"/>
          <w:szCs w:val="21"/>
          <w:lang w:val="en-US" w:eastAsia="zh-CN"/>
        </w:rPr>
        <w:t>本</w:t>
      </w:r>
      <w:r>
        <w:rPr>
          <w:rFonts w:hint="eastAsia" w:ascii="宋体" w:hAnsi="宋体" w:eastAsia="宋体" w:cs="宋体"/>
          <w:sz w:val="21"/>
          <w:szCs w:val="21"/>
        </w:rPr>
        <w:t>合同，并要求乙方承担5万元违约金。若甲方未单方解除合同，在乙方整改期，甲方有权临时采用其他方式处理（如委托第三方处理），由此产生的一切费用及损失由乙方承担。</w:t>
      </w:r>
    </w:p>
    <w:p w14:paraId="781A9001">
      <w:pPr>
        <w:snapToGrid w:val="0"/>
        <w:spacing w:line="360" w:lineRule="auto"/>
        <w:ind w:firstLine="424" w:firstLineChars="202"/>
        <w:outlineLvl w:val="9"/>
        <w:rPr>
          <w:rFonts w:hint="eastAsia" w:ascii="宋体" w:hAnsi="宋体" w:eastAsia="宋体" w:cs="宋体"/>
          <w:bCs/>
          <w:sz w:val="21"/>
          <w:szCs w:val="21"/>
        </w:rPr>
      </w:pPr>
      <w:r>
        <w:rPr>
          <w:rFonts w:hint="eastAsia" w:ascii="宋体" w:hAnsi="宋体" w:eastAsia="宋体" w:cs="宋体"/>
          <w:bCs/>
          <w:sz w:val="21"/>
          <w:szCs w:val="21"/>
          <w:lang w:val="en-US" w:eastAsia="zh-CN"/>
        </w:rPr>
        <w:t>9</w:t>
      </w:r>
      <w:r>
        <w:rPr>
          <w:rFonts w:hint="eastAsia" w:ascii="宋体" w:hAnsi="宋体" w:eastAsia="宋体" w:cs="宋体"/>
          <w:bCs/>
          <w:sz w:val="21"/>
          <w:szCs w:val="21"/>
        </w:rPr>
        <w:t>、乙方在本合同项目施工、运营期间应严格按照本合同附件2《生产安全管理协议》执行。甲方有权监督该项目的建设、运营行为，因乙方原因致使该项目造成甲方损失或乙方有违反《生产安全管理协议》安全管理规定、限期内未对隐患进行整改等行为，甲方有权从</w:t>
      </w:r>
      <w:r>
        <w:rPr>
          <w:rFonts w:hint="eastAsia" w:ascii="宋体" w:hAnsi="宋体" w:eastAsia="宋体" w:cs="宋体"/>
          <w:bCs/>
          <w:sz w:val="21"/>
          <w:szCs w:val="21"/>
          <w:lang w:val="en-US" w:eastAsia="zh-CN"/>
        </w:rPr>
        <w:t>未付款项或履约担保中直接</w:t>
      </w:r>
      <w:r>
        <w:rPr>
          <w:rFonts w:hint="eastAsia" w:ascii="宋体" w:hAnsi="宋体" w:eastAsia="宋体" w:cs="宋体"/>
          <w:bCs/>
          <w:sz w:val="21"/>
          <w:szCs w:val="21"/>
        </w:rPr>
        <w:t>扣除甲方的损失及</w:t>
      </w:r>
      <w:r>
        <w:rPr>
          <w:rFonts w:hint="eastAsia" w:ascii="宋体" w:hAnsi="宋体" w:eastAsia="宋体" w:cs="宋体"/>
          <w:bCs/>
          <w:sz w:val="21"/>
          <w:szCs w:val="21"/>
          <w:lang w:val="en-US" w:eastAsia="zh-CN"/>
        </w:rPr>
        <w:t>乙方应支付的</w:t>
      </w:r>
      <w:r>
        <w:rPr>
          <w:rFonts w:hint="eastAsia" w:ascii="宋体" w:hAnsi="宋体" w:eastAsia="宋体" w:cs="宋体"/>
          <w:bCs/>
          <w:sz w:val="21"/>
          <w:szCs w:val="21"/>
        </w:rPr>
        <w:t>违约金，具体扣除事由及标准以《生产安全管理协议》约定为准。</w:t>
      </w:r>
      <w:r>
        <w:rPr>
          <w:rFonts w:hint="eastAsia" w:ascii="宋体" w:hAnsi="宋体" w:eastAsia="宋体" w:cs="宋体"/>
          <w:bCs/>
          <w:sz w:val="21"/>
          <w:szCs w:val="21"/>
          <w:lang w:val="en-US" w:eastAsia="zh-CN"/>
        </w:rPr>
        <w:t>未付款项或履约担保</w:t>
      </w:r>
      <w:r>
        <w:rPr>
          <w:rFonts w:hint="eastAsia" w:ascii="宋体" w:hAnsi="宋体" w:eastAsia="宋体" w:cs="宋体"/>
          <w:bCs/>
          <w:sz w:val="21"/>
          <w:szCs w:val="21"/>
        </w:rPr>
        <w:t>不足以抵扣甲方损失及违约金的，乙方还应另行支付。</w:t>
      </w:r>
    </w:p>
    <w:p w14:paraId="0BD6A9AB">
      <w:pPr>
        <w:snapToGrid w:val="0"/>
        <w:spacing w:line="360" w:lineRule="auto"/>
        <w:ind w:firstLine="424" w:firstLineChars="202"/>
        <w:outlineLvl w:val="9"/>
        <w:rPr>
          <w:rFonts w:hint="eastAsia" w:ascii="宋体" w:hAnsi="宋体" w:eastAsia="宋体" w:cs="宋体"/>
          <w:bCs/>
          <w:sz w:val="21"/>
          <w:szCs w:val="21"/>
        </w:rPr>
      </w:pPr>
      <w:r>
        <w:rPr>
          <w:rFonts w:hint="eastAsia" w:ascii="宋体" w:hAnsi="宋体" w:eastAsia="宋体" w:cs="宋体"/>
          <w:bCs/>
          <w:sz w:val="21"/>
          <w:szCs w:val="21"/>
          <w:lang w:val="en-US" w:eastAsia="zh-CN"/>
        </w:rPr>
        <w:t>10</w:t>
      </w:r>
      <w:r>
        <w:rPr>
          <w:rFonts w:hint="eastAsia" w:ascii="宋体" w:hAnsi="宋体" w:eastAsia="宋体" w:cs="宋体"/>
          <w:bCs/>
          <w:sz w:val="21"/>
          <w:szCs w:val="21"/>
        </w:rPr>
        <w:t>、若乙方未按合同约定制定相关应急预案并向甲方备案的，</w:t>
      </w:r>
      <w:r>
        <w:rPr>
          <w:rFonts w:hint="eastAsia" w:ascii="宋体" w:hAnsi="宋体" w:eastAsia="宋体" w:cs="宋体"/>
          <w:bCs/>
          <w:sz w:val="21"/>
          <w:szCs w:val="21"/>
          <w:lang w:val="en-US" w:eastAsia="zh-CN"/>
        </w:rPr>
        <w:t>构成</w:t>
      </w:r>
      <w:r>
        <w:rPr>
          <w:rFonts w:hint="eastAsia" w:ascii="宋体" w:hAnsi="宋体" w:eastAsia="宋体" w:cs="宋体"/>
          <w:bCs/>
          <w:sz w:val="21"/>
          <w:szCs w:val="21"/>
        </w:rPr>
        <w:t>违约，甲方有权要求乙方支付1万元违约金。</w:t>
      </w:r>
    </w:p>
    <w:p w14:paraId="0CEF0021">
      <w:pPr>
        <w:snapToGrid w:val="0"/>
        <w:spacing w:line="360" w:lineRule="auto"/>
        <w:ind w:firstLine="424" w:firstLineChars="202"/>
        <w:outlineLvl w:val="9"/>
        <w:rPr>
          <w:rFonts w:hint="eastAsia" w:ascii="宋体" w:hAnsi="宋体" w:eastAsia="宋体" w:cs="宋体"/>
          <w:bCs/>
          <w:sz w:val="21"/>
          <w:szCs w:val="21"/>
        </w:rPr>
      </w:pPr>
      <w:r>
        <w:rPr>
          <w:rFonts w:hint="eastAsia" w:ascii="宋体" w:hAnsi="宋体" w:eastAsia="宋体" w:cs="宋体"/>
          <w:bCs/>
          <w:sz w:val="21"/>
          <w:szCs w:val="21"/>
        </w:rPr>
        <w:t>1</w:t>
      </w:r>
      <w:r>
        <w:rPr>
          <w:rFonts w:hint="eastAsia" w:ascii="宋体" w:hAnsi="宋体" w:eastAsia="宋体" w:cs="宋体"/>
          <w:bCs/>
          <w:sz w:val="21"/>
          <w:szCs w:val="21"/>
          <w:lang w:val="en-US" w:eastAsia="zh-CN"/>
        </w:rPr>
        <w:t>1</w:t>
      </w:r>
      <w:r>
        <w:rPr>
          <w:rFonts w:hint="eastAsia" w:ascii="宋体" w:hAnsi="宋体" w:eastAsia="宋体" w:cs="宋体"/>
          <w:bCs/>
          <w:sz w:val="21"/>
          <w:szCs w:val="21"/>
        </w:rPr>
        <w:t>、乙方必须积极响应并接受相关部门的监督检查，若受到相关部门的批评，经调查认定情况属实的，视情节轻重承担相应违约金；若受到相关部门行政处罚或违法处罚的，甲方扣减乙方本月应收服务费的10%作为违约金，并有权单方解除合同，若由此给甲方造成损失的，乙方还应当承担全部赔偿责任。</w:t>
      </w:r>
    </w:p>
    <w:p w14:paraId="7F454FB8">
      <w:pPr>
        <w:snapToGrid w:val="0"/>
        <w:spacing w:line="360" w:lineRule="auto"/>
        <w:ind w:firstLine="424" w:firstLineChars="202"/>
        <w:outlineLvl w:val="9"/>
        <w:rPr>
          <w:rFonts w:hint="eastAsia" w:ascii="宋体" w:hAnsi="宋体" w:eastAsia="宋体" w:cs="宋体"/>
          <w:bCs/>
          <w:sz w:val="21"/>
          <w:szCs w:val="21"/>
        </w:rPr>
      </w:pPr>
      <w:r>
        <w:rPr>
          <w:rFonts w:hint="eastAsia" w:ascii="宋体" w:hAnsi="宋体" w:eastAsia="宋体" w:cs="宋体"/>
          <w:bCs/>
          <w:sz w:val="21"/>
          <w:szCs w:val="21"/>
        </w:rPr>
        <w:t>1</w:t>
      </w:r>
      <w:r>
        <w:rPr>
          <w:rFonts w:hint="eastAsia" w:ascii="宋体" w:hAnsi="宋体" w:eastAsia="宋体" w:cs="宋体"/>
          <w:bCs/>
          <w:sz w:val="21"/>
          <w:szCs w:val="21"/>
          <w:lang w:val="en-US" w:eastAsia="zh-CN"/>
        </w:rPr>
        <w:t>2</w:t>
      </w:r>
      <w:r>
        <w:rPr>
          <w:rFonts w:hint="eastAsia" w:ascii="宋体" w:hAnsi="宋体" w:eastAsia="宋体" w:cs="宋体"/>
          <w:bCs/>
          <w:sz w:val="21"/>
          <w:szCs w:val="21"/>
        </w:rPr>
        <w:t>、本合同服务期满或提前解除后，</w:t>
      </w:r>
      <w:r>
        <w:rPr>
          <w:rFonts w:hint="eastAsia" w:ascii="宋体" w:hAnsi="宋体" w:eastAsia="宋体" w:cs="宋体"/>
          <w:sz w:val="21"/>
          <w:szCs w:val="21"/>
        </w:rPr>
        <w:t>乙方未按本合同约定的时间内拆除本项目服务期间新建的设备设施，恢复本项目场地原状的，甲方有权要求乙方支付10万元违约金。乙方逾期10日未完成前述工作的，甲方有权委托第三方进行设备设施拆除和地貌恢复，相关费用由乙方承担，因此造成乙方设备、设施损坏或遗失等后果由乙方自行承担，甲方（含污泥产生单位、污水处理厂）无需承担任何责任，也无需承担任何补偿或赔偿。因乙方未及时拆除设备设施造成甲方损失的，乙方应承担全部赔偿责任。</w:t>
      </w:r>
    </w:p>
    <w:p w14:paraId="179F2282">
      <w:pPr>
        <w:snapToGrid w:val="0"/>
        <w:spacing w:line="360" w:lineRule="auto"/>
        <w:ind w:firstLine="424" w:firstLineChars="202"/>
        <w:outlineLvl w:val="9"/>
        <w:rPr>
          <w:rFonts w:hint="eastAsia" w:ascii="宋体" w:hAnsi="宋体" w:eastAsia="宋体" w:cs="宋体"/>
          <w:bCs/>
          <w:sz w:val="21"/>
          <w:szCs w:val="21"/>
        </w:rPr>
      </w:pPr>
      <w:r>
        <w:rPr>
          <w:rFonts w:hint="eastAsia" w:ascii="宋体" w:hAnsi="宋体" w:eastAsia="宋体" w:cs="宋体"/>
          <w:bCs/>
          <w:sz w:val="21"/>
          <w:szCs w:val="21"/>
        </w:rPr>
        <w:t>1</w:t>
      </w:r>
      <w:r>
        <w:rPr>
          <w:rFonts w:hint="eastAsia" w:ascii="宋体" w:hAnsi="宋体" w:eastAsia="宋体" w:cs="宋体"/>
          <w:bCs/>
          <w:sz w:val="21"/>
          <w:szCs w:val="21"/>
          <w:lang w:val="en-US" w:eastAsia="zh-CN"/>
        </w:rPr>
        <w:t>3</w:t>
      </w:r>
      <w:r>
        <w:rPr>
          <w:rFonts w:hint="eastAsia" w:ascii="宋体" w:hAnsi="宋体" w:eastAsia="宋体" w:cs="宋体"/>
          <w:bCs/>
          <w:sz w:val="21"/>
          <w:szCs w:val="21"/>
        </w:rPr>
        <w:t>、乙方违反本合同约定将合同项下乙方的权利义务全部转让给第三方，或未经甲方书面同意将部分权利义务</w:t>
      </w:r>
      <w:r>
        <w:rPr>
          <w:rFonts w:hint="eastAsia" w:ascii="宋体" w:hAnsi="宋体" w:eastAsia="宋体" w:cs="宋体"/>
          <w:bCs/>
          <w:sz w:val="21"/>
          <w:szCs w:val="21"/>
          <w:highlight w:val="none"/>
          <w:lang w:val="en-US" w:eastAsia="zh-CN"/>
        </w:rPr>
        <w:t>分包</w:t>
      </w:r>
      <w:r>
        <w:rPr>
          <w:rFonts w:hint="eastAsia" w:ascii="宋体" w:hAnsi="宋体" w:eastAsia="宋体" w:cs="宋体"/>
          <w:bCs/>
          <w:sz w:val="21"/>
          <w:szCs w:val="21"/>
        </w:rPr>
        <w:t>给第三方的，甲方有权单方解除合同，若由此给甲方造成损失的，乙方还应当承担全部赔偿责任。如因乙方将乙方本合同项下全部/部分权利义务</w:t>
      </w:r>
      <w:r>
        <w:rPr>
          <w:rFonts w:hint="eastAsia" w:ascii="宋体" w:hAnsi="宋体" w:eastAsia="宋体" w:cs="宋体"/>
          <w:bCs/>
          <w:sz w:val="21"/>
          <w:szCs w:val="21"/>
          <w:lang w:val="en-US" w:eastAsia="zh-CN"/>
        </w:rPr>
        <w:t>分别</w:t>
      </w:r>
      <w:r>
        <w:rPr>
          <w:rFonts w:hint="eastAsia" w:ascii="宋体" w:hAnsi="宋体" w:eastAsia="宋体" w:cs="宋体"/>
          <w:bCs/>
          <w:sz w:val="21"/>
          <w:szCs w:val="21"/>
        </w:rPr>
        <w:t>给第三方导致安全事故或人身损害事故的，造成甲方其他损失或甲方被认定承担赔偿责任，甲方有权向乙方追偿并扣减乙方本月应收服务费的20%作为违约金，前述违约金不足以弥补甲方损失的，乙方还需足额赔偿。</w:t>
      </w:r>
    </w:p>
    <w:p w14:paraId="37A21137">
      <w:pPr>
        <w:snapToGrid w:val="0"/>
        <w:spacing w:line="360" w:lineRule="auto"/>
        <w:ind w:firstLine="424" w:firstLineChars="202"/>
        <w:outlineLvl w:val="9"/>
        <w:rPr>
          <w:rFonts w:hint="eastAsia" w:ascii="宋体" w:hAnsi="宋体" w:eastAsia="宋体" w:cs="宋体"/>
          <w:bCs/>
          <w:sz w:val="21"/>
          <w:szCs w:val="21"/>
        </w:rPr>
      </w:pPr>
      <w:r>
        <w:rPr>
          <w:rFonts w:hint="eastAsia" w:ascii="宋体" w:hAnsi="宋体" w:eastAsia="宋体" w:cs="宋体"/>
          <w:bCs/>
          <w:sz w:val="21"/>
          <w:szCs w:val="21"/>
        </w:rPr>
        <w:t>1</w:t>
      </w:r>
      <w:r>
        <w:rPr>
          <w:rFonts w:hint="eastAsia" w:ascii="宋体" w:hAnsi="宋体" w:eastAsia="宋体" w:cs="宋体"/>
          <w:bCs/>
          <w:sz w:val="21"/>
          <w:szCs w:val="21"/>
          <w:lang w:val="en-US" w:eastAsia="zh-CN"/>
        </w:rPr>
        <w:t>4</w:t>
      </w:r>
      <w:r>
        <w:rPr>
          <w:rFonts w:hint="eastAsia" w:ascii="宋体" w:hAnsi="宋体" w:eastAsia="宋体" w:cs="宋体"/>
          <w:bCs/>
          <w:sz w:val="21"/>
          <w:szCs w:val="21"/>
        </w:rPr>
        <w:t>、乙方违反本合同任一约定的，除本合同对违约责任有明确约定以外，甲方有权扣除乙方当月应收取污泥处理服务费的5%作为每次的违约金。造成甲方损失的，乙方还需足额赔偿。</w:t>
      </w:r>
    </w:p>
    <w:p w14:paraId="6AB5BA68">
      <w:pPr>
        <w:snapToGrid w:val="0"/>
        <w:spacing w:line="360" w:lineRule="auto"/>
        <w:ind w:firstLine="424" w:firstLineChars="202"/>
        <w:outlineLvl w:val="9"/>
        <w:rPr>
          <w:rFonts w:hint="eastAsia" w:ascii="宋体" w:hAnsi="宋体" w:eastAsia="宋体" w:cs="宋体"/>
          <w:bCs/>
          <w:sz w:val="21"/>
          <w:szCs w:val="21"/>
        </w:rPr>
      </w:pPr>
      <w:r>
        <w:rPr>
          <w:rFonts w:hint="eastAsia" w:ascii="宋体" w:hAnsi="宋体" w:eastAsia="宋体" w:cs="宋体"/>
          <w:bCs/>
          <w:sz w:val="21"/>
          <w:szCs w:val="21"/>
        </w:rPr>
        <w:t>1</w:t>
      </w:r>
      <w:r>
        <w:rPr>
          <w:rFonts w:hint="eastAsia" w:ascii="宋体" w:hAnsi="宋体" w:eastAsia="宋体" w:cs="宋体"/>
          <w:bCs/>
          <w:sz w:val="21"/>
          <w:szCs w:val="21"/>
          <w:lang w:val="en-US" w:eastAsia="zh-CN"/>
        </w:rPr>
        <w:t>5</w:t>
      </w:r>
      <w:r>
        <w:rPr>
          <w:rFonts w:hint="eastAsia" w:ascii="宋体" w:hAnsi="宋体" w:eastAsia="宋体" w:cs="宋体"/>
          <w:bCs/>
          <w:sz w:val="21"/>
          <w:szCs w:val="21"/>
        </w:rPr>
        <w:t>、若乙方发生本合同规定之外的任何违法行为，不得解除其在本合同下的任何责任或义务。</w:t>
      </w:r>
    </w:p>
    <w:p w14:paraId="6622A046">
      <w:pPr>
        <w:snapToGrid w:val="0"/>
        <w:spacing w:line="360" w:lineRule="auto"/>
        <w:ind w:firstLine="424" w:firstLineChars="202"/>
        <w:outlineLvl w:val="9"/>
        <w:rPr>
          <w:rFonts w:hint="eastAsia" w:ascii="宋体" w:hAnsi="宋体" w:eastAsia="宋体" w:cs="宋体"/>
          <w:bCs/>
          <w:sz w:val="21"/>
          <w:szCs w:val="21"/>
        </w:rPr>
      </w:pPr>
      <w:r>
        <w:rPr>
          <w:rFonts w:hint="eastAsia" w:ascii="宋体" w:hAnsi="宋体" w:eastAsia="宋体" w:cs="宋体"/>
          <w:bCs/>
          <w:sz w:val="21"/>
          <w:szCs w:val="21"/>
        </w:rPr>
        <w:t>1</w:t>
      </w:r>
      <w:r>
        <w:rPr>
          <w:rFonts w:hint="eastAsia" w:ascii="宋体" w:hAnsi="宋体" w:eastAsia="宋体" w:cs="宋体"/>
          <w:bCs/>
          <w:sz w:val="21"/>
          <w:szCs w:val="21"/>
          <w:lang w:val="en-US" w:eastAsia="zh-CN"/>
        </w:rPr>
        <w:t>6</w:t>
      </w:r>
      <w:r>
        <w:rPr>
          <w:rFonts w:hint="eastAsia" w:ascii="宋体" w:hAnsi="宋体" w:eastAsia="宋体" w:cs="宋体"/>
          <w:bCs/>
          <w:sz w:val="21"/>
          <w:szCs w:val="21"/>
        </w:rPr>
        <w:t>、在合同履行期间，乙方违约产生的违约金、赔偿或其他应付费用等款项，甲方有权直接从未付款项中直接扣除。若乙方违反《生产安全管理协议》相关约定的，甲方有权从履约</w:t>
      </w:r>
      <w:r>
        <w:rPr>
          <w:rFonts w:hint="eastAsia" w:ascii="宋体" w:hAnsi="宋体" w:eastAsia="宋体" w:cs="宋体"/>
          <w:bCs/>
          <w:sz w:val="21"/>
          <w:szCs w:val="21"/>
          <w:lang w:val="en-US" w:eastAsia="zh-CN"/>
        </w:rPr>
        <w:t>担保</w:t>
      </w:r>
      <w:r>
        <w:rPr>
          <w:rFonts w:hint="eastAsia" w:ascii="宋体" w:hAnsi="宋体" w:eastAsia="宋体" w:cs="宋体"/>
          <w:bCs/>
          <w:sz w:val="21"/>
          <w:szCs w:val="21"/>
        </w:rPr>
        <w:t>中扣除甲方的损失及违约金。</w:t>
      </w:r>
    </w:p>
    <w:p w14:paraId="1307165A">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7</w:t>
      </w:r>
      <w:r>
        <w:rPr>
          <w:rFonts w:hint="eastAsia" w:ascii="宋体" w:hAnsi="宋体" w:eastAsia="宋体" w:cs="宋体"/>
          <w:sz w:val="21"/>
          <w:szCs w:val="21"/>
        </w:rPr>
        <w:t>、因乙方未能根据本合同约定履约，甲方单方解除合同的，在甲方单方解除合同后，乙方必须在甲方解除合同之日起30日内，自行拆除新建的设备设施，并恢复项目场地的原状，产生的相应费用由乙方承担。</w:t>
      </w:r>
      <w:r>
        <w:rPr>
          <w:rFonts w:hint="eastAsia" w:ascii="宋体" w:hAnsi="宋体" w:eastAsia="宋体" w:cs="宋体"/>
          <w:bCs/>
          <w:sz w:val="21"/>
          <w:szCs w:val="21"/>
        </w:rPr>
        <w:t>若由此给甲方造成损失的</w:t>
      </w:r>
      <w:r>
        <w:rPr>
          <w:rFonts w:hint="eastAsia" w:ascii="宋体" w:hAnsi="宋体" w:eastAsia="宋体" w:cs="宋体"/>
          <w:sz w:val="21"/>
          <w:szCs w:val="21"/>
        </w:rPr>
        <w:t>，乙方还应当承担全部赔偿责任。</w:t>
      </w:r>
    </w:p>
    <w:p w14:paraId="6BE550B8">
      <w:pPr>
        <w:snapToGrid w:val="0"/>
        <w:spacing w:line="360" w:lineRule="auto"/>
        <w:ind w:firstLine="424" w:firstLineChars="202"/>
        <w:outlineLvl w:val="9"/>
        <w:rPr>
          <w:rFonts w:hint="eastAsia" w:ascii="宋体" w:hAnsi="宋体" w:eastAsia="宋体" w:cs="宋体"/>
          <w:sz w:val="21"/>
          <w:szCs w:val="21"/>
          <w:lang w:eastAsia="zh-CN"/>
        </w:rPr>
      </w:pPr>
      <w:r>
        <w:rPr>
          <w:rFonts w:hint="eastAsia" w:ascii="宋体" w:hAnsi="宋体" w:eastAsia="宋体" w:cs="宋体"/>
          <w:sz w:val="21"/>
          <w:szCs w:val="21"/>
          <w:lang w:val="en-US" w:eastAsia="zh-CN"/>
        </w:rPr>
        <w:t>18</w:t>
      </w:r>
      <w:r>
        <w:rPr>
          <w:rFonts w:hint="eastAsia" w:ascii="宋体" w:hAnsi="宋体" w:eastAsia="宋体" w:cs="宋体"/>
          <w:sz w:val="21"/>
          <w:szCs w:val="21"/>
        </w:rPr>
        <w:t>、乙方应保证其在中华人民共和国进行污泥减量化处理的所有过程（包括使用的设备、技术等），甲方免受第三方提出侵犯其专利权、商标权或其它知识产权的起诉。如有违反，甲方有权要求乙方支付5万元违约金，造成甲方任何经济损失或其他损失的，由乙方承担全部赔偿责任。</w:t>
      </w:r>
    </w:p>
    <w:p w14:paraId="7BA13A2A">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19</w:t>
      </w:r>
      <w:r>
        <w:rPr>
          <w:rFonts w:hint="eastAsia" w:ascii="宋体" w:hAnsi="宋体" w:eastAsia="宋体" w:cs="宋体"/>
          <w:sz w:val="21"/>
          <w:szCs w:val="21"/>
        </w:rPr>
        <w:t>、乙方保证本合同第2条约定的合同价款已包含污泥减量化处理相关知识产权版税等使用费，如乙方未依法向第三方支付应缴版税的，造成甲方任何经济损失的，由乙方承担全部赔偿责任。</w:t>
      </w:r>
    </w:p>
    <w:p w14:paraId="73746A0C">
      <w:pPr>
        <w:snapToGrid w:val="0"/>
        <w:spacing w:line="360" w:lineRule="auto"/>
        <w:ind w:firstLine="411" w:firstLineChars="195"/>
        <w:outlineLvl w:val="9"/>
        <w:rPr>
          <w:rFonts w:hint="eastAsia" w:ascii="宋体" w:hAnsi="宋体" w:eastAsia="宋体" w:cs="宋体"/>
          <w:b/>
          <w:sz w:val="21"/>
          <w:szCs w:val="21"/>
        </w:rPr>
      </w:pPr>
      <w:r>
        <w:rPr>
          <w:rFonts w:hint="eastAsia" w:ascii="宋体" w:hAnsi="宋体" w:eastAsia="宋体" w:cs="宋体"/>
          <w:b/>
          <w:sz w:val="21"/>
          <w:szCs w:val="21"/>
        </w:rPr>
        <w:t>第九条 廉政保证</w:t>
      </w:r>
    </w:p>
    <w:p w14:paraId="09DDC58D">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 xml:space="preserve">1、乙方以及其指定的第三方及其所有雇员在本合同履行期间，应遵守甲方的各项政策和制度。甲方应当控制乙方代表和雇员在甲方办公区域进出，甲方对于现场的人员进出及员工管理方面的要求也应始终被遵守。 </w:t>
      </w:r>
    </w:p>
    <w:p w14:paraId="26546420">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2、乙方同意在本协议履行期间，遵守各项法律，特别是任何及所有反贿赂反腐败方面的法律。未经甲方事先授权，乙方以及其指定的第三方及其所有雇员均不得向与本项目相关的任何个人、政府或单位支付任何款项，也不得提供任何形式的便利、利益。</w:t>
      </w:r>
    </w:p>
    <w:p w14:paraId="5E5FB0BD">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 xml:space="preserve">3、为规范甲乙双方在订立、履行合同及经济业务往来过程中的行为，保持廉洁自律的工作作风,防止各种违法及不正当行为的发生,确保甲乙双方及其工作人员自觉遵守国家法律、法规及廉洁从业各项规定，甲乙双方自愿按附件格式签订《廉洁协议书》。 </w:t>
      </w:r>
    </w:p>
    <w:p w14:paraId="5CF96BF2">
      <w:pPr>
        <w:snapToGrid w:val="0"/>
        <w:spacing w:line="360" w:lineRule="auto"/>
        <w:ind w:firstLine="413" w:firstLineChars="196"/>
        <w:outlineLvl w:val="9"/>
        <w:rPr>
          <w:rFonts w:hint="eastAsia" w:ascii="宋体" w:hAnsi="宋体" w:eastAsia="宋体" w:cs="宋体"/>
          <w:b/>
          <w:sz w:val="21"/>
          <w:szCs w:val="21"/>
        </w:rPr>
      </w:pPr>
      <w:r>
        <w:rPr>
          <w:rFonts w:hint="eastAsia" w:ascii="宋体" w:hAnsi="宋体" w:eastAsia="宋体" w:cs="宋体"/>
          <w:b/>
          <w:sz w:val="21"/>
          <w:szCs w:val="21"/>
        </w:rPr>
        <w:t>第十条 争议解决</w:t>
      </w:r>
    </w:p>
    <w:p w14:paraId="0F78C689">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 xml:space="preserve">本合同在履行过程中若发生争议，甲、乙双方应首先通过友好协商的方式解决，协商不成的，双方同意将争议提交到甲方所在地有管辖权的人民法院通过诉讼的方式解决。 </w:t>
      </w:r>
    </w:p>
    <w:p w14:paraId="161EBF4C">
      <w:pPr>
        <w:snapToGrid w:val="0"/>
        <w:spacing w:line="360" w:lineRule="auto"/>
        <w:ind w:firstLine="517" w:firstLineChars="245"/>
        <w:outlineLvl w:val="9"/>
        <w:rPr>
          <w:rFonts w:hint="eastAsia" w:ascii="宋体" w:hAnsi="宋体" w:eastAsia="宋体" w:cs="宋体"/>
          <w:b/>
          <w:sz w:val="21"/>
          <w:szCs w:val="21"/>
        </w:rPr>
      </w:pPr>
      <w:r>
        <w:rPr>
          <w:rFonts w:hint="eastAsia" w:ascii="宋体" w:hAnsi="宋体" w:eastAsia="宋体" w:cs="宋体"/>
          <w:b/>
          <w:sz w:val="21"/>
          <w:szCs w:val="21"/>
        </w:rPr>
        <w:t>第十一条 其他</w:t>
      </w:r>
    </w:p>
    <w:p w14:paraId="7ADD733A">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1、 本合同未尽事宜，由甲、乙双方协商解决并签订书面补充协议，补充协议与本合同同具法律效力，补充协议与本合同内容不一致时，以补充协议为准。</w:t>
      </w:r>
    </w:p>
    <w:p w14:paraId="5BF63901">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 xml:space="preserve">2、本合同原件一式【  】份，甲方执【伍】份、乙方执【   】份，各份具有同等的法律效力。合同自甲乙双方法定代表人/负责人签字并加盖公章之日起生效。 </w:t>
      </w:r>
    </w:p>
    <w:p w14:paraId="703FCDD4">
      <w:pPr>
        <w:widowControl/>
        <w:snapToGrid w:val="0"/>
        <w:spacing w:line="360" w:lineRule="auto"/>
        <w:ind w:firstLine="840" w:firstLineChars="400"/>
        <w:outlineLvl w:val="9"/>
        <w:rPr>
          <w:rFonts w:hint="eastAsia" w:ascii="宋体" w:hAnsi="宋体" w:eastAsia="宋体" w:cs="宋体"/>
          <w:sz w:val="21"/>
          <w:szCs w:val="21"/>
        </w:rPr>
      </w:pPr>
      <w:r>
        <w:rPr>
          <w:rFonts w:hint="eastAsia" w:ascii="宋体" w:hAnsi="宋体" w:eastAsia="宋体" w:cs="宋体"/>
          <w:sz w:val="21"/>
          <w:szCs w:val="21"/>
        </w:rPr>
        <w:t>附件1：廉洁协议书</w:t>
      </w:r>
    </w:p>
    <w:p w14:paraId="63FB7D7C">
      <w:pPr>
        <w:widowControl/>
        <w:snapToGrid w:val="0"/>
        <w:spacing w:line="360" w:lineRule="auto"/>
        <w:ind w:firstLine="840" w:firstLineChars="400"/>
        <w:outlineLvl w:val="9"/>
        <w:rPr>
          <w:rFonts w:hint="eastAsia" w:ascii="宋体" w:hAnsi="宋体" w:eastAsia="宋体" w:cs="宋体"/>
          <w:sz w:val="21"/>
          <w:szCs w:val="21"/>
        </w:rPr>
      </w:pPr>
      <w:r>
        <w:rPr>
          <w:rFonts w:hint="eastAsia" w:ascii="宋体" w:hAnsi="宋体" w:eastAsia="宋体" w:cs="宋体"/>
          <w:sz w:val="21"/>
          <w:szCs w:val="21"/>
        </w:rPr>
        <w:t>附件2：安全生产管理协议</w:t>
      </w:r>
    </w:p>
    <w:p w14:paraId="3626B764">
      <w:pPr>
        <w:widowControl/>
        <w:snapToGrid w:val="0"/>
        <w:spacing w:line="360" w:lineRule="auto"/>
        <w:ind w:firstLine="840" w:firstLineChars="400"/>
        <w:outlineLvl w:val="9"/>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附件</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用户需求书</w:t>
      </w:r>
    </w:p>
    <w:p w14:paraId="2F230BA1">
      <w:pPr>
        <w:ind w:firstLine="840" w:firstLineChars="400"/>
        <w:outlineLvl w:val="9"/>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以下无正文，转合同签署页</w:t>
      </w:r>
      <w:r>
        <w:rPr>
          <w:rFonts w:hint="eastAsia" w:ascii="宋体" w:hAnsi="宋体" w:eastAsia="宋体" w:cs="宋体"/>
          <w:sz w:val="21"/>
          <w:szCs w:val="21"/>
          <w:lang w:eastAsia="zh-CN"/>
        </w:rPr>
        <w:t>）</w:t>
      </w:r>
      <w:r>
        <w:rPr>
          <w:rFonts w:hint="eastAsia" w:ascii="宋体" w:hAnsi="宋体" w:eastAsia="宋体" w:cs="宋体"/>
          <w:sz w:val="21"/>
          <w:szCs w:val="21"/>
        </w:rPr>
        <w:br w:type="page"/>
      </w:r>
    </w:p>
    <w:p w14:paraId="3569C402">
      <w:pPr>
        <w:widowControl/>
        <w:snapToGrid w:val="0"/>
        <w:spacing w:line="360" w:lineRule="auto"/>
        <w:outlineLvl w:val="9"/>
        <w:rPr>
          <w:rFonts w:hint="eastAsia" w:ascii="宋体" w:hAnsi="宋体" w:eastAsia="宋体" w:cs="宋体"/>
          <w:sz w:val="21"/>
          <w:szCs w:val="21"/>
        </w:rPr>
      </w:pPr>
      <w:r>
        <w:rPr>
          <w:rFonts w:hint="eastAsia" w:ascii="宋体" w:hAnsi="宋体" w:eastAsia="宋体" w:cs="宋体"/>
          <w:b/>
          <w:bCs/>
          <w:sz w:val="21"/>
          <w:szCs w:val="21"/>
        </w:rPr>
        <w:t>（以下无正文，为</w:t>
      </w:r>
      <w:r>
        <w:rPr>
          <w:rFonts w:hint="eastAsia" w:ascii="宋体" w:hAnsi="宋体" w:cs="宋体"/>
          <w:b/>
          <w:bCs/>
          <w:sz w:val="21"/>
          <w:szCs w:val="21"/>
          <w:lang w:eastAsia="zh-CN"/>
        </w:rPr>
        <w:t>东莞市众源环境投资有限公司污水处理厂污泥脱水减量处理服务（BOT权属滨海湾片区）采购项目</w:t>
      </w:r>
      <w:r>
        <w:rPr>
          <w:rFonts w:hint="eastAsia" w:ascii="宋体" w:hAnsi="宋体" w:eastAsia="宋体" w:cs="宋体"/>
          <w:b/>
          <w:bCs/>
          <w:sz w:val="21"/>
          <w:szCs w:val="21"/>
        </w:rPr>
        <w:t>合同签字栏）</w:t>
      </w:r>
    </w:p>
    <w:p w14:paraId="7DF10F56">
      <w:pPr>
        <w:widowControl/>
        <w:snapToGrid w:val="0"/>
        <w:spacing w:line="360" w:lineRule="auto"/>
        <w:outlineLvl w:val="9"/>
        <w:rPr>
          <w:rFonts w:hint="eastAsia" w:ascii="宋体" w:hAnsi="宋体" w:eastAsia="宋体" w:cs="宋体"/>
          <w:szCs w:val="21"/>
        </w:rPr>
      </w:pPr>
    </w:p>
    <w:tbl>
      <w:tblPr>
        <w:tblStyle w:val="55"/>
        <w:tblW w:w="0" w:type="auto"/>
        <w:jc w:val="center"/>
        <w:tblLayout w:type="fixed"/>
        <w:tblCellMar>
          <w:top w:w="0" w:type="dxa"/>
          <w:left w:w="108" w:type="dxa"/>
          <w:bottom w:w="0" w:type="dxa"/>
          <w:right w:w="108" w:type="dxa"/>
        </w:tblCellMar>
      </w:tblPr>
      <w:tblGrid>
        <w:gridCol w:w="4253"/>
        <w:gridCol w:w="454"/>
        <w:gridCol w:w="4253"/>
      </w:tblGrid>
      <w:tr w14:paraId="41A01EA1">
        <w:tblPrEx>
          <w:tblCellMar>
            <w:top w:w="0" w:type="dxa"/>
            <w:left w:w="108" w:type="dxa"/>
            <w:bottom w:w="0" w:type="dxa"/>
            <w:right w:w="108" w:type="dxa"/>
          </w:tblCellMar>
        </w:tblPrEx>
        <w:trPr>
          <w:jc w:val="center"/>
        </w:trPr>
        <w:tc>
          <w:tcPr>
            <w:tcW w:w="4253" w:type="dxa"/>
            <w:vAlign w:val="top"/>
          </w:tcPr>
          <w:p w14:paraId="1CADAE70">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rPr>
            </w:pPr>
            <w:r>
              <w:rPr>
                <w:rFonts w:hint="eastAsia" w:ascii="宋体" w:hAnsi="宋体" w:eastAsia="宋体" w:cs="宋体"/>
                <w:sz w:val="21"/>
                <w:szCs w:val="21"/>
              </w:rPr>
              <w:t>甲方（盖章）：</w:t>
            </w:r>
            <w:r>
              <w:rPr>
                <w:rFonts w:hint="eastAsia" w:ascii="宋体" w:hAnsi="宋体" w:eastAsia="宋体" w:cs="宋体"/>
                <w:sz w:val="21"/>
                <w:szCs w:val="21"/>
                <w:lang w:val="en-US" w:eastAsia="zh-CN"/>
              </w:rPr>
              <w:t>东莞市众源环境投资有限公司</w:t>
            </w:r>
          </w:p>
          <w:p w14:paraId="36702390">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rPr>
            </w:pPr>
            <w:r>
              <w:rPr>
                <w:rFonts w:hint="eastAsia" w:ascii="宋体" w:hAnsi="宋体" w:eastAsia="宋体" w:cs="宋体"/>
                <w:sz w:val="21"/>
                <w:szCs w:val="21"/>
              </w:rPr>
              <w:t>法定代表人（或负责人）：</w:t>
            </w:r>
          </w:p>
        </w:tc>
        <w:tc>
          <w:tcPr>
            <w:tcW w:w="454" w:type="dxa"/>
            <w:vAlign w:val="top"/>
          </w:tcPr>
          <w:p w14:paraId="0204F5CD">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rPr>
            </w:pPr>
          </w:p>
        </w:tc>
        <w:tc>
          <w:tcPr>
            <w:tcW w:w="4253" w:type="dxa"/>
            <w:vAlign w:val="top"/>
          </w:tcPr>
          <w:p w14:paraId="18027512">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lang w:eastAsia="zh-CN"/>
              </w:rPr>
            </w:pPr>
            <w:r>
              <w:rPr>
                <w:rFonts w:hint="eastAsia" w:ascii="宋体" w:hAnsi="宋体" w:eastAsia="宋体" w:cs="宋体"/>
                <w:sz w:val="21"/>
                <w:szCs w:val="21"/>
              </w:rPr>
              <w:t>乙方（盖章）：</w:t>
            </w:r>
            <w:r>
              <w:rPr>
                <w:rFonts w:hint="eastAsia" w:ascii="宋体" w:hAnsi="宋体" w:eastAsia="宋体" w:cs="宋体"/>
                <w:sz w:val="21"/>
                <w:szCs w:val="21"/>
                <w:lang w:val="en-US" w:eastAsia="zh-CN"/>
              </w:rPr>
              <w:t xml:space="preserve"> </w:t>
            </w:r>
          </w:p>
          <w:p w14:paraId="3729FA59">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rPr>
            </w:pPr>
            <w:r>
              <w:rPr>
                <w:rFonts w:hint="eastAsia" w:ascii="宋体" w:hAnsi="宋体" w:eastAsia="宋体" w:cs="宋体"/>
                <w:sz w:val="21"/>
                <w:szCs w:val="21"/>
              </w:rPr>
              <w:t>法定代表人（或负责人）：</w:t>
            </w:r>
          </w:p>
        </w:tc>
      </w:tr>
      <w:tr w14:paraId="4A5BA857">
        <w:tblPrEx>
          <w:tblCellMar>
            <w:top w:w="0" w:type="dxa"/>
            <w:left w:w="108" w:type="dxa"/>
            <w:bottom w:w="0" w:type="dxa"/>
            <w:right w:w="108" w:type="dxa"/>
          </w:tblCellMar>
        </w:tblPrEx>
        <w:trPr>
          <w:jc w:val="center"/>
        </w:trPr>
        <w:tc>
          <w:tcPr>
            <w:tcW w:w="4253" w:type="dxa"/>
            <w:vAlign w:val="top"/>
          </w:tcPr>
          <w:p w14:paraId="405E3FC0">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rPr>
            </w:pPr>
            <w:r>
              <w:rPr>
                <w:rFonts w:hint="eastAsia" w:ascii="宋体" w:hAnsi="宋体" w:eastAsia="宋体" w:cs="宋体"/>
                <w:sz w:val="21"/>
                <w:szCs w:val="21"/>
              </w:rPr>
              <w:t>电话：</w:t>
            </w:r>
          </w:p>
        </w:tc>
        <w:tc>
          <w:tcPr>
            <w:tcW w:w="454" w:type="dxa"/>
            <w:vAlign w:val="top"/>
          </w:tcPr>
          <w:p w14:paraId="30FC96E6">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rPr>
            </w:pPr>
          </w:p>
        </w:tc>
        <w:tc>
          <w:tcPr>
            <w:tcW w:w="4253" w:type="dxa"/>
            <w:vAlign w:val="top"/>
          </w:tcPr>
          <w:p w14:paraId="2052CACA">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rPr>
            </w:pPr>
            <w:r>
              <w:rPr>
                <w:rFonts w:hint="eastAsia" w:ascii="宋体" w:hAnsi="宋体" w:eastAsia="宋体" w:cs="宋体"/>
                <w:sz w:val="21"/>
                <w:szCs w:val="21"/>
              </w:rPr>
              <w:t>电话：</w:t>
            </w:r>
          </w:p>
        </w:tc>
      </w:tr>
      <w:tr w14:paraId="4EDF0612">
        <w:tblPrEx>
          <w:tblCellMar>
            <w:top w:w="0" w:type="dxa"/>
            <w:left w:w="108" w:type="dxa"/>
            <w:bottom w:w="0" w:type="dxa"/>
            <w:right w:w="108" w:type="dxa"/>
          </w:tblCellMar>
        </w:tblPrEx>
        <w:trPr>
          <w:jc w:val="center"/>
        </w:trPr>
        <w:tc>
          <w:tcPr>
            <w:tcW w:w="4253" w:type="dxa"/>
            <w:vAlign w:val="top"/>
          </w:tcPr>
          <w:p w14:paraId="34DC4C9C">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rPr>
            </w:pPr>
            <w:r>
              <w:rPr>
                <w:rFonts w:hint="eastAsia" w:ascii="宋体" w:hAnsi="宋体" w:eastAsia="宋体" w:cs="宋体"/>
                <w:sz w:val="21"/>
                <w:szCs w:val="21"/>
              </w:rPr>
              <w:t>地址：</w:t>
            </w:r>
            <w:r>
              <w:rPr>
                <w:rFonts w:hint="eastAsia" w:ascii="宋体" w:hAnsi="宋体" w:eastAsia="宋体" w:cs="宋体"/>
                <w:sz w:val="21"/>
                <w:szCs w:val="21"/>
                <w:lang w:val="en-US" w:eastAsia="zh-CN"/>
              </w:rPr>
              <w:t>广东省东莞市东城街道火炼树红棉路40号302室</w:t>
            </w:r>
          </w:p>
          <w:p w14:paraId="472E63F1">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rPr>
            </w:pPr>
            <w:r>
              <w:rPr>
                <w:rFonts w:hint="eastAsia" w:ascii="宋体" w:hAnsi="宋体" w:eastAsia="宋体" w:cs="宋体"/>
                <w:sz w:val="21"/>
                <w:szCs w:val="21"/>
              </w:rPr>
              <w:t>开户名称：</w:t>
            </w:r>
            <w:r>
              <w:rPr>
                <w:rFonts w:hint="eastAsia" w:ascii="宋体" w:hAnsi="宋体" w:eastAsia="宋体" w:cs="宋体"/>
                <w:sz w:val="21"/>
                <w:szCs w:val="21"/>
                <w:lang w:val="en-US" w:eastAsia="zh-CN"/>
              </w:rPr>
              <w:t>东莞市众源环境投资有限公司</w:t>
            </w:r>
          </w:p>
        </w:tc>
        <w:tc>
          <w:tcPr>
            <w:tcW w:w="454" w:type="dxa"/>
            <w:vAlign w:val="top"/>
          </w:tcPr>
          <w:p w14:paraId="678F60A8">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rPr>
            </w:pPr>
          </w:p>
        </w:tc>
        <w:tc>
          <w:tcPr>
            <w:tcW w:w="4253" w:type="dxa"/>
            <w:vAlign w:val="top"/>
          </w:tcPr>
          <w:p w14:paraId="032C1604">
            <w:pPr>
              <w:keepNext w:val="0"/>
              <w:keepLines w:val="0"/>
              <w:suppressLineNumbers w:val="0"/>
              <w:spacing w:before="0" w:beforeAutospacing="0" w:after="0" w:afterAutospacing="0" w:line="360" w:lineRule="auto"/>
              <w:ind w:left="0" w:right="0"/>
              <w:outlineLvl w:val="9"/>
              <w:rPr>
                <w:rFonts w:hint="eastAsia" w:ascii="宋体" w:hAnsi="宋体" w:eastAsia="宋体" w:cs="宋体"/>
              </w:rPr>
            </w:pPr>
            <w:r>
              <w:rPr>
                <w:rFonts w:hint="eastAsia" w:ascii="宋体" w:hAnsi="宋体" w:eastAsia="宋体" w:cs="宋体"/>
                <w:sz w:val="21"/>
                <w:szCs w:val="21"/>
              </w:rPr>
              <w:t>地址：</w:t>
            </w:r>
          </w:p>
          <w:p w14:paraId="4F0E50C8">
            <w:pPr>
              <w:keepNext w:val="0"/>
              <w:keepLines w:val="0"/>
              <w:suppressLineNumbers w:val="0"/>
              <w:spacing w:before="0" w:beforeAutospacing="0" w:after="0" w:afterAutospacing="0" w:line="360" w:lineRule="auto"/>
              <w:ind w:left="0" w:right="0"/>
              <w:jc w:val="both"/>
              <w:outlineLvl w:val="9"/>
              <w:rPr>
                <w:rFonts w:hint="eastAsia" w:ascii="宋体" w:hAnsi="宋体" w:eastAsia="宋体" w:cs="宋体"/>
                <w:sz w:val="21"/>
                <w:szCs w:val="21"/>
              </w:rPr>
            </w:pPr>
            <w:r>
              <w:rPr>
                <w:rFonts w:hint="eastAsia" w:ascii="宋体" w:hAnsi="宋体" w:eastAsia="宋体" w:cs="宋体"/>
                <w:sz w:val="21"/>
                <w:szCs w:val="21"/>
              </w:rPr>
              <w:t>开户名称：</w:t>
            </w:r>
          </w:p>
        </w:tc>
      </w:tr>
      <w:tr w14:paraId="4AC89EF7">
        <w:tblPrEx>
          <w:tblCellMar>
            <w:top w:w="0" w:type="dxa"/>
            <w:left w:w="108" w:type="dxa"/>
            <w:bottom w:w="0" w:type="dxa"/>
            <w:right w:w="108" w:type="dxa"/>
          </w:tblCellMar>
        </w:tblPrEx>
        <w:trPr>
          <w:jc w:val="center"/>
        </w:trPr>
        <w:tc>
          <w:tcPr>
            <w:tcW w:w="4253" w:type="dxa"/>
            <w:vAlign w:val="top"/>
          </w:tcPr>
          <w:p w14:paraId="4DE18DC0">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rPr>
            </w:pPr>
            <w:r>
              <w:rPr>
                <w:rFonts w:hint="eastAsia" w:ascii="宋体" w:hAnsi="宋体" w:eastAsia="宋体" w:cs="宋体"/>
                <w:sz w:val="21"/>
                <w:szCs w:val="21"/>
              </w:rPr>
              <w:t>开户银行：</w:t>
            </w:r>
            <w:r>
              <w:rPr>
                <w:rFonts w:hint="eastAsia" w:ascii="宋体" w:hAnsi="宋体" w:eastAsia="宋体" w:cs="宋体"/>
                <w:bCs/>
                <w:kern w:val="2"/>
                <w:sz w:val="21"/>
                <w:szCs w:val="21"/>
                <w:highlight w:val="none"/>
                <w:lang w:val="zh-CN"/>
              </w:rPr>
              <w:t>招商银行股份有限公司东莞分行</w:t>
            </w:r>
          </w:p>
        </w:tc>
        <w:tc>
          <w:tcPr>
            <w:tcW w:w="454" w:type="dxa"/>
            <w:vAlign w:val="top"/>
          </w:tcPr>
          <w:p w14:paraId="2C4E72C0">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rPr>
            </w:pPr>
          </w:p>
        </w:tc>
        <w:tc>
          <w:tcPr>
            <w:tcW w:w="4253" w:type="dxa"/>
            <w:vAlign w:val="top"/>
          </w:tcPr>
          <w:p w14:paraId="3E744323">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rPr>
            </w:pPr>
            <w:r>
              <w:rPr>
                <w:rFonts w:hint="eastAsia" w:ascii="宋体" w:hAnsi="宋体" w:eastAsia="宋体" w:cs="宋体"/>
                <w:sz w:val="21"/>
                <w:szCs w:val="21"/>
              </w:rPr>
              <w:t>开户银行：</w:t>
            </w:r>
          </w:p>
        </w:tc>
      </w:tr>
      <w:tr w14:paraId="4FFEBA13">
        <w:tblPrEx>
          <w:tblCellMar>
            <w:top w:w="0" w:type="dxa"/>
            <w:left w:w="108" w:type="dxa"/>
            <w:bottom w:w="0" w:type="dxa"/>
            <w:right w:w="108" w:type="dxa"/>
          </w:tblCellMar>
        </w:tblPrEx>
        <w:trPr>
          <w:jc w:val="center"/>
        </w:trPr>
        <w:tc>
          <w:tcPr>
            <w:tcW w:w="4253" w:type="dxa"/>
            <w:vAlign w:val="top"/>
          </w:tcPr>
          <w:p w14:paraId="2998EEBD">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rPr>
            </w:pPr>
            <w:r>
              <w:rPr>
                <w:rFonts w:hint="eastAsia" w:ascii="宋体" w:hAnsi="宋体" w:eastAsia="宋体" w:cs="宋体"/>
                <w:sz w:val="21"/>
                <w:szCs w:val="21"/>
              </w:rPr>
              <w:t>账号：</w:t>
            </w:r>
            <w:r>
              <w:rPr>
                <w:rFonts w:hint="eastAsia" w:ascii="宋体" w:hAnsi="宋体" w:eastAsia="宋体" w:cs="宋体"/>
                <w:bCs/>
                <w:kern w:val="2"/>
                <w:sz w:val="21"/>
                <w:szCs w:val="21"/>
                <w:highlight w:val="none"/>
                <w:lang w:val="zh-CN"/>
              </w:rPr>
              <w:t>769908269610828</w:t>
            </w:r>
          </w:p>
        </w:tc>
        <w:tc>
          <w:tcPr>
            <w:tcW w:w="454" w:type="dxa"/>
            <w:vAlign w:val="top"/>
          </w:tcPr>
          <w:p w14:paraId="446B6E67">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rPr>
            </w:pPr>
          </w:p>
        </w:tc>
        <w:tc>
          <w:tcPr>
            <w:tcW w:w="4253" w:type="dxa"/>
            <w:vAlign w:val="top"/>
          </w:tcPr>
          <w:p w14:paraId="704E1722">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rPr>
            </w:pPr>
            <w:r>
              <w:rPr>
                <w:rFonts w:hint="eastAsia" w:ascii="宋体" w:hAnsi="宋体" w:eastAsia="宋体" w:cs="宋体"/>
                <w:sz w:val="21"/>
                <w:szCs w:val="21"/>
              </w:rPr>
              <w:t>账号：</w:t>
            </w:r>
          </w:p>
        </w:tc>
      </w:tr>
    </w:tbl>
    <w:p w14:paraId="0821BCC8">
      <w:pPr>
        <w:widowControl/>
        <w:snapToGrid w:val="0"/>
        <w:spacing w:line="360" w:lineRule="auto"/>
        <w:outlineLvl w:val="9"/>
        <w:rPr>
          <w:rFonts w:hint="eastAsia" w:ascii="宋体" w:hAnsi="宋体" w:eastAsia="宋体" w:cs="宋体"/>
          <w:szCs w:val="21"/>
        </w:rPr>
      </w:pPr>
    </w:p>
    <w:p w14:paraId="6EEB5C57">
      <w:pPr>
        <w:widowControl/>
        <w:snapToGrid w:val="0"/>
        <w:spacing w:line="360" w:lineRule="auto"/>
        <w:outlineLvl w:val="9"/>
        <w:rPr>
          <w:rFonts w:hint="eastAsia" w:ascii="宋体" w:hAnsi="宋体" w:eastAsia="宋体" w:cs="宋体"/>
          <w:szCs w:val="21"/>
        </w:rPr>
      </w:pPr>
    </w:p>
    <w:p w14:paraId="6CB60AA1">
      <w:pPr>
        <w:widowControl/>
        <w:snapToGrid w:val="0"/>
        <w:spacing w:line="360" w:lineRule="auto"/>
        <w:outlineLvl w:val="9"/>
        <w:rPr>
          <w:rFonts w:hint="eastAsia" w:ascii="宋体" w:hAnsi="宋体" w:eastAsia="宋体" w:cs="宋体"/>
          <w:szCs w:val="21"/>
        </w:rPr>
      </w:pPr>
    </w:p>
    <w:p w14:paraId="1C3D8D0F">
      <w:pPr>
        <w:widowControl/>
        <w:snapToGrid w:val="0"/>
        <w:spacing w:line="360" w:lineRule="auto"/>
        <w:jc w:val="left"/>
        <w:outlineLvl w:val="9"/>
        <w:rPr>
          <w:rFonts w:hint="eastAsia" w:ascii="宋体" w:hAnsi="宋体" w:eastAsia="宋体" w:cs="宋体"/>
          <w:b/>
          <w:bCs/>
          <w:sz w:val="21"/>
          <w:szCs w:val="21"/>
        </w:rPr>
      </w:pPr>
      <w:r>
        <w:rPr>
          <w:rFonts w:hint="eastAsia" w:ascii="宋体" w:hAnsi="宋体" w:eastAsia="宋体" w:cs="宋体"/>
          <w:sz w:val="21"/>
          <w:szCs w:val="21"/>
        </w:rPr>
        <w:t>签订日期：     年  月  日</w:t>
      </w:r>
    </w:p>
    <w:p w14:paraId="77FF361E">
      <w:pPr>
        <w:widowControl/>
        <w:snapToGrid w:val="0"/>
        <w:spacing w:line="360" w:lineRule="auto"/>
        <w:outlineLvl w:val="9"/>
        <w:rPr>
          <w:rFonts w:hint="eastAsia" w:ascii="宋体" w:hAnsi="宋体" w:eastAsia="宋体" w:cs="宋体"/>
          <w:szCs w:val="21"/>
        </w:rPr>
      </w:pPr>
    </w:p>
    <w:bookmarkEnd w:id="209"/>
    <w:p w14:paraId="54119A45">
      <w:pPr>
        <w:pageBreakBefore/>
        <w:spacing w:line="360" w:lineRule="auto"/>
        <w:outlineLvl w:val="9"/>
        <w:rPr>
          <w:rFonts w:hint="eastAsia" w:ascii="宋体" w:hAnsi="宋体" w:eastAsia="宋体" w:cs="宋体"/>
          <w:b/>
          <w:sz w:val="21"/>
          <w:szCs w:val="21"/>
        </w:rPr>
      </w:pPr>
      <w:r>
        <w:rPr>
          <w:rFonts w:hint="eastAsia" w:ascii="宋体" w:hAnsi="宋体" w:eastAsia="宋体" w:cs="宋体"/>
          <w:b/>
          <w:sz w:val="21"/>
          <w:szCs w:val="21"/>
        </w:rPr>
        <w:t>附件1：廉洁协议书</w:t>
      </w:r>
    </w:p>
    <w:p w14:paraId="6C2B0BBA">
      <w:pPr>
        <w:spacing w:line="360" w:lineRule="auto"/>
        <w:ind w:firstLine="646" w:firstLineChars="201"/>
        <w:jc w:val="center"/>
        <w:outlineLvl w:val="9"/>
        <w:rPr>
          <w:rFonts w:hint="eastAsia" w:ascii="宋体" w:hAnsi="宋体" w:eastAsia="宋体" w:cs="宋体"/>
          <w:sz w:val="32"/>
          <w:szCs w:val="32"/>
        </w:rPr>
      </w:pPr>
      <w:r>
        <w:rPr>
          <w:rFonts w:hint="eastAsia" w:ascii="宋体" w:hAnsi="宋体" w:eastAsia="宋体" w:cs="宋体"/>
          <w:b/>
          <w:sz w:val="32"/>
          <w:szCs w:val="32"/>
        </w:rPr>
        <w:t>廉洁协议书</w:t>
      </w:r>
    </w:p>
    <w:p w14:paraId="1E68E804">
      <w:pPr>
        <w:snapToGrid w:val="0"/>
        <w:spacing w:line="360" w:lineRule="auto"/>
        <w:ind w:firstLine="484" w:firstLineChars="201"/>
        <w:outlineLvl w:val="9"/>
        <w:rPr>
          <w:rFonts w:hint="eastAsia" w:ascii="宋体" w:hAnsi="宋体" w:eastAsia="宋体" w:cs="宋体"/>
          <w:b/>
          <w:bCs/>
          <w:szCs w:val="21"/>
        </w:rPr>
      </w:pPr>
    </w:p>
    <w:p w14:paraId="591C2574">
      <w:pPr>
        <w:snapToGrid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项目名称：</w:t>
      </w:r>
      <w:r>
        <w:rPr>
          <w:rFonts w:hint="eastAsia" w:ascii="宋体" w:hAnsi="宋体" w:cs="宋体"/>
          <w:sz w:val="21"/>
          <w:szCs w:val="21"/>
          <w:lang w:eastAsia="zh-CN"/>
        </w:rPr>
        <w:t>东莞市众源环境投资有限公司污水处理厂污泥脱水减量处理服务（BOT权属滨海湾片区）采购项目</w:t>
      </w:r>
      <w:r>
        <w:rPr>
          <w:rFonts w:hint="eastAsia" w:ascii="宋体" w:hAnsi="宋体" w:eastAsia="宋体" w:cs="宋体"/>
          <w:sz w:val="21"/>
          <w:szCs w:val="21"/>
        </w:rPr>
        <w:t>（</w:t>
      </w:r>
      <w:r>
        <w:rPr>
          <w:rFonts w:hint="eastAsia" w:ascii="宋体" w:hAnsi="宋体" w:eastAsia="宋体" w:cs="宋体"/>
          <w:sz w:val="21"/>
          <w:szCs w:val="21"/>
          <w:lang w:val="en-US" w:eastAsia="zh-CN"/>
        </w:rPr>
        <w:t>采购</w:t>
      </w:r>
      <w:r>
        <w:rPr>
          <w:rFonts w:hint="eastAsia" w:ascii="宋体" w:hAnsi="宋体" w:eastAsia="宋体" w:cs="宋体"/>
          <w:sz w:val="21"/>
          <w:szCs w:val="21"/>
        </w:rPr>
        <w:t>编号：</w:t>
      </w:r>
      <w:r>
        <w:rPr>
          <w:rFonts w:hint="eastAsia" w:ascii="宋体" w:hAnsi="宋体" w:cs="宋体"/>
          <w:sz w:val="21"/>
          <w:szCs w:val="21"/>
          <w:lang w:val="en-US" w:eastAsia="zh-CN"/>
        </w:rPr>
        <w:t xml:space="preserve">DGDS2024-002 </w:t>
      </w:r>
      <w:r>
        <w:rPr>
          <w:rFonts w:hint="eastAsia" w:ascii="宋体" w:hAnsi="宋体" w:eastAsia="宋体" w:cs="宋体"/>
          <w:sz w:val="21"/>
          <w:szCs w:val="21"/>
        </w:rPr>
        <w:t>）</w:t>
      </w:r>
    </w:p>
    <w:p w14:paraId="1C5E5605">
      <w:pPr>
        <w:snapToGrid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甲方（业主单位）：</w:t>
      </w:r>
    </w:p>
    <w:p w14:paraId="4D835DEB">
      <w:pPr>
        <w:snapToGrid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乙方：</w:t>
      </w:r>
    </w:p>
    <w:p w14:paraId="41A6388F">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0B547FEC">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第一条  甲乙双方的权利和义务</w:t>
      </w:r>
    </w:p>
    <w:p w14:paraId="12D334FC">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（一）严格遵守党和国家有关法律法规等有关廉洁从业规定。</w:t>
      </w:r>
    </w:p>
    <w:p w14:paraId="634861F3">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（二）严格执行本项目的合同文件，自觉按合同办事。</w:t>
      </w:r>
    </w:p>
    <w:p w14:paraId="3718969E">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（三）双方的业务活动坚持公开、公正、诚信、透明的原则（除法律认定的商业秘密和合同文件另有规定之外）不得损害国家和集体利益，违反电力交易管理及其他法律法规规章制度。</w:t>
      </w:r>
    </w:p>
    <w:p w14:paraId="4AB978A0">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（四）建立健全廉洁制度，开展廉洁教育，设立廉洁监督公示牌，公布举报电话，监督并认真查处违法违纪行为。</w:t>
      </w:r>
    </w:p>
    <w:p w14:paraId="296D266A">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（五）发现对方在业务活动中有违反廉洁规定的行为，有及时提醒对方纠正的权利和义务。</w:t>
      </w:r>
    </w:p>
    <w:p w14:paraId="05AB90E4">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（六）发现对方严重违反本协议义务条款的行为，有向其上级有关部门举报、建议给予处理并要求告知处理结果的权利。</w:t>
      </w:r>
    </w:p>
    <w:p w14:paraId="3C6B5AE6">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第二条  甲方的义务</w:t>
      </w:r>
    </w:p>
    <w:p w14:paraId="44ACB514">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（一）甲方及其工作人员不得索要或接受乙方的礼金、有价证券和贵重物品，不得在乙方报销任何应由甲方或个人支付的费用。</w:t>
      </w:r>
    </w:p>
    <w:p w14:paraId="6A4D510B">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（二）甲方工作人员不得参加乙方安排的高消费宴请和娱乐活动；不得接受乙方提供的通讯工具、交通工具和高档办公用品。</w:t>
      </w:r>
    </w:p>
    <w:p w14:paraId="001AB524">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（三）甲方及其工作人员不得要求或者接受乙方为其住房装修、婚丧嫁娶活动、家属或亲友的工作安排以及出国出境、旅游等提供方便。</w:t>
      </w:r>
    </w:p>
    <w:p w14:paraId="463535DD">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（四）甲方工作人员不得向乙方介绍其家属或者亲友（包括家属或亲友开办的公司企业）从事于本项目涉及的经济业务活动。</w:t>
      </w:r>
    </w:p>
    <w:p w14:paraId="0812AE0F">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（五）甲方及其工作人员不得以任何理由向乙方推荐分包单位，不得要求乙方购买合同规定外的材料和设备。</w:t>
      </w:r>
    </w:p>
    <w:p w14:paraId="626FD880">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（六）甲方及其工作人员不得进行违反廉洁规定的其他活动。</w:t>
      </w:r>
    </w:p>
    <w:p w14:paraId="598B6018">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（七）甲方应对甲方工作人员进行廉洁监督管理，如甲方工作人员违反本协议第一、第二条，甲方应依据有关法律法规、党纪规定对其进行处理；涉嫌犯罪的，甲方应将其移交司法机关追究刑事责任。</w:t>
      </w:r>
    </w:p>
    <w:p w14:paraId="277E89F7">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第三条  乙方义务</w:t>
      </w:r>
    </w:p>
    <w:p w14:paraId="3F4EF16B">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（一）乙方不得以任何理由向甲方及其工作人员馈赠礼金、有价证券、贵重礼品，或报销应由甲方单位或个人支付的任何费用。</w:t>
      </w:r>
    </w:p>
    <w:p w14:paraId="747BF736">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（二）乙方及其工作人员不得以考察、参观、洽谈业务、签订合同等的借口邀请甲方及其工作人员参加高消费的宴请、娱乐和健身等活动。</w:t>
      </w:r>
    </w:p>
    <w:p w14:paraId="334EEC53">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（三）乙方不得为甲方单位和个人购置或提供通讯工具、交通工具和高档办公用品等。</w:t>
      </w:r>
    </w:p>
    <w:p w14:paraId="746EE667">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（四）乙方及其工作人员不得为甲方工作人员购买、装修、维修私人住房、汽车等。</w:t>
      </w:r>
    </w:p>
    <w:p w14:paraId="597226B8">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（五）乙方及其工作人员不得为甲方工作人员的婚丧嫁娶、家属或亲友的工作安排，及出国出境提供方便以及报销任何私人消费的费用。</w:t>
      </w:r>
    </w:p>
    <w:p w14:paraId="6D321C24">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（六）乙方及其工作人员不得进行影响甲方及其工作人员公正执行合同和履行职务的其他活动。</w:t>
      </w:r>
    </w:p>
    <w:p w14:paraId="3F7CBF8A">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43FDF8AF">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第四条  违约责任</w:t>
      </w:r>
    </w:p>
    <w:p w14:paraId="0B0F1FC2">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（一）甲方违反本协议第一、第二条给乙方单位造成经济损失的，应予以赔偿。</w:t>
      </w:r>
    </w:p>
    <w:p w14:paraId="3E0152B0">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（二）乙方违反本协议第一、第三条给甲方单位造成经济损失的，应予以赔偿。</w:t>
      </w:r>
    </w:p>
    <w:p w14:paraId="2CF793E6">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第五条  监督检查</w:t>
      </w:r>
    </w:p>
    <w:p w14:paraId="55EDA669">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甲乙双方的廉洁从业行为由双方或双方上级单位的纪检、监察负责监督，对本协议履行情况进行检查。</w:t>
      </w:r>
    </w:p>
    <w:p w14:paraId="1F349223">
      <w:pPr>
        <w:snapToGrid w:val="0"/>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第六条 举报信访受理</w:t>
      </w:r>
    </w:p>
    <w:p w14:paraId="15BA5E80">
      <w:pPr>
        <w:snapToGrid w:val="0"/>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（一）举报受理部门：东莞市水务集团有限公司纪检监察部。</w:t>
      </w:r>
    </w:p>
    <w:p w14:paraId="21A11E0C">
      <w:pPr>
        <w:snapToGrid w:val="0"/>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（二）举报电话：（0769）23076092。</w:t>
      </w:r>
    </w:p>
    <w:p w14:paraId="031227D4">
      <w:pPr>
        <w:snapToGrid w:val="0"/>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（三）举报邮箱：</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"mailto:jcsj@dgswjt.cn。" </w:instrText>
      </w:r>
      <w:r>
        <w:rPr>
          <w:rFonts w:hint="eastAsia" w:ascii="宋体" w:hAnsi="宋体" w:eastAsia="宋体" w:cs="宋体"/>
          <w:sz w:val="21"/>
          <w:szCs w:val="21"/>
        </w:rPr>
        <w:fldChar w:fldCharType="separate"/>
      </w:r>
      <w:r>
        <w:rPr>
          <w:rFonts w:hint="eastAsia" w:ascii="宋体" w:hAnsi="宋体" w:eastAsia="宋体" w:cs="宋体"/>
          <w:color w:val="000000" w:themeColor="text1"/>
          <w:sz w:val="21"/>
          <w:szCs w:val="21"/>
          <w14:textFill>
            <w14:solidFill>
              <w14:schemeClr w14:val="tx1"/>
            </w14:solidFill>
          </w14:textFill>
        </w:rPr>
        <w:t>jcsj@dgswjt.cn。</w:t>
      </w:r>
      <w:r>
        <w:rPr>
          <w:rFonts w:hint="eastAsia" w:ascii="宋体" w:hAnsi="宋体" w:eastAsia="宋体" w:cs="宋体"/>
          <w:color w:val="000000" w:themeColor="text1"/>
          <w:sz w:val="21"/>
          <w:szCs w:val="21"/>
          <w14:textFill>
            <w14:solidFill>
              <w14:schemeClr w14:val="tx1"/>
            </w14:solidFill>
          </w14:textFill>
        </w:rPr>
        <w:fldChar w:fldCharType="end"/>
      </w:r>
    </w:p>
    <w:p w14:paraId="0A38A3E3">
      <w:pPr>
        <w:snapToGrid w:val="0"/>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（四）信访地址：广东省东莞市东城街道育华路1号。</w:t>
      </w:r>
    </w:p>
    <w:p w14:paraId="7B95FF7F">
      <w:pPr>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第七条  其他</w:t>
      </w:r>
    </w:p>
    <w:p w14:paraId="10012AEA">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本协议有效期为甲乙双方签字并盖章之日起至采购项目服务期满后止。</w:t>
      </w:r>
    </w:p>
    <w:p w14:paraId="6012032A">
      <w:pPr>
        <w:snapToGrid w:val="0"/>
        <w:spacing w:line="360" w:lineRule="auto"/>
        <w:ind w:firstLine="422" w:firstLineChars="201"/>
        <w:outlineLvl w:val="9"/>
        <w:rPr>
          <w:rFonts w:hint="eastAsia" w:ascii="宋体" w:hAnsi="宋体" w:eastAsia="宋体" w:cs="宋体"/>
          <w:szCs w:val="21"/>
        </w:rPr>
      </w:pPr>
      <w:r>
        <w:rPr>
          <w:rFonts w:hint="eastAsia" w:ascii="宋体" w:hAnsi="宋体" w:eastAsia="宋体" w:cs="宋体"/>
          <w:sz w:val="21"/>
          <w:szCs w:val="21"/>
        </w:rPr>
        <w:t>本协议一式</w:t>
      </w:r>
      <w:r>
        <w:rPr>
          <w:rFonts w:hint="eastAsia" w:ascii="宋体" w:hAnsi="宋体" w:eastAsia="宋体" w:cs="宋体"/>
          <w:sz w:val="21"/>
          <w:szCs w:val="21"/>
          <w:u w:val="single"/>
        </w:rPr>
        <w:t xml:space="preserve">    </w:t>
      </w:r>
      <w:r>
        <w:rPr>
          <w:rFonts w:hint="eastAsia" w:ascii="宋体" w:hAnsi="宋体" w:eastAsia="宋体" w:cs="宋体"/>
          <w:sz w:val="21"/>
          <w:szCs w:val="21"/>
        </w:rPr>
        <w:t>份，甲方执</w:t>
      </w:r>
      <w:r>
        <w:rPr>
          <w:rFonts w:hint="eastAsia" w:ascii="宋体" w:hAnsi="宋体" w:eastAsia="宋体" w:cs="宋体"/>
          <w:sz w:val="21"/>
          <w:szCs w:val="21"/>
          <w:u w:val="single"/>
        </w:rPr>
        <w:t>伍</w:t>
      </w:r>
      <w:r>
        <w:rPr>
          <w:rFonts w:hint="eastAsia" w:ascii="宋体" w:hAnsi="宋体" w:eastAsia="宋体" w:cs="宋体"/>
          <w:sz w:val="21"/>
          <w:szCs w:val="21"/>
        </w:rPr>
        <w:t>份，乙方执</w:t>
      </w:r>
      <w:r>
        <w:rPr>
          <w:rFonts w:hint="eastAsia" w:ascii="宋体" w:hAnsi="宋体" w:eastAsia="宋体" w:cs="宋体"/>
          <w:sz w:val="21"/>
          <w:szCs w:val="21"/>
          <w:u w:val="single"/>
        </w:rPr>
        <w:t xml:space="preserve">     </w:t>
      </w:r>
      <w:r>
        <w:rPr>
          <w:rFonts w:hint="eastAsia" w:ascii="宋体" w:hAnsi="宋体" w:eastAsia="宋体" w:cs="宋体"/>
          <w:sz w:val="21"/>
          <w:szCs w:val="21"/>
        </w:rPr>
        <w:t>份，甲、乙双方上级主管部门各执</w:t>
      </w:r>
      <w:r>
        <w:rPr>
          <w:rFonts w:hint="eastAsia" w:ascii="宋体" w:hAnsi="宋体" w:eastAsia="宋体" w:cs="宋体"/>
          <w:sz w:val="21"/>
          <w:szCs w:val="21"/>
          <w:u w:val="single"/>
        </w:rPr>
        <w:t xml:space="preserve">   </w:t>
      </w:r>
      <w:r>
        <w:rPr>
          <w:rFonts w:hint="eastAsia" w:ascii="宋体" w:hAnsi="宋体" w:eastAsia="宋体" w:cs="宋体"/>
          <w:sz w:val="21"/>
          <w:szCs w:val="21"/>
        </w:rPr>
        <w:t>份。</w:t>
      </w:r>
    </w:p>
    <w:p w14:paraId="58FCBF31">
      <w:pPr>
        <w:outlineLvl w:val="9"/>
        <w:rPr>
          <w:rFonts w:hint="eastAsia" w:ascii="宋体" w:hAnsi="宋体" w:eastAsia="宋体" w:cs="宋体"/>
          <w:b/>
          <w:bCs/>
          <w:szCs w:val="21"/>
        </w:rPr>
      </w:pPr>
      <w:r>
        <w:rPr>
          <w:rFonts w:hint="eastAsia" w:ascii="宋体" w:hAnsi="宋体" w:eastAsia="宋体" w:cs="宋体"/>
          <w:b/>
          <w:bCs/>
          <w:szCs w:val="21"/>
        </w:rPr>
        <w:br w:type="page"/>
      </w:r>
    </w:p>
    <w:p w14:paraId="082EF3D0">
      <w:pPr>
        <w:snapToGrid w:val="0"/>
        <w:spacing w:line="360" w:lineRule="auto"/>
        <w:ind w:firstLine="424" w:firstLineChars="201"/>
        <w:outlineLvl w:val="9"/>
        <w:rPr>
          <w:rFonts w:hint="eastAsia" w:ascii="宋体" w:hAnsi="宋体" w:eastAsia="宋体" w:cs="宋体"/>
          <w:b/>
          <w:bCs/>
          <w:sz w:val="21"/>
          <w:szCs w:val="21"/>
        </w:rPr>
      </w:pPr>
      <w:r>
        <w:rPr>
          <w:rFonts w:hint="eastAsia" w:ascii="宋体" w:hAnsi="宋体" w:eastAsia="宋体" w:cs="宋体"/>
          <w:b/>
          <w:bCs/>
          <w:sz w:val="21"/>
          <w:szCs w:val="21"/>
        </w:rPr>
        <w:t>（本页为《廉洁协议书》的签署页）</w:t>
      </w:r>
    </w:p>
    <w:p w14:paraId="093D6D2B">
      <w:pPr>
        <w:snapToGrid w:val="0"/>
        <w:spacing w:line="360" w:lineRule="auto"/>
        <w:ind w:firstLine="422" w:firstLineChars="201"/>
        <w:outlineLvl w:val="9"/>
        <w:rPr>
          <w:rFonts w:hint="eastAsia" w:ascii="宋体" w:hAnsi="宋体" w:eastAsia="宋体" w:cs="宋体"/>
          <w:sz w:val="21"/>
          <w:szCs w:val="21"/>
        </w:rPr>
      </w:pPr>
    </w:p>
    <w:p w14:paraId="44E63178">
      <w:pPr>
        <w:snapToGrid w:val="0"/>
        <w:spacing w:line="360" w:lineRule="auto"/>
        <w:ind w:firstLine="422" w:firstLineChars="201"/>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甲方（盖章）：东莞市众源环境投资有限公司</w:t>
      </w:r>
    </w:p>
    <w:p w14:paraId="197ABCA8">
      <w:pPr>
        <w:snapToGrid w:val="0"/>
        <w:spacing w:line="360" w:lineRule="auto"/>
        <w:ind w:firstLine="422" w:firstLineChars="201"/>
        <w:outlineLvl w:val="9"/>
        <w:rPr>
          <w:rFonts w:hint="eastAsia" w:ascii="宋体" w:hAnsi="宋体" w:eastAsia="宋体" w:cs="宋体"/>
          <w:sz w:val="21"/>
          <w:szCs w:val="21"/>
        </w:rPr>
      </w:pPr>
    </w:p>
    <w:p w14:paraId="0571E95B">
      <w:pPr>
        <w:snapToGrid w:val="0"/>
        <w:spacing w:line="360" w:lineRule="auto"/>
        <w:ind w:firstLine="422" w:firstLineChars="201"/>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法定代表（或负责人）：                     </w:t>
      </w:r>
    </w:p>
    <w:p w14:paraId="3E816D83">
      <w:pPr>
        <w:snapToGrid w:val="0"/>
        <w:spacing w:line="360" w:lineRule="auto"/>
        <w:ind w:firstLine="422" w:firstLineChars="201"/>
        <w:outlineLvl w:val="9"/>
        <w:rPr>
          <w:rFonts w:hint="eastAsia" w:ascii="宋体" w:hAnsi="宋体" w:eastAsia="宋体" w:cs="宋体"/>
          <w:sz w:val="21"/>
          <w:szCs w:val="21"/>
        </w:rPr>
      </w:pPr>
    </w:p>
    <w:p w14:paraId="55C1CE30">
      <w:pPr>
        <w:snapToGrid w:val="0"/>
        <w:spacing w:line="360" w:lineRule="auto"/>
        <w:ind w:firstLine="422" w:firstLineChars="201"/>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签订日期：   年  月  日</w:t>
      </w:r>
    </w:p>
    <w:p w14:paraId="3685CE3C">
      <w:pPr>
        <w:snapToGrid w:val="0"/>
        <w:spacing w:line="360" w:lineRule="auto"/>
        <w:ind w:firstLine="422" w:firstLineChars="201"/>
        <w:outlineLvl w:val="9"/>
        <w:rPr>
          <w:rFonts w:hint="eastAsia" w:ascii="宋体" w:hAnsi="宋体" w:eastAsia="宋体" w:cs="宋体"/>
          <w:sz w:val="21"/>
          <w:szCs w:val="21"/>
        </w:rPr>
      </w:pPr>
    </w:p>
    <w:p w14:paraId="25B39F23">
      <w:pPr>
        <w:pStyle w:val="2"/>
        <w:snapToGrid w:val="0"/>
        <w:spacing w:line="360" w:lineRule="auto"/>
        <w:ind w:firstLine="424" w:firstLineChars="201"/>
        <w:outlineLvl w:val="9"/>
        <w:rPr>
          <w:rFonts w:hint="eastAsia" w:ascii="宋体" w:hAnsi="宋体" w:eastAsia="宋体" w:cs="宋体"/>
          <w:sz w:val="21"/>
          <w:szCs w:val="21"/>
        </w:rPr>
      </w:pPr>
    </w:p>
    <w:p w14:paraId="3DA56831">
      <w:pPr>
        <w:snapToGrid w:val="0"/>
        <w:spacing w:line="360" w:lineRule="auto"/>
        <w:ind w:firstLine="422" w:firstLineChars="201"/>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乙方（盖章）：</w:t>
      </w:r>
    </w:p>
    <w:p w14:paraId="791F8019">
      <w:pPr>
        <w:snapToGrid w:val="0"/>
        <w:spacing w:line="360" w:lineRule="auto"/>
        <w:ind w:firstLine="422" w:firstLineChars="201"/>
        <w:outlineLvl w:val="9"/>
        <w:rPr>
          <w:rFonts w:hint="eastAsia" w:ascii="宋体" w:hAnsi="宋体" w:eastAsia="宋体" w:cs="宋体"/>
          <w:sz w:val="21"/>
          <w:szCs w:val="21"/>
        </w:rPr>
      </w:pPr>
    </w:p>
    <w:p w14:paraId="10AFEF2A">
      <w:pPr>
        <w:snapToGrid w:val="0"/>
        <w:spacing w:line="360" w:lineRule="auto"/>
        <w:ind w:firstLine="422" w:firstLineChars="201"/>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法定代表（或负责人）：</w:t>
      </w:r>
    </w:p>
    <w:p w14:paraId="1AE4F337">
      <w:pPr>
        <w:snapToGrid w:val="0"/>
        <w:spacing w:line="360" w:lineRule="auto"/>
        <w:ind w:firstLine="422" w:firstLineChars="201"/>
        <w:outlineLvl w:val="9"/>
        <w:rPr>
          <w:rFonts w:hint="eastAsia" w:ascii="宋体" w:hAnsi="宋体" w:eastAsia="宋体" w:cs="宋体"/>
          <w:sz w:val="21"/>
          <w:szCs w:val="21"/>
        </w:rPr>
      </w:pPr>
    </w:p>
    <w:p w14:paraId="74619268">
      <w:pPr>
        <w:snapToGrid w:val="0"/>
        <w:spacing w:line="360" w:lineRule="auto"/>
        <w:ind w:firstLine="420" w:firstLineChars="200"/>
        <w:outlineLvl w:val="9"/>
        <w:rPr>
          <w:rFonts w:hint="eastAsia" w:ascii="宋体" w:hAnsi="宋体" w:eastAsia="宋体" w:cs="宋体"/>
          <w:bCs/>
          <w:sz w:val="21"/>
          <w:szCs w:val="21"/>
        </w:rPr>
      </w:pPr>
      <w:r>
        <w:rPr>
          <w:rFonts w:hint="eastAsia" w:ascii="宋体" w:hAnsi="宋体" w:eastAsia="宋体" w:cs="宋体"/>
          <w:color w:val="000000"/>
          <w:sz w:val="21"/>
          <w:szCs w:val="21"/>
        </w:rPr>
        <w:t>签订日期：    年  月  日</w:t>
      </w:r>
    </w:p>
    <w:p w14:paraId="0B5DC38E">
      <w:pPr>
        <w:snapToGrid w:val="0"/>
        <w:spacing w:line="360" w:lineRule="auto"/>
        <w:outlineLvl w:val="9"/>
        <w:rPr>
          <w:rFonts w:hint="eastAsia" w:ascii="宋体" w:hAnsi="宋体" w:eastAsia="宋体" w:cs="宋体"/>
          <w:b/>
          <w:sz w:val="21"/>
          <w:szCs w:val="21"/>
        </w:rPr>
      </w:pPr>
      <w:r>
        <w:rPr>
          <w:rFonts w:hint="eastAsia" w:ascii="宋体" w:hAnsi="宋体" w:eastAsia="宋体" w:cs="宋体"/>
          <w:b/>
          <w:sz w:val="21"/>
          <w:szCs w:val="21"/>
        </w:rPr>
        <w:br w:type="page"/>
      </w:r>
      <w:bookmarkStart w:id="214" w:name="_Toc62826974"/>
      <w:r>
        <w:rPr>
          <w:rFonts w:hint="eastAsia" w:ascii="宋体" w:hAnsi="宋体" w:eastAsia="宋体" w:cs="宋体"/>
          <w:b/>
          <w:sz w:val="21"/>
          <w:szCs w:val="21"/>
        </w:rPr>
        <w:t>附件2：安全生产管理协议</w:t>
      </w:r>
      <w:bookmarkEnd w:id="214"/>
    </w:p>
    <w:p w14:paraId="0C668132">
      <w:pPr>
        <w:snapToGrid w:val="0"/>
        <w:spacing w:line="360" w:lineRule="auto"/>
        <w:ind w:left="648" w:right="-26"/>
        <w:jc w:val="center"/>
        <w:outlineLvl w:val="9"/>
        <w:rPr>
          <w:rFonts w:hint="eastAsia" w:ascii="宋体" w:hAnsi="宋体" w:eastAsia="宋体" w:cs="宋体"/>
          <w:b/>
          <w:bCs/>
          <w:szCs w:val="21"/>
          <w:lang w:val="zh-CN"/>
        </w:rPr>
      </w:pPr>
    </w:p>
    <w:p w14:paraId="617CDEC7">
      <w:pPr>
        <w:jc w:val="center"/>
        <w:outlineLvl w:val="9"/>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《安全生产管理协议（施工、安装、服务类）》</w:t>
      </w:r>
    </w:p>
    <w:p w14:paraId="0C83E51E">
      <w:pPr>
        <w:jc w:val="center"/>
        <w:outlineLvl w:val="9"/>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 xml:space="preserve">         </w:t>
      </w:r>
      <w:r>
        <w:rPr>
          <w:rFonts w:hint="eastAsia" w:ascii="宋体" w:hAnsi="宋体" w:eastAsia="宋体" w:cs="宋体"/>
          <w:bCs/>
          <w:color w:val="000000" w:themeColor="text1"/>
          <w:sz w:val="28"/>
          <w:szCs w:val="28"/>
          <w14:textFill>
            <w14:solidFill>
              <w14:schemeClr w14:val="tx1"/>
            </w14:solidFill>
          </w14:textFill>
        </w:rPr>
        <w:t xml:space="preserve">                                         </w:t>
      </w:r>
    </w:p>
    <w:p w14:paraId="02D908BC">
      <w:pPr>
        <w:spacing w:line="360" w:lineRule="auto"/>
        <w:outlineLvl w:val="9"/>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甲方：</w:t>
      </w:r>
      <w:r>
        <w:rPr>
          <w:rFonts w:hint="eastAsia" w:ascii="宋体" w:hAnsi="宋体" w:eastAsia="宋体" w:cs="宋体"/>
          <w:color w:val="000000" w:themeColor="text1"/>
          <w:sz w:val="21"/>
          <w:szCs w:val="21"/>
          <w:u w:val="single"/>
          <w14:textFill>
            <w14:solidFill>
              <w14:schemeClr w14:val="tx1"/>
            </w14:solidFill>
          </w14:textFill>
        </w:rPr>
        <w:t xml:space="preserve">                                   </w:t>
      </w:r>
    </w:p>
    <w:p w14:paraId="34D08268">
      <w:pPr>
        <w:spacing w:line="360" w:lineRule="auto"/>
        <w:outlineLvl w:val="9"/>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地址: </w:t>
      </w:r>
      <w:r>
        <w:rPr>
          <w:rFonts w:hint="eastAsia" w:ascii="宋体" w:hAnsi="宋体" w:eastAsia="宋体" w:cs="宋体"/>
          <w:color w:val="000000" w:themeColor="text1"/>
          <w:sz w:val="21"/>
          <w:szCs w:val="21"/>
          <w:u w:val="single"/>
          <w14:textFill>
            <w14:solidFill>
              <w14:schemeClr w14:val="tx1"/>
            </w14:solidFill>
          </w14:textFill>
        </w:rPr>
        <w:t xml:space="preserve">                                   </w:t>
      </w:r>
    </w:p>
    <w:p w14:paraId="5D094D30">
      <w:pPr>
        <w:spacing w:line="360" w:lineRule="auto"/>
        <w:outlineLvl w:val="9"/>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电话：</w:t>
      </w:r>
      <w:r>
        <w:rPr>
          <w:rFonts w:hint="eastAsia" w:ascii="宋体" w:hAnsi="宋体" w:eastAsia="宋体" w:cs="宋体"/>
          <w:color w:val="000000" w:themeColor="text1"/>
          <w:sz w:val="21"/>
          <w:szCs w:val="21"/>
          <w:u w:val="single"/>
          <w14:textFill>
            <w14:solidFill>
              <w14:schemeClr w14:val="tx1"/>
            </w14:solidFill>
          </w14:textFill>
        </w:rPr>
        <w:t xml:space="preserve">                                   </w:t>
      </w:r>
    </w:p>
    <w:p w14:paraId="33656987">
      <w:pPr>
        <w:spacing w:line="360" w:lineRule="auto"/>
        <w:outlineLvl w:val="9"/>
        <w:rPr>
          <w:rFonts w:hint="eastAsia" w:ascii="宋体" w:hAnsi="宋体" w:eastAsia="宋体" w:cs="宋体"/>
          <w:color w:val="000000" w:themeColor="text1"/>
          <w:sz w:val="21"/>
          <w:szCs w:val="21"/>
          <w:u w:val="single"/>
          <w14:textFill>
            <w14:solidFill>
              <w14:schemeClr w14:val="tx1"/>
            </w14:solidFill>
          </w14:textFill>
        </w:rPr>
      </w:pPr>
    </w:p>
    <w:p w14:paraId="594FF1F2">
      <w:pPr>
        <w:spacing w:line="360" w:lineRule="auto"/>
        <w:outlineLvl w:val="9"/>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w:t>
      </w:r>
      <w:r>
        <w:rPr>
          <w:rFonts w:hint="eastAsia" w:ascii="宋体" w:hAnsi="宋体" w:eastAsia="宋体" w:cs="宋体"/>
          <w:color w:val="000000" w:themeColor="text1"/>
          <w:sz w:val="21"/>
          <w:szCs w:val="21"/>
          <w:u w:val="single"/>
          <w14:textFill>
            <w14:solidFill>
              <w14:schemeClr w14:val="tx1"/>
            </w14:solidFill>
          </w14:textFill>
        </w:rPr>
        <w:t xml:space="preserve">                                   </w:t>
      </w:r>
    </w:p>
    <w:p w14:paraId="5F911F59">
      <w:pPr>
        <w:spacing w:line="360" w:lineRule="auto"/>
        <w:outlineLvl w:val="9"/>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地址:</w:t>
      </w:r>
      <w:r>
        <w:rPr>
          <w:rFonts w:hint="eastAsia" w:ascii="宋体" w:hAnsi="宋体" w:eastAsia="宋体" w:cs="宋体"/>
          <w:color w:val="000000" w:themeColor="text1"/>
          <w:sz w:val="21"/>
          <w:szCs w:val="21"/>
          <w:u w:val="single"/>
          <w14:textFill>
            <w14:solidFill>
              <w14:schemeClr w14:val="tx1"/>
            </w14:solidFill>
          </w14:textFill>
        </w:rPr>
        <w:t xml:space="preserve">                                    </w:t>
      </w:r>
    </w:p>
    <w:p w14:paraId="30DD8909">
      <w:p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电话：</w:t>
      </w:r>
      <w:r>
        <w:rPr>
          <w:rFonts w:hint="eastAsia" w:ascii="宋体" w:hAnsi="宋体" w:eastAsia="宋体" w:cs="宋体"/>
          <w:color w:val="000000" w:themeColor="text1"/>
          <w:sz w:val="21"/>
          <w:szCs w:val="21"/>
          <w:u w:val="single"/>
          <w14:textFill>
            <w14:solidFill>
              <w14:schemeClr w14:val="tx1"/>
            </w14:solidFill>
          </w14:textFill>
        </w:rPr>
        <w:t xml:space="preserve">                                   </w:t>
      </w:r>
    </w:p>
    <w:p w14:paraId="0468FA87">
      <w:pPr>
        <w:spacing w:line="360" w:lineRule="auto"/>
        <w:outlineLvl w:val="9"/>
        <w:rPr>
          <w:rFonts w:hint="eastAsia" w:ascii="宋体" w:hAnsi="宋体" w:eastAsia="宋体" w:cs="宋体"/>
          <w:color w:val="000000" w:themeColor="text1"/>
          <w:sz w:val="21"/>
          <w:szCs w:val="21"/>
          <w14:textFill>
            <w14:solidFill>
              <w14:schemeClr w14:val="tx1"/>
            </w14:solidFill>
          </w14:textFill>
        </w:rPr>
      </w:pPr>
    </w:p>
    <w:p w14:paraId="51CED8DA">
      <w:pPr>
        <w:pStyle w:val="24"/>
        <w:spacing w:line="360" w:lineRule="auto"/>
        <w:ind w:left="0" w:leftChars="0"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根据《中华人民共和国安全生产法》和《建设工程安全生产管理条例》等法规要求，为加强作业现场的安全管理，落实各自</w:t>
      </w:r>
      <w:r>
        <w:rPr>
          <w:rFonts w:hint="eastAsia" w:ascii="宋体" w:hAnsi="宋体" w:eastAsia="宋体" w:cs="宋体"/>
          <w:color w:val="000000" w:themeColor="text1"/>
          <w:sz w:val="21"/>
          <w:szCs w:val="21"/>
          <w14:textFill>
            <w14:solidFill>
              <w14:schemeClr w14:val="tx1"/>
            </w14:solidFill>
          </w14:textFill>
        </w:rPr>
        <w:t>的安全生产职责，进一步加强作业的安全管理，杜绝作业人员因安全管理不善而引发的各类安全事故，保证甲、乙双方的财产和员工的人身安全不受侵害，经甲乙双方协商一致，签订协议如下：</w:t>
      </w:r>
    </w:p>
    <w:p w14:paraId="73FFA30D">
      <w:pPr>
        <w:autoSpaceDE/>
        <w:autoSpaceDN/>
        <w:adjustRightInd/>
        <w:spacing w:line="360" w:lineRule="auto"/>
        <w:ind w:firstLine="420" w:firstLineChars="200"/>
        <w:jc w:val="both"/>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项目名称：</w:t>
      </w:r>
      <w:r>
        <w:rPr>
          <w:rFonts w:hint="eastAsia" w:ascii="宋体" w:hAnsi="宋体" w:eastAsia="宋体" w:cs="宋体"/>
          <w:color w:val="000000" w:themeColor="text1"/>
          <w:sz w:val="21"/>
          <w:szCs w:val="21"/>
          <w:u w:val="single"/>
          <w14:textFill>
            <w14:solidFill>
              <w14:schemeClr w14:val="tx1"/>
            </w14:solidFill>
          </w14:textFill>
        </w:rPr>
        <w:t xml:space="preserve">                                   </w:t>
      </w:r>
    </w:p>
    <w:p w14:paraId="620334F1">
      <w:pPr>
        <w:autoSpaceDE/>
        <w:autoSpaceDN/>
        <w:adjustRightInd/>
        <w:spacing w:line="360" w:lineRule="auto"/>
        <w:ind w:firstLine="420" w:firstLineChars="200"/>
        <w:jc w:val="both"/>
        <w:outlineLvl w:val="9"/>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项目地点：</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w:t>
      </w:r>
    </w:p>
    <w:p w14:paraId="5837F205">
      <w:pPr>
        <w:autoSpaceDE/>
        <w:autoSpaceDN/>
        <w:adjustRightInd/>
        <w:spacing w:line="360" w:lineRule="auto"/>
        <w:ind w:firstLine="420" w:firstLineChars="200"/>
        <w:jc w:val="both"/>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项目时间：</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日  至 </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日</w:t>
      </w:r>
    </w:p>
    <w:p w14:paraId="38B07517">
      <w:pPr>
        <w:spacing w:before="44" w:line="360" w:lineRule="auto"/>
        <w:outlineLvl w:val="9"/>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第一条、污水处理厂风险辨识</w:t>
      </w:r>
    </w:p>
    <w:p w14:paraId="504B1C26">
      <w:pPr>
        <w:autoSpaceDE/>
        <w:autoSpaceDN/>
        <w:adjustRightInd/>
        <w:spacing w:line="360" w:lineRule="auto"/>
        <w:ind w:firstLine="420" w:firstLineChars="200"/>
        <w:jc w:val="both"/>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1、污水处理厂有限空间辨识，如:集水间、粗格栅间、提升泵坑、细格栅间、沉沙池、配水井、生化池、储泥池、送水泵坑、各类封闭或通风不良的井（≥1.5 米，含阀门井、污水井、雨水井、吸水井、旋流沉砂池、生化池（带封盖）、回流污泥泵房（带封盖）、剩余污泥泵房（带封盖）、储泥池、储粪池、密闭配水渠等，可能存在有毒有害、易燃易爆介质的井，不受深度限制）、封闭的管道、污水池、地下管道、自然通风不良的设备间、压力容器、密闭储药池、加药储罐等。</w:t>
      </w:r>
    </w:p>
    <w:p w14:paraId="59BDC2E3">
      <w:pPr>
        <w:autoSpaceDE/>
        <w:autoSpaceDN/>
        <w:adjustRightInd/>
        <w:spacing w:line="360" w:lineRule="auto"/>
        <w:ind w:firstLine="420" w:firstLineChars="200"/>
        <w:jc w:val="both"/>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2、其他有限空间辨识，如:建筑施工未完工的地下暗室、管道及管道井等封闭、半封闭的设施及场所（地下隐蔽工程、密闭容器、长期不用的设施或通风不畅的场所等）等。</w:t>
      </w:r>
    </w:p>
    <w:p w14:paraId="65A57D3E">
      <w:pPr>
        <w:spacing w:before="44" w:line="360" w:lineRule="auto"/>
        <w:outlineLvl w:val="9"/>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第二条</w:t>
      </w:r>
      <w:r>
        <w:rPr>
          <w:rFonts w:hint="eastAsia" w:ascii="宋体" w:hAnsi="宋体" w:eastAsia="宋体" w:cs="宋体"/>
          <w:b/>
          <w:bCs/>
          <w:color w:val="000000" w:themeColor="text1"/>
          <w:sz w:val="21"/>
          <w:szCs w:val="21"/>
          <w14:textFill>
            <w14:solidFill>
              <w14:schemeClr w14:val="tx1"/>
            </w14:solidFill>
          </w14:textFill>
        </w:rPr>
        <w:t>、危害因素分析</w:t>
      </w:r>
    </w:p>
    <w:p w14:paraId="3080053C">
      <w:pPr>
        <w:autoSpaceDE/>
        <w:autoSpaceDN/>
        <w:adjustRightInd/>
        <w:spacing w:line="360" w:lineRule="auto"/>
        <w:ind w:firstLine="420" w:firstLineChars="200"/>
        <w:jc w:val="both"/>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作业前，乙方应当对作业环境进行评估，分析存在的危险有害因素，列出危害因素清单，乙方不能消除的危险因素、安全隐患有权拒绝作业，同时及时上报甲方，由甲方消除隐患，确认符合安全作业条件后，乙方方可作业。存在以下伤害类别的危害因素应包括但不限于以下方面：中毒和窒息；高处坠落；淹溺；火灾；爆炸；物体打击；机械伤害；其它，如触电、坍塌、起重伤害、其它伤害等。</w:t>
      </w:r>
    </w:p>
    <w:p w14:paraId="0243B383">
      <w:pPr>
        <w:numPr>
          <w:ilvl w:val="255"/>
          <w:numId w:val="0"/>
        </w:numPr>
        <w:autoSpaceDE/>
        <w:autoSpaceDN/>
        <w:adjustRightInd/>
        <w:spacing w:line="360" w:lineRule="auto"/>
        <w:jc w:val="both"/>
        <w:outlineLvl w:val="9"/>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第三条</w:t>
      </w:r>
      <w:r>
        <w:rPr>
          <w:rFonts w:hint="eastAsia" w:ascii="宋体" w:hAnsi="宋体" w:eastAsia="宋体" w:cs="宋体"/>
          <w:b/>
          <w:bCs/>
          <w:color w:val="000000" w:themeColor="text1"/>
          <w:sz w:val="21"/>
          <w:szCs w:val="21"/>
          <w14:textFill>
            <w14:solidFill>
              <w14:schemeClr w14:val="tx1"/>
            </w14:solidFill>
          </w14:textFill>
        </w:rPr>
        <w:t>、协议实施条款</w:t>
      </w:r>
    </w:p>
    <w:p w14:paraId="295EC2A2">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“相关方”是指：</w:t>
      </w:r>
      <w:r>
        <w:rPr>
          <w:rFonts w:hint="eastAsia" w:ascii="宋体" w:hAnsi="宋体" w:eastAsia="宋体" w:cs="宋体"/>
          <w:color w:val="000000" w:themeColor="text1"/>
          <w:sz w:val="21"/>
          <w:szCs w:val="21"/>
          <w:lang w:val="en-US" w:eastAsia="zh-CN"/>
          <w14:textFill>
            <w14:solidFill>
              <w14:schemeClr w14:val="tx1"/>
            </w14:solidFill>
          </w14:textFill>
        </w:rPr>
        <w:t>乙方在甲方场所内或指定场所</w:t>
      </w:r>
      <w:r>
        <w:rPr>
          <w:rFonts w:hint="eastAsia" w:ascii="宋体" w:hAnsi="宋体" w:eastAsia="宋体" w:cs="宋体"/>
          <w:color w:val="000000" w:themeColor="text1"/>
          <w:sz w:val="21"/>
          <w:szCs w:val="21"/>
          <w14:textFill>
            <w14:solidFill>
              <w14:schemeClr w14:val="tx1"/>
            </w14:solidFill>
          </w14:textFill>
        </w:rPr>
        <w:t>从事与</w:t>
      </w:r>
      <w:r>
        <w:rPr>
          <w:rFonts w:hint="eastAsia" w:ascii="宋体" w:hAnsi="宋体" w:eastAsia="宋体" w:cs="宋体"/>
          <w:color w:val="000000" w:themeColor="text1"/>
          <w:sz w:val="21"/>
          <w:szCs w:val="21"/>
          <w:lang w:val="en-US" w:eastAsia="zh-CN"/>
          <w14:textFill>
            <w14:solidFill>
              <w14:schemeClr w14:val="tx1"/>
            </w14:solidFill>
          </w14:textFill>
        </w:rPr>
        <w:t>甲方</w:t>
      </w:r>
      <w:r>
        <w:rPr>
          <w:rFonts w:hint="eastAsia" w:ascii="宋体" w:hAnsi="宋体" w:eastAsia="宋体" w:cs="宋体"/>
          <w:color w:val="000000" w:themeColor="text1"/>
          <w:sz w:val="21"/>
          <w:szCs w:val="21"/>
          <w14:textFill>
            <w14:solidFill>
              <w14:schemeClr w14:val="tx1"/>
            </w14:solidFill>
          </w14:textFill>
        </w:rPr>
        <w:t>生产经营活动有关的、在</w:t>
      </w:r>
      <w:r>
        <w:rPr>
          <w:rFonts w:hint="eastAsia" w:ascii="宋体" w:hAnsi="宋体" w:eastAsia="宋体" w:cs="宋体"/>
          <w:color w:val="000000" w:themeColor="text1"/>
          <w:sz w:val="21"/>
          <w:szCs w:val="21"/>
          <w:lang w:val="en-US" w:eastAsia="zh-CN"/>
          <w14:textFill>
            <w14:solidFill>
              <w14:schemeClr w14:val="tx1"/>
            </w14:solidFill>
          </w14:textFill>
        </w:rPr>
        <w:t>甲方场所内或指定场所</w:t>
      </w:r>
      <w:r>
        <w:rPr>
          <w:rFonts w:hint="eastAsia" w:ascii="宋体" w:hAnsi="宋体" w:eastAsia="宋体" w:cs="宋体"/>
          <w:color w:val="000000" w:themeColor="text1"/>
          <w:sz w:val="21"/>
          <w:szCs w:val="21"/>
          <w14:textFill>
            <w14:solidFill>
              <w14:schemeClr w14:val="tx1"/>
            </w14:solidFill>
          </w14:textFill>
        </w:rPr>
        <w:t xml:space="preserve">内从事各种公务活动和进行业务往来的外部单位和个人（以下简称“相关方”）。主要包括： </w:t>
      </w:r>
    </w:p>
    <w:p w14:paraId="457D71B3">
      <w:pPr>
        <w:numPr>
          <w:ilvl w:val="255"/>
          <w:numId w:val="0"/>
        </w:num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（1）依照与</w:t>
      </w:r>
      <w:r>
        <w:rPr>
          <w:rFonts w:hint="eastAsia" w:ascii="宋体" w:hAnsi="宋体" w:eastAsia="宋体" w:cs="宋体"/>
          <w:color w:val="000000" w:themeColor="text1"/>
          <w:sz w:val="21"/>
          <w:szCs w:val="21"/>
          <w:lang w:val="en-US" w:eastAsia="zh-CN"/>
          <w14:textFill>
            <w14:solidFill>
              <w14:schemeClr w14:val="tx1"/>
            </w14:solidFill>
          </w14:textFill>
        </w:rPr>
        <w:t>甲方</w:t>
      </w:r>
      <w:r>
        <w:rPr>
          <w:rFonts w:hint="eastAsia" w:ascii="宋体" w:hAnsi="宋体" w:eastAsia="宋体" w:cs="宋体"/>
          <w:color w:val="000000" w:themeColor="text1"/>
          <w:sz w:val="21"/>
          <w:szCs w:val="21"/>
          <w14:textFill>
            <w14:solidFill>
              <w14:schemeClr w14:val="tx1"/>
            </w14:solidFill>
          </w14:textFill>
        </w:rPr>
        <w:t>订立的有关合同，在</w:t>
      </w:r>
      <w:r>
        <w:rPr>
          <w:rFonts w:hint="eastAsia" w:ascii="宋体" w:hAnsi="宋体" w:eastAsia="宋体" w:cs="宋体"/>
          <w:color w:val="000000" w:themeColor="text1"/>
          <w:sz w:val="21"/>
          <w:szCs w:val="21"/>
          <w:lang w:val="en-US" w:eastAsia="zh-CN"/>
          <w14:textFill>
            <w14:solidFill>
              <w14:schemeClr w14:val="tx1"/>
            </w14:solidFill>
          </w14:textFill>
        </w:rPr>
        <w:t>甲方场所内或指定场所</w:t>
      </w:r>
      <w:r>
        <w:rPr>
          <w:rFonts w:hint="eastAsia" w:ascii="宋体" w:hAnsi="宋体" w:eastAsia="宋体" w:cs="宋体"/>
          <w:color w:val="000000" w:themeColor="text1"/>
          <w:sz w:val="21"/>
          <w:szCs w:val="21"/>
          <w14:textFill>
            <w14:solidFill>
              <w14:schemeClr w14:val="tx1"/>
            </w14:solidFill>
          </w14:textFill>
        </w:rPr>
        <w:t xml:space="preserve">内从事基建、设备安装、维修保养、运输、后勤服务、劳务输出以及其他承包各种项目的外来单位或个人。 </w:t>
      </w:r>
    </w:p>
    <w:p w14:paraId="6C1B5355">
      <w:pPr>
        <w:numPr>
          <w:ilvl w:val="0"/>
          <w:numId w:val="13"/>
        </w:numPr>
        <w:autoSpaceDE/>
        <w:autoSpaceDN/>
        <w:adjustRightInd/>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进入</w:t>
      </w:r>
      <w:r>
        <w:rPr>
          <w:rFonts w:hint="eastAsia" w:ascii="宋体" w:hAnsi="宋体" w:eastAsia="宋体" w:cs="宋体"/>
          <w:color w:val="000000" w:themeColor="text1"/>
          <w:sz w:val="21"/>
          <w:szCs w:val="21"/>
          <w:lang w:val="en-US" w:eastAsia="zh-CN"/>
          <w14:textFill>
            <w14:solidFill>
              <w14:schemeClr w14:val="tx1"/>
            </w14:solidFill>
          </w14:textFill>
        </w:rPr>
        <w:t>甲方场所内或指定场所</w:t>
      </w:r>
      <w:r>
        <w:rPr>
          <w:rFonts w:hint="eastAsia" w:ascii="宋体" w:hAnsi="宋体" w:eastAsia="宋体" w:cs="宋体"/>
          <w:color w:val="000000" w:themeColor="text1"/>
          <w:sz w:val="21"/>
          <w:szCs w:val="21"/>
          <w14:textFill>
            <w14:solidFill>
              <w14:schemeClr w14:val="tx1"/>
            </w14:solidFill>
          </w14:textFill>
        </w:rPr>
        <w:t>内进行商务洽谈、参观访问、工作检查、学习交流及其他各类公务活动的外来单位或个人。</w:t>
      </w:r>
    </w:p>
    <w:p w14:paraId="4F4852D3">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危险作业包括但不限于以下内容：临水作业、进入受限空间作业、临时用电作业、高处作业、断路作业、破土作业、吊装作业、盲板抽堵作业。（以下简称：危险作业）</w:t>
      </w:r>
    </w:p>
    <w:p w14:paraId="6458C48C">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进场前乙方应将本企业的营业执照、企业资质等级证书、安全生产许可证</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如有</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、进场人员花名册、携带进场的机具一览表、特种作业人员及特种作业操作证的复印件报甲方。进场职工必须办好作业所在地所需办理的各种证件，不得使用未成年工、童工、超龄工和安排女工从事禁忌劳动。</w:t>
      </w:r>
    </w:p>
    <w:p w14:paraId="2A12DE88">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安全交底。每次进行危险作业等其他可能存在危险的作业前需由乙方的带班人员对作业人员进行安全交底。</w:t>
      </w:r>
    </w:p>
    <w:p w14:paraId="630742E0">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乙方需完善并加强对相关方的的日常考勤管理，严格遵守厂区对进出人员的管理要求。</w:t>
      </w:r>
    </w:p>
    <w:p w14:paraId="3DE642E9">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应在作业场所配备专职或兼职安全管理员，并持有《安全管理员证》、《安全员证》等相关安全资质证书，对作业进行安全管理，并每月对所属员工进行安全教育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每次进行维修作业等其他可能存在危险的作业前需由乙方的带班人员对作业人员进行安全交底。</w:t>
      </w:r>
    </w:p>
    <w:p w14:paraId="6DBD4B26">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乙方使用被派遣劳动者的，应当将被派遣劳动者纳入本单位从业人员统一管理，对被派遣劳动者进行岗位安全操作规程和安全操作技能的教育和培训。</w:t>
      </w:r>
    </w:p>
    <w:p w14:paraId="1744A29A">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乙方应制定与作业范围相适应的应急处置预案，并定期组织演练或者参加甲方组织的演练。</w:t>
      </w:r>
    </w:p>
    <w:p w14:paraId="5F89B1FA">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14:paraId="0C46491D">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乙方应当教育和督促从业人员严格执行本单位的安全生产规章制度和安全操作规程；并向从业人员如实告知作业场所和工作岗位存在的危险因素、防范措施以及事故应急措施。</w:t>
      </w:r>
    </w:p>
    <w:p w14:paraId="6B3067A9">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乙方依法参加工伤保险，为从业人员缴纳保险费，并应当为从事危险作业的人员办理意外伤害保险。</w:t>
      </w:r>
    </w:p>
    <w:p w14:paraId="45D4DE8F">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乙方应严格遵守国家、地方政府有关安全生产及劳动保护的法律法规、标准、规定，贯彻执行甲方的各项安全管理规章制度，严格按照生产场所操作规程制度。</w:t>
      </w:r>
    </w:p>
    <w:p w14:paraId="459014AB">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应当服从甲方的安全管理，保证作业区域的现场文明安全管理达标，现场临时用电、机器设备、安全防护齐全、完好。接受和配合甲方的安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14:paraId="4E7B1F6F">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79CBF1ED">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甲方有权对整个作业现场的安全管理工作进行协调和监督管理。指导、监督、检查乙方的执业健康安全管理工作，对乙方作业中的违章指挥、违章作业和安全隐患提出整改意见，督促、检查乙方的隐患整改落实情况。</w:t>
      </w:r>
    </w:p>
    <w:p w14:paraId="43F7641A">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在作业过程中违反有关安全管理规定、有违章现象发生、安全问题整改不到位或拒不接受甲方的正常安全管理的，依据有关法律法规规定进行处理。乙方作业中存在重大隐患或险情时，甲方有权要求乙方立即整改直至隐患消除，若乙方整改后仍达不到甲方要求的，甲方有权单方解除合同，并要求乙方清退出场。</w:t>
      </w:r>
    </w:p>
    <w:p w14:paraId="0648CDA7">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作业人员未经许可不得随意到作业区域以外的其它工作场所活动，乙方作业人员擅自到作业区域以外的其它工作场所活动，出现人身损伤或伤亡的，由乙方自行负责一切责任。乙方作业人员需动用或作业涉及到甲方所属设备、电器、管线及其他设施等，必须事先征得甲方代表的同意，并采取安全防护措施。</w:t>
      </w:r>
    </w:p>
    <w:p w14:paraId="6AD36044">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乙方作业人员未经许可不得随意到厂区区域以内的其它工作场所活动，活动内容包括不限于采摘水果、前往其他池体活动、攀爬构筑物等危险行为，出现人身损伤或伤亡的，由乙方自行负责一切责任。</w:t>
      </w:r>
    </w:p>
    <w:p w14:paraId="46CBBBA4">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在作业过程中，需要进行动土、动火、登高、吊装、断路、进入限制性空间等危险性较高的作业时，乙方的作业负责人、专职或兼职安全员必须现场确认，作业前报甲方</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并</w:t>
      </w:r>
      <w:r>
        <w:rPr>
          <w:rFonts w:hint="eastAsia" w:ascii="宋体" w:hAnsi="宋体" w:eastAsia="宋体" w:cs="宋体"/>
          <w:color w:val="000000" w:themeColor="text1"/>
          <w:sz w:val="21"/>
          <w:szCs w:val="21"/>
          <w14:textFill>
            <w14:solidFill>
              <w14:schemeClr w14:val="tx1"/>
            </w14:solidFill>
          </w14:textFill>
        </w:rPr>
        <w:t>根据甲方的关于危险作业安全要求执行。</w:t>
      </w:r>
    </w:p>
    <w:p w14:paraId="205D81B9">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因乙方原因，造成乙方损失，由乙方自负，给甲方造成财产损失和人员伤害，乙方要负全部责任，并全额赔偿甲方。</w:t>
      </w:r>
    </w:p>
    <w:p w14:paraId="678F025C">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非因甲方原因，造成乙方损失的，甲方不承担任何责任，由乙方自行承担全部责任。</w:t>
      </w:r>
    </w:p>
    <w:p w14:paraId="05384C78">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乙方应严格遵守法律法规以及甲方的安全管理要求，并接受甲方的安全生产工作协调和监督，积极消除安全隐患。安全管理的基本要求包括但不限于以下条款：</w:t>
      </w:r>
    </w:p>
    <w:p w14:paraId="4E5E51A1">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①禁火区内严禁吸烟、动火。有火灾危险的作业区域，乙方必须配置足够的灭火设施。</w:t>
      </w:r>
    </w:p>
    <w:p w14:paraId="21068F58">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②焊接、气割作业时两瓶距离必须达到5M及以上，</w:t>
      </w:r>
      <w:r>
        <w:rPr>
          <w:rFonts w:hint="eastAsia" w:ascii="宋体" w:hAnsi="宋体" w:eastAsia="宋体" w:cs="宋体"/>
          <w:color w:val="000000" w:themeColor="text1"/>
          <w:sz w:val="21"/>
          <w:szCs w:val="21"/>
          <w:lang w:val="en-US" w:eastAsia="zh-CN"/>
          <w14:textFill>
            <w14:solidFill>
              <w14:schemeClr w14:val="tx1"/>
            </w14:solidFill>
          </w14:textFill>
        </w:rPr>
        <w:t>且有防倾倒措施及安装阻火器，</w:t>
      </w:r>
      <w:r>
        <w:rPr>
          <w:rFonts w:hint="eastAsia" w:ascii="宋体" w:hAnsi="宋体" w:eastAsia="宋体" w:cs="宋体"/>
          <w:color w:val="000000" w:themeColor="text1"/>
          <w:sz w:val="21"/>
          <w:szCs w:val="21"/>
          <w14:textFill>
            <w14:solidFill>
              <w14:schemeClr w14:val="tx1"/>
            </w14:solidFill>
          </w14:textFill>
        </w:rPr>
        <w:t>气瓶距可能产生火花的电器、设备和其它火源的间距必须达到10M及以上</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气瓶严禁烈日暴晒及卧倒使用</w:t>
      </w:r>
      <w:r>
        <w:rPr>
          <w:rFonts w:hint="eastAsia" w:ascii="宋体" w:hAnsi="宋体" w:eastAsia="宋体" w:cs="宋体"/>
          <w:color w:val="000000" w:themeColor="text1"/>
          <w:sz w:val="21"/>
          <w:szCs w:val="21"/>
          <w14:textFill>
            <w14:solidFill>
              <w14:schemeClr w14:val="tx1"/>
            </w14:solidFill>
          </w14:textFill>
        </w:rPr>
        <w:t>。</w:t>
      </w:r>
    </w:p>
    <w:p w14:paraId="4EC6343A">
      <w:pPr>
        <w:spacing w:line="360" w:lineRule="auto"/>
        <w:ind w:left="600" w:leftChars="25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③严禁在厂内道路、消防通道内搭建临时建筑或堆放物资；</w:t>
      </w:r>
    </w:p>
    <w:p w14:paraId="7BCCB58F">
      <w:p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严禁占用、堵塞、遮掩、挪用、损毁、破坏或因装修作业等工作或其他原因导致消防设施设备损坏。</w:t>
      </w:r>
    </w:p>
    <w:p w14:paraId="5B77FF48">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④作业场所的电动工具、电焊机等须有漏电保护器和相应的安全防护装置</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接线方式符合</w:t>
      </w:r>
      <w:r>
        <w:rPr>
          <w:rFonts w:hint="eastAsia" w:ascii="宋体" w:hAnsi="宋体" w:eastAsia="宋体" w:cs="宋体"/>
          <w:color w:val="000000" w:themeColor="text1"/>
          <w:sz w:val="21"/>
          <w:szCs w:val="21"/>
          <w14:textFill>
            <w14:solidFill>
              <w14:schemeClr w14:val="tx1"/>
            </w14:solidFill>
          </w14:textFill>
        </w:rPr>
        <w:t>“一机一闸</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有关</w:t>
      </w:r>
      <w:r>
        <w:rPr>
          <w:rFonts w:hint="eastAsia" w:ascii="宋体" w:hAnsi="宋体" w:eastAsia="宋体" w:cs="宋体"/>
          <w:color w:val="000000" w:themeColor="text1"/>
          <w:sz w:val="21"/>
          <w:szCs w:val="21"/>
          <w14:textFill>
            <w14:solidFill>
              <w14:schemeClr w14:val="tx1"/>
            </w14:solidFill>
          </w14:textFill>
        </w:rPr>
        <w:t>规定。</w:t>
      </w:r>
    </w:p>
    <w:p w14:paraId="03A9753B">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⑤</w:t>
      </w:r>
      <w:r>
        <w:rPr>
          <w:rFonts w:hint="eastAsia" w:ascii="宋体" w:hAnsi="宋体" w:eastAsia="宋体" w:cs="宋体"/>
          <w:color w:val="000000" w:themeColor="text1"/>
          <w:sz w:val="21"/>
          <w:szCs w:val="21"/>
          <w:lang w:val="en-US" w:eastAsia="zh-CN"/>
          <w14:textFill>
            <w14:solidFill>
              <w14:schemeClr w14:val="tx1"/>
            </w14:solidFill>
          </w14:textFill>
        </w:rPr>
        <w:t>生产、</w:t>
      </w:r>
      <w:r>
        <w:rPr>
          <w:rFonts w:hint="eastAsia" w:ascii="宋体" w:hAnsi="宋体" w:eastAsia="宋体" w:cs="宋体"/>
          <w:color w:val="000000" w:themeColor="text1"/>
          <w:sz w:val="21"/>
          <w:szCs w:val="21"/>
          <w14:textFill>
            <w14:solidFill>
              <w14:schemeClr w14:val="tx1"/>
            </w14:solidFill>
          </w14:textFill>
        </w:rPr>
        <w:t>作业现场</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居住室、办公室内的用电设施必须符合要求，严禁电线乱接、乱拉，刀闸和开关无盖，在电器设施上堆放物品。</w:t>
      </w:r>
    </w:p>
    <w:p w14:paraId="143D9940">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⑥防雷、防静电设施及用电设施要有良好接地。</w:t>
      </w:r>
    </w:p>
    <w:p w14:paraId="599D0D07">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⑦作业现场的危险区域，如临边、深坑、土方堆填区等，必须设置围栏和危险标志，夜间要设信号灯。</w:t>
      </w:r>
    </w:p>
    <w:p w14:paraId="16649919">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150E3F2F">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14:paraId="3E7868B3">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5A719055">
      <w:pPr>
        <w:spacing w:line="360" w:lineRule="auto"/>
        <w:ind w:firstLine="420" w:firstLineChars="200"/>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14:textFill>
            <w14:solidFill>
              <w14:schemeClr w14:val="tx1"/>
            </w14:solidFill>
          </w14:textFill>
        </w:rPr>
        <w:t>⑪</w:t>
      </w:r>
      <w:r>
        <w:rPr>
          <w:rFonts w:hint="eastAsia" w:ascii="宋体" w:hAnsi="宋体" w:eastAsia="宋体" w:cs="宋体"/>
          <w:color w:val="000000" w:themeColor="text1"/>
          <w:sz w:val="21"/>
          <w:szCs w:val="21"/>
          <w:lang w:val="en-US" w:eastAsia="zh-CN"/>
          <w14:textFill>
            <w14:solidFill>
              <w14:schemeClr w14:val="tx1"/>
            </w14:solidFill>
          </w14:textFill>
        </w:rPr>
        <w:t>乙方落实好化学品及危险化学品管理，禁止</w:t>
      </w:r>
      <w:r>
        <w:rPr>
          <w:rFonts w:hint="eastAsia" w:ascii="宋体" w:hAnsi="宋体" w:eastAsia="宋体" w:cs="宋体"/>
          <w:color w:val="000000" w:themeColor="text1"/>
          <w:sz w:val="21"/>
          <w:szCs w:val="21"/>
          <w:lang w:val="en-US"/>
          <w14:textFill>
            <w14:solidFill>
              <w14:schemeClr w14:val="tx1"/>
            </w14:solidFill>
          </w14:textFill>
        </w:rPr>
        <w:t>危化品废弃物随意丢弃、倒掉</w:t>
      </w:r>
      <w:r>
        <w:rPr>
          <w:rFonts w:hint="eastAsia" w:ascii="宋体" w:hAnsi="宋体" w:eastAsia="宋体" w:cs="宋体"/>
          <w:color w:val="000000" w:themeColor="text1"/>
          <w:sz w:val="21"/>
          <w:szCs w:val="21"/>
          <w:lang w:val="en-US" w:eastAsia="zh-CN"/>
          <w14:textFill>
            <w14:solidFill>
              <w14:schemeClr w14:val="tx1"/>
            </w14:solidFill>
          </w14:textFill>
        </w:rPr>
        <w:t>，危险化学品泄漏应采取正确防护措施。</w:t>
      </w:r>
    </w:p>
    <w:p w14:paraId="3FEDEE93">
      <w:pPr>
        <w:spacing w:line="360" w:lineRule="auto"/>
        <w:ind w:firstLine="420" w:firstLineChars="200"/>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14:textFill>
            <w14:solidFill>
              <w14:schemeClr w14:val="tx1"/>
            </w14:solidFill>
          </w14:textFill>
        </w:rPr>
        <w:t>⑫</w:t>
      </w:r>
      <w:r>
        <w:rPr>
          <w:rFonts w:hint="eastAsia" w:ascii="宋体" w:hAnsi="宋体" w:eastAsia="宋体" w:cs="宋体"/>
          <w:color w:val="000000" w:themeColor="text1"/>
          <w:sz w:val="21"/>
          <w:szCs w:val="21"/>
          <w:lang w:val="en-US" w:eastAsia="zh-CN"/>
          <w14:textFill>
            <w14:solidFill>
              <w14:schemeClr w14:val="tx1"/>
            </w14:solidFill>
          </w14:textFill>
        </w:rPr>
        <w:t>吊装作业前应检查吊具、吊绳安全性能，禁止超载吊装作业，吊运半径下方严禁站人。</w:t>
      </w:r>
    </w:p>
    <w:p w14:paraId="1D49E445">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乙方应当定期排查并及时治理作业范围内的事故隐患，建立台账，做好相关记录，及时向甲方报告。乙方在发现重大事故隐患后不能立即治理的，应当采取必要的防范措施，并及时书面报告甲方，消除事故隐患。</w:t>
      </w:r>
    </w:p>
    <w:p w14:paraId="0B0B7F1D">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必须接受甲方的检查与监督，并应主动配合，做好安全工作。乙方若有出现违反本协议“第三条，协议实施条款”任一情形的，甲方有权要求乙方立即整改，且甲方有权视情况从工程结算款/服务价款中扣除1000元/</w:t>
      </w:r>
      <w:r>
        <w:rPr>
          <w:rFonts w:hint="eastAsia" w:ascii="宋体" w:hAnsi="宋体" w:eastAsia="宋体" w:cs="宋体"/>
          <w:color w:val="000000" w:themeColor="text1"/>
          <w:sz w:val="21"/>
          <w:szCs w:val="21"/>
          <w:lang w:val="en-US" w:eastAsia="zh-CN"/>
          <w14:textFill>
            <w14:solidFill>
              <w14:schemeClr w14:val="tx1"/>
            </w14:solidFill>
          </w14:textFill>
        </w:rPr>
        <w:t>条/款</w:t>
      </w:r>
      <w:r>
        <w:rPr>
          <w:rFonts w:hint="eastAsia" w:ascii="宋体" w:hAnsi="宋体" w:eastAsia="宋体" w:cs="宋体"/>
          <w:color w:val="000000" w:themeColor="text1"/>
          <w:sz w:val="21"/>
          <w:szCs w:val="21"/>
          <w14:textFill>
            <w14:solidFill>
              <w14:schemeClr w14:val="tx1"/>
            </w14:solidFill>
          </w14:textFill>
        </w:rPr>
        <w:t>作为违约金。</w:t>
      </w:r>
    </w:p>
    <w:p w14:paraId="3798A680">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若乙方有下列情形之一的或在整改后仍违反协议的，甲方有权</w:t>
      </w:r>
      <w:r>
        <w:rPr>
          <w:rFonts w:hint="eastAsia" w:ascii="宋体" w:hAnsi="宋体" w:eastAsia="宋体" w:cs="宋体"/>
          <w:color w:val="000000" w:themeColor="text1"/>
          <w:sz w:val="21"/>
          <w:szCs w:val="21"/>
          <w:lang w:val="en-US" w:eastAsia="zh-CN"/>
          <w14:textFill>
            <w14:solidFill>
              <w14:schemeClr w14:val="tx1"/>
            </w14:solidFill>
          </w14:textFill>
        </w:rPr>
        <w:t>按合同第九条违约责任相关条款执行</w:t>
      </w:r>
      <w:r>
        <w:rPr>
          <w:rFonts w:hint="eastAsia" w:ascii="宋体" w:hAnsi="宋体" w:eastAsia="宋体" w:cs="宋体"/>
          <w:color w:val="000000" w:themeColor="text1"/>
          <w:sz w:val="21"/>
          <w:szCs w:val="21"/>
          <w14:textFill>
            <w14:solidFill>
              <w14:schemeClr w14:val="tx1"/>
            </w14:solidFill>
          </w14:textFill>
        </w:rPr>
        <w:t>，同时甲方有权要求乙方承担第24条的违约金。造成甲方损失的，乙方需另行赔偿：</w:t>
      </w:r>
    </w:p>
    <w:p w14:paraId="11D8A8FF">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①乙方不能提供与项目相匹配的营业执照、施工资质、安全生产许可证、技术人员、特种作业人员、安全员和设备设施的；</w:t>
      </w:r>
    </w:p>
    <w:p w14:paraId="420CAB8D">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②乙方未对作业人员进行岗位安全操作规程和安全操作技能的教育和培训的；没有向作业人员提供劳动防护用品的；</w:t>
      </w:r>
    </w:p>
    <w:p w14:paraId="61C9A6BD">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③乙方未对所属员工定期开展安全教育培训的；</w:t>
      </w:r>
    </w:p>
    <w:p w14:paraId="20C6AEDF">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④在开展涉及危险性较高的作业时，乙方未在作业前报甲方的；</w:t>
      </w:r>
    </w:p>
    <w:p w14:paraId="7350DAAD">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⑤乙方违章作业或违章指挥作业的；</w:t>
      </w:r>
    </w:p>
    <w:p w14:paraId="10625974">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⑥乙方现场安全管理不到位或不服从甲方安全管理的；</w:t>
      </w:r>
    </w:p>
    <w:p w14:paraId="5581FBC4">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⑦发生事故后，乙方未及时开展应急救援工作的；</w:t>
      </w:r>
    </w:p>
    <w:p w14:paraId="0EBCDC6B">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⑨未制定与作业范围相适应的应急处置预案；</w:t>
      </w:r>
    </w:p>
    <w:p w14:paraId="4E4C6A81">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⑩乙方不履行协议义务或者未按协议约定履行义务的其他情况。</w:t>
      </w:r>
    </w:p>
    <w:p w14:paraId="1CF3676F">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需做好临水作业安全保障工作，临水作业的范围包括但不限于：构筑物水面垃圾的打捞（含粗格栅、细格栅、生化池、沉淀池/二沉池；生化池、二沉池、滤布滤池、出水明渠、硝化池、反硝化池等构筑物）的池内清洗等。具体要求如下：</w:t>
      </w:r>
    </w:p>
    <w:p w14:paraId="099E5772">
      <w:pPr>
        <w:numPr>
          <w:ilvl w:val="0"/>
          <w:numId w:val="14"/>
        </w:num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乙方在实施临水作业时，需设一名或以上监护人员；作业存在多种危险作业情况下，需严格落实2人或2人以上为一组协同作业或交替作业，不能单独作业。</w:t>
      </w:r>
    </w:p>
    <w:p w14:paraId="79DFD0A1">
      <w:pPr>
        <w:numPr>
          <w:ilvl w:val="0"/>
          <w:numId w:val="14"/>
        </w:num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危险作业前，必须检查作业工具是否完好，做好交底工作。</w:t>
      </w:r>
    </w:p>
    <w:p w14:paraId="04F37415">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（3）危险作业时，必须做好安全防护措施（穿戴救生衣、安全绳（带）、水鞋、手套、不得穿拖鞋或凉鞋等），严格落实2人或2人以上为一组进行协同作业，不得单独作业。</w:t>
      </w:r>
    </w:p>
    <w:p w14:paraId="26428FF9">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（4）如遇阴雨及大雾、雷暴雨、台风等恶劣天气，禁止危险作业。</w:t>
      </w:r>
    </w:p>
    <w:p w14:paraId="1C0DB3F4">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乙方对作业过程中潜在的安全风险不明确的，不可盲目作业，否则，造成的后果由乙方独自承担。</w:t>
      </w:r>
    </w:p>
    <w:p w14:paraId="3D0EE035">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本协议一式</w:t>
      </w:r>
      <w:r>
        <w:rPr>
          <w:rFonts w:hint="eastAsia" w:ascii="宋体" w:hAnsi="宋体" w:eastAsia="宋体" w:cs="宋体"/>
          <w:sz w:val="21"/>
          <w:szCs w:val="21"/>
          <w:u w:val="single"/>
        </w:rPr>
        <w:t xml:space="preserve">    </w:t>
      </w:r>
      <w:r>
        <w:rPr>
          <w:rFonts w:hint="eastAsia" w:ascii="宋体" w:hAnsi="宋体" w:eastAsia="宋体" w:cs="宋体"/>
          <w:sz w:val="21"/>
          <w:szCs w:val="21"/>
        </w:rPr>
        <w:t>份，其中甲方执</w:t>
      </w:r>
      <w:r>
        <w:rPr>
          <w:rFonts w:hint="eastAsia" w:ascii="宋体" w:hAnsi="宋体" w:eastAsia="宋体" w:cs="宋体"/>
          <w:sz w:val="21"/>
          <w:szCs w:val="21"/>
          <w:u w:val="single"/>
        </w:rPr>
        <w:t xml:space="preserve">    </w:t>
      </w:r>
      <w:r>
        <w:rPr>
          <w:rFonts w:hint="eastAsia" w:ascii="宋体" w:hAnsi="宋体" w:eastAsia="宋体" w:cs="宋体"/>
          <w:sz w:val="21"/>
          <w:szCs w:val="21"/>
        </w:rPr>
        <w:t>份，乙方执</w:t>
      </w:r>
      <w:r>
        <w:rPr>
          <w:rFonts w:hint="eastAsia" w:ascii="宋体" w:hAnsi="宋体" w:eastAsia="宋体" w:cs="宋体"/>
          <w:sz w:val="21"/>
          <w:szCs w:val="21"/>
          <w:u w:val="single"/>
        </w:rPr>
        <w:t xml:space="preserve">    </w:t>
      </w:r>
      <w:r>
        <w:rPr>
          <w:rFonts w:hint="eastAsia" w:ascii="宋体" w:hAnsi="宋体" w:eastAsia="宋体" w:cs="宋体"/>
          <w:sz w:val="21"/>
          <w:szCs w:val="21"/>
        </w:rPr>
        <w:t>份，自甲、乙双方法定代表人或负责人签字并盖章之日起生效。</w:t>
      </w:r>
    </w:p>
    <w:p w14:paraId="708FDAAA">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p>
    <w:p w14:paraId="5CBE08BD">
      <w:pPr>
        <w:spacing w:line="360" w:lineRule="auto"/>
        <w:ind w:firstLine="426" w:firstLineChars="202"/>
        <w:outlineLvl w:val="9"/>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乙方声明：</w:t>
      </w:r>
    </w:p>
    <w:p w14:paraId="52AE4162">
      <w:pPr>
        <w:spacing w:line="360" w:lineRule="auto"/>
        <w:ind w:firstLine="426" w:firstLineChars="202"/>
        <w:outlineLvl w:val="9"/>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乙方已认真阅读协议内容，对协议条款、现场的安全管理要求、安全风险充分理解，并自愿承担因违约造成的一切后果。</w:t>
      </w:r>
    </w:p>
    <w:p w14:paraId="5491FBC7">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（以下无正文）</w:t>
      </w:r>
    </w:p>
    <w:p w14:paraId="0072CC01">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p>
    <w:p w14:paraId="1A07233B">
      <w:p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甲方（盖章）：                      乙方（盖章）： </w:t>
      </w:r>
    </w:p>
    <w:p w14:paraId="20F4D8AE">
      <w:pPr>
        <w:spacing w:line="360" w:lineRule="auto"/>
        <w:outlineLvl w:val="9"/>
        <w:rPr>
          <w:rFonts w:hint="eastAsia" w:ascii="宋体" w:hAnsi="宋体" w:eastAsia="宋体" w:cs="宋体"/>
          <w:color w:val="000000" w:themeColor="text1"/>
          <w:sz w:val="21"/>
          <w:szCs w:val="21"/>
          <w14:textFill>
            <w14:solidFill>
              <w14:schemeClr w14:val="tx1"/>
            </w14:solidFill>
          </w14:textFill>
        </w:rPr>
      </w:pPr>
    </w:p>
    <w:p w14:paraId="47572FF5">
      <w:pPr>
        <w:spacing w:line="360" w:lineRule="auto"/>
        <w:outlineLvl w:val="9"/>
        <w:rPr>
          <w:rFonts w:hint="eastAsia" w:ascii="宋体" w:hAnsi="宋体" w:eastAsia="宋体" w:cs="宋体"/>
          <w:color w:val="000000" w:themeColor="text1"/>
          <w:sz w:val="21"/>
          <w:szCs w:val="21"/>
          <w14:textFill>
            <w14:solidFill>
              <w14:schemeClr w14:val="tx1"/>
            </w14:solidFill>
          </w14:textFill>
        </w:rPr>
      </w:pPr>
    </w:p>
    <w:p w14:paraId="026AB9ED">
      <w:p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法定代表人或负责人：                法定代表人或负责人：</w:t>
      </w:r>
    </w:p>
    <w:p w14:paraId="787C1582">
      <w:pPr>
        <w:spacing w:line="360" w:lineRule="auto"/>
        <w:outlineLvl w:val="9"/>
        <w:rPr>
          <w:rFonts w:hint="eastAsia" w:ascii="宋体" w:hAnsi="宋体" w:eastAsia="宋体" w:cs="宋体"/>
          <w:color w:val="000000" w:themeColor="text1"/>
          <w:sz w:val="21"/>
          <w:szCs w:val="21"/>
          <w14:textFill>
            <w14:solidFill>
              <w14:schemeClr w14:val="tx1"/>
            </w14:solidFill>
          </w14:textFill>
        </w:rPr>
      </w:pPr>
    </w:p>
    <w:p w14:paraId="0CE31FCD">
      <w:pPr>
        <w:spacing w:line="360" w:lineRule="auto"/>
        <w:outlineLvl w:val="9"/>
        <w:rPr>
          <w:rFonts w:hint="eastAsia" w:ascii="宋体" w:hAnsi="宋体" w:eastAsia="宋体" w:cs="宋体"/>
          <w:color w:val="000000" w:themeColor="text1"/>
          <w:sz w:val="21"/>
          <w:szCs w:val="21"/>
          <w14:textFill>
            <w14:solidFill>
              <w14:schemeClr w14:val="tx1"/>
            </w14:solidFill>
          </w14:textFill>
        </w:rPr>
      </w:pPr>
    </w:p>
    <w:p w14:paraId="6A93F701">
      <w:p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日期：                              日期：</w:t>
      </w:r>
    </w:p>
    <w:p w14:paraId="00CD22C6">
      <w:pPr>
        <w:autoSpaceDE w:val="0"/>
        <w:autoSpaceDN w:val="0"/>
        <w:adjustRightInd w:val="0"/>
        <w:snapToGrid w:val="0"/>
        <w:spacing w:line="360" w:lineRule="auto"/>
        <w:jc w:val="left"/>
        <w:outlineLvl w:val="9"/>
        <w:rPr>
          <w:rFonts w:hint="eastAsia" w:ascii="宋体" w:hAnsi="宋体" w:eastAsia="宋体" w:cs="宋体"/>
          <w:kern w:val="0"/>
          <w:szCs w:val="21"/>
        </w:rPr>
      </w:pPr>
    </w:p>
    <w:p w14:paraId="3C458F2B">
      <w:pPr>
        <w:pageBreakBefore/>
        <w:spacing w:before="120" w:beforeLines="50" w:after="120" w:afterLines="50" w:line="360" w:lineRule="auto"/>
        <w:ind w:firstLine="640"/>
        <w:jc w:val="center"/>
        <w:outlineLvl w:val="0"/>
        <w:rPr>
          <w:rFonts w:hint="eastAsia" w:ascii="宋体" w:hAnsi="宋体" w:eastAsia="宋体" w:cs="宋体"/>
          <w:b/>
          <w:bCs/>
          <w:sz w:val="32"/>
          <w:szCs w:val="32"/>
          <w:lang w:val="zh-CN"/>
        </w:rPr>
      </w:pPr>
      <w:bookmarkStart w:id="215" w:name="_Toc17044"/>
      <w:bookmarkStart w:id="216" w:name="_Toc25564"/>
      <w:bookmarkStart w:id="217" w:name="_Toc142508360"/>
      <w:bookmarkStart w:id="218" w:name="_Toc30025"/>
      <w:bookmarkStart w:id="219" w:name="_Toc13867"/>
      <w:bookmarkStart w:id="220" w:name="_Toc24427_WPSOffice_Level1"/>
      <w:bookmarkStart w:id="221" w:name="_Toc9981"/>
      <w:bookmarkStart w:id="222" w:name="_Toc512353083"/>
      <w:r>
        <w:rPr>
          <w:rFonts w:hint="eastAsia" w:ascii="宋体" w:hAnsi="宋体" w:eastAsia="宋体" w:cs="宋体"/>
          <w:b/>
          <w:bCs/>
          <w:sz w:val="32"/>
          <w:szCs w:val="32"/>
          <w:lang w:val="zh-CN"/>
        </w:rPr>
        <w:t>第五篇 相关保函格式</w:t>
      </w:r>
      <w:bookmarkEnd w:id="215"/>
      <w:bookmarkEnd w:id="216"/>
      <w:bookmarkEnd w:id="217"/>
      <w:bookmarkEnd w:id="218"/>
      <w:bookmarkEnd w:id="219"/>
      <w:bookmarkEnd w:id="220"/>
      <w:bookmarkEnd w:id="221"/>
      <w:bookmarkEnd w:id="222"/>
      <w:bookmarkStart w:id="223" w:name="_Toc447044604"/>
      <w:bookmarkStart w:id="224" w:name="_Toc447045091"/>
      <w:bookmarkStart w:id="225" w:name="_Toc447044480"/>
    </w:p>
    <w:p w14:paraId="3CED3DAB">
      <w:pPr>
        <w:autoSpaceDE w:val="0"/>
        <w:autoSpaceDN w:val="0"/>
        <w:adjustRightInd w:val="0"/>
        <w:spacing w:after="120" w:afterLines="50" w:line="360" w:lineRule="auto"/>
        <w:jc w:val="left"/>
        <w:outlineLvl w:val="9"/>
        <w:rPr>
          <w:rFonts w:hint="eastAsia" w:ascii="宋体" w:hAnsi="宋体" w:eastAsia="宋体" w:cs="宋体"/>
          <w:b/>
          <w:kern w:val="0"/>
          <w:sz w:val="28"/>
          <w:szCs w:val="28"/>
        </w:rPr>
      </w:pPr>
      <w:bookmarkStart w:id="226" w:name="_Toc26521_WPSOffice_Level2"/>
      <w:r>
        <w:rPr>
          <w:rFonts w:hint="eastAsia" w:ascii="宋体" w:hAnsi="宋体" w:eastAsia="宋体" w:cs="宋体"/>
          <w:b/>
          <w:kern w:val="0"/>
          <w:sz w:val="28"/>
          <w:szCs w:val="28"/>
        </w:rPr>
        <w:t>一、不可撤销银行履约保函格式</w:t>
      </w:r>
      <w:bookmarkEnd w:id="223"/>
      <w:bookmarkEnd w:id="224"/>
      <w:bookmarkEnd w:id="225"/>
      <w:bookmarkEnd w:id="226"/>
    </w:p>
    <w:p w14:paraId="065AADFF">
      <w:pPr>
        <w:autoSpaceDE w:val="0"/>
        <w:autoSpaceDN w:val="0"/>
        <w:adjustRightInd w:val="0"/>
        <w:jc w:val="center"/>
        <w:outlineLvl w:val="9"/>
        <w:rPr>
          <w:rFonts w:hint="eastAsia" w:ascii="宋体" w:hAnsi="宋体" w:eastAsia="宋体" w:cs="宋体"/>
          <w:b/>
          <w:kern w:val="0"/>
          <w:sz w:val="30"/>
          <w:szCs w:val="30"/>
        </w:rPr>
      </w:pPr>
      <w:r>
        <w:rPr>
          <w:rFonts w:hint="eastAsia" w:ascii="宋体" w:hAnsi="宋体" w:eastAsia="宋体" w:cs="宋体"/>
          <w:b/>
          <w:kern w:val="0"/>
          <w:sz w:val="30"/>
          <w:szCs w:val="30"/>
        </w:rPr>
        <w:t>不可撤销银行履约保函</w:t>
      </w:r>
      <w:r>
        <w:rPr>
          <w:rFonts w:hint="eastAsia" w:ascii="宋体" w:hAnsi="宋体" w:eastAsia="宋体" w:cs="宋体"/>
          <w:b/>
          <w:color w:val="auto"/>
          <w:kern w:val="0"/>
          <w:sz w:val="30"/>
          <w:szCs w:val="30"/>
        </w:rPr>
        <w:t xml:space="preserve">(   </w:t>
      </w:r>
      <w:r>
        <w:rPr>
          <w:rFonts w:hint="eastAsia" w:ascii="宋体" w:hAnsi="宋体" w:eastAsia="宋体" w:cs="宋体"/>
          <w:b/>
          <w:color w:val="auto"/>
          <w:kern w:val="0"/>
          <w:sz w:val="30"/>
          <w:szCs w:val="30"/>
          <w:lang w:eastAsia="zh-CN"/>
        </w:rPr>
        <w:t>包组</w:t>
      </w:r>
      <w:r>
        <w:rPr>
          <w:rFonts w:hint="eastAsia" w:ascii="宋体" w:hAnsi="宋体" w:eastAsia="宋体" w:cs="宋体"/>
          <w:b/>
          <w:color w:val="auto"/>
          <w:kern w:val="0"/>
          <w:sz w:val="30"/>
          <w:szCs w:val="30"/>
        </w:rPr>
        <w:t>)</w:t>
      </w:r>
    </w:p>
    <w:p w14:paraId="042E62D9">
      <w:pPr>
        <w:widowControl/>
        <w:autoSpaceDE w:val="0"/>
        <w:autoSpaceDN w:val="0"/>
        <w:adjustRightInd w:val="0"/>
        <w:spacing w:line="360" w:lineRule="auto"/>
        <w:jc w:val="left"/>
        <w:outlineLvl w:val="9"/>
        <w:rPr>
          <w:rFonts w:hint="eastAsia" w:ascii="宋体" w:hAnsi="宋体" w:eastAsia="宋体" w:cs="宋体"/>
          <w:kern w:val="0"/>
          <w:szCs w:val="21"/>
        </w:rPr>
      </w:pPr>
    </w:p>
    <w:p w14:paraId="41AE547F">
      <w:pPr>
        <w:autoSpaceDE w:val="0"/>
        <w:autoSpaceDN w:val="0"/>
        <w:adjustRightInd w:val="0"/>
        <w:spacing w:line="360" w:lineRule="auto"/>
        <w:ind w:firstLine="6300"/>
        <w:jc w:val="left"/>
        <w:outlineLvl w:val="9"/>
        <w:rPr>
          <w:rFonts w:hint="eastAsia" w:ascii="宋体" w:hAnsi="宋体" w:eastAsia="宋体" w:cs="宋体"/>
          <w:kern w:val="0"/>
          <w:sz w:val="21"/>
          <w:szCs w:val="21"/>
          <w:u w:val="single"/>
        </w:rPr>
      </w:pPr>
      <w:r>
        <w:rPr>
          <w:rFonts w:hint="eastAsia" w:ascii="宋体" w:hAnsi="宋体" w:eastAsia="宋体" w:cs="宋体"/>
          <w:kern w:val="0"/>
          <w:sz w:val="21"/>
          <w:szCs w:val="21"/>
        </w:rPr>
        <w:t>银行编号：</w:t>
      </w:r>
    </w:p>
    <w:p w14:paraId="174E24F7">
      <w:pPr>
        <w:widowControl/>
        <w:autoSpaceDE w:val="0"/>
        <w:autoSpaceDN w:val="0"/>
        <w:adjustRightInd w:val="0"/>
        <w:spacing w:line="360" w:lineRule="auto"/>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致：</w:t>
      </w:r>
      <w:r>
        <w:rPr>
          <w:rFonts w:hint="eastAsia" w:ascii="宋体" w:hAnsi="宋体" w:eastAsia="宋体" w:cs="宋体"/>
          <w:b/>
          <w:kern w:val="0"/>
          <w:sz w:val="21"/>
          <w:szCs w:val="21"/>
          <w:u w:val="single"/>
        </w:rPr>
        <w:t xml:space="preserve">                    </w:t>
      </w:r>
      <w:r>
        <w:rPr>
          <w:rFonts w:hint="eastAsia" w:ascii="宋体" w:hAnsi="宋体" w:eastAsia="宋体" w:cs="宋体"/>
          <w:kern w:val="0"/>
          <w:sz w:val="21"/>
          <w:szCs w:val="21"/>
        </w:rPr>
        <w:t>（下称“受益人”）</w:t>
      </w:r>
    </w:p>
    <w:p w14:paraId="5A453322">
      <w:pPr>
        <w:widowControl/>
        <w:autoSpaceDE w:val="0"/>
        <w:autoSpaceDN w:val="0"/>
        <w:adjustRightInd w:val="0"/>
        <w:spacing w:line="360" w:lineRule="auto"/>
        <w:ind w:firstLine="567" w:firstLineChars="27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鉴于</w:t>
      </w:r>
      <w:r>
        <w:rPr>
          <w:rFonts w:hint="eastAsia" w:ascii="宋体" w:hAnsi="宋体" w:eastAsia="宋体" w:cs="宋体"/>
          <w:kern w:val="0"/>
          <w:sz w:val="21"/>
          <w:szCs w:val="21"/>
          <w:u w:val="single"/>
        </w:rPr>
        <w:t xml:space="preserve">  （申请人的名称与地址）  </w:t>
      </w:r>
      <w:r>
        <w:rPr>
          <w:rFonts w:hint="eastAsia" w:ascii="宋体" w:hAnsi="宋体" w:eastAsia="宋体" w:cs="宋体"/>
          <w:kern w:val="0"/>
          <w:sz w:val="21"/>
          <w:szCs w:val="21"/>
        </w:rPr>
        <w:t>（下称“申请人”），已保证按拟签订的</w:t>
      </w:r>
      <w:r>
        <w:rPr>
          <w:rFonts w:hint="eastAsia" w:ascii="宋体" w:hAnsi="宋体" w:eastAsia="宋体" w:cs="宋体"/>
          <w:kern w:val="0"/>
          <w:sz w:val="21"/>
          <w:szCs w:val="21"/>
          <w:u w:val="single"/>
        </w:rPr>
        <w:t xml:space="preserve"> 项目名称       （</w:t>
      </w:r>
      <w:r>
        <w:rPr>
          <w:rFonts w:hint="eastAsia" w:ascii="宋体" w:hAnsi="宋体" w:eastAsia="宋体" w:cs="宋体"/>
          <w:kern w:val="0"/>
          <w:sz w:val="21"/>
          <w:szCs w:val="21"/>
          <w:u w:val="single"/>
          <w:lang w:val="en-US" w:eastAsia="zh-CN"/>
        </w:rPr>
        <w:t>采购</w:t>
      </w:r>
      <w:r>
        <w:rPr>
          <w:rFonts w:hint="eastAsia" w:ascii="宋体" w:hAnsi="宋体" w:eastAsia="宋体" w:cs="宋体"/>
          <w:kern w:val="0"/>
          <w:sz w:val="21"/>
          <w:szCs w:val="21"/>
          <w:u w:val="single"/>
        </w:rPr>
        <w:t>编号：         ）</w:t>
      </w:r>
      <w:r>
        <w:rPr>
          <w:rFonts w:hint="eastAsia" w:ascii="宋体" w:hAnsi="宋体" w:eastAsia="宋体" w:cs="宋体"/>
          <w:kern w:val="0"/>
          <w:sz w:val="21"/>
          <w:szCs w:val="21"/>
        </w:rPr>
        <w:t>合同（</w:t>
      </w:r>
      <w:r>
        <w:rPr>
          <w:rFonts w:hint="eastAsia" w:ascii="宋体" w:hAnsi="宋体" w:eastAsia="宋体" w:cs="宋体"/>
          <w:kern w:val="0"/>
          <w:sz w:val="21"/>
          <w:szCs w:val="21"/>
          <w:lang w:val="en-US" w:eastAsia="zh-CN"/>
        </w:rPr>
        <w:t>竞争性磋商</w:t>
      </w:r>
      <w:r>
        <w:rPr>
          <w:rFonts w:hint="eastAsia" w:ascii="宋体" w:hAnsi="宋体" w:eastAsia="宋体" w:cs="宋体"/>
          <w:kern w:val="0"/>
          <w:sz w:val="21"/>
          <w:szCs w:val="21"/>
        </w:rPr>
        <w:t>文件）中规定的义务履行合同。</w:t>
      </w:r>
    </w:p>
    <w:p w14:paraId="20836611">
      <w:pPr>
        <w:widowControl/>
        <w:autoSpaceDE w:val="0"/>
        <w:autoSpaceDN w:val="0"/>
        <w:adjustRightInd w:val="0"/>
        <w:spacing w:line="360" w:lineRule="auto"/>
        <w:ind w:firstLine="567" w:firstLineChars="27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根据上述合同（</w:t>
      </w:r>
      <w:r>
        <w:rPr>
          <w:rFonts w:hint="eastAsia" w:ascii="宋体" w:hAnsi="宋体" w:eastAsia="宋体" w:cs="宋体"/>
          <w:kern w:val="0"/>
          <w:sz w:val="21"/>
          <w:szCs w:val="21"/>
          <w:lang w:val="en-US" w:eastAsia="zh-CN"/>
        </w:rPr>
        <w:t>竞争性磋商</w:t>
      </w:r>
      <w:r>
        <w:rPr>
          <w:rFonts w:hint="eastAsia" w:ascii="宋体" w:hAnsi="宋体" w:eastAsia="宋体" w:cs="宋体"/>
          <w:kern w:val="0"/>
          <w:sz w:val="21"/>
          <w:szCs w:val="21"/>
        </w:rPr>
        <w:t>文件）规定，申请人应向受益人提供一份金额为人民币（大写）</w:t>
      </w:r>
      <w:r>
        <w:rPr>
          <w:rFonts w:hint="eastAsia" w:ascii="宋体" w:hAnsi="宋体" w:eastAsia="宋体" w:cs="宋体"/>
          <w:kern w:val="0"/>
          <w:sz w:val="21"/>
          <w:szCs w:val="21"/>
          <w:u w:val="single"/>
        </w:rPr>
        <w:t xml:space="preserve">      （RMB元）</w:t>
      </w:r>
      <w:r>
        <w:rPr>
          <w:rFonts w:hint="eastAsia" w:ascii="宋体" w:hAnsi="宋体" w:eastAsia="宋体" w:cs="宋体"/>
          <w:kern w:val="0"/>
          <w:sz w:val="21"/>
          <w:szCs w:val="21"/>
        </w:rPr>
        <w:t>的无条件、不可撤销银行履约保函，作为申请人履行上述合同的担保。</w:t>
      </w:r>
    </w:p>
    <w:p w14:paraId="6D19446F">
      <w:pPr>
        <w:widowControl/>
        <w:autoSpaceDE w:val="0"/>
        <w:autoSpaceDN w:val="0"/>
        <w:adjustRightInd w:val="0"/>
        <w:spacing w:line="360" w:lineRule="auto"/>
        <w:ind w:firstLine="567" w:firstLineChars="27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我方</w:t>
      </w:r>
      <w:r>
        <w:rPr>
          <w:rFonts w:hint="eastAsia" w:ascii="宋体" w:hAnsi="宋体" w:eastAsia="宋体" w:cs="宋体"/>
          <w:kern w:val="0"/>
          <w:sz w:val="21"/>
          <w:szCs w:val="21"/>
          <w:u w:val="single"/>
        </w:rPr>
        <w:t xml:space="preserve">     （银行名称）</w:t>
      </w:r>
      <w:r>
        <w:rPr>
          <w:rFonts w:hint="eastAsia" w:ascii="宋体" w:hAnsi="宋体" w:eastAsia="宋体" w:cs="宋体"/>
          <w:kern w:val="0"/>
          <w:sz w:val="21"/>
          <w:szCs w:val="21"/>
        </w:rPr>
        <w:t>，受申请人的委托，无条件和不可撤销地在受益人出具本保函原件且提出因申请人没有履行上述合同规定，而要求我方承担保证责任后，在保函限额内向受益人支付不超过人民币（大写）_________（¥_______元）的款项。</w:t>
      </w:r>
    </w:p>
    <w:p w14:paraId="35F31BAF">
      <w:pPr>
        <w:widowControl/>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在向我行提出要求前，我行将不坚持要求受益人首先向申请人提出上述款项的索赔。</w:t>
      </w:r>
    </w:p>
    <w:p w14:paraId="4CC74B65">
      <w:pPr>
        <w:widowControl/>
        <w:autoSpaceDE w:val="0"/>
        <w:autoSpaceDN w:val="0"/>
        <w:adjustRightInd w:val="0"/>
        <w:spacing w:line="360" w:lineRule="auto"/>
        <w:ind w:firstLine="437"/>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我方还同意，任何受益人与申请人之间可能对合同条款的修改、规范或其他合同文件的变动补充，都不能免除我方按本保函所承担的责任。因此，有关上述变动、补充和修改无须通知或征得我方同意。</w:t>
      </w:r>
    </w:p>
    <w:p w14:paraId="6255184F">
      <w:pPr>
        <w:widowControl/>
        <w:autoSpaceDE w:val="0"/>
        <w:autoSpaceDN w:val="0"/>
        <w:adjustRightInd w:val="0"/>
        <w:spacing w:line="360" w:lineRule="auto"/>
        <w:ind w:firstLine="437"/>
        <w:jc w:val="left"/>
        <w:outlineLvl w:val="9"/>
        <w:rPr>
          <w:rFonts w:hint="eastAsia" w:ascii="宋体" w:hAnsi="宋体" w:eastAsia="宋体" w:cs="宋体"/>
          <w:color w:val="FF0000"/>
          <w:kern w:val="0"/>
          <w:sz w:val="21"/>
          <w:szCs w:val="21"/>
        </w:rPr>
      </w:pPr>
      <w:r>
        <w:rPr>
          <w:rFonts w:hint="eastAsia" w:ascii="宋体" w:hAnsi="宋体" w:eastAsia="宋体" w:cs="宋体"/>
          <w:kern w:val="0"/>
          <w:sz w:val="21"/>
          <w:szCs w:val="21"/>
        </w:rPr>
        <w:t>本保函</w:t>
      </w:r>
      <w:r>
        <w:rPr>
          <w:rFonts w:hint="eastAsia" w:ascii="宋体" w:hAnsi="宋体" w:eastAsia="宋体" w:cs="宋体"/>
          <w:color w:val="auto"/>
          <w:kern w:val="0"/>
          <w:sz w:val="21"/>
          <w:szCs w:val="21"/>
        </w:rPr>
        <w:t>应自合同签订之日起至合同期限届满并完成合同全部服务义务后二十八（28）日内保持有效。</w:t>
      </w:r>
    </w:p>
    <w:p w14:paraId="149A00DE">
      <w:pPr>
        <w:widowControl/>
        <w:autoSpaceDE w:val="0"/>
        <w:autoSpaceDN w:val="0"/>
        <w:adjustRightInd w:val="0"/>
        <w:spacing w:line="360" w:lineRule="auto"/>
        <w:ind w:firstLine="437"/>
        <w:jc w:val="left"/>
        <w:outlineLvl w:val="9"/>
        <w:rPr>
          <w:rFonts w:hint="eastAsia" w:ascii="宋体" w:hAnsi="宋体" w:eastAsia="宋体" w:cs="宋体"/>
          <w:kern w:val="0"/>
          <w:sz w:val="21"/>
          <w:szCs w:val="21"/>
        </w:rPr>
      </w:pPr>
    </w:p>
    <w:p w14:paraId="74323928">
      <w:pPr>
        <w:widowControl/>
        <w:autoSpaceDE w:val="0"/>
        <w:autoSpaceDN w:val="0"/>
        <w:adjustRightInd w:val="0"/>
        <w:spacing w:line="360" w:lineRule="auto"/>
        <w:ind w:firstLine="2520" w:firstLineChars="1200"/>
        <w:jc w:val="left"/>
        <w:outlineLvl w:val="9"/>
        <w:rPr>
          <w:rFonts w:hint="eastAsia" w:ascii="宋体" w:hAnsi="宋体" w:eastAsia="宋体" w:cs="宋体"/>
          <w:kern w:val="0"/>
          <w:sz w:val="21"/>
          <w:szCs w:val="21"/>
          <w:u w:val="single"/>
        </w:rPr>
      </w:pPr>
      <w:r>
        <w:rPr>
          <w:rFonts w:hint="eastAsia" w:ascii="宋体" w:hAnsi="宋体" w:eastAsia="宋体" w:cs="宋体"/>
          <w:kern w:val="0"/>
          <w:sz w:val="21"/>
          <w:szCs w:val="21"/>
        </w:rPr>
        <w:t>担 保 银 行：</w:t>
      </w:r>
      <w:r>
        <w:rPr>
          <w:rFonts w:hint="eastAsia" w:ascii="宋体" w:hAnsi="宋体" w:eastAsia="宋体" w:cs="宋体"/>
          <w:kern w:val="0"/>
          <w:sz w:val="21"/>
          <w:szCs w:val="21"/>
          <w:u w:val="single"/>
        </w:rPr>
        <w:t xml:space="preserve">          银行全称          (盖章)   </w:t>
      </w:r>
    </w:p>
    <w:p w14:paraId="120527BB">
      <w:pPr>
        <w:widowControl/>
        <w:autoSpaceDE w:val="0"/>
        <w:autoSpaceDN w:val="0"/>
        <w:adjustRightInd w:val="0"/>
        <w:spacing w:line="360" w:lineRule="auto"/>
        <w:ind w:firstLine="2520" w:firstLineChars="1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法定代表人或其授权的代表人：</w:t>
      </w:r>
      <w:r>
        <w:rPr>
          <w:rFonts w:hint="eastAsia" w:ascii="宋体" w:hAnsi="宋体" w:eastAsia="宋体" w:cs="宋体"/>
          <w:kern w:val="0"/>
          <w:sz w:val="21"/>
          <w:szCs w:val="21"/>
          <w:u w:val="single"/>
        </w:rPr>
        <w:t xml:space="preserve">       (职务)         </w:t>
      </w:r>
    </w:p>
    <w:p w14:paraId="31D113FC">
      <w:pPr>
        <w:widowControl/>
        <w:autoSpaceDE w:val="0"/>
        <w:autoSpaceDN w:val="0"/>
        <w:adjustRightInd w:val="0"/>
        <w:spacing w:line="360" w:lineRule="auto"/>
        <w:ind w:firstLine="5502" w:firstLineChars="2620"/>
        <w:jc w:val="left"/>
        <w:outlineLvl w:val="9"/>
        <w:rPr>
          <w:rFonts w:hint="eastAsia" w:ascii="宋体" w:hAnsi="宋体" w:eastAsia="宋体" w:cs="宋体"/>
          <w:kern w:val="0"/>
          <w:sz w:val="21"/>
          <w:szCs w:val="21"/>
          <w:u w:val="single"/>
        </w:rPr>
      </w:pPr>
      <w:r>
        <w:rPr>
          <w:rFonts w:hint="eastAsia" w:ascii="宋体" w:hAnsi="宋体" w:eastAsia="宋体" w:cs="宋体"/>
          <w:kern w:val="0"/>
          <w:sz w:val="21"/>
          <w:szCs w:val="21"/>
          <w:u w:val="single"/>
        </w:rPr>
        <w:t xml:space="preserve">       (姓名)         </w:t>
      </w:r>
    </w:p>
    <w:p w14:paraId="7D8A1744">
      <w:pPr>
        <w:widowControl/>
        <w:autoSpaceDE w:val="0"/>
        <w:autoSpaceDN w:val="0"/>
        <w:adjustRightInd w:val="0"/>
        <w:spacing w:line="360" w:lineRule="auto"/>
        <w:ind w:firstLine="5502" w:firstLineChars="2620"/>
        <w:jc w:val="left"/>
        <w:outlineLvl w:val="9"/>
        <w:rPr>
          <w:rFonts w:hint="eastAsia" w:ascii="宋体" w:hAnsi="宋体" w:eastAsia="宋体" w:cs="宋体"/>
          <w:kern w:val="0"/>
          <w:sz w:val="21"/>
          <w:szCs w:val="21"/>
          <w:u w:val="single"/>
        </w:rPr>
      </w:pPr>
      <w:r>
        <w:rPr>
          <w:rFonts w:hint="eastAsia" w:ascii="宋体" w:hAnsi="宋体" w:eastAsia="宋体" w:cs="宋体"/>
          <w:kern w:val="0"/>
          <w:sz w:val="21"/>
          <w:szCs w:val="21"/>
          <w:u w:val="single"/>
        </w:rPr>
        <w:t xml:space="preserve">       (签章)         </w:t>
      </w:r>
    </w:p>
    <w:p w14:paraId="2825A518">
      <w:pPr>
        <w:autoSpaceDE w:val="0"/>
        <w:autoSpaceDN w:val="0"/>
        <w:adjustRightInd w:val="0"/>
        <w:spacing w:line="360" w:lineRule="auto"/>
        <w:ind w:left="840"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 xml:space="preserve">                                        </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年</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月</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日</w:t>
      </w:r>
    </w:p>
    <w:p w14:paraId="55A13A3F">
      <w:pPr>
        <w:widowControl/>
        <w:autoSpaceDE w:val="0"/>
        <w:autoSpaceDN w:val="0"/>
        <w:adjustRightInd w:val="0"/>
        <w:spacing w:line="360" w:lineRule="auto"/>
        <w:ind w:firstLine="2520" w:firstLineChars="1200"/>
        <w:jc w:val="left"/>
        <w:outlineLvl w:val="9"/>
        <w:rPr>
          <w:rFonts w:hint="eastAsia" w:ascii="宋体" w:hAnsi="宋体" w:eastAsia="宋体" w:cs="宋体"/>
          <w:kern w:val="0"/>
          <w:szCs w:val="21"/>
        </w:rPr>
      </w:pPr>
      <w:r>
        <w:rPr>
          <w:rFonts w:hint="eastAsia" w:ascii="宋体" w:hAnsi="宋体" w:cs="宋体"/>
          <w:kern w:val="0"/>
          <w:sz w:val="21"/>
          <w:szCs w:val="21"/>
          <w:lang w:val="en-US" w:eastAsia="zh-CN"/>
        </w:rPr>
        <w:t>履约保函真实性核对联系人及办公电话</w:t>
      </w:r>
      <w:r>
        <w:rPr>
          <w:rFonts w:hint="eastAsia" w:ascii="宋体" w:hAnsi="宋体" w:eastAsia="宋体" w:cs="宋体"/>
          <w:kern w:val="0"/>
          <w:sz w:val="21"/>
          <w:szCs w:val="21"/>
        </w:rPr>
        <w:t>：</w:t>
      </w:r>
      <w:r>
        <w:rPr>
          <w:rFonts w:hint="eastAsia" w:ascii="宋体" w:hAnsi="宋体" w:eastAsia="宋体" w:cs="宋体"/>
          <w:kern w:val="0"/>
          <w:sz w:val="21"/>
          <w:szCs w:val="21"/>
          <w:u w:val="single"/>
        </w:rPr>
        <w:t xml:space="preserve">      </w:t>
      </w:r>
      <w:r>
        <w:rPr>
          <w:rFonts w:hint="eastAsia" w:ascii="宋体" w:hAnsi="宋体" w:cs="宋体"/>
          <w:kern w:val="0"/>
          <w:sz w:val="21"/>
          <w:szCs w:val="21"/>
          <w:u w:val="single"/>
          <w:lang w:val="en-US" w:eastAsia="zh-CN"/>
        </w:rPr>
        <w:t xml:space="preserve"> </w:t>
      </w:r>
      <w:r>
        <w:rPr>
          <w:rFonts w:hint="eastAsia" w:ascii="宋体" w:hAnsi="宋体" w:eastAsia="宋体" w:cs="宋体"/>
          <w:kern w:val="0"/>
          <w:sz w:val="21"/>
          <w:szCs w:val="21"/>
          <w:u w:val="single"/>
        </w:rPr>
        <w:t xml:space="preserve">         </w:t>
      </w:r>
    </w:p>
    <w:p w14:paraId="0599AED9">
      <w:pPr>
        <w:widowControl/>
        <w:autoSpaceDE w:val="0"/>
        <w:autoSpaceDN w:val="0"/>
        <w:adjustRightInd w:val="0"/>
        <w:spacing w:line="360" w:lineRule="auto"/>
        <w:jc w:val="left"/>
        <w:outlineLvl w:val="9"/>
        <w:rPr>
          <w:rFonts w:hint="eastAsia" w:ascii="宋体" w:hAnsi="宋体" w:eastAsia="宋体" w:cs="宋体"/>
          <w:kern w:val="0"/>
          <w:szCs w:val="21"/>
        </w:rPr>
      </w:pPr>
    </w:p>
    <w:p w14:paraId="53926EA6">
      <w:pPr>
        <w:autoSpaceDE w:val="0"/>
        <w:autoSpaceDN w:val="0"/>
        <w:adjustRightInd w:val="0"/>
        <w:spacing w:line="360" w:lineRule="auto"/>
        <w:ind w:right="420" w:rightChars="175"/>
        <w:jc w:val="left"/>
        <w:outlineLvl w:val="9"/>
        <w:rPr>
          <w:rFonts w:hint="eastAsia" w:ascii="宋体" w:hAnsi="宋体" w:eastAsia="宋体" w:cs="宋体"/>
          <w:kern w:val="0"/>
          <w:szCs w:val="21"/>
        </w:rPr>
        <w:sectPr>
          <w:footerReference r:id="rId9" w:type="first"/>
          <w:footerReference r:id="rId8" w:type="default"/>
          <w:pgSz w:w="12240" w:h="15840"/>
          <w:pgMar w:top="1191" w:right="1043" w:bottom="1191" w:left="1043" w:header="720" w:footer="720" w:gutter="0"/>
          <w:cols w:space="720" w:num="1"/>
          <w:titlePg/>
          <w:docGrid w:linePitch="326" w:charSpace="0"/>
        </w:sectPr>
      </w:pPr>
    </w:p>
    <w:p w14:paraId="51B6C2CB">
      <w:pPr>
        <w:outlineLvl w:val="9"/>
        <w:rPr>
          <w:rFonts w:hint="eastAsia" w:ascii="宋体" w:hAnsi="宋体" w:eastAsia="宋体" w:cs="宋体"/>
          <w:b/>
          <w:kern w:val="0"/>
          <w:sz w:val="28"/>
          <w:szCs w:val="28"/>
        </w:rPr>
      </w:pPr>
      <w:r>
        <w:rPr>
          <w:rFonts w:hint="eastAsia" w:ascii="宋体" w:hAnsi="宋体" w:eastAsia="宋体" w:cs="宋体"/>
          <w:b/>
          <w:kern w:val="0"/>
          <w:sz w:val="28"/>
          <w:szCs w:val="28"/>
        </w:rPr>
        <w:t>二、履约保证保险凭证格式</w:t>
      </w:r>
    </w:p>
    <w:p w14:paraId="6E391E3F">
      <w:pPr>
        <w:autoSpaceDE w:val="0"/>
        <w:autoSpaceDN w:val="0"/>
        <w:adjustRightInd w:val="0"/>
        <w:jc w:val="center"/>
        <w:outlineLvl w:val="9"/>
        <w:rPr>
          <w:rFonts w:hint="eastAsia" w:ascii="宋体" w:hAnsi="宋体" w:eastAsia="宋体" w:cs="宋体"/>
          <w:b/>
          <w:kern w:val="0"/>
          <w:sz w:val="30"/>
          <w:szCs w:val="30"/>
        </w:rPr>
      </w:pPr>
    </w:p>
    <w:p w14:paraId="1F453927">
      <w:pPr>
        <w:autoSpaceDE w:val="0"/>
        <w:autoSpaceDN w:val="0"/>
        <w:adjustRightInd w:val="0"/>
        <w:jc w:val="center"/>
        <w:outlineLvl w:val="9"/>
        <w:rPr>
          <w:rFonts w:hint="eastAsia" w:ascii="宋体" w:hAnsi="宋体" w:eastAsia="宋体" w:cs="宋体"/>
          <w:b/>
          <w:kern w:val="0"/>
          <w:sz w:val="30"/>
          <w:szCs w:val="30"/>
        </w:rPr>
      </w:pPr>
      <w:r>
        <w:rPr>
          <w:rFonts w:hint="eastAsia" w:ascii="宋体" w:hAnsi="宋体" w:eastAsia="宋体" w:cs="宋体"/>
          <w:b/>
          <w:kern w:val="0"/>
          <w:sz w:val="30"/>
          <w:szCs w:val="30"/>
        </w:rPr>
        <w:t>履约保证保险凭证</w:t>
      </w:r>
      <w:r>
        <w:rPr>
          <w:rFonts w:hint="eastAsia" w:ascii="宋体" w:hAnsi="宋体" w:eastAsia="宋体" w:cs="宋体"/>
          <w:b/>
          <w:color w:val="auto"/>
          <w:kern w:val="0"/>
          <w:sz w:val="30"/>
          <w:szCs w:val="30"/>
        </w:rPr>
        <w:t xml:space="preserve">(   </w:t>
      </w:r>
      <w:r>
        <w:rPr>
          <w:rFonts w:hint="eastAsia" w:ascii="宋体" w:hAnsi="宋体" w:eastAsia="宋体" w:cs="宋体"/>
          <w:b/>
          <w:color w:val="auto"/>
          <w:kern w:val="0"/>
          <w:sz w:val="30"/>
          <w:szCs w:val="30"/>
          <w:lang w:eastAsia="zh-CN"/>
        </w:rPr>
        <w:t>包组</w:t>
      </w:r>
      <w:r>
        <w:rPr>
          <w:rFonts w:hint="eastAsia" w:ascii="宋体" w:hAnsi="宋体" w:eastAsia="宋体" w:cs="宋体"/>
          <w:b/>
          <w:color w:val="auto"/>
          <w:kern w:val="0"/>
          <w:sz w:val="30"/>
          <w:szCs w:val="30"/>
        </w:rPr>
        <w:t>)</w:t>
      </w:r>
    </w:p>
    <w:p w14:paraId="2C088015">
      <w:pPr>
        <w:autoSpaceDE w:val="0"/>
        <w:autoSpaceDN w:val="0"/>
        <w:adjustRightInd w:val="0"/>
        <w:spacing w:line="360" w:lineRule="auto"/>
        <w:ind w:firstLine="437"/>
        <w:jc w:val="center"/>
        <w:outlineLvl w:val="9"/>
        <w:rPr>
          <w:rFonts w:hint="eastAsia" w:ascii="宋体" w:hAnsi="宋体" w:eastAsia="宋体" w:cs="宋体"/>
          <w:kern w:val="0"/>
          <w:sz w:val="21"/>
          <w:szCs w:val="21"/>
        </w:rPr>
      </w:pPr>
      <w:r>
        <w:rPr>
          <w:rFonts w:hint="eastAsia" w:ascii="宋体" w:hAnsi="宋体" w:eastAsia="宋体" w:cs="宋体"/>
          <w:kern w:val="0"/>
          <w:szCs w:val="21"/>
        </w:rPr>
        <w:t xml:space="preserve">          </w:t>
      </w:r>
      <w:r>
        <w:rPr>
          <w:rFonts w:hint="eastAsia" w:ascii="宋体" w:hAnsi="宋体" w:eastAsia="宋体" w:cs="宋体"/>
          <w:kern w:val="0"/>
          <w:sz w:val="21"/>
          <w:szCs w:val="21"/>
        </w:rPr>
        <w:t xml:space="preserve">                            </w:t>
      </w:r>
    </w:p>
    <w:p w14:paraId="5075A38F">
      <w:pPr>
        <w:autoSpaceDE w:val="0"/>
        <w:autoSpaceDN w:val="0"/>
        <w:adjustRightInd w:val="0"/>
        <w:spacing w:line="360" w:lineRule="auto"/>
        <w:ind w:firstLine="437"/>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 xml:space="preserve">                               编号：</w:t>
      </w:r>
    </w:p>
    <w:p w14:paraId="5FE4B32B">
      <w:pPr>
        <w:autoSpaceDE w:val="0"/>
        <w:autoSpaceDN w:val="0"/>
        <w:adjustRightInd w:val="0"/>
        <w:spacing w:line="360" w:lineRule="auto"/>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致：</w:t>
      </w:r>
      <w:r>
        <w:rPr>
          <w:rFonts w:hint="eastAsia" w:ascii="宋体" w:hAnsi="宋体" w:eastAsia="宋体" w:cs="宋体"/>
          <w:b/>
          <w:kern w:val="0"/>
          <w:sz w:val="21"/>
          <w:szCs w:val="21"/>
          <w:u w:val="single"/>
        </w:rPr>
        <w:t xml:space="preserve">                    </w:t>
      </w:r>
      <w:r>
        <w:rPr>
          <w:rFonts w:hint="eastAsia" w:ascii="宋体" w:hAnsi="宋体" w:eastAsia="宋体" w:cs="宋体"/>
          <w:kern w:val="0"/>
          <w:sz w:val="21"/>
          <w:szCs w:val="21"/>
        </w:rPr>
        <w:t xml:space="preserve">（下称“受益人”）： </w:t>
      </w:r>
    </w:p>
    <w:p w14:paraId="613464D7">
      <w:pPr>
        <w:autoSpaceDE w:val="0"/>
        <w:autoSpaceDN w:val="0"/>
        <w:adjustRightInd w:val="0"/>
        <w:spacing w:line="360" w:lineRule="auto"/>
        <w:ind w:firstLine="437"/>
        <w:jc w:val="left"/>
        <w:outlineLvl w:val="9"/>
        <w:rPr>
          <w:rFonts w:hint="eastAsia" w:ascii="宋体" w:hAnsi="宋体" w:eastAsia="宋体" w:cs="宋体"/>
          <w:kern w:val="0"/>
          <w:sz w:val="21"/>
          <w:szCs w:val="21"/>
        </w:rPr>
      </w:pPr>
    </w:p>
    <w:p w14:paraId="69943EAD">
      <w:pPr>
        <w:autoSpaceDE w:val="0"/>
        <w:autoSpaceDN w:val="0"/>
        <w:adjustRightInd w:val="0"/>
        <w:spacing w:line="360" w:lineRule="auto"/>
        <w:ind w:firstLine="437"/>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鉴于</w:t>
      </w:r>
      <w:r>
        <w:rPr>
          <w:rFonts w:hint="eastAsia" w:ascii="宋体" w:hAnsi="宋体" w:eastAsia="宋体" w:cs="宋体"/>
          <w:b/>
          <w:kern w:val="0"/>
          <w:sz w:val="21"/>
          <w:szCs w:val="21"/>
          <w:u w:val="single"/>
        </w:rPr>
        <w:t xml:space="preserve">                    </w:t>
      </w:r>
      <w:r>
        <w:rPr>
          <w:rFonts w:hint="eastAsia" w:ascii="宋体" w:hAnsi="宋体" w:eastAsia="宋体" w:cs="宋体"/>
          <w:kern w:val="0"/>
          <w:sz w:val="21"/>
          <w:szCs w:val="21"/>
        </w:rPr>
        <w:t>（下称“申请人”）已与贵方签订了</w:t>
      </w:r>
      <w:r>
        <w:rPr>
          <w:rFonts w:hint="eastAsia" w:ascii="宋体" w:hAnsi="宋体" w:eastAsia="宋体" w:cs="宋体"/>
          <w:kern w:val="0"/>
          <w:sz w:val="21"/>
          <w:szCs w:val="21"/>
          <w:u w:val="single"/>
        </w:rPr>
        <w:t xml:space="preserve">         项目（</w:t>
      </w:r>
      <w:r>
        <w:rPr>
          <w:rFonts w:hint="eastAsia" w:ascii="宋体" w:hAnsi="宋体" w:eastAsia="宋体" w:cs="宋体"/>
          <w:kern w:val="0"/>
          <w:sz w:val="21"/>
          <w:szCs w:val="21"/>
          <w:u w:val="single"/>
          <w:lang w:val="en-US" w:eastAsia="zh-CN"/>
        </w:rPr>
        <w:t>采购</w:t>
      </w:r>
      <w:r>
        <w:rPr>
          <w:rFonts w:hint="eastAsia" w:ascii="宋体" w:hAnsi="宋体" w:eastAsia="宋体" w:cs="宋体"/>
          <w:kern w:val="0"/>
          <w:sz w:val="21"/>
          <w:szCs w:val="21"/>
          <w:u w:val="single"/>
        </w:rPr>
        <w:t>编号：        ）</w:t>
      </w:r>
      <w:r>
        <w:rPr>
          <w:rFonts w:hint="eastAsia" w:ascii="宋体" w:hAnsi="宋体" w:eastAsia="宋体" w:cs="宋体"/>
          <w:kern w:val="0"/>
          <w:sz w:val="21"/>
          <w:szCs w:val="21"/>
        </w:rPr>
        <w:t xml:space="preserve">合同。我方已接受申请人的请求，并出具《履约保证保险》保险单。 </w:t>
      </w:r>
    </w:p>
    <w:p w14:paraId="17C38979">
      <w:pPr>
        <w:autoSpaceDE w:val="0"/>
        <w:autoSpaceDN w:val="0"/>
        <w:adjustRightInd w:val="0"/>
        <w:spacing w:line="360" w:lineRule="auto"/>
        <w:ind w:firstLine="437"/>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 xml:space="preserve">一、保证保险金额 </w:t>
      </w:r>
    </w:p>
    <w:p w14:paraId="0F293F80">
      <w:pPr>
        <w:autoSpaceDE w:val="0"/>
        <w:autoSpaceDN w:val="0"/>
        <w:adjustRightInd w:val="0"/>
        <w:spacing w:line="360" w:lineRule="auto"/>
        <w:ind w:firstLine="437"/>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我方承担的履约保证保险的保险金额（最高限额）为人民币（大写）</w:t>
      </w:r>
      <w:r>
        <w:rPr>
          <w:rFonts w:hint="eastAsia" w:ascii="宋体" w:hAnsi="宋体" w:eastAsia="宋体" w:cs="宋体"/>
          <w:b/>
          <w:kern w:val="0"/>
          <w:sz w:val="21"/>
          <w:szCs w:val="21"/>
          <w:u w:val="single"/>
        </w:rPr>
        <w:t xml:space="preserve">                </w:t>
      </w:r>
      <w:r>
        <w:rPr>
          <w:rFonts w:hint="eastAsia" w:ascii="宋体" w:hAnsi="宋体" w:eastAsia="宋体" w:cs="宋体"/>
          <w:kern w:val="0"/>
          <w:sz w:val="21"/>
          <w:szCs w:val="21"/>
        </w:rPr>
        <w:t>元 （¥</w:t>
      </w:r>
      <w:r>
        <w:rPr>
          <w:rFonts w:hint="eastAsia" w:ascii="宋体" w:hAnsi="宋体" w:eastAsia="宋体" w:cs="宋体"/>
          <w:b/>
          <w:kern w:val="0"/>
          <w:sz w:val="21"/>
          <w:szCs w:val="21"/>
          <w:u w:val="single"/>
        </w:rPr>
        <w:t xml:space="preserve">               </w:t>
      </w:r>
      <w:r>
        <w:rPr>
          <w:rFonts w:hint="eastAsia" w:ascii="宋体" w:hAnsi="宋体" w:eastAsia="宋体" w:cs="宋体"/>
          <w:kern w:val="0"/>
          <w:sz w:val="21"/>
          <w:szCs w:val="21"/>
        </w:rPr>
        <w:t xml:space="preserve"> ）。 </w:t>
      </w:r>
    </w:p>
    <w:p w14:paraId="07B40BA8">
      <w:pPr>
        <w:autoSpaceDE w:val="0"/>
        <w:autoSpaceDN w:val="0"/>
        <w:adjustRightInd w:val="0"/>
        <w:spacing w:line="360" w:lineRule="auto"/>
        <w:ind w:firstLine="437"/>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 xml:space="preserve">二、保证保险的责任范围 </w:t>
      </w:r>
    </w:p>
    <w:p w14:paraId="51CC8111">
      <w:pPr>
        <w:autoSpaceDE w:val="0"/>
        <w:autoSpaceDN w:val="0"/>
        <w:adjustRightInd w:val="0"/>
        <w:spacing w:line="360" w:lineRule="auto"/>
        <w:ind w:firstLine="437"/>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在保险期间内，申请人因自身原因未按照与贵方签订的</w:t>
      </w:r>
      <w:r>
        <w:rPr>
          <w:rFonts w:hint="eastAsia" w:ascii="宋体" w:hAnsi="宋体" w:eastAsia="宋体" w:cs="宋体"/>
          <w:kern w:val="0"/>
          <w:sz w:val="21"/>
          <w:szCs w:val="21"/>
          <w:u w:val="single"/>
        </w:rPr>
        <w:t xml:space="preserve">         项目（</w:t>
      </w:r>
      <w:r>
        <w:rPr>
          <w:rFonts w:hint="eastAsia" w:ascii="宋体" w:hAnsi="宋体" w:eastAsia="宋体" w:cs="宋体"/>
          <w:kern w:val="0"/>
          <w:sz w:val="21"/>
          <w:szCs w:val="21"/>
          <w:u w:val="single"/>
          <w:lang w:val="en-US" w:eastAsia="zh-CN"/>
        </w:rPr>
        <w:t>采购</w:t>
      </w:r>
      <w:r>
        <w:rPr>
          <w:rFonts w:hint="eastAsia" w:ascii="宋体" w:hAnsi="宋体" w:eastAsia="宋体" w:cs="宋体"/>
          <w:kern w:val="0"/>
          <w:sz w:val="21"/>
          <w:szCs w:val="21"/>
          <w:u w:val="single"/>
        </w:rPr>
        <w:t>编号：        ）</w:t>
      </w:r>
      <w:r>
        <w:rPr>
          <w:rFonts w:hint="eastAsia" w:ascii="宋体" w:hAnsi="宋体" w:eastAsia="宋体" w:cs="宋体"/>
          <w:kern w:val="0"/>
          <w:sz w:val="21"/>
          <w:szCs w:val="21"/>
        </w:rPr>
        <w:t xml:space="preserve">合同履行相关义务，给贵方造成损失的，贵方可向我方提出索赔，我方按照保险合同的约定承担损失赔偿责任。 </w:t>
      </w:r>
    </w:p>
    <w:p w14:paraId="435AC8D2">
      <w:pPr>
        <w:autoSpaceDE w:val="0"/>
        <w:autoSpaceDN w:val="0"/>
        <w:adjustRightInd w:val="0"/>
        <w:spacing w:line="360" w:lineRule="auto"/>
        <w:ind w:firstLine="437"/>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 xml:space="preserve">三、代偿的安排 </w:t>
      </w:r>
    </w:p>
    <w:p w14:paraId="3168ECA6">
      <w:pPr>
        <w:autoSpaceDE w:val="0"/>
        <w:autoSpaceDN w:val="0"/>
        <w:adjustRightInd w:val="0"/>
        <w:spacing w:line="360" w:lineRule="auto"/>
        <w:ind w:firstLine="437"/>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6B66A61E">
      <w:pPr>
        <w:autoSpaceDE w:val="0"/>
        <w:autoSpaceDN w:val="0"/>
        <w:adjustRightInd w:val="0"/>
        <w:spacing w:line="360" w:lineRule="auto"/>
        <w:ind w:firstLine="437"/>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 xml:space="preserve">四、生效时间 </w:t>
      </w:r>
    </w:p>
    <w:p w14:paraId="648B2689">
      <w:pPr>
        <w:autoSpaceDE w:val="0"/>
        <w:autoSpaceDN w:val="0"/>
        <w:adjustRightInd w:val="0"/>
        <w:spacing w:line="360" w:lineRule="auto"/>
        <w:ind w:firstLine="437"/>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 xml:space="preserve">本保险凭证自我方法定代表人（或其授权代理人）签字并加盖保险承保章之日起生效。 </w:t>
      </w:r>
    </w:p>
    <w:p w14:paraId="7F12687E">
      <w:pPr>
        <w:autoSpaceDE w:val="0"/>
        <w:autoSpaceDN w:val="0"/>
        <w:adjustRightInd w:val="0"/>
        <w:spacing w:line="360" w:lineRule="auto"/>
        <w:ind w:firstLine="437"/>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五、其他</w:t>
      </w:r>
    </w:p>
    <w:p w14:paraId="59436179">
      <w:pPr>
        <w:autoSpaceDE w:val="0"/>
        <w:autoSpaceDN w:val="0"/>
        <w:adjustRightInd w:val="0"/>
        <w:spacing w:line="360" w:lineRule="auto"/>
        <w:ind w:firstLine="437"/>
        <w:jc w:val="left"/>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本履约保证保险应自合同签订之日起至合同期限届满并完成合同全部服务义务后二十八（28）日内保持有效。</w:t>
      </w:r>
    </w:p>
    <w:p w14:paraId="0FD5926B">
      <w:pPr>
        <w:outlineLvl w:val="9"/>
        <w:rPr>
          <w:rFonts w:hint="eastAsia" w:ascii="宋体" w:hAnsi="宋体" w:eastAsia="宋体" w:cs="宋体"/>
          <w:sz w:val="21"/>
          <w:szCs w:val="21"/>
        </w:rPr>
      </w:pPr>
    </w:p>
    <w:p w14:paraId="37EA8FB1">
      <w:pPr>
        <w:autoSpaceDE w:val="0"/>
        <w:autoSpaceDN w:val="0"/>
        <w:adjustRightInd w:val="0"/>
        <w:spacing w:line="360" w:lineRule="auto"/>
        <w:ind w:firstLine="437"/>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 xml:space="preserve">附：《XXX 保险有限公司履约保证保险（X 款）条款》及保单 </w:t>
      </w:r>
    </w:p>
    <w:p w14:paraId="765D3EC0">
      <w:pPr>
        <w:autoSpaceDE w:val="0"/>
        <w:autoSpaceDN w:val="0"/>
        <w:adjustRightInd w:val="0"/>
        <w:spacing w:line="360" w:lineRule="auto"/>
        <w:ind w:firstLine="437"/>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 xml:space="preserve">                                            </w:t>
      </w:r>
    </w:p>
    <w:p w14:paraId="1D0B60A8">
      <w:pPr>
        <w:autoSpaceDE w:val="0"/>
        <w:autoSpaceDN w:val="0"/>
        <w:adjustRightInd w:val="0"/>
        <w:spacing w:line="360" w:lineRule="auto"/>
        <w:ind w:firstLine="437"/>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 xml:space="preserve">                                             保险人：（盖章）</w:t>
      </w:r>
    </w:p>
    <w:p w14:paraId="4558AF51">
      <w:pPr>
        <w:autoSpaceDE w:val="0"/>
        <w:autoSpaceDN w:val="0"/>
        <w:adjustRightInd w:val="0"/>
        <w:spacing w:line="360" w:lineRule="auto"/>
        <w:ind w:firstLine="437"/>
        <w:jc w:val="right"/>
        <w:outlineLvl w:val="9"/>
        <w:rPr>
          <w:rFonts w:hint="eastAsia" w:ascii="宋体" w:hAnsi="宋体" w:eastAsia="宋体" w:cs="宋体"/>
          <w:kern w:val="0"/>
          <w:sz w:val="21"/>
          <w:szCs w:val="21"/>
        </w:rPr>
      </w:pPr>
      <w:r>
        <w:rPr>
          <w:rFonts w:hint="eastAsia" w:ascii="宋体" w:hAnsi="宋体" w:eastAsia="宋体" w:cs="宋体"/>
          <w:kern w:val="0"/>
          <w:sz w:val="21"/>
          <w:szCs w:val="21"/>
        </w:rPr>
        <w:t xml:space="preserve">法定代表人或授权代理人：________ </w:t>
      </w:r>
    </w:p>
    <w:p w14:paraId="52455962">
      <w:pPr>
        <w:autoSpaceDE w:val="0"/>
        <w:autoSpaceDN w:val="0"/>
        <w:adjustRightInd w:val="0"/>
        <w:spacing w:line="360" w:lineRule="auto"/>
        <w:ind w:firstLine="437"/>
        <w:jc w:val="right"/>
        <w:outlineLvl w:val="9"/>
        <w:rPr>
          <w:rFonts w:hint="eastAsia" w:ascii="宋体" w:hAnsi="宋体" w:eastAsia="宋体" w:cs="宋体"/>
          <w:kern w:val="0"/>
          <w:sz w:val="21"/>
          <w:szCs w:val="21"/>
        </w:rPr>
      </w:pPr>
      <w:r>
        <w:rPr>
          <w:rFonts w:hint="eastAsia" w:ascii="宋体" w:hAnsi="宋体" w:eastAsia="宋体" w:cs="宋体"/>
          <w:kern w:val="0"/>
          <w:sz w:val="21"/>
          <w:szCs w:val="21"/>
        </w:rPr>
        <w:t>年 月 日</w:t>
      </w:r>
    </w:p>
    <w:p w14:paraId="03D9B5AE">
      <w:pPr>
        <w:autoSpaceDE w:val="0"/>
        <w:autoSpaceDN w:val="0"/>
        <w:adjustRightInd w:val="0"/>
        <w:spacing w:line="360" w:lineRule="auto"/>
        <w:ind w:firstLine="437"/>
        <w:jc w:val="center"/>
        <w:outlineLvl w:val="9"/>
        <w:rPr>
          <w:rFonts w:hint="eastAsia" w:ascii="宋体" w:hAnsi="宋体" w:eastAsia="宋体" w:cs="宋体"/>
          <w:kern w:val="0"/>
          <w:szCs w:val="21"/>
          <w:lang w:val="en-US" w:eastAsia="zh-CN"/>
        </w:rPr>
        <w:sectPr>
          <w:footerReference r:id="rId11" w:type="first"/>
          <w:footerReference r:id="rId10" w:type="default"/>
          <w:pgSz w:w="12240" w:h="15840"/>
          <w:pgMar w:top="1191" w:right="1043" w:bottom="1191" w:left="1043" w:header="720" w:footer="720" w:gutter="0"/>
          <w:cols w:space="720" w:num="1"/>
          <w:titlePg/>
          <w:docGrid w:linePitch="326" w:charSpace="0"/>
        </w:sectPr>
      </w:pPr>
      <w:r>
        <w:rPr>
          <w:rFonts w:hint="eastAsia" w:ascii="宋体" w:hAnsi="宋体" w:cs="宋体"/>
          <w:kern w:val="0"/>
          <w:sz w:val="21"/>
          <w:szCs w:val="21"/>
          <w:lang w:val="en-US" w:eastAsia="zh-CN"/>
        </w:rPr>
        <w:t xml:space="preserve">                履约保证保险真实性核对联系人及办公电话</w:t>
      </w:r>
      <w:r>
        <w:rPr>
          <w:rFonts w:hint="eastAsia" w:ascii="宋体" w:hAnsi="宋体" w:eastAsia="宋体" w:cs="宋体"/>
          <w:kern w:val="0"/>
          <w:sz w:val="21"/>
          <w:szCs w:val="21"/>
        </w:rPr>
        <w:t>：</w:t>
      </w:r>
      <w:r>
        <w:rPr>
          <w:rFonts w:hint="eastAsia" w:ascii="宋体" w:hAnsi="宋体" w:cs="宋体"/>
          <w:kern w:val="0"/>
          <w:sz w:val="21"/>
          <w:szCs w:val="21"/>
          <w:u w:val="single"/>
          <w:lang w:val="en-US" w:eastAsia="zh-CN"/>
        </w:rPr>
        <w:t xml:space="preserve">  </w:t>
      </w:r>
      <w:r>
        <w:rPr>
          <w:rFonts w:hint="eastAsia" w:ascii="宋体" w:hAnsi="宋体" w:eastAsia="宋体" w:cs="宋体"/>
          <w:kern w:val="0"/>
          <w:sz w:val="21"/>
          <w:szCs w:val="21"/>
          <w:u w:val="single"/>
        </w:rPr>
        <w:t xml:space="preserve">      </w:t>
      </w:r>
      <w:r>
        <w:rPr>
          <w:rFonts w:hint="eastAsia" w:ascii="宋体" w:hAnsi="宋体" w:cs="宋体"/>
          <w:kern w:val="0"/>
          <w:sz w:val="21"/>
          <w:szCs w:val="21"/>
          <w:u w:val="single"/>
          <w:lang w:val="en-US" w:eastAsia="zh-CN"/>
        </w:rPr>
        <w:t xml:space="preserve"> </w:t>
      </w:r>
      <w:r>
        <w:rPr>
          <w:rFonts w:hint="eastAsia" w:ascii="宋体" w:hAnsi="宋体" w:eastAsia="宋体" w:cs="宋体"/>
          <w:kern w:val="0"/>
          <w:sz w:val="21"/>
          <w:szCs w:val="21"/>
          <w:u w:val="single"/>
        </w:rPr>
        <w:t xml:space="preserve">       </w:t>
      </w:r>
      <w:r>
        <w:rPr>
          <w:rFonts w:hint="eastAsia" w:ascii="宋体" w:hAnsi="宋体" w:cs="宋体"/>
          <w:kern w:val="0"/>
          <w:sz w:val="21"/>
          <w:szCs w:val="21"/>
          <w:u w:val="single"/>
          <w:lang w:val="en-US" w:eastAsia="zh-CN"/>
        </w:rPr>
        <w:t xml:space="preserve"> </w:t>
      </w:r>
    </w:p>
    <w:p w14:paraId="0295AA64">
      <w:pPr>
        <w:autoSpaceDE w:val="0"/>
        <w:autoSpaceDN w:val="0"/>
        <w:adjustRightInd w:val="0"/>
        <w:spacing w:after="120" w:afterLines="50" w:line="360" w:lineRule="auto"/>
        <w:jc w:val="left"/>
        <w:outlineLvl w:val="9"/>
        <w:rPr>
          <w:rFonts w:hint="eastAsia" w:ascii="宋体" w:hAnsi="宋体" w:eastAsia="宋体" w:cs="宋体"/>
          <w:b/>
          <w:kern w:val="0"/>
          <w:sz w:val="28"/>
          <w:szCs w:val="28"/>
        </w:rPr>
      </w:pPr>
      <w:r>
        <w:rPr>
          <w:rFonts w:hint="eastAsia" w:ascii="宋体" w:hAnsi="宋体" w:eastAsia="宋体" w:cs="宋体"/>
          <w:b/>
          <w:kern w:val="0"/>
          <w:sz w:val="28"/>
          <w:szCs w:val="28"/>
        </w:rPr>
        <w:t>三、担保公司履约担保书格式</w:t>
      </w:r>
    </w:p>
    <w:p w14:paraId="699352B6">
      <w:pPr>
        <w:autoSpaceDE w:val="0"/>
        <w:autoSpaceDN w:val="0"/>
        <w:adjustRightInd w:val="0"/>
        <w:jc w:val="center"/>
        <w:outlineLvl w:val="9"/>
        <w:rPr>
          <w:rFonts w:hint="eastAsia" w:ascii="宋体" w:hAnsi="宋体" w:eastAsia="宋体" w:cs="宋体"/>
          <w:b/>
          <w:kern w:val="0"/>
          <w:sz w:val="30"/>
          <w:szCs w:val="30"/>
        </w:rPr>
      </w:pPr>
      <w:r>
        <w:rPr>
          <w:rFonts w:hint="eastAsia" w:ascii="宋体" w:hAnsi="宋体" w:eastAsia="宋体" w:cs="宋体"/>
          <w:b/>
          <w:kern w:val="0"/>
          <w:sz w:val="30"/>
          <w:szCs w:val="30"/>
        </w:rPr>
        <w:t>担保公司履约担保书</w:t>
      </w:r>
      <w:r>
        <w:rPr>
          <w:rFonts w:hint="eastAsia" w:ascii="宋体" w:hAnsi="宋体" w:eastAsia="宋体" w:cs="宋体"/>
          <w:b/>
          <w:color w:val="auto"/>
          <w:kern w:val="0"/>
          <w:sz w:val="30"/>
          <w:szCs w:val="30"/>
        </w:rPr>
        <w:t xml:space="preserve">(   </w:t>
      </w:r>
      <w:r>
        <w:rPr>
          <w:rFonts w:hint="eastAsia" w:ascii="宋体" w:hAnsi="宋体" w:eastAsia="宋体" w:cs="宋体"/>
          <w:b/>
          <w:color w:val="auto"/>
          <w:kern w:val="0"/>
          <w:sz w:val="30"/>
          <w:szCs w:val="30"/>
          <w:lang w:eastAsia="zh-CN"/>
        </w:rPr>
        <w:t>包组</w:t>
      </w:r>
      <w:r>
        <w:rPr>
          <w:rFonts w:hint="eastAsia" w:ascii="宋体" w:hAnsi="宋体" w:eastAsia="宋体" w:cs="宋体"/>
          <w:b/>
          <w:color w:val="auto"/>
          <w:kern w:val="0"/>
          <w:sz w:val="30"/>
          <w:szCs w:val="30"/>
        </w:rPr>
        <w:t>)</w:t>
      </w:r>
    </w:p>
    <w:p w14:paraId="3DCC2B1A">
      <w:pPr>
        <w:widowControl/>
        <w:autoSpaceDE w:val="0"/>
        <w:autoSpaceDN w:val="0"/>
        <w:adjustRightInd w:val="0"/>
        <w:spacing w:before="100" w:beforeAutospacing="1" w:after="100" w:afterAutospacing="1" w:line="360" w:lineRule="auto"/>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致：</w:t>
      </w:r>
      <w:r>
        <w:rPr>
          <w:rFonts w:hint="eastAsia" w:ascii="宋体" w:hAnsi="宋体" w:eastAsia="宋体" w:cs="宋体"/>
          <w:b/>
          <w:kern w:val="0"/>
          <w:sz w:val="21"/>
          <w:szCs w:val="21"/>
          <w:u w:val="single"/>
        </w:rPr>
        <w:t xml:space="preserve">                    </w:t>
      </w:r>
      <w:r>
        <w:rPr>
          <w:rFonts w:hint="eastAsia" w:ascii="宋体" w:hAnsi="宋体" w:eastAsia="宋体" w:cs="宋体"/>
          <w:kern w:val="0"/>
          <w:sz w:val="21"/>
          <w:szCs w:val="21"/>
        </w:rPr>
        <w:t>（下称“受益人”）</w:t>
      </w:r>
    </w:p>
    <w:p w14:paraId="6475EB54">
      <w:pPr>
        <w:autoSpaceDE w:val="0"/>
        <w:autoSpaceDN w:val="0"/>
        <w:adjustRightInd w:val="0"/>
        <w:spacing w:line="360" w:lineRule="auto"/>
        <w:ind w:firstLine="437"/>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鉴于</w:t>
      </w:r>
      <w:r>
        <w:rPr>
          <w:rFonts w:hint="eastAsia" w:ascii="宋体" w:hAnsi="宋体" w:eastAsia="宋体" w:cs="宋体"/>
          <w:kern w:val="0"/>
          <w:sz w:val="21"/>
          <w:szCs w:val="21"/>
          <w:u w:val="single"/>
        </w:rPr>
        <w:t xml:space="preserve">  （申请人的名称与地址）  </w:t>
      </w:r>
      <w:r>
        <w:rPr>
          <w:rFonts w:hint="eastAsia" w:ascii="宋体" w:hAnsi="宋体" w:eastAsia="宋体" w:cs="宋体"/>
          <w:kern w:val="0"/>
          <w:sz w:val="21"/>
          <w:szCs w:val="21"/>
        </w:rPr>
        <w:t>（下称“申请人”），已保证按拟签订的</w:t>
      </w:r>
      <w:r>
        <w:rPr>
          <w:rFonts w:hint="eastAsia" w:ascii="宋体" w:hAnsi="宋体" w:eastAsia="宋体" w:cs="宋体"/>
          <w:kern w:val="0"/>
          <w:sz w:val="21"/>
          <w:szCs w:val="21"/>
          <w:u w:val="single"/>
        </w:rPr>
        <w:t xml:space="preserve">          项目（</w:t>
      </w:r>
      <w:r>
        <w:rPr>
          <w:rFonts w:hint="eastAsia" w:ascii="宋体" w:hAnsi="宋体" w:eastAsia="宋体" w:cs="宋体"/>
          <w:kern w:val="0"/>
          <w:sz w:val="21"/>
          <w:szCs w:val="21"/>
          <w:u w:val="single"/>
          <w:lang w:val="en-US" w:eastAsia="zh-CN"/>
        </w:rPr>
        <w:t>采购</w:t>
      </w:r>
      <w:r>
        <w:rPr>
          <w:rFonts w:hint="eastAsia" w:ascii="宋体" w:hAnsi="宋体" w:eastAsia="宋体" w:cs="宋体"/>
          <w:kern w:val="0"/>
          <w:sz w:val="21"/>
          <w:szCs w:val="21"/>
          <w:u w:val="single"/>
        </w:rPr>
        <w:t>编号：        ）</w:t>
      </w:r>
      <w:r>
        <w:rPr>
          <w:rFonts w:hint="eastAsia" w:ascii="宋体" w:hAnsi="宋体" w:eastAsia="宋体" w:cs="宋体"/>
          <w:kern w:val="0"/>
          <w:sz w:val="21"/>
          <w:szCs w:val="21"/>
        </w:rPr>
        <w:t>合同（</w:t>
      </w:r>
      <w:r>
        <w:rPr>
          <w:rFonts w:hint="eastAsia" w:ascii="宋体" w:hAnsi="宋体" w:eastAsia="宋体" w:cs="宋体"/>
          <w:kern w:val="0"/>
          <w:sz w:val="21"/>
          <w:szCs w:val="21"/>
          <w:lang w:val="en-US" w:eastAsia="zh-CN"/>
        </w:rPr>
        <w:t>竞争性磋商</w:t>
      </w:r>
      <w:r>
        <w:rPr>
          <w:rFonts w:hint="eastAsia" w:ascii="宋体" w:hAnsi="宋体" w:eastAsia="宋体" w:cs="宋体"/>
          <w:kern w:val="0"/>
          <w:sz w:val="21"/>
          <w:szCs w:val="21"/>
        </w:rPr>
        <w:t>文件）中规定的义务履行合同。</w:t>
      </w:r>
    </w:p>
    <w:p w14:paraId="006CF841">
      <w:pPr>
        <w:widowControl/>
        <w:autoSpaceDE w:val="0"/>
        <w:autoSpaceDN w:val="0"/>
        <w:adjustRightInd w:val="0"/>
        <w:spacing w:line="360" w:lineRule="auto"/>
        <w:ind w:firstLine="567" w:firstLineChars="27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根据上述合同（</w:t>
      </w:r>
      <w:r>
        <w:rPr>
          <w:rFonts w:hint="eastAsia" w:ascii="宋体" w:hAnsi="宋体" w:eastAsia="宋体" w:cs="宋体"/>
          <w:kern w:val="0"/>
          <w:sz w:val="21"/>
          <w:szCs w:val="21"/>
          <w:lang w:val="en-US" w:eastAsia="zh-CN"/>
        </w:rPr>
        <w:t>竞争性磋商</w:t>
      </w:r>
      <w:r>
        <w:rPr>
          <w:rFonts w:hint="eastAsia" w:ascii="宋体" w:hAnsi="宋体" w:eastAsia="宋体" w:cs="宋体"/>
          <w:kern w:val="0"/>
          <w:sz w:val="21"/>
          <w:szCs w:val="21"/>
        </w:rPr>
        <w:t>文件）规定，申请人应向受益人提供一份金额为人民币（大写）</w:t>
      </w:r>
      <w:r>
        <w:rPr>
          <w:rFonts w:hint="eastAsia" w:ascii="宋体" w:hAnsi="宋体" w:eastAsia="宋体" w:cs="宋体"/>
          <w:kern w:val="0"/>
          <w:sz w:val="21"/>
          <w:szCs w:val="21"/>
          <w:u w:val="single"/>
        </w:rPr>
        <w:t xml:space="preserve">     （RMB元）</w:t>
      </w:r>
      <w:r>
        <w:rPr>
          <w:rFonts w:hint="eastAsia" w:ascii="宋体" w:hAnsi="宋体" w:eastAsia="宋体" w:cs="宋体"/>
          <w:kern w:val="0"/>
          <w:sz w:val="21"/>
          <w:szCs w:val="21"/>
        </w:rPr>
        <w:t>的无条件、</w:t>
      </w:r>
      <w:r>
        <w:rPr>
          <w:rFonts w:hint="eastAsia" w:ascii="宋体" w:hAnsi="宋体" w:eastAsia="宋体" w:cs="宋体"/>
          <w:bCs/>
          <w:kern w:val="0"/>
          <w:sz w:val="21"/>
          <w:szCs w:val="21"/>
        </w:rPr>
        <w:t>不可撤销</w:t>
      </w:r>
      <w:r>
        <w:rPr>
          <w:rFonts w:hint="eastAsia" w:ascii="宋体" w:hAnsi="宋体" w:eastAsia="宋体" w:cs="宋体"/>
          <w:kern w:val="0"/>
          <w:sz w:val="21"/>
          <w:szCs w:val="21"/>
        </w:rPr>
        <w:t>履约担保，作为申请人履行上述合同的担保，</w:t>
      </w:r>
      <w:r>
        <w:rPr>
          <w:rFonts w:hint="eastAsia" w:ascii="宋体" w:hAnsi="宋体" w:eastAsia="宋体" w:cs="宋体"/>
          <w:kern w:val="0"/>
          <w:sz w:val="21"/>
          <w:szCs w:val="21"/>
          <w:lang w:eastAsia="zh-Hans"/>
        </w:rPr>
        <w:t>我方</w:t>
      </w:r>
      <w:r>
        <w:rPr>
          <w:rFonts w:hint="eastAsia" w:ascii="宋体" w:hAnsi="宋体" w:eastAsia="宋体" w:cs="宋体"/>
          <w:kern w:val="0"/>
          <w:sz w:val="21"/>
          <w:szCs w:val="21"/>
          <w:u w:val="single"/>
        </w:rPr>
        <w:t xml:space="preserve">  （担保公司名称）  </w:t>
      </w:r>
      <w:r>
        <w:rPr>
          <w:rFonts w:hint="eastAsia" w:ascii="宋体" w:hAnsi="宋体" w:eastAsia="宋体" w:cs="宋体"/>
          <w:kern w:val="0"/>
          <w:sz w:val="21"/>
          <w:szCs w:val="21"/>
        </w:rPr>
        <w:t>在</w:t>
      </w:r>
      <w:r>
        <w:rPr>
          <w:rFonts w:hint="eastAsia" w:ascii="宋体" w:hAnsi="宋体" w:eastAsia="宋体" w:cs="宋体"/>
          <w:kern w:val="0"/>
          <w:sz w:val="21"/>
          <w:szCs w:val="21"/>
          <w:lang w:eastAsia="zh-Hans"/>
        </w:rPr>
        <w:t>本合同项下的保证责任为连带责任保证</w:t>
      </w:r>
      <w:r>
        <w:rPr>
          <w:rFonts w:hint="eastAsia" w:ascii="宋体" w:hAnsi="宋体" w:eastAsia="宋体" w:cs="宋体"/>
          <w:kern w:val="0"/>
          <w:sz w:val="21"/>
          <w:szCs w:val="21"/>
        </w:rPr>
        <w:t>。</w:t>
      </w:r>
    </w:p>
    <w:p w14:paraId="4309AD31">
      <w:pPr>
        <w:autoSpaceDE w:val="0"/>
        <w:autoSpaceDN w:val="0"/>
        <w:adjustRightInd w:val="0"/>
        <w:spacing w:line="360" w:lineRule="auto"/>
        <w:ind w:firstLine="437"/>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我方</w:t>
      </w:r>
      <w:r>
        <w:rPr>
          <w:rFonts w:hint="eastAsia" w:ascii="宋体" w:hAnsi="宋体" w:eastAsia="宋体" w:cs="宋体"/>
          <w:kern w:val="0"/>
          <w:sz w:val="21"/>
          <w:szCs w:val="21"/>
          <w:u w:val="single"/>
        </w:rPr>
        <w:t xml:space="preserve">  （担保公司名称）  </w:t>
      </w:r>
      <w:r>
        <w:rPr>
          <w:rFonts w:hint="eastAsia" w:ascii="宋体" w:hAnsi="宋体" w:eastAsia="宋体" w:cs="宋体"/>
          <w:kern w:val="0"/>
          <w:sz w:val="21"/>
          <w:szCs w:val="21"/>
        </w:rPr>
        <w:t>，受申请人的委托，无条件和不可撤销地在受益人出具本担保书原件且提出因申请人没有履行上述合同规定，在担保书限额内向受益人支付不超过人民币（大写）_________（¥_______元）的款项。</w:t>
      </w:r>
    </w:p>
    <w:p w14:paraId="7F3FE290">
      <w:pPr>
        <w:autoSpaceDE w:val="0"/>
        <w:autoSpaceDN w:val="0"/>
        <w:adjustRightInd w:val="0"/>
        <w:spacing w:line="360" w:lineRule="auto"/>
        <w:ind w:firstLine="437"/>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我方还同意，任何受益人与申请人之间可能对合同条款的修改、规范或其他合同文件的变动补充，都不能免除我方按本担保函所承担的责任。因此，有关上述变动、补充和修改无须通知或征得我方同意。</w:t>
      </w:r>
    </w:p>
    <w:p w14:paraId="3179F90A">
      <w:pPr>
        <w:autoSpaceDE w:val="0"/>
        <w:autoSpaceDN w:val="0"/>
        <w:adjustRightInd w:val="0"/>
        <w:spacing w:line="360" w:lineRule="auto"/>
        <w:ind w:firstLine="437"/>
        <w:jc w:val="left"/>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本保函应自合同签订之日起至合同期限届满并完成合同全部服务义务后二十八（28）日内保持有效。</w:t>
      </w:r>
    </w:p>
    <w:p w14:paraId="00EB3C2B">
      <w:pPr>
        <w:autoSpaceDE w:val="0"/>
        <w:autoSpaceDN w:val="0"/>
        <w:adjustRightInd w:val="0"/>
        <w:spacing w:line="360" w:lineRule="auto"/>
        <w:jc w:val="left"/>
        <w:outlineLvl w:val="9"/>
        <w:rPr>
          <w:rFonts w:hint="eastAsia" w:ascii="宋体" w:hAnsi="宋体" w:eastAsia="宋体" w:cs="宋体"/>
          <w:kern w:val="0"/>
          <w:sz w:val="21"/>
          <w:szCs w:val="21"/>
        </w:rPr>
      </w:pPr>
    </w:p>
    <w:p w14:paraId="7C17FEEF">
      <w:pPr>
        <w:autoSpaceDE w:val="0"/>
        <w:autoSpaceDN w:val="0"/>
        <w:adjustRightInd w:val="0"/>
        <w:spacing w:line="360" w:lineRule="auto"/>
        <w:ind w:firstLine="3990" w:firstLineChars="19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法定代表人或其授权的代理人：（签字或盖私章）</w:t>
      </w:r>
    </w:p>
    <w:p w14:paraId="3316542C">
      <w:pPr>
        <w:autoSpaceDE w:val="0"/>
        <w:autoSpaceDN w:val="0"/>
        <w:adjustRightInd w:val="0"/>
        <w:spacing w:line="360" w:lineRule="auto"/>
        <w:ind w:firstLine="3990" w:firstLineChars="19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担保公司盖章：</w:t>
      </w:r>
    </w:p>
    <w:p w14:paraId="1B6DCC25">
      <w:pPr>
        <w:autoSpaceDE w:val="0"/>
        <w:autoSpaceDN w:val="0"/>
        <w:adjustRightInd w:val="0"/>
        <w:spacing w:line="360" w:lineRule="auto"/>
        <w:ind w:firstLine="3990" w:firstLineChars="19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联系电话：</w:t>
      </w:r>
    </w:p>
    <w:p w14:paraId="6261C4A1">
      <w:pPr>
        <w:autoSpaceDE w:val="0"/>
        <w:autoSpaceDN w:val="0"/>
        <w:adjustRightInd w:val="0"/>
        <w:spacing w:line="360" w:lineRule="auto"/>
        <w:ind w:firstLine="3990" w:firstLineChars="19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地址：</w:t>
      </w:r>
    </w:p>
    <w:p w14:paraId="2E9B6A06">
      <w:pPr>
        <w:widowControl/>
        <w:autoSpaceDE w:val="0"/>
        <w:autoSpaceDN w:val="0"/>
        <w:adjustRightInd w:val="0"/>
        <w:spacing w:line="360" w:lineRule="auto"/>
        <w:ind w:firstLine="3990" w:firstLineChars="19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日期：    年   月   日</w:t>
      </w:r>
    </w:p>
    <w:p w14:paraId="00535E78">
      <w:pPr>
        <w:widowControl/>
        <w:autoSpaceDE w:val="0"/>
        <w:autoSpaceDN w:val="0"/>
        <w:adjustRightInd w:val="0"/>
        <w:spacing w:line="360" w:lineRule="auto"/>
        <w:ind w:firstLine="3990" w:firstLineChars="1900"/>
        <w:jc w:val="left"/>
        <w:outlineLvl w:val="9"/>
        <w:rPr>
          <w:rFonts w:hint="default" w:ascii="宋体" w:hAnsi="宋体" w:eastAsia="宋体" w:cs="宋体"/>
          <w:kern w:val="0"/>
          <w:szCs w:val="21"/>
          <w:lang w:val="en-US"/>
        </w:rPr>
        <w:sectPr>
          <w:footerReference r:id="rId13" w:type="first"/>
          <w:footerReference r:id="rId12" w:type="default"/>
          <w:pgSz w:w="12240" w:h="15840"/>
          <w:pgMar w:top="1191" w:right="1043" w:bottom="1191" w:left="1043" w:header="720" w:footer="720" w:gutter="0"/>
          <w:cols w:space="720" w:num="1"/>
          <w:titlePg/>
          <w:docGrid w:linePitch="326" w:charSpace="0"/>
        </w:sectPr>
      </w:pPr>
      <w:r>
        <w:rPr>
          <w:rFonts w:hint="eastAsia" w:ascii="宋体" w:hAnsi="宋体" w:cs="宋体"/>
          <w:kern w:val="0"/>
          <w:sz w:val="21"/>
          <w:szCs w:val="21"/>
          <w:lang w:val="en-US" w:eastAsia="zh-CN"/>
        </w:rPr>
        <w:t>履约担保书真实性核对联系人及办公电话：</w:t>
      </w:r>
    </w:p>
    <w:bookmarkEnd w:id="210"/>
    <w:bookmarkEnd w:id="211"/>
    <w:p w14:paraId="3BD1AA70">
      <w:pPr>
        <w:pageBreakBefore/>
        <w:spacing w:line="360" w:lineRule="auto"/>
        <w:jc w:val="center"/>
        <w:outlineLvl w:val="0"/>
        <w:rPr>
          <w:rFonts w:hint="eastAsia" w:ascii="宋体" w:hAnsi="宋体" w:eastAsia="宋体"/>
          <w:b/>
          <w:bCs/>
          <w:kern w:val="44"/>
          <w:sz w:val="32"/>
          <w:szCs w:val="32"/>
          <w:lang w:val="zh-CN"/>
        </w:rPr>
      </w:pPr>
      <w:bookmarkStart w:id="227" w:name="_Toc31983"/>
      <w:r>
        <w:rPr>
          <w:rFonts w:hint="eastAsia" w:ascii="宋体" w:hAnsi="宋体" w:eastAsia="宋体"/>
          <w:b/>
          <w:bCs/>
          <w:kern w:val="44"/>
          <w:sz w:val="32"/>
          <w:szCs w:val="32"/>
          <w:lang w:val="zh-CN"/>
        </w:rPr>
        <w:t>第</w:t>
      </w:r>
      <w:r>
        <w:rPr>
          <w:rFonts w:hint="eastAsia" w:ascii="宋体" w:hAnsi="宋体" w:eastAsia="宋体"/>
          <w:b/>
          <w:bCs/>
          <w:kern w:val="44"/>
          <w:sz w:val="32"/>
          <w:szCs w:val="32"/>
          <w:lang w:val="en-US" w:eastAsia="zh-CN"/>
        </w:rPr>
        <w:t>六</w:t>
      </w:r>
      <w:r>
        <w:rPr>
          <w:rFonts w:hint="eastAsia" w:ascii="宋体" w:hAnsi="宋体" w:eastAsia="宋体"/>
          <w:b/>
          <w:bCs/>
          <w:kern w:val="44"/>
          <w:sz w:val="32"/>
          <w:szCs w:val="32"/>
          <w:lang w:val="zh-CN"/>
        </w:rPr>
        <w:t>篇</w:t>
      </w:r>
      <w:r>
        <w:rPr>
          <w:rFonts w:hint="eastAsia" w:ascii="宋体" w:hAnsi="宋体" w:eastAsia="宋体"/>
          <w:b/>
          <w:bCs/>
          <w:kern w:val="44"/>
          <w:sz w:val="32"/>
          <w:szCs w:val="32"/>
          <w:lang w:val="en-US" w:eastAsia="zh-CN"/>
        </w:rPr>
        <w:t xml:space="preserve"> </w:t>
      </w:r>
      <w:r>
        <w:rPr>
          <w:rFonts w:hint="eastAsia" w:ascii="宋体" w:hAnsi="宋体" w:eastAsia="宋体"/>
          <w:b/>
          <w:bCs/>
          <w:kern w:val="44"/>
          <w:sz w:val="32"/>
          <w:szCs w:val="32"/>
          <w:lang w:val="zh-CN"/>
        </w:rPr>
        <w:t>响应文件格式</w:t>
      </w:r>
      <w:bookmarkEnd w:id="212"/>
      <w:bookmarkEnd w:id="213"/>
      <w:bookmarkEnd w:id="227"/>
    </w:p>
    <w:p w14:paraId="4BE17AE4">
      <w:pPr>
        <w:pStyle w:val="24"/>
        <w:spacing w:line="360" w:lineRule="auto"/>
        <w:jc w:val="center"/>
        <w:rPr>
          <w:rFonts w:hint="eastAsia" w:ascii="宋体" w:hAnsi="宋体" w:eastAsia="宋体" w:cs="宋体"/>
          <w:color w:val="auto"/>
          <w:sz w:val="84"/>
          <w:highlight w:val="none"/>
        </w:rPr>
      </w:pPr>
      <w:bookmarkStart w:id="228" w:name="_Toc27736"/>
      <w:bookmarkStart w:id="229" w:name="_Toc490169461"/>
      <w:bookmarkStart w:id="230" w:name="_Toc5098067"/>
      <w:bookmarkStart w:id="231" w:name="_Toc79146596"/>
      <w:bookmarkStart w:id="232" w:name="_Toc521918114"/>
      <w:bookmarkStart w:id="233" w:name="_Toc9074"/>
      <w:bookmarkStart w:id="234" w:name="_Toc54334003"/>
      <w:bookmarkStart w:id="235" w:name="_Toc22486"/>
      <w:bookmarkStart w:id="236" w:name="_Toc495907130"/>
      <w:bookmarkStart w:id="237" w:name="_Toc19008822"/>
      <w:bookmarkStart w:id="238" w:name="_Toc56076622"/>
      <w:bookmarkStart w:id="239" w:name="_Toc1123949"/>
      <w:bookmarkStart w:id="240" w:name="_Toc497746558"/>
    </w:p>
    <w:p w14:paraId="14728A6F">
      <w:pPr>
        <w:pStyle w:val="24"/>
        <w:spacing w:line="360" w:lineRule="auto"/>
        <w:jc w:val="center"/>
        <w:rPr>
          <w:rFonts w:hint="eastAsia" w:ascii="宋体" w:hAnsi="宋体" w:eastAsia="宋体" w:cs="宋体"/>
          <w:color w:val="auto"/>
          <w:sz w:val="44"/>
          <w:szCs w:val="44"/>
          <w:highlight w:val="none"/>
          <w:lang w:val="en-US" w:eastAsia="zh-CN"/>
        </w:rPr>
      </w:pPr>
    </w:p>
    <w:p w14:paraId="15B592A7">
      <w:pPr>
        <w:pStyle w:val="24"/>
        <w:spacing w:line="360" w:lineRule="auto"/>
        <w:jc w:val="center"/>
        <w:rPr>
          <w:rFonts w:hint="eastAsia" w:ascii="宋体" w:hAnsi="宋体" w:eastAsia="宋体" w:cs="宋体"/>
          <w:color w:val="auto"/>
          <w:sz w:val="44"/>
          <w:szCs w:val="44"/>
          <w:highlight w:val="none"/>
          <w:lang w:val="en-US" w:eastAsia="zh-CN"/>
        </w:rPr>
      </w:pPr>
    </w:p>
    <w:p w14:paraId="73D22ACD">
      <w:pPr>
        <w:pStyle w:val="24"/>
        <w:spacing w:line="360" w:lineRule="auto"/>
        <w:jc w:val="center"/>
        <w:rPr>
          <w:rFonts w:hint="eastAsia" w:ascii="宋体" w:hAnsi="宋体" w:eastAsia="宋体" w:cs="宋体"/>
          <w:color w:val="auto"/>
          <w:sz w:val="44"/>
          <w:szCs w:val="44"/>
          <w:highlight w:val="none"/>
          <w:lang w:val="en-US" w:eastAsia="zh-CN"/>
        </w:rPr>
      </w:pPr>
    </w:p>
    <w:p w14:paraId="5EFE06C1">
      <w:pPr>
        <w:pStyle w:val="24"/>
        <w:spacing w:line="360" w:lineRule="auto"/>
        <w:jc w:val="center"/>
        <w:rPr>
          <w:rFonts w:hint="eastAsia" w:ascii="宋体" w:hAnsi="宋体" w:eastAsia="宋体" w:cs="宋体"/>
          <w:color w:val="auto"/>
          <w:sz w:val="44"/>
          <w:szCs w:val="44"/>
          <w:highlight w:val="none"/>
          <w:lang w:val="en-US" w:eastAsia="zh-CN"/>
        </w:rPr>
      </w:pPr>
    </w:p>
    <w:p w14:paraId="6B6E23FB">
      <w:pPr>
        <w:pStyle w:val="24"/>
        <w:spacing w:line="360" w:lineRule="auto"/>
        <w:jc w:val="center"/>
        <w:rPr>
          <w:rFonts w:hint="eastAsia" w:ascii="宋体" w:hAnsi="宋体" w:eastAsia="宋体" w:cs="宋体"/>
          <w:color w:val="auto"/>
          <w:sz w:val="44"/>
          <w:szCs w:val="44"/>
          <w:highlight w:val="none"/>
          <w:lang w:val="en-US" w:eastAsia="zh-CN"/>
        </w:rPr>
      </w:pPr>
    </w:p>
    <w:p w14:paraId="081BE563">
      <w:pPr>
        <w:pStyle w:val="24"/>
        <w:spacing w:line="360" w:lineRule="auto"/>
        <w:jc w:val="center"/>
        <w:rPr>
          <w:rFonts w:hint="eastAsia" w:ascii="宋体" w:hAnsi="宋体" w:eastAsia="宋体" w:cs="宋体"/>
          <w:color w:val="auto"/>
          <w:sz w:val="44"/>
          <w:szCs w:val="44"/>
          <w:highlight w:val="none"/>
          <w:lang w:val="en-US" w:eastAsia="zh-CN"/>
        </w:rPr>
      </w:pPr>
    </w:p>
    <w:p w14:paraId="60ADE749">
      <w:pPr>
        <w:pStyle w:val="24"/>
        <w:spacing w:line="360" w:lineRule="auto"/>
        <w:jc w:val="center"/>
        <w:rPr>
          <w:rFonts w:hint="eastAsia" w:ascii="宋体" w:hAnsi="宋体" w:eastAsia="宋体" w:cs="宋体"/>
          <w:color w:val="auto"/>
          <w:sz w:val="44"/>
          <w:szCs w:val="44"/>
          <w:highlight w:val="none"/>
          <w:lang w:val="en-US" w:eastAsia="zh-CN"/>
        </w:rPr>
      </w:pPr>
    </w:p>
    <w:p w14:paraId="7D129B2B">
      <w:pPr>
        <w:pStyle w:val="24"/>
        <w:spacing w:line="360" w:lineRule="auto"/>
        <w:jc w:val="center"/>
        <w:rPr>
          <w:rFonts w:hint="eastAsia" w:ascii="宋体" w:hAnsi="宋体" w:eastAsia="宋体" w:cs="宋体"/>
          <w:color w:val="auto"/>
          <w:sz w:val="44"/>
          <w:szCs w:val="44"/>
          <w:highlight w:val="none"/>
          <w:lang w:val="en-US" w:eastAsia="zh-CN"/>
        </w:rPr>
      </w:pPr>
    </w:p>
    <w:p w14:paraId="7A845DB6">
      <w:pPr>
        <w:pStyle w:val="24"/>
        <w:spacing w:line="360" w:lineRule="auto"/>
        <w:jc w:val="center"/>
        <w:rPr>
          <w:rFonts w:hint="eastAsia" w:ascii="宋体" w:hAnsi="宋体" w:eastAsia="宋体" w:cs="宋体"/>
          <w:color w:val="auto"/>
          <w:sz w:val="44"/>
          <w:szCs w:val="44"/>
          <w:highlight w:val="none"/>
          <w:lang w:val="en-US" w:eastAsia="zh-CN"/>
        </w:rPr>
      </w:pPr>
    </w:p>
    <w:p w14:paraId="588D93A2">
      <w:pPr>
        <w:pStyle w:val="24"/>
        <w:spacing w:line="360" w:lineRule="auto"/>
        <w:jc w:val="center"/>
        <w:rPr>
          <w:rFonts w:hint="eastAsia" w:ascii="宋体" w:hAnsi="宋体" w:eastAsia="宋体" w:cs="宋体"/>
          <w:color w:val="auto"/>
          <w:sz w:val="44"/>
          <w:szCs w:val="44"/>
          <w:highlight w:val="none"/>
          <w:lang w:val="en-US" w:eastAsia="zh-CN"/>
        </w:rPr>
      </w:pPr>
    </w:p>
    <w:p w14:paraId="44DB511F">
      <w:pPr>
        <w:pStyle w:val="24"/>
        <w:spacing w:line="360" w:lineRule="auto"/>
        <w:jc w:val="center"/>
        <w:rPr>
          <w:rFonts w:hint="eastAsia" w:ascii="宋体" w:hAnsi="宋体" w:eastAsia="宋体" w:cs="宋体"/>
          <w:color w:val="auto"/>
          <w:sz w:val="44"/>
          <w:szCs w:val="44"/>
          <w:highlight w:val="none"/>
          <w:lang w:val="en-US" w:eastAsia="zh-CN"/>
        </w:rPr>
      </w:pPr>
    </w:p>
    <w:p w14:paraId="00DD9B78">
      <w:pPr>
        <w:pStyle w:val="24"/>
        <w:spacing w:line="360" w:lineRule="auto"/>
        <w:jc w:val="center"/>
        <w:rPr>
          <w:rFonts w:hint="eastAsia" w:ascii="宋体" w:hAnsi="宋体" w:eastAsia="宋体" w:cs="宋体"/>
          <w:color w:val="auto"/>
          <w:sz w:val="44"/>
          <w:szCs w:val="44"/>
          <w:highlight w:val="none"/>
          <w:lang w:val="en-US" w:eastAsia="zh-CN"/>
        </w:rPr>
      </w:pPr>
    </w:p>
    <w:p w14:paraId="437BDFF4">
      <w:pPr>
        <w:pStyle w:val="24"/>
        <w:spacing w:line="360" w:lineRule="auto"/>
        <w:jc w:val="center"/>
        <w:rPr>
          <w:rFonts w:hint="eastAsia" w:ascii="宋体" w:hAnsi="宋体" w:eastAsia="宋体" w:cs="宋体"/>
          <w:color w:val="auto"/>
          <w:sz w:val="44"/>
          <w:szCs w:val="44"/>
          <w:highlight w:val="none"/>
          <w:lang w:val="en-US" w:eastAsia="zh-CN"/>
        </w:rPr>
      </w:pPr>
    </w:p>
    <w:p w14:paraId="3F9DF88F">
      <w:pPr>
        <w:pStyle w:val="2"/>
        <w:jc w:val="both"/>
        <w:rPr>
          <w:rFonts w:hint="eastAsia"/>
          <w:lang w:val="en-US" w:eastAsia="zh-CN"/>
        </w:rPr>
      </w:pPr>
    </w:p>
    <w:p w14:paraId="44605E32">
      <w:pPr>
        <w:pStyle w:val="3"/>
        <w:rPr>
          <w:rFonts w:hint="eastAsia"/>
          <w:lang w:val="en-US" w:eastAsia="zh-CN"/>
        </w:rPr>
      </w:pPr>
    </w:p>
    <w:p w14:paraId="523D19BA">
      <w:pPr>
        <w:pStyle w:val="24"/>
        <w:spacing w:line="360" w:lineRule="auto"/>
        <w:jc w:val="center"/>
        <w:rPr>
          <w:rFonts w:hint="eastAsia" w:ascii="宋体" w:hAnsi="宋体" w:eastAsia="宋体" w:cs="宋体"/>
          <w:color w:val="auto"/>
          <w:sz w:val="84"/>
          <w:szCs w:val="84"/>
          <w:highlight w:val="none"/>
        </w:rPr>
      </w:pPr>
      <w:r>
        <w:rPr>
          <w:rFonts w:hint="eastAsia" w:ascii="宋体" w:hAnsi="宋体" w:eastAsia="宋体" w:cs="宋体"/>
          <w:color w:val="auto"/>
          <w:sz w:val="84"/>
          <w:szCs w:val="84"/>
          <w:highlight w:val="none"/>
          <w:lang w:val="en-US" w:eastAsia="zh-CN"/>
        </w:rPr>
        <w:t xml:space="preserve">响 应 </w:t>
      </w:r>
      <w:r>
        <w:rPr>
          <w:rFonts w:hint="eastAsia" w:ascii="宋体" w:hAnsi="宋体" w:eastAsia="宋体" w:cs="宋体"/>
          <w:color w:val="auto"/>
          <w:sz w:val="84"/>
          <w:szCs w:val="84"/>
          <w:highlight w:val="none"/>
        </w:rPr>
        <w:t>文</w:t>
      </w:r>
      <w:r>
        <w:rPr>
          <w:rFonts w:hint="eastAsia" w:ascii="宋体" w:hAnsi="宋体" w:eastAsia="宋体" w:cs="宋体"/>
          <w:color w:val="auto"/>
          <w:sz w:val="84"/>
          <w:szCs w:val="84"/>
          <w:highlight w:val="none"/>
          <w:lang w:val="en-US" w:eastAsia="zh-CN"/>
        </w:rPr>
        <w:t xml:space="preserve"> </w:t>
      </w:r>
      <w:r>
        <w:rPr>
          <w:rFonts w:hint="eastAsia" w:ascii="宋体" w:hAnsi="宋体" w:eastAsia="宋体" w:cs="宋体"/>
          <w:color w:val="auto"/>
          <w:sz w:val="84"/>
          <w:szCs w:val="84"/>
          <w:highlight w:val="none"/>
        </w:rPr>
        <w:t>件</w:t>
      </w:r>
    </w:p>
    <w:p w14:paraId="72B8A900">
      <w:pPr>
        <w:pStyle w:val="24"/>
        <w:spacing w:line="360" w:lineRule="auto"/>
        <w:rPr>
          <w:rFonts w:hint="eastAsia" w:ascii="宋体" w:hAnsi="宋体" w:eastAsia="宋体" w:cs="宋体"/>
          <w:color w:val="auto"/>
          <w:highlight w:val="none"/>
        </w:rPr>
      </w:pPr>
    </w:p>
    <w:p w14:paraId="4F4729A6">
      <w:pPr>
        <w:pStyle w:val="24"/>
        <w:spacing w:line="360" w:lineRule="auto"/>
        <w:rPr>
          <w:rFonts w:hint="eastAsia" w:ascii="宋体" w:hAnsi="宋体" w:eastAsia="宋体" w:cs="宋体"/>
          <w:color w:val="auto"/>
          <w:highlight w:val="none"/>
        </w:rPr>
      </w:pPr>
    </w:p>
    <w:p w14:paraId="0C9B6E42">
      <w:pPr>
        <w:pStyle w:val="24"/>
        <w:spacing w:line="360" w:lineRule="auto"/>
        <w:rPr>
          <w:rFonts w:hint="eastAsia" w:ascii="宋体" w:hAnsi="宋体" w:eastAsia="宋体" w:cs="宋体"/>
          <w:color w:val="auto"/>
          <w:highlight w:val="none"/>
        </w:rPr>
      </w:pPr>
    </w:p>
    <w:p w14:paraId="7A31290E">
      <w:pPr>
        <w:pStyle w:val="24"/>
        <w:spacing w:line="360" w:lineRule="auto"/>
        <w:rPr>
          <w:rFonts w:hint="eastAsia" w:ascii="宋体" w:hAnsi="宋体" w:eastAsia="宋体" w:cs="宋体"/>
          <w:color w:val="auto"/>
          <w:highlight w:val="none"/>
        </w:rPr>
      </w:pPr>
    </w:p>
    <w:p w14:paraId="6A50408D">
      <w:pPr>
        <w:pStyle w:val="24"/>
        <w:spacing w:line="360" w:lineRule="auto"/>
        <w:rPr>
          <w:rFonts w:hint="eastAsia" w:ascii="宋体" w:hAnsi="宋体" w:eastAsia="宋体" w:cs="宋体"/>
          <w:color w:val="auto"/>
          <w:highlight w:val="none"/>
        </w:rPr>
      </w:pPr>
    </w:p>
    <w:p w14:paraId="1CD5F8DA">
      <w:pPr>
        <w:pStyle w:val="24"/>
        <w:spacing w:line="360" w:lineRule="auto"/>
        <w:rPr>
          <w:rFonts w:hint="eastAsia" w:ascii="宋体" w:hAnsi="宋体" w:eastAsia="宋体" w:cs="宋体"/>
          <w:color w:val="auto"/>
          <w:highlight w:val="none"/>
        </w:rPr>
      </w:pPr>
    </w:p>
    <w:p w14:paraId="74B4F02B">
      <w:pPr>
        <w:pStyle w:val="24"/>
        <w:spacing w:line="360" w:lineRule="auto"/>
        <w:rPr>
          <w:rFonts w:hint="eastAsia" w:ascii="宋体" w:hAnsi="宋体" w:eastAsia="宋体" w:cs="宋体"/>
          <w:color w:val="auto"/>
          <w:highlight w:val="none"/>
        </w:rPr>
      </w:pPr>
    </w:p>
    <w:p w14:paraId="47851C69">
      <w:pPr>
        <w:pStyle w:val="24"/>
        <w:spacing w:line="360" w:lineRule="auto"/>
        <w:rPr>
          <w:rFonts w:hint="eastAsia" w:ascii="宋体" w:hAnsi="宋体" w:eastAsia="宋体" w:cs="宋体"/>
          <w:color w:val="auto"/>
          <w:highlight w:val="none"/>
        </w:rPr>
      </w:pPr>
    </w:p>
    <w:p w14:paraId="03E276BA">
      <w:pPr>
        <w:pStyle w:val="24"/>
        <w:spacing w:line="360" w:lineRule="auto"/>
        <w:rPr>
          <w:rFonts w:hint="eastAsia" w:ascii="宋体" w:hAnsi="宋体" w:eastAsia="宋体" w:cs="宋体"/>
          <w:color w:val="auto"/>
          <w:highlight w:val="none"/>
          <w:u w:val="none"/>
        </w:rPr>
      </w:pPr>
    </w:p>
    <w:p w14:paraId="1B409235">
      <w:pPr>
        <w:pStyle w:val="24"/>
        <w:spacing w:line="360" w:lineRule="auto"/>
        <w:outlineLvl w:val="9"/>
        <w:rPr>
          <w:rFonts w:hint="eastAsia" w:ascii="宋体" w:hAnsi="宋体" w:eastAsia="宋体" w:cs="宋体"/>
          <w:color w:val="auto"/>
          <w:sz w:val="30"/>
          <w:lang w:val="en-US" w:eastAsia="zh-CN"/>
        </w:rPr>
      </w:pPr>
      <w:r>
        <w:rPr>
          <w:rFonts w:hint="eastAsia" w:ascii="宋体" w:hAnsi="宋体" w:eastAsia="宋体" w:cs="宋体"/>
          <w:color w:val="auto"/>
          <w:sz w:val="30"/>
          <w:lang w:val="en-US" w:eastAsia="zh-CN"/>
        </w:rPr>
        <w:t>采购</w:t>
      </w:r>
      <w:r>
        <w:rPr>
          <w:rFonts w:hint="eastAsia" w:ascii="宋体" w:hAnsi="宋体" w:eastAsia="宋体" w:cs="宋体"/>
          <w:color w:val="auto"/>
          <w:sz w:val="30"/>
        </w:rPr>
        <w:t>编号：</w:t>
      </w:r>
      <w:r>
        <w:rPr>
          <w:rFonts w:hint="eastAsia" w:ascii="宋体" w:hAnsi="宋体" w:eastAsia="宋体" w:cs="宋体"/>
          <w:color w:val="auto"/>
          <w:sz w:val="30"/>
          <w:u w:val="single"/>
        </w:rPr>
        <w:t xml:space="preserve"> </w:t>
      </w:r>
      <w:r>
        <w:rPr>
          <w:rFonts w:hint="eastAsia" w:ascii="宋体" w:hAnsi="宋体" w:eastAsia="宋体" w:cs="宋体"/>
          <w:color w:val="auto"/>
          <w:sz w:val="30"/>
          <w:u w:val="single"/>
          <w:lang w:val="zh-CN"/>
        </w:rPr>
        <w:t xml:space="preserve">DGDS2024-002 </w:t>
      </w:r>
      <w:r>
        <w:rPr>
          <w:rFonts w:hint="eastAsia" w:ascii="宋体" w:hAnsi="宋体" w:eastAsia="宋体" w:cs="宋体"/>
          <w:color w:val="auto"/>
          <w:sz w:val="30"/>
          <w:u w:val="single"/>
          <w:lang w:val="en-US" w:eastAsia="zh-CN"/>
        </w:rPr>
        <w:t xml:space="preserve"> </w:t>
      </w:r>
    </w:p>
    <w:p w14:paraId="5036FEEA">
      <w:pPr>
        <w:pStyle w:val="24"/>
        <w:spacing w:line="360" w:lineRule="auto"/>
        <w:outlineLvl w:val="9"/>
        <w:rPr>
          <w:rFonts w:hint="eastAsia" w:ascii="宋体" w:hAnsi="宋体" w:eastAsia="宋体" w:cs="宋体"/>
          <w:color w:val="auto"/>
          <w:sz w:val="30"/>
          <w:u w:val="single"/>
        </w:rPr>
      </w:pPr>
      <w:r>
        <w:rPr>
          <w:rFonts w:hint="eastAsia" w:ascii="宋体" w:hAnsi="宋体" w:eastAsia="宋体" w:cs="宋体"/>
          <w:color w:val="auto"/>
          <w:sz w:val="30"/>
        </w:rPr>
        <w:t>项目名称：</w:t>
      </w:r>
      <w:r>
        <w:rPr>
          <w:rFonts w:hint="eastAsia" w:ascii="宋体" w:hAnsi="宋体" w:eastAsia="宋体" w:cs="宋体"/>
          <w:color w:val="auto"/>
          <w:sz w:val="30"/>
          <w:u w:val="single"/>
        </w:rPr>
        <w:t xml:space="preserve"> </w:t>
      </w:r>
      <w:r>
        <w:rPr>
          <w:rFonts w:hint="eastAsia" w:ascii="宋体" w:hAnsi="宋体" w:eastAsia="宋体" w:cs="宋体"/>
          <w:color w:val="auto"/>
          <w:sz w:val="30"/>
          <w:u w:val="single"/>
          <w:lang w:val="zh-CN"/>
        </w:rPr>
        <w:t>东莞市众源环境投资有限公司污水处理厂污泥脱水减量处理服务（BOT权属滨海湾片区）采购项目(   包组)</w:t>
      </w:r>
      <w:r>
        <w:rPr>
          <w:rFonts w:hint="eastAsia" w:ascii="宋体" w:hAnsi="宋体" w:eastAsia="宋体" w:cs="宋体"/>
          <w:color w:val="auto"/>
          <w:sz w:val="30"/>
          <w:u w:val="single"/>
        </w:rPr>
        <w:t xml:space="preserve"> </w:t>
      </w:r>
    </w:p>
    <w:p w14:paraId="4ADA55A2">
      <w:pPr>
        <w:pStyle w:val="24"/>
        <w:spacing w:line="360" w:lineRule="auto"/>
        <w:outlineLvl w:val="9"/>
        <w:rPr>
          <w:rFonts w:hint="eastAsia" w:ascii="宋体" w:hAnsi="宋体" w:eastAsia="宋体" w:cs="宋体"/>
          <w:color w:val="auto"/>
          <w:sz w:val="30"/>
          <w:u w:val="single"/>
        </w:rPr>
      </w:pPr>
      <w:r>
        <w:rPr>
          <w:rFonts w:hint="eastAsia" w:ascii="宋体" w:hAnsi="宋体" w:eastAsia="宋体" w:cs="宋体"/>
          <w:color w:val="auto"/>
          <w:sz w:val="30"/>
          <w:lang w:val="en-US" w:eastAsia="zh-CN"/>
        </w:rPr>
        <w:t>响应</w:t>
      </w:r>
      <w:r>
        <w:rPr>
          <w:rFonts w:hint="eastAsia" w:ascii="宋体" w:hAnsi="宋体" w:eastAsia="宋体" w:cs="宋体"/>
          <w:color w:val="auto"/>
          <w:sz w:val="30"/>
        </w:rPr>
        <w:t>文件内容：</w:t>
      </w:r>
      <w:r>
        <w:rPr>
          <w:rFonts w:hint="eastAsia" w:ascii="宋体" w:hAnsi="宋体" w:eastAsia="宋体" w:cs="宋体"/>
          <w:color w:val="auto"/>
          <w:sz w:val="30"/>
          <w:u w:val="single"/>
        </w:rPr>
        <w:t xml:space="preserve"> </w:t>
      </w:r>
      <w:r>
        <w:rPr>
          <w:rFonts w:hint="eastAsia" w:ascii="宋体" w:hAnsi="宋体" w:eastAsia="宋体" w:cs="宋体"/>
          <w:color w:val="auto"/>
          <w:sz w:val="30"/>
          <w:u w:val="single"/>
          <w:lang w:val="en-US" w:eastAsia="zh-CN"/>
        </w:rPr>
        <w:t>响应</w:t>
      </w:r>
      <w:r>
        <w:rPr>
          <w:rFonts w:hint="eastAsia" w:ascii="宋体" w:hAnsi="宋体" w:eastAsia="宋体" w:cs="宋体"/>
          <w:color w:val="auto"/>
          <w:sz w:val="30"/>
          <w:u w:val="single"/>
        </w:rPr>
        <w:t xml:space="preserve">文件商务部分 </w:t>
      </w:r>
    </w:p>
    <w:p w14:paraId="7D0CD85D">
      <w:pPr>
        <w:pStyle w:val="24"/>
        <w:spacing w:line="360" w:lineRule="auto"/>
        <w:outlineLvl w:val="9"/>
        <w:rPr>
          <w:rFonts w:hint="eastAsia" w:ascii="宋体" w:hAnsi="宋体" w:eastAsia="宋体" w:cs="宋体"/>
          <w:color w:val="auto"/>
          <w:sz w:val="30"/>
        </w:rPr>
      </w:pPr>
      <w:r>
        <w:rPr>
          <w:rFonts w:hint="eastAsia" w:ascii="宋体" w:hAnsi="宋体" w:eastAsia="宋体" w:cs="宋体"/>
          <w:color w:val="auto"/>
          <w:sz w:val="30"/>
          <w:lang w:val="en-US" w:eastAsia="zh-CN"/>
        </w:rPr>
        <w:t>采购</w:t>
      </w:r>
      <w:r>
        <w:rPr>
          <w:rFonts w:hint="eastAsia" w:ascii="宋体" w:hAnsi="宋体" w:eastAsia="宋体" w:cs="宋体"/>
          <w:color w:val="auto"/>
          <w:sz w:val="30"/>
        </w:rPr>
        <w:t>人：</w:t>
      </w:r>
      <w:r>
        <w:rPr>
          <w:rFonts w:hint="eastAsia" w:ascii="宋体" w:hAnsi="宋体" w:eastAsia="宋体" w:cs="宋体"/>
          <w:color w:val="auto"/>
          <w:sz w:val="30"/>
          <w:u w:val="single"/>
        </w:rPr>
        <w:t xml:space="preserve"> </w:t>
      </w:r>
      <w:r>
        <w:rPr>
          <w:rFonts w:hint="eastAsia" w:ascii="宋体" w:hAnsi="宋体" w:eastAsia="宋体" w:cs="宋体"/>
          <w:color w:val="auto"/>
          <w:sz w:val="30"/>
          <w:u w:val="single"/>
          <w:lang w:val="zh-CN"/>
        </w:rPr>
        <w:t>东莞市众源环境投资有限公司</w:t>
      </w:r>
      <w:r>
        <w:rPr>
          <w:rFonts w:hint="eastAsia" w:ascii="宋体" w:hAnsi="宋体" w:eastAsia="宋体" w:cs="宋体"/>
          <w:color w:val="auto"/>
          <w:sz w:val="30"/>
          <w:u w:val="single"/>
        </w:rPr>
        <w:t xml:space="preserve"> </w:t>
      </w:r>
    </w:p>
    <w:p w14:paraId="3627D1AB">
      <w:pPr>
        <w:pStyle w:val="24"/>
        <w:spacing w:line="360" w:lineRule="auto"/>
        <w:outlineLvl w:val="9"/>
        <w:rPr>
          <w:rFonts w:hint="eastAsia" w:ascii="宋体" w:hAnsi="宋体" w:eastAsia="宋体" w:cs="宋体"/>
          <w:color w:val="auto"/>
          <w:sz w:val="30"/>
          <w:u w:val="single"/>
        </w:rPr>
      </w:pPr>
      <w:r>
        <w:rPr>
          <w:rFonts w:hint="eastAsia" w:ascii="宋体" w:hAnsi="宋体" w:eastAsia="宋体" w:cs="宋体"/>
          <w:color w:val="auto"/>
          <w:sz w:val="30"/>
          <w:lang w:val="en-US" w:eastAsia="zh-CN"/>
        </w:rPr>
        <w:t>供应商</w:t>
      </w:r>
      <w:r>
        <w:rPr>
          <w:rFonts w:hint="eastAsia" w:ascii="宋体" w:hAnsi="宋体" w:eastAsia="宋体" w:cs="宋体"/>
          <w:color w:val="auto"/>
          <w:sz w:val="30"/>
        </w:rPr>
        <w:t>：</w:t>
      </w:r>
      <w:r>
        <w:rPr>
          <w:rFonts w:hint="eastAsia" w:ascii="宋体" w:hAnsi="宋体" w:eastAsia="宋体" w:cs="宋体"/>
          <w:color w:val="auto"/>
          <w:sz w:val="30"/>
          <w:u w:val="single"/>
        </w:rPr>
        <w:t xml:space="preserve">                        </w:t>
      </w:r>
    </w:p>
    <w:p w14:paraId="7E211D33">
      <w:pPr>
        <w:pStyle w:val="24"/>
        <w:spacing w:line="360" w:lineRule="auto"/>
        <w:outlineLvl w:val="9"/>
        <w:rPr>
          <w:rFonts w:hint="eastAsia" w:ascii="宋体" w:hAnsi="宋体" w:eastAsia="宋体" w:cs="宋体"/>
          <w:color w:val="auto"/>
          <w:sz w:val="30"/>
        </w:rPr>
      </w:pPr>
      <w:r>
        <w:rPr>
          <w:rFonts w:hint="eastAsia" w:ascii="宋体" w:hAnsi="宋体" w:eastAsia="宋体" w:cs="宋体"/>
          <w:color w:val="auto"/>
          <w:sz w:val="30"/>
        </w:rPr>
        <w:t>日  期：</w:t>
      </w:r>
      <w:r>
        <w:rPr>
          <w:rFonts w:hint="eastAsia" w:ascii="宋体" w:hAnsi="宋体" w:eastAsia="宋体" w:cs="宋体"/>
          <w:color w:val="auto"/>
          <w:sz w:val="30"/>
          <w:u w:val="single"/>
        </w:rPr>
        <w:t xml:space="preserve">     </w:t>
      </w:r>
      <w:r>
        <w:rPr>
          <w:rFonts w:hint="eastAsia" w:ascii="宋体" w:hAnsi="宋体" w:eastAsia="宋体" w:cs="宋体"/>
          <w:color w:val="auto"/>
          <w:sz w:val="30"/>
        </w:rPr>
        <w:t>年</w:t>
      </w:r>
      <w:r>
        <w:rPr>
          <w:rFonts w:hint="eastAsia" w:ascii="宋体" w:hAnsi="宋体" w:eastAsia="宋体" w:cs="宋体"/>
          <w:color w:val="auto"/>
          <w:sz w:val="30"/>
          <w:u w:val="single"/>
        </w:rPr>
        <w:t xml:space="preserve">    </w:t>
      </w:r>
      <w:r>
        <w:rPr>
          <w:rFonts w:hint="eastAsia" w:ascii="宋体" w:hAnsi="宋体" w:eastAsia="宋体" w:cs="宋体"/>
          <w:color w:val="auto"/>
          <w:sz w:val="30"/>
        </w:rPr>
        <w:t>月</w:t>
      </w:r>
      <w:r>
        <w:rPr>
          <w:rFonts w:hint="eastAsia" w:ascii="宋体" w:hAnsi="宋体" w:eastAsia="宋体" w:cs="宋体"/>
          <w:color w:val="auto"/>
          <w:sz w:val="30"/>
          <w:u w:val="single"/>
        </w:rPr>
        <w:t xml:space="preserve">    </w:t>
      </w:r>
      <w:r>
        <w:rPr>
          <w:rFonts w:hint="eastAsia" w:ascii="宋体" w:hAnsi="宋体" w:eastAsia="宋体" w:cs="宋体"/>
          <w:color w:val="auto"/>
          <w:sz w:val="30"/>
        </w:rPr>
        <w:t>日</w:t>
      </w:r>
    </w:p>
    <w:p w14:paraId="6D2C0FBC">
      <w:pPr>
        <w:bidi w:val="0"/>
        <w:rPr>
          <w:rFonts w:hint="eastAsia"/>
          <w:color w:val="auto"/>
          <w:highlight w:val="none"/>
        </w:rPr>
      </w:pPr>
    </w:p>
    <w:p w14:paraId="43121B1E">
      <w:pPr>
        <w:bidi w:val="0"/>
        <w:rPr>
          <w:rFonts w:hint="eastAsia"/>
          <w:color w:val="auto"/>
          <w:highlight w:val="none"/>
        </w:rPr>
      </w:pPr>
    </w:p>
    <w:p w14:paraId="33A083E8">
      <w:pPr>
        <w:bidi w:val="0"/>
        <w:rPr>
          <w:rFonts w:hint="eastAsia"/>
          <w:color w:val="auto"/>
          <w:highlight w:val="none"/>
        </w:rPr>
      </w:pPr>
    </w:p>
    <w:p w14:paraId="006BA459">
      <w:pPr>
        <w:bidi w:val="0"/>
        <w:rPr>
          <w:rFonts w:hint="eastAsia"/>
          <w:color w:val="auto"/>
          <w:highlight w:val="none"/>
        </w:rPr>
      </w:pPr>
    </w:p>
    <w:p w14:paraId="546FDC75">
      <w:pPr>
        <w:bidi w:val="0"/>
        <w:rPr>
          <w:rFonts w:hint="eastAsia"/>
          <w:color w:val="auto"/>
          <w:highlight w:val="none"/>
        </w:rPr>
      </w:pPr>
    </w:p>
    <w:p w14:paraId="681821F5">
      <w:pPr>
        <w:bidi w:val="0"/>
        <w:rPr>
          <w:rFonts w:hint="eastAsia"/>
          <w:color w:val="auto"/>
          <w:highlight w:val="none"/>
        </w:rPr>
      </w:pPr>
    </w:p>
    <w:p w14:paraId="051DE8A7">
      <w:pPr>
        <w:bidi w:val="0"/>
        <w:jc w:val="both"/>
        <w:rPr>
          <w:rFonts w:hint="eastAsia"/>
          <w:b/>
          <w:bCs/>
          <w:color w:val="auto"/>
          <w:sz w:val="21"/>
          <w:szCs w:val="21"/>
          <w:highlight w:val="none"/>
          <w:lang w:val="en-US" w:eastAsia="zh-CN"/>
        </w:rPr>
      </w:pPr>
    </w:p>
    <w:p w14:paraId="352E506E">
      <w:pPr>
        <w:bidi w:val="0"/>
        <w:jc w:val="center"/>
        <w:rPr>
          <w:rFonts w:hint="eastAsia"/>
          <w:b/>
          <w:bCs/>
          <w:color w:val="auto"/>
          <w:sz w:val="21"/>
          <w:szCs w:val="21"/>
          <w:highlight w:val="none"/>
        </w:rPr>
      </w:pPr>
      <w:r>
        <w:rPr>
          <w:rFonts w:hint="eastAsia"/>
          <w:b/>
          <w:bCs/>
          <w:color w:val="auto"/>
          <w:sz w:val="21"/>
          <w:szCs w:val="21"/>
          <w:highlight w:val="none"/>
          <w:lang w:val="en-US" w:eastAsia="zh-CN"/>
        </w:rPr>
        <w:t>响应</w:t>
      </w:r>
      <w:r>
        <w:rPr>
          <w:rFonts w:hint="eastAsia"/>
          <w:b/>
          <w:bCs/>
          <w:color w:val="auto"/>
          <w:sz w:val="21"/>
          <w:szCs w:val="21"/>
          <w:highlight w:val="none"/>
        </w:rPr>
        <w:t>文件商务评审部分索引表</w:t>
      </w:r>
    </w:p>
    <w:p w14:paraId="480669BB">
      <w:pPr>
        <w:pStyle w:val="73"/>
        <w:rPr>
          <w:rFonts w:hint="eastAsia"/>
          <w:color w:val="auto"/>
          <w:highlight w:val="none"/>
        </w:rPr>
      </w:pPr>
    </w:p>
    <w:tbl>
      <w:tblPr>
        <w:tblStyle w:val="55"/>
        <w:tblW w:w="4996"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892"/>
        <w:gridCol w:w="2449"/>
        <w:gridCol w:w="3314"/>
        <w:gridCol w:w="2625"/>
      </w:tblGrid>
      <w:tr w14:paraId="6DAB95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94" w:hRule="atLeast"/>
          <w:jc w:val="center"/>
        </w:trPr>
        <w:tc>
          <w:tcPr>
            <w:tcW w:w="481" w:type="pct"/>
            <w:vAlign w:val="center"/>
          </w:tcPr>
          <w:p w14:paraId="7D9C4CC7">
            <w:pPr>
              <w:keepNext w:val="0"/>
              <w:keepLines w:val="0"/>
              <w:suppressLineNumbers w:val="0"/>
              <w:bidi w:val="0"/>
              <w:spacing w:before="0" w:beforeAutospacing="0" w:after="0" w:afterAutospacing="0"/>
              <w:ind w:left="0" w:right="0"/>
              <w:jc w:val="center"/>
              <w:rPr>
                <w:rFonts w:hint="eastAsia"/>
                <w:color w:val="auto"/>
                <w:sz w:val="21"/>
                <w:szCs w:val="21"/>
                <w:highlight w:val="none"/>
              </w:rPr>
            </w:pPr>
            <w:r>
              <w:rPr>
                <w:rFonts w:hint="eastAsia"/>
                <w:color w:val="auto"/>
                <w:sz w:val="21"/>
                <w:szCs w:val="21"/>
                <w:highlight w:val="none"/>
              </w:rPr>
              <w:t>序号</w:t>
            </w:r>
          </w:p>
        </w:tc>
        <w:tc>
          <w:tcPr>
            <w:tcW w:w="1318" w:type="pct"/>
            <w:vAlign w:val="center"/>
          </w:tcPr>
          <w:p w14:paraId="312DC326">
            <w:pPr>
              <w:keepNext w:val="0"/>
              <w:keepLines w:val="0"/>
              <w:suppressLineNumbers w:val="0"/>
              <w:bidi w:val="0"/>
              <w:spacing w:before="0" w:beforeAutospacing="0" w:after="0" w:afterAutospacing="0"/>
              <w:ind w:left="0" w:right="0"/>
              <w:jc w:val="center"/>
              <w:rPr>
                <w:rFonts w:hint="eastAsia"/>
                <w:color w:val="auto"/>
                <w:sz w:val="21"/>
                <w:szCs w:val="21"/>
                <w:highlight w:val="none"/>
              </w:rPr>
            </w:pPr>
            <w:r>
              <w:rPr>
                <w:rFonts w:hint="eastAsia"/>
                <w:color w:val="auto"/>
                <w:sz w:val="21"/>
                <w:szCs w:val="21"/>
                <w:highlight w:val="none"/>
                <w:lang w:val="en-US" w:eastAsia="zh-CN"/>
              </w:rPr>
              <w:t>评审</w:t>
            </w:r>
            <w:r>
              <w:rPr>
                <w:rFonts w:hint="eastAsia"/>
                <w:color w:val="auto"/>
                <w:sz w:val="21"/>
                <w:szCs w:val="21"/>
                <w:highlight w:val="none"/>
              </w:rPr>
              <w:t>项目</w:t>
            </w:r>
          </w:p>
        </w:tc>
        <w:tc>
          <w:tcPr>
            <w:tcW w:w="1785" w:type="pct"/>
            <w:vAlign w:val="center"/>
          </w:tcPr>
          <w:p w14:paraId="67D3E2DF">
            <w:pPr>
              <w:keepNext w:val="0"/>
              <w:keepLines w:val="0"/>
              <w:suppressLineNumbers w:val="0"/>
              <w:bidi w:val="0"/>
              <w:spacing w:before="0" w:beforeAutospacing="0" w:after="0" w:afterAutospacing="0"/>
              <w:ind w:left="0" w:right="0"/>
              <w:jc w:val="center"/>
              <w:rPr>
                <w:rFonts w:hint="eastAsia"/>
                <w:color w:val="auto"/>
                <w:sz w:val="21"/>
                <w:szCs w:val="21"/>
                <w:highlight w:val="none"/>
              </w:rPr>
            </w:pPr>
            <w:r>
              <w:rPr>
                <w:rFonts w:hint="eastAsia"/>
                <w:color w:val="auto"/>
                <w:sz w:val="21"/>
                <w:szCs w:val="21"/>
                <w:highlight w:val="none"/>
                <w:lang w:val="en-US" w:eastAsia="zh-CN"/>
              </w:rPr>
              <w:t>竞争性磋商</w:t>
            </w:r>
            <w:r>
              <w:rPr>
                <w:rFonts w:hint="eastAsia"/>
                <w:color w:val="auto"/>
                <w:sz w:val="21"/>
                <w:szCs w:val="21"/>
                <w:highlight w:val="none"/>
              </w:rPr>
              <w:t>文件上的满分值</w:t>
            </w:r>
          </w:p>
        </w:tc>
        <w:tc>
          <w:tcPr>
            <w:tcW w:w="1414" w:type="pct"/>
            <w:tcBorders>
              <w:left w:val="single" w:color="auto" w:sz="4" w:space="0"/>
            </w:tcBorders>
            <w:vAlign w:val="center"/>
          </w:tcPr>
          <w:p w14:paraId="20397119">
            <w:pPr>
              <w:keepNext w:val="0"/>
              <w:keepLines w:val="0"/>
              <w:suppressLineNumbers w:val="0"/>
              <w:bidi w:val="0"/>
              <w:spacing w:before="0" w:beforeAutospacing="0" w:after="0" w:afterAutospacing="0"/>
              <w:ind w:left="0" w:right="0"/>
              <w:jc w:val="center"/>
              <w:rPr>
                <w:rFonts w:hint="eastAsia"/>
                <w:color w:val="auto"/>
                <w:sz w:val="21"/>
                <w:szCs w:val="21"/>
                <w:highlight w:val="none"/>
              </w:rPr>
            </w:pPr>
            <w:r>
              <w:rPr>
                <w:rFonts w:hint="eastAsia"/>
                <w:color w:val="auto"/>
                <w:sz w:val="21"/>
                <w:szCs w:val="21"/>
                <w:highlight w:val="none"/>
              </w:rPr>
              <w:t>页码索引</w:t>
            </w:r>
          </w:p>
        </w:tc>
      </w:tr>
      <w:tr w14:paraId="168B2B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481" w:type="pct"/>
            <w:vAlign w:val="center"/>
          </w:tcPr>
          <w:p w14:paraId="7357808F">
            <w:pPr>
              <w:keepNext w:val="0"/>
              <w:keepLines w:val="0"/>
              <w:suppressLineNumbers w:val="0"/>
              <w:bidi w:val="0"/>
              <w:spacing w:before="0" w:beforeAutospacing="0" w:after="0" w:afterAutospacing="0"/>
              <w:ind w:left="0" w:right="0"/>
              <w:rPr>
                <w:rFonts w:hint="eastAsia"/>
                <w:color w:val="auto"/>
                <w:highlight w:val="none"/>
              </w:rPr>
            </w:pPr>
          </w:p>
        </w:tc>
        <w:tc>
          <w:tcPr>
            <w:tcW w:w="1318" w:type="pct"/>
            <w:vAlign w:val="center"/>
          </w:tcPr>
          <w:p w14:paraId="380E0ABD">
            <w:pPr>
              <w:keepNext w:val="0"/>
              <w:keepLines w:val="0"/>
              <w:suppressLineNumbers w:val="0"/>
              <w:bidi w:val="0"/>
              <w:spacing w:before="0" w:beforeAutospacing="0" w:after="0" w:afterAutospacing="0"/>
              <w:ind w:left="0" w:right="0"/>
              <w:rPr>
                <w:rFonts w:hint="eastAsia"/>
                <w:color w:val="auto"/>
                <w:highlight w:val="none"/>
              </w:rPr>
            </w:pPr>
          </w:p>
        </w:tc>
        <w:tc>
          <w:tcPr>
            <w:tcW w:w="1785" w:type="pct"/>
            <w:vAlign w:val="center"/>
          </w:tcPr>
          <w:p w14:paraId="03DBB40C">
            <w:pPr>
              <w:keepNext w:val="0"/>
              <w:keepLines w:val="0"/>
              <w:suppressLineNumbers w:val="0"/>
              <w:bidi w:val="0"/>
              <w:spacing w:before="0" w:beforeAutospacing="0" w:after="0" w:afterAutospacing="0"/>
              <w:ind w:left="0" w:right="0"/>
              <w:rPr>
                <w:rFonts w:hint="eastAsia"/>
                <w:color w:val="auto"/>
                <w:highlight w:val="none"/>
              </w:rPr>
            </w:pPr>
          </w:p>
        </w:tc>
        <w:tc>
          <w:tcPr>
            <w:tcW w:w="1414" w:type="pct"/>
            <w:tcBorders>
              <w:left w:val="single" w:color="auto" w:sz="4" w:space="0"/>
            </w:tcBorders>
            <w:vAlign w:val="center"/>
          </w:tcPr>
          <w:p w14:paraId="1E11ABFA">
            <w:pPr>
              <w:keepNext w:val="0"/>
              <w:keepLines w:val="0"/>
              <w:suppressLineNumbers w:val="0"/>
              <w:bidi w:val="0"/>
              <w:spacing w:before="0" w:beforeAutospacing="0" w:after="0" w:afterAutospacing="0"/>
              <w:ind w:left="0" w:right="0"/>
              <w:rPr>
                <w:rFonts w:hint="eastAsia"/>
                <w:color w:val="auto"/>
                <w:highlight w:val="none"/>
              </w:rPr>
            </w:pPr>
          </w:p>
        </w:tc>
      </w:tr>
      <w:tr w14:paraId="445E36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481" w:type="pct"/>
            <w:vAlign w:val="center"/>
          </w:tcPr>
          <w:p w14:paraId="7186F98D">
            <w:pPr>
              <w:keepNext w:val="0"/>
              <w:keepLines w:val="0"/>
              <w:suppressLineNumbers w:val="0"/>
              <w:bidi w:val="0"/>
              <w:spacing w:before="0" w:beforeAutospacing="0" w:after="0" w:afterAutospacing="0"/>
              <w:ind w:left="0" w:right="0"/>
              <w:rPr>
                <w:rFonts w:hint="eastAsia"/>
                <w:color w:val="auto"/>
                <w:highlight w:val="none"/>
              </w:rPr>
            </w:pPr>
          </w:p>
        </w:tc>
        <w:tc>
          <w:tcPr>
            <w:tcW w:w="1318" w:type="pct"/>
            <w:vAlign w:val="center"/>
          </w:tcPr>
          <w:p w14:paraId="7E68C52F">
            <w:pPr>
              <w:keepNext w:val="0"/>
              <w:keepLines w:val="0"/>
              <w:suppressLineNumbers w:val="0"/>
              <w:bidi w:val="0"/>
              <w:spacing w:before="0" w:beforeAutospacing="0" w:after="0" w:afterAutospacing="0"/>
              <w:ind w:left="0" w:right="0"/>
              <w:rPr>
                <w:rFonts w:hint="eastAsia"/>
                <w:color w:val="auto"/>
                <w:highlight w:val="none"/>
              </w:rPr>
            </w:pPr>
          </w:p>
        </w:tc>
        <w:tc>
          <w:tcPr>
            <w:tcW w:w="1785" w:type="pct"/>
            <w:vAlign w:val="center"/>
          </w:tcPr>
          <w:p w14:paraId="36BFCB4A">
            <w:pPr>
              <w:keepNext w:val="0"/>
              <w:keepLines w:val="0"/>
              <w:suppressLineNumbers w:val="0"/>
              <w:bidi w:val="0"/>
              <w:spacing w:before="0" w:beforeAutospacing="0" w:after="0" w:afterAutospacing="0"/>
              <w:ind w:left="0" w:right="0"/>
              <w:rPr>
                <w:rFonts w:hint="eastAsia"/>
                <w:color w:val="auto"/>
                <w:highlight w:val="none"/>
              </w:rPr>
            </w:pPr>
          </w:p>
        </w:tc>
        <w:tc>
          <w:tcPr>
            <w:tcW w:w="1414" w:type="pct"/>
            <w:tcBorders>
              <w:left w:val="single" w:color="auto" w:sz="4" w:space="0"/>
            </w:tcBorders>
            <w:vAlign w:val="center"/>
          </w:tcPr>
          <w:p w14:paraId="0EC583B4">
            <w:pPr>
              <w:keepNext w:val="0"/>
              <w:keepLines w:val="0"/>
              <w:suppressLineNumbers w:val="0"/>
              <w:bidi w:val="0"/>
              <w:spacing w:before="0" w:beforeAutospacing="0" w:after="0" w:afterAutospacing="0"/>
              <w:ind w:left="0" w:right="0"/>
              <w:rPr>
                <w:rFonts w:hint="eastAsia"/>
                <w:color w:val="auto"/>
                <w:highlight w:val="none"/>
              </w:rPr>
            </w:pPr>
          </w:p>
        </w:tc>
      </w:tr>
      <w:tr w14:paraId="494FEF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481" w:type="pct"/>
            <w:vAlign w:val="center"/>
          </w:tcPr>
          <w:p w14:paraId="49FC73AC">
            <w:pPr>
              <w:keepNext w:val="0"/>
              <w:keepLines w:val="0"/>
              <w:suppressLineNumbers w:val="0"/>
              <w:bidi w:val="0"/>
              <w:spacing w:before="0" w:beforeAutospacing="0" w:after="0" w:afterAutospacing="0"/>
              <w:ind w:left="0" w:right="0"/>
              <w:rPr>
                <w:rFonts w:hint="eastAsia"/>
                <w:color w:val="auto"/>
                <w:highlight w:val="none"/>
              </w:rPr>
            </w:pPr>
          </w:p>
        </w:tc>
        <w:tc>
          <w:tcPr>
            <w:tcW w:w="1318" w:type="pct"/>
            <w:vAlign w:val="center"/>
          </w:tcPr>
          <w:p w14:paraId="14481765">
            <w:pPr>
              <w:keepNext w:val="0"/>
              <w:keepLines w:val="0"/>
              <w:suppressLineNumbers w:val="0"/>
              <w:bidi w:val="0"/>
              <w:spacing w:before="0" w:beforeAutospacing="0" w:after="0" w:afterAutospacing="0"/>
              <w:ind w:left="0" w:right="0"/>
              <w:rPr>
                <w:rFonts w:hint="eastAsia"/>
                <w:color w:val="auto"/>
                <w:highlight w:val="none"/>
              </w:rPr>
            </w:pPr>
          </w:p>
        </w:tc>
        <w:tc>
          <w:tcPr>
            <w:tcW w:w="1785" w:type="pct"/>
            <w:vAlign w:val="center"/>
          </w:tcPr>
          <w:p w14:paraId="585A3AC9">
            <w:pPr>
              <w:keepNext w:val="0"/>
              <w:keepLines w:val="0"/>
              <w:suppressLineNumbers w:val="0"/>
              <w:bidi w:val="0"/>
              <w:spacing w:before="0" w:beforeAutospacing="0" w:after="0" w:afterAutospacing="0"/>
              <w:ind w:left="0" w:right="0"/>
              <w:rPr>
                <w:rFonts w:hint="eastAsia"/>
                <w:color w:val="auto"/>
                <w:highlight w:val="none"/>
              </w:rPr>
            </w:pPr>
          </w:p>
        </w:tc>
        <w:tc>
          <w:tcPr>
            <w:tcW w:w="1414" w:type="pct"/>
            <w:tcBorders>
              <w:left w:val="single" w:color="auto" w:sz="4" w:space="0"/>
            </w:tcBorders>
            <w:vAlign w:val="center"/>
          </w:tcPr>
          <w:p w14:paraId="31652674">
            <w:pPr>
              <w:keepNext w:val="0"/>
              <w:keepLines w:val="0"/>
              <w:suppressLineNumbers w:val="0"/>
              <w:bidi w:val="0"/>
              <w:spacing w:before="0" w:beforeAutospacing="0" w:after="0" w:afterAutospacing="0"/>
              <w:ind w:left="0" w:right="0"/>
              <w:rPr>
                <w:rFonts w:hint="eastAsia"/>
                <w:color w:val="auto"/>
                <w:highlight w:val="none"/>
              </w:rPr>
            </w:pPr>
          </w:p>
        </w:tc>
      </w:tr>
      <w:tr w14:paraId="7A12E1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481" w:type="pct"/>
            <w:tcBorders>
              <w:top w:val="single" w:color="auto" w:sz="6" w:space="0"/>
              <w:left w:val="single" w:color="auto" w:sz="4" w:space="0"/>
              <w:bottom w:val="outset" w:color="808080" w:sz="6" w:space="0"/>
              <w:right w:val="single" w:color="auto" w:sz="6" w:space="0"/>
            </w:tcBorders>
            <w:vAlign w:val="center"/>
          </w:tcPr>
          <w:p w14:paraId="40A985F2">
            <w:pPr>
              <w:keepNext w:val="0"/>
              <w:keepLines w:val="0"/>
              <w:suppressLineNumbers w:val="0"/>
              <w:bidi w:val="0"/>
              <w:spacing w:before="0" w:beforeAutospacing="0" w:after="0" w:afterAutospacing="0"/>
              <w:ind w:left="0" w:right="0"/>
              <w:rPr>
                <w:rFonts w:hint="eastAsia"/>
                <w:color w:val="auto"/>
                <w:highlight w:val="none"/>
              </w:rPr>
            </w:pPr>
          </w:p>
        </w:tc>
        <w:tc>
          <w:tcPr>
            <w:tcW w:w="1318" w:type="pct"/>
            <w:tcBorders>
              <w:top w:val="single" w:color="auto" w:sz="6" w:space="0"/>
              <w:left w:val="single" w:color="auto" w:sz="6" w:space="0"/>
              <w:bottom w:val="outset" w:color="808080" w:sz="6" w:space="0"/>
              <w:right w:val="single" w:color="auto" w:sz="6" w:space="0"/>
            </w:tcBorders>
            <w:vAlign w:val="center"/>
          </w:tcPr>
          <w:p w14:paraId="4095C826">
            <w:pPr>
              <w:keepNext w:val="0"/>
              <w:keepLines w:val="0"/>
              <w:suppressLineNumbers w:val="0"/>
              <w:bidi w:val="0"/>
              <w:spacing w:before="0" w:beforeAutospacing="0" w:after="0" w:afterAutospacing="0"/>
              <w:ind w:left="0" w:right="0"/>
              <w:rPr>
                <w:rFonts w:hint="eastAsia"/>
                <w:color w:val="auto"/>
                <w:highlight w:val="none"/>
              </w:rPr>
            </w:pPr>
          </w:p>
        </w:tc>
        <w:tc>
          <w:tcPr>
            <w:tcW w:w="1785" w:type="pct"/>
            <w:tcBorders>
              <w:top w:val="single" w:color="auto" w:sz="6" w:space="0"/>
              <w:left w:val="single" w:color="auto" w:sz="6" w:space="0"/>
              <w:bottom w:val="outset" w:color="808080" w:sz="6" w:space="0"/>
              <w:right w:val="single" w:color="auto" w:sz="6" w:space="0"/>
            </w:tcBorders>
            <w:vAlign w:val="center"/>
          </w:tcPr>
          <w:p w14:paraId="68D3F9B5">
            <w:pPr>
              <w:keepNext w:val="0"/>
              <w:keepLines w:val="0"/>
              <w:suppressLineNumbers w:val="0"/>
              <w:bidi w:val="0"/>
              <w:spacing w:before="0" w:beforeAutospacing="0" w:after="0" w:afterAutospacing="0"/>
              <w:ind w:left="0" w:right="0"/>
              <w:rPr>
                <w:rFonts w:hint="eastAsia"/>
                <w:color w:val="auto"/>
                <w:highlight w:val="none"/>
              </w:rPr>
            </w:pPr>
          </w:p>
        </w:tc>
        <w:tc>
          <w:tcPr>
            <w:tcW w:w="1414" w:type="pct"/>
            <w:tcBorders>
              <w:top w:val="single" w:color="auto" w:sz="6" w:space="0"/>
              <w:left w:val="single" w:color="auto" w:sz="4" w:space="0"/>
              <w:bottom w:val="outset" w:color="808080" w:sz="6" w:space="0"/>
              <w:right w:val="single" w:color="auto" w:sz="6" w:space="0"/>
            </w:tcBorders>
            <w:vAlign w:val="center"/>
          </w:tcPr>
          <w:p w14:paraId="0CE6799D">
            <w:pPr>
              <w:keepNext w:val="0"/>
              <w:keepLines w:val="0"/>
              <w:suppressLineNumbers w:val="0"/>
              <w:bidi w:val="0"/>
              <w:spacing w:before="0" w:beforeAutospacing="0" w:after="0" w:afterAutospacing="0"/>
              <w:ind w:left="0" w:right="0"/>
              <w:rPr>
                <w:rFonts w:hint="eastAsia"/>
                <w:color w:val="auto"/>
                <w:highlight w:val="none"/>
              </w:rPr>
            </w:pPr>
          </w:p>
        </w:tc>
      </w:tr>
      <w:tr w14:paraId="3463A5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1800" w:type="pct"/>
            <w:gridSpan w:val="2"/>
            <w:tcBorders>
              <w:bottom w:val="single" w:color="auto" w:sz="4" w:space="0"/>
            </w:tcBorders>
            <w:vAlign w:val="center"/>
          </w:tcPr>
          <w:p w14:paraId="081973D5">
            <w:pPr>
              <w:keepNext w:val="0"/>
              <w:keepLines w:val="0"/>
              <w:suppressLineNumbers w:val="0"/>
              <w:bidi w:val="0"/>
              <w:spacing w:before="0" w:beforeAutospacing="0" w:after="0" w:afterAutospacing="0"/>
              <w:ind w:left="0" w:right="0"/>
              <w:jc w:val="center"/>
              <w:rPr>
                <w:rFonts w:hint="eastAsia"/>
                <w:color w:val="auto"/>
                <w:highlight w:val="none"/>
              </w:rPr>
            </w:pPr>
            <w:r>
              <w:rPr>
                <w:rFonts w:hint="eastAsia"/>
                <w:color w:val="auto"/>
                <w:sz w:val="21"/>
                <w:szCs w:val="21"/>
                <w:highlight w:val="none"/>
              </w:rPr>
              <w:t>合计</w:t>
            </w:r>
          </w:p>
        </w:tc>
        <w:tc>
          <w:tcPr>
            <w:tcW w:w="1785" w:type="pct"/>
            <w:tcBorders>
              <w:bottom w:val="single" w:color="auto" w:sz="4" w:space="0"/>
            </w:tcBorders>
            <w:vAlign w:val="center"/>
          </w:tcPr>
          <w:p w14:paraId="14634BED">
            <w:pPr>
              <w:keepNext w:val="0"/>
              <w:keepLines w:val="0"/>
              <w:suppressLineNumbers w:val="0"/>
              <w:bidi w:val="0"/>
              <w:spacing w:before="0" w:beforeAutospacing="0" w:after="0" w:afterAutospacing="0"/>
              <w:ind w:left="0" w:right="0"/>
              <w:rPr>
                <w:rFonts w:hint="eastAsia"/>
                <w:color w:val="auto"/>
                <w:highlight w:val="none"/>
              </w:rPr>
            </w:pPr>
          </w:p>
        </w:tc>
        <w:tc>
          <w:tcPr>
            <w:tcW w:w="1414" w:type="pct"/>
            <w:tcBorders>
              <w:left w:val="single" w:color="auto" w:sz="4" w:space="0"/>
              <w:bottom w:val="single" w:color="auto" w:sz="4" w:space="0"/>
            </w:tcBorders>
            <w:vAlign w:val="center"/>
          </w:tcPr>
          <w:p w14:paraId="50370BA6">
            <w:pPr>
              <w:keepNext w:val="0"/>
              <w:keepLines w:val="0"/>
              <w:suppressLineNumbers w:val="0"/>
              <w:bidi w:val="0"/>
              <w:spacing w:before="0" w:beforeAutospacing="0" w:after="0" w:afterAutospacing="0"/>
              <w:ind w:left="0" w:right="0"/>
              <w:rPr>
                <w:rFonts w:hint="eastAsia"/>
                <w:color w:val="auto"/>
                <w:highlight w:val="none"/>
              </w:rPr>
            </w:pPr>
          </w:p>
        </w:tc>
      </w:tr>
    </w:tbl>
    <w:p w14:paraId="599CB172">
      <w:pPr>
        <w:bidi w:val="0"/>
        <w:outlineLvl w:val="9"/>
        <w:rPr>
          <w:rFonts w:hint="eastAsia"/>
          <w:color w:val="auto"/>
          <w:highlight w:val="none"/>
        </w:rPr>
      </w:pPr>
    </w:p>
    <w:p w14:paraId="2A2B5C9B">
      <w:pPr>
        <w:keepNext w:val="0"/>
        <w:keepLines w:val="0"/>
        <w:pageBreakBefore/>
        <w:widowControl w:val="0"/>
        <w:kinsoku/>
        <w:wordWrap/>
        <w:overflowPunct/>
        <w:topLinePunct w:val="0"/>
        <w:autoSpaceDE w:val="0"/>
        <w:autoSpaceDN w:val="0"/>
        <w:bidi w:val="0"/>
        <w:adjustRightInd w:val="0"/>
        <w:snapToGrid/>
        <w:textAlignment w:val="auto"/>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一、</w:t>
      </w:r>
      <w:r>
        <w:rPr>
          <w:rFonts w:hint="eastAsia" w:ascii="宋体" w:hAnsi="宋体" w:eastAsia="宋体" w:cs="宋体"/>
          <w:b/>
          <w:color w:val="auto"/>
          <w:sz w:val="32"/>
          <w:szCs w:val="32"/>
          <w:highlight w:val="none"/>
          <w:lang w:val="en-US" w:eastAsia="zh-CN"/>
        </w:rPr>
        <w:t>磋商</w:t>
      </w:r>
      <w:r>
        <w:rPr>
          <w:rFonts w:hint="eastAsia" w:ascii="宋体" w:hAnsi="宋体" w:eastAsia="宋体" w:cs="宋体"/>
          <w:b/>
          <w:color w:val="auto"/>
          <w:sz w:val="32"/>
          <w:szCs w:val="32"/>
          <w:highlight w:val="none"/>
        </w:rPr>
        <w:t>函格式</w:t>
      </w:r>
      <w:bookmarkEnd w:id="228"/>
      <w:bookmarkEnd w:id="229"/>
      <w:bookmarkEnd w:id="230"/>
      <w:bookmarkEnd w:id="231"/>
      <w:bookmarkEnd w:id="232"/>
      <w:bookmarkEnd w:id="233"/>
      <w:bookmarkEnd w:id="234"/>
      <w:bookmarkEnd w:id="235"/>
      <w:bookmarkEnd w:id="236"/>
      <w:bookmarkEnd w:id="237"/>
      <w:bookmarkEnd w:id="238"/>
      <w:bookmarkEnd w:id="239"/>
      <w:bookmarkEnd w:id="240"/>
    </w:p>
    <w:p w14:paraId="523E9B48">
      <w:pPr>
        <w:spacing w:line="360" w:lineRule="auto"/>
        <w:jc w:val="center"/>
        <w:rPr>
          <w:rFonts w:hint="eastAsia" w:ascii="宋体" w:hAnsi="宋体" w:eastAsia="宋体" w:cs="宋体"/>
          <w:b/>
          <w:bCs/>
          <w:color w:val="auto"/>
          <w:kern w:val="2"/>
          <w:sz w:val="30"/>
          <w:szCs w:val="30"/>
          <w:highlight w:val="none"/>
        </w:rPr>
      </w:pPr>
      <w:r>
        <w:rPr>
          <w:rFonts w:hint="eastAsia" w:ascii="宋体" w:hAnsi="宋体" w:eastAsia="宋体" w:cs="宋体"/>
          <w:b/>
          <w:bCs/>
          <w:color w:val="auto"/>
          <w:kern w:val="2"/>
          <w:sz w:val="30"/>
          <w:szCs w:val="30"/>
          <w:highlight w:val="none"/>
          <w:lang w:val="en-US" w:eastAsia="zh-CN"/>
        </w:rPr>
        <w:t>磋 商</w:t>
      </w:r>
      <w:r>
        <w:rPr>
          <w:rFonts w:hint="eastAsia" w:ascii="宋体" w:hAnsi="宋体" w:eastAsia="宋体" w:cs="宋体"/>
          <w:b/>
          <w:bCs/>
          <w:color w:val="auto"/>
          <w:kern w:val="2"/>
          <w:sz w:val="30"/>
          <w:szCs w:val="30"/>
          <w:highlight w:val="none"/>
          <w:lang w:val="zh-CN"/>
        </w:rPr>
        <w:t xml:space="preserve"> 函</w:t>
      </w:r>
      <w:r>
        <w:rPr>
          <w:rFonts w:hint="eastAsia" w:ascii="宋体" w:hAnsi="宋体" w:eastAsia="宋体" w:cs="宋体"/>
          <w:b/>
          <w:bCs/>
          <w:color w:val="auto"/>
          <w:sz w:val="30"/>
          <w:szCs w:val="30"/>
          <w:lang w:val="zh-CN"/>
        </w:rPr>
        <w:t>(   包组)</w:t>
      </w:r>
    </w:p>
    <w:p w14:paraId="1C707C7A">
      <w:pPr>
        <w:spacing w:line="360" w:lineRule="auto"/>
        <w:jc w:val="both"/>
        <w:rPr>
          <w:rFonts w:hint="eastAsia" w:ascii="宋体" w:hAnsi="宋体" w:eastAsia="宋体" w:cs="宋体"/>
          <w:color w:val="auto"/>
          <w:kern w:val="2"/>
          <w:sz w:val="21"/>
          <w:szCs w:val="21"/>
          <w:highlight w:val="none"/>
          <w:lang w:val="zh-CN"/>
        </w:rPr>
      </w:pPr>
    </w:p>
    <w:p w14:paraId="13CFFBDC">
      <w:pPr>
        <w:spacing w:line="360" w:lineRule="auto"/>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致：东莞市众源环境投资有限公司</w:t>
      </w:r>
    </w:p>
    <w:p w14:paraId="40166590">
      <w:pPr>
        <w:spacing w:line="360" w:lineRule="auto"/>
        <w:jc w:val="both"/>
        <w:rPr>
          <w:rFonts w:hint="eastAsia" w:ascii="宋体" w:hAnsi="宋体" w:eastAsia="宋体" w:cs="宋体"/>
          <w:color w:val="auto"/>
          <w:kern w:val="2"/>
          <w:sz w:val="21"/>
          <w:szCs w:val="21"/>
          <w:highlight w:val="none"/>
        </w:rPr>
      </w:pPr>
    </w:p>
    <w:p w14:paraId="694ADF34">
      <w:pPr>
        <w:wordWrap w:val="0"/>
        <w:autoSpaceDE w:val="0"/>
        <w:autoSpaceDN w:val="0"/>
        <w:adjustRightInd w:val="0"/>
        <w:spacing w:line="360" w:lineRule="auto"/>
        <w:ind w:firstLine="420"/>
        <w:outlineLvl w:val="9"/>
        <w:rPr>
          <w:rFonts w:hint="eastAsia" w:ascii="宋体" w:hAnsi="宋体" w:eastAsia="宋体" w:cs="宋体"/>
          <w:color w:val="auto"/>
          <w:sz w:val="21"/>
          <w:szCs w:val="21"/>
          <w:lang w:val="zh-CN"/>
        </w:rPr>
      </w:pPr>
      <w:r>
        <w:rPr>
          <w:rFonts w:hint="eastAsia" w:ascii="宋体" w:hAnsi="宋体" w:eastAsia="宋体" w:cs="宋体"/>
          <w:color w:val="auto"/>
          <w:kern w:val="2"/>
          <w:sz w:val="21"/>
          <w:szCs w:val="21"/>
          <w:highlight w:val="none"/>
          <w:lang w:val="zh-CN"/>
        </w:rPr>
        <w:t>根据贵方为</w:t>
      </w:r>
      <w:r>
        <w:rPr>
          <w:rFonts w:hint="eastAsia" w:ascii="宋体" w:hAnsi="宋体" w:cs="宋体"/>
          <w:color w:val="auto"/>
          <w:kern w:val="0"/>
          <w:sz w:val="21"/>
          <w:szCs w:val="21"/>
          <w:u w:val="single"/>
          <w:lang w:eastAsia="zh-CN"/>
        </w:rPr>
        <w:t>东莞市众源环境投资有限公司污水处理厂污泥脱水减量处理服务（BOT权属滨海湾片区）采购项目</w:t>
      </w:r>
      <w:r>
        <w:rPr>
          <w:rFonts w:hint="eastAsia" w:ascii="宋体" w:hAnsi="宋体" w:eastAsia="宋体" w:cs="宋体"/>
          <w:color w:val="auto"/>
          <w:kern w:val="0"/>
          <w:sz w:val="21"/>
          <w:szCs w:val="21"/>
          <w:u w:val="single"/>
          <w:lang w:val="zh-CN"/>
        </w:rPr>
        <w:t>(   包组)</w:t>
      </w: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lang w:val="zh-CN"/>
        </w:rPr>
        <w:t>编号：</w:t>
      </w:r>
      <w:r>
        <w:rPr>
          <w:rFonts w:hint="eastAsia" w:ascii="宋体" w:hAnsi="宋体" w:cs="宋体"/>
          <w:color w:val="auto"/>
          <w:sz w:val="21"/>
          <w:szCs w:val="21"/>
          <w:u w:val="single"/>
          <w:lang w:val="en-US" w:eastAsia="zh-CN"/>
        </w:rPr>
        <w:t xml:space="preserve">DGDS2024-002 </w:t>
      </w:r>
      <w:r>
        <w:rPr>
          <w:rFonts w:hint="eastAsia" w:ascii="宋体" w:hAnsi="宋体" w:eastAsia="宋体" w:cs="宋体"/>
          <w:color w:val="auto"/>
          <w:sz w:val="21"/>
          <w:szCs w:val="21"/>
          <w:lang w:val="zh-CN"/>
        </w:rPr>
        <w:t>)的</w:t>
      </w:r>
      <w:r>
        <w:rPr>
          <w:rFonts w:hint="eastAsia" w:ascii="宋体" w:hAnsi="宋体" w:eastAsia="宋体" w:cs="宋体"/>
          <w:color w:val="auto"/>
          <w:sz w:val="21"/>
          <w:szCs w:val="21"/>
          <w:lang w:val="en-US" w:eastAsia="zh-CN"/>
        </w:rPr>
        <w:t>磋商</w:t>
      </w:r>
      <w:r>
        <w:rPr>
          <w:rFonts w:hint="eastAsia" w:ascii="宋体" w:hAnsi="宋体" w:eastAsia="宋体" w:cs="宋体"/>
          <w:color w:val="auto"/>
          <w:sz w:val="21"/>
          <w:szCs w:val="21"/>
          <w:lang w:val="zh-CN"/>
        </w:rPr>
        <w:t>邀请，我方</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lang w:val="zh-CN"/>
        </w:rPr>
        <w:t>（</w:t>
      </w:r>
      <w:r>
        <w:rPr>
          <w:rFonts w:hint="eastAsia" w:ascii="宋体" w:hAnsi="宋体" w:eastAsia="宋体" w:cs="宋体"/>
          <w:color w:val="auto"/>
          <w:sz w:val="21"/>
          <w:szCs w:val="21"/>
          <w:u w:val="single"/>
          <w:lang w:val="en-US" w:eastAsia="zh-CN"/>
        </w:rPr>
        <w:t>供应商</w:t>
      </w:r>
      <w:r>
        <w:rPr>
          <w:rFonts w:hint="eastAsia" w:ascii="宋体" w:hAnsi="宋体" w:eastAsia="宋体" w:cs="宋体"/>
          <w:color w:val="auto"/>
          <w:sz w:val="21"/>
          <w:szCs w:val="21"/>
          <w:u w:val="single"/>
          <w:lang w:val="zh-CN"/>
        </w:rPr>
        <w:t>名称）</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zh-CN"/>
        </w:rPr>
        <w:t>作为</w:t>
      </w:r>
      <w:r>
        <w:rPr>
          <w:rFonts w:hint="eastAsia" w:ascii="宋体" w:hAnsi="宋体" w:cs="宋体"/>
          <w:color w:val="auto"/>
          <w:sz w:val="21"/>
          <w:szCs w:val="21"/>
          <w:lang w:val="zh-CN"/>
        </w:rPr>
        <w:t>供应商</w:t>
      </w:r>
      <w:r>
        <w:rPr>
          <w:rFonts w:hint="eastAsia" w:ascii="宋体" w:hAnsi="宋体" w:eastAsia="宋体" w:cs="宋体"/>
          <w:color w:val="auto"/>
          <w:sz w:val="21"/>
          <w:szCs w:val="21"/>
          <w:lang w:val="zh-CN"/>
        </w:rPr>
        <w:t>正式授权</w:t>
      </w:r>
      <w:r>
        <w:rPr>
          <w:rFonts w:hint="eastAsia" w:ascii="宋体" w:hAnsi="宋体" w:eastAsia="宋体" w:cs="宋体"/>
          <w:color w:val="auto"/>
          <w:sz w:val="21"/>
          <w:szCs w:val="21"/>
          <w:u w:val="single"/>
          <w:lang w:val="zh-CN"/>
        </w:rPr>
        <w:t>　 （授权代表全名，职务）</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zh-CN"/>
        </w:rPr>
        <w:t>代表我方进行有关本次</w:t>
      </w:r>
      <w:r>
        <w:rPr>
          <w:rFonts w:hint="eastAsia" w:ascii="宋体" w:hAnsi="宋体" w:eastAsia="宋体" w:cs="宋体"/>
          <w:color w:val="auto"/>
          <w:sz w:val="21"/>
          <w:szCs w:val="21"/>
          <w:lang w:val="en-US" w:eastAsia="zh-CN"/>
        </w:rPr>
        <w:t>竞争性磋商</w:t>
      </w:r>
      <w:r>
        <w:rPr>
          <w:rFonts w:hint="eastAsia" w:ascii="宋体" w:hAnsi="宋体" w:eastAsia="宋体" w:cs="宋体"/>
          <w:color w:val="auto"/>
          <w:sz w:val="21"/>
          <w:szCs w:val="21"/>
          <w:lang w:val="zh-CN"/>
        </w:rPr>
        <w:t>的一切事宜。</w:t>
      </w:r>
    </w:p>
    <w:p w14:paraId="367CF590">
      <w:pPr>
        <w:spacing w:line="360" w:lineRule="auto"/>
        <w:ind w:firstLine="42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在此提交的响应文件，包括如下等内容，并已单独密封封装：</w:t>
      </w:r>
    </w:p>
    <w:p w14:paraId="596CD124">
      <w:pPr>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cs="宋体"/>
          <w:color w:val="auto"/>
          <w:kern w:val="2"/>
          <w:sz w:val="21"/>
          <w:szCs w:val="21"/>
          <w:highlight w:val="none"/>
          <w:lang w:val="en-US" w:eastAsia="zh-CN"/>
        </w:rPr>
        <w:t>响应文件电子文件</w:t>
      </w:r>
      <w:r>
        <w:rPr>
          <w:rFonts w:hint="eastAsia" w:ascii="宋体" w:hAnsi="宋体" w:eastAsia="宋体" w:cs="宋体"/>
          <w:color w:val="auto"/>
          <w:kern w:val="2"/>
          <w:sz w:val="21"/>
          <w:szCs w:val="21"/>
          <w:highlight w:val="none"/>
          <w:lang w:val="zh-CN"/>
        </w:rPr>
        <w:t>【        份】；</w:t>
      </w:r>
    </w:p>
    <w:p w14:paraId="1CF7157D">
      <w:pPr>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（二）响应文件（正本</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份，副本</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份）；</w:t>
      </w:r>
    </w:p>
    <w:p w14:paraId="334DFC1B">
      <w:pPr>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我方已完全明白竞争性磋商文件的所有条款要求，并重申以下几点：</w:t>
      </w:r>
    </w:p>
    <w:p w14:paraId="4907577E">
      <w:pPr>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（—）我方决定参加采购编号</w:t>
      </w:r>
      <w:r>
        <w:rPr>
          <w:rFonts w:hint="eastAsia" w:ascii="宋体" w:hAnsi="宋体" w:eastAsia="宋体" w:cs="宋体"/>
          <w:color w:val="auto"/>
          <w:szCs w:val="21"/>
          <w:lang w:val="zh-CN"/>
        </w:rPr>
        <w:t>为</w:t>
      </w:r>
      <w:r>
        <w:rPr>
          <w:rFonts w:hint="eastAsia" w:ascii="宋体" w:hAnsi="宋体" w:cs="宋体"/>
          <w:color w:val="auto"/>
          <w:sz w:val="21"/>
          <w:szCs w:val="21"/>
          <w:u w:val="single"/>
          <w:lang w:val="en-US" w:eastAsia="zh-CN"/>
        </w:rPr>
        <w:t xml:space="preserve">DGDS2024-002 </w:t>
      </w:r>
      <w:r>
        <w:rPr>
          <w:rFonts w:hint="eastAsia" w:ascii="宋体" w:hAnsi="宋体" w:eastAsia="宋体" w:cs="宋体"/>
          <w:color w:val="auto"/>
          <w:sz w:val="21"/>
          <w:szCs w:val="21"/>
          <w:lang w:val="zh-CN"/>
        </w:rPr>
        <w:t>的</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w:t>
      </w:r>
    </w:p>
    <w:p w14:paraId="43EFACE5">
      <w:pPr>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（二）本响应文件的有效期自递交响应文件截止</w:t>
      </w:r>
      <w:r>
        <w:rPr>
          <w:rFonts w:hint="eastAsia" w:ascii="宋体" w:hAnsi="宋体" w:cs="宋体"/>
          <w:color w:val="auto"/>
          <w:kern w:val="2"/>
          <w:sz w:val="21"/>
          <w:szCs w:val="21"/>
          <w:highlight w:val="none"/>
          <w:lang w:val="en-US" w:eastAsia="zh-CN"/>
        </w:rPr>
        <w:t>时间届满</w:t>
      </w:r>
      <w:r>
        <w:rPr>
          <w:rFonts w:hint="eastAsia" w:ascii="宋体" w:hAnsi="宋体" w:eastAsia="宋体" w:cs="宋体"/>
          <w:color w:val="auto"/>
          <w:kern w:val="2"/>
          <w:sz w:val="21"/>
          <w:szCs w:val="21"/>
          <w:highlight w:val="none"/>
          <w:lang w:val="zh-CN"/>
        </w:rPr>
        <w:t>后90日有效，如</w:t>
      </w:r>
      <w:r>
        <w:rPr>
          <w:rFonts w:hint="eastAsia" w:ascii="宋体" w:hAnsi="宋体" w:eastAsia="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，有效期将延至合同终止日为止；</w:t>
      </w:r>
    </w:p>
    <w:p w14:paraId="6C572286">
      <w:pPr>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（三）我方已详细研究了竞争性磋商文件的所有内容包括修正文（如有）和所有已提供的参考资料以及有关附件并完全明白，我方放弃在此方面提出含糊意见或误解的一切权力；</w:t>
      </w:r>
    </w:p>
    <w:p w14:paraId="1653B2FD">
      <w:pPr>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（四）我方明白并愿意在规定的递交响应文件截止时间和日期之后，</w:t>
      </w:r>
      <w:r>
        <w:rPr>
          <w:rFonts w:hint="eastAsia" w:ascii="宋体" w:hAnsi="宋体" w:eastAsia="宋体" w:cs="宋体"/>
          <w:color w:val="auto"/>
          <w:kern w:val="2"/>
          <w:sz w:val="21"/>
          <w:szCs w:val="21"/>
          <w:highlight w:val="none"/>
          <w:lang w:val="en-US" w:eastAsia="zh-CN"/>
        </w:rPr>
        <w:t>响应文件</w:t>
      </w:r>
      <w:r>
        <w:rPr>
          <w:rFonts w:hint="eastAsia" w:ascii="宋体" w:hAnsi="宋体" w:eastAsia="宋体" w:cs="宋体"/>
          <w:color w:val="auto"/>
          <w:kern w:val="2"/>
          <w:sz w:val="21"/>
          <w:szCs w:val="21"/>
          <w:highlight w:val="none"/>
          <w:lang w:val="zh-CN"/>
        </w:rPr>
        <w:t>有效期之内撤回</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则按无效响应处理或取消成交资格</w:t>
      </w:r>
      <w:r>
        <w:rPr>
          <w:rFonts w:hint="eastAsia" w:ascii="宋体" w:hAnsi="宋体" w:eastAsia="宋体" w:cs="宋体"/>
          <w:color w:val="auto"/>
          <w:kern w:val="2"/>
          <w:sz w:val="21"/>
          <w:szCs w:val="21"/>
          <w:highlight w:val="none"/>
          <w:lang w:val="zh-CN"/>
        </w:rPr>
        <w:t>；</w:t>
      </w:r>
    </w:p>
    <w:p w14:paraId="6DF64F64">
      <w:pPr>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（五）我方同意按照贵方可能提出的要求而提供与</w:t>
      </w:r>
      <w:r>
        <w:rPr>
          <w:rFonts w:hint="eastAsia" w:ascii="宋体" w:hAnsi="宋体" w:eastAsia="宋体" w:cs="宋体"/>
          <w:color w:val="auto"/>
          <w:kern w:val="2"/>
          <w:sz w:val="21"/>
          <w:szCs w:val="21"/>
          <w:highlight w:val="none"/>
          <w:lang w:val="en-US" w:eastAsia="zh-CN"/>
        </w:rPr>
        <w:t>响应文件</w:t>
      </w:r>
      <w:r>
        <w:rPr>
          <w:rFonts w:hint="eastAsia" w:ascii="宋体" w:hAnsi="宋体" w:eastAsia="宋体" w:cs="宋体"/>
          <w:color w:val="auto"/>
          <w:kern w:val="2"/>
          <w:sz w:val="21"/>
          <w:szCs w:val="21"/>
          <w:highlight w:val="none"/>
          <w:lang w:val="zh-CN"/>
        </w:rPr>
        <w:t>有关的任何其它数据或信息；</w:t>
      </w:r>
    </w:p>
    <w:p w14:paraId="4BBE0FE2">
      <w:pPr>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（六）我方理解贵方不一定接受最低报价或任何贵方可能收到的报价；</w:t>
      </w:r>
    </w:p>
    <w:p w14:paraId="7B4D4720">
      <w:pPr>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（七）我方如果成交，将保证履行竞争性磋商文件以及竞争性磋商文件修改书（如有）中的全部责任和义务，按质、按量、按期完成《合同书》中的全部任务；</w:t>
      </w:r>
    </w:p>
    <w:p w14:paraId="2A54106A">
      <w:pPr>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（八）保证响应文件中所有资料均真实有效，否则按无效</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处理或可取消成交资格，并愿意接受按弄虚作假骗取成交的有关规定进行处理</w:t>
      </w:r>
      <w:r>
        <w:rPr>
          <w:rFonts w:hint="eastAsia" w:ascii="宋体" w:hAnsi="宋体" w:cs="宋体"/>
          <w:color w:val="auto"/>
          <w:kern w:val="2"/>
          <w:sz w:val="21"/>
          <w:szCs w:val="21"/>
          <w:highlight w:val="none"/>
          <w:lang w:val="zh-CN"/>
        </w:rPr>
        <w:t>，</w:t>
      </w:r>
      <w:r>
        <w:rPr>
          <w:rFonts w:hint="eastAsia" w:ascii="宋体" w:hAnsi="宋体" w:cs="宋体"/>
          <w:color w:val="auto"/>
          <w:kern w:val="2"/>
          <w:sz w:val="21"/>
          <w:szCs w:val="21"/>
          <w:highlight w:val="none"/>
          <w:lang w:val="en-US" w:eastAsia="zh-CN"/>
        </w:rPr>
        <w:t>并不予退还我方磋商保证金</w:t>
      </w:r>
      <w:r>
        <w:rPr>
          <w:rFonts w:hint="eastAsia" w:ascii="宋体" w:hAnsi="宋体" w:eastAsia="宋体" w:cs="宋体"/>
          <w:color w:val="auto"/>
          <w:kern w:val="2"/>
          <w:sz w:val="21"/>
          <w:szCs w:val="21"/>
          <w:highlight w:val="none"/>
          <w:lang w:val="zh-CN"/>
        </w:rPr>
        <w:t>；</w:t>
      </w:r>
    </w:p>
    <w:p w14:paraId="5703E4EE">
      <w:pPr>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（九）若我方</w:t>
      </w:r>
      <w:r>
        <w:rPr>
          <w:rFonts w:hint="eastAsia" w:ascii="宋体" w:hAnsi="宋体" w:eastAsia="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后，我方一定按照竞争性磋商文件的要求和响应文件的承诺签订和履行合同，否则贵方可取消我方</w:t>
      </w:r>
      <w:r>
        <w:rPr>
          <w:rFonts w:hint="eastAsia" w:ascii="宋体" w:hAnsi="宋体" w:eastAsia="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资格，</w:t>
      </w:r>
      <w:r>
        <w:rPr>
          <w:rFonts w:hint="eastAsia" w:ascii="宋体" w:hAnsi="宋体" w:cs="宋体"/>
          <w:color w:val="auto"/>
          <w:kern w:val="2"/>
          <w:sz w:val="21"/>
          <w:szCs w:val="21"/>
          <w:highlight w:val="none"/>
          <w:lang w:val="en-US" w:eastAsia="zh-CN"/>
        </w:rPr>
        <w:t>并依法不予退还我方磋商保证金或履约担保，</w:t>
      </w:r>
      <w:r>
        <w:rPr>
          <w:rFonts w:hint="eastAsia" w:ascii="宋体" w:hAnsi="宋体" w:eastAsia="宋体" w:cs="宋体"/>
          <w:color w:val="auto"/>
          <w:kern w:val="2"/>
          <w:sz w:val="21"/>
          <w:szCs w:val="21"/>
          <w:highlight w:val="none"/>
          <w:lang w:val="zh-CN"/>
        </w:rPr>
        <w:t>我方愿意接受违约</w:t>
      </w:r>
      <w:r>
        <w:rPr>
          <w:rFonts w:hint="eastAsia" w:ascii="宋体" w:hAnsi="宋体" w:cs="宋体"/>
          <w:color w:val="auto"/>
          <w:kern w:val="2"/>
          <w:sz w:val="21"/>
          <w:szCs w:val="21"/>
          <w:highlight w:val="none"/>
          <w:lang w:val="en-US" w:eastAsia="zh-CN"/>
        </w:rPr>
        <w:t>处罚</w:t>
      </w:r>
      <w:r>
        <w:rPr>
          <w:rFonts w:hint="eastAsia" w:ascii="宋体" w:hAnsi="宋体" w:eastAsia="宋体" w:cs="宋体"/>
          <w:color w:val="auto"/>
          <w:kern w:val="2"/>
          <w:sz w:val="21"/>
          <w:szCs w:val="21"/>
          <w:highlight w:val="none"/>
          <w:lang w:val="zh-CN"/>
        </w:rPr>
        <w:t>；</w:t>
      </w:r>
    </w:p>
    <w:p w14:paraId="669B5DBB">
      <w:pPr>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（十）若我方获得成交后，核查出响应文件内容前后不一致，我方愿按最高标准的承诺履约义务；</w:t>
      </w:r>
    </w:p>
    <w:p w14:paraId="53277DAC">
      <w:pPr>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（十一）所有与本</w:t>
      </w:r>
      <w:r>
        <w:rPr>
          <w:rFonts w:hint="eastAsia" w:ascii="宋体" w:hAnsi="宋体" w:eastAsia="宋体" w:cs="宋体"/>
          <w:color w:val="auto"/>
          <w:kern w:val="2"/>
          <w:sz w:val="21"/>
          <w:szCs w:val="21"/>
          <w:highlight w:val="none"/>
          <w:lang w:val="en-US" w:eastAsia="zh-CN"/>
        </w:rPr>
        <w:t>次竞争性磋商</w:t>
      </w:r>
      <w:r>
        <w:rPr>
          <w:rFonts w:hint="eastAsia" w:ascii="宋体" w:hAnsi="宋体" w:eastAsia="宋体" w:cs="宋体"/>
          <w:color w:val="auto"/>
          <w:kern w:val="2"/>
          <w:sz w:val="21"/>
          <w:szCs w:val="21"/>
          <w:highlight w:val="none"/>
          <w:lang w:val="zh-CN"/>
        </w:rPr>
        <w:t>有关的函件请发往下列地址：</w:t>
      </w:r>
    </w:p>
    <w:p w14:paraId="5D179235">
      <w:pPr>
        <w:spacing w:line="360" w:lineRule="auto"/>
        <w:ind w:firstLine="840" w:firstLineChars="400"/>
        <w:jc w:val="both"/>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lang w:val="zh-CN"/>
        </w:rPr>
        <w:t>地  　址：　　　　　　　　　　　</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邮政编码：</w:t>
      </w:r>
      <w:r>
        <w:rPr>
          <w:rFonts w:hint="eastAsia" w:ascii="宋体" w:hAnsi="宋体" w:eastAsia="宋体" w:cs="宋体"/>
          <w:color w:val="auto"/>
          <w:kern w:val="2"/>
          <w:sz w:val="21"/>
          <w:szCs w:val="21"/>
          <w:highlight w:val="none"/>
          <w:u w:val="single"/>
          <w:lang w:val="zh-CN"/>
        </w:rPr>
        <w:t xml:space="preserve">　　　　　　　　　 　 </w:t>
      </w:r>
    </w:p>
    <w:p w14:paraId="7FBCB68C">
      <w:pPr>
        <w:spacing w:line="360" w:lineRule="auto"/>
        <w:ind w:firstLine="840" w:firstLineChars="400"/>
        <w:jc w:val="both"/>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lang w:val="zh-CN"/>
        </w:rPr>
        <w:t>电　　话：　　　　　　　　　　　</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传　　真：</w:t>
      </w:r>
      <w:r>
        <w:rPr>
          <w:rFonts w:hint="eastAsia" w:ascii="宋体" w:hAnsi="宋体" w:eastAsia="宋体" w:cs="宋体"/>
          <w:color w:val="auto"/>
          <w:kern w:val="2"/>
          <w:sz w:val="21"/>
          <w:szCs w:val="21"/>
          <w:highlight w:val="none"/>
          <w:u w:val="single"/>
          <w:lang w:val="zh-CN"/>
        </w:rPr>
        <w:t>　　　　　　　　　　　</w:t>
      </w:r>
    </w:p>
    <w:p w14:paraId="62875BD9">
      <w:pPr>
        <w:spacing w:line="360" w:lineRule="auto"/>
        <w:ind w:firstLine="840" w:firstLineChars="4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网    站：                      电子邮箱：</w:t>
      </w:r>
      <w:r>
        <w:rPr>
          <w:rFonts w:hint="eastAsia" w:ascii="宋体" w:hAnsi="宋体" w:eastAsia="宋体" w:cs="宋体"/>
          <w:color w:val="auto"/>
          <w:kern w:val="2"/>
          <w:sz w:val="21"/>
          <w:szCs w:val="21"/>
          <w:highlight w:val="none"/>
          <w:u w:val="single"/>
          <w:lang w:val="zh-CN"/>
        </w:rPr>
        <w:t xml:space="preserve">                      </w:t>
      </w:r>
    </w:p>
    <w:p w14:paraId="2FF0CADE">
      <w:pPr>
        <w:spacing w:line="360" w:lineRule="auto"/>
        <w:ind w:firstLine="840" w:firstLineChars="400"/>
        <w:jc w:val="both"/>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lang w:val="zh-CN"/>
        </w:rPr>
        <w:t>代表姓名：　　　　　　　　　　　职　　务：</w:t>
      </w:r>
      <w:r>
        <w:rPr>
          <w:rFonts w:hint="eastAsia" w:ascii="宋体" w:hAnsi="宋体" w:eastAsia="宋体" w:cs="宋体"/>
          <w:color w:val="auto"/>
          <w:kern w:val="2"/>
          <w:sz w:val="21"/>
          <w:szCs w:val="21"/>
          <w:highlight w:val="none"/>
          <w:u w:val="single"/>
          <w:lang w:val="zh-CN"/>
        </w:rPr>
        <w:t xml:space="preserve">　　　　　　　　　　 </w:t>
      </w:r>
    </w:p>
    <w:p w14:paraId="1B3F5F27">
      <w:pPr>
        <w:spacing w:line="360" w:lineRule="auto"/>
        <w:ind w:left="631" w:leftChars="88" w:hanging="420" w:hangingChars="200"/>
        <w:jc w:val="both"/>
        <w:rPr>
          <w:rFonts w:hint="eastAsia" w:ascii="宋体" w:hAnsi="宋体" w:eastAsia="宋体" w:cs="宋体"/>
          <w:color w:val="auto"/>
          <w:kern w:val="2"/>
          <w:sz w:val="21"/>
          <w:szCs w:val="21"/>
          <w:highlight w:val="none"/>
          <w:u w:val="single"/>
          <w:lang w:val="zh-CN"/>
        </w:rPr>
      </w:pPr>
    </w:p>
    <w:p w14:paraId="11629170">
      <w:pPr>
        <w:spacing w:line="360" w:lineRule="auto"/>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 xml:space="preserve">                       </w:t>
      </w:r>
    </w:p>
    <w:p w14:paraId="072F53CB">
      <w:pPr>
        <w:spacing w:line="360" w:lineRule="auto"/>
        <w:ind w:right="17" w:firstLine="4935" w:firstLineChars="23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 </w:t>
      </w:r>
    </w:p>
    <w:p w14:paraId="44F361CF">
      <w:pPr>
        <w:spacing w:line="360" w:lineRule="auto"/>
        <w:ind w:firstLine="5040" w:firstLineChars="2400"/>
        <w:jc w:val="both"/>
        <w:rPr>
          <w:rFonts w:hint="eastAsia" w:ascii="宋体" w:hAnsi="宋体" w:eastAsia="宋体" w:cs="宋体"/>
          <w:color w:val="auto"/>
          <w:kern w:val="2"/>
          <w:sz w:val="21"/>
          <w:highlight w:val="none"/>
          <w:u w:val="single"/>
        </w:rPr>
      </w:pPr>
      <w:r>
        <w:rPr>
          <w:rFonts w:hint="eastAsia" w:ascii="宋体" w:hAnsi="宋体" w:eastAsia="宋体" w:cs="宋体"/>
          <w:color w:val="auto"/>
          <w:kern w:val="2"/>
          <w:sz w:val="21"/>
          <w:highlight w:val="none"/>
          <w:lang w:val="zh-CN"/>
        </w:rPr>
        <w:t>供应商：（加盖供应商法人公章）</w:t>
      </w:r>
    </w:p>
    <w:p w14:paraId="1804A277">
      <w:pPr>
        <w:spacing w:line="360" w:lineRule="auto"/>
        <w:ind w:firstLine="5040" w:firstLineChars="24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 xml:space="preserve">法定代表人或其授权代表签名（或盖私章）：    </w:t>
      </w:r>
    </w:p>
    <w:p w14:paraId="42AD428B">
      <w:pPr>
        <w:spacing w:line="360" w:lineRule="auto"/>
        <w:ind w:firstLine="5040" w:firstLineChars="2400"/>
        <w:jc w:val="both"/>
        <w:rPr>
          <w:rFonts w:hint="eastAsia" w:ascii="宋体" w:hAnsi="宋体" w:eastAsia="宋体" w:cs="宋体"/>
          <w:color w:val="auto"/>
          <w:kern w:val="2"/>
          <w:highlight w:val="none"/>
          <w:lang w:val="zh-CN"/>
        </w:rPr>
      </w:pPr>
      <w:r>
        <w:rPr>
          <w:rFonts w:hint="eastAsia" w:ascii="宋体" w:hAnsi="宋体" w:eastAsia="宋体" w:cs="宋体"/>
          <w:color w:val="auto"/>
          <w:kern w:val="2"/>
          <w:sz w:val="21"/>
          <w:highlight w:val="none"/>
          <w:lang w:val="zh-CN"/>
        </w:rPr>
        <w:t>日</w:t>
      </w:r>
      <w:r>
        <w:rPr>
          <w:rFonts w:hint="eastAsia" w:ascii="宋体" w:hAnsi="宋体" w:cs="宋体"/>
          <w:color w:val="auto"/>
          <w:kern w:val="2"/>
          <w:sz w:val="21"/>
          <w:highlight w:val="none"/>
          <w:lang w:val="en-US" w:eastAsia="zh-CN"/>
        </w:rPr>
        <w:t xml:space="preserve">  </w:t>
      </w:r>
      <w:r>
        <w:rPr>
          <w:rFonts w:hint="eastAsia" w:ascii="宋体" w:hAnsi="宋体" w:eastAsia="宋体" w:cs="宋体"/>
          <w:color w:val="auto"/>
          <w:kern w:val="2"/>
          <w:sz w:val="21"/>
          <w:highlight w:val="none"/>
          <w:lang w:val="zh-CN"/>
        </w:rPr>
        <w:t>期：</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年</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月</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 xml:space="preserve">日 </w:t>
      </w:r>
    </w:p>
    <w:p w14:paraId="688A2F8F">
      <w:pPr>
        <w:spacing w:line="360" w:lineRule="auto"/>
        <w:ind w:right="17" w:firstLine="4935" w:firstLineChars="2350"/>
        <w:jc w:val="both"/>
        <w:rPr>
          <w:rFonts w:hint="eastAsia" w:ascii="宋体" w:hAnsi="宋体" w:eastAsia="宋体" w:cs="宋体"/>
          <w:color w:val="auto"/>
          <w:kern w:val="2"/>
          <w:sz w:val="21"/>
          <w:szCs w:val="21"/>
          <w:highlight w:val="none"/>
          <w:lang w:val="zh-CN"/>
        </w:rPr>
      </w:pPr>
    </w:p>
    <w:p w14:paraId="00681D65">
      <w:pPr>
        <w:spacing w:line="360" w:lineRule="auto"/>
        <w:ind w:right="17" w:firstLine="4935" w:firstLineChars="2350"/>
        <w:jc w:val="both"/>
        <w:rPr>
          <w:rFonts w:hint="eastAsia" w:ascii="宋体" w:hAnsi="宋体" w:eastAsia="宋体" w:cs="宋体"/>
          <w:color w:val="auto"/>
          <w:kern w:val="2"/>
          <w:sz w:val="21"/>
          <w:szCs w:val="21"/>
          <w:highlight w:val="none"/>
          <w:lang w:val="zh-CN"/>
        </w:rPr>
      </w:pPr>
    </w:p>
    <w:p w14:paraId="1334288C">
      <w:pPr>
        <w:spacing w:line="360" w:lineRule="auto"/>
        <w:ind w:right="17" w:firstLine="4935" w:firstLineChars="2350"/>
        <w:jc w:val="both"/>
        <w:rPr>
          <w:rFonts w:hint="eastAsia" w:ascii="宋体" w:hAnsi="宋体" w:eastAsia="宋体" w:cs="宋体"/>
          <w:color w:val="auto"/>
          <w:kern w:val="2"/>
          <w:sz w:val="21"/>
          <w:szCs w:val="21"/>
          <w:highlight w:val="none"/>
          <w:lang w:val="zh-CN"/>
        </w:rPr>
      </w:pPr>
    </w:p>
    <w:p w14:paraId="5ED24032">
      <w:pPr>
        <w:spacing w:line="360" w:lineRule="auto"/>
        <w:ind w:right="17" w:firstLine="4935" w:firstLineChars="2350"/>
        <w:jc w:val="both"/>
        <w:rPr>
          <w:rFonts w:hint="eastAsia" w:ascii="宋体" w:hAnsi="宋体" w:eastAsia="宋体" w:cs="宋体"/>
          <w:color w:val="auto"/>
          <w:kern w:val="2"/>
          <w:sz w:val="21"/>
          <w:szCs w:val="21"/>
          <w:highlight w:val="none"/>
          <w:lang w:val="zh-CN"/>
        </w:rPr>
      </w:pPr>
    </w:p>
    <w:p w14:paraId="7E0B0ED0">
      <w:pPr>
        <w:outlineLvl w:val="9"/>
        <w:rPr>
          <w:rFonts w:hint="eastAsia" w:ascii="宋体" w:hAnsi="宋体" w:eastAsia="宋体" w:cs="宋体"/>
          <w:b/>
          <w:color w:val="auto"/>
          <w:sz w:val="32"/>
          <w:szCs w:val="32"/>
          <w:highlight w:val="none"/>
        </w:rPr>
      </w:pPr>
      <w:r>
        <w:rPr>
          <w:rFonts w:hint="eastAsia" w:ascii="宋体" w:hAnsi="宋体" w:eastAsia="宋体" w:cs="宋体"/>
          <w:color w:val="auto"/>
          <w:highlight w:val="none"/>
        </w:rPr>
        <w:br w:type="page"/>
      </w:r>
      <w:bookmarkStart w:id="241" w:name="_Toc19008823"/>
      <w:bookmarkStart w:id="242" w:name="_Toc54334004"/>
      <w:bookmarkStart w:id="243" w:name="_Toc490169462"/>
      <w:bookmarkStart w:id="244" w:name="_Toc495907131"/>
      <w:bookmarkStart w:id="245" w:name="_Toc497746559"/>
      <w:bookmarkStart w:id="246" w:name="_Toc14924"/>
      <w:bookmarkStart w:id="247" w:name="_Toc79146597"/>
      <w:bookmarkStart w:id="248" w:name="_Toc5098068"/>
      <w:bookmarkStart w:id="249" w:name="_Toc56076623"/>
      <w:bookmarkStart w:id="250" w:name="_Toc15830"/>
      <w:bookmarkStart w:id="251" w:name="_Toc12121"/>
      <w:bookmarkStart w:id="252" w:name="_Toc521918115"/>
      <w:bookmarkStart w:id="253" w:name="_Toc1123950"/>
      <w:r>
        <w:rPr>
          <w:rFonts w:hint="eastAsia" w:ascii="宋体" w:hAnsi="宋体" w:eastAsia="宋体" w:cs="宋体"/>
          <w:b/>
          <w:color w:val="auto"/>
          <w:sz w:val="32"/>
          <w:szCs w:val="32"/>
          <w:highlight w:val="none"/>
        </w:rPr>
        <w:t>二、</w:t>
      </w:r>
      <w:r>
        <w:rPr>
          <w:rFonts w:hint="eastAsia" w:ascii="宋体" w:hAnsi="宋体" w:eastAsia="宋体" w:cs="宋体"/>
          <w:b/>
          <w:color w:val="auto"/>
          <w:sz w:val="32"/>
          <w:szCs w:val="32"/>
          <w:highlight w:val="none"/>
          <w:lang w:eastAsia="zh-CN"/>
        </w:rPr>
        <w:t>磋商承诺书</w:t>
      </w:r>
      <w:r>
        <w:rPr>
          <w:rFonts w:hint="eastAsia" w:ascii="宋体" w:hAnsi="宋体" w:eastAsia="宋体" w:cs="宋体"/>
          <w:b/>
          <w:color w:val="auto"/>
          <w:sz w:val="32"/>
          <w:szCs w:val="32"/>
          <w:highlight w:val="none"/>
        </w:rPr>
        <w:t>格式</w:t>
      </w:r>
      <w:bookmarkEnd w:id="241"/>
      <w:bookmarkEnd w:id="242"/>
      <w:bookmarkEnd w:id="243"/>
      <w:bookmarkEnd w:id="244"/>
      <w:bookmarkEnd w:id="245"/>
      <w:bookmarkEnd w:id="246"/>
      <w:bookmarkEnd w:id="247"/>
      <w:bookmarkEnd w:id="248"/>
      <w:bookmarkEnd w:id="249"/>
      <w:bookmarkEnd w:id="250"/>
      <w:bookmarkEnd w:id="251"/>
      <w:bookmarkEnd w:id="252"/>
      <w:bookmarkEnd w:id="253"/>
    </w:p>
    <w:p w14:paraId="5A3CBD6C">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21"/>
          <w:szCs w:val="21"/>
          <w:highlight w:val="none"/>
        </w:rPr>
        <w:cr/>
      </w:r>
      <w:r>
        <w:rPr>
          <w:rFonts w:hint="eastAsia" w:ascii="宋体" w:hAnsi="宋体" w:eastAsia="宋体" w:cs="宋体"/>
          <w:b/>
          <w:color w:val="auto"/>
          <w:sz w:val="30"/>
          <w:szCs w:val="30"/>
          <w:highlight w:val="none"/>
          <w:lang w:eastAsia="zh-CN"/>
        </w:rPr>
        <w:t>磋商承诺书</w:t>
      </w:r>
      <w:r>
        <w:rPr>
          <w:rFonts w:hint="eastAsia" w:ascii="宋体" w:hAnsi="宋体" w:eastAsia="宋体" w:cs="宋体"/>
          <w:b/>
          <w:bCs/>
          <w:color w:val="auto"/>
          <w:sz w:val="30"/>
          <w:szCs w:val="30"/>
          <w:lang w:val="zh-CN"/>
        </w:rPr>
        <w:t>(   包组)</w:t>
      </w:r>
    </w:p>
    <w:p w14:paraId="71D2A8B4">
      <w:pPr>
        <w:jc w:val="center"/>
        <w:rPr>
          <w:rFonts w:hint="eastAsia" w:ascii="宋体" w:hAnsi="宋体" w:eastAsia="宋体" w:cs="宋体"/>
          <w:b/>
          <w:color w:val="auto"/>
          <w:sz w:val="32"/>
          <w:szCs w:val="32"/>
          <w:highlight w:val="none"/>
        </w:rPr>
      </w:pPr>
    </w:p>
    <w:p w14:paraId="022AE867">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供应商</w:t>
      </w:r>
      <w:r>
        <w:rPr>
          <w:rFonts w:hint="eastAsia" w:ascii="宋体" w:hAnsi="宋体" w:eastAsia="宋体" w:cs="宋体"/>
          <w:color w:val="auto"/>
          <w:sz w:val="21"/>
          <w:szCs w:val="21"/>
          <w:highlight w:val="none"/>
          <w:u w:val="single"/>
        </w:rPr>
        <w:t>名称）</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已完整阅读了</w:t>
      </w:r>
      <w:r>
        <w:rPr>
          <w:rFonts w:hint="eastAsia" w:ascii="宋体" w:hAnsi="宋体" w:cs="宋体"/>
          <w:color w:val="auto"/>
          <w:kern w:val="0"/>
          <w:sz w:val="21"/>
          <w:szCs w:val="21"/>
          <w:u w:val="single"/>
          <w:lang w:eastAsia="zh-CN"/>
        </w:rPr>
        <w:t>东莞市众源环境投资有限公司污水处理厂污泥脱水减量处理服务（BOT权属滨海湾片区）采购项目</w:t>
      </w:r>
      <w:r>
        <w:rPr>
          <w:rFonts w:hint="eastAsia" w:ascii="宋体" w:hAnsi="宋体" w:eastAsia="宋体" w:cs="宋体"/>
          <w:color w:val="auto"/>
          <w:kern w:val="0"/>
          <w:sz w:val="21"/>
          <w:szCs w:val="21"/>
          <w:u w:val="single"/>
          <w:lang w:val="zh-CN"/>
        </w:rPr>
        <w:t>(   包组)</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采购</w:t>
      </w:r>
      <w:r>
        <w:rPr>
          <w:rFonts w:hint="eastAsia" w:ascii="宋体" w:hAnsi="宋体" w:eastAsia="宋体" w:cs="宋体"/>
          <w:color w:val="auto"/>
          <w:kern w:val="0"/>
          <w:sz w:val="21"/>
          <w:szCs w:val="21"/>
        </w:rPr>
        <w:t>编号：</w:t>
      </w:r>
      <w:r>
        <w:rPr>
          <w:rFonts w:hint="eastAsia" w:ascii="宋体" w:hAnsi="宋体" w:cs="宋体"/>
          <w:color w:val="auto"/>
          <w:kern w:val="0"/>
          <w:sz w:val="21"/>
          <w:szCs w:val="21"/>
          <w:u w:val="single"/>
          <w:lang w:val="zh-CN"/>
        </w:rPr>
        <w:t xml:space="preserve">DGDS2024-002 </w:t>
      </w:r>
      <w:r>
        <w:rPr>
          <w:rFonts w:hint="eastAsia" w:ascii="宋体" w:hAnsi="宋体" w:eastAsia="宋体" w:cs="宋体"/>
          <w:color w:val="auto"/>
          <w:kern w:val="0"/>
          <w:sz w:val="21"/>
          <w:szCs w:val="21"/>
        </w:rPr>
        <w:t>）</w:t>
      </w:r>
      <w:r>
        <w:rPr>
          <w:rFonts w:hint="eastAsia" w:ascii="宋体" w:hAnsi="宋体" w:eastAsia="宋体" w:cs="宋体"/>
          <w:color w:val="auto"/>
          <w:sz w:val="21"/>
          <w:szCs w:val="21"/>
          <w:highlight w:val="none"/>
        </w:rPr>
        <w:t>竞争性磋商文件的所有内容（包括澄清，以及所有已提供的参考资料和有关附件），并完全理解上述文件所表达的意思，该项目递交响应文件时间截止后，我方承诺不再对上述文件内容进行询问或</w:t>
      </w:r>
      <w:r>
        <w:rPr>
          <w:rFonts w:hint="eastAsia" w:ascii="宋体" w:hAnsi="宋体" w:cs="宋体"/>
          <w:color w:val="auto"/>
          <w:sz w:val="21"/>
          <w:szCs w:val="21"/>
          <w:highlight w:val="none"/>
          <w:lang w:val="en-US" w:eastAsia="zh-CN"/>
        </w:rPr>
        <w:t>异议</w:t>
      </w:r>
      <w:r>
        <w:rPr>
          <w:rFonts w:hint="eastAsia" w:ascii="宋体" w:hAnsi="宋体" w:eastAsia="宋体" w:cs="宋体"/>
          <w:color w:val="auto"/>
          <w:sz w:val="21"/>
          <w:szCs w:val="21"/>
          <w:highlight w:val="none"/>
        </w:rPr>
        <w:t>。</w:t>
      </w:r>
    </w:p>
    <w:p w14:paraId="179BC927">
      <w:pPr>
        <w:widowControl/>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color w:val="auto"/>
          <w:sz w:val="21"/>
          <w:szCs w:val="21"/>
          <w:highlight w:val="none"/>
        </w:rPr>
        <w:t xml:space="preserve"> </w:t>
      </w:r>
      <w:r>
        <w:rPr>
          <w:rFonts w:hint="eastAsia" w:ascii="宋体" w:hAnsi="宋体" w:eastAsia="宋体" w:cs="宋体"/>
          <w:kern w:val="0"/>
          <w:sz w:val="21"/>
          <w:szCs w:val="21"/>
        </w:rPr>
        <w:t xml:space="preserve"> 我方承诺，若我方存在通过弄虚作假、虚假响应</w:t>
      </w:r>
      <w:r>
        <w:rPr>
          <w:rFonts w:hint="eastAsia" w:ascii="宋体" w:hAnsi="宋体" w:eastAsia="宋体" w:cs="宋体"/>
          <w:kern w:val="0"/>
          <w:sz w:val="21"/>
          <w:szCs w:val="21"/>
          <w:lang w:val="en-US" w:eastAsia="zh-CN"/>
        </w:rPr>
        <w:t>竞争性磋商</w:t>
      </w:r>
      <w:r>
        <w:rPr>
          <w:rFonts w:hint="eastAsia" w:ascii="宋体" w:hAnsi="宋体" w:eastAsia="宋体" w:cs="宋体"/>
          <w:kern w:val="0"/>
          <w:sz w:val="21"/>
          <w:szCs w:val="21"/>
        </w:rPr>
        <w:t>文件要求等手段骗取</w:t>
      </w:r>
      <w:r>
        <w:rPr>
          <w:rFonts w:hint="eastAsia" w:ascii="宋体" w:hAnsi="宋体" w:eastAsia="宋体" w:cs="宋体"/>
          <w:kern w:val="0"/>
          <w:sz w:val="21"/>
          <w:szCs w:val="21"/>
          <w:lang w:val="en-US" w:eastAsia="zh-CN"/>
        </w:rPr>
        <w:t>成交</w:t>
      </w:r>
      <w:r>
        <w:rPr>
          <w:rFonts w:hint="eastAsia" w:ascii="宋体" w:hAnsi="宋体" w:eastAsia="宋体" w:cs="宋体"/>
          <w:kern w:val="0"/>
          <w:sz w:val="21"/>
          <w:szCs w:val="21"/>
        </w:rPr>
        <w:t>的，</w:t>
      </w:r>
      <w:r>
        <w:rPr>
          <w:rFonts w:hint="eastAsia" w:ascii="宋体" w:hAnsi="宋体" w:eastAsia="宋体" w:cs="宋体"/>
          <w:kern w:val="0"/>
          <w:sz w:val="21"/>
          <w:szCs w:val="21"/>
          <w:lang w:val="en-US" w:eastAsia="zh-CN"/>
        </w:rPr>
        <w:t>采购</w:t>
      </w:r>
      <w:r>
        <w:rPr>
          <w:rFonts w:hint="eastAsia" w:ascii="宋体" w:hAnsi="宋体" w:eastAsia="宋体" w:cs="宋体"/>
          <w:kern w:val="0"/>
          <w:sz w:val="21"/>
          <w:szCs w:val="21"/>
        </w:rPr>
        <w:t>人有权或协助主管部门认定我方严重失信的不良行为，纳入相关企业信用“黑名单”，限制我方参与依法必须招标项目的投标，并向行政主管部门报送结果。同时，</w:t>
      </w:r>
      <w:r>
        <w:rPr>
          <w:rFonts w:hint="eastAsia" w:ascii="宋体" w:hAnsi="宋体" w:eastAsia="宋体" w:cs="宋体"/>
          <w:kern w:val="0"/>
          <w:sz w:val="21"/>
          <w:szCs w:val="21"/>
          <w:lang w:val="en-US" w:eastAsia="zh-CN"/>
        </w:rPr>
        <w:t>采购</w:t>
      </w:r>
      <w:r>
        <w:rPr>
          <w:rFonts w:hint="eastAsia" w:ascii="宋体" w:hAnsi="宋体" w:eastAsia="宋体" w:cs="宋体"/>
          <w:kern w:val="0"/>
          <w:sz w:val="21"/>
          <w:szCs w:val="21"/>
        </w:rPr>
        <w:t>人有权根据《关于对环境保护领域失信生产经营单位及其有关人员开展联合惩戒的合作备忘录》等规定，通过“信用中国”网站向社会公示我方的失信行为，实现“一处失信、处处受限”。</w:t>
      </w:r>
    </w:p>
    <w:p w14:paraId="6F2AB705">
      <w:pPr>
        <w:widowControl/>
        <w:autoSpaceDE w:val="0"/>
        <w:autoSpaceDN w:val="0"/>
        <w:adjustRightIn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kern w:val="0"/>
          <w:sz w:val="21"/>
          <w:szCs w:val="21"/>
        </w:rPr>
        <w:t>若我方在</w:t>
      </w:r>
      <w:r>
        <w:rPr>
          <w:rFonts w:hint="eastAsia" w:ascii="宋体" w:hAnsi="宋体" w:eastAsia="宋体" w:cs="宋体"/>
          <w:kern w:val="0"/>
          <w:sz w:val="21"/>
          <w:szCs w:val="21"/>
          <w:lang w:val="en-US" w:eastAsia="zh-CN"/>
        </w:rPr>
        <w:t>磋商</w:t>
      </w:r>
      <w:r>
        <w:rPr>
          <w:rFonts w:hint="eastAsia" w:ascii="宋体" w:hAnsi="宋体" w:eastAsia="宋体" w:cs="宋体"/>
          <w:kern w:val="0"/>
          <w:sz w:val="21"/>
          <w:szCs w:val="21"/>
        </w:rPr>
        <w:t>或履行本合同过程中存在提供虚假材料、虚假响应</w:t>
      </w:r>
      <w:r>
        <w:rPr>
          <w:rFonts w:hint="eastAsia" w:ascii="宋体" w:hAnsi="宋体" w:eastAsia="宋体" w:cs="宋体"/>
          <w:kern w:val="0"/>
          <w:sz w:val="21"/>
          <w:szCs w:val="21"/>
          <w:lang w:val="en-US" w:eastAsia="zh-CN"/>
        </w:rPr>
        <w:t>竞争性磋商</w:t>
      </w:r>
      <w:r>
        <w:rPr>
          <w:rFonts w:hint="eastAsia" w:ascii="宋体" w:hAnsi="宋体" w:eastAsia="宋体" w:cs="宋体"/>
          <w:kern w:val="0"/>
          <w:sz w:val="21"/>
          <w:szCs w:val="21"/>
        </w:rPr>
        <w:t>文件要求等弄虚作假行为，或未能根据</w:t>
      </w:r>
      <w:r>
        <w:rPr>
          <w:rFonts w:hint="eastAsia" w:ascii="宋体" w:hAnsi="宋体" w:eastAsia="宋体" w:cs="宋体"/>
          <w:kern w:val="0"/>
          <w:sz w:val="21"/>
          <w:szCs w:val="21"/>
          <w:lang w:val="en-US" w:eastAsia="zh-CN"/>
        </w:rPr>
        <w:t>竞争性磋商</w:t>
      </w:r>
      <w:r>
        <w:rPr>
          <w:rFonts w:hint="eastAsia" w:ascii="宋体" w:hAnsi="宋体" w:eastAsia="宋体" w:cs="宋体"/>
          <w:kern w:val="0"/>
          <w:sz w:val="21"/>
          <w:szCs w:val="21"/>
        </w:rPr>
        <w:t>文件</w:t>
      </w:r>
      <w:r>
        <w:rPr>
          <w:rFonts w:hint="eastAsia" w:ascii="宋体" w:hAnsi="宋体" w:eastAsia="宋体" w:cs="宋体"/>
          <w:kern w:val="0"/>
          <w:sz w:val="21"/>
          <w:szCs w:val="21"/>
          <w:lang w:val="en-US" w:eastAsia="zh-CN"/>
        </w:rPr>
        <w:t>磋商</w:t>
      </w:r>
      <w:r>
        <w:rPr>
          <w:rFonts w:hint="eastAsia" w:ascii="宋体" w:hAnsi="宋体" w:eastAsia="宋体" w:cs="宋体"/>
          <w:kern w:val="0"/>
          <w:sz w:val="21"/>
          <w:szCs w:val="21"/>
        </w:rPr>
        <w:t>须知第29.2款约定按时提供原件核查的，因此导致我方无法参与东莞市水务集团有限公司相关采购活动的，由我方自行承担全部后果。</w:t>
      </w:r>
    </w:p>
    <w:p w14:paraId="1D59BA45">
      <w:pPr>
        <w:spacing w:line="360" w:lineRule="auto"/>
        <w:ind w:firstLine="420" w:firstLineChars="200"/>
        <w:rPr>
          <w:rFonts w:hint="eastAsia" w:ascii="宋体" w:hAnsi="宋体" w:eastAsia="宋体" w:cs="宋体"/>
          <w:color w:val="auto"/>
          <w:sz w:val="21"/>
          <w:szCs w:val="21"/>
          <w:highlight w:val="none"/>
        </w:rPr>
      </w:pPr>
    </w:p>
    <w:p w14:paraId="40840875">
      <w:pPr>
        <w:spacing w:line="360" w:lineRule="auto"/>
        <w:ind w:firstLine="480" w:firstLineChars="200"/>
        <w:rPr>
          <w:rFonts w:hint="eastAsia" w:ascii="宋体" w:hAnsi="宋体" w:eastAsia="宋体" w:cs="宋体"/>
          <w:color w:val="auto"/>
          <w:highlight w:val="none"/>
        </w:rPr>
      </w:pPr>
    </w:p>
    <w:p w14:paraId="133C3D32">
      <w:pPr>
        <w:spacing w:line="360" w:lineRule="auto"/>
        <w:rPr>
          <w:rFonts w:hint="eastAsia" w:ascii="宋体" w:hAnsi="宋体" w:eastAsia="宋体" w:cs="宋体"/>
          <w:color w:val="auto"/>
          <w:highlight w:val="none"/>
        </w:rPr>
      </w:pPr>
    </w:p>
    <w:p w14:paraId="10F30F16">
      <w:pPr>
        <w:spacing w:line="360" w:lineRule="auto"/>
        <w:rPr>
          <w:rFonts w:hint="eastAsia" w:ascii="宋体" w:hAnsi="宋体" w:eastAsia="宋体" w:cs="宋体"/>
          <w:color w:val="auto"/>
          <w:highlight w:val="none"/>
        </w:rPr>
      </w:pPr>
    </w:p>
    <w:p w14:paraId="39A3F819">
      <w:pPr>
        <w:spacing w:line="360" w:lineRule="auto"/>
        <w:ind w:firstLine="4252" w:firstLineChars="2025"/>
        <w:jc w:val="both"/>
        <w:rPr>
          <w:rFonts w:hint="eastAsia" w:ascii="宋体" w:hAnsi="宋体" w:eastAsia="宋体" w:cs="宋体"/>
          <w:color w:val="auto"/>
          <w:kern w:val="2"/>
          <w:sz w:val="21"/>
          <w:highlight w:val="none"/>
          <w:u w:val="single"/>
        </w:rPr>
      </w:pPr>
      <w:r>
        <w:rPr>
          <w:rFonts w:hint="eastAsia" w:ascii="宋体" w:hAnsi="宋体" w:eastAsia="宋体" w:cs="宋体"/>
          <w:color w:val="auto"/>
          <w:kern w:val="2"/>
          <w:sz w:val="21"/>
          <w:highlight w:val="none"/>
          <w:lang w:val="zh-CN"/>
        </w:rPr>
        <w:t>供应商：（加盖供应商法人公章）</w:t>
      </w:r>
    </w:p>
    <w:p w14:paraId="590C11BA">
      <w:pPr>
        <w:spacing w:line="360" w:lineRule="auto"/>
        <w:ind w:firstLine="4252" w:firstLineChars="2025"/>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法定代表人或其授权代表签名（或盖私章）：</w:t>
      </w:r>
    </w:p>
    <w:p w14:paraId="5B438080">
      <w:pPr>
        <w:spacing w:line="360" w:lineRule="auto"/>
        <w:ind w:firstLine="4252" w:firstLineChars="2025"/>
        <w:jc w:val="both"/>
        <w:rPr>
          <w:rFonts w:hint="eastAsia" w:ascii="宋体" w:hAnsi="宋体" w:eastAsia="宋体" w:cs="宋体"/>
          <w:color w:val="auto"/>
          <w:kern w:val="2"/>
          <w:highlight w:val="none"/>
          <w:lang w:val="zh-CN"/>
        </w:rPr>
      </w:pPr>
      <w:r>
        <w:rPr>
          <w:rFonts w:hint="eastAsia" w:ascii="宋体" w:hAnsi="宋体" w:eastAsia="宋体" w:cs="宋体"/>
          <w:color w:val="auto"/>
          <w:kern w:val="2"/>
          <w:sz w:val="21"/>
          <w:highlight w:val="none"/>
          <w:lang w:val="zh-CN"/>
        </w:rPr>
        <w:t>日</w:t>
      </w:r>
      <w:r>
        <w:rPr>
          <w:rFonts w:hint="eastAsia" w:ascii="宋体" w:hAnsi="宋体" w:cs="宋体"/>
          <w:color w:val="auto"/>
          <w:kern w:val="2"/>
          <w:sz w:val="21"/>
          <w:highlight w:val="none"/>
          <w:lang w:val="en-US" w:eastAsia="zh-CN"/>
        </w:rPr>
        <w:t xml:space="preserve">  </w:t>
      </w:r>
      <w:r>
        <w:rPr>
          <w:rFonts w:hint="eastAsia" w:ascii="宋体" w:hAnsi="宋体" w:eastAsia="宋体" w:cs="宋体"/>
          <w:color w:val="auto"/>
          <w:kern w:val="2"/>
          <w:sz w:val="21"/>
          <w:highlight w:val="none"/>
          <w:lang w:val="zh-CN"/>
        </w:rPr>
        <w:t>期：</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年</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月</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 xml:space="preserve">日 </w:t>
      </w:r>
    </w:p>
    <w:p w14:paraId="6962ECFC">
      <w:pPr>
        <w:spacing w:line="360" w:lineRule="auto"/>
        <w:rPr>
          <w:rFonts w:hint="eastAsia" w:ascii="宋体" w:hAnsi="宋体" w:eastAsia="宋体" w:cs="宋体"/>
          <w:color w:val="auto"/>
          <w:highlight w:val="none"/>
        </w:rPr>
      </w:pPr>
      <w:bookmarkStart w:id="254" w:name="_Toc311032584"/>
      <w:bookmarkStart w:id="255" w:name="_Toc326768876"/>
      <w:bookmarkStart w:id="256" w:name="_Toc316896755"/>
    </w:p>
    <w:p w14:paraId="5EEE2236">
      <w:pPr>
        <w:spacing w:line="360" w:lineRule="auto"/>
        <w:rPr>
          <w:rFonts w:hint="eastAsia" w:ascii="宋体" w:hAnsi="宋体" w:eastAsia="宋体" w:cs="宋体"/>
          <w:color w:val="auto"/>
          <w:highlight w:val="none"/>
        </w:rPr>
      </w:pPr>
    </w:p>
    <w:p w14:paraId="1792FA81">
      <w:pPr>
        <w:spacing w:line="360" w:lineRule="auto"/>
        <w:rPr>
          <w:rFonts w:hint="eastAsia" w:ascii="宋体" w:hAnsi="宋体" w:eastAsia="宋体" w:cs="宋体"/>
          <w:color w:val="auto"/>
          <w:highlight w:val="none"/>
        </w:rPr>
      </w:pPr>
    </w:p>
    <w:p w14:paraId="1D2B7190">
      <w:pPr>
        <w:spacing w:line="360" w:lineRule="auto"/>
        <w:rPr>
          <w:rFonts w:hint="eastAsia" w:ascii="宋体" w:hAnsi="宋体" w:eastAsia="宋体" w:cs="宋体"/>
          <w:color w:val="auto"/>
          <w:highlight w:val="none"/>
        </w:rPr>
      </w:pPr>
    </w:p>
    <w:p w14:paraId="3A4F41E4">
      <w:pPr>
        <w:pageBreakBefore/>
        <w:autoSpaceDE w:val="0"/>
        <w:autoSpaceDN w:val="0"/>
        <w:adjustRightInd w:val="0"/>
        <w:spacing w:line="360" w:lineRule="auto"/>
        <w:jc w:val="left"/>
        <w:outlineLvl w:val="9"/>
        <w:rPr>
          <w:rFonts w:hint="eastAsia" w:ascii="宋体" w:hAnsi="宋体" w:eastAsia="宋体" w:cs="宋体"/>
          <w:b/>
          <w:kern w:val="44"/>
          <w:sz w:val="32"/>
          <w:szCs w:val="32"/>
        </w:rPr>
      </w:pPr>
      <w:bookmarkStart w:id="257" w:name="_Toc102860413"/>
      <w:bookmarkStart w:id="258" w:name="_Toc104991870"/>
      <w:bookmarkStart w:id="259" w:name="_Toc94107204"/>
      <w:bookmarkStart w:id="260" w:name="_Toc24336"/>
      <w:bookmarkStart w:id="261" w:name="_Toc86764083"/>
      <w:bookmarkStart w:id="262" w:name="_Toc82182546"/>
      <w:bookmarkStart w:id="263" w:name="_Toc102860069"/>
      <w:bookmarkStart w:id="264" w:name="_Toc142508364"/>
      <w:bookmarkStart w:id="265" w:name="_Toc140596923"/>
      <w:bookmarkStart w:id="266" w:name="_Toc29910"/>
      <w:bookmarkStart w:id="267" w:name="_Toc5075"/>
      <w:bookmarkStart w:id="268" w:name="_Toc19153"/>
      <w:bookmarkStart w:id="269" w:name="_Toc16943"/>
      <w:bookmarkStart w:id="270" w:name="_Toc79146598"/>
      <w:bookmarkStart w:id="271" w:name="_Toc497746560"/>
      <w:bookmarkStart w:id="272" w:name="_Toc490169463"/>
      <w:bookmarkStart w:id="273" w:name="_Toc521918116"/>
      <w:bookmarkStart w:id="274" w:name="_Toc8924"/>
      <w:bookmarkStart w:id="275" w:name="_Toc56076624"/>
      <w:bookmarkStart w:id="276" w:name="_Toc19008824"/>
      <w:bookmarkStart w:id="277" w:name="_Toc1123951"/>
      <w:bookmarkStart w:id="278" w:name="_Toc5098069"/>
      <w:bookmarkStart w:id="279" w:name="_Toc495907132"/>
      <w:bookmarkStart w:id="280" w:name="_Toc54334005"/>
      <w:r>
        <w:rPr>
          <w:rFonts w:hint="eastAsia" w:ascii="宋体" w:hAnsi="宋体" w:eastAsia="宋体" w:cs="宋体"/>
          <w:b/>
          <w:kern w:val="44"/>
          <w:sz w:val="32"/>
          <w:szCs w:val="32"/>
        </w:rPr>
        <w:t>三、供货及/或提供服务过程承诺函格式</w:t>
      </w:r>
      <w:bookmarkEnd w:id="257"/>
      <w:bookmarkEnd w:id="258"/>
      <w:bookmarkEnd w:id="259"/>
      <w:bookmarkEnd w:id="260"/>
      <w:bookmarkEnd w:id="261"/>
      <w:bookmarkEnd w:id="262"/>
      <w:bookmarkEnd w:id="263"/>
      <w:bookmarkEnd w:id="264"/>
      <w:bookmarkEnd w:id="265"/>
      <w:bookmarkEnd w:id="266"/>
      <w:bookmarkEnd w:id="267"/>
    </w:p>
    <w:p w14:paraId="5740B228">
      <w:pPr>
        <w:autoSpaceDE w:val="0"/>
        <w:autoSpaceDN w:val="0"/>
        <w:adjustRightInd w:val="0"/>
        <w:spacing w:line="360" w:lineRule="auto"/>
        <w:jc w:val="center"/>
        <w:outlineLvl w:val="9"/>
        <w:rPr>
          <w:rFonts w:hint="eastAsia" w:ascii="宋体" w:hAnsi="宋体" w:eastAsia="宋体" w:cs="宋体"/>
          <w:b/>
          <w:kern w:val="44"/>
          <w:sz w:val="30"/>
          <w:szCs w:val="30"/>
        </w:rPr>
      </w:pPr>
      <w:r>
        <w:rPr>
          <w:rFonts w:hint="eastAsia" w:ascii="宋体" w:hAnsi="宋体" w:eastAsia="宋体" w:cs="宋体"/>
          <w:b/>
          <w:kern w:val="44"/>
          <w:sz w:val="30"/>
          <w:szCs w:val="30"/>
        </w:rPr>
        <w:t>供货及/或提供服务过程承诺函</w:t>
      </w:r>
      <w:r>
        <w:rPr>
          <w:rFonts w:hint="eastAsia" w:ascii="宋体" w:hAnsi="宋体" w:eastAsia="宋体" w:cs="宋体"/>
          <w:b/>
          <w:color w:val="auto"/>
          <w:kern w:val="44"/>
          <w:sz w:val="30"/>
          <w:szCs w:val="30"/>
          <w:lang w:val="zh-CN"/>
        </w:rPr>
        <w:t>(   包组)</w:t>
      </w:r>
    </w:p>
    <w:p w14:paraId="278832ED">
      <w:pPr>
        <w:autoSpaceDE w:val="0"/>
        <w:autoSpaceDN w:val="0"/>
        <w:adjustRightInd w:val="0"/>
        <w:spacing w:line="360" w:lineRule="auto"/>
        <w:jc w:val="left"/>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致东莞市众源环境投资有限公司：</w:t>
      </w:r>
    </w:p>
    <w:p w14:paraId="67F83C2E">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color w:val="auto"/>
          <w:kern w:val="0"/>
          <w:sz w:val="21"/>
          <w:szCs w:val="21"/>
        </w:rPr>
        <w:t>我方</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single"/>
          <w:lang w:val="en-US" w:eastAsia="zh-CN"/>
        </w:rPr>
        <w:t>供应商</w:t>
      </w:r>
      <w:r>
        <w:rPr>
          <w:rFonts w:hint="eastAsia" w:ascii="宋体" w:hAnsi="宋体" w:eastAsia="宋体" w:cs="宋体"/>
          <w:color w:val="auto"/>
          <w:kern w:val="0"/>
          <w:sz w:val="21"/>
          <w:szCs w:val="21"/>
          <w:u w:val="single"/>
        </w:rPr>
        <w:t>名称）</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rPr>
        <w:t>为</w:t>
      </w:r>
      <w:r>
        <w:rPr>
          <w:rFonts w:hint="eastAsia" w:ascii="宋体" w:hAnsi="宋体" w:eastAsia="宋体" w:cs="宋体"/>
          <w:color w:val="auto"/>
          <w:kern w:val="0"/>
          <w:sz w:val="21"/>
          <w:szCs w:val="21"/>
          <w:lang w:val="en-US" w:eastAsia="zh-CN"/>
        </w:rPr>
        <w:t>采购</w:t>
      </w:r>
      <w:r>
        <w:rPr>
          <w:rFonts w:hint="eastAsia" w:ascii="宋体" w:hAnsi="宋体" w:eastAsia="宋体" w:cs="宋体"/>
          <w:color w:val="auto"/>
          <w:kern w:val="0"/>
          <w:sz w:val="21"/>
          <w:szCs w:val="21"/>
        </w:rPr>
        <w:t>人</w:t>
      </w:r>
      <w:r>
        <w:rPr>
          <w:rFonts w:hint="eastAsia" w:ascii="宋体" w:hAnsi="宋体" w:eastAsia="宋体" w:cs="宋体"/>
          <w:color w:val="auto"/>
          <w:kern w:val="0"/>
          <w:sz w:val="21"/>
          <w:szCs w:val="21"/>
          <w:lang w:val="en-US" w:eastAsia="zh-CN"/>
        </w:rPr>
        <w:t>竞争性磋商</w:t>
      </w:r>
      <w:r>
        <w:rPr>
          <w:rFonts w:hint="eastAsia" w:ascii="宋体" w:hAnsi="宋体" w:eastAsia="宋体" w:cs="宋体"/>
          <w:color w:val="auto"/>
          <w:kern w:val="0"/>
          <w:sz w:val="21"/>
          <w:szCs w:val="21"/>
        </w:rPr>
        <w:t>的</w:t>
      </w:r>
      <w:r>
        <w:rPr>
          <w:rFonts w:hint="eastAsia" w:ascii="宋体" w:hAnsi="宋体" w:cs="宋体"/>
          <w:color w:val="auto"/>
          <w:kern w:val="0"/>
          <w:sz w:val="21"/>
          <w:szCs w:val="21"/>
          <w:u w:val="single"/>
          <w:lang w:eastAsia="zh-CN"/>
        </w:rPr>
        <w:t>东莞市众源环境投资有限公司污水处理厂污泥脱水减量处理服务（BOT权属滨海湾片区）采购项目</w:t>
      </w:r>
      <w:r>
        <w:rPr>
          <w:rFonts w:hint="eastAsia" w:ascii="宋体" w:hAnsi="宋体" w:eastAsia="宋体" w:cs="宋体"/>
          <w:color w:val="auto"/>
          <w:kern w:val="0"/>
          <w:sz w:val="21"/>
          <w:szCs w:val="21"/>
          <w:u w:val="single"/>
          <w:lang w:val="zh-CN"/>
        </w:rPr>
        <w:t>(   包组)</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采购</w:t>
      </w:r>
      <w:r>
        <w:rPr>
          <w:rFonts w:hint="eastAsia" w:ascii="宋体" w:hAnsi="宋体" w:eastAsia="宋体" w:cs="宋体"/>
          <w:color w:val="auto"/>
          <w:kern w:val="0"/>
          <w:sz w:val="21"/>
          <w:szCs w:val="21"/>
        </w:rPr>
        <w:t>编号：</w:t>
      </w:r>
      <w:r>
        <w:rPr>
          <w:rFonts w:hint="eastAsia" w:ascii="宋体" w:hAnsi="宋体" w:cs="宋体"/>
          <w:color w:val="auto"/>
          <w:sz w:val="21"/>
          <w:szCs w:val="21"/>
          <w:u w:val="single"/>
          <w:lang w:val="zh-CN"/>
        </w:rPr>
        <w:t xml:space="preserve">DGDS2024-002 </w:t>
      </w:r>
      <w:r>
        <w:rPr>
          <w:rFonts w:hint="eastAsia" w:ascii="宋体" w:hAnsi="宋体" w:eastAsia="宋体" w:cs="宋体"/>
          <w:color w:val="auto"/>
          <w:kern w:val="0"/>
          <w:sz w:val="21"/>
          <w:szCs w:val="21"/>
        </w:rPr>
        <w:t>)的</w:t>
      </w:r>
      <w:r>
        <w:rPr>
          <w:rFonts w:hint="eastAsia" w:ascii="宋体" w:hAnsi="宋体" w:eastAsia="宋体" w:cs="宋体"/>
          <w:color w:val="auto"/>
          <w:kern w:val="0"/>
          <w:sz w:val="21"/>
          <w:szCs w:val="21"/>
          <w:lang w:val="en-US" w:eastAsia="zh-CN"/>
        </w:rPr>
        <w:t>响应</w:t>
      </w:r>
      <w:r>
        <w:rPr>
          <w:rFonts w:hint="eastAsia" w:ascii="宋体" w:hAnsi="宋体" w:eastAsia="宋体" w:cs="宋体"/>
          <w:color w:val="auto"/>
          <w:kern w:val="0"/>
          <w:sz w:val="21"/>
          <w:szCs w:val="21"/>
        </w:rPr>
        <w:t>单位，为确保供货及/或提供服务过程中的人身、财产安</w:t>
      </w:r>
      <w:r>
        <w:rPr>
          <w:rFonts w:hint="eastAsia" w:ascii="宋体" w:hAnsi="宋体" w:eastAsia="宋体" w:cs="宋体"/>
          <w:kern w:val="0"/>
          <w:sz w:val="21"/>
          <w:szCs w:val="21"/>
        </w:rPr>
        <w:t>全，我方承诺，如我方获得</w:t>
      </w:r>
      <w:r>
        <w:rPr>
          <w:rFonts w:hint="eastAsia" w:ascii="宋体" w:hAnsi="宋体" w:eastAsia="宋体" w:cs="宋体"/>
          <w:kern w:val="0"/>
          <w:sz w:val="21"/>
          <w:szCs w:val="21"/>
          <w:lang w:val="en-US" w:eastAsia="zh-CN"/>
        </w:rPr>
        <w:t>成交</w:t>
      </w:r>
      <w:r>
        <w:rPr>
          <w:rFonts w:hint="eastAsia" w:ascii="宋体" w:hAnsi="宋体" w:eastAsia="宋体" w:cs="宋体"/>
          <w:kern w:val="0"/>
          <w:sz w:val="21"/>
          <w:szCs w:val="21"/>
        </w:rPr>
        <w:t>资格，将严格按照下列要求开展工作。</w:t>
      </w:r>
    </w:p>
    <w:p w14:paraId="4C5E1A71">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1、我方承诺将严格遵守国家、地方政府有关安全生产及劳动保护的法律法规、标准、规定，贯彻执行</w:t>
      </w:r>
      <w:r>
        <w:rPr>
          <w:rFonts w:hint="eastAsia" w:ascii="宋体" w:hAnsi="宋体" w:eastAsia="宋体" w:cs="宋体"/>
          <w:kern w:val="0"/>
          <w:sz w:val="21"/>
          <w:szCs w:val="21"/>
          <w:lang w:val="en-US" w:eastAsia="zh-CN"/>
        </w:rPr>
        <w:t>采购</w:t>
      </w:r>
      <w:r>
        <w:rPr>
          <w:rFonts w:hint="eastAsia" w:ascii="宋体" w:hAnsi="宋体" w:eastAsia="宋体" w:cs="宋体"/>
          <w:kern w:val="0"/>
          <w:sz w:val="21"/>
          <w:szCs w:val="21"/>
        </w:rPr>
        <w:t>人的各项安全管理规章制度。</w:t>
      </w:r>
    </w:p>
    <w:p w14:paraId="63A38716">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2、我方承诺将依法参加工伤保险，为安排至</w:t>
      </w:r>
      <w:r>
        <w:rPr>
          <w:rFonts w:hint="eastAsia" w:ascii="宋体" w:hAnsi="宋体" w:eastAsia="宋体" w:cs="宋体"/>
          <w:kern w:val="0"/>
          <w:sz w:val="21"/>
          <w:szCs w:val="21"/>
          <w:lang w:val="en-US" w:eastAsia="zh-CN"/>
        </w:rPr>
        <w:t>采购</w:t>
      </w:r>
      <w:r>
        <w:rPr>
          <w:rFonts w:hint="eastAsia" w:ascii="宋体" w:hAnsi="宋体" w:eastAsia="宋体" w:cs="宋体"/>
          <w:kern w:val="0"/>
          <w:sz w:val="21"/>
          <w:szCs w:val="21"/>
        </w:rPr>
        <w:t>人从事本项目的工作人员缴纳保险费，并为从事危险作业的人员办理意外伤害保险。</w:t>
      </w:r>
    </w:p>
    <w:p w14:paraId="360FB1D1">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3、我方承诺服从</w:t>
      </w:r>
      <w:r>
        <w:rPr>
          <w:rFonts w:hint="eastAsia" w:ascii="宋体" w:hAnsi="宋体" w:eastAsia="宋体" w:cs="宋体"/>
          <w:kern w:val="0"/>
          <w:sz w:val="21"/>
          <w:szCs w:val="21"/>
          <w:lang w:val="en-US" w:eastAsia="zh-CN"/>
        </w:rPr>
        <w:t>采购</w:t>
      </w:r>
      <w:r>
        <w:rPr>
          <w:rFonts w:hint="eastAsia" w:ascii="宋体" w:hAnsi="宋体" w:eastAsia="宋体" w:cs="宋体"/>
          <w:kern w:val="0"/>
          <w:sz w:val="21"/>
          <w:szCs w:val="21"/>
        </w:rPr>
        <w:t>人的安全管理，保证作业区域的现场文明安全管理达标，现场临时用电、机器设备、安全防护齐全、完好，并接受和配合</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的安全监督检查，我方提供到</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现场作业的所有安全装置、防护设施必须依据经</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审批后的安全技术方案进行搭设、安装，同时我方无条件保证安全防护设施使用的搭设材料的质量安全，在用于安全防护的物资进场前将有关物资的材质证明报</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，经</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确认后方可使用。</w:t>
      </w:r>
    </w:p>
    <w:p w14:paraId="380A38CF">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4、我方承诺携带进场的机器设备、机具必须是合格产品，并对携带进场的机器设备、机具安全负责管理、维护及检查，对</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和自查发现的安全隐患落实整改措施。如我方使用不合格机器设备、机具造成事故的，由我方自行承担责任。</w:t>
      </w:r>
    </w:p>
    <w:p w14:paraId="1244282E">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5、我方人员未经许可不随意到作业区域以外的其它工作场所活动，我方作业人员擅自到作业区域以外的其它工作场所活动，出现人身损害或财产损失的，由我方自行负责一切责任。我方作业人员如需动用或作业涉及到</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所属设备、电器、管线及其他设施等，承诺事先征得</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代表的同意，并采取安全防护措施。</w:t>
      </w:r>
    </w:p>
    <w:p w14:paraId="7E363E25">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6、我方承诺在进行卸货等工作时，严格遵守相关劳动安全规定，并按要求佩戴相关安全劳动防护用具。我方承诺做好安全防护措施，在工作过程中出现的安全事故由我方自行处理并承担全部责任。我方承诺我方人员在</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场所遵守</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的一切规章制度和安全条例，服从</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的监督。我方在提供服务过程中，如因违反</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相关规章制度、安全条例，或因不服从</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监督而发生安全事故的，其结果与责任均由我方负责，</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无须承担任何结果与责任。</w:t>
      </w:r>
    </w:p>
    <w:p w14:paraId="403E1196">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7、我方承诺协助和指导</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进行货物的储存，对</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的储存方式、方法、储存数量、仓库的安全设施设备、安全生产规章制度等是否符合国家标准或者国家有关规定提出合理的建议，并进行技术指导。</w:t>
      </w:r>
    </w:p>
    <w:p w14:paraId="6C1C8276">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8、我方车辆在</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场所行驶时，将严格遵守厂区道路限行，限速和限重要求，如因我方未遵守前述要求，对厂区/</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（含其人员）、我方人员、第三方造成损失的，由我方承担赔偿责任。</w:t>
      </w:r>
    </w:p>
    <w:p w14:paraId="3579C73F">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4168143A">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10、因我方原因，造成我方损失，由我方自负，给</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造成财产损失和人员伤害，我方承担全部责任，并全额赔偿</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w:t>
      </w:r>
    </w:p>
    <w:p w14:paraId="74D4CB93">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11、非因</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原因，造成我方损失的，</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无需承担任何责任，由我方自行承担全部责任。</w:t>
      </w:r>
    </w:p>
    <w:p w14:paraId="3DD42E72">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12、我方承诺严格遵守法律法规以及</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的安全管理要求，并接受</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的安全生产工作协调和监督，积极消除安全隐患。安全管理的基本要求包括但不限于以下条款：</w:t>
      </w:r>
    </w:p>
    <w:p w14:paraId="7FECA78D">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①禁火区内严禁吸烟、动火。有火灾危险的作业区域，我方承诺配置足够的灭火设施。</w:t>
      </w:r>
    </w:p>
    <w:p w14:paraId="6073866A">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②我方承诺焊接、气割作业时两瓶距离必须达到5M及以上，气瓶距可能产生火花的电器、设备和其它火源的间距必须达到10M及以上。</w:t>
      </w:r>
    </w:p>
    <w:p w14:paraId="0BD0B83B">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③我方承诺不在厂内道路、消防通道内搭建临时建筑或堆放物资。</w:t>
      </w:r>
    </w:p>
    <w:p w14:paraId="07FE16AC">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④我方承诺电动工具、电焊机等均具有漏电保护器和相应的安全防护装置。</w:t>
      </w:r>
    </w:p>
    <w:p w14:paraId="3CBF8DB7">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⑤我方承诺用电设施符合要求，杜绝电线乱接、乱拉，刀闸和开关无盖，在电器设施上堆放物品等行为。</w:t>
      </w:r>
    </w:p>
    <w:p w14:paraId="61068E5F">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⑥我方承诺防雷、防静电设施及用电设施有良好接地。</w:t>
      </w:r>
    </w:p>
    <w:p w14:paraId="50A662DD">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主管领导。</w:t>
      </w:r>
    </w:p>
    <w:p w14:paraId="4B37F71D">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13、我方承诺接受</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的检查与监督，并主动配合，做好安全工作，凡有违反上述条款的即视为我方违约，</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有权视情况从服务价款中扣除1000元/次作为违约金。</w:t>
      </w:r>
    </w:p>
    <w:p w14:paraId="379E85FD">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如因我方违反上述条款造成安全生产事故的，我方将承担由此引发的一切责任与后果，如造成</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损失的，我方将予以足额赔偿，同时，</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有权没收我方提交的履约担保。</w:t>
      </w:r>
    </w:p>
    <w:p w14:paraId="569DCC4B">
      <w:pPr>
        <w:autoSpaceDE w:val="0"/>
        <w:autoSpaceDN w:val="0"/>
        <w:adjustRightInd w:val="0"/>
        <w:spacing w:line="360" w:lineRule="auto"/>
        <w:ind w:firstLine="5040"/>
        <w:outlineLvl w:val="9"/>
        <w:rPr>
          <w:rFonts w:hint="eastAsia" w:ascii="宋体" w:hAnsi="宋体" w:eastAsia="宋体" w:cs="宋体"/>
          <w:kern w:val="0"/>
          <w:sz w:val="21"/>
          <w:szCs w:val="21"/>
        </w:rPr>
      </w:pPr>
      <w:r>
        <w:rPr>
          <w:rFonts w:hint="eastAsia" w:ascii="宋体" w:hAnsi="宋体" w:eastAsia="宋体" w:cs="宋体"/>
          <w:kern w:val="0"/>
          <w:sz w:val="21"/>
          <w:szCs w:val="21"/>
        </w:rPr>
        <w:t xml:space="preserve">                                 </w:t>
      </w:r>
    </w:p>
    <w:p w14:paraId="21CAF441">
      <w:pPr>
        <w:spacing w:line="360" w:lineRule="auto"/>
        <w:ind w:firstLine="4252" w:firstLineChars="2025"/>
        <w:jc w:val="both"/>
        <w:rPr>
          <w:rFonts w:hint="eastAsia" w:ascii="宋体" w:hAnsi="宋体" w:eastAsia="宋体" w:cs="宋体"/>
          <w:color w:val="auto"/>
          <w:kern w:val="2"/>
          <w:sz w:val="21"/>
          <w:highlight w:val="none"/>
          <w:u w:val="single"/>
        </w:rPr>
      </w:pPr>
      <w:r>
        <w:rPr>
          <w:rFonts w:hint="eastAsia" w:ascii="宋体" w:hAnsi="宋体" w:eastAsia="宋体" w:cs="宋体"/>
          <w:color w:val="auto"/>
          <w:kern w:val="2"/>
          <w:sz w:val="21"/>
          <w:highlight w:val="none"/>
          <w:lang w:val="zh-CN"/>
        </w:rPr>
        <w:t>供应商：（加盖供应商法人公章）</w:t>
      </w:r>
    </w:p>
    <w:p w14:paraId="4BDD2DD3">
      <w:pPr>
        <w:spacing w:line="360" w:lineRule="auto"/>
        <w:ind w:firstLine="4252" w:firstLineChars="2025"/>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法定代表人或其授权代表签名（或盖私章）：</w:t>
      </w:r>
    </w:p>
    <w:p w14:paraId="01731EB1">
      <w:pPr>
        <w:spacing w:line="360" w:lineRule="auto"/>
        <w:ind w:firstLine="4252" w:firstLineChars="2025"/>
        <w:jc w:val="both"/>
        <w:rPr>
          <w:rFonts w:hint="eastAsia" w:ascii="宋体" w:hAnsi="宋体" w:eastAsia="宋体" w:cs="宋体"/>
          <w:color w:val="auto"/>
          <w:kern w:val="2"/>
          <w:highlight w:val="none"/>
          <w:lang w:val="zh-CN"/>
        </w:rPr>
      </w:pPr>
      <w:r>
        <w:rPr>
          <w:rFonts w:hint="eastAsia" w:ascii="宋体" w:hAnsi="宋体" w:eastAsia="宋体" w:cs="宋体"/>
          <w:color w:val="auto"/>
          <w:kern w:val="2"/>
          <w:sz w:val="21"/>
          <w:highlight w:val="none"/>
          <w:lang w:val="zh-CN"/>
        </w:rPr>
        <w:t>日</w:t>
      </w:r>
      <w:r>
        <w:rPr>
          <w:rFonts w:hint="eastAsia" w:ascii="宋体" w:hAnsi="宋体" w:cs="宋体"/>
          <w:color w:val="auto"/>
          <w:kern w:val="2"/>
          <w:sz w:val="21"/>
          <w:highlight w:val="none"/>
          <w:lang w:val="en-US" w:eastAsia="zh-CN"/>
        </w:rPr>
        <w:t xml:space="preserve">  </w:t>
      </w:r>
      <w:r>
        <w:rPr>
          <w:rFonts w:hint="eastAsia" w:ascii="宋体" w:hAnsi="宋体" w:eastAsia="宋体" w:cs="宋体"/>
          <w:color w:val="auto"/>
          <w:kern w:val="2"/>
          <w:sz w:val="21"/>
          <w:highlight w:val="none"/>
          <w:lang w:val="zh-CN"/>
        </w:rPr>
        <w:t>期：</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年</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月</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 xml:space="preserve">日 </w:t>
      </w:r>
    </w:p>
    <w:p w14:paraId="2503D05C">
      <w:pPr>
        <w:pageBreakBefore/>
        <w:spacing w:line="360" w:lineRule="auto"/>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四</w:t>
      </w:r>
      <w:r>
        <w:rPr>
          <w:rFonts w:hint="eastAsia" w:ascii="宋体" w:hAnsi="宋体" w:eastAsia="宋体" w:cs="宋体"/>
          <w:b/>
          <w:color w:val="auto"/>
          <w:sz w:val="32"/>
          <w:szCs w:val="32"/>
          <w:highlight w:val="none"/>
        </w:rPr>
        <w:t>、首次报价表格式</w:t>
      </w:r>
      <w:bookmarkEnd w:id="268"/>
      <w:bookmarkEnd w:id="269"/>
      <w:bookmarkEnd w:id="270"/>
      <w:bookmarkEnd w:id="271"/>
      <w:bookmarkEnd w:id="272"/>
      <w:bookmarkEnd w:id="273"/>
      <w:bookmarkEnd w:id="274"/>
      <w:bookmarkEnd w:id="275"/>
      <w:bookmarkEnd w:id="276"/>
      <w:bookmarkEnd w:id="277"/>
      <w:bookmarkEnd w:id="278"/>
      <w:bookmarkEnd w:id="279"/>
      <w:bookmarkEnd w:id="280"/>
    </w:p>
    <w:p w14:paraId="4429D9A8">
      <w:pPr>
        <w:spacing w:line="360" w:lineRule="auto"/>
        <w:jc w:val="left"/>
        <w:rPr>
          <w:rFonts w:hint="eastAsia" w:ascii="宋体" w:hAnsi="宋体" w:eastAsia="宋体" w:cs="宋体"/>
          <w:b/>
          <w:bCs/>
          <w:color w:val="auto"/>
          <w:kern w:val="2"/>
          <w:sz w:val="30"/>
          <w:szCs w:val="30"/>
          <w:highlight w:val="none"/>
          <w:lang w:val="zh-CN"/>
        </w:rPr>
      </w:pPr>
      <w:bookmarkStart w:id="281" w:name="_Toc1294"/>
      <w:bookmarkStart w:id="282" w:name="_Toc102860416"/>
      <w:bookmarkStart w:id="283" w:name="_Toc2395_WPSOffice_Level3"/>
      <w:bookmarkStart w:id="284" w:name="_Toc94107207"/>
      <w:bookmarkStart w:id="285" w:name="_Toc104991873"/>
      <w:bookmarkStart w:id="286" w:name="_Toc15425"/>
      <w:bookmarkStart w:id="287" w:name="_Toc140596926"/>
      <w:bookmarkStart w:id="288" w:name="_Toc102860072"/>
      <w:bookmarkStart w:id="289" w:name="_Toc142508367"/>
      <w:bookmarkStart w:id="290" w:name="_Toc24175"/>
      <w:bookmarkStart w:id="291" w:name="_Toc521576296"/>
      <w:bookmarkStart w:id="292" w:name="_Toc521918117"/>
      <w:bookmarkStart w:id="293" w:name="_Toc519153435"/>
      <w:bookmarkStart w:id="294" w:name="_Toc522047376"/>
      <w:bookmarkStart w:id="295" w:name="_Toc532576763"/>
      <w:bookmarkStart w:id="296" w:name="_Toc521918314"/>
      <w:r>
        <w:rPr>
          <w:rFonts w:hint="eastAsia" w:ascii="宋体" w:hAnsi="宋体" w:eastAsia="宋体" w:cs="宋体"/>
          <w:b/>
          <w:bCs/>
          <w:color w:val="auto"/>
          <w:kern w:val="2"/>
          <w:sz w:val="30"/>
          <w:szCs w:val="30"/>
          <w:highlight w:val="none"/>
          <w:lang w:val="zh-CN"/>
        </w:rPr>
        <w:t xml:space="preserve">4.1 </w:t>
      </w:r>
      <w:r>
        <w:rPr>
          <w:rFonts w:hint="eastAsia" w:ascii="宋体" w:hAnsi="宋体" w:cs="宋体"/>
          <w:b/>
          <w:bCs/>
          <w:color w:val="auto"/>
          <w:kern w:val="2"/>
          <w:sz w:val="30"/>
          <w:szCs w:val="30"/>
          <w:highlight w:val="none"/>
          <w:lang w:val="en-US" w:eastAsia="zh-CN"/>
        </w:rPr>
        <w:t>首次</w:t>
      </w:r>
      <w:r>
        <w:rPr>
          <w:rFonts w:hint="eastAsia" w:ascii="宋体" w:hAnsi="宋体" w:eastAsia="宋体" w:cs="宋体"/>
          <w:b/>
          <w:bCs/>
          <w:color w:val="auto"/>
          <w:kern w:val="2"/>
          <w:sz w:val="30"/>
          <w:szCs w:val="30"/>
          <w:highlight w:val="none"/>
          <w:lang w:val="zh-CN"/>
        </w:rPr>
        <w:t>报价表</w:t>
      </w:r>
      <w:bookmarkEnd w:id="281"/>
      <w:bookmarkEnd w:id="282"/>
      <w:bookmarkEnd w:id="283"/>
      <w:bookmarkEnd w:id="284"/>
      <w:bookmarkEnd w:id="285"/>
      <w:bookmarkEnd w:id="286"/>
      <w:bookmarkEnd w:id="287"/>
      <w:bookmarkEnd w:id="288"/>
      <w:bookmarkEnd w:id="289"/>
      <w:bookmarkEnd w:id="290"/>
    </w:p>
    <w:p w14:paraId="152C16F0">
      <w:pPr>
        <w:spacing w:line="360" w:lineRule="auto"/>
        <w:jc w:val="center"/>
        <w:rPr>
          <w:rFonts w:hint="eastAsia" w:ascii="宋体" w:hAnsi="宋体" w:eastAsia="宋体" w:cs="宋体"/>
          <w:b/>
          <w:bCs/>
          <w:color w:val="auto"/>
          <w:kern w:val="2"/>
          <w:sz w:val="30"/>
          <w:szCs w:val="30"/>
          <w:highlight w:val="none"/>
        </w:rPr>
      </w:pPr>
      <w:r>
        <w:rPr>
          <w:rFonts w:hint="eastAsia" w:ascii="宋体" w:hAnsi="宋体" w:eastAsia="宋体" w:cs="宋体"/>
          <w:b/>
          <w:bCs/>
          <w:color w:val="auto"/>
          <w:kern w:val="2"/>
          <w:sz w:val="30"/>
          <w:szCs w:val="30"/>
          <w:highlight w:val="none"/>
          <w:lang w:val="zh-CN"/>
        </w:rPr>
        <w:t>首次报价</w:t>
      </w:r>
      <w:bookmarkEnd w:id="291"/>
      <w:bookmarkEnd w:id="292"/>
      <w:bookmarkEnd w:id="293"/>
      <w:bookmarkEnd w:id="294"/>
      <w:bookmarkEnd w:id="295"/>
      <w:bookmarkEnd w:id="296"/>
      <w:r>
        <w:rPr>
          <w:rFonts w:hint="eastAsia" w:ascii="宋体" w:hAnsi="宋体" w:eastAsia="宋体" w:cs="宋体"/>
          <w:b/>
          <w:bCs/>
          <w:color w:val="auto"/>
          <w:kern w:val="2"/>
          <w:sz w:val="30"/>
          <w:szCs w:val="30"/>
          <w:highlight w:val="none"/>
          <w:lang w:val="zh-CN"/>
        </w:rPr>
        <w:t>表</w:t>
      </w:r>
      <w:r>
        <w:rPr>
          <w:rFonts w:hint="eastAsia" w:ascii="宋体" w:hAnsi="宋体" w:eastAsia="宋体" w:cs="宋体"/>
          <w:b/>
          <w:bCs/>
          <w:color w:val="auto"/>
          <w:sz w:val="30"/>
          <w:szCs w:val="30"/>
          <w:lang w:val="zh-CN"/>
        </w:rPr>
        <w:t>(   包组)</w:t>
      </w:r>
    </w:p>
    <w:p w14:paraId="00FC610E">
      <w:pPr>
        <w:pStyle w:val="32"/>
        <w:spacing w:line="360" w:lineRule="auto"/>
        <w:ind w:left="1054" w:hanging="1054" w:hangingChars="50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项目名称：</w:t>
      </w:r>
      <w:r>
        <w:rPr>
          <w:rFonts w:hint="eastAsia" w:ascii="宋体" w:hAnsi="宋体" w:eastAsia="宋体" w:cs="宋体"/>
          <w:color w:val="auto"/>
          <w:kern w:val="0"/>
          <w:sz w:val="21"/>
          <w:szCs w:val="21"/>
          <w:u w:val="single"/>
          <w:lang w:eastAsia="zh-CN"/>
        </w:rPr>
        <w:t>东莞市众源环境投资有限公司污水处理厂污泥脱水减量处理服务（BOT权属滨海湾片区）采购项目</w:t>
      </w:r>
    </w:p>
    <w:p w14:paraId="53E20F05">
      <w:pPr>
        <w:pStyle w:val="32"/>
        <w:spacing w:line="360" w:lineRule="auto"/>
        <w:rPr>
          <w:rFonts w:hint="eastAsia" w:ascii="宋体" w:hAnsi="宋体" w:eastAsia="宋体" w:cs="宋体"/>
          <w:b w:val="0"/>
          <w:color w:val="auto"/>
          <w:sz w:val="21"/>
          <w:szCs w:val="21"/>
          <w:highlight w:val="none"/>
          <w:u w:val="single"/>
          <w:lang w:eastAsia="zh-CN"/>
        </w:rPr>
      </w:pPr>
      <w:r>
        <w:rPr>
          <w:rFonts w:hint="eastAsia" w:ascii="宋体" w:hAnsi="宋体" w:eastAsia="宋体" w:cs="宋体"/>
          <w:b/>
          <w:color w:val="auto"/>
          <w:sz w:val="21"/>
          <w:szCs w:val="21"/>
          <w:highlight w:val="none"/>
        </w:rPr>
        <w:t>采购编号：</w:t>
      </w:r>
      <w:r>
        <w:rPr>
          <w:rFonts w:hint="eastAsia" w:ascii="宋体" w:hAnsi="宋体" w:eastAsia="宋体" w:cs="宋体"/>
          <w:color w:val="auto"/>
          <w:kern w:val="0"/>
          <w:sz w:val="21"/>
          <w:szCs w:val="21"/>
          <w:u w:val="single"/>
          <w:lang w:eastAsia="zh-CN"/>
        </w:rPr>
        <w:t xml:space="preserve">DGDS2024-002 </w:t>
      </w:r>
    </w:p>
    <w:tbl>
      <w:tblPr>
        <w:tblStyle w:val="5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95"/>
        <w:gridCol w:w="3566"/>
        <w:gridCol w:w="3833"/>
        <w:gridCol w:w="1193"/>
      </w:tblGrid>
      <w:tr w14:paraId="04B9D4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374" w:type="pct"/>
            <w:tcBorders>
              <w:top w:val="single" w:color="auto" w:sz="4" w:space="0"/>
              <w:left w:val="single" w:color="auto" w:sz="4" w:space="0"/>
              <w:bottom w:val="single" w:color="auto" w:sz="4" w:space="0"/>
              <w:right w:val="single" w:color="auto" w:sz="4" w:space="0"/>
            </w:tcBorders>
            <w:vAlign w:val="center"/>
          </w:tcPr>
          <w:p w14:paraId="28D3F044">
            <w:pPr>
              <w:keepNext w:val="0"/>
              <w:keepLines w:val="0"/>
              <w:suppressLineNumbers w:val="0"/>
              <w:autoSpaceDE w:val="0"/>
              <w:autoSpaceDN w:val="0"/>
              <w:spacing w:before="0" w:beforeAutospacing="0" w:after="0" w:afterAutospacing="0" w:line="240" w:lineRule="auto"/>
              <w:ind w:left="0" w:right="0"/>
              <w:jc w:val="center"/>
              <w:outlineLvl w:val="9"/>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序号</w:t>
            </w:r>
          </w:p>
        </w:tc>
        <w:tc>
          <w:tcPr>
            <w:tcW w:w="1919" w:type="pct"/>
            <w:tcBorders>
              <w:top w:val="single" w:color="auto" w:sz="4" w:space="0"/>
              <w:left w:val="single" w:color="auto" w:sz="4" w:space="0"/>
              <w:bottom w:val="single" w:color="auto" w:sz="4" w:space="0"/>
              <w:right w:val="single" w:color="auto" w:sz="4" w:space="0"/>
            </w:tcBorders>
            <w:vAlign w:val="center"/>
          </w:tcPr>
          <w:p w14:paraId="1CE43217">
            <w:pPr>
              <w:keepNext w:val="0"/>
              <w:keepLines w:val="0"/>
              <w:suppressLineNumbers w:val="0"/>
              <w:autoSpaceDE w:val="0"/>
              <w:autoSpaceDN w:val="0"/>
              <w:spacing w:before="0" w:beforeAutospacing="0" w:after="0" w:afterAutospacing="0" w:line="240" w:lineRule="auto"/>
              <w:ind w:left="0" w:right="0"/>
              <w:jc w:val="center"/>
              <w:outlineLvl w:val="9"/>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名称</w:t>
            </w:r>
          </w:p>
        </w:tc>
        <w:tc>
          <w:tcPr>
            <w:tcW w:w="2063" w:type="pct"/>
            <w:tcBorders>
              <w:top w:val="single" w:color="auto" w:sz="4" w:space="0"/>
              <w:left w:val="single" w:color="auto" w:sz="4" w:space="0"/>
              <w:bottom w:val="single" w:color="auto" w:sz="4" w:space="0"/>
              <w:right w:val="single" w:color="auto" w:sz="4" w:space="0"/>
            </w:tcBorders>
            <w:vAlign w:val="center"/>
          </w:tcPr>
          <w:p w14:paraId="27129826">
            <w:pPr>
              <w:keepNext w:val="0"/>
              <w:keepLines w:val="0"/>
              <w:suppressLineNumbers w:val="0"/>
              <w:autoSpaceDE w:val="0"/>
              <w:autoSpaceDN w:val="0"/>
              <w:spacing w:before="0" w:beforeAutospacing="0" w:after="0" w:afterAutospacing="0" w:line="240" w:lineRule="auto"/>
              <w:ind w:left="0" w:right="0"/>
              <w:jc w:val="center"/>
              <w:outlineLvl w:val="9"/>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lang w:val="en-US" w:eastAsia="zh-CN"/>
              </w:rPr>
              <w:t>响应</w:t>
            </w:r>
            <w:r>
              <w:rPr>
                <w:rFonts w:hint="eastAsia" w:ascii="宋体" w:hAnsi="宋体" w:eastAsia="宋体" w:cs="宋体"/>
                <w:b/>
                <w:color w:val="auto"/>
                <w:kern w:val="0"/>
                <w:sz w:val="21"/>
                <w:szCs w:val="21"/>
              </w:rPr>
              <w:t>报价</w:t>
            </w:r>
            <w:r>
              <w:rPr>
                <w:rFonts w:hint="eastAsia" w:ascii="宋体" w:hAnsi="宋体" w:eastAsia="宋体" w:cs="宋体"/>
                <w:b/>
                <w:color w:val="auto"/>
                <w:kern w:val="0"/>
                <w:sz w:val="21"/>
                <w:szCs w:val="21"/>
                <w:lang w:eastAsia="zh-CN"/>
              </w:rPr>
              <w:t>（</w:t>
            </w:r>
            <w:r>
              <w:rPr>
                <w:rFonts w:hint="eastAsia" w:ascii="宋体" w:hAnsi="宋体" w:eastAsia="宋体" w:cs="宋体"/>
                <w:b/>
                <w:color w:val="auto"/>
                <w:kern w:val="0"/>
                <w:sz w:val="21"/>
                <w:szCs w:val="21"/>
                <w:lang w:val="en-US" w:eastAsia="zh-CN"/>
              </w:rPr>
              <w:t>不含销项税</w:t>
            </w:r>
            <w:r>
              <w:rPr>
                <w:rFonts w:hint="eastAsia" w:ascii="宋体" w:hAnsi="宋体" w:eastAsia="宋体" w:cs="宋体"/>
                <w:b/>
                <w:color w:val="auto"/>
                <w:kern w:val="0"/>
                <w:sz w:val="21"/>
                <w:szCs w:val="21"/>
                <w:lang w:eastAsia="zh-CN"/>
              </w:rPr>
              <w:t>）</w:t>
            </w:r>
          </w:p>
        </w:tc>
        <w:tc>
          <w:tcPr>
            <w:tcW w:w="642" w:type="pct"/>
            <w:tcBorders>
              <w:top w:val="single" w:color="auto" w:sz="4" w:space="0"/>
              <w:left w:val="single" w:color="auto" w:sz="4" w:space="0"/>
              <w:bottom w:val="single" w:color="auto" w:sz="4" w:space="0"/>
              <w:right w:val="single" w:color="auto" w:sz="4" w:space="0"/>
            </w:tcBorders>
            <w:vAlign w:val="center"/>
          </w:tcPr>
          <w:p w14:paraId="6C48D827">
            <w:pPr>
              <w:keepNext w:val="0"/>
              <w:keepLines w:val="0"/>
              <w:suppressLineNumbers w:val="0"/>
              <w:autoSpaceDE w:val="0"/>
              <w:autoSpaceDN w:val="0"/>
              <w:spacing w:before="0" w:beforeAutospacing="0" w:after="0" w:afterAutospacing="0" w:line="240" w:lineRule="auto"/>
              <w:ind w:left="0" w:right="0"/>
              <w:jc w:val="center"/>
              <w:outlineLvl w:val="9"/>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备注</w:t>
            </w:r>
          </w:p>
        </w:tc>
      </w:tr>
      <w:tr w14:paraId="567BBB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374" w:type="pct"/>
            <w:tcBorders>
              <w:top w:val="single" w:color="auto" w:sz="4" w:space="0"/>
              <w:left w:val="single" w:color="auto" w:sz="4" w:space="0"/>
              <w:right w:val="single" w:color="auto" w:sz="4" w:space="0"/>
            </w:tcBorders>
            <w:vAlign w:val="center"/>
          </w:tcPr>
          <w:p w14:paraId="04EE87CB">
            <w:pPr>
              <w:keepNext w:val="0"/>
              <w:keepLines w:val="0"/>
              <w:suppressLineNumbers w:val="0"/>
              <w:autoSpaceDE w:val="0"/>
              <w:autoSpaceDN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919" w:type="pct"/>
            <w:tcBorders>
              <w:top w:val="single" w:color="auto" w:sz="4" w:space="0"/>
              <w:left w:val="single" w:color="auto" w:sz="4" w:space="0"/>
              <w:right w:val="single" w:color="auto" w:sz="4" w:space="0"/>
            </w:tcBorders>
            <w:vAlign w:val="center"/>
          </w:tcPr>
          <w:p w14:paraId="05086C31">
            <w:pPr>
              <w:keepNext w:val="0"/>
              <w:keepLines w:val="0"/>
              <w:suppressLineNumbers w:val="0"/>
              <w:autoSpaceDE w:val="0"/>
              <w:autoSpaceDN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rPr>
            </w:pPr>
            <w:r>
              <w:rPr>
                <w:rFonts w:hint="eastAsia" w:ascii="宋体" w:hAnsi="宋体" w:cs="宋体"/>
                <w:color w:val="auto"/>
                <w:sz w:val="21"/>
                <w:szCs w:val="21"/>
                <w:lang w:val="zh-CN"/>
              </w:rPr>
              <w:t>东莞市众源环境投资有限公司污水处理厂污泥脱水减量处理服务（BOT权属滨海湾片区）采购项目</w:t>
            </w:r>
            <w:r>
              <w:rPr>
                <w:rFonts w:hint="eastAsia" w:ascii="宋体" w:hAnsi="宋体" w:eastAsia="宋体" w:cs="宋体"/>
                <w:color w:val="auto"/>
                <w:sz w:val="21"/>
                <w:szCs w:val="21"/>
                <w:lang w:val="zh-CN"/>
              </w:rPr>
              <w:t>(   包组)</w:t>
            </w:r>
          </w:p>
        </w:tc>
        <w:tc>
          <w:tcPr>
            <w:tcW w:w="2063" w:type="pct"/>
            <w:tcBorders>
              <w:top w:val="single" w:color="auto" w:sz="4" w:space="0"/>
              <w:left w:val="single" w:color="auto" w:sz="4" w:space="0"/>
              <w:right w:val="single" w:color="auto" w:sz="4" w:space="0"/>
            </w:tcBorders>
            <w:vAlign w:val="center"/>
          </w:tcPr>
          <w:p w14:paraId="27449AA8">
            <w:pPr>
              <w:keepNext w:val="0"/>
              <w:keepLines w:val="0"/>
              <w:suppressLineNumbers w:val="0"/>
              <w:tabs>
                <w:tab w:val="left" w:pos="8610"/>
              </w:tabs>
              <w:spacing w:before="0" w:beforeAutospacing="0" w:after="0" w:afterAutospacing="0" w:line="360" w:lineRule="auto"/>
              <w:ind w:left="0" w:right="0"/>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不含税处理服务费单价（将从污水厂储泥池或沉淀池抽取的污泥脱水减量至含水率不高于55%的半干化污泥的不含税处理服务费单价，</w:t>
            </w:r>
            <w:r>
              <w:rPr>
                <w:rFonts w:hint="eastAsia" w:ascii="宋体" w:hAnsi="宋体" w:eastAsia="宋体" w:cs="宋体"/>
                <w:color w:val="auto"/>
                <w:kern w:val="0"/>
                <w:sz w:val="21"/>
                <w:szCs w:val="21"/>
                <w:lang w:val="zh-CN"/>
              </w:rPr>
              <w:t>按含水率80%湿泥计量</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元/吨</w:t>
            </w:r>
          </w:p>
        </w:tc>
        <w:tc>
          <w:tcPr>
            <w:tcW w:w="642" w:type="pct"/>
            <w:tcBorders>
              <w:top w:val="single" w:color="auto" w:sz="4" w:space="0"/>
              <w:left w:val="single" w:color="auto" w:sz="4" w:space="0"/>
              <w:right w:val="single" w:color="auto" w:sz="4" w:space="0"/>
            </w:tcBorders>
            <w:vAlign w:val="center"/>
          </w:tcPr>
          <w:p w14:paraId="10ACF238">
            <w:pPr>
              <w:keepNext w:val="0"/>
              <w:keepLines w:val="0"/>
              <w:suppressLineNumbers w:val="0"/>
              <w:tabs>
                <w:tab w:val="left" w:pos="8610"/>
              </w:tabs>
              <w:spacing w:before="0" w:beforeAutospacing="0" w:after="0" w:afterAutospacing="0" w:line="360" w:lineRule="auto"/>
              <w:ind w:left="0" w:right="0"/>
              <w:jc w:val="center"/>
              <w:outlineLvl w:val="9"/>
              <w:rPr>
                <w:rFonts w:hint="eastAsia" w:ascii="宋体" w:hAnsi="宋体" w:eastAsia="宋体" w:cs="宋体"/>
                <w:color w:val="auto"/>
                <w:kern w:val="0"/>
                <w:sz w:val="21"/>
                <w:szCs w:val="21"/>
              </w:rPr>
            </w:pPr>
          </w:p>
        </w:tc>
      </w:tr>
    </w:tbl>
    <w:p w14:paraId="3363ED23">
      <w:pPr>
        <w:autoSpaceDE w:val="0"/>
        <w:autoSpaceDN w:val="0"/>
        <w:adjustRightInd w:val="0"/>
        <w:spacing w:line="360" w:lineRule="auto"/>
        <w:outlineLvl w:val="9"/>
        <w:rPr>
          <w:rFonts w:hint="eastAsia" w:ascii="宋体" w:hAnsi="宋体" w:eastAsia="宋体" w:cs="宋体"/>
          <w:kern w:val="0"/>
          <w:sz w:val="21"/>
          <w:szCs w:val="21"/>
        </w:rPr>
      </w:pPr>
    </w:p>
    <w:p w14:paraId="3BEB28F6">
      <w:pPr>
        <w:autoSpaceDE w:val="0"/>
        <w:autoSpaceDN w:val="0"/>
        <w:adjustRightInd w:val="0"/>
        <w:spacing w:line="360" w:lineRule="auto"/>
        <w:outlineLvl w:val="9"/>
        <w:rPr>
          <w:rFonts w:hint="eastAsia" w:ascii="宋体" w:hAnsi="宋体" w:eastAsia="宋体" w:cs="宋体"/>
          <w:kern w:val="0"/>
          <w:sz w:val="21"/>
          <w:szCs w:val="21"/>
        </w:rPr>
      </w:pPr>
      <w:r>
        <w:rPr>
          <w:rFonts w:hint="eastAsia" w:ascii="宋体" w:hAnsi="宋体" w:eastAsia="宋体" w:cs="宋体"/>
          <w:kern w:val="0"/>
          <w:sz w:val="21"/>
          <w:szCs w:val="21"/>
        </w:rPr>
        <w:t>备注：</w:t>
      </w:r>
    </w:p>
    <w:p w14:paraId="17D5160B">
      <w:pPr>
        <w:autoSpaceDE w:val="0"/>
        <w:autoSpaceDN w:val="0"/>
        <w:adjustRightInd w:val="0"/>
        <w:snapToGrid w:val="0"/>
        <w:spacing w:line="360" w:lineRule="auto"/>
        <w:ind w:left="610" w:leftChars="18" w:hanging="567" w:hangingChars="27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（1）</w:t>
      </w:r>
      <w:r>
        <w:rPr>
          <w:rFonts w:hint="eastAsia" w:ascii="宋体" w:hAnsi="宋体" w:eastAsia="宋体" w:cs="宋体"/>
          <w:b/>
          <w:kern w:val="0"/>
          <w:sz w:val="21"/>
          <w:szCs w:val="21"/>
          <w:u w:val="single"/>
        </w:rPr>
        <w:t>本项目</w:t>
      </w:r>
      <w:r>
        <w:rPr>
          <w:rFonts w:hint="eastAsia" w:ascii="宋体" w:hAnsi="宋体" w:eastAsia="宋体" w:cs="宋体"/>
          <w:b/>
          <w:kern w:val="0"/>
          <w:sz w:val="21"/>
          <w:szCs w:val="21"/>
          <w:u w:val="single"/>
          <w:lang w:val="en-US" w:eastAsia="zh-CN"/>
        </w:rPr>
        <w:t>响应</w:t>
      </w:r>
      <w:r>
        <w:rPr>
          <w:rFonts w:hint="eastAsia" w:ascii="宋体" w:hAnsi="宋体" w:eastAsia="宋体" w:cs="宋体"/>
          <w:b/>
          <w:kern w:val="0"/>
          <w:sz w:val="21"/>
          <w:szCs w:val="21"/>
          <w:u w:val="single"/>
        </w:rPr>
        <w:t>报价为不含税价，即为《中华人民共和国增值税暂行条例》（国务院令第691号修订版）规定的销售额</w:t>
      </w:r>
      <w:r>
        <w:rPr>
          <w:rFonts w:hint="eastAsia" w:ascii="宋体" w:hAnsi="宋体" w:eastAsia="宋体" w:cs="宋体"/>
          <w:kern w:val="0"/>
          <w:sz w:val="21"/>
          <w:szCs w:val="21"/>
        </w:rPr>
        <w:t>。本</w:t>
      </w:r>
      <w:r>
        <w:rPr>
          <w:rFonts w:hint="eastAsia" w:ascii="宋体" w:hAnsi="宋体" w:eastAsia="宋体" w:cs="宋体"/>
          <w:kern w:val="0"/>
          <w:sz w:val="21"/>
          <w:szCs w:val="21"/>
          <w:lang w:val="en-US" w:eastAsia="zh-CN"/>
        </w:rPr>
        <w:t>竞争性磋商</w:t>
      </w:r>
      <w:r>
        <w:rPr>
          <w:rFonts w:hint="eastAsia" w:ascii="宋体" w:hAnsi="宋体" w:eastAsia="宋体" w:cs="宋体"/>
          <w:kern w:val="0"/>
          <w:sz w:val="21"/>
          <w:szCs w:val="21"/>
        </w:rPr>
        <w:t>文件所称的不含税价是指不含本采购项目的</w:t>
      </w:r>
      <w:r>
        <w:rPr>
          <w:rFonts w:hint="eastAsia" w:ascii="宋体" w:hAnsi="宋体" w:eastAsia="宋体" w:cs="宋体"/>
          <w:kern w:val="0"/>
          <w:sz w:val="21"/>
          <w:szCs w:val="21"/>
          <w:lang w:val="en-US" w:eastAsia="zh-CN"/>
        </w:rPr>
        <w:t>供应商</w:t>
      </w:r>
      <w:r>
        <w:rPr>
          <w:rFonts w:hint="eastAsia" w:ascii="宋体" w:hAnsi="宋体" w:eastAsia="宋体" w:cs="宋体"/>
          <w:kern w:val="0"/>
          <w:sz w:val="21"/>
          <w:szCs w:val="21"/>
        </w:rPr>
        <w:t>销项税额，包含了</w:t>
      </w:r>
      <w:r>
        <w:rPr>
          <w:rFonts w:hint="eastAsia" w:ascii="宋体" w:hAnsi="宋体" w:eastAsia="宋体" w:cs="宋体"/>
          <w:kern w:val="0"/>
          <w:sz w:val="21"/>
          <w:szCs w:val="21"/>
          <w:lang w:val="en-US" w:eastAsia="zh-CN"/>
        </w:rPr>
        <w:t>供应商</w:t>
      </w:r>
      <w:r>
        <w:rPr>
          <w:rFonts w:hint="eastAsia" w:ascii="宋体" w:hAnsi="宋体" w:eastAsia="宋体" w:cs="宋体"/>
          <w:kern w:val="0"/>
          <w:sz w:val="21"/>
          <w:szCs w:val="21"/>
        </w:rPr>
        <w:t>完成合同义务（含</w:t>
      </w:r>
      <w:r>
        <w:rPr>
          <w:rFonts w:hint="eastAsia" w:ascii="宋体" w:hAnsi="宋体" w:eastAsia="宋体" w:cs="宋体"/>
          <w:kern w:val="0"/>
          <w:sz w:val="21"/>
          <w:szCs w:val="21"/>
          <w:lang w:val="en-US" w:eastAsia="zh-CN"/>
        </w:rPr>
        <w:t>供应商</w:t>
      </w:r>
      <w:r>
        <w:rPr>
          <w:rFonts w:hint="eastAsia" w:ascii="宋体" w:hAnsi="宋体" w:eastAsia="宋体" w:cs="宋体"/>
          <w:kern w:val="0"/>
          <w:sz w:val="21"/>
          <w:szCs w:val="21"/>
        </w:rPr>
        <w:t>代缴代扣、分包及委外服务、施工、采购货物等所产生的价税）的其他全部费用。</w:t>
      </w:r>
      <w:r>
        <w:rPr>
          <w:rFonts w:hint="eastAsia" w:ascii="宋体" w:hAnsi="宋体" w:eastAsia="宋体" w:cs="宋体"/>
          <w:sz w:val="21"/>
          <w:szCs w:val="21"/>
          <w:lang w:val="zh-CN"/>
        </w:rPr>
        <w:t>本采购项目的销项税额由</w:t>
      </w:r>
      <w:r>
        <w:rPr>
          <w:rFonts w:hint="eastAsia" w:ascii="宋体" w:hAnsi="宋体" w:eastAsia="宋体" w:cs="宋体"/>
          <w:sz w:val="21"/>
          <w:szCs w:val="21"/>
          <w:lang w:val="en-US" w:eastAsia="zh-CN"/>
        </w:rPr>
        <w:t>采购</w:t>
      </w:r>
      <w:r>
        <w:rPr>
          <w:rFonts w:hint="eastAsia" w:ascii="宋体" w:hAnsi="宋体" w:eastAsia="宋体" w:cs="宋体"/>
          <w:sz w:val="21"/>
          <w:szCs w:val="21"/>
          <w:lang w:val="zh-CN"/>
        </w:rPr>
        <w:t>人承担</w:t>
      </w:r>
      <w:r>
        <w:rPr>
          <w:rFonts w:hint="eastAsia" w:ascii="宋体" w:hAnsi="宋体" w:eastAsia="宋体" w:cs="宋体"/>
          <w:kern w:val="0"/>
          <w:sz w:val="21"/>
          <w:szCs w:val="21"/>
        </w:rPr>
        <w:t>，不计入</w:t>
      </w:r>
      <w:r>
        <w:rPr>
          <w:rFonts w:hint="eastAsia" w:ascii="宋体" w:hAnsi="宋体" w:eastAsia="宋体" w:cs="宋体"/>
          <w:kern w:val="0"/>
          <w:sz w:val="21"/>
          <w:szCs w:val="21"/>
          <w:lang w:val="en-US" w:eastAsia="zh-CN"/>
        </w:rPr>
        <w:t>响应</w:t>
      </w:r>
      <w:r>
        <w:rPr>
          <w:rFonts w:hint="eastAsia" w:ascii="宋体" w:hAnsi="宋体" w:eastAsia="宋体" w:cs="宋体"/>
          <w:kern w:val="0"/>
          <w:sz w:val="21"/>
          <w:szCs w:val="21"/>
        </w:rPr>
        <w:t>报价。</w:t>
      </w:r>
    </w:p>
    <w:p w14:paraId="7BFD751F">
      <w:pPr>
        <w:autoSpaceDE w:val="0"/>
        <w:autoSpaceDN w:val="0"/>
        <w:adjustRightInd w:val="0"/>
        <w:snapToGrid w:val="0"/>
        <w:spacing w:line="360" w:lineRule="auto"/>
        <w:ind w:left="610" w:leftChars="18" w:hanging="567" w:hangingChars="270"/>
        <w:jc w:val="left"/>
        <w:outlineLvl w:val="9"/>
        <w:rPr>
          <w:rFonts w:hint="eastAsia" w:ascii="宋体" w:hAnsi="宋体" w:eastAsia="宋体" w:cs="宋体"/>
          <w:b/>
          <w:bCs/>
          <w:kern w:val="0"/>
          <w:sz w:val="21"/>
          <w:szCs w:val="21"/>
        </w:rPr>
      </w:pPr>
      <w:r>
        <w:rPr>
          <w:rFonts w:hint="eastAsia" w:ascii="宋体" w:hAnsi="宋体" w:eastAsia="宋体" w:cs="宋体"/>
          <w:b w:val="0"/>
          <w:bCs w:val="0"/>
          <w:kern w:val="0"/>
          <w:sz w:val="21"/>
          <w:szCs w:val="21"/>
        </w:rPr>
        <w:t>（2）</w:t>
      </w:r>
      <w:r>
        <w:rPr>
          <w:rFonts w:hint="eastAsia" w:ascii="宋体" w:hAnsi="宋体" w:eastAsia="宋体" w:cs="宋体"/>
          <w:b/>
          <w:bCs/>
          <w:kern w:val="0"/>
          <w:sz w:val="21"/>
          <w:szCs w:val="21"/>
          <w:u w:val="single"/>
          <w:lang w:val="en-US" w:eastAsia="zh-CN"/>
        </w:rPr>
        <w:t>供应商</w:t>
      </w:r>
      <w:r>
        <w:rPr>
          <w:rFonts w:hint="eastAsia" w:ascii="宋体" w:hAnsi="宋体" w:eastAsia="宋体" w:cs="宋体"/>
          <w:b/>
          <w:bCs/>
          <w:kern w:val="0"/>
          <w:sz w:val="21"/>
          <w:szCs w:val="21"/>
          <w:u w:val="single"/>
        </w:rPr>
        <w:t>的</w:t>
      </w:r>
      <w:r>
        <w:rPr>
          <w:rFonts w:hint="eastAsia" w:ascii="宋体" w:hAnsi="宋体" w:eastAsia="宋体" w:cs="宋体"/>
          <w:b/>
          <w:bCs/>
          <w:kern w:val="0"/>
          <w:sz w:val="21"/>
          <w:szCs w:val="21"/>
          <w:u w:val="single"/>
          <w:lang w:val="en-US" w:eastAsia="zh-CN"/>
        </w:rPr>
        <w:t>响应</w:t>
      </w:r>
      <w:r>
        <w:rPr>
          <w:rFonts w:hint="eastAsia" w:ascii="宋体" w:hAnsi="宋体" w:eastAsia="宋体" w:cs="宋体"/>
          <w:b/>
          <w:bCs/>
          <w:kern w:val="0"/>
          <w:sz w:val="21"/>
          <w:szCs w:val="21"/>
          <w:u w:val="single"/>
        </w:rPr>
        <w:t>报价高于</w:t>
      </w:r>
      <w:r>
        <w:rPr>
          <w:rFonts w:hint="eastAsia" w:ascii="宋体" w:hAnsi="宋体" w:eastAsia="宋体" w:cs="宋体"/>
          <w:b/>
          <w:bCs/>
          <w:kern w:val="0"/>
          <w:sz w:val="21"/>
          <w:szCs w:val="21"/>
          <w:u w:val="single"/>
          <w:lang w:val="en-US" w:eastAsia="zh-CN"/>
        </w:rPr>
        <w:t>对应包组</w:t>
      </w:r>
      <w:r>
        <w:rPr>
          <w:rFonts w:hint="eastAsia" w:ascii="宋体" w:hAnsi="宋体" w:eastAsia="宋体" w:cs="宋体"/>
          <w:b/>
          <w:bCs/>
          <w:kern w:val="0"/>
          <w:sz w:val="21"/>
          <w:szCs w:val="21"/>
          <w:u w:val="single"/>
        </w:rPr>
        <w:t>最高限价的，该</w:t>
      </w:r>
      <w:r>
        <w:rPr>
          <w:rFonts w:hint="eastAsia" w:ascii="宋体" w:hAnsi="宋体" w:eastAsia="宋体" w:cs="宋体"/>
          <w:b/>
          <w:bCs/>
          <w:kern w:val="0"/>
          <w:sz w:val="21"/>
          <w:szCs w:val="21"/>
          <w:u w:val="single"/>
          <w:lang w:val="en-US" w:eastAsia="zh-CN"/>
        </w:rPr>
        <w:t>供应商</w:t>
      </w:r>
      <w:r>
        <w:rPr>
          <w:rFonts w:hint="eastAsia" w:ascii="宋体" w:hAnsi="宋体" w:eastAsia="宋体" w:cs="宋体"/>
          <w:b/>
          <w:bCs/>
          <w:kern w:val="0"/>
          <w:sz w:val="21"/>
          <w:szCs w:val="21"/>
          <w:u w:val="single"/>
        </w:rPr>
        <w:t>的</w:t>
      </w:r>
      <w:r>
        <w:rPr>
          <w:rFonts w:hint="eastAsia" w:ascii="宋体" w:hAnsi="宋体" w:eastAsia="宋体" w:cs="宋体"/>
          <w:b/>
          <w:bCs/>
          <w:kern w:val="0"/>
          <w:sz w:val="21"/>
          <w:szCs w:val="21"/>
          <w:u w:val="single"/>
          <w:lang w:val="en-US" w:eastAsia="zh-CN"/>
        </w:rPr>
        <w:t>响应</w:t>
      </w:r>
      <w:r>
        <w:rPr>
          <w:rFonts w:hint="eastAsia" w:ascii="宋体" w:hAnsi="宋体" w:eastAsia="宋体" w:cs="宋体"/>
          <w:b/>
          <w:bCs/>
          <w:kern w:val="0"/>
          <w:sz w:val="21"/>
          <w:szCs w:val="21"/>
          <w:u w:val="single"/>
        </w:rPr>
        <w:t>文件将被视为无效</w:t>
      </w:r>
      <w:r>
        <w:rPr>
          <w:rFonts w:hint="eastAsia" w:ascii="宋体" w:hAnsi="宋体" w:eastAsia="宋体" w:cs="宋体"/>
          <w:b/>
          <w:bCs/>
          <w:kern w:val="0"/>
          <w:sz w:val="21"/>
          <w:szCs w:val="21"/>
          <w:u w:val="single"/>
          <w:lang w:val="en-US" w:eastAsia="zh-CN"/>
        </w:rPr>
        <w:t>响应</w:t>
      </w:r>
      <w:r>
        <w:rPr>
          <w:rFonts w:hint="eastAsia" w:ascii="宋体" w:hAnsi="宋体" w:eastAsia="宋体" w:cs="宋体"/>
          <w:b/>
          <w:bCs/>
          <w:kern w:val="0"/>
          <w:sz w:val="21"/>
          <w:szCs w:val="21"/>
        </w:rPr>
        <w:t>。</w:t>
      </w:r>
    </w:p>
    <w:p w14:paraId="37ED894E">
      <w:pPr>
        <w:autoSpaceDE w:val="0"/>
        <w:autoSpaceDN w:val="0"/>
        <w:adjustRightInd w:val="0"/>
        <w:snapToGrid w:val="0"/>
        <w:spacing w:line="360" w:lineRule="auto"/>
        <w:ind w:left="610" w:leftChars="18" w:hanging="567" w:hangingChars="27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（3）</w:t>
      </w:r>
      <w:r>
        <w:rPr>
          <w:rFonts w:hint="eastAsia" w:ascii="宋体" w:hAnsi="宋体" w:eastAsia="宋体" w:cs="宋体"/>
          <w:kern w:val="0"/>
          <w:sz w:val="21"/>
          <w:szCs w:val="21"/>
          <w:lang w:val="en-US" w:eastAsia="zh-CN"/>
        </w:rPr>
        <w:t>响应</w:t>
      </w:r>
      <w:r>
        <w:rPr>
          <w:rFonts w:hint="eastAsia" w:ascii="宋体" w:hAnsi="宋体" w:eastAsia="宋体" w:cs="宋体"/>
          <w:kern w:val="0"/>
          <w:sz w:val="21"/>
          <w:szCs w:val="21"/>
        </w:rPr>
        <w:t>文件的</w:t>
      </w:r>
      <w:r>
        <w:rPr>
          <w:rFonts w:hint="eastAsia" w:ascii="宋体" w:hAnsi="宋体" w:eastAsia="宋体" w:cs="宋体"/>
          <w:kern w:val="0"/>
          <w:sz w:val="21"/>
          <w:szCs w:val="21"/>
          <w:lang w:val="en-US" w:eastAsia="zh-CN"/>
        </w:rPr>
        <w:t>响应</w:t>
      </w:r>
      <w:r>
        <w:rPr>
          <w:rFonts w:hint="eastAsia" w:ascii="宋体" w:hAnsi="宋体" w:eastAsia="宋体" w:cs="宋体"/>
          <w:kern w:val="0"/>
          <w:sz w:val="21"/>
          <w:szCs w:val="21"/>
        </w:rPr>
        <w:t>报价大写金额和小写金额不一致的，以大写金额为准。对不同文字文本</w:t>
      </w:r>
      <w:r>
        <w:rPr>
          <w:rFonts w:hint="eastAsia" w:ascii="宋体" w:hAnsi="宋体" w:eastAsia="宋体" w:cs="宋体"/>
          <w:kern w:val="0"/>
          <w:sz w:val="21"/>
          <w:szCs w:val="21"/>
          <w:lang w:val="en-US" w:eastAsia="zh-CN"/>
        </w:rPr>
        <w:t>响应</w:t>
      </w:r>
      <w:r>
        <w:rPr>
          <w:rFonts w:hint="eastAsia" w:ascii="宋体" w:hAnsi="宋体" w:eastAsia="宋体" w:cs="宋体"/>
          <w:kern w:val="0"/>
          <w:sz w:val="21"/>
          <w:szCs w:val="21"/>
        </w:rPr>
        <w:t>文件的解释发生异议的，以中文文本为准。</w:t>
      </w:r>
    </w:p>
    <w:p w14:paraId="74044D0F">
      <w:pPr>
        <w:autoSpaceDE w:val="0"/>
        <w:autoSpaceDN w:val="0"/>
        <w:adjustRightInd w:val="0"/>
        <w:snapToGrid w:val="0"/>
        <w:spacing w:line="360" w:lineRule="auto"/>
        <w:ind w:left="610" w:leftChars="18" w:hanging="567" w:hangingChars="270"/>
        <w:jc w:val="left"/>
        <w:outlineLvl w:val="9"/>
        <w:rPr>
          <w:rFonts w:hint="eastAsia" w:ascii="宋体" w:hAnsi="宋体" w:eastAsia="宋体" w:cs="宋体"/>
          <w:b/>
          <w:bCs/>
          <w:kern w:val="0"/>
          <w:sz w:val="21"/>
          <w:szCs w:val="21"/>
          <w:lang w:val="zh-CN"/>
        </w:rPr>
      </w:pPr>
      <w:r>
        <w:rPr>
          <w:rFonts w:hint="eastAsia" w:ascii="宋体" w:hAnsi="宋体" w:eastAsia="宋体" w:cs="宋体"/>
          <w:kern w:val="0"/>
          <w:sz w:val="21"/>
          <w:szCs w:val="21"/>
        </w:rPr>
        <w:t>（4）</w:t>
      </w:r>
      <w:r>
        <w:rPr>
          <w:rFonts w:hint="eastAsia" w:ascii="宋体" w:hAnsi="宋体" w:eastAsia="宋体" w:cs="宋体"/>
          <w:b/>
          <w:bCs/>
          <w:kern w:val="0"/>
          <w:sz w:val="21"/>
          <w:szCs w:val="21"/>
          <w:u w:val="single"/>
          <w:lang w:val="zh-CN"/>
        </w:rPr>
        <w:t>本表编入</w:t>
      </w:r>
      <w:r>
        <w:rPr>
          <w:rFonts w:hint="eastAsia" w:ascii="宋体" w:hAnsi="宋体" w:eastAsia="宋体" w:cs="宋体"/>
          <w:b/>
          <w:bCs/>
          <w:kern w:val="0"/>
          <w:sz w:val="21"/>
          <w:szCs w:val="21"/>
          <w:u w:val="single"/>
          <w:lang w:val="en-US" w:eastAsia="zh-CN"/>
        </w:rPr>
        <w:t>响应</w:t>
      </w:r>
      <w:r>
        <w:rPr>
          <w:rFonts w:hint="eastAsia" w:ascii="宋体" w:hAnsi="宋体" w:eastAsia="宋体" w:cs="宋体"/>
          <w:b/>
          <w:bCs/>
          <w:kern w:val="0"/>
          <w:sz w:val="21"/>
          <w:szCs w:val="21"/>
          <w:u w:val="single"/>
          <w:lang w:val="zh-CN"/>
        </w:rPr>
        <w:t>文件商务文件</w:t>
      </w:r>
      <w:r>
        <w:rPr>
          <w:rFonts w:hint="eastAsia" w:ascii="宋体" w:hAnsi="宋体" w:eastAsia="宋体" w:cs="宋体"/>
          <w:b/>
          <w:bCs/>
          <w:kern w:val="0"/>
          <w:sz w:val="21"/>
          <w:szCs w:val="21"/>
          <w:lang w:val="zh-CN"/>
        </w:rPr>
        <w:t>。</w:t>
      </w:r>
    </w:p>
    <w:p w14:paraId="2B8FDA17">
      <w:pPr>
        <w:autoSpaceDE w:val="0"/>
        <w:autoSpaceDN w:val="0"/>
        <w:adjustRightInd w:val="0"/>
        <w:snapToGrid w:val="0"/>
        <w:spacing w:line="360" w:lineRule="auto"/>
        <w:ind w:left="610" w:leftChars="18" w:hanging="567" w:hangingChars="270"/>
        <w:jc w:val="left"/>
        <w:outlineLvl w:val="9"/>
        <w:rPr>
          <w:rFonts w:hint="eastAsia" w:ascii="宋体" w:hAnsi="宋体" w:eastAsia="宋体" w:cs="宋体"/>
          <w:bCs/>
          <w:kern w:val="0"/>
          <w:sz w:val="21"/>
          <w:szCs w:val="21"/>
          <w:lang w:val="zh-CN"/>
        </w:rPr>
      </w:pPr>
      <w:r>
        <w:rPr>
          <w:rFonts w:hint="eastAsia" w:ascii="宋体" w:hAnsi="宋体" w:eastAsia="宋体" w:cs="宋体"/>
          <w:bCs/>
          <w:kern w:val="0"/>
          <w:sz w:val="21"/>
          <w:szCs w:val="21"/>
          <w:lang w:val="zh-CN"/>
        </w:rPr>
        <w:t>（5）</w:t>
      </w:r>
      <w:r>
        <w:rPr>
          <w:rFonts w:hint="eastAsia" w:ascii="宋体" w:hAnsi="宋体" w:eastAsia="宋体" w:cs="宋体"/>
          <w:bCs/>
          <w:kern w:val="0"/>
          <w:sz w:val="21"/>
          <w:szCs w:val="21"/>
          <w:lang w:val="en-US" w:eastAsia="zh-CN"/>
        </w:rPr>
        <w:t>响应</w:t>
      </w:r>
      <w:r>
        <w:rPr>
          <w:rFonts w:hint="eastAsia" w:ascii="宋体" w:hAnsi="宋体" w:eastAsia="宋体" w:cs="宋体"/>
          <w:kern w:val="0"/>
          <w:sz w:val="21"/>
          <w:szCs w:val="21"/>
        </w:rPr>
        <w:t>报价保留小数点后两位。</w:t>
      </w:r>
    </w:p>
    <w:p w14:paraId="6D83F97C">
      <w:pPr>
        <w:autoSpaceDE w:val="0"/>
        <w:autoSpaceDN w:val="0"/>
        <w:adjustRightInd w:val="0"/>
        <w:spacing w:line="360" w:lineRule="auto"/>
        <w:ind w:firstLine="4960" w:firstLineChars="2362"/>
        <w:outlineLvl w:val="9"/>
        <w:rPr>
          <w:rFonts w:hint="eastAsia" w:ascii="宋体" w:hAnsi="宋体" w:eastAsia="宋体" w:cs="宋体"/>
          <w:sz w:val="21"/>
          <w:szCs w:val="21"/>
          <w:lang w:val="zh-CN"/>
        </w:rPr>
      </w:pPr>
      <w:r>
        <w:rPr>
          <w:rFonts w:hint="eastAsia" w:ascii="宋体" w:hAnsi="宋体" w:eastAsia="宋体" w:cs="宋体"/>
          <w:sz w:val="21"/>
          <w:szCs w:val="21"/>
          <w:lang w:val="en-US" w:eastAsia="zh-CN"/>
        </w:rPr>
        <w:t>供应商</w:t>
      </w:r>
      <w:r>
        <w:rPr>
          <w:rFonts w:hint="eastAsia" w:ascii="宋体" w:hAnsi="宋体" w:eastAsia="宋体" w:cs="宋体"/>
          <w:sz w:val="21"/>
          <w:szCs w:val="21"/>
          <w:lang w:val="zh-CN"/>
        </w:rPr>
        <w:t>：（加盖</w:t>
      </w:r>
      <w:r>
        <w:rPr>
          <w:rFonts w:hint="eastAsia" w:ascii="宋体" w:hAnsi="宋体" w:eastAsia="宋体" w:cs="宋体"/>
          <w:sz w:val="21"/>
          <w:szCs w:val="21"/>
          <w:lang w:val="en-US" w:eastAsia="zh-CN"/>
        </w:rPr>
        <w:t>供应商</w:t>
      </w:r>
      <w:r>
        <w:rPr>
          <w:rFonts w:hint="eastAsia" w:ascii="宋体" w:hAnsi="宋体" w:eastAsia="宋体" w:cs="宋体"/>
          <w:sz w:val="21"/>
          <w:szCs w:val="21"/>
          <w:lang w:val="zh-CN"/>
        </w:rPr>
        <w:t>法人公章）</w:t>
      </w:r>
    </w:p>
    <w:p w14:paraId="23029D29">
      <w:pPr>
        <w:autoSpaceDE w:val="0"/>
        <w:autoSpaceDN w:val="0"/>
        <w:adjustRightInd w:val="0"/>
        <w:spacing w:line="360" w:lineRule="auto"/>
        <w:ind w:firstLine="4960" w:firstLineChars="2362"/>
        <w:outlineLvl w:val="9"/>
        <w:rPr>
          <w:rFonts w:hint="eastAsia" w:ascii="宋体" w:hAnsi="宋体" w:eastAsia="宋体" w:cs="宋体"/>
          <w:sz w:val="21"/>
          <w:szCs w:val="21"/>
          <w:lang w:val="zh-CN"/>
        </w:rPr>
      </w:pPr>
      <w:r>
        <w:rPr>
          <w:rFonts w:hint="eastAsia" w:ascii="宋体" w:hAnsi="宋体" w:eastAsia="宋体" w:cs="宋体"/>
          <w:sz w:val="21"/>
          <w:szCs w:val="21"/>
          <w:lang w:val="zh-CN"/>
        </w:rPr>
        <w:t>法定代表人或其授权代表签名（或盖私章）：</w:t>
      </w:r>
    </w:p>
    <w:p w14:paraId="1C850B85">
      <w:pPr>
        <w:autoSpaceDE w:val="0"/>
        <w:autoSpaceDN w:val="0"/>
        <w:adjustRightInd w:val="0"/>
        <w:spacing w:line="360" w:lineRule="auto"/>
        <w:ind w:firstLine="4960" w:firstLineChars="2362"/>
        <w:outlineLvl w:val="9"/>
        <w:rPr>
          <w:rFonts w:hint="eastAsia" w:ascii="宋体" w:hAnsi="宋体" w:eastAsia="宋体" w:cs="宋体"/>
          <w:sz w:val="21"/>
          <w:szCs w:val="21"/>
          <w:lang w:val="zh-CN"/>
        </w:rPr>
      </w:pPr>
      <w:r>
        <w:rPr>
          <w:rFonts w:hint="eastAsia" w:ascii="宋体" w:hAnsi="宋体" w:eastAsia="宋体" w:cs="宋体"/>
          <w:sz w:val="21"/>
          <w:szCs w:val="21"/>
          <w:lang w:val="zh-CN"/>
        </w:rPr>
        <w:t>日期：   年   月   日</w:t>
      </w:r>
    </w:p>
    <w:p w14:paraId="1A705F72">
      <w:pPr>
        <w:pStyle w:val="32"/>
        <w:spacing w:line="360" w:lineRule="auto"/>
        <w:rPr>
          <w:rFonts w:hint="eastAsia" w:ascii="宋体" w:hAnsi="宋体" w:eastAsia="宋体" w:cs="宋体"/>
          <w:b w:val="0"/>
          <w:color w:val="auto"/>
          <w:sz w:val="21"/>
          <w:szCs w:val="21"/>
          <w:highlight w:val="none"/>
          <w:u w:val="single"/>
          <w:lang w:eastAsia="zh-CN"/>
        </w:rPr>
      </w:pPr>
    </w:p>
    <w:p w14:paraId="0BB923AB">
      <w:pPr>
        <w:keepNext w:val="0"/>
        <w:keepLines w:val="0"/>
        <w:pageBreakBefore/>
        <w:widowControl w:val="0"/>
        <w:tabs>
          <w:tab w:val="left" w:pos="567"/>
        </w:tabs>
        <w:kinsoku/>
        <w:wordWrap/>
        <w:overflowPunct/>
        <w:topLinePunct w:val="0"/>
        <w:autoSpaceDE w:val="0"/>
        <w:autoSpaceDN w:val="0"/>
        <w:bidi w:val="0"/>
        <w:adjustRightInd w:val="0"/>
        <w:snapToGrid/>
        <w:spacing w:line="360" w:lineRule="auto"/>
        <w:ind w:left="0" w:hanging="711" w:hangingChars="236"/>
        <w:jc w:val="left"/>
        <w:textAlignment w:val="auto"/>
        <w:outlineLvl w:val="9"/>
        <w:rPr>
          <w:rFonts w:hint="eastAsia" w:ascii="宋体" w:hAnsi="宋体" w:eastAsia="宋体" w:cs="宋体"/>
          <w:b/>
          <w:color w:val="auto"/>
          <w:kern w:val="0"/>
          <w:sz w:val="30"/>
          <w:szCs w:val="30"/>
        </w:rPr>
      </w:pPr>
      <w:bookmarkStart w:id="297" w:name="_Toc54334008"/>
      <w:bookmarkStart w:id="298" w:name="_Toc56076625"/>
      <w:bookmarkStart w:id="299" w:name="_Toc8153"/>
      <w:bookmarkStart w:id="300" w:name="_Toc79146599"/>
      <w:bookmarkStart w:id="301" w:name="_Toc18720"/>
      <w:bookmarkStart w:id="302" w:name="_Toc12569"/>
      <w:bookmarkStart w:id="303" w:name="_Toc495907133"/>
      <w:bookmarkStart w:id="304" w:name="_Toc497746561"/>
      <w:r>
        <w:rPr>
          <w:rFonts w:hint="eastAsia" w:ascii="宋体" w:hAnsi="宋体" w:eastAsia="宋体" w:cs="宋体"/>
          <w:b/>
          <w:color w:val="auto"/>
          <w:kern w:val="0"/>
          <w:sz w:val="30"/>
          <w:szCs w:val="30"/>
        </w:rPr>
        <w:t>4.</w:t>
      </w:r>
      <w:r>
        <w:rPr>
          <w:rFonts w:hint="eastAsia" w:ascii="宋体" w:hAnsi="宋体" w:eastAsia="宋体" w:cs="宋体"/>
          <w:b/>
          <w:color w:val="auto"/>
          <w:kern w:val="0"/>
          <w:sz w:val="30"/>
          <w:szCs w:val="30"/>
          <w:lang w:val="en-US" w:eastAsia="zh-CN"/>
        </w:rPr>
        <w:t>2</w:t>
      </w:r>
      <w:r>
        <w:rPr>
          <w:rFonts w:hint="eastAsia" w:ascii="宋体" w:hAnsi="宋体" w:eastAsia="宋体" w:cs="宋体"/>
          <w:b/>
          <w:color w:val="auto"/>
          <w:kern w:val="0"/>
          <w:sz w:val="30"/>
          <w:szCs w:val="30"/>
        </w:rPr>
        <w:t xml:space="preserve"> </w:t>
      </w:r>
      <w:r>
        <w:rPr>
          <w:rFonts w:hint="eastAsia" w:ascii="宋体" w:hAnsi="宋体" w:eastAsia="宋体" w:cs="宋体"/>
          <w:b/>
          <w:color w:val="auto"/>
          <w:kern w:val="0"/>
          <w:sz w:val="30"/>
          <w:szCs w:val="30"/>
          <w:lang w:val="en-US" w:eastAsia="zh-CN"/>
        </w:rPr>
        <w:t>分项报价</w:t>
      </w:r>
      <w:r>
        <w:rPr>
          <w:rFonts w:hint="eastAsia" w:ascii="宋体" w:hAnsi="宋体" w:eastAsia="宋体" w:cs="宋体"/>
          <w:b/>
          <w:color w:val="auto"/>
          <w:kern w:val="0"/>
          <w:sz w:val="30"/>
          <w:szCs w:val="30"/>
        </w:rPr>
        <w:t>表</w:t>
      </w:r>
    </w:p>
    <w:p w14:paraId="5CDA1474">
      <w:pPr>
        <w:spacing w:line="360" w:lineRule="auto"/>
        <w:jc w:val="center"/>
        <w:outlineLvl w:val="9"/>
        <w:rPr>
          <w:rFonts w:hint="eastAsia" w:ascii="宋体" w:hAnsi="宋体" w:eastAsia="宋体" w:cs="宋体"/>
          <w:b/>
          <w:bCs/>
          <w:color w:val="auto"/>
          <w:kern w:val="0"/>
          <w:szCs w:val="21"/>
        </w:rPr>
      </w:pPr>
      <w:r>
        <w:rPr>
          <w:rFonts w:hint="eastAsia" w:ascii="宋体" w:hAnsi="宋体" w:eastAsia="宋体" w:cs="宋体"/>
          <w:b/>
          <w:bCs/>
          <w:color w:val="auto"/>
          <w:sz w:val="30"/>
          <w:szCs w:val="30"/>
          <w:highlight w:val="none"/>
          <w:lang w:val="zh-CN"/>
        </w:rPr>
        <w:t>分项</w:t>
      </w:r>
      <w:r>
        <w:rPr>
          <w:rFonts w:ascii="宋体" w:hAnsi="宋体" w:eastAsia="宋体" w:cs="宋体"/>
          <w:b/>
          <w:bCs/>
          <w:color w:val="auto"/>
          <w:sz w:val="30"/>
          <w:szCs w:val="30"/>
          <w:highlight w:val="none"/>
          <w:lang w:val="zh-CN"/>
        </w:rPr>
        <w:t>报价表</w:t>
      </w:r>
      <w:r>
        <w:rPr>
          <w:rFonts w:hint="eastAsia" w:ascii="宋体" w:hAnsi="宋体" w:eastAsia="宋体" w:cs="宋体"/>
          <w:b/>
          <w:bCs/>
          <w:color w:val="auto"/>
          <w:sz w:val="30"/>
          <w:szCs w:val="30"/>
          <w:lang w:val="zh-CN"/>
        </w:rPr>
        <w:t>(   包组)</w:t>
      </w:r>
    </w:p>
    <w:p w14:paraId="7CBBA4BF">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691A91FD">
      <w:pPr>
        <w:spacing w:line="360" w:lineRule="auto"/>
        <w:ind w:left="1054" w:hanging="1054" w:hangingChars="500"/>
        <w:rPr>
          <w:rFonts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项目名称：</w:t>
      </w:r>
      <w:r>
        <w:rPr>
          <w:rFonts w:hint="eastAsia" w:ascii="宋体" w:hAnsi="宋体" w:cs="宋体"/>
          <w:color w:val="auto"/>
          <w:kern w:val="0"/>
          <w:sz w:val="21"/>
          <w:szCs w:val="21"/>
          <w:u w:val="single"/>
          <w:lang w:eastAsia="zh-CN"/>
        </w:rPr>
        <w:t>东莞市众源环境投资有限公司污水处理厂污泥脱水减量处理服务（BOT权属滨海湾片区）采购项目</w:t>
      </w:r>
    </w:p>
    <w:p w14:paraId="0C846D7E">
      <w:pPr>
        <w:spacing w:line="360" w:lineRule="auto"/>
        <w:rPr>
          <w:rFonts w:ascii="宋体" w:hAnsi="宋体" w:eastAsia="宋体" w:cs="宋体"/>
          <w:color w:val="auto"/>
          <w:kern w:val="0"/>
          <w:sz w:val="21"/>
          <w:szCs w:val="21"/>
          <w:highlight w:val="none"/>
          <w:u w:val="single"/>
        </w:rPr>
      </w:pPr>
      <w:r>
        <w:rPr>
          <w:rFonts w:hint="eastAsia" w:ascii="宋体" w:hAnsi="宋体" w:eastAsia="宋体" w:cs="宋体"/>
          <w:b/>
          <w:color w:val="auto"/>
          <w:kern w:val="0"/>
          <w:sz w:val="21"/>
          <w:szCs w:val="21"/>
          <w:highlight w:val="none"/>
          <w:lang w:val="en-US" w:eastAsia="zh-CN"/>
        </w:rPr>
        <w:t>采购</w:t>
      </w:r>
      <w:r>
        <w:rPr>
          <w:rFonts w:hint="eastAsia" w:ascii="宋体" w:hAnsi="宋体" w:eastAsia="宋体" w:cs="宋体"/>
          <w:b/>
          <w:color w:val="auto"/>
          <w:kern w:val="0"/>
          <w:sz w:val="21"/>
          <w:szCs w:val="21"/>
          <w:highlight w:val="none"/>
        </w:rPr>
        <w:t>编号：</w:t>
      </w:r>
      <w:r>
        <w:rPr>
          <w:rFonts w:hint="eastAsia" w:ascii="宋体" w:hAnsi="宋体" w:cs="宋体"/>
          <w:color w:val="auto"/>
          <w:kern w:val="0"/>
          <w:sz w:val="21"/>
          <w:szCs w:val="21"/>
          <w:u w:val="single"/>
          <w:lang w:eastAsia="zh-CN"/>
        </w:rPr>
        <w:t xml:space="preserve">DGDS2024-002 </w:t>
      </w:r>
    </w:p>
    <w:tbl>
      <w:tblPr>
        <w:tblStyle w:val="55"/>
        <w:tblW w:w="495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3425"/>
        <w:gridCol w:w="3094"/>
        <w:gridCol w:w="1890"/>
      </w:tblGrid>
      <w:tr w14:paraId="1C2FC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430" w:type="pct"/>
            <w:tcBorders>
              <w:top w:val="single" w:color="auto" w:sz="4" w:space="0"/>
              <w:left w:val="single" w:color="auto" w:sz="4" w:space="0"/>
              <w:bottom w:val="single" w:color="auto" w:sz="4" w:space="0"/>
              <w:right w:val="single" w:color="auto" w:sz="4" w:space="0"/>
            </w:tcBorders>
            <w:vAlign w:val="center"/>
          </w:tcPr>
          <w:p w14:paraId="5EAAE928">
            <w:pPr>
              <w:keepNext w:val="0"/>
              <w:keepLines w:val="0"/>
              <w:suppressLineNumbers w:val="0"/>
              <w:spacing w:before="0" w:beforeAutospacing="0" w:after="0" w:afterAutospacing="0" w:line="400" w:lineRule="exact"/>
              <w:ind w:left="0" w:right="0"/>
              <w:jc w:val="center"/>
              <w:rPr>
                <w:rFonts w:hint="default" w:ascii="宋体" w:hAnsi="宋体" w:eastAsia="宋体" w:cs="Times New Roman"/>
                <w:b/>
                <w:color w:val="auto"/>
                <w:kern w:val="0"/>
                <w:sz w:val="21"/>
                <w:szCs w:val="21"/>
                <w:highlight w:val="none"/>
              </w:rPr>
            </w:pPr>
            <w:r>
              <w:rPr>
                <w:rFonts w:hint="eastAsia" w:ascii="宋体" w:hAnsi="宋体" w:eastAsia="宋体" w:cs="Times New Roman"/>
                <w:b/>
                <w:color w:val="auto"/>
                <w:kern w:val="0"/>
                <w:sz w:val="21"/>
                <w:szCs w:val="21"/>
                <w:highlight w:val="none"/>
              </w:rPr>
              <w:t>序号</w:t>
            </w:r>
          </w:p>
        </w:tc>
        <w:tc>
          <w:tcPr>
            <w:tcW w:w="1861" w:type="pct"/>
            <w:tcBorders>
              <w:top w:val="single" w:color="auto" w:sz="4" w:space="0"/>
              <w:left w:val="single" w:color="auto" w:sz="4" w:space="0"/>
              <w:bottom w:val="single" w:color="auto" w:sz="4" w:space="0"/>
              <w:right w:val="single" w:color="auto" w:sz="4" w:space="0"/>
            </w:tcBorders>
            <w:vAlign w:val="center"/>
          </w:tcPr>
          <w:p w14:paraId="2B7124F2">
            <w:pPr>
              <w:keepNext w:val="0"/>
              <w:keepLines w:val="0"/>
              <w:suppressLineNumbers w:val="0"/>
              <w:spacing w:before="0" w:beforeAutospacing="0" w:after="0" w:afterAutospacing="0" w:line="400" w:lineRule="exact"/>
              <w:ind w:left="0" w:right="0"/>
              <w:jc w:val="center"/>
              <w:rPr>
                <w:rFonts w:hint="eastAsia" w:ascii="宋体" w:hAnsi="宋体" w:eastAsia="宋体" w:cs="Times New Roman"/>
                <w:b/>
                <w:color w:val="auto"/>
                <w:kern w:val="0"/>
                <w:sz w:val="21"/>
                <w:szCs w:val="21"/>
                <w:highlight w:val="none"/>
                <w:lang w:eastAsia="zh-CN"/>
              </w:rPr>
            </w:pPr>
            <w:r>
              <w:rPr>
                <w:rFonts w:hint="eastAsia" w:ascii="宋体" w:hAnsi="宋体" w:eastAsia="宋体" w:cs="Times New Roman"/>
                <w:b/>
                <w:color w:val="auto"/>
                <w:kern w:val="0"/>
                <w:sz w:val="21"/>
                <w:szCs w:val="21"/>
                <w:highlight w:val="none"/>
                <w:lang w:val="en-US" w:eastAsia="zh-CN"/>
              </w:rPr>
              <w:t>服务内容</w:t>
            </w:r>
          </w:p>
        </w:tc>
        <w:tc>
          <w:tcPr>
            <w:tcW w:w="1681" w:type="pct"/>
            <w:tcBorders>
              <w:top w:val="single" w:color="auto" w:sz="4" w:space="0"/>
              <w:left w:val="single" w:color="auto" w:sz="4" w:space="0"/>
              <w:bottom w:val="single" w:color="auto" w:sz="4" w:space="0"/>
              <w:right w:val="single" w:color="auto" w:sz="4" w:space="0"/>
            </w:tcBorders>
            <w:vAlign w:val="center"/>
          </w:tcPr>
          <w:p w14:paraId="2ED6384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b/>
                <w:color w:val="auto"/>
                <w:kern w:val="0"/>
                <w:sz w:val="21"/>
                <w:szCs w:val="21"/>
                <w:highlight w:val="none"/>
              </w:rPr>
            </w:pPr>
            <w:r>
              <w:rPr>
                <w:rFonts w:hint="eastAsia" w:ascii="宋体" w:hAnsi="宋体" w:eastAsia="宋体" w:cs="Times New Roman"/>
                <w:b/>
                <w:color w:val="auto"/>
                <w:kern w:val="0"/>
                <w:sz w:val="21"/>
                <w:szCs w:val="21"/>
                <w:highlight w:val="none"/>
              </w:rPr>
              <w:t>不含税</w:t>
            </w:r>
            <w:r>
              <w:rPr>
                <w:rFonts w:hint="eastAsia" w:ascii="宋体" w:hAnsi="宋体" w:eastAsia="宋体" w:cs="Times New Roman"/>
                <w:b/>
                <w:color w:val="auto"/>
                <w:kern w:val="0"/>
                <w:sz w:val="21"/>
                <w:szCs w:val="21"/>
                <w:highlight w:val="none"/>
                <w:lang w:val="en-US" w:eastAsia="zh-CN"/>
              </w:rPr>
              <w:t>服务费用</w:t>
            </w:r>
            <w:r>
              <w:rPr>
                <w:rFonts w:hint="default" w:ascii="宋体" w:hAnsi="宋体" w:eastAsia="宋体" w:cs="Times New Roman"/>
                <w:b/>
                <w:color w:val="auto"/>
                <w:kern w:val="0"/>
                <w:sz w:val="21"/>
                <w:szCs w:val="21"/>
                <w:highlight w:val="none"/>
              </w:rPr>
              <w:t>单价</w:t>
            </w:r>
            <w:r>
              <w:rPr>
                <w:rFonts w:hint="eastAsia" w:ascii="宋体" w:hAnsi="宋体" w:eastAsia="宋体" w:cs="Times New Roman"/>
                <w:b/>
                <w:color w:val="auto"/>
                <w:kern w:val="0"/>
                <w:sz w:val="21"/>
                <w:szCs w:val="21"/>
                <w:highlight w:val="none"/>
                <w:lang w:val="en-US" w:eastAsia="zh-CN"/>
              </w:rPr>
              <w:t xml:space="preserve"> </w:t>
            </w:r>
            <w:r>
              <w:rPr>
                <w:rFonts w:hint="default" w:ascii="宋体" w:hAnsi="宋体" w:eastAsia="宋体" w:cs="Times New Roman"/>
                <w:b/>
                <w:color w:val="auto"/>
                <w:kern w:val="0"/>
                <w:sz w:val="21"/>
                <w:szCs w:val="21"/>
                <w:highlight w:val="none"/>
              </w:rPr>
              <w:t>（元</w:t>
            </w:r>
            <w:r>
              <w:rPr>
                <w:rFonts w:hint="eastAsia" w:ascii="宋体" w:hAnsi="宋体" w:eastAsia="宋体" w:cs="Times New Roman"/>
                <w:b/>
                <w:color w:val="auto"/>
                <w:kern w:val="0"/>
                <w:sz w:val="21"/>
                <w:szCs w:val="21"/>
                <w:highlight w:val="none"/>
                <w:lang w:val="en-US" w:eastAsia="zh-CN"/>
              </w:rPr>
              <w:t>/吨</w:t>
            </w:r>
            <w:r>
              <w:rPr>
                <w:rFonts w:hint="default" w:ascii="宋体" w:hAnsi="宋体" w:eastAsia="宋体" w:cs="Times New Roman"/>
                <w:b/>
                <w:color w:val="auto"/>
                <w:kern w:val="0"/>
                <w:sz w:val="21"/>
                <w:szCs w:val="21"/>
                <w:highlight w:val="none"/>
              </w:rPr>
              <w:t>）</w:t>
            </w:r>
          </w:p>
        </w:tc>
        <w:tc>
          <w:tcPr>
            <w:tcW w:w="1026" w:type="pct"/>
            <w:tcBorders>
              <w:top w:val="single" w:color="auto" w:sz="4" w:space="0"/>
              <w:left w:val="single" w:color="auto" w:sz="4" w:space="0"/>
              <w:bottom w:val="single" w:color="auto" w:sz="4" w:space="0"/>
              <w:right w:val="single" w:color="auto" w:sz="4" w:space="0"/>
            </w:tcBorders>
            <w:vAlign w:val="center"/>
          </w:tcPr>
          <w:p w14:paraId="1605E36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b/>
                <w:color w:val="auto"/>
                <w:kern w:val="0"/>
                <w:sz w:val="21"/>
                <w:szCs w:val="21"/>
                <w:highlight w:val="none"/>
              </w:rPr>
            </w:pPr>
            <w:r>
              <w:rPr>
                <w:rFonts w:hint="default" w:ascii="宋体" w:hAnsi="宋体" w:eastAsia="宋体" w:cs="Times New Roman"/>
                <w:b/>
                <w:color w:val="auto"/>
                <w:kern w:val="0"/>
                <w:sz w:val="21"/>
                <w:szCs w:val="21"/>
                <w:highlight w:val="none"/>
              </w:rPr>
              <w:t>备注</w:t>
            </w:r>
          </w:p>
        </w:tc>
      </w:tr>
      <w:tr w14:paraId="2CE68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30" w:type="pct"/>
            <w:tcBorders>
              <w:top w:val="single" w:color="auto" w:sz="4" w:space="0"/>
              <w:left w:val="single" w:color="auto" w:sz="4" w:space="0"/>
              <w:bottom w:val="single" w:color="auto" w:sz="4" w:space="0"/>
              <w:right w:val="single" w:color="auto" w:sz="4" w:space="0"/>
            </w:tcBorders>
            <w:vAlign w:val="center"/>
          </w:tcPr>
          <w:p w14:paraId="6F5363A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r>
              <w:rPr>
                <w:rFonts w:hint="default" w:ascii="宋体" w:hAnsi="宋体" w:eastAsia="宋体" w:cs="Times New Roman"/>
                <w:color w:val="auto"/>
                <w:kern w:val="0"/>
                <w:sz w:val="21"/>
                <w:szCs w:val="21"/>
                <w:highlight w:val="none"/>
              </w:rPr>
              <w:t>1</w:t>
            </w:r>
          </w:p>
        </w:tc>
        <w:tc>
          <w:tcPr>
            <w:tcW w:w="1861" w:type="pct"/>
            <w:tcBorders>
              <w:top w:val="single" w:color="auto" w:sz="4" w:space="0"/>
              <w:left w:val="single" w:color="auto" w:sz="4" w:space="0"/>
              <w:bottom w:val="single" w:color="auto" w:sz="4" w:space="0"/>
              <w:right w:val="single" w:color="auto" w:sz="4" w:space="0"/>
            </w:tcBorders>
          </w:tcPr>
          <w:p w14:paraId="0F57FC4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设备设施费用</w:t>
            </w:r>
          </w:p>
        </w:tc>
        <w:tc>
          <w:tcPr>
            <w:tcW w:w="1681" w:type="pct"/>
            <w:tcBorders>
              <w:top w:val="single" w:color="auto" w:sz="4" w:space="0"/>
              <w:left w:val="single" w:color="auto" w:sz="4" w:space="0"/>
              <w:bottom w:val="single" w:color="auto" w:sz="4" w:space="0"/>
              <w:right w:val="single" w:color="auto" w:sz="4" w:space="0"/>
            </w:tcBorders>
            <w:vAlign w:val="center"/>
          </w:tcPr>
          <w:p w14:paraId="624C95E6">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14:paraId="36A4F499">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r>
      <w:tr w14:paraId="4BA6C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430" w:type="pct"/>
            <w:tcBorders>
              <w:top w:val="single" w:color="auto" w:sz="4" w:space="0"/>
              <w:left w:val="single" w:color="auto" w:sz="4" w:space="0"/>
              <w:bottom w:val="single" w:color="auto" w:sz="4" w:space="0"/>
              <w:right w:val="single" w:color="auto" w:sz="4" w:space="0"/>
            </w:tcBorders>
            <w:vAlign w:val="center"/>
          </w:tcPr>
          <w:p w14:paraId="164D1CD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r>
              <w:rPr>
                <w:rFonts w:hint="default" w:ascii="宋体" w:hAnsi="宋体" w:eastAsia="宋体" w:cs="Times New Roman"/>
                <w:color w:val="auto"/>
                <w:kern w:val="0"/>
                <w:sz w:val="21"/>
                <w:szCs w:val="21"/>
                <w:highlight w:val="none"/>
              </w:rPr>
              <w:t>2</w:t>
            </w:r>
          </w:p>
        </w:tc>
        <w:tc>
          <w:tcPr>
            <w:tcW w:w="1861" w:type="pct"/>
            <w:tcBorders>
              <w:top w:val="single" w:color="auto" w:sz="4" w:space="0"/>
              <w:left w:val="single" w:color="auto" w:sz="4" w:space="0"/>
              <w:bottom w:val="single" w:color="auto" w:sz="4" w:space="0"/>
              <w:right w:val="single" w:color="auto" w:sz="4" w:space="0"/>
            </w:tcBorders>
          </w:tcPr>
          <w:p w14:paraId="391FDD1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人工费用</w:t>
            </w:r>
          </w:p>
        </w:tc>
        <w:tc>
          <w:tcPr>
            <w:tcW w:w="1681" w:type="pct"/>
            <w:tcBorders>
              <w:top w:val="single" w:color="auto" w:sz="4" w:space="0"/>
              <w:left w:val="single" w:color="auto" w:sz="4" w:space="0"/>
              <w:bottom w:val="single" w:color="auto" w:sz="4" w:space="0"/>
              <w:right w:val="single" w:color="auto" w:sz="4" w:space="0"/>
            </w:tcBorders>
            <w:vAlign w:val="center"/>
          </w:tcPr>
          <w:p w14:paraId="26F51738">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14:paraId="2C32F226">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r>
      <w:tr w14:paraId="09D18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30" w:type="pct"/>
            <w:tcBorders>
              <w:top w:val="single" w:color="auto" w:sz="4" w:space="0"/>
              <w:left w:val="single" w:color="auto" w:sz="4" w:space="0"/>
              <w:bottom w:val="single" w:color="auto" w:sz="4" w:space="0"/>
              <w:right w:val="single" w:color="auto" w:sz="4" w:space="0"/>
            </w:tcBorders>
            <w:vAlign w:val="center"/>
          </w:tcPr>
          <w:p w14:paraId="2145C39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3</w:t>
            </w:r>
          </w:p>
        </w:tc>
        <w:tc>
          <w:tcPr>
            <w:tcW w:w="1861" w:type="pct"/>
            <w:tcBorders>
              <w:top w:val="single" w:color="auto" w:sz="4" w:space="0"/>
              <w:left w:val="single" w:color="auto" w:sz="4" w:space="0"/>
              <w:bottom w:val="single" w:color="auto" w:sz="4" w:space="0"/>
              <w:right w:val="single" w:color="auto" w:sz="4" w:space="0"/>
            </w:tcBorders>
          </w:tcPr>
          <w:p w14:paraId="66D0027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药剂费用</w:t>
            </w:r>
          </w:p>
        </w:tc>
        <w:tc>
          <w:tcPr>
            <w:tcW w:w="1681" w:type="pct"/>
            <w:tcBorders>
              <w:top w:val="single" w:color="auto" w:sz="4" w:space="0"/>
              <w:left w:val="single" w:color="auto" w:sz="4" w:space="0"/>
              <w:bottom w:val="single" w:color="auto" w:sz="4" w:space="0"/>
              <w:right w:val="single" w:color="auto" w:sz="4" w:space="0"/>
            </w:tcBorders>
            <w:vAlign w:val="center"/>
          </w:tcPr>
          <w:p w14:paraId="5ED3BA9A">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14:paraId="4D2F9800">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r>
      <w:tr w14:paraId="0BA65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30" w:type="pct"/>
            <w:tcBorders>
              <w:top w:val="single" w:color="auto" w:sz="4" w:space="0"/>
              <w:left w:val="single" w:color="auto" w:sz="4" w:space="0"/>
              <w:bottom w:val="single" w:color="auto" w:sz="4" w:space="0"/>
              <w:right w:val="single" w:color="auto" w:sz="4" w:space="0"/>
            </w:tcBorders>
            <w:vAlign w:val="center"/>
          </w:tcPr>
          <w:p w14:paraId="7E957CA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4</w:t>
            </w:r>
          </w:p>
        </w:tc>
        <w:tc>
          <w:tcPr>
            <w:tcW w:w="1861" w:type="pct"/>
            <w:tcBorders>
              <w:top w:val="single" w:color="auto" w:sz="4" w:space="0"/>
              <w:left w:val="single" w:color="auto" w:sz="4" w:space="0"/>
              <w:bottom w:val="single" w:color="auto" w:sz="4" w:space="0"/>
              <w:right w:val="single" w:color="auto" w:sz="4" w:space="0"/>
            </w:tcBorders>
          </w:tcPr>
          <w:p w14:paraId="3EC2CB2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运维费用</w:t>
            </w:r>
          </w:p>
        </w:tc>
        <w:tc>
          <w:tcPr>
            <w:tcW w:w="1681" w:type="pct"/>
            <w:tcBorders>
              <w:top w:val="single" w:color="auto" w:sz="4" w:space="0"/>
              <w:left w:val="single" w:color="auto" w:sz="4" w:space="0"/>
              <w:bottom w:val="single" w:color="auto" w:sz="4" w:space="0"/>
              <w:right w:val="single" w:color="auto" w:sz="4" w:space="0"/>
            </w:tcBorders>
            <w:vAlign w:val="center"/>
          </w:tcPr>
          <w:p w14:paraId="72AB9EC3">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14:paraId="4122A5E2">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r>
      <w:tr w14:paraId="365B2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30" w:type="pct"/>
            <w:tcBorders>
              <w:top w:val="single" w:color="auto" w:sz="4" w:space="0"/>
              <w:left w:val="single" w:color="auto" w:sz="4" w:space="0"/>
              <w:bottom w:val="single" w:color="auto" w:sz="4" w:space="0"/>
              <w:right w:val="single" w:color="auto" w:sz="4" w:space="0"/>
            </w:tcBorders>
            <w:vAlign w:val="center"/>
          </w:tcPr>
          <w:p w14:paraId="3E0B074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5</w:t>
            </w:r>
          </w:p>
        </w:tc>
        <w:tc>
          <w:tcPr>
            <w:tcW w:w="1861" w:type="pct"/>
            <w:tcBorders>
              <w:top w:val="single" w:color="auto" w:sz="4" w:space="0"/>
              <w:left w:val="single" w:color="auto" w:sz="4" w:space="0"/>
              <w:bottom w:val="single" w:color="auto" w:sz="4" w:space="0"/>
              <w:right w:val="single" w:color="auto" w:sz="4" w:space="0"/>
            </w:tcBorders>
          </w:tcPr>
          <w:p w14:paraId="463EBB7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维护维修费用</w:t>
            </w:r>
          </w:p>
        </w:tc>
        <w:tc>
          <w:tcPr>
            <w:tcW w:w="1681" w:type="pct"/>
            <w:tcBorders>
              <w:top w:val="single" w:color="auto" w:sz="4" w:space="0"/>
              <w:left w:val="single" w:color="auto" w:sz="4" w:space="0"/>
              <w:bottom w:val="single" w:color="auto" w:sz="4" w:space="0"/>
              <w:right w:val="single" w:color="auto" w:sz="4" w:space="0"/>
            </w:tcBorders>
            <w:vAlign w:val="center"/>
          </w:tcPr>
          <w:p w14:paraId="6BA1B9C7">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14:paraId="45666958">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r>
      <w:tr w14:paraId="722E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30" w:type="pct"/>
            <w:tcBorders>
              <w:top w:val="single" w:color="auto" w:sz="4" w:space="0"/>
              <w:left w:val="single" w:color="auto" w:sz="4" w:space="0"/>
              <w:bottom w:val="single" w:color="auto" w:sz="4" w:space="0"/>
              <w:right w:val="single" w:color="auto" w:sz="4" w:space="0"/>
            </w:tcBorders>
            <w:vAlign w:val="center"/>
          </w:tcPr>
          <w:p w14:paraId="173B1169">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6</w:t>
            </w:r>
          </w:p>
        </w:tc>
        <w:tc>
          <w:tcPr>
            <w:tcW w:w="1861" w:type="pct"/>
            <w:tcBorders>
              <w:top w:val="single" w:color="auto" w:sz="4" w:space="0"/>
              <w:left w:val="single" w:color="auto" w:sz="4" w:space="0"/>
              <w:bottom w:val="single" w:color="auto" w:sz="4" w:space="0"/>
              <w:right w:val="single" w:color="auto" w:sz="4" w:space="0"/>
            </w:tcBorders>
          </w:tcPr>
          <w:p w14:paraId="215CAA8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水电费用</w:t>
            </w:r>
          </w:p>
        </w:tc>
        <w:tc>
          <w:tcPr>
            <w:tcW w:w="1681" w:type="pct"/>
            <w:tcBorders>
              <w:top w:val="single" w:color="auto" w:sz="4" w:space="0"/>
              <w:left w:val="single" w:color="auto" w:sz="4" w:space="0"/>
              <w:bottom w:val="single" w:color="auto" w:sz="4" w:space="0"/>
              <w:right w:val="single" w:color="auto" w:sz="4" w:space="0"/>
            </w:tcBorders>
            <w:vAlign w:val="center"/>
          </w:tcPr>
          <w:p w14:paraId="6177308E">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14:paraId="245A0BFD">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r>
      <w:tr w14:paraId="761A3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0" w:type="pct"/>
            <w:tcBorders>
              <w:top w:val="single" w:color="auto" w:sz="4" w:space="0"/>
              <w:left w:val="single" w:color="auto" w:sz="4" w:space="0"/>
              <w:bottom w:val="single" w:color="auto" w:sz="4" w:space="0"/>
              <w:right w:val="single" w:color="auto" w:sz="4" w:space="0"/>
            </w:tcBorders>
            <w:vAlign w:val="center"/>
          </w:tcPr>
          <w:p w14:paraId="61E1586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r>
              <w:rPr>
                <w:rFonts w:hint="default" w:ascii="宋体" w:hAnsi="宋体" w:eastAsia="宋体" w:cs="Times New Roman"/>
                <w:color w:val="auto"/>
                <w:kern w:val="0"/>
                <w:sz w:val="21"/>
                <w:szCs w:val="21"/>
                <w:highlight w:val="none"/>
              </w:rPr>
              <w:t>…</w:t>
            </w:r>
          </w:p>
        </w:tc>
        <w:tc>
          <w:tcPr>
            <w:tcW w:w="1861" w:type="pct"/>
            <w:tcBorders>
              <w:top w:val="single" w:color="auto" w:sz="4" w:space="0"/>
              <w:left w:val="single" w:color="auto" w:sz="4" w:space="0"/>
              <w:bottom w:val="single" w:color="auto" w:sz="4" w:space="0"/>
              <w:right w:val="single" w:color="auto" w:sz="4" w:space="0"/>
            </w:tcBorders>
            <w:vAlign w:val="center"/>
          </w:tcPr>
          <w:p w14:paraId="373C787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olor w:val="auto"/>
                <w:sz w:val="21"/>
                <w:szCs w:val="21"/>
                <w:highlight w:val="none"/>
              </w:rPr>
            </w:pPr>
          </w:p>
        </w:tc>
        <w:tc>
          <w:tcPr>
            <w:tcW w:w="1681" w:type="pct"/>
            <w:tcBorders>
              <w:top w:val="single" w:color="auto" w:sz="4" w:space="0"/>
              <w:left w:val="single" w:color="auto" w:sz="4" w:space="0"/>
              <w:bottom w:val="single" w:color="auto" w:sz="4" w:space="0"/>
              <w:right w:val="single" w:color="auto" w:sz="4" w:space="0"/>
            </w:tcBorders>
            <w:vAlign w:val="center"/>
          </w:tcPr>
          <w:p w14:paraId="6CD4AD25">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14:paraId="1070C1E5">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r>
      <w:tr w14:paraId="064CA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291" w:type="pct"/>
            <w:gridSpan w:val="2"/>
            <w:tcBorders>
              <w:top w:val="single" w:color="auto" w:sz="4" w:space="0"/>
              <w:left w:val="single" w:color="auto" w:sz="4" w:space="0"/>
              <w:bottom w:val="single" w:color="auto" w:sz="4" w:space="0"/>
              <w:right w:val="single" w:color="auto" w:sz="4" w:space="0"/>
            </w:tcBorders>
            <w:vAlign w:val="center"/>
          </w:tcPr>
          <w:p w14:paraId="4CFB7447">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olor w:val="auto"/>
                <w:sz w:val="21"/>
                <w:szCs w:val="21"/>
                <w:highlight w:val="none"/>
                <w:lang w:val="en-US" w:eastAsia="zh-CN"/>
              </w:rPr>
            </w:pPr>
            <w:r>
              <w:rPr>
                <w:rFonts w:hint="eastAsia" w:ascii="宋体" w:hAnsi="宋体" w:eastAsia="宋体"/>
                <w:b/>
                <w:bCs/>
                <w:color w:val="auto"/>
                <w:sz w:val="21"/>
                <w:szCs w:val="21"/>
                <w:highlight w:val="none"/>
                <w:lang w:val="en-US" w:eastAsia="zh-CN"/>
              </w:rPr>
              <w:t>合计（不含税，元/吨）</w:t>
            </w:r>
          </w:p>
        </w:tc>
        <w:tc>
          <w:tcPr>
            <w:tcW w:w="2708" w:type="pct"/>
            <w:gridSpan w:val="2"/>
            <w:tcBorders>
              <w:top w:val="single" w:color="auto" w:sz="4" w:space="0"/>
              <w:left w:val="single" w:color="auto" w:sz="4" w:space="0"/>
              <w:bottom w:val="single" w:color="auto" w:sz="4" w:space="0"/>
              <w:right w:val="single" w:color="auto" w:sz="4" w:space="0"/>
            </w:tcBorders>
            <w:vAlign w:val="center"/>
          </w:tcPr>
          <w:p w14:paraId="73B6C303">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r>
    </w:tbl>
    <w:p w14:paraId="5F802244">
      <w:pPr>
        <w:autoSpaceDE w:val="0"/>
        <w:autoSpaceDN w:val="0"/>
        <w:adjustRightInd w:val="0"/>
        <w:spacing w:line="360" w:lineRule="auto"/>
        <w:jc w:val="left"/>
        <w:rPr>
          <w:rFonts w:ascii="宋体" w:hAnsi="宋体" w:eastAsia="宋体" w:cs="宋体"/>
          <w:b/>
          <w:kern w:val="0"/>
          <w:szCs w:val="21"/>
          <w:highlight w:val="none"/>
        </w:rPr>
      </w:pPr>
    </w:p>
    <w:p w14:paraId="3A23DB73">
      <w:pPr>
        <w:autoSpaceDE w:val="0"/>
        <w:autoSpaceDN w:val="0"/>
        <w:adjustRightInd w:val="0"/>
        <w:spacing w:line="360" w:lineRule="auto"/>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备注：</w:t>
      </w:r>
    </w:p>
    <w:p w14:paraId="52FD4359">
      <w:pPr>
        <w:autoSpaceDE w:val="0"/>
        <w:autoSpaceDN w:val="0"/>
        <w:adjustRightInd w:val="0"/>
        <w:spacing w:line="360" w:lineRule="auto"/>
        <w:ind w:left="467" w:leftChars="18" w:hanging="424" w:hangingChars="202"/>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（1）此表为</w:t>
      </w:r>
      <w:r>
        <w:rPr>
          <w:rFonts w:hint="eastAsia" w:ascii="宋体" w:hAnsi="宋体" w:eastAsia="宋体" w:cs="宋体"/>
          <w:color w:val="auto"/>
          <w:kern w:val="0"/>
          <w:sz w:val="21"/>
          <w:szCs w:val="21"/>
          <w:highlight w:val="none"/>
          <w:lang w:val="en-US" w:eastAsia="zh-CN"/>
        </w:rPr>
        <w:t>首次</w:t>
      </w:r>
      <w:r>
        <w:rPr>
          <w:rFonts w:hint="eastAsia" w:ascii="宋体" w:hAnsi="宋体" w:eastAsia="宋体" w:cs="宋体"/>
          <w:color w:val="auto"/>
          <w:kern w:val="0"/>
          <w:sz w:val="21"/>
          <w:szCs w:val="21"/>
          <w:highlight w:val="none"/>
        </w:rPr>
        <w:t>报价表的分项报价表，</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应根据项目</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范围内分项实际内容的数量填写和扩展本报价表。</w:t>
      </w:r>
    </w:p>
    <w:p w14:paraId="773267FF">
      <w:pPr>
        <w:autoSpaceDE w:val="0"/>
        <w:autoSpaceDN w:val="0"/>
        <w:adjustRightInd w:val="0"/>
        <w:spacing w:line="360" w:lineRule="auto"/>
        <w:ind w:left="467" w:leftChars="18" w:hanging="424" w:hangingChars="202"/>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应列明按《用户需求书》所要求的该项目</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范围内全部服务的价格明细。</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未填单价或合价或漏量或漏项的项目，在实施后，</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人将不予以支付，并视为该费用已包括在其他有价款的单价或合价内。</w:t>
      </w:r>
    </w:p>
    <w:p w14:paraId="4CBB8A87">
      <w:pPr>
        <w:autoSpaceDE w:val="0"/>
        <w:autoSpaceDN w:val="0"/>
        <w:adjustRightInd w:val="0"/>
        <w:spacing w:line="360" w:lineRule="auto"/>
        <w:ind w:left="467" w:leftChars="18" w:hanging="424" w:hangingChars="202"/>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本分项报价表内的“合计”金额应与首次报价表内的响应报价金额一致，若两者不一致时，以首次报价表内的响应报价为准，并参照第二章磋商须知第34.2款修正分项目报价</w:t>
      </w:r>
      <w:r>
        <w:rPr>
          <w:rFonts w:hint="eastAsia" w:ascii="宋体" w:hAnsi="宋体" w:eastAsia="宋体" w:cs="宋体"/>
          <w:color w:val="auto"/>
          <w:kern w:val="0"/>
          <w:sz w:val="21"/>
          <w:szCs w:val="21"/>
          <w:highlight w:val="none"/>
        </w:rPr>
        <w:t>。</w:t>
      </w:r>
    </w:p>
    <w:p w14:paraId="02F04F8D">
      <w:pPr>
        <w:autoSpaceDE w:val="0"/>
        <w:autoSpaceDN w:val="0"/>
        <w:adjustRightInd w:val="0"/>
        <w:spacing w:line="360" w:lineRule="auto"/>
        <w:ind w:left="467" w:leftChars="18" w:hanging="424" w:hangingChars="202"/>
        <w:jc w:val="left"/>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（3）报价保留小数点后两位。</w:t>
      </w:r>
    </w:p>
    <w:p w14:paraId="1CC317B3">
      <w:pPr>
        <w:autoSpaceDE w:val="0"/>
        <w:autoSpaceDN w:val="0"/>
        <w:adjustRightInd w:val="0"/>
        <w:spacing w:line="360" w:lineRule="auto"/>
        <w:ind w:firstLine="315" w:firstLineChars="150"/>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供应商</w:t>
      </w:r>
      <w:r>
        <w:rPr>
          <w:rFonts w:hint="eastAsia" w:ascii="宋体" w:hAnsi="宋体" w:eastAsia="宋体" w:cs="宋体"/>
          <w:kern w:val="0"/>
          <w:sz w:val="21"/>
          <w:szCs w:val="21"/>
          <w:highlight w:val="none"/>
        </w:rPr>
        <w:t>：（加盖</w:t>
      </w:r>
      <w:r>
        <w:rPr>
          <w:rFonts w:hint="eastAsia" w:ascii="宋体" w:hAnsi="宋体" w:eastAsia="宋体" w:cs="宋体"/>
          <w:kern w:val="0"/>
          <w:sz w:val="21"/>
          <w:szCs w:val="21"/>
          <w:highlight w:val="none"/>
          <w:lang w:val="en-US" w:eastAsia="zh-CN"/>
        </w:rPr>
        <w:t>供应商</w:t>
      </w:r>
      <w:r>
        <w:rPr>
          <w:rFonts w:hint="eastAsia" w:ascii="宋体" w:hAnsi="宋体" w:eastAsia="宋体" w:cs="宋体"/>
          <w:kern w:val="0"/>
          <w:sz w:val="21"/>
          <w:szCs w:val="21"/>
          <w:highlight w:val="none"/>
        </w:rPr>
        <w:t>法人公章）</w:t>
      </w:r>
    </w:p>
    <w:p w14:paraId="29384E38">
      <w:pPr>
        <w:keepNext w:val="0"/>
        <w:keepLines w:val="0"/>
        <w:pageBreakBefore w:val="0"/>
        <w:widowControl w:val="0"/>
        <w:kinsoku/>
        <w:wordWrap/>
        <w:overflowPunct/>
        <w:topLinePunct w:val="0"/>
        <w:autoSpaceDE w:val="0"/>
        <w:autoSpaceDN w:val="0"/>
        <w:bidi w:val="0"/>
        <w:adjustRightInd w:val="0"/>
        <w:snapToGrid/>
        <w:spacing w:line="360" w:lineRule="auto"/>
        <w:ind w:left="6000" w:leftChars="2500"/>
        <w:jc w:val="both"/>
        <w:textAlignment w:val="auto"/>
        <w:rPr>
          <w:rFonts w:ascii="宋体" w:hAnsi="宋体" w:eastAsia="宋体" w:cs="宋体"/>
          <w:kern w:val="0"/>
          <w:sz w:val="21"/>
          <w:szCs w:val="21"/>
          <w:highlight w:val="none"/>
        </w:rPr>
      </w:pPr>
      <w:r>
        <w:rPr>
          <w:rFonts w:hint="eastAsia" w:ascii="宋体" w:hAnsi="宋体" w:eastAsia="宋体" w:cs="宋体"/>
          <w:kern w:val="0"/>
          <w:sz w:val="21"/>
          <w:szCs w:val="21"/>
          <w:highlight w:val="none"/>
        </w:rPr>
        <w:t>日</w:t>
      </w:r>
      <w:r>
        <w:rPr>
          <w:rFonts w:hint="eastAsia" w:ascii="宋体" w:hAnsi="宋体" w:cs="宋体"/>
          <w:kern w:val="0"/>
          <w:sz w:val="21"/>
          <w:szCs w:val="21"/>
          <w:highlight w:val="none"/>
          <w:lang w:val="en-US" w:eastAsia="zh-CN"/>
        </w:rPr>
        <w:t xml:space="preserve">  </w:t>
      </w:r>
      <w:r>
        <w:rPr>
          <w:rFonts w:hint="eastAsia" w:ascii="宋体" w:hAnsi="宋体" w:eastAsia="宋体" w:cs="宋体"/>
          <w:kern w:val="0"/>
          <w:sz w:val="21"/>
          <w:szCs w:val="21"/>
          <w:highlight w:val="none"/>
        </w:rPr>
        <w:t>期：   年   月   日</w:t>
      </w:r>
    </w:p>
    <w:p w14:paraId="30E8ECB4">
      <w:pPr>
        <w:keepNext w:val="0"/>
        <w:keepLines w:val="0"/>
        <w:pageBreakBefore/>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五</w:t>
      </w: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lang w:eastAsia="zh-CN"/>
        </w:rPr>
        <w:t>供应商</w:t>
      </w:r>
      <w:r>
        <w:rPr>
          <w:rFonts w:hint="eastAsia" w:ascii="宋体" w:hAnsi="宋体" w:eastAsia="宋体" w:cs="宋体"/>
          <w:b/>
          <w:color w:val="auto"/>
          <w:sz w:val="32"/>
          <w:szCs w:val="32"/>
          <w:highlight w:val="none"/>
        </w:rPr>
        <w:t>资格证明文件</w:t>
      </w:r>
      <w:bookmarkEnd w:id="297"/>
      <w:bookmarkEnd w:id="298"/>
      <w:bookmarkEnd w:id="299"/>
      <w:bookmarkEnd w:id="300"/>
      <w:bookmarkEnd w:id="301"/>
      <w:bookmarkEnd w:id="302"/>
    </w:p>
    <w:p w14:paraId="5D7AEBD8">
      <w:pPr>
        <w:autoSpaceDE/>
        <w:autoSpaceDN/>
        <w:adjustRightInd/>
        <w:spacing w:before="120" w:after="120" w:line="360" w:lineRule="auto"/>
        <w:ind w:left="0" w:firstLine="0" w:firstLineChars="0"/>
        <w:outlineLvl w:val="9"/>
        <w:rPr>
          <w:rFonts w:hint="eastAsia" w:ascii="宋体" w:hAnsi="宋体" w:eastAsia="宋体" w:cs="宋体"/>
          <w:b/>
          <w:color w:val="auto"/>
          <w:kern w:val="2"/>
          <w:sz w:val="30"/>
          <w:szCs w:val="30"/>
          <w:highlight w:val="none"/>
          <w:lang w:val="en-US" w:eastAsia="zh-CN"/>
        </w:rPr>
      </w:pPr>
      <w:bookmarkStart w:id="305" w:name="_Toc532576766"/>
      <w:bookmarkStart w:id="306" w:name="_Toc79146600"/>
      <w:bookmarkStart w:id="307" w:name="_Toc54334009"/>
      <w:bookmarkStart w:id="308" w:name="_Toc521918123"/>
      <w:bookmarkStart w:id="309" w:name="_Toc1123953"/>
      <w:bookmarkStart w:id="310" w:name="_Toc521576302"/>
      <w:bookmarkStart w:id="311" w:name="_Toc5098071"/>
      <w:bookmarkStart w:id="312" w:name="_Toc40288701"/>
      <w:bookmarkStart w:id="313" w:name="_Toc522047382"/>
      <w:bookmarkStart w:id="314" w:name="_Toc521918320"/>
      <w:bookmarkStart w:id="315" w:name="_Toc38982592"/>
      <w:bookmarkStart w:id="316" w:name="_Toc519153441"/>
      <w:bookmarkStart w:id="317" w:name="_Toc19008826"/>
      <w:bookmarkStart w:id="318" w:name="_Toc56076626"/>
      <w:r>
        <w:rPr>
          <w:rFonts w:hint="eastAsia" w:ascii="宋体" w:hAnsi="宋体" w:eastAsia="宋体" w:cs="宋体"/>
          <w:b/>
          <w:color w:val="auto"/>
          <w:kern w:val="2"/>
          <w:sz w:val="30"/>
          <w:szCs w:val="30"/>
          <w:highlight w:val="none"/>
          <w:lang w:val="en-US" w:eastAsia="zh-CN"/>
        </w:rPr>
        <w:t>5</w:t>
      </w:r>
      <w:r>
        <w:rPr>
          <w:rFonts w:hint="eastAsia" w:ascii="宋体" w:hAnsi="宋体" w:cs="宋体"/>
          <w:b/>
          <w:color w:val="auto"/>
          <w:kern w:val="2"/>
          <w:sz w:val="30"/>
          <w:szCs w:val="30"/>
          <w:highlight w:val="none"/>
          <w:lang w:val="en-US" w:eastAsia="zh-CN"/>
        </w:rPr>
        <w:t>.1</w:t>
      </w:r>
      <w:r>
        <w:rPr>
          <w:rFonts w:hint="eastAsia" w:ascii="宋体" w:hAnsi="宋体" w:eastAsia="宋体" w:cs="宋体"/>
          <w:b/>
          <w:color w:val="auto"/>
          <w:kern w:val="2"/>
          <w:sz w:val="30"/>
          <w:szCs w:val="30"/>
          <w:highlight w:val="none"/>
          <w:lang w:val="en-US" w:eastAsia="zh-CN"/>
        </w:rPr>
        <w:t xml:space="preserve"> 多证合一营业执照（或事业单位法人证书）复印件</w:t>
      </w:r>
    </w:p>
    <w:p w14:paraId="71F25C3A">
      <w:pPr>
        <w:autoSpaceDE/>
        <w:autoSpaceDN/>
        <w:adjustRightInd/>
        <w:spacing w:before="120" w:after="120" w:line="360" w:lineRule="auto"/>
        <w:ind w:left="0" w:firstLine="0" w:firstLineChars="0"/>
        <w:outlineLvl w:val="9"/>
        <w:rPr>
          <w:rFonts w:hint="eastAsia" w:ascii="宋体" w:hAnsi="宋体" w:eastAsia="宋体" w:cs="宋体"/>
          <w:b/>
          <w:color w:val="auto"/>
          <w:kern w:val="2"/>
          <w:sz w:val="30"/>
          <w:szCs w:val="30"/>
          <w:highlight w:val="none"/>
          <w:lang w:val="en-US" w:eastAsia="zh-CN"/>
        </w:rPr>
      </w:pPr>
    </w:p>
    <w:p w14:paraId="00F205E3">
      <w:pPr>
        <w:keepNext w:val="0"/>
        <w:keepLines w:val="0"/>
        <w:pageBreakBefore/>
        <w:widowControl w:val="0"/>
        <w:kinsoku/>
        <w:wordWrap/>
        <w:overflowPunct/>
        <w:topLinePunct w:val="0"/>
        <w:autoSpaceDE/>
        <w:autoSpaceDN/>
        <w:bidi w:val="0"/>
        <w:adjustRightInd/>
        <w:snapToGrid/>
        <w:spacing w:before="120" w:after="120" w:line="360" w:lineRule="auto"/>
        <w:ind w:left="0" w:firstLine="0" w:firstLineChars="0"/>
        <w:textAlignment w:val="auto"/>
        <w:outlineLvl w:val="9"/>
        <w:rPr>
          <w:rFonts w:hint="eastAsia" w:ascii="宋体" w:hAnsi="宋体" w:eastAsia="宋体" w:cs="宋体"/>
          <w:b/>
          <w:color w:val="auto"/>
          <w:kern w:val="2"/>
          <w:sz w:val="30"/>
          <w:szCs w:val="30"/>
          <w:highlight w:val="none"/>
          <w:lang w:val="en-US" w:eastAsia="zh-CN"/>
        </w:rPr>
      </w:pPr>
      <w:bookmarkStart w:id="319" w:name="_Toc519153444"/>
      <w:bookmarkStart w:id="320" w:name="_Toc521918323"/>
      <w:bookmarkStart w:id="321" w:name="_Toc521918126"/>
      <w:bookmarkStart w:id="322" w:name="_Toc521576305"/>
      <w:bookmarkStart w:id="323" w:name="_Toc1123955"/>
      <w:bookmarkStart w:id="324" w:name="_Toc532576769"/>
      <w:bookmarkStart w:id="325" w:name="_Toc5098073"/>
      <w:bookmarkStart w:id="326" w:name="_Toc522047385"/>
      <w:bookmarkStart w:id="327" w:name="_Toc19008829"/>
      <w:bookmarkStart w:id="328" w:name="_Toc79146602"/>
      <w:bookmarkStart w:id="329" w:name="_Toc40288703"/>
      <w:bookmarkStart w:id="330" w:name="_Toc54334011"/>
      <w:bookmarkStart w:id="331" w:name="_Toc38982594"/>
      <w:bookmarkStart w:id="332" w:name="_Toc56076628"/>
      <w:r>
        <w:rPr>
          <w:rFonts w:hint="eastAsia" w:ascii="宋体" w:hAnsi="宋体" w:eastAsia="宋体" w:cs="宋体"/>
          <w:b/>
          <w:color w:val="auto"/>
          <w:kern w:val="2"/>
          <w:sz w:val="30"/>
          <w:szCs w:val="30"/>
          <w:highlight w:val="none"/>
          <w:lang w:val="en-US" w:eastAsia="zh-CN"/>
        </w:rPr>
        <w:t>5</w:t>
      </w:r>
      <w:r>
        <w:rPr>
          <w:rFonts w:hint="eastAsia" w:ascii="宋体" w:hAnsi="宋体" w:cs="宋体"/>
          <w:b/>
          <w:color w:val="auto"/>
          <w:kern w:val="2"/>
          <w:sz w:val="30"/>
          <w:szCs w:val="30"/>
          <w:highlight w:val="none"/>
          <w:lang w:val="en-US" w:eastAsia="zh-CN"/>
        </w:rPr>
        <w:t>.2</w:t>
      </w:r>
      <w:r>
        <w:rPr>
          <w:rFonts w:hint="eastAsia" w:ascii="宋体" w:hAnsi="宋体" w:eastAsia="宋体" w:cs="宋体"/>
          <w:b/>
          <w:color w:val="auto"/>
          <w:kern w:val="2"/>
          <w:sz w:val="30"/>
          <w:szCs w:val="30"/>
          <w:highlight w:val="none"/>
          <w:lang w:val="en-US" w:eastAsia="zh-CN"/>
        </w:rPr>
        <w:t xml:space="preserve"> 开户许可证复印件（基本存款账户）</w:t>
      </w:r>
      <w:bookmarkEnd w:id="319"/>
      <w:bookmarkEnd w:id="320"/>
      <w:bookmarkEnd w:id="321"/>
      <w:bookmarkEnd w:id="322"/>
      <w:bookmarkEnd w:id="323"/>
      <w:bookmarkEnd w:id="324"/>
      <w:bookmarkEnd w:id="325"/>
      <w:bookmarkEnd w:id="326"/>
      <w:r>
        <w:rPr>
          <w:rFonts w:hint="eastAsia" w:ascii="宋体" w:hAnsi="宋体" w:eastAsia="宋体" w:cs="宋体"/>
          <w:b/>
          <w:color w:val="auto"/>
          <w:kern w:val="2"/>
          <w:sz w:val="30"/>
          <w:szCs w:val="30"/>
          <w:highlight w:val="none"/>
          <w:lang w:val="en-US" w:eastAsia="zh-CN"/>
        </w:rPr>
        <w:t>复印件</w:t>
      </w:r>
      <w:bookmarkEnd w:id="327"/>
      <w:r>
        <w:rPr>
          <w:rFonts w:hint="eastAsia" w:ascii="宋体" w:hAnsi="宋体" w:eastAsia="宋体" w:cs="宋体"/>
          <w:b/>
          <w:color w:val="auto"/>
          <w:kern w:val="2"/>
          <w:sz w:val="30"/>
          <w:szCs w:val="30"/>
          <w:highlight w:val="none"/>
          <w:lang w:val="en-US" w:eastAsia="zh-CN"/>
        </w:rPr>
        <w:t>，如供应商企业银行账户开户所在地区已取消企业银行账户许可，供应商应提供基本存款账户开户名称、开户银行、账号、编号等信息及相关备案证明（如有）或其他能证明其为基本存款账户的资料复印件</w:t>
      </w:r>
      <w:bookmarkEnd w:id="328"/>
      <w:bookmarkEnd w:id="329"/>
      <w:bookmarkEnd w:id="330"/>
      <w:bookmarkEnd w:id="331"/>
      <w:bookmarkEnd w:id="332"/>
    </w:p>
    <w:p w14:paraId="4A2A7193">
      <w:pPr>
        <w:keepNext w:val="0"/>
        <w:keepLines w:val="0"/>
        <w:pageBreakBefore/>
        <w:widowControl w:val="0"/>
        <w:kinsoku/>
        <w:wordWrap/>
        <w:overflowPunct/>
        <w:topLinePunct w:val="0"/>
        <w:autoSpaceDE/>
        <w:autoSpaceDN/>
        <w:bidi w:val="0"/>
        <w:adjustRightInd/>
        <w:snapToGrid/>
        <w:spacing w:before="120" w:after="120" w:line="360" w:lineRule="auto"/>
        <w:ind w:left="0" w:firstLine="0" w:firstLineChars="0"/>
        <w:textAlignment w:val="auto"/>
        <w:outlineLvl w:val="9"/>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lang w:val="en-US" w:eastAsia="zh-CN"/>
        </w:rPr>
        <w:t>5</w:t>
      </w:r>
      <w:r>
        <w:rPr>
          <w:rFonts w:hint="eastAsia" w:ascii="宋体" w:hAnsi="宋体" w:cs="宋体"/>
          <w:b/>
          <w:color w:val="auto"/>
          <w:kern w:val="2"/>
          <w:sz w:val="30"/>
          <w:szCs w:val="30"/>
          <w:highlight w:val="none"/>
          <w:lang w:val="en-US" w:eastAsia="zh-CN"/>
        </w:rPr>
        <w:t>.3</w:t>
      </w:r>
      <w:r>
        <w:rPr>
          <w:rFonts w:hint="eastAsia" w:ascii="宋体" w:hAnsi="宋体" w:eastAsia="宋体" w:cs="宋体"/>
          <w:b/>
          <w:color w:val="auto"/>
          <w:kern w:val="2"/>
          <w:sz w:val="30"/>
          <w:szCs w:val="30"/>
          <w:highlight w:val="none"/>
        </w:rPr>
        <w:t xml:space="preserve"> </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r>
        <w:rPr>
          <w:rFonts w:hint="eastAsia" w:ascii="宋体" w:hAnsi="宋体" w:eastAsia="宋体" w:cs="宋体"/>
          <w:b/>
          <w:color w:val="auto"/>
          <w:kern w:val="2"/>
          <w:sz w:val="30"/>
          <w:szCs w:val="30"/>
          <w:highlight w:val="none"/>
        </w:rPr>
        <w:t>法定代表人身份证明书原件、法定代表人授权书原件格式（法定代表人</w:t>
      </w:r>
      <w:r>
        <w:rPr>
          <w:rFonts w:hint="eastAsia" w:ascii="宋体" w:hAnsi="宋体" w:cs="宋体"/>
          <w:b/>
          <w:color w:val="auto"/>
          <w:kern w:val="2"/>
          <w:sz w:val="30"/>
          <w:szCs w:val="30"/>
          <w:highlight w:val="none"/>
          <w:lang w:val="en-US" w:eastAsia="zh-CN"/>
        </w:rPr>
        <w:t>磋商</w:t>
      </w:r>
      <w:r>
        <w:rPr>
          <w:rFonts w:hint="eastAsia" w:ascii="宋体" w:hAnsi="宋体" w:eastAsia="宋体" w:cs="宋体"/>
          <w:b/>
          <w:color w:val="auto"/>
          <w:kern w:val="2"/>
          <w:sz w:val="30"/>
          <w:szCs w:val="30"/>
          <w:highlight w:val="none"/>
        </w:rPr>
        <w:t>时只需提供法定代表人身份证明书，委托他人为</w:t>
      </w:r>
      <w:r>
        <w:rPr>
          <w:rFonts w:hint="eastAsia" w:ascii="宋体" w:hAnsi="宋体" w:eastAsia="宋体" w:cs="宋体"/>
          <w:b/>
          <w:color w:val="auto"/>
          <w:kern w:val="2"/>
          <w:sz w:val="30"/>
          <w:szCs w:val="30"/>
          <w:highlight w:val="none"/>
          <w:lang w:val="en-US" w:eastAsia="zh-CN"/>
        </w:rPr>
        <w:t>磋商</w:t>
      </w:r>
      <w:r>
        <w:rPr>
          <w:rFonts w:hint="eastAsia" w:ascii="宋体" w:hAnsi="宋体" w:eastAsia="宋体" w:cs="宋体"/>
          <w:b/>
          <w:color w:val="auto"/>
          <w:kern w:val="2"/>
          <w:sz w:val="30"/>
          <w:szCs w:val="30"/>
          <w:highlight w:val="none"/>
        </w:rPr>
        <w:t>代表或签署</w:t>
      </w:r>
      <w:r>
        <w:rPr>
          <w:rFonts w:hint="eastAsia" w:ascii="宋体" w:hAnsi="宋体" w:cs="宋体"/>
          <w:b/>
          <w:color w:val="auto"/>
          <w:kern w:val="2"/>
          <w:sz w:val="30"/>
          <w:szCs w:val="30"/>
          <w:highlight w:val="none"/>
          <w:lang w:val="en-US" w:eastAsia="zh-CN"/>
        </w:rPr>
        <w:t>响应</w:t>
      </w:r>
      <w:r>
        <w:rPr>
          <w:rFonts w:hint="eastAsia" w:ascii="宋体" w:hAnsi="宋体" w:eastAsia="宋体" w:cs="宋体"/>
          <w:b/>
          <w:color w:val="auto"/>
          <w:kern w:val="2"/>
          <w:sz w:val="30"/>
          <w:szCs w:val="30"/>
          <w:highlight w:val="none"/>
        </w:rPr>
        <w:t>文件时需同时提供法定代表人授权书）</w:t>
      </w:r>
    </w:p>
    <w:p w14:paraId="768CEF93">
      <w:pPr>
        <w:autoSpaceDE/>
        <w:autoSpaceDN/>
        <w:adjustRightInd/>
        <w:spacing w:before="120" w:after="120" w:line="360" w:lineRule="auto"/>
        <w:ind w:firstLine="426" w:firstLineChars="202"/>
        <w:jc w:val="both"/>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（1）法定代表人身份</w:t>
      </w:r>
      <w:r>
        <w:rPr>
          <w:rFonts w:hint="eastAsia" w:ascii="宋体" w:hAnsi="宋体" w:eastAsia="宋体" w:cs="宋体"/>
          <w:b/>
          <w:color w:val="auto"/>
          <w:kern w:val="2"/>
          <w:sz w:val="21"/>
          <w:szCs w:val="24"/>
          <w:highlight w:val="none"/>
        </w:rPr>
        <w:t>证明书</w:t>
      </w:r>
      <w:r>
        <w:rPr>
          <w:rFonts w:hint="eastAsia" w:ascii="宋体" w:hAnsi="宋体" w:eastAsia="宋体" w:cs="宋体"/>
          <w:b/>
          <w:color w:val="auto"/>
          <w:kern w:val="2"/>
          <w:sz w:val="21"/>
          <w:szCs w:val="21"/>
          <w:highlight w:val="none"/>
        </w:rPr>
        <w:t>格式</w:t>
      </w:r>
    </w:p>
    <w:p w14:paraId="5CF87F7C">
      <w:pPr>
        <w:autoSpaceDE/>
        <w:autoSpaceDN/>
        <w:adjustRightInd/>
        <w:spacing w:before="120" w:after="120" w:line="360" w:lineRule="auto"/>
        <w:ind w:firstLine="608" w:firstLineChars="202"/>
        <w:jc w:val="center"/>
        <w:rPr>
          <w:rFonts w:hint="eastAsia" w:ascii="宋体" w:hAnsi="宋体" w:eastAsia="宋体" w:cs="宋体"/>
          <w:b/>
          <w:color w:val="auto"/>
          <w:kern w:val="2"/>
          <w:sz w:val="30"/>
          <w:szCs w:val="30"/>
          <w:highlight w:val="none"/>
        </w:rPr>
      </w:pPr>
    </w:p>
    <w:p w14:paraId="39227C3E">
      <w:pPr>
        <w:autoSpaceDE/>
        <w:autoSpaceDN/>
        <w:adjustRightInd/>
        <w:spacing w:before="120" w:after="120" w:line="360" w:lineRule="auto"/>
        <w:ind w:firstLine="608" w:firstLineChars="202"/>
        <w:jc w:val="center"/>
        <w:rPr>
          <w:rFonts w:hint="eastAsia" w:ascii="宋体" w:hAnsi="宋体" w:eastAsia="宋体" w:cs="宋体"/>
          <w:b/>
          <w:bCs/>
          <w:color w:val="auto"/>
          <w:kern w:val="2"/>
          <w:sz w:val="30"/>
          <w:szCs w:val="30"/>
          <w:highlight w:val="none"/>
        </w:rPr>
      </w:pPr>
      <w:r>
        <w:rPr>
          <w:rFonts w:hint="eastAsia" w:ascii="宋体" w:hAnsi="宋体" w:eastAsia="宋体" w:cs="宋体"/>
          <w:b/>
          <w:color w:val="auto"/>
          <w:kern w:val="2"/>
          <w:sz w:val="30"/>
          <w:szCs w:val="30"/>
          <w:highlight w:val="none"/>
        </w:rPr>
        <w:t>法定代</w:t>
      </w:r>
      <w:bookmarkStart w:id="333" w:name="_Toc45995270"/>
      <w:bookmarkStart w:id="334" w:name="_Toc36971359"/>
      <w:r>
        <w:rPr>
          <w:rFonts w:hint="eastAsia" w:ascii="宋体" w:hAnsi="宋体" w:eastAsia="宋体" w:cs="宋体"/>
          <w:b/>
          <w:color w:val="auto"/>
          <w:kern w:val="2"/>
          <w:sz w:val="30"/>
          <w:szCs w:val="30"/>
          <w:highlight w:val="none"/>
        </w:rPr>
        <w:t>表人身份证明书</w:t>
      </w:r>
      <w:r>
        <w:rPr>
          <w:rFonts w:hint="eastAsia" w:ascii="宋体" w:hAnsi="宋体" w:eastAsia="宋体" w:cs="宋体"/>
          <w:b/>
          <w:color w:val="auto"/>
          <w:sz w:val="30"/>
          <w:szCs w:val="30"/>
          <w:lang w:val="zh-CN"/>
        </w:rPr>
        <w:t>(   包组)</w:t>
      </w:r>
    </w:p>
    <w:p w14:paraId="5F6A391D">
      <w:pPr>
        <w:autoSpaceDE/>
        <w:autoSpaceDN/>
        <w:adjustRightInd/>
        <w:spacing w:before="120" w:after="120" w:line="360" w:lineRule="auto"/>
        <w:ind w:firstLine="420" w:firstLineChars="200"/>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u w:val="single"/>
        </w:rPr>
        <w:t xml:space="preserve">            </w:t>
      </w:r>
      <w:r>
        <w:rPr>
          <w:rFonts w:hint="eastAsia" w:ascii="宋体" w:hAnsi="宋体" w:eastAsia="宋体" w:cs="宋体"/>
          <w:color w:val="auto"/>
          <w:kern w:val="2"/>
          <w:sz w:val="21"/>
          <w:highlight w:val="none"/>
        </w:rPr>
        <w:t>先生</w:t>
      </w:r>
      <w:bookmarkEnd w:id="333"/>
      <w:bookmarkEnd w:id="334"/>
      <w:r>
        <w:rPr>
          <w:rFonts w:hint="eastAsia" w:ascii="宋体" w:hAnsi="宋体" w:eastAsia="宋体" w:cs="宋体"/>
          <w:color w:val="auto"/>
          <w:kern w:val="2"/>
          <w:sz w:val="21"/>
          <w:highlight w:val="none"/>
        </w:rPr>
        <w:t>／女士：现任我单位</w:t>
      </w:r>
      <w:r>
        <w:rPr>
          <w:rFonts w:hint="eastAsia" w:ascii="宋体" w:hAnsi="宋体" w:eastAsia="宋体" w:cs="宋体"/>
          <w:color w:val="auto"/>
          <w:kern w:val="2"/>
          <w:sz w:val="21"/>
          <w:highlight w:val="none"/>
          <w:u w:val="single"/>
        </w:rPr>
        <w:t xml:space="preserve">            </w:t>
      </w:r>
      <w:r>
        <w:rPr>
          <w:rFonts w:hint="eastAsia" w:ascii="宋体" w:hAnsi="宋体" w:eastAsia="宋体" w:cs="宋体"/>
          <w:color w:val="auto"/>
          <w:kern w:val="2"/>
          <w:sz w:val="21"/>
          <w:highlight w:val="none"/>
        </w:rPr>
        <w:t>职务，为法定代表人，特此证明。</w:t>
      </w:r>
    </w:p>
    <w:p w14:paraId="64676B1A">
      <w:pPr>
        <w:autoSpaceDE/>
        <w:autoSpaceDN/>
        <w:adjustRightInd/>
        <w:spacing w:before="120" w:after="120" w:line="360" w:lineRule="auto"/>
        <w:ind w:firstLine="424" w:firstLineChars="202"/>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有效日期：</w:t>
      </w:r>
      <w:r>
        <w:rPr>
          <w:rFonts w:hint="eastAsia" w:ascii="宋体" w:hAnsi="宋体" w:eastAsia="宋体" w:cs="宋体"/>
          <w:color w:val="auto"/>
          <w:kern w:val="2"/>
          <w:sz w:val="21"/>
          <w:highlight w:val="none"/>
          <w:u w:val="single"/>
        </w:rPr>
        <w:t xml:space="preserve">          </w:t>
      </w:r>
      <w:r>
        <w:rPr>
          <w:rFonts w:hint="eastAsia" w:ascii="宋体" w:hAnsi="宋体" w:eastAsia="宋体" w:cs="宋体"/>
          <w:color w:val="auto"/>
          <w:kern w:val="2"/>
          <w:sz w:val="21"/>
          <w:highlight w:val="none"/>
        </w:rPr>
        <w:t>签发日期：</w:t>
      </w:r>
      <w:r>
        <w:rPr>
          <w:rFonts w:hint="eastAsia" w:ascii="宋体" w:hAnsi="宋体" w:eastAsia="宋体" w:cs="宋体"/>
          <w:color w:val="auto"/>
          <w:kern w:val="2"/>
          <w:sz w:val="21"/>
          <w:highlight w:val="none"/>
          <w:u w:val="single"/>
        </w:rPr>
        <w:t xml:space="preserve">           </w:t>
      </w:r>
    </w:p>
    <w:p w14:paraId="289D5DFA">
      <w:pPr>
        <w:autoSpaceDE/>
        <w:autoSpaceDN/>
        <w:adjustRightInd/>
        <w:spacing w:before="120" w:after="120" w:line="360" w:lineRule="auto"/>
        <w:ind w:firstLine="424" w:firstLineChars="202"/>
        <w:jc w:val="both"/>
        <w:rPr>
          <w:rFonts w:hint="eastAsia" w:ascii="宋体" w:hAnsi="宋体" w:eastAsia="宋体" w:cs="宋体"/>
          <w:color w:val="auto"/>
          <w:kern w:val="2"/>
          <w:sz w:val="21"/>
          <w:highlight w:val="none"/>
          <w:u w:val="single"/>
        </w:rPr>
      </w:pPr>
      <w:r>
        <w:rPr>
          <w:rFonts w:hint="eastAsia" w:ascii="宋体" w:hAnsi="宋体" w:eastAsia="宋体" w:cs="宋体"/>
          <w:color w:val="auto"/>
          <w:kern w:val="2"/>
          <w:sz w:val="21"/>
          <w:highlight w:val="none"/>
        </w:rPr>
        <w:t>附：代表人性别：</w:t>
      </w:r>
      <w:r>
        <w:rPr>
          <w:rFonts w:hint="eastAsia" w:ascii="宋体" w:hAnsi="宋体" w:eastAsia="宋体" w:cs="宋体"/>
          <w:color w:val="auto"/>
          <w:kern w:val="2"/>
          <w:sz w:val="21"/>
          <w:highlight w:val="none"/>
          <w:u w:val="single"/>
        </w:rPr>
        <w:t xml:space="preserve">      </w:t>
      </w:r>
      <w:r>
        <w:rPr>
          <w:rFonts w:hint="eastAsia" w:ascii="宋体" w:hAnsi="宋体" w:eastAsia="宋体" w:cs="宋体"/>
          <w:color w:val="auto"/>
          <w:kern w:val="2"/>
          <w:sz w:val="21"/>
          <w:highlight w:val="none"/>
        </w:rPr>
        <w:t xml:space="preserve"> 年龄：</w:t>
      </w:r>
      <w:r>
        <w:rPr>
          <w:rFonts w:hint="eastAsia" w:ascii="宋体" w:hAnsi="宋体" w:eastAsia="宋体" w:cs="宋体"/>
          <w:color w:val="auto"/>
          <w:kern w:val="2"/>
          <w:sz w:val="21"/>
          <w:highlight w:val="none"/>
          <w:u w:val="single"/>
        </w:rPr>
        <w:t xml:space="preserve">         </w:t>
      </w:r>
      <w:r>
        <w:rPr>
          <w:rFonts w:hint="eastAsia" w:ascii="宋体" w:hAnsi="宋体" w:eastAsia="宋体" w:cs="宋体"/>
          <w:color w:val="auto"/>
          <w:kern w:val="2"/>
          <w:sz w:val="21"/>
          <w:highlight w:val="none"/>
        </w:rPr>
        <w:t>身份证号码：</w:t>
      </w:r>
      <w:r>
        <w:rPr>
          <w:rFonts w:hint="eastAsia" w:ascii="宋体" w:hAnsi="宋体" w:eastAsia="宋体" w:cs="宋体"/>
          <w:color w:val="auto"/>
          <w:kern w:val="2"/>
          <w:sz w:val="21"/>
          <w:highlight w:val="none"/>
          <w:u w:val="single"/>
        </w:rPr>
        <w:t xml:space="preserve">            </w:t>
      </w:r>
    </w:p>
    <w:p w14:paraId="611FD83C">
      <w:pPr>
        <w:autoSpaceDE/>
        <w:autoSpaceDN/>
        <w:adjustRightInd/>
        <w:spacing w:before="120" w:after="120" w:line="360" w:lineRule="auto"/>
        <w:ind w:firstLine="424" w:firstLineChars="202"/>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营业执照号码：</w:t>
      </w:r>
      <w:r>
        <w:rPr>
          <w:rFonts w:hint="eastAsia" w:ascii="宋体" w:hAnsi="宋体" w:eastAsia="宋体" w:cs="宋体"/>
          <w:color w:val="auto"/>
          <w:kern w:val="2"/>
          <w:sz w:val="21"/>
          <w:highlight w:val="none"/>
          <w:u w:val="single"/>
        </w:rPr>
        <w:t xml:space="preserve">           </w:t>
      </w:r>
      <w:r>
        <w:rPr>
          <w:rFonts w:hint="eastAsia" w:ascii="宋体" w:hAnsi="宋体" w:eastAsia="宋体" w:cs="宋体"/>
          <w:color w:val="auto"/>
          <w:kern w:val="2"/>
          <w:sz w:val="21"/>
          <w:highlight w:val="none"/>
        </w:rPr>
        <w:t xml:space="preserve">经济性质： </w:t>
      </w:r>
    </w:p>
    <w:p w14:paraId="5215ED3A">
      <w:pPr>
        <w:autoSpaceDE/>
        <w:autoSpaceDN/>
        <w:adjustRightInd/>
        <w:spacing w:before="120" w:after="120" w:line="360" w:lineRule="auto"/>
        <w:ind w:firstLine="424" w:firstLineChars="202"/>
        <w:jc w:val="both"/>
        <w:rPr>
          <w:rFonts w:hint="eastAsia" w:ascii="宋体" w:hAnsi="宋体" w:eastAsia="宋体" w:cs="宋体"/>
          <w:color w:val="auto"/>
          <w:kern w:val="2"/>
          <w:sz w:val="21"/>
          <w:highlight w:val="none"/>
          <w:u w:val="single"/>
        </w:rPr>
      </w:pPr>
      <w:r>
        <w:rPr>
          <w:rFonts w:hint="eastAsia" w:ascii="宋体" w:hAnsi="宋体" w:eastAsia="宋体" w:cs="宋体"/>
          <w:color w:val="auto"/>
          <w:kern w:val="2"/>
          <w:sz w:val="21"/>
          <w:highlight w:val="none"/>
        </w:rPr>
        <w:t>主营（产）：</w:t>
      </w:r>
    </w:p>
    <w:p w14:paraId="1A1FB1C1">
      <w:pPr>
        <w:autoSpaceDE/>
        <w:autoSpaceDN/>
        <w:adjustRightInd/>
        <w:spacing w:before="120" w:after="120" w:line="360" w:lineRule="auto"/>
        <w:ind w:firstLine="424" w:firstLineChars="202"/>
        <w:jc w:val="both"/>
        <w:rPr>
          <w:rFonts w:hint="eastAsia" w:ascii="宋体" w:hAnsi="宋体" w:eastAsia="宋体" w:cs="宋体"/>
          <w:color w:val="auto"/>
          <w:kern w:val="2"/>
          <w:sz w:val="21"/>
          <w:highlight w:val="none"/>
          <w:u w:val="single"/>
        </w:rPr>
      </w:pPr>
      <w:r>
        <w:rPr>
          <w:rFonts w:hint="eastAsia" w:ascii="宋体" w:hAnsi="宋体" w:eastAsia="宋体" w:cs="宋体"/>
          <w:color w:val="auto"/>
          <w:kern w:val="2"/>
          <w:sz w:val="21"/>
          <w:highlight w:val="none"/>
        </w:rPr>
        <w:t>兼营（产）：</w:t>
      </w:r>
    </w:p>
    <w:p w14:paraId="232A7B0F">
      <w:pPr>
        <w:autoSpaceDE/>
        <w:autoSpaceDN/>
        <w:adjustRightInd/>
        <w:spacing w:before="120" w:after="120" w:line="360" w:lineRule="auto"/>
        <w:ind w:firstLine="424" w:firstLineChars="202"/>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 xml:space="preserve">附 法定代表人身份证复印件 </w:t>
      </w:r>
    </w:p>
    <w:p w14:paraId="58C12AC4">
      <w:pPr>
        <w:autoSpaceDE/>
        <w:autoSpaceDN/>
        <w:adjustRightInd/>
        <w:spacing w:before="120" w:after="120" w:line="360" w:lineRule="auto"/>
        <w:ind w:left="629" w:firstLine="474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供应商：（加盖供应商法人公章）</w:t>
      </w:r>
    </w:p>
    <w:p w14:paraId="60D54777">
      <w:pPr>
        <w:tabs>
          <w:tab w:val="left" w:pos="525"/>
        </w:tabs>
        <w:autoSpaceDE/>
        <w:autoSpaceDN/>
        <w:adjustRightInd/>
        <w:spacing w:before="120" w:after="120" w:line="360" w:lineRule="auto"/>
        <w:ind w:left="528" w:leftChars="220" w:firstLine="4857" w:firstLineChars="2313"/>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color w:val="auto"/>
          <w:kern w:val="2"/>
          <w:sz w:val="21"/>
          <w:szCs w:val="21"/>
          <w:highlight w:val="none"/>
          <w:lang w:val="zh-CN"/>
        </w:rPr>
        <w:t>日</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期：</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zh-CN"/>
        </w:rPr>
        <w:t>年</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zh-CN"/>
        </w:rPr>
        <w:t>月</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zh-CN"/>
        </w:rPr>
        <w:t>日</w:t>
      </w:r>
      <w:r>
        <w:rPr>
          <w:rFonts w:hint="eastAsia" w:ascii="宋体" w:hAnsi="宋体" w:eastAsia="宋体" w:cs="宋体"/>
          <w:b/>
          <w:bCs/>
          <w:color w:val="auto"/>
          <w:kern w:val="2"/>
          <w:sz w:val="21"/>
          <w:szCs w:val="21"/>
          <w:highlight w:val="none"/>
          <w:lang w:val="zh-CN"/>
        </w:rPr>
        <w:t xml:space="preserve"> </w:t>
      </w:r>
    </w:p>
    <w:p w14:paraId="16AD577D">
      <w:pPr>
        <w:rPr>
          <w:rFonts w:hint="eastAsia" w:ascii="宋体" w:hAnsi="宋体" w:eastAsia="宋体" w:cs="宋体"/>
          <w:color w:val="auto"/>
          <w:kern w:val="2"/>
          <w:highlight w:val="none"/>
          <w:lang w:val="zh-CN"/>
        </w:rPr>
      </w:pPr>
      <w:r>
        <w:rPr>
          <w:rFonts w:hint="eastAsia" w:ascii="宋体" w:hAnsi="宋体" w:eastAsia="宋体" w:cs="宋体"/>
          <w:color w:val="auto"/>
          <w:kern w:val="2"/>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73660</wp:posOffset>
                </wp:positionV>
                <wp:extent cx="2790825" cy="1962150"/>
                <wp:effectExtent l="4445" t="5080" r="5080" b="13970"/>
                <wp:wrapNone/>
                <wp:docPr id="2" name="文本框 3"/>
                <wp:cNvGraphicFramePr/>
                <a:graphic xmlns:a="http://schemas.openxmlformats.org/drawingml/2006/main">
                  <a:graphicData uri="http://schemas.microsoft.com/office/word/2010/wordprocessingShape">
                    <wps:wsp>
                      <wps:cNvSpPr txBox="1"/>
                      <wps:spPr>
                        <a:xfrm>
                          <a:off x="0" y="0"/>
                          <a:ext cx="2790825" cy="19621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205145F">
                            <w:pPr>
                              <w:rPr>
                                <w:rFonts w:hint="eastAsia"/>
                              </w:rPr>
                            </w:pPr>
                          </w:p>
                          <w:p w14:paraId="69C87DAC">
                            <w:pPr>
                              <w:rPr>
                                <w:rFonts w:hint="eastAsia"/>
                              </w:rPr>
                            </w:pPr>
                          </w:p>
                          <w:p w14:paraId="447B2A96">
                            <w:pPr>
                              <w:rPr>
                                <w:rFonts w:hint="eastAsia"/>
                              </w:rPr>
                            </w:pPr>
                          </w:p>
                          <w:p w14:paraId="78CB12C0">
                            <w:pPr>
                              <w:rPr>
                                <w:rFonts w:hint="eastAsia"/>
                              </w:rPr>
                            </w:pPr>
                          </w:p>
                          <w:p w14:paraId="42A478F7">
                            <w:pPr>
                              <w:jc w:val="center"/>
                              <w:rPr>
                                <w:rFonts w:ascii="宋体" w:hAnsi="宋体"/>
                                <w:sz w:val="21"/>
                                <w:szCs w:val="21"/>
                              </w:rPr>
                            </w:pPr>
                            <w:r>
                              <w:rPr>
                                <w:rFonts w:hint="eastAsia" w:ascii="宋体" w:hAnsi="宋体"/>
                                <w:sz w:val="21"/>
                                <w:szCs w:val="21"/>
                              </w:rPr>
                              <w:t>法定代表人身份证反面</w:t>
                            </w:r>
                          </w:p>
                          <w:p w14:paraId="50B012AC">
                            <w:pPr>
                              <w:jc w:val="center"/>
                              <w:rPr>
                                <w:sz w:val="21"/>
                                <w:szCs w:val="21"/>
                              </w:rPr>
                            </w:pPr>
                          </w:p>
                        </w:txbxContent>
                      </wps:txbx>
                      <wps:bodyPr upright="1"/>
                    </wps:wsp>
                  </a:graphicData>
                </a:graphic>
              </wp:anchor>
            </w:drawing>
          </mc:Choice>
          <mc:Fallback>
            <w:pict>
              <v:shape id="文本框 3" o:spid="_x0000_s1026" o:spt="202" type="#_x0000_t202" style="position:absolute;left:0pt;margin-left:246.35pt;margin-top:5.8pt;height:154.5pt;width:219.75pt;z-index:251660288;mso-width-relative:page;mso-height-relative:page;" fillcolor="#FFFFFF" filled="t" stroked="t" coordsize="21600,21600" o:gfxdata="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LXrEnZAAAACgEAAA8AAAAAAAAAAQAg&#10;AAAAIgAAAGRycy9kb3ducmV2LnhtbFBLAQIUABQAAAAIAIdO4kDCMoWeDQIAADcEAAAOAAAAAAAA&#10;AAEAIAAAACgBAABkcnMvZTJvRG9jLnhtbFBLBQYAAAAABgAGAFkBAACnBQAAAAA=&#10;">
                <v:fill on="t" focussize="0,0"/>
                <v:stroke color="#000000" joinstyle="miter"/>
                <v:imagedata o:title=""/>
                <o:lock v:ext="edit" aspectratio="f"/>
                <v:textbox>
                  <w:txbxContent>
                    <w:p w14:paraId="4205145F">
                      <w:pPr>
                        <w:rPr>
                          <w:rFonts w:hint="eastAsia"/>
                        </w:rPr>
                      </w:pPr>
                    </w:p>
                    <w:p w14:paraId="69C87DAC">
                      <w:pPr>
                        <w:rPr>
                          <w:rFonts w:hint="eastAsia"/>
                        </w:rPr>
                      </w:pPr>
                    </w:p>
                    <w:p w14:paraId="447B2A96">
                      <w:pPr>
                        <w:rPr>
                          <w:rFonts w:hint="eastAsia"/>
                        </w:rPr>
                      </w:pPr>
                    </w:p>
                    <w:p w14:paraId="78CB12C0">
                      <w:pPr>
                        <w:rPr>
                          <w:rFonts w:hint="eastAsia"/>
                        </w:rPr>
                      </w:pPr>
                    </w:p>
                    <w:p w14:paraId="42A478F7">
                      <w:pPr>
                        <w:jc w:val="center"/>
                        <w:rPr>
                          <w:rFonts w:ascii="宋体" w:hAnsi="宋体"/>
                          <w:sz w:val="21"/>
                          <w:szCs w:val="21"/>
                        </w:rPr>
                      </w:pPr>
                      <w:r>
                        <w:rPr>
                          <w:rFonts w:hint="eastAsia" w:ascii="宋体" w:hAnsi="宋体"/>
                          <w:sz w:val="21"/>
                          <w:szCs w:val="21"/>
                        </w:rPr>
                        <w:t>法定代表人身份证反面</w:t>
                      </w:r>
                    </w:p>
                    <w:p w14:paraId="50B012AC">
                      <w:pPr>
                        <w:jc w:val="center"/>
                        <w:rPr>
                          <w:sz w:val="21"/>
                          <w:szCs w:val="21"/>
                        </w:rPr>
                      </w:pPr>
                    </w:p>
                  </w:txbxContent>
                </v:textbox>
              </v:shape>
            </w:pict>
          </mc:Fallback>
        </mc:AlternateContent>
      </w:r>
      <w:r>
        <w:rPr>
          <w:rFonts w:hint="eastAsia" w:ascii="宋体" w:hAnsi="宋体" w:eastAsia="宋体" w:cs="宋体"/>
          <w:color w:val="auto"/>
          <w:kern w:val="2"/>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73660</wp:posOffset>
                </wp:positionV>
                <wp:extent cx="2790825" cy="1962150"/>
                <wp:effectExtent l="4445" t="5080" r="5080" b="13970"/>
                <wp:wrapNone/>
                <wp:docPr id="1" name="文本框 2"/>
                <wp:cNvGraphicFramePr/>
                <a:graphic xmlns:a="http://schemas.openxmlformats.org/drawingml/2006/main">
                  <a:graphicData uri="http://schemas.microsoft.com/office/word/2010/wordprocessingShape">
                    <wps:wsp>
                      <wps:cNvSpPr txBox="1"/>
                      <wps:spPr>
                        <a:xfrm>
                          <a:off x="0" y="0"/>
                          <a:ext cx="2790825" cy="19621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EBCD6B9">
                            <w:pPr>
                              <w:rPr>
                                <w:rFonts w:hint="eastAsia"/>
                              </w:rPr>
                            </w:pPr>
                          </w:p>
                          <w:p w14:paraId="11E3B544">
                            <w:pPr>
                              <w:rPr>
                                <w:rFonts w:hint="eastAsia"/>
                              </w:rPr>
                            </w:pPr>
                          </w:p>
                          <w:p w14:paraId="6DDDD29B">
                            <w:pPr>
                              <w:rPr>
                                <w:rFonts w:hint="eastAsia"/>
                              </w:rPr>
                            </w:pPr>
                          </w:p>
                          <w:p w14:paraId="22810247">
                            <w:pPr>
                              <w:rPr>
                                <w:rFonts w:hint="eastAsia"/>
                              </w:rPr>
                            </w:pPr>
                          </w:p>
                          <w:p w14:paraId="7E39DE6C">
                            <w:pPr>
                              <w:jc w:val="center"/>
                              <w:rPr>
                                <w:rFonts w:ascii="宋体" w:hAnsi="宋体"/>
                                <w:sz w:val="21"/>
                                <w:szCs w:val="21"/>
                              </w:rPr>
                            </w:pPr>
                            <w:r>
                              <w:rPr>
                                <w:rFonts w:hint="eastAsia" w:ascii="宋体" w:hAnsi="宋体"/>
                                <w:sz w:val="21"/>
                                <w:szCs w:val="21"/>
                              </w:rPr>
                              <w:t>法定代表人身份证正面</w:t>
                            </w:r>
                          </w:p>
                        </w:txbxContent>
                      </wps:txbx>
                      <wps:bodyPr upright="1"/>
                    </wps:wsp>
                  </a:graphicData>
                </a:graphic>
              </wp:anchor>
            </w:drawing>
          </mc:Choice>
          <mc:Fallback>
            <w:pict>
              <v:shape id="文本框 2" o:spid="_x0000_s1026" o:spt="202" type="#_x0000_t202" style="position:absolute;left:0pt;margin-left:4.85pt;margin-top:5.8pt;height:154.5pt;width:219.75pt;z-index:251659264;mso-width-relative:page;mso-height-relative:page;" fillcolor="#FFFFFF" filled="t" stroked="t" coordsize="21600,21600" o:gfxdata="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eM6n92AAAAAgBAAAPAAAAAAAAAAEAIAAA&#10;ACIAAABkcnMvZG93bnJldi54bWxQSwECFAAUAAAACACHTuJA71OXCwwCAAA3BAAADgAAAAAAAAAB&#10;ACAAAAAnAQAAZHJzL2Uyb0RvYy54bWxQSwUGAAAAAAYABgBZAQAApQUAAAAA&#10;">
                <v:fill on="t" focussize="0,0"/>
                <v:stroke color="#000000" joinstyle="miter"/>
                <v:imagedata o:title=""/>
                <o:lock v:ext="edit" aspectratio="f"/>
                <v:textbox>
                  <w:txbxContent>
                    <w:p w14:paraId="3EBCD6B9">
                      <w:pPr>
                        <w:rPr>
                          <w:rFonts w:hint="eastAsia"/>
                        </w:rPr>
                      </w:pPr>
                    </w:p>
                    <w:p w14:paraId="11E3B544">
                      <w:pPr>
                        <w:rPr>
                          <w:rFonts w:hint="eastAsia"/>
                        </w:rPr>
                      </w:pPr>
                    </w:p>
                    <w:p w14:paraId="6DDDD29B">
                      <w:pPr>
                        <w:rPr>
                          <w:rFonts w:hint="eastAsia"/>
                        </w:rPr>
                      </w:pPr>
                    </w:p>
                    <w:p w14:paraId="22810247">
                      <w:pPr>
                        <w:rPr>
                          <w:rFonts w:hint="eastAsia"/>
                        </w:rPr>
                      </w:pPr>
                    </w:p>
                    <w:p w14:paraId="7E39DE6C">
                      <w:pPr>
                        <w:jc w:val="center"/>
                        <w:rPr>
                          <w:rFonts w:ascii="宋体" w:hAnsi="宋体"/>
                          <w:sz w:val="21"/>
                          <w:szCs w:val="21"/>
                        </w:rPr>
                      </w:pPr>
                      <w:r>
                        <w:rPr>
                          <w:rFonts w:hint="eastAsia" w:ascii="宋体" w:hAnsi="宋体"/>
                          <w:sz w:val="21"/>
                          <w:szCs w:val="21"/>
                        </w:rPr>
                        <w:t>法定代表人身份证正面</w:t>
                      </w:r>
                    </w:p>
                  </w:txbxContent>
                </v:textbox>
              </v:shape>
            </w:pict>
          </mc:Fallback>
        </mc:AlternateContent>
      </w:r>
    </w:p>
    <w:p w14:paraId="73FC2D96">
      <w:pPr>
        <w:rPr>
          <w:rFonts w:hint="eastAsia" w:ascii="宋体" w:hAnsi="宋体" w:eastAsia="宋体" w:cs="宋体"/>
          <w:color w:val="auto"/>
          <w:highlight w:val="none"/>
        </w:rPr>
      </w:pPr>
    </w:p>
    <w:p w14:paraId="738A8640">
      <w:pPr>
        <w:rPr>
          <w:rFonts w:hint="eastAsia" w:ascii="宋体" w:hAnsi="宋体" w:eastAsia="宋体" w:cs="宋体"/>
          <w:color w:val="auto"/>
          <w:sz w:val="21"/>
          <w:highlight w:val="none"/>
          <w:lang w:val="zh-CN"/>
        </w:rPr>
      </w:pPr>
    </w:p>
    <w:p w14:paraId="0569D6B1">
      <w:pPr>
        <w:rPr>
          <w:rFonts w:hint="eastAsia" w:ascii="宋体" w:hAnsi="宋体" w:eastAsia="宋体" w:cs="宋体"/>
          <w:color w:val="auto"/>
          <w:sz w:val="21"/>
          <w:highlight w:val="none"/>
          <w:lang w:val="zh-CN"/>
        </w:rPr>
      </w:pPr>
    </w:p>
    <w:p w14:paraId="0C227A13">
      <w:pPr>
        <w:rPr>
          <w:rFonts w:hint="eastAsia" w:ascii="宋体" w:hAnsi="宋体" w:eastAsia="宋体" w:cs="宋体"/>
          <w:color w:val="auto"/>
          <w:sz w:val="21"/>
          <w:highlight w:val="none"/>
          <w:lang w:val="zh-CN"/>
        </w:rPr>
      </w:pPr>
    </w:p>
    <w:p w14:paraId="3125A7FD">
      <w:pPr>
        <w:rPr>
          <w:rFonts w:hint="eastAsia" w:ascii="宋体" w:hAnsi="宋体" w:eastAsia="宋体" w:cs="宋体"/>
          <w:color w:val="auto"/>
          <w:sz w:val="21"/>
          <w:highlight w:val="none"/>
          <w:lang w:val="zh-CN"/>
        </w:rPr>
      </w:pPr>
    </w:p>
    <w:p w14:paraId="465131C3">
      <w:pPr>
        <w:rPr>
          <w:rFonts w:hint="eastAsia" w:ascii="宋体" w:hAnsi="宋体" w:eastAsia="宋体" w:cs="宋体"/>
          <w:color w:val="auto"/>
          <w:sz w:val="21"/>
          <w:highlight w:val="none"/>
          <w:lang w:val="zh-CN"/>
        </w:rPr>
      </w:pPr>
    </w:p>
    <w:p w14:paraId="00573D9A">
      <w:pPr>
        <w:rPr>
          <w:rFonts w:hint="eastAsia" w:ascii="宋体" w:hAnsi="宋体" w:eastAsia="宋体" w:cs="宋体"/>
          <w:color w:val="auto"/>
          <w:sz w:val="21"/>
          <w:highlight w:val="none"/>
          <w:lang w:val="zh-CN"/>
        </w:rPr>
      </w:pPr>
    </w:p>
    <w:p w14:paraId="58AEA08F">
      <w:pPr>
        <w:rPr>
          <w:rFonts w:hint="eastAsia" w:ascii="宋体" w:hAnsi="宋体" w:eastAsia="宋体" w:cs="宋体"/>
          <w:color w:val="auto"/>
          <w:sz w:val="21"/>
          <w:highlight w:val="none"/>
          <w:lang w:val="zh-CN"/>
        </w:rPr>
      </w:pPr>
    </w:p>
    <w:p w14:paraId="36BBCF38">
      <w:pPr>
        <w:rPr>
          <w:rFonts w:hint="eastAsia" w:ascii="宋体" w:hAnsi="宋体" w:eastAsia="宋体" w:cs="宋体"/>
          <w:color w:val="auto"/>
          <w:sz w:val="21"/>
          <w:highlight w:val="none"/>
          <w:lang w:val="zh-CN"/>
        </w:rPr>
      </w:pPr>
    </w:p>
    <w:p w14:paraId="33105BCC">
      <w:pPr>
        <w:rPr>
          <w:rFonts w:hint="eastAsia" w:ascii="宋体" w:hAnsi="宋体" w:eastAsia="宋体" w:cs="宋体"/>
          <w:color w:val="auto"/>
          <w:sz w:val="21"/>
          <w:highlight w:val="none"/>
          <w:lang w:val="zh-CN"/>
        </w:rPr>
      </w:pPr>
    </w:p>
    <w:p w14:paraId="3E3D81D7">
      <w:pPr>
        <w:rPr>
          <w:rFonts w:hint="eastAsia" w:ascii="宋体" w:hAnsi="宋体" w:eastAsia="宋体" w:cs="宋体"/>
          <w:b/>
          <w:color w:val="auto"/>
          <w:sz w:val="21"/>
          <w:szCs w:val="21"/>
          <w:highlight w:val="none"/>
        </w:rPr>
      </w:pPr>
    </w:p>
    <w:p w14:paraId="12ACEDA0">
      <w:pPr>
        <w:keepNext w:val="0"/>
        <w:keepLines w:val="0"/>
        <w:pageBreakBefore w:val="0"/>
        <w:widowControl w:val="0"/>
        <w:kinsoku/>
        <w:wordWrap/>
        <w:overflowPunct/>
        <w:topLinePunct w:val="0"/>
        <w:autoSpaceDE w:val="0"/>
        <w:autoSpaceDN w:val="0"/>
        <w:bidi w:val="0"/>
        <w:adjustRightInd w:val="0"/>
        <w:snapToGrid/>
        <w:ind w:firstLine="105" w:firstLineChars="5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注：法定代表人身份证须在有效期限内。</w:t>
      </w:r>
      <w:r>
        <w:rPr>
          <w:rFonts w:hint="eastAsia" w:ascii="宋体" w:hAnsi="宋体" w:eastAsia="宋体" w:cs="宋体"/>
          <w:color w:val="auto"/>
          <w:sz w:val="21"/>
          <w:highlight w:val="none"/>
          <w:lang w:val="zh-CN"/>
        </w:rPr>
        <w:br w:type="page"/>
      </w:r>
      <w:bookmarkEnd w:id="254"/>
      <w:bookmarkEnd w:id="255"/>
      <w:bookmarkEnd w:id="256"/>
      <w:bookmarkStart w:id="335" w:name="_Toc521918321"/>
      <w:bookmarkStart w:id="336" w:name="_Toc522047383"/>
      <w:bookmarkStart w:id="337" w:name="_Toc521918124"/>
      <w:bookmarkStart w:id="338" w:name="_Toc497746562"/>
      <w:bookmarkStart w:id="339" w:name="_Toc519153442"/>
      <w:bookmarkStart w:id="340" w:name="_Toc490169464"/>
      <w:bookmarkStart w:id="341" w:name="_Toc532576767"/>
      <w:bookmarkStart w:id="342" w:name="_Toc521576303"/>
      <w:bookmarkStart w:id="343" w:name="_Toc495907134"/>
      <w:r>
        <w:rPr>
          <w:rFonts w:hint="eastAsia" w:ascii="宋体" w:hAnsi="宋体" w:eastAsia="宋体" w:cs="宋体"/>
          <w:color w:val="auto"/>
          <w:sz w:val="32"/>
          <w:szCs w:val="32"/>
          <w:highlight w:val="none"/>
          <w:lang w:val="zh-CN"/>
        </w:rPr>
        <w:t xml:space="preserve"> </w:t>
      </w:r>
      <w:bookmarkEnd w:id="335"/>
      <w:bookmarkEnd w:id="336"/>
      <w:bookmarkEnd w:id="337"/>
      <w:bookmarkEnd w:id="338"/>
      <w:bookmarkEnd w:id="339"/>
      <w:bookmarkEnd w:id="340"/>
      <w:bookmarkEnd w:id="341"/>
      <w:bookmarkEnd w:id="342"/>
      <w:bookmarkEnd w:id="343"/>
      <w:r>
        <w:rPr>
          <w:rFonts w:hint="eastAsia" w:ascii="宋体" w:hAnsi="宋体" w:eastAsia="宋体" w:cs="宋体"/>
          <w:b/>
          <w:color w:val="auto"/>
          <w:kern w:val="2"/>
          <w:sz w:val="21"/>
          <w:szCs w:val="21"/>
          <w:highlight w:val="none"/>
          <w:lang w:val="zh-CN"/>
        </w:rPr>
        <w:t>（2）</w:t>
      </w:r>
      <w:r>
        <w:rPr>
          <w:rFonts w:hint="eastAsia" w:ascii="宋体" w:hAnsi="宋体" w:eastAsia="宋体" w:cs="宋体"/>
          <w:b/>
          <w:bCs/>
          <w:color w:val="auto"/>
          <w:kern w:val="2"/>
          <w:sz w:val="21"/>
          <w:szCs w:val="21"/>
          <w:highlight w:val="none"/>
          <w:lang w:val="zh-CN"/>
        </w:rPr>
        <w:t>法定代表人授权书格式</w:t>
      </w:r>
    </w:p>
    <w:p w14:paraId="2BBAF05E">
      <w:pPr>
        <w:rPr>
          <w:rFonts w:hint="eastAsia" w:ascii="宋体" w:hAnsi="宋体" w:eastAsia="宋体" w:cs="宋体"/>
          <w:b/>
          <w:bCs/>
          <w:color w:val="auto"/>
          <w:kern w:val="2"/>
          <w:sz w:val="30"/>
          <w:szCs w:val="30"/>
          <w:highlight w:val="none"/>
          <w:lang w:val="zh-CN"/>
        </w:rPr>
      </w:pPr>
    </w:p>
    <w:p w14:paraId="205B9406">
      <w:pPr>
        <w:spacing w:line="360" w:lineRule="auto"/>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t>法定代表人授权书</w:t>
      </w:r>
      <w:r>
        <w:rPr>
          <w:rFonts w:hint="eastAsia" w:ascii="宋体" w:hAnsi="宋体" w:eastAsia="宋体" w:cs="宋体"/>
          <w:b/>
          <w:bCs/>
          <w:color w:val="auto"/>
          <w:sz w:val="30"/>
          <w:szCs w:val="30"/>
          <w:lang w:val="zh-CN"/>
        </w:rPr>
        <w:t>(   包组)</w:t>
      </w:r>
    </w:p>
    <w:p w14:paraId="02A35110">
      <w:pPr>
        <w:spacing w:line="360" w:lineRule="auto"/>
        <w:jc w:val="center"/>
        <w:rPr>
          <w:rFonts w:hint="eastAsia" w:ascii="宋体" w:hAnsi="宋体" w:eastAsia="宋体" w:cs="宋体"/>
          <w:color w:val="auto"/>
          <w:kern w:val="2"/>
          <w:sz w:val="21"/>
          <w:szCs w:val="28"/>
          <w:highlight w:val="none"/>
          <w:lang w:val="zh-CN"/>
        </w:rPr>
      </w:pPr>
    </w:p>
    <w:p w14:paraId="38D14740">
      <w:pPr>
        <w:autoSpaceDE/>
        <w:autoSpaceDN/>
        <w:adjustRightInd/>
        <w:spacing w:before="120" w:after="120" w:line="360" w:lineRule="auto"/>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致：东莞市众源环境投资有限公司</w:t>
      </w:r>
    </w:p>
    <w:p w14:paraId="1D6AE9CD">
      <w:pPr>
        <w:widowControl/>
        <w:spacing w:line="360" w:lineRule="auto"/>
        <w:ind w:firstLine="424" w:firstLineChars="202"/>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highlight w:val="none"/>
          <w:lang w:val="zh-CN"/>
        </w:rPr>
        <w:t>本授权书声明：注册于</w:t>
      </w:r>
      <w:r>
        <w:rPr>
          <w:rFonts w:hint="eastAsia" w:ascii="宋体" w:hAnsi="宋体" w:eastAsia="宋体" w:cs="宋体"/>
          <w:color w:val="auto"/>
          <w:kern w:val="2"/>
          <w:sz w:val="21"/>
          <w:highlight w:val="none"/>
          <w:u w:val="single"/>
          <w:lang w:val="zh-CN"/>
        </w:rPr>
        <w:t xml:space="preserve">   （供应商地址）</w:t>
      </w:r>
      <w:r>
        <w:rPr>
          <w:rFonts w:hint="eastAsia" w:ascii="宋体" w:hAnsi="宋体" w:cs="宋体"/>
          <w:color w:val="auto"/>
          <w:kern w:val="2"/>
          <w:sz w:val="21"/>
          <w:highlight w:val="none"/>
          <w:u w:val="single"/>
          <w:lang w:val="en-US" w:eastAsia="zh-CN"/>
        </w:rPr>
        <w:t xml:space="preserve">  </w:t>
      </w:r>
      <w:r>
        <w:rPr>
          <w:rFonts w:hint="eastAsia" w:ascii="宋体" w:hAnsi="宋体" w:eastAsia="宋体" w:cs="宋体"/>
          <w:color w:val="auto"/>
          <w:kern w:val="2"/>
          <w:sz w:val="21"/>
          <w:highlight w:val="none"/>
          <w:u w:val="none"/>
          <w:lang w:val="zh-CN"/>
        </w:rPr>
        <w:t>的</w:t>
      </w:r>
      <w:r>
        <w:rPr>
          <w:rFonts w:hint="eastAsia" w:ascii="宋体" w:hAnsi="宋体" w:eastAsia="宋体" w:cs="宋体"/>
          <w:color w:val="auto"/>
          <w:kern w:val="2"/>
          <w:sz w:val="21"/>
          <w:highlight w:val="none"/>
          <w:u w:val="single"/>
          <w:lang w:val="zh-CN"/>
        </w:rPr>
        <w:t xml:space="preserve">  </w:t>
      </w:r>
      <w:r>
        <w:rPr>
          <w:rFonts w:hint="eastAsia" w:ascii="宋体" w:hAnsi="宋体" w:cs="宋体"/>
          <w:color w:val="auto"/>
          <w:kern w:val="2"/>
          <w:sz w:val="21"/>
          <w:highlight w:val="none"/>
          <w:u w:val="single"/>
          <w:lang w:val="en-US" w:eastAsia="zh-CN"/>
        </w:rPr>
        <w:t xml:space="preserve"> </w:t>
      </w:r>
      <w:r>
        <w:rPr>
          <w:rFonts w:hint="eastAsia" w:ascii="宋体" w:hAnsi="宋体" w:eastAsia="宋体" w:cs="宋体"/>
          <w:color w:val="auto"/>
          <w:kern w:val="2"/>
          <w:sz w:val="21"/>
          <w:highlight w:val="none"/>
          <w:u w:val="single"/>
          <w:lang w:val="zh-CN"/>
        </w:rPr>
        <w:t>（供应商名称）</w:t>
      </w:r>
      <w:r>
        <w:rPr>
          <w:rFonts w:hint="eastAsia" w:ascii="宋体" w:hAnsi="宋体" w:cs="宋体"/>
          <w:color w:val="auto"/>
          <w:kern w:val="2"/>
          <w:sz w:val="21"/>
          <w:highlight w:val="none"/>
          <w:u w:val="single"/>
          <w:lang w:val="en-US" w:eastAsia="zh-CN"/>
        </w:rPr>
        <w:t xml:space="preserve">  </w:t>
      </w:r>
      <w:r>
        <w:rPr>
          <w:rFonts w:hint="eastAsia" w:ascii="宋体" w:hAnsi="宋体" w:eastAsia="宋体" w:cs="宋体"/>
          <w:color w:val="auto"/>
          <w:kern w:val="2"/>
          <w:sz w:val="21"/>
          <w:highlight w:val="none"/>
          <w:lang w:val="zh-CN"/>
        </w:rPr>
        <w:t>在下面签字的</w:t>
      </w:r>
      <w:r>
        <w:rPr>
          <w:rFonts w:hint="eastAsia" w:ascii="宋体" w:hAnsi="宋体" w:eastAsia="宋体" w:cs="宋体"/>
          <w:color w:val="auto"/>
          <w:kern w:val="2"/>
          <w:sz w:val="21"/>
          <w:highlight w:val="none"/>
          <w:u w:val="single"/>
          <w:lang w:val="zh-CN"/>
        </w:rPr>
        <w:t xml:space="preserve">   （法定代表人姓名、职务、身份证号码）</w:t>
      </w:r>
      <w:r>
        <w:rPr>
          <w:rFonts w:hint="eastAsia" w:ascii="宋体" w:hAnsi="宋体" w:cs="宋体"/>
          <w:color w:val="auto"/>
          <w:kern w:val="2"/>
          <w:sz w:val="21"/>
          <w:highlight w:val="none"/>
          <w:u w:val="single"/>
          <w:lang w:val="en-US" w:eastAsia="zh-CN"/>
        </w:rPr>
        <w:t xml:space="preserve">   </w:t>
      </w:r>
      <w:r>
        <w:rPr>
          <w:rFonts w:hint="eastAsia" w:ascii="宋体" w:hAnsi="宋体" w:eastAsia="宋体" w:cs="宋体"/>
          <w:color w:val="auto"/>
          <w:kern w:val="2"/>
          <w:sz w:val="21"/>
          <w:highlight w:val="none"/>
          <w:lang w:val="zh-CN"/>
        </w:rPr>
        <w:t>代表本公司授权在下面签字或盖私章的</w:t>
      </w:r>
      <w:r>
        <w:rPr>
          <w:rFonts w:hint="eastAsia" w:ascii="宋体" w:hAnsi="宋体" w:eastAsia="宋体" w:cs="宋体"/>
          <w:color w:val="auto"/>
          <w:kern w:val="2"/>
          <w:sz w:val="21"/>
          <w:highlight w:val="none"/>
          <w:u w:val="single"/>
          <w:lang w:val="zh-CN"/>
        </w:rPr>
        <w:t xml:space="preserve">  （被授权人的姓名、职务、身份证号码）</w:t>
      </w:r>
      <w:r>
        <w:rPr>
          <w:rFonts w:hint="eastAsia" w:ascii="宋体" w:hAnsi="宋体" w:cs="宋体"/>
          <w:color w:val="auto"/>
          <w:kern w:val="2"/>
          <w:sz w:val="21"/>
          <w:highlight w:val="none"/>
          <w:u w:val="single"/>
          <w:lang w:val="en-US" w:eastAsia="zh-CN"/>
        </w:rPr>
        <w:t xml:space="preserve">   </w:t>
      </w:r>
      <w:r>
        <w:rPr>
          <w:rFonts w:hint="eastAsia" w:ascii="宋体" w:hAnsi="宋体" w:eastAsia="宋体" w:cs="宋体"/>
          <w:color w:val="auto"/>
          <w:kern w:val="2"/>
          <w:sz w:val="21"/>
          <w:highlight w:val="none"/>
          <w:lang w:val="zh-CN"/>
        </w:rPr>
        <w:t>为本公司的合法代表人，签署</w:t>
      </w:r>
      <w:r>
        <w:rPr>
          <w:rFonts w:hint="eastAsia" w:ascii="宋体" w:hAnsi="宋体" w:eastAsia="宋体" w:cs="宋体"/>
          <w:color w:val="auto"/>
          <w:sz w:val="21"/>
          <w:szCs w:val="21"/>
          <w:lang w:val="zh-CN"/>
        </w:rPr>
        <w:t>签署</w:t>
      </w:r>
      <w:r>
        <w:rPr>
          <w:rFonts w:hint="eastAsia" w:ascii="宋体" w:hAnsi="宋体" w:cs="宋体"/>
          <w:color w:val="auto"/>
          <w:sz w:val="21"/>
          <w:szCs w:val="21"/>
          <w:u w:val="single"/>
          <w:lang w:eastAsia="zh-CN"/>
        </w:rPr>
        <w:t>东莞市众源环境投资有限公司污水处理厂污泥脱水减量处理服务（BOT权属滨海湾片区）采购项目</w:t>
      </w:r>
      <w:r>
        <w:rPr>
          <w:rFonts w:hint="eastAsia" w:ascii="宋体" w:hAnsi="宋体" w:eastAsia="宋体" w:cs="宋体"/>
          <w:color w:val="auto"/>
          <w:sz w:val="21"/>
          <w:szCs w:val="21"/>
          <w:u w:val="single"/>
          <w:lang w:val="zh-CN"/>
        </w:rPr>
        <w:t>(   包组)</w:t>
      </w: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lang w:val="zh-CN"/>
        </w:rPr>
        <w:t>编号：</w:t>
      </w:r>
      <w:r>
        <w:rPr>
          <w:rFonts w:hint="eastAsia" w:ascii="宋体" w:hAnsi="宋体" w:cs="宋体"/>
          <w:color w:val="auto"/>
          <w:sz w:val="21"/>
          <w:szCs w:val="21"/>
          <w:u w:val="single"/>
          <w:lang w:val="zh-CN"/>
        </w:rPr>
        <w:t xml:space="preserve">DGDS2024-002 </w:t>
      </w:r>
      <w:r>
        <w:rPr>
          <w:rFonts w:hint="eastAsia" w:ascii="宋体" w:hAnsi="宋体" w:eastAsia="宋体" w:cs="宋体"/>
          <w:color w:val="auto"/>
          <w:sz w:val="21"/>
          <w:szCs w:val="21"/>
          <w:lang w:val="zh-CN"/>
        </w:rPr>
        <w:t>）</w:t>
      </w:r>
      <w:r>
        <w:rPr>
          <w:rFonts w:hint="eastAsia" w:ascii="宋体" w:hAnsi="宋体" w:eastAsia="宋体" w:cs="宋体"/>
          <w:color w:val="auto"/>
          <w:kern w:val="2"/>
          <w:sz w:val="21"/>
          <w:szCs w:val="21"/>
          <w:highlight w:val="none"/>
          <w:lang w:val="zh-CN"/>
        </w:rPr>
        <w:t>的响应文件，</w:t>
      </w:r>
      <w:r>
        <w:rPr>
          <w:rFonts w:hint="eastAsia" w:ascii="宋体" w:hAnsi="宋体" w:eastAsia="宋体" w:cs="宋体"/>
          <w:color w:val="auto"/>
          <w:kern w:val="2"/>
          <w:sz w:val="21"/>
          <w:szCs w:val="21"/>
          <w:highlight w:val="none"/>
        </w:rPr>
        <w:t>代表我公司</w:t>
      </w:r>
      <w:r>
        <w:rPr>
          <w:rFonts w:hint="eastAsia" w:ascii="宋体" w:hAnsi="宋体" w:eastAsia="宋体" w:cs="宋体"/>
          <w:color w:val="auto"/>
          <w:kern w:val="2"/>
          <w:sz w:val="21"/>
          <w:highlight w:val="none"/>
          <w:lang w:val="zh-CN"/>
        </w:rPr>
        <w:t>递交响应文件、参与</w:t>
      </w:r>
      <w:r>
        <w:rPr>
          <w:rFonts w:hint="eastAsia" w:ascii="宋体" w:hAnsi="宋体" w:eastAsia="宋体" w:cs="宋体"/>
          <w:color w:val="auto"/>
          <w:kern w:val="2"/>
          <w:sz w:val="21"/>
          <w:highlight w:val="none"/>
          <w:lang w:val="en-US" w:eastAsia="zh-CN"/>
        </w:rPr>
        <w:t>磋商</w:t>
      </w:r>
      <w:r>
        <w:rPr>
          <w:rFonts w:hint="eastAsia" w:ascii="宋体" w:hAnsi="宋体" w:eastAsia="宋体" w:cs="宋体"/>
          <w:color w:val="auto"/>
          <w:kern w:val="2"/>
          <w:sz w:val="21"/>
          <w:highlight w:val="none"/>
          <w:lang w:val="zh-CN"/>
        </w:rPr>
        <w:t>、代表我公司应磋商小组的要求对响应文件进行澄清、进行合同谈判、</w:t>
      </w:r>
      <w:r>
        <w:rPr>
          <w:rFonts w:hint="eastAsia" w:ascii="宋体" w:hAnsi="宋体" w:eastAsia="宋体" w:cs="宋体"/>
          <w:color w:val="auto"/>
          <w:kern w:val="2"/>
          <w:sz w:val="21"/>
          <w:highlight w:val="none"/>
          <w:lang w:val="en-US" w:eastAsia="zh-CN"/>
        </w:rPr>
        <w:t>填报最终报价</w:t>
      </w:r>
      <w:r>
        <w:rPr>
          <w:rFonts w:hint="eastAsia" w:ascii="宋体" w:hAnsi="宋体" w:eastAsia="宋体" w:cs="宋体"/>
          <w:color w:val="auto"/>
          <w:kern w:val="2"/>
          <w:sz w:val="21"/>
          <w:highlight w:val="none"/>
          <w:lang w:val="zh-CN"/>
        </w:rPr>
        <w:t>和签署合同，以我公司的名义处理一切与之有关的事宜，</w:t>
      </w:r>
      <w:r>
        <w:rPr>
          <w:rFonts w:hint="eastAsia" w:ascii="宋体" w:hAnsi="宋体" w:eastAsia="宋体" w:cs="宋体"/>
          <w:color w:val="auto"/>
          <w:kern w:val="2"/>
          <w:sz w:val="21"/>
          <w:szCs w:val="21"/>
          <w:highlight w:val="none"/>
        </w:rPr>
        <w:t>我承认代理人全权代表我所签署的本项目响应文件的内容及</w:t>
      </w:r>
      <w:r>
        <w:rPr>
          <w:rFonts w:hint="eastAsia" w:ascii="宋体" w:hAnsi="宋体" w:eastAsia="宋体" w:cs="宋体"/>
          <w:color w:val="auto"/>
          <w:kern w:val="2"/>
          <w:sz w:val="21"/>
          <w:highlight w:val="none"/>
          <w:lang w:val="zh-CN"/>
        </w:rPr>
        <w:t>所进行的上述活动。</w:t>
      </w:r>
    </w:p>
    <w:p w14:paraId="650DD622">
      <w:pPr>
        <w:autoSpaceDE/>
        <w:autoSpaceDN/>
        <w:adjustRightInd/>
        <w:spacing w:before="120" w:after="120"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highlight w:val="none"/>
          <w:lang w:val="zh-CN"/>
        </w:rPr>
        <w:t>本授权书于</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年</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月</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日签字生效，有效期至响应文件失效期止，</w:t>
      </w:r>
      <w:r>
        <w:rPr>
          <w:rFonts w:hint="eastAsia" w:ascii="宋体" w:hAnsi="宋体" w:eastAsia="宋体" w:cs="宋体"/>
          <w:color w:val="auto"/>
          <w:kern w:val="2"/>
          <w:sz w:val="21"/>
          <w:szCs w:val="21"/>
          <w:highlight w:val="none"/>
        </w:rPr>
        <w:t>代理人无转委托权，</w:t>
      </w:r>
      <w:r>
        <w:rPr>
          <w:rFonts w:hint="eastAsia" w:ascii="宋体" w:hAnsi="宋体" w:eastAsia="宋体" w:cs="宋体"/>
          <w:color w:val="auto"/>
          <w:kern w:val="2"/>
          <w:sz w:val="21"/>
          <w:highlight w:val="none"/>
          <w:lang w:val="zh-CN"/>
        </w:rPr>
        <w:t>特此声明。</w:t>
      </w:r>
    </w:p>
    <w:p w14:paraId="6350C318">
      <w:pPr>
        <w:autoSpaceDE/>
        <w:autoSpaceDN/>
        <w:adjustRightInd/>
        <w:spacing w:before="120" w:after="120" w:line="360" w:lineRule="auto"/>
        <w:ind w:firstLine="277" w:firstLineChars="132"/>
        <w:rPr>
          <w:rFonts w:hint="eastAsia" w:ascii="宋体" w:hAnsi="宋体" w:eastAsia="宋体" w:cs="宋体"/>
          <w:color w:val="auto"/>
          <w:kern w:val="2"/>
          <w:sz w:val="21"/>
          <w:highlight w:val="none"/>
          <w:lang w:val="zh-CN"/>
        </w:rPr>
      </w:pPr>
    </w:p>
    <w:p w14:paraId="7A2B3A89">
      <w:pPr>
        <w:keepNext w:val="0"/>
        <w:keepLines w:val="0"/>
        <w:pageBreakBefore w:val="0"/>
        <w:widowControl w:val="0"/>
        <w:kinsoku/>
        <w:wordWrap/>
        <w:overflowPunct/>
        <w:topLinePunct w:val="0"/>
        <w:autoSpaceDE/>
        <w:autoSpaceDN/>
        <w:bidi w:val="0"/>
        <w:adjustRightInd/>
        <w:snapToGrid/>
        <w:spacing w:before="120" w:after="120" w:line="360" w:lineRule="auto"/>
        <w:ind w:left="629" w:firstLine="425"/>
        <w:jc w:val="both"/>
        <w:textAlignment w:val="auto"/>
        <w:rPr>
          <w:rFonts w:hint="eastAsia" w:ascii="宋体" w:hAnsi="宋体" w:eastAsia="宋体" w:cs="宋体"/>
          <w:color w:val="auto"/>
          <w:kern w:val="2"/>
          <w:sz w:val="21"/>
          <w:highlight w:val="none"/>
        </w:rPr>
      </w:pPr>
    </w:p>
    <w:p w14:paraId="4B41DFB1">
      <w:pPr>
        <w:keepNext w:val="0"/>
        <w:keepLines w:val="0"/>
        <w:pageBreakBefore w:val="0"/>
        <w:widowControl w:val="0"/>
        <w:kinsoku/>
        <w:wordWrap/>
        <w:overflowPunct/>
        <w:topLinePunct w:val="0"/>
        <w:autoSpaceDE/>
        <w:autoSpaceDN/>
        <w:bidi w:val="0"/>
        <w:adjustRightInd/>
        <w:snapToGrid/>
        <w:spacing w:before="120" w:after="120" w:line="360" w:lineRule="auto"/>
        <w:ind w:left="0" w:firstLine="5103" w:firstLineChars="243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供应商：（加盖供应商法人公章）</w:t>
      </w:r>
    </w:p>
    <w:p w14:paraId="691ABD4A">
      <w:pPr>
        <w:keepNext w:val="0"/>
        <w:keepLines w:val="0"/>
        <w:pageBreakBefore w:val="0"/>
        <w:widowControl w:val="0"/>
        <w:kinsoku/>
        <w:wordWrap/>
        <w:overflowPunct/>
        <w:topLinePunct w:val="0"/>
        <w:autoSpaceDE/>
        <w:autoSpaceDN/>
        <w:bidi w:val="0"/>
        <w:adjustRightInd/>
        <w:snapToGrid/>
        <w:spacing w:before="120" w:after="120" w:line="360" w:lineRule="auto"/>
        <w:ind w:left="0" w:firstLine="5103" w:firstLineChars="243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供应商地址：</w:t>
      </w:r>
    </w:p>
    <w:p w14:paraId="11E1E2F0">
      <w:pPr>
        <w:keepNext w:val="0"/>
        <w:keepLines w:val="0"/>
        <w:pageBreakBefore w:val="0"/>
        <w:widowControl w:val="0"/>
        <w:kinsoku/>
        <w:wordWrap/>
        <w:overflowPunct/>
        <w:topLinePunct w:val="0"/>
        <w:autoSpaceDE/>
        <w:autoSpaceDN/>
        <w:bidi w:val="0"/>
        <w:adjustRightInd/>
        <w:snapToGrid/>
        <w:spacing w:before="120" w:after="120" w:line="360" w:lineRule="auto"/>
        <w:ind w:left="0" w:firstLine="5103" w:firstLineChars="243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法定代表人（签名或盖私章）：</w:t>
      </w:r>
    </w:p>
    <w:p w14:paraId="59A59682">
      <w:pPr>
        <w:keepNext w:val="0"/>
        <w:keepLines w:val="0"/>
        <w:pageBreakBefore w:val="0"/>
        <w:widowControl w:val="0"/>
        <w:kinsoku/>
        <w:wordWrap/>
        <w:overflowPunct/>
        <w:topLinePunct w:val="0"/>
        <w:autoSpaceDE/>
        <w:autoSpaceDN/>
        <w:bidi w:val="0"/>
        <w:adjustRightInd/>
        <w:snapToGrid/>
        <w:spacing w:before="120" w:after="120" w:line="360" w:lineRule="auto"/>
        <w:ind w:left="0" w:firstLine="5103" w:firstLineChars="243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职　　　务：</w:t>
      </w:r>
    </w:p>
    <w:p w14:paraId="7CAA4FAD">
      <w:pPr>
        <w:keepNext w:val="0"/>
        <w:keepLines w:val="0"/>
        <w:pageBreakBefore w:val="0"/>
        <w:widowControl w:val="0"/>
        <w:kinsoku/>
        <w:wordWrap/>
        <w:overflowPunct/>
        <w:topLinePunct w:val="0"/>
        <w:autoSpaceDE/>
        <w:autoSpaceDN/>
        <w:bidi w:val="0"/>
        <w:adjustRightInd/>
        <w:snapToGrid/>
        <w:spacing w:before="120" w:after="120" w:line="360" w:lineRule="auto"/>
        <w:ind w:left="0" w:firstLine="5103" w:firstLineChars="243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被授权人（签名或盖私章）：</w:t>
      </w:r>
    </w:p>
    <w:p w14:paraId="78FE411C">
      <w:pPr>
        <w:keepNext w:val="0"/>
        <w:keepLines w:val="0"/>
        <w:pageBreakBefore w:val="0"/>
        <w:widowControl w:val="0"/>
        <w:kinsoku/>
        <w:wordWrap/>
        <w:overflowPunct/>
        <w:topLinePunct w:val="0"/>
        <w:autoSpaceDE/>
        <w:autoSpaceDN/>
        <w:bidi w:val="0"/>
        <w:adjustRightInd/>
        <w:snapToGrid/>
        <w:spacing w:before="120" w:after="120" w:line="360" w:lineRule="auto"/>
        <w:ind w:left="0" w:firstLine="5103" w:firstLineChars="243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职　　　务：</w:t>
      </w:r>
    </w:p>
    <w:p w14:paraId="736CA210">
      <w:pPr>
        <w:keepNext w:val="0"/>
        <w:keepLines w:val="0"/>
        <w:pageBreakBefore w:val="0"/>
        <w:widowControl w:val="0"/>
        <w:kinsoku/>
        <w:wordWrap/>
        <w:overflowPunct/>
        <w:topLinePunct w:val="0"/>
        <w:autoSpaceDE/>
        <w:autoSpaceDN/>
        <w:bidi w:val="0"/>
        <w:adjustRightInd/>
        <w:snapToGrid/>
        <w:spacing w:before="120" w:after="120" w:line="360" w:lineRule="auto"/>
        <w:ind w:left="0" w:firstLine="5103" w:firstLineChars="243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被授权人联系手机：</w:t>
      </w:r>
    </w:p>
    <w:p w14:paraId="0B2BEE0C">
      <w:pPr>
        <w:keepNext w:val="0"/>
        <w:keepLines w:val="0"/>
        <w:pageBreakBefore w:val="0"/>
        <w:widowControl w:val="0"/>
        <w:kinsoku/>
        <w:wordWrap/>
        <w:overflowPunct/>
        <w:topLinePunct w:val="0"/>
        <w:autoSpaceDE/>
        <w:autoSpaceDN/>
        <w:bidi w:val="0"/>
        <w:adjustRightInd/>
        <w:snapToGrid/>
        <w:spacing w:before="120" w:after="120" w:line="360" w:lineRule="auto"/>
        <w:ind w:left="0" w:firstLine="5103" w:firstLineChars="243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电 子 邮 箱：</w:t>
      </w:r>
    </w:p>
    <w:p w14:paraId="472F48DA">
      <w:pPr>
        <w:widowControl/>
        <w:adjustRightInd/>
        <w:spacing w:before="120" w:after="120" w:line="360" w:lineRule="auto"/>
        <w:ind w:right="893"/>
        <w:jc w:val="center"/>
        <w:textAlignment w:val="bottom"/>
        <w:rPr>
          <w:rFonts w:hint="eastAsia" w:ascii="宋体" w:hAnsi="宋体" w:eastAsia="宋体" w:cs="宋体"/>
          <w:color w:val="auto"/>
          <w:kern w:val="2"/>
          <w:sz w:val="21"/>
          <w:highlight w:val="none"/>
          <w:lang w:val="zh-CN"/>
        </w:rPr>
      </w:pPr>
    </w:p>
    <w:p w14:paraId="062724DC">
      <w:pPr>
        <w:widowControl/>
        <w:adjustRightInd/>
        <w:spacing w:before="120" w:after="120" w:line="360" w:lineRule="auto"/>
        <w:ind w:right="893"/>
        <w:jc w:val="center"/>
        <w:textAlignment w:val="bottom"/>
        <w:rPr>
          <w:rFonts w:hint="eastAsia" w:ascii="宋体" w:hAnsi="宋体" w:eastAsia="宋体" w:cs="宋体"/>
          <w:color w:val="auto"/>
          <w:kern w:val="2"/>
          <w:sz w:val="21"/>
          <w:highlight w:val="none"/>
          <w:lang w:val="zh-CN"/>
        </w:rPr>
      </w:pPr>
    </w:p>
    <w:p w14:paraId="3182F086">
      <w:pPr>
        <w:widowControl/>
        <w:adjustRightInd/>
        <w:spacing w:before="120" w:after="120" w:line="360" w:lineRule="auto"/>
        <w:ind w:right="893"/>
        <w:jc w:val="center"/>
        <w:textAlignment w:val="bottom"/>
        <w:rPr>
          <w:rFonts w:hint="eastAsia" w:ascii="宋体" w:hAnsi="宋体" w:eastAsia="宋体" w:cs="宋体"/>
          <w:color w:val="auto"/>
          <w:kern w:val="2"/>
          <w:sz w:val="21"/>
          <w:highlight w:val="none"/>
          <w:lang w:val="zh-CN"/>
        </w:rPr>
      </w:pPr>
    </w:p>
    <w:p w14:paraId="65DDFA0C">
      <w:pPr>
        <w:widowControl/>
        <w:adjustRightInd/>
        <w:spacing w:before="120" w:after="120" w:line="360" w:lineRule="auto"/>
        <w:ind w:right="893"/>
        <w:jc w:val="center"/>
        <w:textAlignment w:val="bottom"/>
        <w:rPr>
          <w:rFonts w:hint="eastAsia" w:ascii="宋体" w:hAnsi="宋体" w:eastAsia="宋体" w:cs="宋体"/>
          <w:color w:val="auto"/>
          <w:kern w:val="2"/>
          <w:sz w:val="21"/>
          <w:highlight w:val="none"/>
          <w:lang w:val="zh-CN"/>
        </w:rPr>
      </w:pPr>
    </w:p>
    <w:p w14:paraId="2F764561">
      <w:pPr>
        <w:widowControl/>
        <w:adjustRightInd/>
        <w:spacing w:before="120" w:after="120" w:line="360" w:lineRule="auto"/>
        <w:ind w:right="893"/>
        <w:jc w:val="left"/>
        <w:textAlignment w:val="bottom"/>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附 法定代表人、被授权人身份证复印件</w:t>
      </w:r>
    </w:p>
    <w:p w14:paraId="77EA9C72">
      <w:pPr>
        <w:widowControl/>
        <w:adjustRightInd/>
        <w:spacing w:before="120" w:after="120" w:line="360" w:lineRule="auto"/>
        <w:ind w:right="893"/>
        <w:jc w:val="both"/>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3004820</wp:posOffset>
                </wp:positionH>
                <wp:positionV relativeFrom="paragraph">
                  <wp:posOffset>34290</wp:posOffset>
                </wp:positionV>
                <wp:extent cx="2743200" cy="1771015"/>
                <wp:effectExtent l="4445" t="4445" r="14605" b="15240"/>
                <wp:wrapNone/>
                <wp:docPr id="4" name="文本框 5"/>
                <wp:cNvGraphicFramePr/>
                <a:graphic xmlns:a="http://schemas.openxmlformats.org/drawingml/2006/main">
                  <a:graphicData uri="http://schemas.microsoft.com/office/word/2010/wordprocessingShape">
                    <wps:wsp>
                      <wps:cNvSpPr txBox="1"/>
                      <wps:spPr>
                        <a:xfrm>
                          <a:off x="0" y="0"/>
                          <a:ext cx="2743200" cy="17710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36C0747">
                            <w:pPr>
                              <w:rPr>
                                <w:rFonts w:hint="eastAsia"/>
                              </w:rPr>
                            </w:pPr>
                          </w:p>
                          <w:p w14:paraId="5698B228">
                            <w:pPr>
                              <w:rPr>
                                <w:rFonts w:hint="eastAsia"/>
                              </w:rPr>
                            </w:pPr>
                          </w:p>
                          <w:p w14:paraId="52C1CB6D">
                            <w:pPr>
                              <w:rPr>
                                <w:rFonts w:hint="eastAsia"/>
                              </w:rPr>
                            </w:pPr>
                          </w:p>
                          <w:p w14:paraId="3AF75C3A">
                            <w:pPr>
                              <w:rPr>
                                <w:rFonts w:hint="eastAsia"/>
                              </w:rPr>
                            </w:pPr>
                          </w:p>
                          <w:p w14:paraId="03570444">
                            <w:pPr>
                              <w:jc w:val="center"/>
                              <w:rPr>
                                <w:rFonts w:ascii="宋体" w:hAnsi="宋体"/>
                                <w:kern w:val="2"/>
                                <w:sz w:val="21"/>
                              </w:rPr>
                            </w:pPr>
                            <w:r>
                              <w:rPr>
                                <w:rFonts w:hint="eastAsia" w:ascii="宋体" w:hAnsi="宋体"/>
                                <w:kern w:val="2"/>
                                <w:sz w:val="21"/>
                              </w:rPr>
                              <w:t>法定代表人身份证反面</w:t>
                            </w:r>
                          </w:p>
                        </w:txbxContent>
                      </wps:txbx>
                      <wps:bodyPr upright="1"/>
                    </wps:wsp>
                  </a:graphicData>
                </a:graphic>
              </wp:anchor>
            </w:drawing>
          </mc:Choice>
          <mc:Fallback>
            <w:pict>
              <v:shape id="文本框 5" o:spid="_x0000_s1026" o:spt="202" type="#_x0000_t202" style="position:absolute;left:0pt;margin-left:236.6pt;margin-top:2.7pt;height:139.45pt;width:216pt;z-index:251662336;mso-width-relative:page;mso-height-relative:page;" fillcolor="#FFFFFF" filled="t" stroked="t" coordsize="21600,21600" o:gfxdata="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2jzWtgAAAAJAQAADwAAAAAAAAABACAA&#10;AAAiAAAAZHJzL2Rvd25yZXYueG1sUEsBAhQAFAAAAAgAh07iQFEHt8ENAgAANwQAAA4AAAAAAAAA&#10;AQAgAAAAJwEAAGRycy9lMm9Eb2MueG1sUEsFBgAAAAAGAAYAWQEAAKYFAAAAAA==&#10;">
                <v:fill on="t" focussize="0,0"/>
                <v:stroke color="#000000" joinstyle="miter"/>
                <v:imagedata o:title=""/>
                <o:lock v:ext="edit" aspectratio="f"/>
                <v:textbox>
                  <w:txbxContent>
                    <w:p w14:paraId="036C0747">
                      <w:pPr>
                        <w:rPr>
                          <w:rFonts w:hint="eastAsia"/>
                        </w:rPr>
                      </w:pPr>
                    </w:p>
                    <w:p w14:paraId="5698B228">
                      <w:pPr>
                        <w:rPr>
                          <w:rFonts w:hint="eastAsia"/>
                        </w:rPr>
                      </w:pPr>
                    </w:p>
                    <w:p w14:paraId="52C1CB6D">
                      <w:pPr>
                        <w:rPr>
                          <w:rFonts w:hint="eastAsia"/>
                        </w:rPr>
                      </w:pPr>
                    </w:p>
                    <w:p w14:paraId="3AF75C3A">
                      <w:pPr>
                        <w:rPr>
                          <w:rFonts w:hint="eastAsia"/>
                        </w:rPr>
                      </w:pPr>
                    </w:p>
                    <w:p w14:paraId="03570444">
                      <w:pPr>
                        <w:jc w:val="center"/>
                        <w:rPr>
                          <w:rFonts w:ascii="宋体" w:hAnsi="宋体"/>
                          <w:kern w:val="2"/>
                          <w:sz w:val="21"/>
                        </w:rPr>
                      </w:pPr>
                      <w:r>
                        <w:rPr>
                          <w:rFonts w:hint="eastAsia" w:ascii="宋体" w:hAnsi="宋体"/>
                          <w:kern w:val="2"/>
                          <w:sz w:val="21"/>
                        </w:rPr>
                        <w:t>法定代表人身份证反面</w:t>
                      </w:r>
                    </w:p>
                  </w:txbxContent>
                </v:textbox>
              </v:shape>
            </w:pict>
          </mc:Fallback>
        </mc:AlternateContent>
      </w:r>
      <w:r>
        <w:rPr>
          <w:rFonts w:hint="eastAsia" w:ascii="宋体" w:hAnsi="宋体" w:eastAsia="宋体" w:cs="宋体"/>
          <w:color w:val="auto"/>
          <w:kern w:val="2"/>
          <w:sz w:val="21"/>
          <w:szCs w:val="21"/>
          <w:highlight w:val="none"/>
        </w:rPr>
        <mc:AlternateContent>
          <mc:Choice Requires="wps">
            <w:drawing>
              <wp:anchor distT="0" distB="0" distL="114300" distR="114300" simplePos="0" relativeHeight="251661312" behindDoc="0" locked="0" layoutInCell="1" allowOverlap="1">
                <wp:simplePos x="0" y="0"/>
                <wp:positionH relativeFrom="column">
                  <wp:posOffset>23495</wp:posOffset>
                </wp:positionH>
                <wp:positionV relativeFrom="paragraph">
                  <wp:posOffset>34290</wp:posOffset>
                </wp:positionV>
                <wp:extent cx="2743200" cy="1771015"/>
                <wp:effectExtent l="4445" t="4445" r="14605" b="15240"/>
                <wp:wrapNone/>
                <wp:docPr id="3" name="文本框 4"/>
                <wp:cNvGraphicFramePr/>
                <a:graphic xmlns:a="http://schemas.openxmlformats.org/drawingml/2006/main">
                  <a:graphicData uri="http://schemas.microsoft.com/office/word/2010/wordprocessingShape">
                    <wps:wsp>
                      <wps:cNvSpPr txBox="1"/>
                      <wps:spPr>
                        <a:xfrm>
                          <a:off x="0" y="0"/>
                          <a:ext cx="2743200" cy="17710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D299E5">
                            <w:pPr>
                              <w:rPr>
                                <w:rFonts w:hint="eastAsia"/>
                              </w:rPr>
                            </w:pPr>
                          </w:p>
                          <w:p w14:paraId="163DE042">
                            <w:pPr>
                              <w:rPr>
                                <w:rFonts w:hint="eastAsia"/>
                              </w:rPr>
                            </w:pPr>
                          </w:p>
                          <w:p w14:paraId="0AF10C3B">
                            <w:pPr>
                              <w:rPr>
                                <w:rFonts w:hint="eastAsia"/>
                              </w:rPr>
                            </w:pPr>
                          </w:p>
                          <w:p w14:paraId="693DFCE2">
                            <w:pPr>
                              <w:rPr>
                                <w:rFonts w:hint="eastAsia"/>
                              </w:rPr>
                            </w:pPr>
                          </w:p>
                          <w:p w14:paraId="332D49D6">
                            <w:pPr>
                              <w:jc w:val="center"/>
                              <w:rPr>
                                <w:rFonts w:ascii="宋体" w:hAnsi="宋体"/>
                                <w:kern w:val="2"/>
                                <w:sz w:val="21"/>
                              </w:rPr>
                            </w:pPr>
                            <w:r>
                              <w:rPr>
                                <w:rFonts w:hint="eastAsia" w:ascii="宋体" w:hAnsi="宋体"/>
                                <w:kern w:val="2"/>
                                <w:sz w:val="21"/>
                              </w:rPr>
                              <w:t>法定代表人身份证正面</w:t>
                            </w:r>
                          </w:p>
                        </w:txbxContent>
                      </wps:txbx>
                      <wps:bodyPr upright="1"/>
                    </wps:wsp>
                  </a:graphicData>
                </a:graphic>
              </wp:anchor>
            </w:drawing>
          </mc:Choice>
          <mc:Fallback>
            <w:pict>
              <v:shape id="文本框 4" o:spid="_x0000_s1026" o:spt="202" type="#_x0000_t202" style="position:absolute;left:0pt;margin-left:1.85pt;margin-top:2.7pt;height:139.45pt;width:216pt;z-index:251661312;mso-width-relative:page;mso-height-relative:page;" fillcolor="#FFFFFF" filled="t" stroked="t" coordsize="21600,21600" o:gfxdata="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GVxgb9YAAAAHAQAADwAAAAAAAAABACAAAAAi&#10;AAAAZHJzL2Rvd25yZXYueG1sUEsBAhQAFAAAAAgAh07iQF7hwqkMAgAANwQAAA4AAAAAAAAAAQAg&#10;AAAAJQEAAGRycy9lMm9Eb2MueG1sUEsFBgAAAAAGAAYAWQEAAKMFAAAAAA==&#10;">
                <v:fill on="t" focussize="0,0"/>
                <v:stroke color="#000000" joinstyle="miter"/>
                <v:imagedata o:title=""/>
                <o:lock v:ext="edit" aspectratio="f"/>
                <v:textbox>
                  <w:txbxContent>
                    <w:p w14:paraId="04D299E5">
                      <w:pPr>
                        <w:rPr>
                          <w:rFonts w:hint="eastAsia"/>
                        </w:rPr>
                      </w:pPr>
                    </w:p>
                    <w:p w14:paraId="163DE042">
                      <w:pPr>
                        <w:rPr>
                          <w:rFonts w:hint="eastAsia"/>
                        </w:rPr>
                      </w:pPr>
                    </w:p>
                    <w:p w14:paraId="0AF10C3B">
                      <w:pPr>
                        <w:rPr>
                          <w:rFonts w:hint="eastAsia"/>
                        </w:rPr>
                      </w:pPr>
                    </w:p>
                    <w:p w14:paraId="693DFCE2">
                      <w:pPr>
                        <w:rPr>
                          <w:rFonts w:hint="eastAsia"/>
                        </w:rPr>
                      </w:pPr>
                    </w:p>
                    <w:p w14:paraId="332D49D6">
                      <w:pPr>
                        <w:jc w:val="center"/>
                        <w:rPr>
                          <w:rFonts w:ascii="宋体" w:hAnsi="宋体"/>
                          <w:kern w:val="2"/>
                          <w:sz w:val="21"/>
                        </w:rPr>
                      </w:pPr>
                      <w:r>
                        <w:rPr>
                          <w:rFonts w:hint="eastAsia" w:ascii="宋体" w:hAnsi="宋体"/>
                          <w:kern w:val="2"/>
                          <w:sz w:val="21"/>
                        </w:rPr>
                        <w:t>法定代表人身份证正面</w:t>
                      </w:r>
                    </w:p>
                  </w:txbxContent>
                </v:textbox>
              </v:shape>
            </w:pict>
          </mc:Fallback>
        </mc:AlternateContent>
      </w:r>
    </w:p>
    <w:p w14:paraId="1B0935C3">
      <w:pPr>
        <w:rPr>
          <w:rFonts w:hint="eastAsia" w:ascii="宋体" w:hAnsi="宋体" w:eastAsia="宋体" w:cs="宋体"/>
          <w:color w:val="auto"/>
          <w:sz w:val="21"/>
          <w:szCs w:val="21"/>
          <w:highlight w:val="none"/>
        </w:rPr>
      </w:pPr>
    </w:p>
    <w:p w14:paraId="17457AED">
      <w:pPr>
        <w:rPr>
          <w:rFonts w:hint="eastAsia" w:ascii="宋体" w:hAnsi="宋体" w:eastAsia="宋体" w:cs="宋体"/>
          <w:color w:val="auto"/>
          <w:sz w:val="21"/>
          <w:szCs w:val="21"/>
          <w:highlight w:val="none"/>
        </w:rPr>
      </w:pPr>
    </w:p>
    <w:p w14:paraId="707A3B81">
      <w:pPr>
        <w:rPr>
          <w:rFonts w:hint="eastAsia" w:ascii="宋体" w:hAnsi="宋体" w:eastAsia="宋体" w:cs="宋体"/>
          <w:color w:val="auto"/>
          <w:sz w:val="21"/>
          <w:szCs w:val="21"/>
          <w:highlight w:val="none"/>
        </w:rPr>
      </w:pPr>
    </w:p>
    <w:p w14:paraId="4B25DA43">
      <w:pPr>
        <w:rPr>
          <w:rFonts w:hint="eastAsia" w:ascii="宋体" w:hAnsi="宋体" w:eastAsia="宋体" w:cs="宋体"/>
          <w:color w:val="auto"/>
          <w:sz w:val="21"/>
          <w:szCs w:val="21"/>
          <w:highlight w:val="none"/>
        </w:rPr>
      </w:pPr>
    </w:p>
    <w:p w14:paraId="63CCC836">
      <w:pPr>
        <w:rPr>
          <w:rFonts w:hint="eastAsia" w:ascii="宋体" w:hAnsi="宋体" w:eastAsia="宋体" w:cs="宋体"/>
          <w:color w:val="auto"/>
          <w:sz w:val="21"/>
          <w:szCs w:val="21"/>
          <w:highlight w:val="none"/>
        </w:rPr>
      </w:pPr>
    </w:p>
    <w:p w14:paraId="1B504CF2">
      <w:pPr>
        <w:rPr>
          <w:rFonts w:hint="eastAsia" w:ascii="宋体" w:hAnsi="宋体" w:eastAsia="宋体" w:cs="宋体"/>
          <w:color w:val="auto"/>
          <w:sz w:val="21"/>
          <w:szCs w:val="21"/>
          <w:highlight w:val="none"/>
        </w:rPr>
      </w:pPr>
    </w:p>
    <w:p w14:paraId="05BE9EAC">
      <w:pPr>
        <w:rPr>
          <w:rFonts w:hint="eastAsia" w:ascii="宋体" w:hAnsi="宋体" w:eastAsia="宋体" w:cs="宋体"/>
          <w:color w:val="auto"/>
          <w:sz w:val="21"/>
          <w:szCs w:val="21"/>
          <w:highlight w:val="none"/>
        </w:rPr>
      </w:pPr>
    </w:p>
    <w:p w14:paraId="2FAF85A8">
      <w:pPr>
        <w:rPr>
          <w:rFonts w:hint="eastAsia" w:ascii="宋体" w:hAnsi="宋体" w:eastAsia="宋体" w:cs="宋体"/>
          <w:color w:val="auto"/>
          <w:sz w:val="21"/>
          <w:szCs w:val="21"/>
          <w:highlight w:val="none"/>
        </w:rPr>
      </w:pPr>
    </w:p>
    <w:p w14:paraId="6483B949">
      <w:pPr>
        <w:rPr>
          <w:rFonts w:hint="eastAsia" w:ascii="宋体" w:hAnsi="宋体" w:eastAsia="宋体" w:cs="宋体"/>
          <w:color w:val="auto"/>
          <w:sz w:val="21"/>
          <w:szCs w:val="21"/>
          <w:highlight w:val="none"/>
        </w:rPr>
      </w:pPr>
    </w:p>
    <w:p w14:paraId="2688F4D8">
      <w:pPr>
        <w:rPr>
          <w:rFonts w:hint="eastAsia" w:ascii="宋体" w:hAnsi="宋体" w:eastAsia="宋体" w:cs="宋体"/>
          <w:color w:val="auto"/>
          <w:sz w:val="21"/>
          <w:szCs w:val="21"/>
          <w:highlight w:val="none"/>
        </w:rPr>
      </w:pPr>
    </w:p>
    <w:p w14:paraId="619348D1">
      <w:pPr>
        <w:rPr>
          <w:rFonts w:hint="eastAsia" w:ascii="宋体" w:hAnsi="宋体" w:eastAsia="宋体" w:cs="宋体"/>
          <w:color w:val="auto"/>
          <w:sz w:val="21"/>
          <w:szCs w:val="21"/>
          <w:highlight w:val="none"/>
        </w:rPr>
      </w:pPr>
    </w:p>
    <w:p w14:paraId="5CE0B746">
      <w:pPr>
        <w:rPr>
          <w:rFonts w:hint="eastAsia" w:ascii="宋体" w:hAnsi="宋体" w:eastAsia="宋体" w:cs="宋体"/>
          <w:color w:val="auto"/>
          <w:sz w:val="21"/>
          <w:szCs w:val="21"/>
          <w:highlight w:val="none"/>
        </w:rPr>
      </w:pPr>
    </w:p>
    <w:p w14:paraId="4EF23FFD">
      <w:pP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mc:AlternateContent>
          <mc:Choice Requires="wps">
            <w:drawing>
              <wp:anchor distT="0" distB="0" distL="114300" distR="114300" simplePos="0" relativeHeight="251664384" behindDoc="0" locked="0" layoutInCell="1" allowOverlap="1">
                <wp:simplePos x="0" y="0"/>
                <wp:positionH relativeFrom="column">
                  <wp:posOffset>2985770</wp:posOffset>
                </wp:positionH>
                <wp:positionV relativeFrom="paragraph">
                  <wp:posOffset>163195</wp:posOffset>
                </wp:positionV>
                <wp:extent cx="2743200" cy="1771015"/>
                <wp:effectExtent l="4445" t="4445" r="14605" b="15240"/>
                <wp:wrapNone/>
                <wp:docPr id="6" name="文本框 7"/>
                <wp:cNvGraphicFramePr/>
                <a:graphic xmlns:a="http://schemas.openxmlformats.org/drawingml/2006/main">
                  <a:graphicData uri="http://schemas.microsoft.com/office/word/2010/wordprocessingShape">
                    <wps:wsp>
                      <wps:cNvSpPr txBox="1"/>
                      <wps:spPr>
                        <a:xfrm>
                          <a:off x="0" y="0"/>
                          <a:ext cx="2743200" cy="17710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A3EA183">
                            <w:pPr>
                              <w:rPr>
                                <w:rFonts w:hint="eastAsia"/>
                              </w:rPr>
                            </w:pPr>
                          </w:p>
                          <w:p w14:paraId="692EDFE1">
                            <w:pPr>
                              <w:jc w:val="center"/>
                              <w:rPr>
                                <w:rFonts w:hint="eastAsia" w:hAnsi="等线 Light"/>
                                <w:color w:val="FF0000"/>
                                <w:kern w:val="2"/>
                                <w:sz w:val="21"/>
                              </w:rPr>
                            </w:pPr>
                          </w:p>
                          <w:p w14:paraId="6E72E933">
                            <w:pPr>
                              <w:jc w:val="center"/>
                              <w:rPr>
                                <w:rFonts w:hint="eastAsia" w:hAnsi="等线 Light"/>
                                <w:color w:val="FF0000"/>
                                <w:kern w:val="2"/>
                                <w:sz w:val="21"/>
                              </w:rPr>
                            </w:pPr>
                          </w:p>
                          <w:p w14:paraId="5F674A14">
                            <w:pPr>
                              <w:jc w:val="center"/>
                              <w:rPr>
                                <w:rFonts w:hint="eastAsia" w:hAnsi="等线 Light"/>
                                <w:color w:val="FF0000"/>
                                <w:kern w:val="2"/>
                                <w:sz w:val="21"/>
                              </w:rPr>
                            </w:pPr>
                          </w:p>
                          <w:p w14:paraId="7EBD44FB">
                            <w:pPr>
                              <w:jc w:val="center"/>
                              <w:rPr>
                                <w:rFonts w:ascii="宋体" w:hAnsi="宋体"/>
                              </w:rPr>
                            </w:pPr>
                            <w:r>
                              <w:rPr>
                                <w:rFonts w:hint="eastAsia" w:ascii="宋体" w:hAnsi="宋体"/>
                                <w:kern w:val="2"/>
                                <w:sz w:val="21"/>
                              </w:rPr>
                              <w:t>被授权人身份证反面</w:t>
                            </w:r>
                          </w:p>
                          <w:p w14:paraId="22CF93C2">
                            <w:pPr>
                              <w:rPr>
                                <w:rFonts w:hint="eastAsia"/>
                              </w:rPr>
                            </w:pPr>
                          </w:p>
                          <w:p w14:paraId="61A07F9B">
                            <w:pPr>
                              <w:rPr>
                                <w:rFonts w:hint="eastAsia"/>
                              </w:rPr>
                            </w:pPr>
                          </w:p>
                        </w:txbxContent>
                      </wps:txbx>
                      <wps:bodyPr upright="1"/>
                    </wps:wsp>
                  </a:graphicData>
                </a:graphic>
              </wp:anchor>
            </w:drawing>
          </mc:Choice>
          <mc:Fallback>
            <w:pict>
              <v:shape id="文本框 7" o:spid="_x0000_s1026" o:spt="202" type="#_x0000_t202" style="position:absolute;left:0pt;margin-left:235.1pt;margin-top:12.85pt;height:139.45pt;width:216pt;z-index:251664384;mso-width-relative:page;mso-height-relative:page;" fillcolor="#FFFFFF" filled="t" stroked="t" coordsize="21600,21600" o:gfxdata="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TB8QdoAAAAKAQAADwAAAAAAAAABACAA&#10;AAAiAAAAZHJzL2Rvd25yZXYueG1sUEsBAhQAFAAAAAgAh07iQGhEhc0LAgAANwQAAA4AAAAAAAAA&#10;AQAgAAAAKQEAAGRycy9lMm9Eb2MueG1sUEsFBgAAAAAGAAYAWQEAAKYFAAAAAA==&#10;">
                <v:fill on="t" focussize="0,0"/>
                <v:stroke color="#000000" joinstyle="miter"/>
                <v:imagedata o:title=""/>
                <o:lock v:ext="edit" aspectratio="f"/>
                <v:textbox>
                  <w:txbxContent>
                    <w:p w14:paraId="0A3EA183">
                      <w:pPr>
                        <w:rPr>
                          <w:rFonts w:hint="eastAsia"/>
                        </w:rPr>
                      </w:pPr>
                    </w:p>
                    <w:p w14:paraId="692EDFE1">
                      <w:pPr>
                        <w:jc w:val="center"/>
                        <w:rPr>
                          <w:rFonts w:hint="eastAsia" w:hAnsi="等线 Light"/>
                          <w:color w:val="FF0000"/>
                          <w:kern w:val="2"/>
                          <w:sz w:val="21"/>
                        </w:rPr>
                      </w:pPr>
                    </w:p>
                    <w:p w14:paraId="6E72E933">
                      <w:pPr>
                        <w:jc w:val="center"/>
                        <w:rPr>
                          <w:rFonts w:hint="eastAsia" w:hAnsi="等线 Light"/>
                          <w:color w:val="FF0000"/>
                          <w:kern w:val="2"/>
                          <w:sz w:val="21"/>
                        </w:rPr>
                      </w:pPr>
                    </w:p>
                    <w:p w14:paraId="5F674A14">
                      <w:pPr>
                        <w:jc w:val="center"/>
                        <w:rPr>
                          <w:rFonts w:hint="eastAsia" w:hAnsi="等线 Light"/>
                          <w:color w:val="FF0000"/>
                          <w:kern w:val="2"/>
                          <w:sz w:val="21"/>
                        </w:rPr>
                      </w:pPr>
                    </w:p>
                    <w:p w14:paraId="7EBD44FB">
                      <w:pPr>
                        <w:jc w:val="center"/>
                        <w:rPr>
                          <w:rFonts w:ascii="宋体" w:hAnsi="宋体"/>
                        </w:rPr>
                      </w:pPr>
                      <w:r>
                        <w:rPr>
                          <w:rFonts w:hint="eastAsia" w:ascii="宋体" w:hAnsi="宋体"/>
                          <w:kern w:val="2"/>
                          <w:sz w:val="21"/>
                        </w:rPr>
                        <w:t>被授权人身份证反面</w:t>
                      </w:r>
                    </w:p>
                    <w:p w14:paraId="22CF93C2">
                      <w:pPr>
                        <w:rPr>
                          <w:rFonts w:hint="eastAsia"/>
                        </w:rPr>
                      </w:pPr>
                    </w:p>
                    <w:p w14:paraId="61A07F9B">
                      <w:pPr>
                        <w:rPr>
                          <w:rFonts w:hint="eastAsia"/>
                        </w:rPr>
                      </w:pPr>
                    </w:p>
                  </w:txbxContent>
                </v:textbox>
              </v:shape>
            </w:pict>
          </mc:Fallback>
        </mc:AlternateContent>
      </w:r>
      <w:r>
        <w:rPr>
          <w:rFonts w:hint="eastAsia" w:ascii="宋体" w:hAnsi="宋体" w:eastAsia="宋体" w:cs="宋体"/>
          <w:b/>
          <w:color w:val="auto"/>
          <w:sz w:val="21"/>
          <w:szCs w:val="21"/>
          <w:highlight w:val="none"/>
        </w:rPr>
        <mc:AlternateContent>
          <mc:Choice Requires="wps">
            <w:drawing>
              <wp:anchor distT="0" distB="0" distL="114300" distR="114300" simplePos="0" relativeHeight="251665408" behindDoc="0" locked="0" layoutInCell="1" allowOverlap="1">
                <wp:simplePos x="0" y="0"/>
                <wp:positionH relativeFrom="column">
                  <wp:posOffset>13970</wp:posOffset>
                </wp:positionH>
                <wp:positionV relativeFrom="paragraph">
                  <wp:posOffset>163195</wp:posOffset>
                </wp:positionV>
                <wp:extent cx="2743200" cy="1771015"/>
                <wp:effectExtent l="4445" t="4445" r="14605" b="15240"/>
                <wp:wrapNone/>
                <wp:docPr id="5" name="文本框 6"/>
                <wp:cNvGraphicFramePr/>
                <a:graphic xmlns:a="http://schemas.openxmlformats.org/drawingml/2006/main">
                  <a:graphicData uri="http://schemas.microsoft.com/office/word/2010/wordprocessingShape">
                    <wps:wsp>
                      <wps:cNvSpPr txBox="1"/>
                      <wps:spPr>
                        <a:xfrm>
                          <a:off x="0" y="0"/>
                          <a:ext cx="2743200" cy="17710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197FC7F">
                            <w:pPr>
                              <w:rPr>
                                <w:rFonts w:hint="eastAsia"/>
                              </w:rPr>
                            </w:pPr>
                          </w:p>
                          <w:p w14:paraId="1C1F23C5">
                            <w:pPr>
                              <w:jc w:val="center"/>
                              <w:rPr>
                                <w:rFonts w:hint="eastAsia" w:hAnsi="等线 Light"/>
                                <w:color w:val="FF0000"/>
                                <w:kern w:val="2"/>
                                <w:sz w:val="21"/>
                              </w:rPr>
                            </w:pPr>
                          </w:p>
                          <w:p w14:paraId="6A0270E6">
                            <w:pPr>
                              <w:jc w:val="center"/>
                              <w:rPr>
                                <w:rFonts w:hint="eastAsia" w:hAnsi="等线 Light"/>
                                <w:color w:val="FF0000"/>
                                <w:kern w:val="2"/>
                                <w:sz w:val="21"/>
                              </w:rPr>
                            </w:pPr>
                          </w:p>
                          <w:p w14:paraId="562CF224">
                            <w:pPr>
                              <w:jc w:val="center"/>
                              <w:rPr>
                                <w:rFonts w:hint="eastAsia" w:hAnsi="等线 Light"/>
                                <w:color w:val="FF0000"/>
                                <w:kern w:val="2"/>
                                <w:sz w:val="21"/>
                              </w:rPr>
                            </w:pPr>
                          </w:p>
                          <w:p w14:paraId="7F7C3BD1">
                            <w:pPr>
                              <w:jc w:val="center"/>
                              <w:rPr>
                                <w:rFonts w:ascii="宋体" w:hAnsi="宋体"/>
                              </w:rPr>
                            </w:pPr>
                            <w:r>
                              <w:rPr>
                                <w:rFonts w:hint="eastAsia" w:ascii="宋体" w:hAnsi="宋体"/>
                                <w:kern w:val="2"/>
                                <w:sz w:val="21"/>
                              </w:rPr>
                              <w:t>被授权人身份证正面</w:t>
                            </w:r>
                          </w:p>
                          <w:p w14:paraId="125851CC">
                            <w:pPr>
                              <w:rPr>
                                <w:rFonts w:hint="eastAsia"/>
                              </w:rPr>
                            </w:pPr>
                          </w:p>
                          <w:p w14:paraId="59BA7C64">
                            <w:pPr>
                              <w:rPr>
                                <w:rFonts w:hint="eastAsia"/>
                              </w:rPr>
                            </w:pPr>
                          </w:p>
                        </w:txbxContent>
                      </wps:txbx>
                      <wps:bodyPr upright="1"/>
                    </wps:wsp>
                  </a:graphicData>
                </a:graphic>
              </wp:anchor>
            </w:drawing>
          </mc:Choice>
          <mc:Fallback>
            <w:pict>
              <v:shape id="文本框 6" o:spid="_x0000_s1026" o:spt="202" type="#_x0000_t202" style="position:absolute;left:0pt;margin-left:1.1pt;margin-top:12.85pt;height:139.45pt;width:216pt;z-index:251665408;mso-width-relative:page;mso-height-relative:page;" fillcolor="#FFFFFF" filled="t" stroked="t" coordsize="21600,21600" o:gfxdata="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oHZfjYAAAACAEAAA8AAAAAAAAAAQAgAAAA&#10;IgAAAGRycy9kb3ducmV2LnhtbFBLAQIUABQAAAAIAIdO4kBFJZdYCwIAADcEAAAOAAAAAAAAAAEA&#10;IAAAACcBAABkcnMvZTJvRG9jLnhtbFBLBQYAAAAABgAGAFkBAACkBQAAAAA=&#10;">
                <v:fill on="t" focussize="0,0"/>
                <v:stroke color="#000000" joinstyle="miter"/>
                <v:imagedata o:title=""/>
                <o:lock v:ext="edit" aspectratio="f"/>
                <v:textbox>
                  <w:txbxContent>
                    <w:p w14:paraId="7197FC7F">
                      <w:pPr>
                        <w:rPr>
                          <w:rFonts w:hint="eastAsia"/>
                        </w:rPr>
                      </w:pPr>
                    </w:p>
                    <w:p w14:paraId="1C1F23C5">
                      <w:pPr>
                        <w:jc w:val="center"/>
                        <w:rPr>
                          <w:rFonts w:hint="eastAsia" w:hAnsi="等线 Light"/>
                          <w:color w:val="FF0000"/>
                          <w:kern w:val="2"/>
                          <w:sz w:val="21"/>
                        </w:rPr>
                      </w:pPr>
                    </w:p>
                    <w:p w14:paraId="6A0270E6">
                      <w:pPr>
                        <w:jc w:val="center"/>
                        <w:rPr>
                          <w:rFonts w:hint="eastAsia" w:hAnsi="等线 Light"/>
                          <w:color w:val="FF0000"/>
                          <w:kern w:val="2"/>
                          <w:sz w:val="21"/>
                        </w:rPr>
                      </w:pPr>
                    </w:p>
                    <w:p w14:paraId="562CF224">
                      <w:pPr>
                        <w:jc w:val="center"/>
                        <w:rPr>
                          <w:rFonts w:hint="eastAsia" w:hAnsi="等线 Light"/>
                          <w:color w:val="FF0000"/>
                          <w:kern w:val="2"/>
                          <w:sz w:val="21"/>
                        </w:rPr>
                      </w:pPr>
                    </w:p>
                    <w:p w14:paraId="7F7C3BD1">
                      <w:pPr>
                        <w:jc w:val="center"/>
                        <w:rPr>
                          <w:rFonts w:ascii="宋体" w:hAnsi="宋体"/>
                        </w:rPr>
                      </w:pPr>
                      <w:r>
                        <w:rPr>
                          <w:rFonts w:hint="eastAsia" w:ascii="宋体" w:hAnsi="宋体"/>
                          <w:kern w:val="2"/>
                          <w:sz w:val="21"/>
                        </w:rPr>
                        <w:t>被授权人身份证正面</w:t>
                      </w:r>
                    </w:p>
                    <w:p w14:paraId="125851CC">
                      <w:pPr>
                        <w:rPr>
                          <w:rFonts w:hint="eastAsia"/>
                        </w:rPr>
                      </w:pPr>
                    </w:p>
                    <w:p w14:paraId="59BA7C64">
                      <w:pPr>
                        <w:rPr>
                          <w:rFonts w:hint="eastAsia"/>
                        </w:rPr>
                      </w:pPr>
                    </w:p>
                  </w:txbxContent>
                </v:textbox>
              </v:shape>
            </w:pict>
          </mc:Fallback>
        </mc:AlternateContent>
      </w:r>
    </w:p>
    <w:p w14:paraId="4F158861">
      <w:pPr>
        <w:pStyle w:val="73"/>
        <w:rPr>
          <w:rFonts w:hint="eastAsia" w:ascii="宋体" w:hAnsi="宋体" w:eastAsia="宋体" w:cs="宋体"/>
          <w:color w:val="auto"/>
          <w:sz w:val="21"/>
          <w:szCs w:val="21"/>
          <w:highlight w:val="none"/>
        </w:rPr>
      </w:pPr>
    </w:p>
    <w:p w14:paraId="613E8367">
      <w:pPr>
        <w:pStyle w:val="73"/>
        <w:rPr>
          <w:rFonts w:hint="eastAsia" w:ascii="宋体" w:hAnsi="宋体" w:eastAsia="宋体" w:cs="宋体"/>
          <w:color w:val="auto"/>
          <w:sz w:val="21"/>
          <w:szCs w:val="21"/>
          <w:highlight w:val="none"/>
        </w:rPr>
      </w:pPr>
    </w:p>
    <w:p w14:paraId="029A64AD">
      <w:pPr>
        <w:pStyle w:val="73"/>
        <w:rPr>
          <w:rFonts w:hint="eastAsia" w:ascii="宋体" w:hAnsi="宋体" w:eastAsia="宋体" w:cs="宋体"/>
          <w:color w:val="auto"/>
          <w:sz w:val="21"/>
          <w:szCs w:val="21"/>
          <w:highlight w:val="none"/>
        </w:rPr>
      </w:pPr>
    </w:p>
    <w:p w14:paraId="56E72C12">
      <w:pPr>
        <w:pStyle w:val="73"/>
        <w:rPr>
          <w:rFonts w:hint="eastAsia" w:ascii="宋体" w:hAnsi="宋体" w:eastAsia="宋体" w:cs="宋体"/>
          <w:color w:val="auto"/>
          <w:sz w:val="21"/>
          <w:szCs w:val="21"/>
          <w:highlight w:val="none"/>
        </w:rPr>
      </w:pPr>
    </w:p>
    <w:p w14:paraId="3EE3065F">
      <w:pPr>
        <w:pStyle w:val="73"/>
        <w:rPr>
          <w:rFonts w:hint="eastAsia" w:ascii="宋体" w:hAnsi="宋体" w:eastAsia="宋体" w:cs="宋体"/>
          <w:color w:val="auto"/>
          <w:sz w:val="21"/>
          <w:szCs w:val="21"/>
          <w:highlight w:val="none"/>
        </w:rPr>
      </w:pPr>
    </w:p>
    <w:p w14:paraId="55D67AC9">
      <w:pPr>
        <w:pStyle w:val="73"/>
        <w:rPr>
          <w:rFonts w:hint="eastAsia" w:ascii="宋体" w:hAnsi="宋体" w:eastAsia="宋体" w:cs="宋体"/>
          <w:color w:val="auto"/>
          <w:sz w:val="21"/>
          <w:szCs w:val="21"/>
          <w:highlight w:val="none"/>
        </w:rPr>
      </w:pPr>
    </w:p>
    <w:p w14:paraId="4E0BD9D6">
      <w:pPr>
        <w:pStyle w:val="73"/>
        <w:rPr>
          <w:rFonts w:hint="eastAsia" w:ascii="宋体" w:hAnsi="宋体" w:eastAsia="宋体" w:cs="宋体"/>
          <w:color w:val="auto"/>
          <w:sz w:val="21"/>
          <w:szCs w:val="21"/>
          <w:highlight w:val="none"/>
        </w:rPr>
      </w:pPr>
    </w:p>
    <w:p w14:paraId="7F9575BB">
      <w:pPr>
        <w:pStyle w:val="73"/>
        <w:rPr>
          <w:rFonts w:hint="eastAsia" w:ascii="宋体" w:hAnsi="宋体" w:eastAsia="宋体" w:cs="宋体"/>
          <w:color w:val="auto"/>
          <w:sz w:val="21"/>
          <w:szCs w:val="21"/>
          <w:highlight w:val="none"/>
        </w:rPr>
      </w:pPr>
    </w:p>
    <w:p w14:paraId="4C93D93B">
      <w:pPr>
        <w:pStyle w:val="73"/>
        <w:rPr>
          <w:rFonts w:hint="eastAsia" w:ascii="宋体" w:hAnsi="宋体" w:eastAsia="宋体" w:cs="宋体"/>
          <w:color w:val="auto"/>
          <w:sz w:val="21"/>
          <w:szCs w:val="21"/>
          <w:highlight w:val="none"/>
        </w:rPr>
      </w:pPr>
    </w:p>
    <w:p w14:paraId="0C0C7490">
      <w:pPr>
        <w:pStyle w:val="73"/>
        <w:rPr>
          <w:rFonts w:hint="eastAsia" w:ascii="宋体" w:hAnsi="宋体" w:eastAsia="宋体" w:cs="宋体"/>
          <w:color w:val="auto"/>
          <w:sz w:val="21"/>
          <w:szCs w:val="21"/>
          <w:highlight w:val="none"/>
        </w:rPr>
      </w:pPr>
    </w:p>
    <w:p w14:paraId="4B053952">
      <w:pPr>
        <w:pStyle w:val="73"/>
        <w:rPr>
          <w:rFonts w:hint="eastAsia" w:ascii="宋体" w:hAnsi="宋体" w:eastAsia="宋体" w:cs="宋体"/>
          <w:color w:val="auto"/>
          <w:sz w:val="21"/>
          <w:szCs w:val="21"/>
          <w:highlight w:val="none"/>
        </w:rPr>
      </w:pPr>
    </w:p>
    <w:p w14:paraId="3922AC6D">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0" w:firstLine="0"/>
        <w:textAlignment w:val="auto"/>
        <w:outlineLvl w:val="9"/>
        <w:rPr>
          <w:rFonts w:hint="eastAsia" w:ascii="宋体" w:hAnsi="宋体" w:eastAsia="宋体" w:cs="宋体"/>
          <w:b/>
          <w:color w:val="auto"/>
          <w:sz w:val="21"/>
          <w:szCs w:val="21"/>
          <w:highlight w:val="none"/>
        </w:rPr>
      </w:pPr>
      <w:bookmarkStart w:id="344" w:name="_Toc521576304"/>
      <w:bookmarkStart w:id="345" w:name="_Toc522047384"/>
      <w:bookmarkStart w:id="346" w:name="_Toc521918125"/>
      <w:bookmarkStart w:id="347" w:name="_Toc521918322"/>
      <w:bookmarkStart w:id="348" w:name="_Toc519153443"/>
      <w:bookmarkStart w:id="349" w:name="_Toc490169465"/>
      <w:bookmarkStart w:id="350" w:name="_Toc495907135"/>
      <w:r>
        <w:rPr>
          <w:rFonts w:hint="eastAsia" w:ascii="宋体" w:hAnsi="宋体" w:eastAsia="宋体" w:cs="宋体"/>
          <w:b/>
          <w:color w:val="auto"/>
          <w:sz w:val="21"/>
          <w:szCs w:val="21"/>
          <w:highlight w:val="none"/>
        </w:rPr>
        <w:t>注：上述身份证须在有效期限内。</w:t>
      </w:r>
    </w:p>
    <w:p w14:paraId="6CE791DB">
      <w:pPr>
        <w:tabs>
          <w:tab w:val="left" w:pos="567"/>
        </w:tabs>
        <w:spacing w:line="360" w:lineRule="auto"/>
        <w:ind w:left="567" w:hanging="567"/>
        <w:outlineLvl w:val="2"/>
        <w:rPr>
          <w:rFonts w:hint="eastAsia" w:ascii="宋体" w:hAnsi="宋体" w:eastAsia="宋体" w:cs="宋体"/>
          <w:b/>
          <w:color w:val="auto"/>
          <w:sz w:val="21"/>
          <w:szCs w:val="21"/>
          <w:highlight w:val="none"/>
        </w:rPr>
        <w:sectPr>
          <w:headerReference r:id="rId14" w:type="first"/>
          <w:footerReference r:id="rId16" w:type="first"/>
          <w:footerReference r:id="rId15" w:type="default"/>
          <w:pgSz w:w="11907" w:h="16840"/>
          <w:pgMar w:top="1701" w:right="1418" w:bottom="851" w:left="1418" w:header="720" w:footer="720" w:gutter="0"/>
          <w:pgBorders w:offsetFrom="page">
            <w:top w:val="none" w:sz="0" w:space="0"/>
            <w:left w:val="none" w:sz="0" w:space="0"/>
            <w:bottom w:val="none" w:sz="0" w:space="0"/>
            <w:right w:val="none" w:sz="0" w:space="0"/>
          </w:pgBorders>
          <w:pgNumType w:fmt="decimal"/>
          <w:cols w:space="720" w:num="1"/>
          <w:titlePg/>
          <w:docGrid w:linePitch="326" w:charSpace="0"/>
        </w:sectPr>
      </w:pPr>
    </w:p>
    <w:bookmarkEnd w:id="344"/>
    <w:bookmarkEnd w:id="345"/>
    <w:bookmarkEnd w:id="346"/>
    <w:bookmarkEnd w:id="347"/>
    <w:bookmarkEnd w:id="348"/>
    <w:p w14:paraId="3058EE89">
      <w:pPr>
        <w:pageBreakBefore/>
        <w:spacing w:line="360" w:lineRule="auto"/>
        <w:outlineLvl w:val="9"/>
        <w:rPr>
          <w:rFonts w:hint="eastAsia" w:ascii="宋体" w:hAnsi="宋体" w:eastAsia="宋体" w:cs="宋体"/>
          <w:b/>
          <w:color w:val="auto"/>
          <w:sz w:val="30"/>
          <w:szCs w:val="30"/>
          <w:lang w:val="en-US" w:eastAsia="zh-CN"/>
        </w:rPr>
      </w:pPr>
      <w:bookmarkStart w:id="351" w:name="_Toc12400"/>
      <w:bookmarkStart w:id="352" w:name="_Toc15716"/>
      <w:bookmarkStart w:id="353" w:name="_Toc32328"/>
      <w:r>
        <w:rPr>
          <w:rFonts w:hint="eastAsia" w:ascii="宋体" w:hAnsi="宋体" w:eastAsia="宋体" w:cs="宋体"/>
          <w:b/>
          <w:color w:val="auto"/>
          <w:sz w:val="30"/>
          <w:szCs w:val="30"/>
        </w:rPr>
        <w:t xml:space="preserve">5.4 </w:t>
      </w:r>
      <w:r>
        <w:rPr>
          <w:rFonts w:hint="eastAsia" w:ascii="宋体" w:hAnsi="宋体" w:eastAsia="宋体" w:cs="宋体"/>
          <w:b/>
          <w:bCs/>
          <w:color w:val="auto"/>
          <w:kern w:val="2"/>
          <w:sz w:val="32"/>
          <w:szCs w:val="32"/>
        </w:rPr>
        <w:t>资格业绩</w:t>
      </w:r>
      <w:r>
        <w:rPr>
          <w:rFonts w:hint="eastAsia" w:ascii="宋体" w:hAnsi="宋体" w:eastAsia="宋体" w:cs="宋体"/>
          <w:b/>
          <w:bCs/>
          <w:color w:val="auto"/>
          <w:sz w:val="32"/>
          <w:szCs w:val="32"/>
        </w:rPr>
        <w:t>【</w:t>
      </w:r>
      <w:r>
        <w:rPr>
          <w:rFonts w:hint="eastAsia" w:ascii="宋体" w:hAnsi="宋体" w:eastAsia="宋体" w:cs="宋体"/>
          <w:b/>
          <w:bCs/>
          <w:color w:val="auto"/>
          <w:sz w:val="32"/>
          <w:szCs w:val="32"/>
          <w:lang w:val="en-US" w:eastAsia="zh-CN"/>
        </w:rPr>
        <w:t>供应商</w:t>
      </w:r>
      <w:r>
        <w:rPr>
          <w:rFonts w:hint="eastAsia" w:ascii="宋体" w:hAnsi="宋体" w:eastAsia="宋体" w:cs="宋体"/>
          <w:b/>
          <w:bCs/>
          <w:color w:val="auto"/>
          <w:sz w:val="32"/>
          <w:szCs w:val="32"/>
        </w:rPr>
        <w:t>提供</w:t>
      </w:r>
      <w:r>
        <w:rPr>
          <w:rFonts w:hint="eastAsia" w:ascii="宋体" w:hAnsi="宋体" w:eastAsia="宋体" w:cs="宋体"/>
          <w:b/>
          <w:bCs/>
          <w:color w:val="auto"/>
          <w:sz w:val="32"/>
          <w:szCs w:val="32"/>
          <w:lang w:val="en-US" w:eastAsia="zh-CN"/>
        </w:rPr>
        <w:t>一项</w:t>
      </w:r>
      <w:r>
        <w:rPr>
          <w:rFonts w:hint="eastAsia" w:ascii="宋体" w:hAnsi="宋体" w:eastAsia="宋体" w:cs="宋体"/>
          <w:b/>
          <w:bCs/>
          <w:color w:val="auto"/>
          <w:sz w:val="32"/>
          <w:szCs w:val="32"/>
        </w:rPr>
        <w:t>20</w:t>
      </w:r>
      <w:r>
        <w:rPr>
          <w:rFonts w:hint="eastAsia" w:ascii="宋体" w:hAnsi="宋体" w:eastAsia="宋体" w:cs="宋体"/>
          <w:b/>
          <w:bCs/>
          <w:color w:val="auto"/>
          <w:sz w:val="32"/>
          <w:szCs w:val="32"/>
          <w:lang w:val="en-US" w:eastAsia="zh-CN"/>
        </w:rPr>
        <w:t>19</w:t>
      </w:r>
      <w:r>
        <w:rPr>
          <w:rFonts w:hint="eastAsia" w:ascii="宋体" w:hAnsi="宋体" w:eastAsia="宋体" w:cs="宋体"/>
          <w:b/>
          <w:bCs/>
          <w:color w:val="auto"/>
          <w:sz w:val="32"/>
          <w:szCs w:val="32"/>
        </w:rPr>
        <w:t>年1月1日以来具有生活污水处理厂污泥脱水减量化处理服务业绩（合同签订日期为20</w:t>
      </w:r>
      <w:r>
        <w:rPr>
          <w:rFonts w:hint="eastAsia" w:ascii="宋体" w:hAnsi="宋体" w:eastAsia="宋体" w:cs="宋体"/>
          <w:b/>
          <w:bCs/>
          <w:color w:val="auto"/>
          <w:sz w:val="32"/>
          <w:szCs w:val="32"/>
          <w:lang w:val="en-US" w:eastAsia="zh-CN"/>
        </w:rPr>
        <w:t>19</w:t>
      </w:r>
      <w:r>
        <w:rPr>
          <w:rFonts w:hint="eastAsia" w:ascii="宋体" w:hAnsi="宋体" w:eastAsia="宋体" w:cs="宋体"/>
          <w:b/>
          <w:bCs/>
          <w:color w:val="auto"/>
          <w:sz w:val="32"/>
          <w:szCs w:val="32"/>
        </w:rPr>
        <w:t>年1月1日或以后）</w:t>
      </w:r>
      <w:bookmarkEnd w:id="351"/>
      <w:bookmarkEnd w:id="352"/>
      <w:bookmarkEnd w:id="353"/>
      <w:r>
        <w:rPr>
          <w:rFonts w:hint="eastAsia" w:ascii="宋体" w:hAnsi="宋体" w:eastAsia="宋体" w:cs="宋体"/>
          <w:b/>
          <w:bCs/>
          <w:color w:val="auto"/>
          <w:sz w:val="32"/>
          <w:szCs w:val="32"/>
          <w:lang w:eastAsia="zh-CN"/>
        </w:rPr>
        <w:t>】</w:t>
      </w:r>
    </w:p>
    <w:p w14:paraId="52C27D09">
      <w:pPr>
        <w:spacing w:line="360" w:lineRule="auto"/>
        <w:outlineLvl w:val="9"/>
        <w:rPr>
          <w:rFonts w:hint="eastAsia" w:ascii="宋体" w:hAnsi="宋体" w:eastAsia="宋体" w:cs="宋体"/>
          <w:b/>
          <w:color w:val="FF0000"/>
          <w:szCs w:val="21"/>
          <w:lang w:val="zh-CN"/>
        </w:rPr>
      </w:pPr>
    </w:p>
    <w:tbl>
      <w:tblPr>
        <w:tblStyle w:val="55"/>
        <w:tblW w:w="503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42"/>
        <w:gridCol w:w="1114"/>
        <w:gridCol w:w="2924"/>
        <w:gridCol w:w="1195"/>
        <w:gridCol w:w="1294"/>
        <w:gridCol w:w="2089"/>
      </w:tblGrid>
      <w:tr w14:paraId="6B8146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jc w:val="center"/>
        </w:trPr>
        <w:tc>
          <w:tcPr>
            <w:tcW w:w="391" w:type="pct"/>
            <w:tcBorders>
              <w:top w:val="single" w:color="auto" w:sz="4" w:space="0"/>
              <w:left w:val="single" w:color="auto" w:sz="4" w:space="0"/>
              <w:bottom w:val="single" w:color="auto" w:sz="4" w:space="0"/>
              <w:right w:val="single" w:color="auto" w:sz="4" w:space="0"/>
            </w:tcBorders>
            <w:vAlign w:val="center"/>
          </w:tcPr>
          <w:p w14:paraId="26D46608">
            <w:pPr>
              <w:keepNext w:val="0"/>
              <w:keepLines w:val="0"/>
              <w:suppressLineNumbers w:val="0"/>
              <w:spacing w:before="0" w:beforeAutospacing="0" w:after="0" w:afterAutospacing="0"/>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587" w:type="pct"/>
            <w:tcBorders>
              <w:top w:val="single" w:color="auto" w:sz="4" w:space="0"/>
              <w:left w:val="single" w:color="auto" w:sz="4" w:space="0"/>
              <w:bottom w:val="single" w:color="auto" w:sz="4" w:space="0"/>
              <w:right w:val="single" w:color="auto" w:sz="4" w:space="0"/>
            </w:tcBorders>
            <w:vAlign w:val="center"/>
          </w:tcPr>
          <w:p w14:paraId="1389AB17">
            <w:pPr>
              <w:keepNext w:val="0"/>
              <w:keepLines w:val="0"/>
              <w:suppressLineNumbers w:val="0"/>
              <w:spacing w:before="0" w:beforeAutospacing="0" w:after="0" w:afterAutospacing="0"/>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项目名称</w:t>
            </w:r>
          </w:p>
        </w:tc>
        <w:tc>
          <w:tcPr>
            <w:tcW w:w="1541" w:type="pct"/>
            <w:tcBorders>
              <w:top w:val="single" w:color="auto" w:sz="4" w:space="0"/>
              <w:left w:val="single" w:color="auto" w:sz="4" w:space="0"/>
              <w:bottom w:val="single" w:color="auto" w:sz="4" w:space="0"/>
              <w:right w:val="single" w:color="auto" w:sz="4" w:space="0"/>
            </w:tcBorders>
            <w:vAlign w:val="center"/>
          </w:tcPr>
          <w:p w14:paraId="468733E5">
            <w:pPr>
              <w:keepNext w:val="0"/>
              <w:keepLines w:val="0"/>
              <w:suppressLineNumbers w:val="0"/>
              <w:spacing w:before="0" w:beforeAutospacing="0" w:after="0" w:afterAutospacing="0"/>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供应商</w:t>
            </w:r>
            <w:r>
              <w:rPr>
                <w:rFonts w:hint="eastAsia" w:ascii="宋体" w:hAnsi="宋体" w:eastAsia="宋体" w:cs="宋体"/>
                <w:color w:val="000000" w:themeColor="text1"/>
                <w:sz w:val="21"/>
                <w:szCs w:val="21"/>
                <w14:textFill>
                  <w14:solidFill>
                    <w14:schemeClr w14:val="tx1"/>
                  </w14:solidFill>
                </w14:textFill>
              </w:rPr>
              <w:t>负责的主要服务内容</w:t>
            </w:r>
          </w:p>
        </w:tc>
        <w:tc>
          <w:tcPr>
            <w:tcW w:w="630" w:type="pct"/>
            <w:tcBorders>
              <w:top w:val="single" w:color="auto" w:sz="4" w:space="0"/>
              <w:left w:val="single" w:color="auto" w:sz="4" w:space="0"/>
              <w:bottom w:val="single" w:color="auto" w:sz="4" w:space="0"/>
              <w:right w:val="single" w:color="auto" w:sz="4" w:space="0"/>
            </w:tcBorders>
            <w:vAlign w:val="center"/>
          </w:tcPr>
          <w:p w14:paraId="5CD5E1B4">
            <w:pPr>
              <w:keepNext w:val="0"/>
              <w:keepLines w:val="0"/>
              <w:suppressLineNumbers w:val="0"/>
              <w:spacing w:before="0" w:beforeAutospacing="0" w:after="0" w:afterAutospacing="0"/>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污泥类别</w:t>
            </w:r>
          </w:p>
        </w:tc>
        <w:tc>
          <w:tcPr>
            <w:tcW w:w="682" w:type="pct"/>
            <w:tcBorders>
              <w:top w:val="single" w:color="auto" w:sz="4" w:space="0"/>
              <w:left w:val="single" w:color="auto" w:sz="4" w:space="0"/>
              <w:bottom w:val="single" w:color="auto" w:sz="4" w:space="0"/>
              <w:right w:val="single" w:color="auto" w:sz="4" w:space="0"/>
            </w:tcBorders>
            <w:vAlign w:val="center"/>
          </w:tcPr>
          <w:p w14:paraId="170AAF8C">
            <w:pPr>
              <w:keepNext w:val="0"/>
              <w:keepLines w:val="0"/>
              <w:suppressLineNumbers w:val="0"/>
              <w:spacing w:before="0" w:beforeAutospacing="0" w:after="0" w:afterAutospacing="0"/>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签约日期</w:t>
            </w:r>
          </w:p>
        </w:tc>
        <w:tc>
          <w:tcPr>
            <w:tcW w:w="1101" w:type="pct"/>
            <w:tcBorders>
              <w:top w:val="single" w:color="auto" w:sz="4" w:space="0"/>
              <w:left w:val="single" w:color="auto" w:sz="4" w:space="0"/>
              <w:bottom w:val="single" w:color="auto" w:sz="4" w:space="0"/>
              <w:right w:val="single" w:color="auto" w:sz="4" w:space="0"/>
            </w:tcBorders>
            <w:vAlign w:val="center"/>
          </w:tcPr>
          <w:p w14:paraId="416A7BE5">
            <w:pPr>
              <w:keepNext w:val="0"/>
              <w:keepLines w:val="0"/>
              <w:suppressLineNumbers w:val="0"/>
              <w:spacing w:before="0" w:beforeAutospacing="0" w:after="0" w:afterAutospacing="0"/>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业主联系人及电话</w:t>
            </w:r>
          </w:p>
        </w:tc>
      </w:tr>
      <w:tr w14:paraId="5E5C3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391" w:type="pct"/>
            <w:tcBorders>
              <w:top w:val="single" w:color="auto" w:sz="4" w:space="0"/>
              <w:left w:val="single" w:color="auto" w:sz="4" w:space="0"/>
              <w:bottom w:val="single" w:color="auto" w:sz="4" w:space="0"/>
              <w:right w:val="single" w:color="auto" w:sz="4" w:space="0"/>
            </w:tcBorders>
            <w:vAlign w:val="center"/>
          </w:tcPr>
          <w:p w14:paraId="0D7E8FD0">
            <w:pPr>
              <w:keepNext w:val="0"/>
              <w:keepLines w:val="0"/>
              <w:suppressLineNumbers w:val="0"/>
              <w:spacing w:before="0" w:beforeAutospacing="0" w:after="0" w:afterAutospacing="0"/>
              <w:ind w:left="0" w:right="0"/>
              <w:jc w:val="center"/>
              <w:outlineLvl w:val="9"/>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1</w:t>
            </w:r>
          </w:p>
        </w:tc>
        <w:tc>
          <w:tcPr>
            <w:tcW w:w="587" w:type="pct"/>
            <w:tcBorders>
              <w:top w:val="single" w:color="auto" w:sz="4" w:space="0"/>
              <w:left w:val="single" w:color="auto" w:sz="4" w:space="0"/>
              <w:bottom w:val="single" w:color="auto" w:sz="4" w:space="0"/>
              <w:right w:val="single" w:color="auto" w:sz="4" w:space="0"/>
            </w:tcBorders>
            <w:vAlign w:val="center"/>
          </w:tcPr>
          <w:p w14:paraId="192E4578">
            <w:pPr>
              <w:keepNext w:val="0"/>
              <w:keepLines w:val="0"/>
              <w:suppressLineNumbers w:val="0"/>
              <w:spacing w:before="0" w:beforeAutospacing="0" w:after="0" w:afterAutospacing="0"/>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1541" w:type="pct"/>
            <w:tcBorders>
              <w:top w:val="single" w:color="auto" w:sz="4" w:space="0"/>
              <w:left w:val="single" w:color="auto" w:sz="4" w:space="0"/>
              <w:bottom w:val="single" w:color="auto" w:sz="4" w:space="0"/>
              <w:right w:val="single" w:color="auto" w:sz="4" w:space="0"/>
            </w:tcBorders>
            <w:vAlign w:val="center"/>
          </w:tcPr>
          <w:p w14:paraId="4D6D9E16">
            <w:pPr>
              <w:keepNext w:val="0"/>
              <w:keepLines w:val="0"/>
              <w:suppressLineNumbers w:val="0"/>
              <w:spacing w:before="0" w:beforeAutospacing="0" w:after="0" w:afterAutospacing="0"/>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630" w:type="pct"/>
            <w:tcBorders>
              <w:top w:val="single" w:color="auto" w:sz="4" w:space="0"/>
              <w:left w:val="single" w:color="auto" w:sz="4" w:space="0"/>
              <w:bottom w:val="single" w:color="auto" w:sz="4" w:space="0"/>
              <w:right w:val="single" w:color="auto" w:sz="4" w:space="0"/>
            </w:tcBorders>
            <w:vAlign w:val="center"/>
          </w:tcPr>
          <w:p w14:paraId="535EC901">
            <w:pPr>
              <w:keepNext w:val="0"/>
              <w:keepLines w:val="0"/>
              <w:suppressLineNumbers w:val="0"/>
              <w:spacing w:before="0" w:beforeAutospacing="0" w:after="0" w:afterAutospacing="0"/>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682" w:type="pct"/>
            <w:tcBorders>
              <w:top w:val="single" w:color="auto" w:sz="4" w:space="0"/>
              <w:left w:val="single" w:color="auto" w:sz="4" w:space="0"/>
              <w:bottom w:val="single" w:color="auto" w:sz="4" w:space="0"/>
              <w:right w:val="single" w:color="auto" w:sz="4" w:space="0"/>
            </w:tcBorders>
            <w:vAlign w:val="center"/>
          </w:tcPr>
          <w:p w14:paraId="0C0B74B3">
            <w:pPr>
              <w:keepNext w:val="0"/>
              <w:keepLines w:val="0"/>
              <w:suppressLineNumbers w:val="0"/>
              <w:spacing w:before="0" w:beforeAutospacing="0" w:after="0" w:afterAutospacing="0"/>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1101" w:type="pct"/>
            <w:tcBorders>
              <w:top w:val="single" w:color="auto" w:sz="4" w:space="0"/>
              <w:left w:val="single" w:color="auto" w:sz="4" w:space="0"/>
              <w:bottom w:val="single" w:color="auto" w:sz="4" w:space="0"/>
              <w:right w:val="single" w:color="auto" w:sz="4" w:space="0"/>
            </w:tcBorders>
            <w:vAlign w:val="center"/>
          </w:tcPr>
          <w:p w14:paraId="60B5BB22">
            <w:pPr>
              <w:keepNext w:val="0"/>
              <w:keepLines w:val="0"/>
              <w:suppressLineNumbers w:val="0"/>
              <w:spacing w:before="0" w:beforeAutospacing="0" w:after="0" w:afterAutospacing="0"/>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r>
      <w:tr w14:paraId="180FD6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391" w:type="pct"/>
            <w:tcBorders>
              <w:top w:val="single" w:color="auto" w:sz="4" w:space="0"/>
              <w:left w:val="single" w:color="auto" w:sz="4" w:space="0"/>
              <w:bottom w:val="single" w:color="auto" w:sz="4" w:space="0"/>
              <w:right w:val="single" w:color="auto" w:sz="4" w:space="0"/>
            </w:tcBorders>
            <w:vAlign w:val="center"/>
          </w:tcPr>
          <w:p w14:paraId="5AA4BF82">
            <w:pPr>
              <w:keepNext w:val="0"/>
              <w:keepLines w:val="0"/>
              <w:suppressLineNumbers w:val="0"/>
              <w:spacing w:before="0" w:beforeAutospacing="0" w:after="0" w:afterAutospacing="0"/>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587" w:type="pct"/>
            <w:tcBorders>
              <w:top w:val="single" w:color="auto" w:sz="4" w:space="0"/>
              <w:left w:val="single" w:color="auto" w:sz="4" w:space="0"/>
              <w:bottom w:val="single" w:color="auto" w:sz="4" w:space="0"/>
              <w:right w:val="single" w:color="auto" w:sz="4" w:space="0"/>
            </w:tcBorders>
            <w:vAlign w:val="center"/>
          </w:tcPr>
          <w:p w14:paraId="12BB4322">
            <w:pPr>
              <w:keepNext w:val="0"/>
              <w:keepLines w:val="0"/>
              <w:suppressLineNumbers w:val="0"/>
              <w:spacing w:before="0" w:beforeAutospacing="0" w:after="0" w:afterAutospacing="0"/>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1541" w:type="pct"/>
            <w:tcBorders>
              <w:top w:val="single" w:color="auto" w:sz="4" w:space="0"/>
              <w:left w:val="single" w:color="auto" w:sz="4" w:space="0"/>
              <w:bottom w:val="single" w:color="auto" w:sz="4" w:space="0"/>
              <w:right w:val="single" w:color="auto" w:sz="4" w:space="0"/>
            </w:tcBorders>
            <w:vAlign w:val="center"/>
          </w:tcPr>
          <w:p w14:paraId="3D8ED473">
            <w:pPr>
              <w:keepNext w:val="0"/>
              <w:keepLines w:val="0"/>
              <w:suppressLineNumbers w:val="0"/>
              <w:spacing w:before="0" w:beforeAutospacing="0" w:after="0" w:afterAutospacing="0"/>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630" w:type="pct"/>
            <w:tcBorders>
              <w:top w:val="single" w:color="auto" w:sz="4" w:space="0"/>
              <w:left w:val="single" w:color="auto" w:sz="4" w:space="0"/>
              <w:bottom w:val="single" w:color="auto" w:sz="4" w:space="0"/>
              <w:right w:val="single" w:color="auto" w:sz="4" w:space="0"/>
            </w:tcBorders>
            <w:vAlign w:val="center"/>
          </w:tcPr>
          <w:p w14:paraId="387C809C">
            <w:pPr>
              <w:keepNext w:val="0"/>
              <w:keepLines w:val="0"/>
              <w:suppressLineNumbers w:val="0"/>
              <w:spacing w:before="0" w:beforeAutospacing="0" w:after="0" w:afterAutospacing="0"/>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682" w:type="pct"/>
            <w:tcBorders>
              <w:top w:val="single" w:color="auto" w:sz="4" w:space="0"/>
              <w:left w:val="single" w:color="auto" w:sz="4" w:space="0"/>
              <w:bottom w:val="single" w:color="auto" w:sz="4" w:space="0"/>
              <w:right w:val="single" w:color="auto" w:sz="4" w:space="0"/>
            </w:tcBorders>
            <w:vAlign w:val="center"/>
          </w:tcPr>
          <w:p w14:paraId="5C84D880">
            <w:pPr>
              <w:keepNext w:val="0"/>
              <w:keepLines w:val="0"/>
              <w:suppressLineNumbers w:val="0"/>
              <w:spacing w:before="0" w:beforeAutospacing="0" w:after="0" w:afterAutospacing="0"/>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1101" w:type="pct"/>
            <w:tcBorders>
              <w:top w:val="single" w:color="auto" w:sz="4" w:space="0"/>
              <w:left w:val="single" w:color="auto" w:sz="4" w:space="0"/>
              <w:bottom w:val="single" w:color="auto" w:sz="4" w:space="0"/>
              <w:right w:val="single" w:color="auto" w:sz="4" w:space="0"/>
            </w:tcBorders>
            <w:vAlign w:val="center"/>
          </w:tcPr>
          <w:p w14:paraId="3D1A887E">
            <w:pPr>
              <w:keepNext w:val="0"/>
              <w:keepLines w:val="0"/>
              <w:suppressLineNumbers w:val="0"/>
              <w:spacing w:before="0" w:beforeAutospacing="0" w:after="0" w:afterAutospacing="0"/>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r>
    </w:tbl>
    <w:p w14:paraId="167FB846">
      <w:pPr>
        <w:spacing w:line="360" w:lineRule="auto"/>
        <w:ind w:left="424" w:hanging="484" w:hangingChars="201"/>
        <w:outlineLvl w:val="9"/>
        <w:rPr>
          <w:rFonts w:hint="eastAsia" w:ascii="宋体" w:hAnsi="宋体" w:eastAsia="宋体" w:cs="宋体"/>
          <w:b/>
          <w:color w:val="FF0000"/>
          <w:szCs w:val="21"/>
          <w:lang w:val="zh-CN"/>
        </w:rPr>
      </w:pPr>
    </w:p>
    <w:p w14:paraId="0D1186EA">
      <w:pPr>
        <w:spacing w:line="360" w:lineRule="auto"/>
        <w:ind w:left="424" w:hanging="424" w:hangingChars="201"/>
        <w:outlineLvl w:val="9"/>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val="zh-CN"/>
        </w:rPr>
        <w:t>资格业绩证明材料提交要求：</w:t>
      </w:r>
    </w:p>
    <w:p w14:paraId="6130919D">
      <w:pPr>
        <w:tabs>
          <w:tab w:val="left" w:pos="567"/>
        </w:tabs>
        <w:autoSpaceDE w:val="0"/>
        <w:autoSpaceDN w:val="0"/>
        <w:adjustRightInd w:val="0"/>
        <w:spacing w:line="360" w:lineRule="auto"/>
        <w:jc w:val="left"/>
        <w:outlineLvl w:val="9"/>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val="zh-CN"/>
        </w:rPr>
        <w:t>（1）作为</w:t>
      </w:r>
      <w:r>
        <w:rPr>
          <w:rFonts w:hint="eastAsia" w:ascii="宋体" w:hAnsi="宋体" w:eastAsia="宋体" w:cs="宋体"/>
          <w:b/>
          <w:color w:val="auto"/>
          <w:sz w:val="21"/>
          <w:szCs w:val="21"/>
          <w:lang w:val="en-US" w:eastAsia="zh-CN"/>
        </w:rPr>
        <w:t>供应商</w:t>
      </w:r>
      <w:r>
        <w:rPr>
          <w:rFonts w:hint="eastAsia" w:ascii="宋体" w:hAnsi="宋体" w:eastAsia="宋体" w:cs="宋体"/>
          <w:b/>
          <w:color w:val="auto"/>
          <w:sz w:val="21"/>
          <w:szCs w:val="21"/>
          <w:lang w:val="zh-CN"/>
        </w:rPr>
        <w:t>资格条件证明的业绩放置在此处。</w:t>
      </w:r>
    </w:p>
    <w:p w14:paraId="21C0B843">
      <w:pPr>
        <w:tabs>
          <w:tab w:val="left" w:pos="567"/>
        </w:tabs>
        <w:autoSpaceDE w:val="0"/>
        <w:autoSpaceDN w:val="0"/>
        <w:adjustRightInd w:val="0"/>
        <w:spacing w:line="360" w:lineRule="auto"/>
        <w:jc w:val="left"/>
        <w:outlineLvl w:val="9"/>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val="zh-CN"/>
        </w:rPr>
        <w:t>（2）业绩必须附合同复印件。若合同无法反映合同签订时间、合同服务内容的，还需提供服务购买方出具的书面补充情况说明文件复印件作为辅助证明。</w:t>
      </w:r>
    </w:p>
    <w:p w14:paraId="0340F382">
      <w:pPr>
        <w:tabs>
          <w:tab w:val="left" w:pos="567"/>
        </w:tabs>
        <w:autoSpaceDE w:val="0"/>
        <w:autoSpaceDN w:val="0"/>
        <w:adjustRightInd w:val="0"/>
        <w:spacing w:line="360" w:lineRule="auto"/>
        <w:jc w:val="left"/>
        <w:outlineLvl w:val="9"/>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val="zh-CN"/>
        </w:rPr>
        <w:t>（3）合同业绩证明材料必须满足下列条件：①合同签订日期为20</w:t>
      </w:r>
      <w:r>
        <w:rPr>
          <w:rFonts w:hint="eastAsia" w:ascii="宋体" w:hAnsi="宋体" w:eastAsia="宋体" w:cs="宋体"/>
          <w:b/>
          <w:color w:val="auto"/>
          <w:sz w:val="21"/>
          <w:szCs w:val="21"/>
          <w:lang w:val="en-US" w:eastAsia="zh-CN"/>
        </w:rPr>
        <w:t>19</w:t>
      </w:r>
      <w:r>
        <w:rPr>
          <w:rFonts w:hint="eastAsia" w:ascii="宋体" w:hAnsi="宋体" w:eastAsia="宋体" w:cs="宋体"/>
          <w:b/>
          <w:color w:val="auto"/>
          <w:sz w:val="21"/>
          <w:szCs w:val="21"/>
          <w:lang w:val="zh-CN"/>
        </w:rPr>
        <w:t>年1月1日或以后；②合同服务内容为生活污水处理厂污泥脱水减量化处理服务。</w:t>
      </w:r>
    </w:p>
    <w:p w14:paraId="0F0FB8F3">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21"/>
          <w:szCs w:val="21"/>
        </w:rPr>
      </w:pPr>
      <w:r>
        <w:rPr>
          <w:rFonts w:hint="eastAsia" w:ascii="宋体" w:hAnsi="宋体" w:eastAsia="宋体" w:cs="宋体"/>
          <w:b/>
          <w:color w:val="auto"/>
          <w:sz w:val="21"/>
          <w:szCs w:val="21"/>
          <w:lang w:val="zh-CN"/>
        </w:rPr>
        <w:t>（</w:t>
      </w:r>
      <w:r>
        <w:rPr>
          <w:rFonts w:hint="eastAsia" w:ascii="宋体" w:hAnsi="宋体" w:eastAsia="宋体" w:cs="宋体"/>
          <w:b/>
          <w:color w:val="auto"/>
          <w:sz w:val="21"/>
          <w:szCs w:val="21"/>
        </w:rPr>
        <w:t>4</w:t>
      </w:r>
      <w:r>
        <w:rPr>
          <w:rFonts w:hint="eastAsia" w:ascii="宋体" w:hAnsi="宋体" w:eastAsia="宋体" w:cs="宋体"/>
          <w:b/>
          <w:color w:val="auto"/>
          <w:sz w:val="21"/>
          <w:szCs w:val="21"/>
          <w:lang w:val="zh-CN"/>
        </w:rPr>
        <w:t>）未按上述要求在此格式下提供证明材料的业绩，或在此格式下所附材料无法证明符合资格要求的业绩，按无效</w:t>
      </w:r>
      <w:r>
        <w:rPr>
          <w:rFonts w:hint="eastAsia" w:ascii="宋体" w:hAnsi="宋体" w:eastAsia="宋体" w:cs="宋体"/>
          <w:b/>
          <w:color w:val="auto"/>
          <w:sz w:val="21"/>
          <w:szCs w:val="21"/>
          <w:lang w:val="en-US" w:eastAsia="zh-CN"/>
        </w:rPr>
        <w:t>响应</w:t>
      </w:r>
      <w:r>
        <w:rPr>
          <w:rFonts w:hint="eastAsia" w:ascii="宋体" w:hAnsi="宋体" w:eastAsia="宋体" w:cs="宋体"/>
          <w:b/>
          <w:color w:val="auto"/>
          <w:sz w:val="21"/>
          <w:szCs w:val="21"/>
          <w:lang w:val="zh-CN"/>
        </w:rPr>
        <w:t>文件处理。</w:t>
      </w:r>
    </w:p>
    <w:p w14:paraId="14001E65">
      <w:pPr>
        <w:tabs>
          <w:tab w:val="left" w:pos="567"/>
        </w:tabs>
        <w:rPr>
          <w:rFonts w:hint="eastAsia" w:ascii="宋体" w:hAnsi="宋体" w:eastAsia="宋体" w:cs="宋体"/>
          <w:color w:val="auto"/>
          <w:highlight w:val="none"/>
        </w:rPr>
      </w:pPr>
    </w:p>
    <w:p w14:paraId="7CBC88C0">
      <w:pPr>
        <w:pStyle w:val="73"/>
        <w:rPr>
          <w:rFonts w:hint="eastAsia"/>
          <w:color w:val="auto"/>
          <w:highlight w:val="none"/>
        </w:rPr>
      </w:pPr>
    </w:p>
    <w:p w14:paraId="1F925354">
      <w:pPr>
        <w:keepNext w:val="0"/>
        <w:keepLines w:val="0"/>
        <w:pageBreakBefore/>
        <w:widowControl w:val="0"/>
        <w:tabs>
          <w:tab w:val="left" w:pos="567"/>
        </w:tabs>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b/>
          <w:bCs/>
          <w:sz w:val="32"/>
          <w:szCs w:val="32"/>
          <w:lang w:val="zh-CN"/>
        </w:rPr>
      </w:pPr>
      <w:bookmarkStart w:id="354" w:name="_Toc56076629"/>
      <w:bookmarkStart w:id="355" w:name="_Toc532576770"/>
      <w:bookmarkStart w:id="356" w:name="_Toc38982595"/>
      <w:bookmarkStart w:id="357" w:name="_Toc5098074"/>
      <w:bookmarkStart w:id="358" w:name="_Toc19008830"/>
      <w:bookmarkStart w:id="359" w:name="_Toc40288704"/>
      <w:bookmarkStart w:id="360" w:name="_Toc7508"/>
      <w:bookmarkStart w:id="361" w:name="_Toc21843"/>
      <w:bookmarkStart w:id="362" w:name="_Toc79146603"/>
      <w:bookmarkStart w:id="363" w:name="_Toc1123957"/>
      <w:bookmarkStart w:id="364" w:name="_Toc521918127"/>
      <w:bookmarkStart w:id="365" w:name="_Toc521576306"/>
      <w:bookmarkStart w:id="366" w:name="_Toc521918324"/>
      <w:bookmarkStart w:id="367" w:name="_Toc8121"/>
      <w:bookmarkStart w:id="368" w:name="_Toc522047386"/>
      <w:bookmarkStart w:id="369" w:name="_Toc54334012"/>
      <w:r>
        <w:rPr>
          <w:rFonts w:hint="eastAsia" w:ascii="宋体" w:hAnsi="宋体" w:eastAsia="宋体" w:cs="宋体"/>
          <w:b/>
          <w:kern w:val="0"/>
          <w:sz w:val="30"/>
          <w:szCs w:val="30"/>
        </w:rPr>
        <w:t>5.5 最近3年</w:t>
      </w:r>
      <w:r>
        <w:rPr>
          <w:rFonts w:hint="eastAsia" w:ascii="宋体" w:hAnsi="宋体" w:eastAsia="宋体" w:cs="宋体"/>
          <w:b/>
          <w:kern w:val="0"/>
          <w:sz w:val="30"/>
          <w:szCs w:val="30"/>
          <w:lang w:val="en-US" w:eastAsia="zh-CN"/>
        </w:rPr>
        <w:t>供应商</w:t>
      </w:r>
      <w:r>
        <w:rPr>
          <w:rFonts w:hint="eastAsia" w:ascii="宋体" w:hAnsi="宋体" w:eastAsia="宋体" w:cs="宋体"/>
          <w:b/>
          <w:kern w:val="0"/>
          <w:sz w:val="30"/>
          <w:szCs w:val="30"/>
        </w:rPr>
        <w:t>牵涉的其他（失信和违法）处罚说明格式</w:t>
      </w:r>
    </w:p>
    <w:p w14:paraId="02472E66">
      <w:pPr>
        <w:autoSpaceDE w:val="0"/>
        <w:autoSpaceDN w:val="0"/>
        <w:adjustRightInd w:val="0"/>
        <w:spacing w:line="360" w:lineRule="auto"/>
        <w:jc w:val="center"/>
        <w:outlineLvl w:val="9"/>
        <w:rPr>
          <w:rFonts w:hint="eastAsia" w:ascii="宋体" w:hAnsi="宋体" w:eastAsia="宋体" w:cs="宋体"/>
          <w:kern w:val="0"/>
          <w:sz w:val="24"/>
          <w:szCs w:val="24"/>
        </w:rPr>
      </w:pPr>
      <w:r>
        <w:rPr>
          <w:rFonts w:hint="eastAsia" w:ascii="宋体" w:hAnsi="宋体" w:eastAsia="宋体" w:cs="宋体"/>
          <w:b/>
          <w:kern w:val="0"/>
          <w:sz w:val="30"/>
          <w:szCs w:val="30"/>
        </w:rPr>
        <w:t>最近3年</w:t>
      </w:r>
      <w:r>
        <w:rPr>
          <w:rFonts w:hint="eastAsia" w:ascii="宋体" w:hAnsi="宋体" w:eastAsia="宋体" w:cs="宋体"/>
          <w:b/>
          <w:kern w:val="0"/>
          <w:sz w:val="30"/>
          <w:szCs w:val="30"/>
          <w:lang w:val="en-US" w:eastAsia="zh-CN"/>
        </w:rPr>
        <w:t>供应商</w:t>
      </w:r>
      <w:r>
        <w:rPr>
          <w:rFonts w:hint="eastAsia" w:ascii="宋体" w:hAnsi="宋体" w:eastAsia="宋体" w:cs="宋体"/>
          <w:b/>
          <w:kern w:val="0"/>
          <w:sz w:val="30"/>
          <w:szCs w:val="30"/>
        </w:rPr>
        <w:t>牵涉的其他（失信和违法）</w:t>
      </w:r>
      <w:r>
        <w:rPr>
          <w:rFonts w:hint="eastAsia" w:ascii="宋体" w:hAnsi="宋体" w:eastAsia="宋体" w:cs="宋体"/>
          <w:b/>
          <w:bCs/>
          <w:sz w:val="32"/>
          <w:szCs w:val="32"/>
          <w:lang w:val="zh-CN"/>
        </w:rPr>
        <w:t>处罚说明</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15A59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1B3653DE">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 xml:space="preserve">         事项名称</w:t>
            </w:r>
          </w:p>
        </w:tc>
        <w:tc>
          <w:tcPr>
            <w:tcW w:w="1417" w:type="dxa"/>
            <w:vAlign w:val="center"/>
          </w:tcPr>
          <w:p w14:paraId="09511CB4">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认定时间</w:t>
            </w:r>
          </w:p>
        </w:tc>
        <w:tc>
          <w:tcPr>
            <w:tcW w:w="2268" w:type="dxa"/>
          </w:tcPr>
          <w:p w14:paraId="2386A577">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处罚期届满异常名录信息失效时间</w:t>
            </w:r>
          </w:p>
        </w:tc>
        <w:tc>
          <w:tcPr>
            <w:tcW w:w="1276" w:type="dxa"/>
            <w:vAlign w:val="center"/>
          </w:tcPr>
          <w:p w14:paraId="19E4568B">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备注</w:t>
            </w:r>
          </w:p>
        </w:tc>
      </w:tr>
      <w:tr w14:paraId="5015A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0E0B7D2F">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是否被认定为失信被执行人</w:t>
            </w:r>
          </w:p>
        </w:tc>
        <w:tc>
          <w:tcPr>
            <w:tcW w:w="1417" w:type="dxa"/>
            <w:vAlign w:val="center"/>
          </w:tcPr>
          <w:p w14:paraId="1F5DD254">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kern w:val="0"/>
                <w:sz w:val="21"/>
                <w:szCs w:val="21"/>
              </w:rPr>
            </w:pPr>
          </w:p>
        </w:tc>
        <w:tc>
          <w:tcPr>
            <w:tcW w:w="2268" w:type="dxa"/>
            <w:vAlign w:val="center"/>
          </w:tcPr>
          <w:p w14:paraId="685C8127">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kern w:val="0"/>
                <w:sz w:val="21"/>
                <w:szCs w:val="21"/>
              </w:rPr>
            </w:pPr>
          </w:p>
        </w:tc>
        <w:tc>
          <w:tcPr>
            <w:tcW w:w="1276" w:type="dxa"/>
            <w:vAlign w:val="center"/>
          </w:tcPr>
          <w:p w14:paraId="4827C5D2">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kern w:val="0"/>
                <w:sz w:val="21"/>
                <w:szCs w:val="21"/>
              </w:rPr>
            </w:pPr>
          </w:p>
        </w:tc>
      </w:tr>
      <w:tr w14:paraId="0174B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2A6C8ED5">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是否被认定为重大税收违法失信主体</w:t>
            </w:r>
          </w:p>
        </w:tc>
        <w:tc>
          <w:tcPr>
            <w:tcW w:w="1417" w:type="dxa"/>
            <w:vAlign w:val="center"/>
          </w:tcPr>
          <w:p w14:paraId="67510371">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kern w:val="0"/>
                <w:sz w:val="21"/>
                <w:szCs w:val="21"/>
              </w:rPr>
            </w:pPr>
          </w:p>
        </w:tc>
        <w:tc>
          <w:tcPr>
            <w:tcW w:w="2268" w:type="dxa"/>
            <w:vAlign w:val="center"/>
          </w:tcPr>
          <w:p w14:paraId="43BD3217">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kern w:val="0"/>
                <w:sz w:val="21"/>
                <w:szCs w:val="21"/>
              </w:rPr>
            </w:pPr>
          </w:p>
        </w:tc>
        <w:tc>
          <w:tcPr>
            <w:tcW w:w="1276" w:type="dxa"/>
            <w:vAlign w:val="center"/>
          </w:tcPr>
          <w:p w14:paraId="2CD3F58A">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kern w:val="0"/>
                <w:sz w:val="21"/>
                <w:szCs w:val="21"/>
              </w:rPr>
            </w:pPr>
          </w:p>
        </w:tc>
      </w:tr>
      <w:tr w14:paraId="7CC69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3BD80377">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是否被认定为政府采购严重违法失信行为记录名单</w:t>
            </w:r>
          </w:p>
        </w:tc>
        <w:tc>
          <w:tcPr>
            <w:tcW w:w="1417" w:type="dxa"/>
            <w:vAlign w:val="center"/>
          </w:tcPr>
          <w:p w14:paraId="32803D09">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kern w:val="0"/>
                <w:sz w:val="21"/>
                <w:szCs w:val="21"/>
              </w:rPr>
            </w:pPr>
          </w:p>
        </w:tc>
        <w:tc>
          <w:tcPr>
            <w:tcW w:w="2268" w:type="dxa"/>
            <w:vAlign w:val="center"/>
          </w:tcPr>
          <w:p w14:paraId="0DA804AE">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kern w:val="0"/>
                <w:sz w:val="21"/>
                <w:szCs w:val="21"/>
              </w:rPr>
            </w:pPr>
          </w:p>
        </w:tc>
        <w:tc>
          <w:tcPr>
            <w:tcW w:w="1276" w:type="dxa"/>
            <w:vAlign w:val="center"/>
          </w:tcPr>
          <w:p w14:paraId="6D0A3250">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kern w:val="0"/>
                <w:sz w:val="21"/>
                <w:szCs w:val="21"/>
              </w:rPr>
            </w:pPr>
          </w:p>
        </w:tc>
      </w:tr>
    </w:tbl>
    <w:p w14:paraId="43E13E13">
      <w:pPr>
        <w:autoSpaceDE w:val="0"/>
        <w:autoSpaceDN w:val="0"/>
        <w:adjustRightInd w:val="0"/>
        <w:spacing w:line="360" w:lineRule="auto"/>
        <w:jc w:val="left"/>
        <w:outlineLvl w:val="9"/>
        <w:rPr>
          <w:rFonts w:hint="eastAsia" w:ascii="宋体" w:hAnsi="宋体" w:eastAsia="宋体" w:cs="宋体"/>
          <w:kern w:val="0"/>
          <w:szCs w:val="21"/>
        </w:rPr>
      </w:pPr>
    </w:p>
    <w:p w14:paraId="6AEEB63A">
      <w:pPr>
        <w:autoSpaceDE w:val="0"/>
        <w:autoSpaceDN w:val="0"/>
        <w:adjustRightInd w:val="0"/>
        <w:spacing w:line="360" w:lineRule="auto"/>
        <w:jc w:val="left"/>
        <w:outlineLvl w:val="9"/>
        <w:rPr>
          <w:rFonts w:hint="eastAsia" w:ascii="宋体" w:hAnsi="宋体" w:eastAsia="宋体" w:cs="宋体"/>
          <w:sz w:val="21"/>
          <w:szCs w:val="21"/>
          <w:lang w:val="zh-CN"/>
        </w:rPr>
      </w:pPr>
      <w:r>
        <w:rPr>
          <w:rFonts w:hint="eastAsia" w:ascii="宋体" w:hAnsi="宋体" w:eastAsia="宋体" w:cs="宋体"/>
          <w:kern w:val="0"/>
          <w:sz w:val="21"/>
          <w:szCs w:val="21"/>
        </w:rPr>
        <w:t>备注：根据</w:t>
      </w:r>
      <w:r>
        <w:rPr>
          <w:rFonts w:hint="eastAsia" w:ascii="宋体" w:hAnsi="宋体" w:eastAsia="宋体" w:cs="宋体"/>
          <w:kern w:val="0"/>
          <w:sz w:val="21"/>
          <w:szCs w:val="21"/>
          <w:lang w:val="en-US" w:eastAsia="zh-CN"/>
        </w:rPr>
        <w:t>供应商</w:t>
      </w:r>
      <w:r>
        <w:rPr>
          <w:rFonts w:hint="eastAsia" w:ascii="宋体" w:hAnsi="宋体" w:eastAsia="宋体" w:cs="宋体"/>
          <w:kern w:val="0"/>
          <w:sz w:val="21"/>
          <w:szCs w:val="21"/>
        </w:rPr>
        <w:t>及其不具有独立法人资格的分支机构的实际情况自行编写，无相关事项的，在 “认定时间”列填“无”；若受到相关处罚的应附处罚相关材料复印件；若出现相关处罚的处罚期满,但处罚公示没有及时更新的情况,</w:t>
      </w:r>
      <w:r>
        <w:rPr>
          <w:rFonts w:hint="eastAsia" w:ascii="宋体" w:hAnsi="宋体" w:eastAsia="宋体" w:cs="宋体"/>
          <w:kern w:val="0"/>
          <w:sz w:val="21"/>
          <w:szCs w:val="21"/>
          <w:lang w:val="en-US" w:eastAsia="zh-CN"/>
        </w:rPr>
        <w:t>供应商</w:t>
      </w:r>
      <w:r>
        <w:rPr>
          <w:rFonts w:hint="eastAsia" w:ascii="宋体" w:hAnsi="宋体" w:eastAsia="宋体" w:cs="宋体"/>
          <w:kern w:val="0"/>
          <w:sz w:val="21"/>
          <w:szCs w:val="21"/>
        </w:rPr>
        <w:t>须提供相关材料(复印件)佐证，需原件备查</w:t>
      </w:r>
      <w:r>
        <w:rPr>
          <w:rFonts w:hint="eastAsia" w:ascii="宋体" w:hAnsi="宋体" w:eastAsia="宋体" w:cs="宋体"/>
          <w:sz w:val="21"/>
          <w:szCs w:val="21"/>
          <w:lang w:val="zh-CN"/>
        </w:rPr>
        <w:t>。</w:t>
      </w:r>
    </w:p>
    <w:p w14:paraId="74B24248">
      <w:pPr>
        <w:autoSpaceDE w:val="0"/>
        <w:autoSpaceDN w:val="0"/>
        <w:adjustRightInd w:val="0"/>
        <w:ind w:right="-26" w:rightChars="-11"/>
        <w:jc w:val="left"/>
        <w:outlineLvl w:val="9"/>
        <w:rPr>
          <w:rFonts w:hint="eastAsia" w:ascii="宋体" w:hAnsi="宋体" w:eastAsia="宋体" w:cs="宋体"/>
          <w:b/>
          <w:bCs/>
          <w:kern w:val="0"/>
          <w:sz w:val="21"/>
          <w:szCs w:val="21"/>
          <w:lang w:val="zh-CN"/>
        </w:rPr>
      </w:pPr>
    </w:p>
    <w:p w14:paraId="55FB7424">
      <w:pPr>
        <w:autoSpaceDE w:val="0"/>
        <w:autoSpaceDN w:val="0"/>
        <w:adjustRightInd w:val="0"/>
        <w:spacing w:line="360" w:lineRule="auto"/>
        <w:jc w:val="center"/>
        <w:outlineLvl w:val="9"/>
        <w:rPr>
          <w:rFonts w:hint="eastAsia" w:ascii="宋体" w:hAnsi="宋体" w:eastAsia="宋体" w:cs="宋体"/>
          <w:kern w:val="0"/>
          <w:sz w:val="21"/>
          <w:szCs w:val="21"/>
        </w:rPr>
      </w:pPr>
    </w:p>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14:paraId="0BB9D42F">
      <w:pPr>
        <w:spacing w:line="360" w:lineRule="auto"/>
        <w:rPr>
          <w:rFonts w:hint="eastAsia" w:ascii="宋体" w:hAnsi="宋体" w:eastAsia="宋体" w:cs="宋体"/>
          <w:color w:val="auto"/>
          <w:sz w:val="21"/>
          <w:szCs w:val="21"/>
          <w:highlight w:val="none"/>
          <w:shd w:val="clear" w:color="auto" w:fill="FFFFFF"/>
        </w:rPr>
      </w:pPr>
    </w:p>
    <w:p w14:paraId="4433F0D9">
      <w:pPr>
        <w:spacing w:line="360" w:lineRule="auto"/>
        <w:jc w:val="center"/>
        <w:rPr>
          <w:rFonts w:hint="eastAsia" w:ascii="宋体" w:hAnsi="宋体" w:eastAsia="宋体" w:cs="宋体"/>
          <w:color w:val="auto"/>
          <w:highlight w:val="none"/>
        </w:rPr>
      </w:pPr>
    </w:p>
    <w:p w14:paraId="49F18BC8">
      <w:pPr>
        <w:autoSpaceDE/>
        <w:autoSpaceDN/>
        <w:adjustRightInd/>
        <w:spacing w:line="360" w:lineRule="auto"/>
        <w:ind w:right="420" w:firstLine="4410" w:firstLineChars="210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供应商：</w:t>
      </w:r>
      <w:r>
        <w:rPr>
          <w:rFonts w:hint="eastAsia" w:ascii="宋体" w:hAnsi="宋体" w:eastAsia="宋体" w:cs="宋体"/>
          <w:color w:val="auto"/>
          <w:sz w:val="21"/>
          <w:szCs w:val="21"/>
          <w:highlight w:val="none"/>
          <w:lang w:val="zh-CN"/>
        </w:rPr>
        <w:t>（加盖供应商法人公章）</w:t>
      </w:r>
    </w:p>
    <w:p w14:paraId="53423E98">
      <w:pPr>
        <w:keepNext w:val="0"/>
        <w:keepLines w:val="0"/>
        <w:pageBreakBefore w:val="0"/>
        <w:widowControl w:val="0"/>
        <w:kinsoku/>
        <w:wordWrap/>
        <w:overflowPunct/>
        <w:topLinePunct w:val="0"/>
        <w:autoSpaceDE w:val="0"/>
        <w:autoSpaceDN w:val="0"/>
        <w:bidi w:val="0"/>
        <w:adjustRightInd w:val="0"/>
        <w:snapToGrid/>
        <w:spacing w:line="360" w:lineRule="auto"/>
        <w:ind w:right="896" w:firstLine="2835" w:firstLineChars="135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 xml:space="preserve">               日  期：   年  月  日</w:t>
      </w:r>
    </w:p>
    <w:p w14:paraId="3E8699D6">
      <w:pPr>
        <w:spacing w:line="360" w:lineRule="auto"/>
        <w:rPr>
          <w:rFonts w:hint="eastAsia" w:ascii="宋体" w:hAnsi="宋体" w:eastAsia="宋体" w:cs="宋体"/>
          <w:color w:val="auto"/>
          <w:kern w:val="2"/>
          <w:sz w:val="21"/>
          <w:szCs w:val="21"/>
          <w:highlight w:val="none"/>
          <w:lang w:val="zh-CN"/>
        </w:rPr>
      </w:pPr>
    </w:p>
    <w:p w14:paraId="06C5D99A">
      <w:pPr>
        <w:spacing w:line="360" w:lineRule="auto"/>
        <w:rPr>
          <w:rFonts w:hint="eastAsia" w:ascii="宋体" w:hAnsi="宋体" w:eastAsia="宋体" w:cs="宋体"/>
          <w:color w:val="auto"/>
          <w:kern w:val="2"/>
          <w:sz w:val="21"/>
          <w:szCs w:val="21"/>
          <w:highlight w:val="none"/>
          <w:lang w:val="zh-CN"/>
        </w:rPr>
        <w:sectPr>
          <w:pgSz w:w="11907" w:h="16840"/>
          <w:pgMar w:top="1701" w:right="1418" w:bottom="851" w:left="1418" w:header="720" w:footer="720" w:gutter="0"/>
          <w:pgBorders w:offsetFrom="page">
            <w:top w:val="none" w:sz="0" w:space="0"/>
            <w:left w:val="none" w:sz="0" w:space="0"/>
            <w:bottom w:val="none" w:sz="0" w:space="0"/>
            <w:right w:val="none" w:sz="0" w:space="0"/>
          </w:pgBorders>
          <w:pgNumType w:fmt="decimal"/>
          <w:cols w:space="720" w:num="1"/>
          <w:titlePg/>
          <w:docGrid w:linePitch="326" w:charSpace="0"/>
        </w:sectPr>
      </w:pPr>
    </w:p>
    <w:bookmarkEnd w:id="349"/>
    <w:bookmarkEnd w:id="350"/>
    <w:p w14:paraId="7EBBFD6F">
      <w:pPr>
        <w:outlineLvl w:val="9"/>
        <w:rPr>
          <w:rFonts w:hint="eastAsia" w:ascii="宋体" w:hAnsi="宋体" w:eastAsia="宋体" w:cs="宋体"/>
          <w:b/>
          <w:color w:val="auto"/>
          <w:sz w:val="32"/>
          <w:szCs w:val="32"/>
          <w:highlight w:val="none"/>
        </w:rPr>
      </w:pPr>
      <w:bookmarkStart w:id="370" w:name="_Toc193"/>
      <w:bookmarkStart w:id="371" w:name="_Toc54342745"/>
      <w:bookmarkStart w:id="372" w:name="_Toc1835"/>
      <w:bookmarkStart w:id="373" w:name="_Toc79146605"/>
      <w:bookmarkStart w:id="374" w:name="_Toc23120"/>
      <w:bookmarkStart w:id="375" w:name="_Toc19008832"/>
      <w:bookmarkStart w:id="376" w:name="_Toc5098076"/>
      <w:bookmarkStart w:id="377" w:name="_Toc495907136"/>
      <w:bookmarkStart w:id="378" w:name="_Toc490169466"/>
      <w:bookmarkStart w:id="379" w:name="_Toc56076633"/>
      <w:bookmarkStart w:id="380" w:name="_Toc54334014"/>
      <w:bookmarkStart w:id="381" w:name="_Toc1123959"/>
      <w:bookmarkStart w:id="382" w:name="_Toc497746566"/>
      <w:bookmarkStart w:id="383" w:name="_Toc521918129"/>
      <w:r>
        <w:rPr>
          <w:rFonts w:hint="eastAsia" w:ascii="宋体" w:hAnsi="宋体" w:eastAsia="宋体" w:cs="宋体"/>
          <w:b/>
          <w:color w:val="auto"/>
          <w:kern w:val="2"/>
          <w:sz w:val="32"/>
          <w:szCs w:val="32"/>
          <w:highlight w:val="none"/>
          <w:lang w:val="en-US" w:eastAsia="zh-CN"/>
        </w:rPr>
        <w:t>六</w:t>
      </w:r>
      <w:r>
        <w:rPr>
          <w:rFonts w:hint="eastAsia" w:ascii="宋体" w:hAnsi="宋体" w:eastAsia="宋体" w:cs="宋体"/>
          <w:b/>
          <w:color w:val="auto"/>
          <w:sz w:val="32"/>
          <w:szCs w:val="32"/>
          <w:highlight w:val="none"/>
        </w:rPr>
        <w:t>、供应商基本情况一览表</w:t>
      </w:r>
      <w:bookmarkEnd w:id="370"/>
      <w:bookmarkEnd w:id="371"/>
      <w:bookmarkEnd w:id="372"/>
      <w:bookmarkEnd w:id="373"/>
      <w:bookmarkEnd w:id="374"/>
    </w:p>
    <w:p w14:paraId="3AB62C10">
      <w:pPr>
        <w:keepNext w:val="0"/>
        <w:keepLines w:val="0"/>
        <w:pageBreakBefore w:val="0"/>
        <w:widowControl w:val="0"/>
        <w:kinsoku/>
        <w:wordWrap/>
        <w:overflowPunct/>
        <w:topLinePunct w:val="0"/>
        <w:autoSpaceDE w:val="0"/>
        <w:autoSpaceDN w:val="0"/>
        <w:bidi w:val="0"/>
        <w:adjustRightInd w:val="0"/>
        <w:snapToGrid/>
        <w:spacing w:before="327" w:beforeLines="100" w:line="360" w:lineRule="auto"/>
        <w:jc w:val="center"/>
        <w:textAlignment w:val="auto"/>
        <w:rPr>
          <w:rFonts w:hint="eastAsia" w:ascii="宋体" w:hAnsi="宋体" w:eastAsia="宋体" w:cs="宋体"/>
          <w:b/>
          <w:bCs/>
          <w:color w:val="auto"/>
          <w:kern w:val="2"/>
          <w:sz w:val="30"/>
          <w:szCs w:val="30"/>
          <w:highlight w:val="none"/>
        </w:rPr>
      </w:pPr>
      <w:r>
        <w:rPr>
          <w:rFonts w:hint="eastAsia" w:ascii="宋体" w:hAnsi="宋体" w:eastAsia="宋体" w:cs="宋体"/>
          <w:b/>
          <w:bCs/>
          <w:color w:val="auto"/>
          <w:kern w:val="2"/>
          <w:sz w:val="30"/>
          <w:szCs w:val="30"/>
          <w:highlight w:val="none"/>
          <w:lang w:val="zh-CN"/>
        </w:rPr>
        <w:t>供应商基本情况一览表</w:t>
      </w:r>
    </w:p>
    <w:p w14:paraId="61B32816">
      <w:pPr>
        <w:snapToGrid w:val="0"/>
        <w:spacing w:line="360" w:lineRule="auto"/>
        <w:ind w:firstLine="315" w:firstLineChars="15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1、名称及概况：</w:t>
      </w:r>
    </w:p>
    <w:p w14:paraId="6CD7C5E3">
      <w:pPr>
        <w:autoSpaceDE/>
        <w:autoSpaceDN/>
        <w:snapToGrid w:val="0"/>
        <w:spacing w:line="360" w:lineRule="auto"/>
        <w:ind w:firstLine="210" w:firstLineChars="100"/>
        <w:rPr>
          <w:rFonts w:hint="default" w:ascii="宋体" w:hAnsi="宋体" w:eastAsia="宋体" w:cs="宋体"/>
          <w:color w:val="auto"/>
          <w:kern w:val="2"/>
          <w:sz w:val="21"/>
          <w:highlight w:val="none"/>
          <w:u w:val="single"/>
          <w:lang w:val="en-US" w:eastAsia="zh-CN"/>
        </w:rPr>
      </w:pPr>
      <w:r>
        <w:rPr>
          <w:rFonts w:hint="eastAsia" w:ascii="宋体" w:hAnsi="宋体" w:eastAsia="宋体" w:cs="宋体"/>
          <w:color w:val="auto"/>
          <w:kern w:val="2"/>
          <w:sz w:val="21"/>
          <w:highlight w:val="none"/>
          <w:lang w:val="zh-CN"/>
        </w:rPr>
        <w:t>（1）供应商名称：</w:t>
      </w:r>
      <w:r>
        <w:rPr>
          <w:rFonts w:hint="eastAsia" w:ascii="宋体" w:hAnsi="宋体" w:cs="宋体"/>
          <w:color w:val="auto"/>
          <w:kern w:val="2"/>
          <w:sz w:val="21"/>
          <w:highlight w:val="none"/>
          <w:u w:val="single"/>
          <w:lang w:val="en-US" w:eastAsia="zh-CN"/>
        </w:rPr>
        <w:t xml:space="preserve">                                       </w:t>
      </w:r>
    </w:p>
    <w:p w14:paraId="03662328">
      <w:pPr>
        <w:autoSpaceDE/>
        <w:autoSpaceDN/>
        <w:snapToGrid w:val="0"/>
        <w:spacing w:line="360" w:lineRule="auto"/>
        <w:ind w:firstLine="210" w:firstLineChars="100"/>
        <w:rPr>
          <w:rFonts w:hint="default" w:ascii="宋体" w:hAnsi="宋体" w:eastAsia="宋体" w:cs="宋体"/>
          <w:color w:val="auto"/>
          <w:kern w:val="2"/>
          <w:sz w:val="21"/>
          <w:highlight w:val="none"/>
          <w:u w:val="single"/>
          <w:lang w:val="en-US" w:eastAsia="zh-CN"/>
        </w:rPr>
      </w:pPr>
      <w:r>
        <w:rPr>
          <w:rFonts w:hint="eastAsia" w:ascii="宋体" w:hAnsi="宋体" w:eastAsia="宋体" w:cs="宋体"/>
          <w:color w:val="auto"/>
          <w:kern w:val="2"/>
          <w:sz w:val="21"/>
          <w:highlight w:val="none"/>
          <w:lang w:val="zh-CN"/>
        </w:rPr>
        <w:t>（2）总部地址：</w:t>
      </w:r>
      <w:r>
        <w:rPr>
          <w:rFonts w:hint="eastAsia" w:ascii="宋体" w:hAnsi="宋体" w:cs="宋体"/>
          <w:color w:val="auto"/>
          <w:kern w:val="2"/>
          <w:sz w:val="21"/>
          <w:highlight w:val="none"/>
          <w:u w:val="single"/>
          <w:lang w:val="en-US" w:eastAsia="zh-CN"/>
        </w:rPr>
        <w:t xml:space="preserve">                                         </w:t>
      </w:r>
    </w:p>
    <w:p w14:paraId="7C78F614">
      <w:pPr>
        <w:spacing w:line="360" w:lineRule="auto"/>
        <w:ind w:firstLine="735" w:firstLineChars="350"/>
        <w:jc w:val="both"/>
        <w:rPr>
          <w:rFonts w:hint="default" w:ascii="宋体" w:hAnsi="宋体" w:eastAsia="宋体" w:cs="宋体"/>
          <w:color w:val="auto"/>
          <w:kern w:val="2"/>
          <w:sz w:val="21"/>
          <w:highlight w:val="none"/>
          <w:u w:val="single"/>
          <w:lang w:val="en-US" w:eastAsia="zh-CN"/>
        </w:rPr>
      </w:pPr>
      <w:r>
        <w:rPr>
          <w:rFonts w:hint="eastAsia" w:ascii="宋体" w:hAnsi="宋体" w:eastAsia="宋体" w:cs="宋体"/>
          <w:color w:val="auto"/>
          <w:kern w:val="2"/>
          <w:sz w:val="21"/>
          <w:highlight w:val="none"/>
          <w:lang w:val="zh-CN"/>
        </w:rPr>
        <w:t>邮政编码：</w:t>
      </w:r>
      <w:r>
        <w:rPr>
          <w:rFonts w:hint="eastAsia" w:ascii="宋体" w:hAnsi="宋体" w:cs="宋体"/>
          <w:color w:val="auto"/>
          <w:kern w:val="2"/>
          <w:sz w:val="21"/>
          <w:highlight w:val="none"/>
          <w:u w:val="single"/>
          <w:lang w:val="en-US" w:eastAsia="zh-CN"/>
        </w:rPr>
        <w:t xml:space="preserve">                                         </w:t>
      </w:r>
    </w:p>
    <w:p w14:paraId="48CB8C14">
      <w:pPr>
        <w:spacing w:line="360" w:lineRule="auto"/>
        <w:ind w:firstLine="735" w:firstLineChars="3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电话号码：_________________________________________</w:t>
      </w:r>
    </w:p>
    <w:p w14:paraId="1EE0D395">
      <w:pPr>
        <w:spacing w:line="360" w:lineRule="auto"/>
        <w:ind w:firstLine="735" w:firstLineChars="3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传真号码：_________________________________________</w:t>
      </w:r>
    </w:p>
    <w:p w14:paraId="0EB45588">
      <w:pPr>
        <w:autoSpaceDE/>
        <w:autoSpaceDN/>
        <w:snapToGrid w:val="0"/>
        <w:spacing w:line="360" w:lineRule="auto"/>
        <w:ind w:firstLine="210" w:firstLineChars="100"/>
        <w:rPr>
          <w:rFonts w:hint="default" w:ascii="宋体" w:hAnsi="宋体" w:eastAsia="宋体" w:cs="宋体"/>
          <w:color w:val="auto"/>
          <w:kern w:val="2"/>
          <w:sz w:val="21"/>
          <w:highlight w:val="none"/>
          <w:u w:val="single"/>
          <w:lang w:val="en-US" w:eastAsia="zh-CN"/>
        </w:rPr>
      </w:pPr>
      <w:r>
        <w:rPr>
          <w:rFonts w:hint="eastAsia" w:ascii="宋体" w:hAnsi="宋体" w:eastAsia="宋体" w:cs="宋体"/>
          <w:color w:val="auto"/>
          <w:kern w:val="2"/>
          <w:sz w:val="21"/>
          <w:highlight w:val="none"/>
          <w:lang w:val="zh-CN"/>
        </w:rPr>
        <w:t>（3）成立</w:t>
      </w:r>
      <w:r>
        <w:rPr>
          <w:rFonts w:hint="eastAsia" w:ascii="宋体" w:hAnsi="宋体" w:cs="宋体"/>
          <w:color w:val="auto"/>
          <w:kern w:val="2"/>
          <w:sz w:val="21"/>
          <w:highlight w:val="none"/>
          <w:lang w:val="en-US" w:eastAsia="zh-CN"/>
        </w:rPr>
        <w:t>和/</w:t>
      </w:r>
      <w:r>
        <w:rPr>
          <w:rFonts w:hint="eastAsia" w:ascii="宋体" w:hAnsi="宋体" w:eastAsia="宋体" w:cs="宋体"/>
          <w:color w:val="auto"/>
          <w:kern w:val="2"/>
          <w:sz w:val="21"/>
          <w:highlight w:val="none"/>
          <w:lang w:val="zh-CN"/>
        </w:rPr>
        <w:t>或注册日期：</w:t>
      </w:r>
      <w:r>
        <w:rPr>
          <w:rFonts w:hint="eastAsia" w:ascii="宋体" w:hAnsi="宋体" w:cs="宋体"/>
          <w:color w:val="auto"/>
          <w:kern w:val="2"/>
          <w:sz w:val="21"/>
          <w:highlight w:val="none"/>
          <w:u w:val="single"/>
          <w:lang w:val="en-US" w:eastAsia="zh-CN"/>
        </w:rPr>
        <w:t xml:space="preserve">                                </w:t>
      </w:r>
    </w:p>
    <w:p w14:paraId="5919CC8A">
      <w:pPr>
        <w:autoSpaceDE/>
        <w:autoSpaceDN/>
        <w:snapToGrid w:val="0"/>
        <w:spacing w:line="360" w:lineRule="auto"/>
        <w:ind w:firstLine="210" w:firstLineChars="100"/>
        <w:rPr>
          <w:rFonts w:hint="default" w:ascii="宋体" w:hAnsi="宋体" w:eastAsia="宋体" w:cs="宋体"/>
          <w:color w:val="auto"/>
          <w:kern w:val="2"/>
          <w:sz w:val="21"/>
          <w:highlight w:val="none"/>
          <w:u w:val="single"/>
          <w:lang w:val="en-US" w:eastAsia="zh-CN"/>
        </w:rPr>
      </w:pPr>
      <w:r>
        <w:rPr>
          <w:rFonts w:hint="eastAsia" w:ascii="宋体" w:hAnsi="宋体" w:eastAsia="宋体" w:cs="宋体"/>
          <w:color w:val="auto"/>
          <w:kern w:val="2"/>
          <w:sz w:val="21"/>
          <w:highlight w:val="none"/>
          <w:lang w:val="zh-CN"/>
        </w:rPr>
        <w:t>（4）法定代表人：</w:t>
      </w:r>
      <w:r>
        <w:rPr>
          <w:rFonts w:hint="eastAsia" w:ascii="宋体" w:hAnsi="宋体" w:cs="宋体"/>
          <w:color w:val="auto"/>
          <w:kern w:val="2"/>
          <w:sz w:val="21"/>
          <w:highlight w:val="none"/>
          <w:u w:val="single"/>
          <w:lang w:val="en-US" w:eastAsia="zh-CN"/>
        </w:rPr>
        <w:t xml:space="preserve">                                       </w:t>
      </w:r>
    </w:p>
    <w:p w14:paraId="5CC3D660">
      <w:pPr>
        <w:autoSpaceDE/>
        <w:autoSpaceDN/>
        <w:snapToGrid w:val="0"/>
        <w:spacing w:line="360" w:lineRule="auto"/>
        <w:ind w:firstLine="210" w:firstLineChars="10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 xml:space="preserve">（5）开户银行：_________________________________________ </w:t>
      </w:r>
    </w:p>
    <w:p w14:paraId="74E265DA">
      <w:pPr>
        <w:autoSpaceDE/>
        <w:autoSpaceDN/>
        <w:snapToGrid w:val="0"/>
        <w:spacing w:line="360" w:lineRule="auto"/>
        <w:ind w:firstLine="210" w:firstLineChars="10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 xml:space="preserve">（6）开户账号：_________________________________________ </w:t>
      </w:r>
    </w:p>
    <w:p w14:paraId="2D782E25">
      <w:pPr>
        <w:autoSpaceDE/>
        <w:autoSpaceDN/>
        <w:snapToGrid w:val="0"/>
        <w:spacing w:line="360" w:lineRule="auto"/>
        <w:ind w:firstLine="210" w:firstLineChars="10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（7）注册资</w:t>
      </w:r>
      <w:r>
        <w:rPr>
          <w:rFonts w:hint="eastAsia" w:ascii="宋体" w:hAnsi="宋体" w:cs="宋体"/>
          <w:color w:val="auto"/>
          <w:kern w:val="2"/>
          <w:sz w:val="21"/>
          <w:highlight w:val="none"/>
          <w:lang w:val="en-US" w:eastAsia="zh-CN"/>
        </w:rPr>
        <w:t>金</w:t>
      </w:r>
      <w:r>
        <w:rPr>
          <w:rFonts w:hint="eastAsia" w:ascii="宋体" w:hAnsi="宋体" w:eastAsia="宋体" w:cs="宋体"/>
          <w:color w:val="auto"/>
          <w:kern w:val="2"/>
          <w:sz w:val="21"/>
          <w:highlight w:val="none"/>
          <w:lang w:val="zh-CN"/>
        </w:rPr>
        <w:t xml:space="preserve">：_________________________________________ </w:t>
      </w:r>
    </w:p>
    <w:p w14:paraId="2F526FAB">
      <w:pPr>
        <w:autoSpaceDE/>
        <w:autoSpaceDN/>
        <w:snapToGrid w:val="0"/>
        <w:spacing w:line="360" w:lineRule="auto"/>
        <w:ind w:firstLine="210" w:firstLineChars="100"/>
        <w:rPr>
          <w:rFonts w:hint="eastAsia" w:ascii="宋体" w:hAnsi="宋体" w:eastAsia="宋体" w:cs="宋体"/>
          <w:color w:val="auto"/>
          <w:kern w:val="2"/>
          <w:sz w:val="21"/>
          <w:highlight w:val="none"/>
          <w:u w:val="single"/>
          <w:lang w:val="zh-CN"/>
        </w:rPr>
      </w:pPr>
      <w:r>
        <w:rPr>
          <w:rFonts w:hint="eastAsia" w:ascii="宋体" w:hAnsi="宋体" w:eastAsia="宋体" w:cs="宋体"/>
          <w:color w:val="auto"/>
          <w:kern w:val="2"/>
          <w:sz w:val="21"/>
          <w:highlight w:val="none"/>
          <w:lang w:val="zh-CN"/>
        </w:rPr>
        <w:t>（8）主要负责人姓名：___________________________________</w:t>
      </w:r>
    </w:p>
    <w:p w14:paraId="67A80BDC">
      <w:pPr>
        <w:autoSpaceDE/>
        <w:autoSpaceDN/>
        <w:snapToGrid w:val="0"/>
        <w:spacing w:line="360" w:lineRule="auto"/>
        <w:ind w:firstLine="210" w:firstLineChars="10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（9）项目主要联系人（姓名、职务、</w:t>
      </w:r>
      <w:r>
        <w:rPr>
          <w:rFonts w:hint="eastAsia" w:ascii="宋体" w:hAnsi="宋体" w:cs="宋体"/>
          <w:color w:val="auto"/>
          <w:kern w:val="2"/>
          <w:sz w:val="21"/>
          <w:highlight w:val="none"/>
          <w:lang w:val="en-US" w:eastAsia="zh-CN"/>
        </w:rPr>
        <w:t>通讯</w:t>
      </w:r>
      <w:r>
        <w:rPr>
          <w:rFonts w:hint="eastAsia" w:ascii="宋体" w:hAnsi="宋体" w:eastAsia="宋体" w:cs="宋体"/>
          <w:color w:val="auto"/>
          <w:kern w:val="2"/>
          <w:sz w:val="21"/>
          <w:highlight w:val="none"/>
          <w:lang w:val="zh-CN"/>
        </w:rPr>
        <w:t>）：_______________</w:t>
      </w:r>
    </w:p>
    <w:p w14:paraId="5FAA143E">
      <w:pPr>
        <w:autoSpaceDE/>
        <w:autoSpaceDN/>
        <w:snapToGrid w:val="0"/>
        <w:spacing w:line="360" w:lineRule="auto"/>
        <w:ind w:firstLine="210" w:firstLineChars="10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（10）在中国的代表的姓名和地址（如有）：________________</w:t>
      </w:r>
    </w:p>
    <w:p w14:paraId="16D571B0">
      <w:pPr>
        <w:snapToGrid w:val="0"/>
        <w:spacing w:line="360" w:lineRule="auto"/>
        <w:ind w:firstLine="315" w:firstLineChars="15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2、供征询之银行的名称和地址：__________________________</w:t>
      </w:r>
    </w:p>
    <w:p w14:paraId="32DA618B">
      <w:pPr>
        <w:snapToGrid w:val="0"/>
        <w:spacing w:line="360" w:lineRule="auto"/>
        <w:ind w:firstLine="315" w:firstLineChars="15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3、公司所隶属之国际集团名称（如果是）__________________</w:t>
      </w:r>
    </w:p>
    <w:p w14:paraId="0E4B4772">
      <w:pPr>
        <w:snapToGrid w:val="0"/>
        <w:spacing w:line="360" w:lineRule="auto"/>
        <w:ind w:firstLine="315" w:firstLineChars="15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zh-CN"/>
        </w:rPr>
        <w:t>4、提交资料（包括但不限于组织架构、公司简介等）：</w:t>
      </w:r>
    </w:p>
    <w:p w14:paraId="787BD74F">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40"/>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（1）公司简介；</w:t>
      </w:r>
    </w:p>
    <w:p w14:paraId="27991FF5">
      <w:pPr>
        <w:spacing w:line="360" w:lineRule="auto"/>
        <w:ind w:firstLine="735" w:firstLineChars="3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____________________________________________________</w:t>
      </w:r>
    </w:p>
    <w:p w14:paraId="15B3BE60">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40"/>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（2）公司组织架构；</w:t>
      </w:r>
    </w:p>
    <w:p w14:paraId="653993B1">
      <w:pPr>
        <w:spacing w:line="360" w:lineRule="auto"/>
        <w:ind w:firstLine="735" w:firstLineChars="3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____________________________________________________</w:t>
      </w:r>
    </w:p>
    <w:p w14:paraId="62BEBE03">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40"/>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（3）东莞市内设有分支机构情况介绍[应提供该分支机构的多证合一营业执照复印件等证明材料]（若无前述分支机构的无需介绍）。</w:t>
      </w:r>
    </w:p>
    <w:p w14:paraId="580AE0B8">
      <w:pPr>
        <w:spacing w:line="360" w:lineRule="auto"/>
        <w:ind w:firstLine="420"/>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zh-CN"/>
        </w:rPr>
        <w:t>兹证明上述说明是真实、正确的，并提供了全部能提供的资料和数据，我们同意遵照贵方要求出示有关证明文件。</w:t>
      </w:r>
    </w:p>
    <w:p w14:paraId="136927B5">
      <w:pPr>
        <w:spacing w:line="360" w:lineRule="auto"/>
        <w:ind w:firstLine="504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供应商：（加盖供应商法人公章）</w:t>
      </w:r>
    </w:p>
    <w:p w14:paraId="57E741DF">
      <w:pPr>
        <w:spacing w:line="360" w:lineRule="auto"/>
        <w:ind w:firstLine="5040"/>
        <w:jc w:val="both"/>
        <w:rPr>
          <w:rFonts w:hint="eastAsia" w:ascii="宋体" w:hAnsi="宋体" w:eastAsia="宋体" w:cs="宋体"/>
          <w:color w:val="auto"/>
          <w:kern w:val="2"/>
          <w:highlight w:val="none"/>
          <w:lang w:val="zh-CN"/>
        </w:rPr>
      </w:pPr>
      <w:r>
        <w:rPr>
          <w:rFonts w:hint="eastAsia" w:ascii="宋体" w:hAnsi="宋体" w:eastAsia="宋体" w:cs="宋体"/>
          <w:color w:val="auto"/>
          <w:kern w:val="2"/>
          <w:sz w:val="21"/>
          <w:highlight w:val="none"/>
          <w:lang w:val="zh-CN"/>
        </w:rPr>
        <w:t>日</w:t>
      </w:r>
      <w:r>
        <w:rPr>
          <w:rFonts w:hint="eastAsia" w:ascii="宋体" w:hAnsi="宋体" w:cs="宋体"/>
          <w:color w:val="auto"/>
          <w:kern w:val="2"/>
          <w:sz w:val="21"/>
          <w:highlight w:val="none"/>
          <w:lang w:val="en-US" w:eastAsia="zh-CN"/>
        </w:rPr>
        <w:t xml:space="preserve">  </w:t>
      </w:r>
      <w:r>
        <w:rPr>
          <w:rFonts w:hint="eastAsia" w:ascii="宋体" w:hAnsi="宋体" w:eastAsia="宋体" w:cs="宋体"/>
          <w:color w:val="auto"/>
          <w:kern w:val="2"/>
          <w:sz w:val="21"/>
          <w:highlight w:val="none"/>
          <w:lang w:val="zh-CN"/>
        </w:rPr>
        <w:t>期：   年   月   日</w:t>
      </w:r>
    </w:p>
    <w:p w14:paraId="77997A8F">
      <w:pP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bookmarkStart w:id="384" w:name="_Toc7954"/>
      <w:bookmarkStart w:id="385" w:name="_Toc20214"/>
      <w:bookmarkStart w:id="386" w:name="_Toc79146606"/>
      <w:bookmarkStart w:id="387" w:name="_Toc17562"/>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lang w:eastAsia="zh-CN"/>
        </w:rPr>
        <w:t>供应商</w:t>
      </w:r>
      <w:r>
        <w:rPr>
          <w:rFonts w:hint="eastAsia" w:ascii="宋体" w:hAnsi="宋体" w:eastAsia="宋体" w:cs="宋体"/>
          <w:b/>
          <w:color w:val="auto"/>
          <w:sz w:val="32"/>
          <w:szCs w:val="32"/>
          <w:highlight w:val="none"/>
        </w:rPr>
        <w:t>财务状况表格式</w:t>
      </w:r>
      <w:bookmarkEnd w:id="375"/>
      <w:bookmarkEnd w:id="376"/>
      <w:bookmarkEnd w:id="377"/>
      <w:bookmarkEnd w:id="378"/>
      <w:bookmarkEnd w:id="379"/>
      <w:bookmarkEnd w:id="380"/>
      <w:bookmarkEnd w:id="381"/>
      <w:bookmarkEnd w:id="382"/>
      <w:bookmarkEnd w:id="383"/>
      <w:bookmarkEnd w:id="384"/>
      <w:bookmarkEnd w:id="385"/>
      <w:bookmarkEnd w:id="386"/>
      <w:bookmarkEnd w:id="387"/>
    </w:p>
    <w:p w14:paraId="13135D3A">
      <w:pPr>
        <w:spacing w:line="360" w:lineRule="auto"/>
        <w:jc w:val="center"/>
        <w:rPr>
          <w:rFonts w:hint="eastAsia" w:ascii="宋体" w:hAnsi="宋体" w:eastAsia="宋体" w:cs="宋体"/>
          <w:b/>
          <w:color w:val="auto"/>
          <w:sz w:val="30"/>
          <w:szCs w:val="30"/>
          <w:highlight w:val="none"/>
        </w:rPr>
      </w:pPr>
    </w:p>
    <w:p w14:paraId="75617783">
      <w:pPr>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eastAsia="zh-CN"/>
        </w:rPr>
        <w:t>供应商</w:t>
      </w:r>
      <w:r>
        <w:rPr>
          <w:rFonts w:hint="eastAsia" w:ascii="宋体" w:hAnsi="宋体" w:eastAsia="宋体" w:cs="宋体"/>
          <w:b/>
          <w:color w:val="auto"/>
          <w:sz w:val="30"/>
          <w:szCs w:val="30"/>
          <w:highlight w:val="none"/>
        </w:rPr>
        <w:t xml:space="preserve">财务状况表 </w:t>
      </w:r>
    </w:p>
    <w:p w14:paraId="46DD04CE">
      <w:pPr>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[价格单位：（人民币）元]</w:t>
      </w:r>
    </w:p>
    <w:tbl>
      <w:tblPr>
        <w:tblStyle w:val="5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076563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1EFE7EE2">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年  度</w:t>
            </w:r>
          </w:p>
        </w:tc>
        <w:tc>
          <w:tcPr>
            <w:tcW w:w="1944" w:type="dxa"/>
            <w:vAlign w:val="center"/>
          </w:tcPr>
          <w:p w14:paraId="0DE29482">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总资产（元）</w:t>
            </w:r>
          </w:p>
        </w:tc>
        <w:tc>
          <w:tcPr>
            <w:tcW w:w="1946" w:type="dxa"/>
            <w:vAlign w:val="center"/>
          </w:tcPr>
          <w:p w14:paraId="772B0BA5">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净资产（元）</w:t>
            </w:r>
          </w:p>
        </w:tc>
        <w:tc>
          <w:tcPr>
            <w:tcW w:w="2713" w:type="dxa"/>
            <w:vAlign w:val="center"/>
          </w:tcPr>
          <w:p w14:paraId="639C3AB9">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年营业额（元）</w:t>
            </w:r>
          </w:p>
        </w:tc>
        <w:tc>
          <w:tcPr>
            <w:tcW w:w="2060" w:type="dxa"/>
            <w:vAlign w:val="center"/>
          </w:tcPr>
          <w:p w14:paraId="6B8B196D">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年净利润（元）</w:t>
            </w:r>
          </w:p>
        </w:tc>
      </w:tr>
      <w:tr w14:paraId="2E473A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2C0C5667">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202</w:t>
            </w:r>
            <w:r>
              <w:rPr>
                <w:rFonts w:hint="eastAsia" w:ascii="宋体" w:hAnsi="宋体" w:cs="宋体"/>
                <w:color w:val="auto"/>
                <w:kern w:val="0"/>
                <w:sz w:val="21"/>
                <w:szCs w:val="21"/>
                <w:highlight w:val="none"/>
                <w:lang w:val="en-US" w:eastAsia="zh-CN"/>
              </w:rPr>
              <w:t>1</w:t>
            </w:r>
          </w:p>
        </w:tc>
        <w:tc>
          <w:tcPr>
            <w:tcW w:w="1944" w:type="dxa"/>
            <w:vAlign w:val="center"/>
          </w:tcPr>
          <w:p w14:paraId="1511C6D6">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p>
        </w:tc>
        <w:tc>
          <w:tcPr>
            <w:tcW w:w="1946" w:type="dxa"/>
            <w:vAlign w:val="center"/>
          </w:tcPr>
          <w:p w14:paraId="51638AE0">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p>
        </w:tc>
        <w:tc>
          <w:tcPr>
            <w:tcW w:w="2713" w:type="dxa"/>
            <w:vAlign w:val="center"/>
          </w:tcPr>
          <w:p w14:paraId="2D1A20B0">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p>
        </w:tc>
        <w:tc>
          <w:tcPr>
            <w:tcW w:w="2060" w:type="dxa"/>
            <w:vAlign w:val="center"/>
          </w:tcPr>
          <w:p w14:paraId="563F2276">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p>
        </w:tc>
      </w:tr>
      <w:tr w14:paraId="0740AA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705386B9">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202</w:t>
            </w:r>
            <w:r>
              <w:rPr>
                <w:rFonts w:hint="eastAsia" w:ascii="宋体" w:hAnsi="宋体" w:cs="宋体"/>
                <w:color w:val="auto"/>
                <w:kern w:val="0"/>
                <w:sz w:val="21"/>
                <w:szCs w:val="21"/>
                <w:highlight w:val="none"/>
                <w:lang w:val="en-US" w:eastAsia="zh-CN"/>
              </w:rPr>
              <w:t>2</w:t>
            </w:r>
          </w:p>
        </w:tc>
        <w:tc>
          <w:tcPr>
            <w:tcW w:w="1944" w:type="dxa"/>
            <w:vAlign w:val="center"/>
          </w:tcPr>
          <w:p w14:paraId="34F68E2B">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p>
        </w:tc>
        <w:tc>
          <w:tcPr>
            <w:tcW w:w="1946" w:type="dxa"/>
            <w:vAlign w:val="center"/>
          </w:tcPr>
          <w:p w14:paraId="47D7AA7B">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p>
        </w:tc>
        <w:tc>
          <w:tcPr>
            <w:tcW w:w="2713" w:type="dxa"/>
          </w:tcPr>
          <w:p w14:paraId="11DAF53F">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p>
        </w:tc>
        <w:tc>
          <w:tcPr>
            <w:tcW w:w="2060" w:type="dxa"/>
            <w:vAlign w:val="center"/>
          </w:tcPr>
          <w:p w14:paraId="70749A7C">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p>
        </w:tc>
      </w:tr>
      <w:tr w14:paraId="0C3B59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74C836D3">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202</w:t>
            </w:r>
            <w:r>
              <w:rPr>
                <w:rFonts w:hint="eastAsia" w:ascii="宋体" w:hAnsi="宋体" w:cs="宋体"/>
                <w:color w:val="auto"/>
                <w:kern w:val="0"/>
                <w:sz w:val="21"/>
                <w:szCs w:val="21"/>
                <w:highlight w:val="none"/>
                <w:lang w:val="en-US" w:eastAsia="zh-CN"/>
              </w:rPr>
              <w:t>3</w:t>
            </w:r>
          </w:p>
        </w:tc>
        <w:tc>
          <w:tcPr>
            <w:tcW w:w="1944" w:type="dxa"/>
            <w:vAlign w:val="center"/>
          </w:tcPr>
          <w:p w14:paraId="3FB6108B">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p>
        </w:tc>
        <w:tc>
          <w:tcPr>
            <w:tcW w:w="1946" w:type="dxa"/>
            <w:vAlign w:val="center"/>
          </w:tcPr>
          <w:p w14:paraId="0AB82717">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p>
        </w:tc>
        <w:tc>
          <w:tcPr>
            <w:tcW w:w="2713" w:type="dxa"/>
          </w:tcPr>
          <w:p w14:paraId="4C2E4C87">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p>
        </w:tc>
        <w:tc>
          <w:tcPr>
            <w:tcW w:w="2060" w:type="dxa"/>
            <w:vAlign w:val="center"/>
          </w:tcPr>
          <w:p w14:paraId="603400EB">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p>
        </w:tc>
      </w:tr>
      <w:tr w14:paraId="2A64CE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5D79E3B4">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总计</w:t>
            </w:r>
          </w:p>
        </w:tc>
        <w:tc>
          <w:tcPr>
            <w:tcW w:w="2713" w:type="dxa"/>
          </w:tcPr>
          <w:p w14:paraId="55083D5F">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p>
        </w:tc>
        <w:tc>
          <w:tcPr>
            <w:tcW w:w="2060" w:type="dxa"/>
            <w:vAlign w:val="center"/>
          </w:tcPr>
          <w:p w14:paraId="58EC9D73">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p>
        </w:tc>
      </w:tr>
    </w:tbl>
    <w:p w14:paraId="69D80F85">
      <w:pPr>
        <w:spacing w:line="360" w:lineRule="auto"/>
        <w:outlineLvl w:val="9"/>
        <w:rPr>
          <w:rFonts w:hint="eastAsia" w:ascii="宋体" w:hAnsi="宋体" w:eastAsia="宋体" w:cs="宋体"/>
          <w:kern w:val="0"/>
          <w:sz w:val="21"/>
          <w:szCs w:val="21"/>
        </w:rPr>
      </w:pPr>
      <w:r>
        <w:rPr>
          <w:rFonts w:hint="eastAsia" w:ascii="宋体" w:hAnsi="宋体" w:eastAsia="宋体" w:cs="宋体"/>
          <w:kern w:val="0"/>
          <w:sz w:val="21"/>
          <w:szCs w:val="21"/>
        </w:rPr>
        <w:t>备注：需提供对应年度经独立会计师事务所审计的审计报告及</w:t>
      </w:r>
      <w:r>
        <w:rPr>
          <w:rFonts w:hint="eastAsia" w:ascii="宋体" w:hAnsi="宋体" w:eastAsia="宋体" w:cs="宋体"/>
          <w:kern w:val="0"/>
          <w:sz w:val="21"/>
          <w:szCs w:val="21"/>
          <w:lang w:val="en-US" w:eastAsia="zh-CN"/>
        </w:rPr>
        <w:t>供应商</w:t>
      </w:r>
      <w:r>
        <w:rPr>
          <w:rFonts w:hint="eastAsia" w:ascii="宋体" w:hAnsi="宋体" w:eastAsia="宋体" w:cs="宋体"/>
          <w:kern w:val="0"/>
          <w:sz w:val="21"/>
          <w:szCs w:val="21"/>
        </w:rPr>
        <w:t>财务状况表；若</w:t>
      </w:r>
      <w:r>
        <w:rPr>
          <w:rFonts w:hint="eastAsia" w:ascii="宋体" w:hAnsi="宋体" w:eastAsia="宋体" w:cs="宋体"/>
          <w:kern w:val="0"/>
          <w:sz w:val="21"/>
          <w:szCs w:val="21"/>
          <w:lang w:val="en-US" w:eastAsia="zh-CN"/>
        </w:rPr>
        <w:t>供应商</w:t>
      </w:r>
      <w:r>
        <w:rPr>
          <w:rFonts w:hint="eastAsia" w:ascii="宋体" w:hAnsi="宋体" w:eastAsia="宋体" w:cs="宋体"/>
          <w:kern w:val="0"/>
          <w:sz w:val="21"/>
          <w:szCs w:val="21"/>
        </w:rPr>
        <w:t>为新成立或未进行独立会计师事务所审计的，本表中对应年度的财务信息应填写“/”，</w:t>
      </w:r>
      <w:r>
        <w:rPr>
          <w:rFonts w:hint="eastAsia" w:ascii="宋体" w:hAnsi="宋体" w:eastAsia="宋体" w:cs="宋体"/>
          <w:kern w:val="0"/>
          <w:sz w:val="21"/>
          <w:szCs w:val="21"/>
          <w:lang w:val="en-US" w:eastAsia="zh-CN"/>
        </w:rPr>
        <w:t>供应商</w:t>
      </w:r>
      <w:r>
        <w:rPr>
          <w:rFonts w:hint="eastAsia" w:ascii="宋体" w:hAnsi="宋体" w:eastAsia="宋体" w:cs="宋体"/>
          <w:kern w:val="0"/>
          <w:sz w:val="21"/>
          <w:szCs w:val="21"/>
        </w:rPr>
        <w:t>的</w:t>
      </w:r>
      <w:r>
        <w:rPr>
          <w:rFonts w:hint="eastAsia" w:ascii="宋体" w:hAnsi="宋体" w:eastAsia="宋体" w:cs="宋体"/>
          <w:kern w:val="0"/>
          <w:sz w:val="21"/>
          <w:szCs w:val="21"/>
          <w:lang w:val="en-US" w:eastAsia="zh-CN"/>
        </w:rPr>
        <w:t>响应</w:t>
      </w:r>
      <w:r>
        <w:rPr>
          <w:rFonts w:hint="eastAsia" w:ascii="宋体" w:hAnsi="宋体" w:eastAsia="宋体" w:cs="宋体"/>
          <w:kern w:val="0"/>
          <w:sz w:val="21"/>
          <w:szCs w:val="21"/>
        </w:rPr>
        <w:t>文件不作无效</w:t>
      </w:r>
      <w:r>
        <w:rPr>
          <w:rFonts w:hint="eastAsia" w:ascii="宋体" w:hAnsi="宋体" w:eastAsia="宋体" w:cs="宋体"/>
          <w:kern w:val="0"/>
          <w:sz w:val="21"/>
          <w:szCs w:val="21"/>
          <w:lang w:val="en-US" w:eastAsia="zh-CN"/>
        </w:rPr>
        <w:t>响应</w:t>
      </w:r>
      <w:r>
        <w:rPr>
          <w:rFonts w:hint="eastAsia" w:ascii="宋体" w:hAnsi="宋体" w:eastAsia="宋体" w:cs="宋体"/>
          <w:kern w:val="0"/>
          <w:sz w:val="21"/>
          <w:szCs w:val="21"/>
        </w:rPr>
        <w:t>处理，但存在因不符合</w:t>
      </w:r>
      <w:r>
        <w:rPr>
          <w:rFonts w:hint="eastAsia" w:ascii="宋体" w:hAnsi="宋体" w:eastAsia="宋体" w:cs="宋体"/>
          <w:kern w:val="0"/>
          <w:sz w:val="21"/>
          <w:szCs w:val="21"/>
          <w:lang w:val="en-US" w:eastAsia="zh-CN"/>
        </w:rPr>
        <w:t>评审</w:t>
      </w:r>
      <w:r>
        <w:rPr>
          <w:rFonts w:hint="eastAsia" w:ascii="宋体" w:hAnsi="宋体" w:eastAsia="宋体" w:cs="宋体"/>
          <w:kern w:val="0"/>
          <w:sz w:val="21"/>
          <w:szCs w:val="21"/>
        </w:rPr>
        <w:t>办法中的评分标准而导致对应项不得分。</w:t>
      </w:r>
    </w:p>
    <w:p w14:paraId="1C5E71FA">
      <w:pPr>
        <w:spacing w:line="360" w:lineRule="auto"/>
        <w:rPr>
          <w:rFonts w:hint="eastAsia" w:ascii="宋体" w:hAnsi="宋体" w:eastAsia="宋体" w:cs="宋体"/>
          <w:color w:val="auto"/>
          <w:sz w:val="21"/>
          <w:szCs w:val="21"/>
          <w:highlight w:val="none"/>
        </w:rPr>
      </w:pPr>
    </w:p>
    <w:p w14:paraId="329C9650">
      <w:pPr>
        <w:pStyle w:val="187"/>
        <w:spacing w:line="360" w:lineRule="auto"/>
        <w:ind w:firstLine="433"/>
        <w:rPr>
          <w:rFonts w:hint="eastAsia" w:ascii="宋体" w:hAnsi="宋体" w:eastAsia="宋体" w:cs="宋体"/>
          <w:color w:val="auto"/>
          <w:sz w:val="21"/>
          <w:szCs w:val="21"/>
          <w:highlight w:val="none"/>
        </w:rPr>
      </w:pPr>
    </w:p>
    <w:p w14:paraId="1AD01664">
      <w:pPr>
        <w:spacing w:line="360" w:lineRule="auto"/>
        <w:ind w:firstLine="5829" w:firstLineChars="2776"/>
        <w:jc w:val="both"/>
        <w:rPr>
          <w:rFonts w:hint="eastAsia" w:ascii="宋体" w:hAnsi="宋体" w:eastAsia="宋体" w:cs="宋体"/>
          <w:color w:val="auto"/>
          <w:kern w:val="2"/>
          <w:sz w:val="21"/>
          <w:highlight w:val="none"/>
          <w:u w:val="single"/>
        </w:rPr>
      </w:pPr>
      <w:r>
        <w:rPr>
          <w:rFonts w:hint="eastAsia" w:ascii="宋体" w:hAnsi="宋体" w:eastAsia="宋体" w:cs="宋体"/>
          <w:color w:val="auto"/>
          <w:kern w:val="2"/>
          <w:sz w:val="21"/>
          <w:highlight w:val="none"/>
          <w:lang w:val="zh-CN"/>
        </w:rPr>
        <w:t>供应商：（加盖供应商法人公章）</w:t>
      </w:r>
    </w:p>
    <w:p w14:paraId="0A10A1F1">
      <w:pPr>
        <w:keepNext w:val="0"/>
        <w:keepLines w:val="0"/>
        <w:pageBreakBefore w:val="0"/>
        <w:widowControl w:val="0"/>
        <w:kinsoku/>
        <w:wordWrap/>
        <w:overflowPunct/>
        <w:topLinePunct w:val="0"/>
        <w:autoSpaceDE w:val="0"/>
        <w:autoSpaceDN w:val="0"/>
        <w:bidi w:val="0"/>
        <w:adjustRightInd w:val="0"/>
        <w:snapToGrid/>
        <w:spacing w:line="360" w:lineRule="auto"/>
        <w:ind w:firstLine="5835" w:firstLineChars="2779"/>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日期：   年    月   日</w:t>
      </w:r>
    </w:p>
    <w:p w14:paraId="5D7D4DBF">
      <w:pPr>
        <w:numPr>
          <w:ilvl w:val="0"/>
          <w:numId w:val="15"/>
        </w:numPr>
        <w:rPr>
          <w:rFonts w:hint="eastAsia" w:ascii="宋体" w:hAnsi="宋体" w:eastAsia="宋体" w:cs="宋体"/>
          <w:b/>
          <w:bCs w:val="0"/>
          <w:color w:val="auto"/>
          <w:sz w:val="32"/>
          <w:szCs w:val="32"/>
          <w:highlight w:val="none"/>
          <w:lang w:val="en-US" w:eastAsia="zh-CN" w:bidi="ar-SA"/>
        </w:rPr>
      </w:pPr>
      <w:r>
        <w:rPr>
          <w:rFonts w:hint="eastAsia" w:ascii="宋体" w:hAnsi="宋体" w:eastAsia="宋体" w:cs="宋体"/>
          <w:b/>
          <w:bCs w:val="0"/>
          <w:color w:val="auto"/>
          <w:sz w:val="32"/>
          <w:szCs w:val="32"/>
          <w:highlight w:val="none"/>
          <w:lang w:val="en-US" w:eastAsia="zh-CN" w:bidi="ar-SA"/>
        </w:rPr>
        <w:br w:type="page"/>
      </w:r>
    </w:p>
    <w:p w14:paraId="558212AA">
      <w:pPr>
        <w:numPr>
          <w:ilvl w:val="0"/>
          <w:numId w:val="0"/>
        </w:numPr>
        <w:outlineLvl w:val="9"/>
        <w:rPr>
          <w:rFonts w:hint="default" w:ascii="宋体" w:hAnsi="宋体" w:eastAsia="宋体" w:cs="宋体"/>
          <w:b/>
          <w:bCs w:val="0"/>
          <w:color w:val="auto"/>
          <w:sz w:val="32"/>
          <w:szCs w:val="32"/>
          <w:highlight w:val="none"/>
          <w:lang w:val="en-US" w:eastAsia="zh-CN" w:bidi="ar-SA"/>
        </w:rPr>
      </w:pPr>
      <w:bookmarkStart w:id="388" w:name="_Toc20936"/>
      <w:r>
        <w:rPr>
          <w:rFonts w:hint="eastAsia" w:ascii="宋体" w:hAnsi="宋体" w:eastAsia="宋体" w:cs="宋体"/>
          <w:b/>
          <w:bCs w:val="0"/>
          <w:color w:val="auto"/>
          <w:sz w:val="32"/>
          <w:szCs w:val="32"/>
          <w:highlight w:val="none"/>
          <w:lang w:val="en-US" w:eastAsia="zh-CN" w:bidi="ar-SA"/>
        </w:rPr>
        <w:t>八、</w:t>
      </w:r>
      <w:bookmarkEnd w:id="388"/>
      <w:bookmarkStart w:id="389" w:name="_Toc19008831"/>
      <w:bookmarkStart w:id="390" w:name="_Toc1123958"/>
      <w:bookmarkStart w:id="391" w:name="_Toc5098075"/>
      <w:bookmarkStart w:id="392" w:name="_Toc79146604"/>
      <w:bookmarkStart w:id="393" w:name="_Toc521918128"/>
      <w:bookmarkStart w:id="394" w:name="_Toc56076630"/>
      <w:bookmarkStart w:id="395" w:name="_Toc54334013"/>
      <w:bookmarkStart w:id="396" w:name="_Toc79146607"/>
      <w:bookmarkStart w:id="397" w:name="_Toc56076634"/>
      <w:r>
        <w:rPr>
          <w:rFonts w:hint="eastAsia" w:ascii="宋体" w:hAnsi="宋体" w:eastAsia="宋体" w:cs="宋体"/>
          <w:b/>
          <w:bCs w:val="0"/>
          <w:color w:val="auto"/>
          <w:sz w:val="32"/>
          <w:szCs w:val="32"/>
          <w:highlight w:val="none"/>
          <w:lang w:val="en-US" w:eastAsia="zh-CN" w:bidi="ar-SA"/>
        </w:rPr>
        <w:t>标准化体系认证</w:t>
      </w:r>
    </w:p>
    <w:p w14:paraId="09CD6835">
      <w:pPr>
        <w:tabs>
          <w:tab w:val="left" w:pos="567"/>
        </w:tabs>
        <w:autoSpaceDE w:val="0"/>
        <w:autoSpaceDN w:val="0"/>
        <w:adjustRightInd w:val="0"/>
        <w:spacing w:line="360" w:lineRule="auto"/>
        <w:jc w:val="both"/>
        <w:outlineLvl w:val="9"/>
        <w:rPr>
          <w:rFonts w:hint="eastAsia" w:ascii="宋体" w:hAnsi="宋体" w:eastAsia="宋体" w:cs="宋体"/>
          <w:b w:val="0"/>
          <w:bCs/>
          <w:color w:val="auto"/>
          <w:kern w:val="0"/>
          <w:sz w:val="21"/>
          <w:szCs w:val="21"/>
          <w:highlight w:val="none"/>
        </w:rPr>
      </w:pPr>
    </w:p>
    <w:p w14:paraId="1232C378">
      <w:pPr>
        <w:tabs>
          <w:tab w:val="left" w:pos="567"/>
        </w:tabs>
        <w:autoSpaceDE w:val="0"/>
        <w:autoSpaceDN w:val="0"/>
        <w:adjustRightInd w:val="0"/>
        <w:spacing w:line="360" w:lineRule="auto"/>
        <w:ind w:firstLine="420" w:firstLineChars="200"/>
        <w:jc w:val="both"/>
        <w:outlineLvl w:val="9"/>
        <w:rPr>
          <w:rFonts w:hint="eastAsia" w:ascii="宋体" w:hAnsi="宋体" w:eastAsia="宋体" w:cs="宋体"/>
          <w:b w:val="0"/>
          <w:bCs/>
          <w:color w:val="auto"/>
          <w:kern w:val="0"/>
          <w:sz w:val="21"/>
          <w:szCs w:val="21"/>
          <w:highlight w:val="none"/>
          <w:lang w:val="zh-CN" w:eastAsia="zh-CN"/>
        </w:rPr>
      </w:pPr>
      <w:r>
        <w:rPr>
          <w:rFonts w:hint="eastAsia" w:ascii="宋体" w:hAnsi="宋体" w:eastAsia="宋体" w:cs="宋体"/>
          <w:b w:val="0"/>
          <w:bCs/>
          <w:color w:val="auto"/>
          <w:kern w:val="0"/>
          <w:sz w:val="21"/>
          <w:szCs w:val="21"/>
          <w:highlight w:val="none"/>
        </w:rPr>
        <w:t>备</w:t>
      </w:r>
      <w:r>
        <w:rPr>
          <w:rFonts w:hint="eastAsia" w:ascii="宋体" w:hAnsi="宋体" w:eastAsia="宋体" w:cs="宋体"/>
          <w:b w:val="0"/>
          <w:bCs/>
          <w:color w:val="auto"/>
          <w:kern w:val="0"/>
          <w:sz w:val="21"/>
          <w:szCs w:val="21"/>
          <w:highlight w:val="none"/>
          <w:lang w:val="en-US" w:eastAsia="zh-CN"/>
        </w:rPr>
        <w:t>注：</w:t>
      </w:r>
      <w:r>
        <w:rPr>
          <w:rFonts w:hint="eastAsia" w:ascii="宋体" w:hAnsi="宋体" w:eastAsia="宋体" w:cs="宋体"/>
          <w:b w:val="0"/>
          <w:bCs/>
          <w:color w:val="auto"/>
          <w:kern w:val="0"/>
          <w:sz w:val="21"/>
          <w:szCs w:val="21"/>
          <w:highlight w:val="none"/>
          <w:lang w:val="zh-CN" w:eastAsia="zh-CN"/>
        </w:rPr>
        <w:t>供应商应提供上述证书复印件及能显示证书有效状态的全国认证认可信息公共服务平台(http://cx.cnca.cn/)查询结果凭证{凭证界面显示有“全国认证认可信息公共服务平台”或“认证证书(需显示网址cx.cnca.cn)”}。</w:t>
      </w:r>
    </w:p>
    <w:p w14:paraId="0F397534">
      <w:pPr>
        <w:keepNext w:val="0"/>
        <w:keepLines w:val="0"/>
        <w:pageBreakBefore/>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color w:val="auto"/>
          <w:sz w:val="32"/>
          <w:szCs w:val="32"/>
          <w:highlight w:val="none"/>
        </w:rPr>
      </w:pPr>
      <w:bookmarkStart w:id="398" w:name="_Toc29911"/>
      <w:bookmarkStart w:id="399" w:name="_Toc16191"/>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lang w:val="zh-CN"/>
        </w:rPr>
        <w:t>合同条款偏离表格式</w:t>
      </w:r>
      <w:bookmarkEnd w:id="398"/>
      <w:bookmarkEnd w:id="399"/>
    </w:p>
    <w:p w14:paraId="22BF4845">
      <w:pPr>
        <w:autoSpaceDE w:val="0"/>
        <w:autoSpaceDN w:val="0"/>
        <w:adjustRightInd w:val="0"/>
        <w:spacing w:line="360" w:lineRule="auto"/>
        <w:jc w:val="center"/>
        <w:outlineLvl w:val="9"/>
        <w:rPr>
          <w:rFonts w:hint="eastAsia" w:ascii="宋体" w:hAnsi="宋体" w:eastAsia="宋体" w:cs="宋体"/>
          <w:b/>
          <w:bCs/>
          <w:color w:val="auto"/>
          <w:kern w:val="0"/>
          <w:sz w:val="28"/>
          <w:szCs w:val="30"/>
          <w:lang w:val="zh-CN"/>
        </w:rPr>
      </w:pPr>
      <w:bookmarkStart w:id="400" w:name="_Toc26412_WPSOffice_Level3"/>
      <w:r>
        <w:rPr>
          <w:rFonts w:hint="eastAsia" w:ascii="宋体" w:hAnsi="宋体" w:cs="宋体"/>
          <w:b/>
          <w:bCs/>
          <w:color w:val="auto"/>
          <w:kern w:val="0"/>
          <w:sz w:val="28"/>
          <w:szCs w:val="30"/>
          <w:lang w:val="zh-CN"/>
        </w:rPr>
        <w:t>东莞市众源环境投资有限公司污水处理厂污泥脱水减量处理服务（BOT权属滨海湾片区）采购项目</w:t>
      </w:r>
      <w:r>
        <w:rPr>
          <w:rFonts w:hint="eastAsia" w:ascii="宋体" w:hAnsi="宋体" w:eastAsia="宋体" w:cs="宋体"/>
          <w:b/>
          <w:bCs/>
          <w:color w:val="auto"/>
          <w:kern w:val="0"/>
          <w:sz w:val="28"/>
          <w:szCs w:val="30"/>
          <w:lang w:val="zh-CN"/>
        </w:rPr>
        <w:t>合同条款偏离表</w:t>
      </w:r>
      <w:bookmarkEnd w:id="400"/>
      <w:r>
        <w:rPr>
          <w:rFonts w:hint="eastAsia" w:ascii="宋体" w:hAnsi="宋体" w:eastAsia="宋体" w:cs="宋体"/>
          <w:b/>
          <w:bCs/>
          <w:color w:val="auto"/>
          <w:kern w:val="0"/>
          <w:sz w:val="28"/>
          <w:szCs w:val="30"/>
          <w:lang w:val="zh-CN"/>
        </w:rPr>
        <w:t>(   包组)</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08B75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5C133473">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4480" w:type="dxa"/>
            <w:gridSpan w:val="2"/>
            <w:vAlign w:val="center"/>
          </w:tcPr>
          <w:p w14:paraId="0575D252">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竞争性磋商</w:t>
            </w:r>
            <w:r>
              <w:rPr>
                <w:rFonts w:hint="eastAsia" w:ascii="宋体" w:hAnsi="宋体" w:eastAsia="宋体" w:cs="宋体"/>
                <w:kern w:val="0"/>
                <w:sz w:val="21"/>
                <w:szCs w:val="21"/>
              </w:rPr>
              <w:t>文件要求</w:t>
            </w:r>
          </w:p>
        </w:tc>
        <w:tc>
          <w:tcPr>
            <w:tcW w:w="4870" w:type="dxa"/>
            <w:gridSpan w:val="2"/>
            <w:vAlign w:val="center"/>
          </w:tcPr>
          <w:p w14:paraId="66F03DC5">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响应</w:t>
            </w:r>
            <w:r>
              <w:rPr>
                <w:rFonts w:hint="eastAsia" w:ascii="宋体" w:hAnsi="宋体" w:eastAsia="宋体" w:cs="宋体"/>
                <w:kern w:val="0"/>
                <w:sz w:val="21"/>
                <w:szCs w:val="21"/>
              </w:rPr>
              <w:t>文件内容</w:t>
            </w:r>
          </w:p>
        </w:tc>
      </w:tr>
      <w:tr w14:paraId="49E36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446E74A7">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1425" w:type="dxa"/>
            <w:vAlign w:val="center"/>
          </w:tcPr>
          <w:p w14:paraId="31A27675">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条款号</w:t>
            </w:r>
          </w:p>
        </w:tc>
        <w:tc>
          <w:tcPr>
            <w:tcW w:w="3055" w:type="dxa"/>
            <w:vAlign w:val="center"/>
          </w:tcPr>
          <w:p w14:paraId="4819EF15">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简要内容</w:t>
            </w:r>
          </w:p>
        </w:tc>
        <w:tc>
          <w:tcPr>
            <w:tcW w:w="1346" w:type="dxa"/>
            <w:vAlign w:val="center"/>
          </w:tcPr>
          <w:p w14:paraId="515C45EA">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偏离情况</w:t>
            </w:r>
          </w:p>
        </w:tc>
        <w:tc>
          <w:tcPr>
            <w:tcW w:w="3524" w:type="dxa"/>
            <w:vAlign w:val="center"/>
          </w:tcPr>
          <w:p w14:paraId="72900516">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具体偏离内容</w:t>
            </w:r>
          </w:p>
        </w:tc>
      </w:tr>
      <w:tr w14:paraId="0AD9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5AFD730">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425" w:type="dxa"/>
            <w:vAlign w:val="center"/>
          </w:tcPr>
          <w:p w14:paraId="2128065E">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w:t>
            </w:r>
          </w:p>
        </w:tc>
        <w:tc>
          <w:tcPr>
            <w:tcW w:w="3055" w:type="dxa"/>
            <w:vAlign w:val="center"/>
          </w:tcPr>
          <w:p w14:paraId="115EB618">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合同范围、服务内容及风险的特别约定</w:t>
            </w:r>
          </w:p>
        </w:tc>
        <w:tc>
          <w:tcPr>
            <w:tcW w:w="1346" w:type="dxa"/>
            <w:vAlign w:val="center"/>
          </w:tcPr>
          <w:p w14:paraId="5AF2EBDC">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524" w:type="dxa"/>
            <w:vAlign w:val="center"/>
          </w:tcPr>
          <w:p w14:paraId="2850B2FB">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50476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0388C25">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425" w:type="dxa"/>
            <w:vAlign w:val="center"/>
          </w:tcPr>
          <w:p w14:paraId="39C1763A">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w:t>
            </w:r>
          </w:p>
        </w:tc>
        <w:tc>
          <w:tcPr>
            <w:tcW w:w="3055" w:type="dxa"/>
            <w:vAlign w:val="center"/>
          </w:tcPr>
          <w:p w14:paraId="049F8A8F">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服务期限、处理服务费用</w:t>
            </w:r>
          </w:p>
        </w:tc>
        <w:tc>
          <w:tcPr>
            <w:tcW w:w="1346" w:type="dxa"/>
            <w:vAlign w:val="center"/>
          </w:tcPr>
          <w:p w14:paraId="17EA9D3E">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524" w:type="dxa"/>
            <w:vAlign w:val="center"/>
          </w:tcPr>
          <w:p w14:paraId="0C77CC30">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0CB16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5E3AEF2">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425" w:type="dxa"/>
            <w:vAlign w:val="center"/>
          </w:tcPr>
          <w:p w14:paraId="51534B5A">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三</w:t>
            </w:r>
          </w:p>
        </w:tc>
        <w:tc>
          <w:tcPr>
            <w:tcW w:w="3055" w:type="dxa"/>
            <w:vAlign w:val="center"/>
          </w:tcPr>
          <w:p w14:paraId="2738DB16">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污泥计量、脱水减量化处理后污泥的含水率检测及计费</w:t>
            </w:r>
          </w:p>
        </w:tc>
        <w:tc>
          <w:tcPr>
            <w:tcW w:w="1346" w:type="dxa"/>
            <w:vAlign w:val="center"/>
          </w:tcPr>
          <w:p w14:paraId="43AD288F">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524" w:type="dxa"/>
            <w:vAlign w:val="center"/>
          </w:tcPr>
          <w:p w14:paraId="7B4EC07D">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4379D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8E0FF66">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425" w:type="dxa"/>
            <w:vAlign w:val="center"/>
          </w:tcPr>
          <w:p w14:paraId="0222BABC">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w:t>
            </w:r>
          </w:p>
        </w:tc>
        <w:tc>
          <w:tcPr>
            <w:tcW w:w="3055" w:type="dxa"/>
            <w:vAlign w:val="center"/>
          </w:tcPr>
          <w:p w14:paraId="53B08098">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费用核算与支付</w:t>
            </w:r>
          </w:p>
        </w:tc>
        <w:tc>
          <w:tcPr>
            <w:tcW w:w="1346" w:type="dxa"/>
            <w:vAlign w:val="center"/>
          </w:tcPr>
          <w:p w14:paraId="17B08D5E">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524" w:type="dxa"/>
            <w:vAlign w:val="center"/>
          </w:tcPr>
          <w:p w14:paraId="4D861F94">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01D94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F578409">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1425" w:type="dxa"/>
            <w:vAlign w:val="center"/>
          </w:tcPr>
          <w:p w14:paraId="0DBCFFF9">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五</w:t>
            </w:r>
          </w:p>
        </w:tc>
        <w:tc>
          <w:tcPr>
            <w:tcW w:w="3055" w:type="dxa"/>
            <w:vAlign w:val="center"/>
          </w:tcPr>
          <w:p w14:paraId="228A58F8">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技术服务标准</w:t>
            </w:r>
          </w:p>
        </w:tc>
        <w:tc>
          <w:tcPr>
            <w:tcW w:w="1346" w:type="dxa"/>
            <w:vAlign w:val="center"/>
          </w:tcPr>
          <w:p w14:paraId="5FA3CDC7">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524" w:type="dxa"/>
            <w:vAlign w:val="center"/>
          </w:tcPr>
          <w:p w14:paraId="7587E5F9">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5EEA4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418CAE8">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1425" w:type="dxa"/>
            <w:vAlign w:val="center"/>
          </w:tcPr>
          <w:p w14:paraId="54F3F38D">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六</w:t>
            </w:r>
          </w:p>
        </w:tc>
        <w:tc>
          <w:tcPr>
            <w:tcW w:w="3055" w:type="dxa"/>
            <w:vAlign w:val="center"/>
          </w:tcPr>
          <w:p w14:paraId="500C15E1">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双方的权利与义务</w:t>
            </w:r>
          </w:p>
        </w:tc>
        <w:tc>
          <w:tcPr>
            <w:tcW w:w="1346" w:type="dxa"/>
            <w:vAlign w:val="center"/>
          </w:tcPr>
          <w:p w14:paraId="4AEB3C51">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524" w:type="dxa"/>
            <w:vAlign w:val="center"/>
          </w:tcPr>
          <w:p w14:paraId="16EA6A32">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16CC9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9D342B7">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1425" w:type="dxa"/>
            <w:vAlign w:val="center"/>
          </w:tcPr>
          <w:p w14:paraId="559663B0">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七</w:t>
            </w:r>
          </w:p>
        </w:tc>
        <w:tc>
          <w:tcPr>
            <w:tcW w:w="3055" w:type="dxa"/>
            <w:vAlign w:val="center"/>
          </w:tcPr>
          <w:p w14:paraId="57186F92">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履约担保</w:t>
            </w:r>
          </w:p>
        </w:tc>
        <w:tc>
          <w:tcPr>
            <w:tcW w:w="1346" w:type="dxa"/>
            <w:vAlign w:val="center"/>
          </w:tcPr>
          <w:p w14:paraId="69242425">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524" w:type="dxa"/>
            <w:vAlign w:val="center"/>
          </w:tcPr>
          <w:p w14:paraId="460F8B4B">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4B5B1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32EC1DF">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1425" w:type="dxa"/>
            <w:vAlign w:val="center"/>
          </w:tcPr>
          <w:p w14:paraId="4F3637CE">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八</w:t>
            </w:r>
          </w:p>
        </w:tc>
        <w:tc>
          <w:tcPr>
            <w:tcW w:w="3055" w:type="dxa"/>
            <w:vAlign w:val="center"/>
          </w:tcPr>
          <w:p w14:paraId="6595BBC7">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违约责任</w:t>
            </w:r>
          </w:p>
        </w:tc>
        <w:tc>
          <w:tcPr>
            <w:tcW w:w="1346" w:type="dxa"/>
            <w:vAlign w:val="center"/>
          </w:tcPr>
          <w:p w14:paraId="24656008">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524" w:type="dxa"/>
            <w:vAlign w:val="center"/>
          </w:tcPr>
          <w:p w14:paraId="44585729">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74F52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2D5A3B4">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9</w:t>
            </w:r>
          </w:p>
        </w:tc>
        <w:tc>
          <w:tcPr>
            <w:tcW w:w="1425" w:type="dxa"/>
            <w:vAlign w:val="center"/>
          </w:tcPr>
          <w:p w14:paraId="063F7695">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九</w:t>
            </w:r>
          </w:p>
        </w:tc>
        <w:tc>
          <w:tcPr>
            <w:tcW w:w="3055" w:type="dxa"/>
            <w:vAlign w:val="center"/>
          </w:tcPr>
          <w:p w14:paraId="110E36F8">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廉政保证</w:t>
            </w:r>
          </w:p>
        </w:tc>
        <w:tc>
          <w:tcPr>
            <w:tcW w:w="1346" w:type="dxa"/>
            <w:vAlign w:val="center"/>
          </w:tcPr>
          <w:p w14:paraId="7C1653F3">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524" w:type="dxa"/>
            <w:vAlign w:val="center"/>
          </w:tcPr>
          <w:p w14:paraId="35325ACB">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281DF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EBCA79C">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425" w:type="dxa"/>
            <w:vAlign w:val="center"/>
          </w:tcPr>
          <w:p w14:paraId="4475BE11">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十</w:t>
            </w:r>
          </w:p>
        </w:tc>
        <w:tc>
          <w:tcPr>
            <w:tcW w:w="3055" w:type="dxa"/>
            <w:vAlign w:val="center"/>
          </w:tcPr>
          <w:p w14:paraId="7D222A2C">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争议解决</w:t>
            </w:r>
          </w:p>
        </w:tc>
        <w:tc>
          <w:tcPr>
            <w:tcW w:w="1346" w:type="dxa"/>
            <w:vAlign w:val="center"/>
          </w:tcPr>
          <w:p w14:paraId="7D086082">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524" w:type="dxa"/>
            <w:vAlign w:val="center"/>
          </w:tcPr>
          <w:p w14:paraId="1BD885DE">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35FFA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29916D0">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11</w:t>
            </w:r>
          </w:p>
        </w:tc>
        <w:tc>
          <w:tcPr>
            <w:tcW w:w="1425" w:type="dxa"/>
            <w:vAlign w:val="center"/>
          </w:tcPr>
          <w:p w14:paraId="599A8D03">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十一</w:t>
            </w:r>
          </w:p>
        </w:tc>
        <w:tc>
          <w:tcPr>
            <w:tcW w:w="3055" w:type="dxa"/>
            <w:vAlign w:val="center"/>
          </w:tcPr>
          <w:p w14:paraId="44AB32AF">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其他</w:t>
            </w:r>
          </w:p>
        </w:tc>
        <w:tc>
          <w:tcPr>
            <w:tcW w:w="1346" w:type="dxa"/>
            <w:vAlign w:val="center"/>
          </w:tcPr>
          <w:p w14:paraId="519F9A55">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524" w:type="dxa"/>
            <w:vAlign w:val="center"/>
          </w:tcPr>
          <w:p w14:paraId="0516FCAF">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089F4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A6697BC">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12</w:t>
            </w:r>
          </w:p>
        </w:tc>
        <w:tc>
          <w:tcPr>
            <w:tcW w:w="1425" w:type="dxa"/>
            <w:vAlign w:val="center"/>
          </w:tcPr>
          <w:p w14:paraId="0343A5CF">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附件1</w:t>
            </w:r>
          </w:p>
        </w:tc>
        <w:tc>
          <w:tcPr>
            <w:tcW w:w="3055" w:type="dxa"/>
            <w:vAlign w:val="center"/>
          </w:tcPr>
          <w:p w14:paraId="2C67439F">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廉洁协议书</w:t>
            </w:r>
          </w:p>
        </w:tc>
        <w:tc>
          <w:tcPr>
            <w:tcW w:w="1346" w:type="dxa"/>
            <w:vAlign w:val="center"/>
          </w:tcPr>
          <w:p w14:paraId="1D9E5EB3">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524" w:type="dxa"/>
            <w:vAlign w:val="center"/>
          </w:tcPr>
          <w:p w14:paraId="7A31A4AB">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4F73D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F2254D7">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13</w:t>
            </w:r>
          </w:p>
        </w:tc>
        <w:tc>
          <w:tcPr>
            <w:tcW w:w="1425" w:type="dxa"/>
            <w:vAlign w:val="center"/>
          </w:tcPr>
          <w:p w14:paraId="0074D306">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附件2</w:t>
            </w:r>
          </w:p>
        </w:tc>
        <w:tc>
          <w:tcPr>
            <w:tcW w:w="3055" w:type="dxa"/>
            <w:vAlign w:val="center"/>
          </w:tcPr>
          <w:p w14:paraId="6188C7BE">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安全生产管理协议</w:t>
            </w:r>
          </w:p>
        </w:tc>
        <w:tc>
          <w:tcPr>
            <w:tcW w:w="1346" w:type="dxa"/>
            <w:vAlign w:val="center"/>
          </w:tcPr>
          <w:p w14:paraId="5E6D7918">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524" w:type="dxa"/>
            <w:vAlign w:val="center"/>
          </w:tcPr>
          <w:p w14:paraId="023A2483">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265DD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065F1F2">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14</w:t>
            </w:r>
          </w:p>
        </w:tc>
        <w:tc>
          <w:tcPr>
            <w:tcW w:w="1425" w:type="dxa"/>
            <w:vAlign w:val="center"/>
          </w:tcPr>
          <w:p w14:paraId="4F49C7BB">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w:t>
            </w:r>
          </w:p>
        </w:tc>
        <w:tc>
          <w:tcPr>
            <w:tcW w:w="3055" w:type="dxa"/>
            <w:vAlign w:val="center"/>
          </w:tcPr>
          <w:p w14:paraId="266DB103">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不可撤销银行履约保函</w:t>
            </w:r>
          </w:p>
        </w:tc>
        <w:tc>
          <w:tcPr>
            <w:tcW w:w="1346" w:type="dxa"/>
            <w:vAlign w:val="center"/>
          </w:tcPr>
          <w:p w14:paraId="1F147584">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524" w:type="dxa"/>
            <w:vAlign w:val="center"/>
          </w:tcPr>
          <w:p w14:paraId="354EF39A">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07F7D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7F9C025">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15</w:t>
            </w:r>
          </w:p>
        </w:tc>
        <w:tc>
          <w:tcPr>
            <w:tcW w:w="1425" w:type="dxa"/>
            <w:vAlign w:val="center"/>
          </w:tcPr>
          <w:p w14:paraId="09F81F22">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w:t>
            </w:r>
          </w:p>
        </w:tc>
        <w:tc>
          <w:tcPr>
            <w:tcW w:w="3055" w:type="dxa"/>
            <w:vAlign w:val="center"/>
          </w:tcPr>
          <w:p w14:paraId="778E7ABD">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履约保证保险凭证</w:t>
            </w:r>
          </w:p>
        </w:tc>
        <w:tc>
          <w:tcPr>
            <w:tcW w:w="1346" w:type="dxa"/>
            <w:vAlign w:val="center"/>
          </w:tcPr>
          <w:p w14:paraId="37B05F93">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524" w:type="dxa"/>
            <w:vAlign w:val="center"/>
          </w:tcPr>
          <w:p w14:paraId="5F06EB14">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16012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3352EEE">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16</w:t>
            </w:r>
          </w:p>
        </w:tc>
        <w:tc>
          <w:tcPr>
            <w:tcW w:w="1425" w:type="dxa"/>
            <w:vAlign w:val="center"/>
          </w:tcPr>
          <w:p w14:paraId="659C21D4">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三</w:t>
            </w:r>
          </w:p>
        </w:tc>
        <w:tc>
          <w:tcPr>
            <w:tcW w:w="3055" w:type="dxa"/>
            <w:vAlign w:val="center"/>
          </w:tcPr>
          <w:p w14:paraId="22C7CFAF">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担保公司履约担保书</w:t>
            </w:r>
          </w:p>
        </w:tc>
        <w:tc>
          <w:tcPr>
            <w:tcW w:w="1346" w:type="dxa"/>
            <w:vAlign w:val="center"/>
          </w:tcPr>
          <w:p w14:paraId="121A0BCC">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524" w:type="dxa"/>
            <w:vAlign w:val="center"/>
          </w:tcPr>
          <w:p w14:paraId="457770DE">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bl>
    <w:p w14:paraId="75D81109">
      <w:pPr>
        <w:autoSpaceDE w:val="0"/>
        <w:autoSpaceDN w:val="0"/>
        <w:adjustRightInd w:val="0"/>
        <w:snapToGrid w:val="0"/>
        <w:spacing w:line="360" w:lineRule="auto"/>
        <w:ind w:left="213" w:leftChars="-158" w:hanging="592" w:hangingChars="247"/>
        <w:jc w:val="left"/>
        <w:outlineLvl w:val="9"/>
        <w:rPr>
          <w:rFonts w:hint="eastAsia" w:ascii="宋体" w:hAnsi="宋体" w:eastAsia="宋体" w:cs="宋体"/>
          <w:szCs w:val="24"/>
          <w:lang w:val="zh-CN"/>
        </w:rPr>
      </w:pPr>
    </w:p>
    <w:p w14:paraId="502C1131">
      <w:pPr>
        <w:autoSpaceDE w:val="0"/>
        <w:autoSpaceDN w:val="0"/>
        <w:adjustRightInd w:val="0"/>
        <w:snapToGrid w:val="0"/>
        <w:spacing w:line="360" w:lineRule="auto"/>
        <w:ind w:left="136" w:leftChars="-101" w:hanging="378" w:hangingChars="180"/>
        <w:jc w:val="left"/>
        <w:outlineLvl w:val="9"/>
        <w:rPr>
          <w:rFonts w:hint="eastAsia" w:ascii="宋体" w:hAnsi="宋体" w:eastAsia="宋体" w:cs="宋体"/>
          <w:sz w:val="21"/>
          <w:szCs w:val="21"/>
          <w:lang w:val="zh-CN"/>
        </w:rPr>
      </w:pPr>
      <w:r>
        <w:rPr>
          <w:rFonts w:hint="eastAsia" w:ascii="宋体" w:hAnsi="宋体" w:eastAsia="宋体" w:cs="宋体"/>
          <w:sz w:val="21"/>
          <w:szCs w:val="21"/>
          <w:lang w:val="zh-CN"/>
        </w:rPr>
        <w:t>备注：</w:t>
      </w:r>
    </w:p>
    <w:p w14:paraId="403AD28D">
      <w:pPr>
        <w:spacing w:line="360" w:lineRule="auto"/>
        <w:ind w:left="610" w:leftChars="18" w:hanging="567" w:hangingChars="270"/>
        <w:outlineLvl w:val="9"/>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b/>
          <w:kern w:val="0"/>
          <w:sz w:val="21"/>
          <w:szCs w:val="21"/>
          <w:u w:val="single"/>
          <w:lang w:val="en-US" w:eastAsia="zh-CN"/>
        </w:rPr>
        <w:t>供应商</w:t>
      </w:r>
      <w:r>
        <w:rPr>
          <w:rFonts w:hint="eastAsia" w:ascii="宋体" w:hAnsi="宋体" w:eastAsia="宋体" w:cs="宋体"/>
          <w:b/>
          <w:kern w:val="0"/>
          <w:sz w:val="21"/>
          <w:szCs w:val="21"/>
          <w:u w:val="single"/>
        </w:rPr>
        <w:t>应对照</w:t>
      </w:r>
      <w:r>
        <w:rPr>
          <w:rFonts w:hint="eastAsia" w:ascii="宋体" w:hAnsi="宋体" w:eastAsia="宋体" w:cs="宋体"/>
          <w:b/>
          <w:kern w:val="0"/>
          <w:sz w:val="21"/>
          <w:szCs w:val="21"/>
          <w:u w:val="single"/>
          <w:lang w:val="en-US" w:eastAsia="zh-CN"/>
        </w:rPr>
        <w:t>竞争性磋商</w:t>
      </w:r>
      <w:r>
        <w:rPr>
          <w:rFonts w:hint="eastAsia" w:ascii="宋体" w:hAnsi="宋体" w:eastAsia="宋体" w:cs="宋体"/>
          <w:b/>
          <w:kern w:val="0"/>
          <w:sz w:val="21"/>
          <w:szCs w:val="21"/>
          <w:u w:val="single"/>
        </w:rPr>
        <w:t>文件合同格式内合同条款及附件，逐条、如实地填写“偏离情况”项。“偏离情况”项为正偏离（或负偏离）的，必须在“具体偏离内容”项内详细说明与</w:t>
      </w:r>
      <w:r>
        <w:rPr>
          <w:rFonts w:hint="eastAsia" w:ascii="宋体" w:hAnsi="宋体" w:eastAsia="宋体" w:cs="宋体"/>
          <w:b/>
          <w:kern w:val="0"/>
          <w:sz w:val="21"/>
          <w:szCs w:val="21"/>
          <w:u w:val="single"/>
          <w:lang w:val="en-US" w:eastAsia="zh-CN"/>
        </w:rPr>
        <w:t>竞争性磋商</w:t>
      </w:r>
      <w:r>
        <w:rPr>
          <w:rFonts w:hint="eastAsia" w:ascii="宋体" w:hAnsi="宋体" w:eastAsia="宋体" w:cs="宋体"/>
          <w:b/>
          <w:kern w:val="0"/>
          <w:sz w:val="21"/>
          <w:szCs w:val="21"/>
          <w:u w:val="single"/>
        </w:rPr>
        <w:t>文件的偏离内容，“偏离情况”项为无偏离的，在“具体偏离内容”项内填“无”。若发现虚假填写本表，或对合同及其附件响应有负偏离的，按无效</w:t>
      </w:r>
      <w:r>
        <w:rPr>
          <w:rFonts w:hint="eastAsia" w:ascii="宋体" w:hAnsi="宋体" w:eastAsia="宋体" w:cs="宋体"/>
          <w:b/>
          <w:kern w:val="0"/>
          <w:sz w:val="21"/>
          <w:szCs w:val="21"/>
          <w:u w:val="single"/>
          <w:lang w:val="en-US" w:eastAsia="zh-CN"/>
        </w:rPr>
        <w:t>响应</w:t>
      </w:r>
      <w:r>
        <w:rPr>
          <w:rFonts w:hint="eastAsia" w:ascii="宋体" w:hAnsi="宋体" w:eastAsia="宋体" w:cs="宋体"/>
          <w:b/>
          <w:kern w:val="0"/>
          <w:sz w:val="21"/>
          <w:szCs w:val="21"/>
          <w:u w:val="single"/>
        </w:rPr>
        <w:t>文件处理。若发现此表未逐条填写视为完全满足</w:t>
      </w:r>
      <w:r>
        <w:rPr>
          <w:rFonts w:hint="eastAsia" w:ascii="宋体" w:hAnsi="宋体" w:eastAsia="宋体" w:cs="宋体"/>
          <w:b/>
          <w:kern w:val="0"/>
          <w:sz w:val="21"/>
          <w:szCs w:val="21"/>
          <w:u w:val="single"/>
          <w:lang w:val="en-US" w:eastAsia="zh-CN"/>
        </w:rPr>
        <w:t>竞争性磋商</w:t>
      </w:r>
      <w:r>
        <w:rPr>
          <w:rFonts w:hint="eastAsia" w:ascii="宋体" w:hAnsi="宋体" w:eastAsia="宋体" w:cs="宋体"/>
          <w:b/>
          <w:kern w:val="0"/>
          <w:sz w:val="21"/>
          <w:szCs w:val="21"/>
          <w:u w:val="single"/>
        </w:rPr>
        <w:t>文件要求</w:t>
      </w:r>
      <w:r>
        <w:rPr>
          <w:rFonts w:hint="eastAsia" w:ascii="宋体" w:hAnsi="宋体" w:eastAsia="宋体" w:cs="宋体"/>
          <w:b/>
          <w:kern w:val="0"/>
          <w:sz w:val="21"/>
          <w:szCs w:val="21"/>
        </w:rPr>
        <w:t>。</w:t>
      </w:r>
    </w:p>
    <w:p w14:paraId="7978055D">
      <w:pPr>
        <w:spacing w:line="360" w:lineRule="auto"/>
        <w:ind w:left="610" w:leftChars="18" w:hanging="567" w:hangingChars="270"/>
        <w:outlineLvl w:val="9"/>
        <w:rPr>
          <w:rFonts w:hint="eastAsia" w:ascii="宋体" w:hAnsi="宋体" w:eastAsia="宋体" w:cs="宋体"/>
          <w:sz w:val="21"/>
          <w:szCs w:val="21"/>
        </w:rPr>
      </w:pPr>
      <w:r>
        <w:rPr>
          <w:rFonts w:hint="eastAsia" w:ascii="宋体" w:hAnsi="宋体" w:eastAsia="宋体" w:cs="宋体"/>
          <w:sz w:val="21"/>
          <w:szCs w:val="21"/>
        </w:rPr>
        <w:t>（2）偏离情况（</w:t>
      </w:r>
      <w:r>
        <w:rPr>
          <w:rFonts w:hint="eastAsia" w:ascii="宋体" w:hAnsi="宋体" w:eastAsia="宋体" w:cs="宋体"/>
          <w:sz w:val="21"/>
          <w:szCs w:val="21"/>
          <w:lang w:val="en-US" w:eastAsia="zh-CN"/>
        </w:rPr>
        <w:t>响应</w:t>
      </w:r>
      <w:r>
        <w:rPr>
          <w:rFonts w:hint="eastAsia" w:ascii="宋体" w:hAnsi="宋体" w:eastAsia="宋体" w:cs="宋体"/>
          <w:sz w:val="21"/>
          <w:szCs w:val="21"/>
        </w:rPr>
        <w:t>文件对</w:t>
      </w:r>
      <w:r>
        <w:rPr>
          <w:rFonts w:hint="eastAsia" w:ascii="宋体" w:hAnsi="宋体" w:eastAsia="宋体" w:cs="宋体"/>
          <w:sz w:val="21"/>
          <w:szCs w:val="21"/>
          <w:lang w:val="en-US" w:eastAsia="zh-CN"/>
        </w:rPr>
        <w:t>竞争性磋商</w:t>
      </w:r>
      <w:r>
        <w:rPr>
          <w:rFonts w:hint="eastAsia" w:ascii="宋体" w:hAnsi="宋体" w:eastAsia="宋体" w:cs="宋体"/>
          <w:sz w:val="21"/>
          <w:szCs w:val="21"/>
        </w:rPr>
        <w:t>文件合同条款的响应程度）分为：正偏离、负偏离、无偏离。正偏离是指</w:t>
      </w:r>
      <w:r>
        <w:rPr>
          <w:rFonts w:hint="eastAsia" w:ascii="宋体" w:hAnsi="宋体" w:eastAsia="宋体" w:cs="宋体"/>
          <w:sz w:val="21"/>
          <w:szCs w:val="21"/>
          <w:lang w:val="en-US" w:eastAsia="zh-CN"/>
        </w:rPr>
        <w:t>供应商</w:t>
      </w:r>
      <w:r>
        <w:rPr>
          <w:rFonts w:hint="eastAsia" w:ascii="宋体" w:hAnsi="宋体" w:eastAsia="宋体" w:cs="宋体"/>
          <w:sz w:val="21"/>
          <w:szCs w:val="21"/>
        </w:rPr>
        <w:t>提供的相关服务商务条件优于</w:t>
      </w:r>
      <w:r>
        <w:rPr>
          <w:rFonts w:hint="eastAsia" w:ascii="宋体" w:hAnsi="宋体" w:eastAsia="宋体" w:cs="宋体"/>
          <w:sz w:val="21"/>
          <w:szCs w:val="21"/>
          <w:lang w:val="en-US" w:eastAsia="zh-CN"/>
        </w:rPr>
        <w:t>竞争性磋商</w:t>
      </w:r>
      <w:r>
        <w:rPr>
          <w:rFonts w:hint="eastAsia" w:ascii="宋体" w:hAnsi="宋体" w:eastAsia="宋体" w:cs="宋体"/>
          <w:sz w:val="21"/>
          <w:szCs w:val="21"/>
        </w:rPr>
        <w:t>文件的要求；负偏离是指</w:t>
      </w:r>
      <w:r>
        <w:rPr>
          <w:rFonts w:hint="eastAsia" w:ascii="宋体" w:hAnsi="宋体" w:eastAsia="宋体" w:cs="宋体"/>
          <w:sz w:val="21"/>
          <w:szCs w:val="21"/>
          <w:lang w:val="en-US" w:eastAsia="zh-CN"/>
        </w:rPr>
        <w:t>供应商</w:t>
      </w:r>
      <w:r>
        <w:rPr>
          <w:rFonts w:hint="eastAsia" w:ascii="宋体" w:hAnsi="宋体" w:eastAsia="宋体" w:cs="宋体"/>
          <w:sz w:val="21"/>
          <w:szCs w:val="21"/>
        </w:rPr>
        <w:t>提供的相关服务商务条件不满足或不完全满足</w:t>
      </w:r>
      <w:r>
        <w:rPr>
          <w:rFonts w:hint="eastAsia" w:ascii="宋体" w:hAnsi="宋体" w:eastAsia="宋体" w:cs="宋体"/>
          <w:sz w:val="21"/>
          <w:szCs w:val="21"/>
          <w:lang w:val="en-US" w:eastAsia="zh-CN"/>
        </w:rPr>
        <w:t>竞争性磋商</w:t>
      </w:r>
      <w:r>
        <w:rPr>
          <w:rFonts w:hint="eastAsia" w:ascii="宋体" w:hAnsi="宋体" w:eastAsia="宋体" w:cs="宋体"/>
          <w:sz w:val="21"/>
          <w:szCs w:val="21"/>
        </w:rPr>
        <w:t>文件的要求；无偏离是指</w:t>
      </w:r>
      <w:r>
        <w:rPr>
          <w:rFonts w:hint="eastAsia" w:ascii="宋体" w:hAnsi="宋体" w:eastAsia="宋体" w:cs="宋体"/>
          <w:sz w:val="21"/>
          <w:szCs w:val="21"/>
          <w:lang w:val="en-US" w:eastAsia="zh-CN"/>
        </w:rPr>
        <w:t>供应商</w:t>
      </w:r>
      <w:r>
        <w:rPr>
          <w:rFonts w:hint="eastAsia" w:ascii="宋体" w:hAnsi="宋体" w:eastAsia="宋体" w:cs="宋体"/>
          <w:sz w:val="21"/>
          <w:szCs w:val="21"/>
        </w:rPr>
        <w:t>提供的相关服务商务条件完全满足</w:t>
      </w:r>
      <w:r>
        <w:rPr>
          <w:rFonts w:hint="eastAsia" w:ascii="宋体" w:hAnsi="宋体" w:eastAsia="宋体" w:cs="宋体"/>
          <w:sz w:val="21"/>
          <w:szCs w:val="21"/>
          <w:lang w:val="en-US" w:eastAsia="zh-CN"/>
        </w:rPr>
        <w:t>竞争性磋商</w:t>
      </w:r>
      <w:r>
        <w:rPr>
          <w:rFonts w:hint="eastAsia" w:ascii="宋体" w:hAnsi="宋体" w:eastAsia="宋体" w:cs="宋体"/>
          <w:sz w:val="21"/>
          <w:szCs w:val="21"/>
        </w:rPr>
        <w:t>文件的要求。</w:t>
      </w:r>
    </w:p>
    <w:p w14:paraId="20AC7ECB">
      <w:pPr>
        <w:spacing w:line="360" w:lineRule="auto"/>
        <w:ind w:left="610" w:leftChars="18" w:hanging="567" w:hangingChars="27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（3）</w:t>
      </w:r>
      <w:r>
        <w:rPr>
          <w:rFonts w:hint="eastAsia" w:ascii="宋体" w:hAnsi="宋体" w:eastAsia="宋体" w:cs="宋体"/>
          <w:color w:val="000000"/>
          <w:sz w:val="21"/>
          <w:szCs w:val="21"/>
          <w:lang w:val="en-US" w:eastAsia="zh-CN"/>
        </w:rPr>
        <w:t>竞争性磋商</w:t>
      </w:r>
      <w:r>
        <w:rPr>
          <w:rFonts w:hint="eastAsia" w:ascii="宋体" w:hAnsi="宋体" w:eastAsia="宋体" w:cs="宋体"/>
          <w:color w:val="000000"/>
          <w:sz w:val="21"/>
          <w:szCs w:val="21"/>
        </w:rPr>
        <w:t>文件“第五篇 相关保函格式”作为重要的商务条款，</w:t>
      </w:r>
      <w:r>
        <w:rPr>
          <w:rFonts w:hint="eastAsia" w:ascii="宋体" w:hAnsi="宋体" w:eastAsia="宋体" w:cs="宋体"/>
          <w:color w:val="000000"/>
          <w:sz w:val="21"/>
          <w:szCs w:val="21"/>
          <w:lang w:val="en-US" w:eastAsia="zh-CN"/>
        </w:rPr>
        <w:t>供应商</w:t>
      </w:r>
      <w:r>
        <w:rPr>
          <w:rFonts w:hint="eastAsia" w:ascii="宋体" w:hAnsi="宋体" w:eastAsia="宋体" w:cs="宋体"/>
          <w:color w:val="000000"/>
          <w:sz w:val="21"/>
          <w:szCs w:val="21"/>
        </w:rPr>
        <w:t>的响应情况列入本合同条款偏离表。</w:t>
      </w:r>
    </w:p>
    <w:p w14:paraId="0CE1396F">
      <w:pPr>
        <w:spacing w:line="360" w:lineRule="auto"/>
        <w:ind w:left="610" w:leftChars="18" w:hanging="567" w:hangingChars="27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（4）如</w:t>
      </w:r>
      <w:r>
        <w:rPr>
          <w:rFonts w:hint="eastAsia" w:ascii="宋体" w:hAnsi="宋体" w:eastAsia="宋体" w:cs="宋体"/>
          <w:color w:val="000000"/>
          <w:sz w:val="21"/>
          <w:szCs w:val="21"/>
          <w:lang w:val="en-US" w:eastAsia="zh-CN"/>
        </w:rPr>
        <w:t>供应商</w:t>
      </w:r>
      <w:r>
        <w:rPr>
          <w:rFonts w:hint="eastAsia" w:ascii="宋体" w:hAnsi="宋体" w:eastAsia="宋体" w:cs="宋体"/>
          <w:color w:val="000000"/>
          <w:sz w:val="21"/>
          <w:szCs w:val="21"/>
        </w:rPr>
        <w:t>差异内容较多可另附页说明，并在本偏离表“具体偏离内容”项注明其在</w:t>
      </w:r>
      <w:r>
        <w:rPr>
          <w:rFonts w:hint="eastAsia" w:ascii="宋体" w:hAnsi="宋体" w:eastAsia="宋体" w:cs="宋体"/>
          <w:color w:val="000000"/>
          <w:sz w:val="21"/>
          <w:szCs w:val="21"/>
          <w:lang w:val="en-US" w:eastAsia="zh-CN"/>
        </w:rPr>
        <w:t>响应</w:t>
      </w:r>
      <w:r>
        <w:rPr>
          <w:rFonts w:hint="eastAsia" w:ascii="宋体" w:hAnsi="宋体" w:eastAsia="宋体" w:cs="宋体"/>
          <w:color w:val="000000"/>
          <w:sz w:val="21"/>
          <w:szCs w:val="21"/>
        </w:rPr>
        <w:t>文件中的具体页码。</w:t>
      </w:r>
    </w:p>
    <w:p w14:paraId="116D2AAE">
      <w:pPr>
        <w:spacing w:line="360" w:lineRule="auto"/>
        <w:ind w:left="327" w:leftChars="-100" w:hanging="567" w:hangingChars="270"/>
        <w:outlineLvl w:val="9"/>
        <w:rPr>
          <w:rFonts w:hint="eastAsia" w:ascii="宋体" w:hAnsi="宋体" w:eastAsia="宋体" w:cs="宋体"/>
          <w:sz w:val="21"/>
          <w:szCs w:val="21"/>
        </w:rPr>
      </w:pPr>
    </w:p>
    <w:p w14:paraId="4C807832">
      <w:pPr>
        <w:spacing w:line="360" w:lineRule="auto"/>
        <w:ind w:left="327" w:leftChars="-100" w:hanging="567" w:hangingChars="270"/>
        <w:outlineLvl w:val="9"/>
        <w:rPr>
          <w:rFonts w:hint="eastAsia" w:ascii="宋体" w:hAnsi="宋体" w:eastAsia="宋体" w:cs="宋体"/>
          <w:sz w:val="21"/>
          <w:szCs w:val="21"/>
        </w:rPr>
      </w:pPr>
    </w:p>
    <w:p w14:paraId="6033CB99">
      <w:pPr>
        <w:spacing w:line="360" w:lineRule="auto"/>
        <w:ind w:left="327" w:leftChars="-100" w:hanging="567" w:hangingChars="270"/>
        <w:outlineLvl w:val="9"/>
        <w:rPr>
          <w:rFonts w:hint="eastAsia" w:ascii="宋体" w:hAnsi="宋体" w:eastAsia="宋体" w:cs="宋体"/>
          <w:sz w:val="21"/>
          <w:szCs w:val="21"/>
        </w:rPr>
      </w:pPr>
    </w:p>
    <w:p w14:paraId="7A91F03A">
      <w:pPr>
        <w:spacing w:line="360" w:lineRule="auto"/>
        <w:ind w:firstLine="5040" w:firstLineChars="240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供应商：（加盖供应商法人公章）</w:t>
      </w:r>
    </w:p>
    <w:p w14:paraId="3BF9F012">
      <w:pPr>
        <w:spacing w:line="360" w:lineRule="auto"/>
        <w:ind w:firstLine="5040" w:firstLineChars="240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日</w:t>
      </w:r>
      <w:r>
        <w:rPr>
          <w:rFonts w:hint="eastAsia" w:ascii="宋体" w:hAnsi="宋体" w:cs="宋体"/>
          <w:color w:val="auto"/>
          <w:kern w:val="2"/>
          <w:sz w:val="21"/>
          <w:highlight w:val="none"/>
          <w:lang w:val="en-US" w:eastAsia="zh-CN"/>
        </w:rPr>
        <w:t xml:space="preserve">  </w:t>
      </w:r>
      <w:r>
        <w:rPr>
          <w:rFonts w:hint="eastAsia" w:ascii="宋体" w:hAnsi="宋体" w:eastAsia="宋体" w:cs="宋体"/>
          <w:color w:val="auto"/>
          <w:kern w:val="2"/>
          <w:sz w:val="21"/>
          <w:highlight w:val="none"/>
          <w:lang w:val="zh-CN"/>
        </w:rPr>
        <w:t>期：   年   月   日</w:t>
      </w:r>
    </w:p>
    <w:p w14:paraId="2C217C86">
      <w:pPr>
        <w:keepNext w:val="0"/>
        <w:keepLines w:val="0"/>
        <w:pageBreakBefore/>
        <w:widowControl w:val="0"/>
        <w:tabs>
          <w:tab w:val="left" w:pos="567"/>
        </w:tabs>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b/>
          <w:kern w:val="0"/>
          <w:sz w:val="32"/>
          <w:szCs w:val="32"/>
        </w:rPr>
      </w:pPr>
      <w:bookmarkStart w:id="401" w:name="_Toc102860426"/>
      <w:bookmarkStart w:id="402" w:name="_Toc142508377"/>
      <w:bookmarkStart w:id="403" w:name="_Toc5473"/>
      <w:bookmarkStart w:id="404" w:name="_Toc94107218"/>
      <w:bookmarkStart w:id="405" w:name="_Toc29505"/>
      <w:bookmarkStart w:id="406" w:name="_Toc104991884"/>
      <w:bookmarkStart w:id="407" w:name="_Toc140596937"/>
      <w:bookmarkStart w:id="408" w:name="_Toc13179"/>
      <w:bookmarkStart w:id="409" w:name="_Toc102860082"/>
      <w:r>
        <w:rPr>
          <w:rFonts w:hint="eastAsia" w:ascii="宋体" w:hAnsi="宋体" w:eastAsia="宋体" w:cs="宋体"/>
          <w:b/>
          <w:kern w:val="0"/>
          <w:sz w:val="32"/>
          <w:szCs w:val="32"/>
        </w:rPr>
        <w:t>十、业绩表格式</w:t>
      </w:r>
      <w:bookmarkEnd w:id="401"/>
      <w:bookmarkEnd w:id="402"/>
      <w:bookmarkEnd w:id="403"/>
      <w:bookmarkEnd w:id="404"/>
      <w:bookmarkEnd w:id="405"/>
      <w:bookmarkEnd w:id="406"/>
      <w:bookmarkEnd w:id="407"/>
      <w:bookmarkEnd w:id="408"/>
      <w:bookmarkEnd w:id="409"/>
    </w:p>
    <w:p w14:paraId="2852AA5E">
      <w:pPr>
        <w:autoSpaceDE w:val="0"/>
        <w:autoSpaceDN w:val="0"/>
        <w:adjustRightInd w:val="0"/>
        <w:spacing w:line="360" w:lineRule="auto"/>
        <w:ind w:firstLine="602"/>
        <w:jc w:val="center"/>
        <w:outlineLvl w:val="9"/>
        <w:rPr>
          <w:rFonts w:hint="eastAsia" w:ascii="宋体" w:hAnsi="宋体" w:eastAsia="宋体" w:cs="宋体"/>
          <w:b/>
          <w:bCs/>
          <w:color w:val="auto"/>
          <w:sz w:val="30"/>
          <w:szCs w:val="30"/>
        </w:rPr>
      </w:pPr>
      <w:r>
        <w:rPr>
          <w:rFonts w:hint="eastAsia" w:ascii="宋体" w:hAnsi="宋体" w:eastAsia="宋体" w:cs="宋体"/>
          <w:b/>
          <w:bCs/>
          <w:color w:val="auto"/>
          <w:sz w:val="30"/>
          <w:szCs w:val="30"/>
          <w:lang w:val="en-US" w:eastAsia="zh-CN"/>
        </w:rPr>
        <w:t>供应商</w:t>
      </w:r>
      <w:r>
        <w:rPr>
          <w:rFonts w:hint="eastAsia" w:ascii="宋体" w:hAnsi="宋体" w:eastAsia="宋体" w:cs="宋体"/>
          <w:b/>
          <w:bCs/>
          <w:color w:val="auto"/>
          <w:sz w:val="30"/>
          <w:szCs w:val="30"/>
          <w:lang w:val="zh-CN"/>
        </w:rPr>
        <w:t>20</w:t>
      </w:r>
      <w:r>
        <w:rPr>
          <w:rFonts w:hint="eastAsia" w:ascii="宋体" w:hAnsi="宋体" w:eastAsia="宋体" w:cs="宋体"/>
          <w:b/>
          <w:bCs/>
          <w:color w:val="auto"/>
          <w:sz w:val="30"/>
          <w:szCs w:val="30"/>
          <w:lang w:val="en-US" w:eastAsia="zh-CN"/>
        </w:rPr>
        <w:t>19</w:t>
      </w:r>
      <w:r>
        <w:rPr>
          <w:rFonts w:hint="eastAsia" w:ascii="宋体" w:hAnsi="宋体" w:eastAsia="宋体" w:cs="宋体"/>
          <w:b/>
          <w:bCs/>
          <w:color w:val="auto"/>
          <w:sz w:val="30"/>
          <w:szCs w:val="30"/>
          <w:lang w:val="zh-CN"/>
        </w:rPr>
        <w:t>年1月1日至今（签订合同的时间为20</w:t>
      </w:r>
      <w:r>
        <w:rPr>
          <w:rFonts w:hint="eastAsia" w:ascii="宋体" w:hAnsi="宋体" w:eastAsia="宋体" w:cs="宋体"/>
          <w:b/>
          <w:bCs/>
          <w:color w:val="auto"/>
          <w:sz w:val="30"/>
          <w:szCs w:val="30"/>
          <w:lang w:val="en-US" w:eastAsia="zh-CN"/>
        </w:rPr>
        <w:t>19</w:t>
      </w:r>
      <w:r>
        <w:rPr>
          <w:rFonts w:hint="eastAsia" w:ascii="宋体" w:hAnsi="宋体" w:eastAsia="宋体" w:cs="宋体"/>
          <w:b/>
          <w:bCs/>
          <w:color w:val="auto"/>
          <w:sz w:val="30"/>
          <w:szCs w:val="30"/>
          <w:lang w:val="zh-CN"/>
        </w:rPr>
        <w:t>年1月1日或以后）承接的生活污水处理厂污泥脱水减量化处理服务业绩表(   包组)</w:t>
      </w:r>
    </w:p>
    <w:tbl>
      <w:tblPr>
        <w:tblStyle w:val="55"/>
        <w:tblW w:w="542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13"/>
        <w:gridCol w:w="828"/>
        <w:gridCol w:w="986"/>
        <w:gridCol w:w="1654"/>
        <w:gridCol w:w="803"/>
        <w:gridCol w:w="1996"/>
        <w:gridCol w:w="1413"/>
        <w:gridCol w:w="963"/>
        <w:gridCol w:w="866"/>
        <w:gridCol w:w="1019"/>
      </w:tblGrid>
      <w:tr w14:paraId="361A85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jc w:val="center"/>
        </w:trPr>
        <w:tc>
          <w:tcPr>
            <w:tcW w:w="317" w:type="pct"/>
            <w:tcBorders>
              <w:top w:val="single" w:color="auto" w:sz="4" w:space="0"/>
              <w:left w:val="single" w:color="auto" w:sz="4" w:space="0"/>
              <w:bottom w:val="single" w:color="auto" w:sz="4" w:space="0"/>
              <w:right w:val="single" w:color="auto" w:sz="4" w:space="0"/>
            </w:tcBorders>
            <w:vAlign w:val="center"/>
          </w:tcPr>
          <w:p w14:paraId="7CB565C1">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368" w:type="pct"/>
            <w:tcBorders>
              <w:top w:val="single" w:color="auto" w:sz="4" w:space="0"/>
              <w:left w:val="single" w:color="auto" w:sz="4" w:space="0"/>
              <w:bottom w:val="single" w:color="auto" w:sz="4" w:space="0"/>
              <w:right w:val="single" w:color="auto" w:sz="4" w:space="0"/>
            </w:tcBorders>
            <w:vAlign w:val="center"/>
          </w:tcPr>
          <w:p w14:paraId="3F4FEB60">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项目名称</w:t>
            </w:r>
          </w:p>
        </w:tc>
        <w:tc>
          <w:tcPr>
            <w:tcW w:w="438" w:type="pct"/>
            <w:tcBorders>
              <w:top w:val="single" w:color="auto" w:sz="4" w:space="0"/>
              <w:left w:val="single" w:color="auto" w:sz="4" w:space="0"/>
              <w:bottom w:val="single" w:color="auto" w:sz="4" w:space="0"/>
              <w:right w:val="single" w:color="auto" w:sz="4" w:space="0"/>
            </w:tcBorders>
            <w:vAlign w:val="center"/>
          </w:tcPr>
          <w:p w14:paraId="17F277CB">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生活污水处理厂名称</w:t>
            </w:r>
          </w:p>
        </w:tc>
        <w:tc>
          <w:tcPr>
            <w:tcW w:w="735" w:type="pct"/>
            <w:tcBorders>
              <w:top w:val="single" w:color="auto" w:sz="4" w:space="0"/>
              <w:left w:val="single" w:color="auto" w:sz="4" w:space="0"/>
              <w:bottom w:val="single" w:color="auto" w:sz="4" w:space="0"/>
              <w:right w:val="single" w:color="auto" w:sz="4" w:space="0"/>
            </w:tcBorders>
            <w:vAlign w:val="center"/>
          </w:tcPr>
          <w:p w14:paraId="193CEFDB">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供应商</w:t>
            </w:r>
            <w:r>
              <w:rPr>
                <w:rFonts w:hint="eastAsia" w:ascii="宋体" w:hAnsi="宋体" w:eastAsia="宋体" w:cs="宋体"/>
                <w:color w:val="000000" w:themeColor="text1"/>
                <w:sz w:val="21"/>
                <w:szCs w:val="21"/>
                <w14:textFill>
                  <w14:solidFill>
                    <w14:schemeClr w14:val="tx1"/>
                  </w14:solidFill>
                </w14:textFill>
              </w:rPr>
              <w:t>负责的主要服务内容</w:t>
            </w:r>
          </w:p>
        </w:tc>
        <w:tc>
          <w:tcPr>
            <w:tcW w:w="357" w:type="pct"/>
            <w:tcBorders>
              <w:top w:val="single" w:color="auto" w:sz="4" w:space="0"/>
              <w:left w:val="single" w:color="auto" w:sz="4" w:space="0"/>
              <w:bottom w:val="single" w:color="auto" w:sz="4" w:space="0"/>
              <w:right w:val="single" w:color="auto" w:sz="4" w:space="0"/>
            </w:tcBorders>
            <w:vAlign w:val="center"/>
          </w:tcPr>
          <w:p w14:paraId="68BA3C3B">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污泥类别</w:t>
            </w:r>
          </w:p>
        </w:tc>
        <w:tc>
          <w:tcPr>
            <w:tcW w:w="887" w:type="pct"/>
            <w:tcBorders>
              <w:top w:val="single" w:color="auto" w:sz="4" w:space="0"/>
              <w:left w:val="single" w:color="auto" w:sz="4" w:space="0"/>
              <w:bottom w:val="single" w:color="auto" w:sz="4" w:space="0"/>
              <w:right w:val="single" w:color="auto" w:sz="4" w:space="0"/>
            </w:tcBorders>
            <w:vAlign w:val="center"/>
          </w:tcPr>
          <w:p w14:paraId="3CF5771D">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污泥处理规模（按含水率80%计）（单位：吨/天）</w:t>
            </w:r>
          </w:p>
        </w:tc>
        <w:tc>
          <w:tcPr>
            <w:tcW w:w="628" w:type="pct"/>
            <w:tcBorders>
              <w:top w:val="single" w:color="auto" w:sz="4" w:space="0"/>
              <w:left w:val="single" w:color="auto" w:sz="4" w:space="0"/>
              <w:bottom w:val="single" w:color="auto" w:sz="4" w:space="0"/>
              <w:right w:val="single" w:color="auto" w:sz="4" w:space="0"/>
            </w:tcBorders>
            <w:vAlign w:val="center"/>
          </w:tcPr>
          <w:p w14:paraId="3591B43E">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脱水后的污泥含水率</w:t>
            </w:r>
          </w:p>
        </w:tc>
        <w:tc>
          <w:tcPr>
            <w:tcW w:w="428" w:type="pct"/>
            <w:tcBorders>
              <w:top w:val="single" w:color="auto" w:sz="4" w:space="0"/>
              <w:left w:val="single" w:color="auto" w:sz="4" w:space="0"/>
              <w:bottom w:val="single" w:color="auto" w:sz="4" w:space="0"/>
              <w:right w:val="single" w:color="auto" w:sz="4" w:space="0"/>
            </w:tcBorders>
            <w:vAlign w:val="center"/>
          </w:tcPr>
          <w:p w14:paraId="7B906B54">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合同服务期限</w:t>
            </w:r>
          </w:p>
        </w:tc>
        <w:tc>
          <w:tcPr>
            <w:tcW w:w="385" w:type="pct"/>
            <w:tcBorders>
              <w:top w:val="single" w:color="auto" w:sz="4" w:space="0"/>
              <w:left w:val="single" w:color="auto" w:sz="4" w:space="0"/>
              <w:bottom w:val="single" w:color="auto" w:sz="4" w:space="0"/>
              <w:right w:val="single" w:color="auto" w:sz="4" w:space="0"/>
            </w:tcBorders>
            <w:vAlign w:val="center"/>
          </w:tcPr>
          <w:p w14:paraId="35417898">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签约日期</w:t>
            </w:r>
          </w:p>
        </w:tc>
        <w:tc>
          <w:tcPr>
            <w:tcW w:w="453" w:type="pct"/>
            <w:tcBorders>
              <w:top w:val="single" w:color="auto" w:sz="4" w:space="0"/>
              <w:left w:val="single" w:color="auto" w:sz="4" w:space="0"/>
              <w:bottom w:val="single" w:color="auto" w:sz="4" w:space="0"/>
              <w:right w:val="single" w:color="auto" w:sz="4" w:space="0"/>
            </w:tcBorders>
            <w:vAlign w:val="center"/>
          </w:tcPr>
          <w:p w14:paraId="2F1466BE">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业主联系人及电话</w:t>
            </w:r>
          </w:p>
        </w:tc>
      </w:tr>
      <w:tr w14:paraId="55F5A3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317" w:type="pct"/>
            <w:tcBorders>
              <w:top w:val="single" w:color="auto" w:sz="4" w:space="0"/>
              <w:left w:val="single" w:color="auto" w:sz="4" w:space="0"/>
              <w:bottom w:val="single" w:color="auto" w:sz="4" w:space="0"/>
              <w:right w:val="single" w:color="auto" w:sz="4" w:space="0"/>
            </w:tcBorders>
            <w:vAlign w:val="center"/>
          </w:tcPr>
          <w:p w14:paraId="2A566454">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1</w:t>
            </w:r>
          </w:p>
        </w:tc>
        <w:tc>
          <w:tcPr>
            <w:tcW w:w="368" w:type="pct"/>
            <w:tcBorders>
              <w:top w:val="single" w:color="auto" w:sz="4" w:space="0"/>
              <w:left w:val="single" w:color="auto" w:sz="4" w:space="0"/>
              <w:bottom w:val="single" w:color="auto" w:sz="4" w:space="0"/>
              <w:right w:val="single" w:color="auto" w:sz="4" w:space="0"/>
            </w:tcBorders>
            <w:vAlign w:val="center"/>
          </w:tcPr>
          <w:p w14:paraId="4E7F38F6">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438" w:type="pct"/>
            <w:tcBorders>
              <w:top w:val="single" w:color="auto" w:sz="4" w:space="0"/>
              <w:left w:val="single" w:color="auto" w:sz="4" w:space="0"/>
              <w:bottom w:val="single" w:color="auto" w:sz="4" w:space="0"/>
              <w:right w:val="single" w:color="auto" w:sz="4" w:space="0"/>
            </w:tcBorders>
            <w:vAlign w:val="center"/>
          </w:tcPr>
          <w:p w14:paraId="53F6F272">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735" w:type="pct"/>
            <w:tcBorders>
              <w:top w:val="single" w:color="auto" w:sz="4" w:space="0"/>
              <w:left w:val="single" w:color="auto" w:sz="4" w:space="0"/>
              <w:bottom w:val="single" w:color="auto" w:sz="4" w:space="0"/>
              <w:right w:val="single" w:color="auto" w:sz="4" w:space="0"/>
            </w:tcBorders>
            <w:vAlign w:val="center"/>
          </w:tcPr>
          <w:p w14:paraId="1E8ECEF8">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357" w:type="pct"/>
            <w:tcBorders>
              <w:top w:val="single" w:color="auto" w:sz="4" w:space="0"/>
              <w:left w:val="single" w:color="auto" w:sz="4" w:space="0"/>
              <w:bottom w:val="single" w:color="auto" w:sz="4" w:space="0"/>
              <w:right w:val="single" w:color="auto" w:sz="4" w:space="0"/>
            </w:tcBorders>
            <w:vAlign w:val="center"/>
          </w:tcPr>
          <w:p w14:paraId="04232C0A">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887" w:type="pct"/>
            <w:tcBorders>
              <w:top w:val="single" w:color="auto" w:sz="4" w:space="0"/>
              <w:left w:val="single" w:color="auto" w:sz="4" w:space="0"/>
              <w:bottom w:val="single" w:color="auto" w:sz="4" w:space="0"/>
              <w:right w:val="single" w:color="auto" w:sz="4" w:space="0"/>
            </w:tcBorders>
            <w:vAlign w:val="center"/>
          </w:tcPr>
          <w:p w14:paraId="6449B83D">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628" w:type="pct"/>
            <w:tcBorders>
              <w:top w:val="single" w:color="auto" w:sz="4" w:space="0"/>
              <w:left w:val="single" w:color="auto" w:sz="4" w:space="0"/>
              <w:bottom w:val="single" w:color="auto" w:sz="4" w:space="0"/>
              <w:right w:val="single" w:color="auto" w:sz="4" w:space="0"/>
            </w:tcBorders>
            <w:vAlign w:val="center"/>
          </w:tcPr>
          <w:p w14:paraId="2438A01E">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428" w:type="pct"/>
            <w:tcBorders>
              <w:top w:val="single" w:color="auto" w:sz="4" w:space="0"/>
              <w:left w:val="single" w:color="auto" w:sz="4" w:space="0"/>
              <w:bottom w:val="single" w:color="auto" w:sz="4" w:space="0"/>
              <w:right w:val="single" w:color="auto" w:sz="4" w:space="0"/>
            </w:tcBorders>
            <w:vAlign w:val="center"/>
          </w:tcPr>
          <w:p w14:paraId="61826F41">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385" w:type="pct"/>
            <w:tcBorders>
              <w:top w:val="single" w:color="auto" w:sz="4" w:space="0"/>
              <w:left w:val="single" w:color="auto" w:sz="4" w:space="0"/>
              <w:bottom w:val="single" w:color="auto" w:sz="4" w:space="0"/>
              <w:right w:val="single" w:color="auto" w:sz="4" w:space="0"/>
            </w:tcBorders>
            <w:vAlign w:val="center"/>
          </w:tcPr>
          <w:p w14:paraId="19E484C4">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453" w:type="pct"/>
            <w:tcBorders>
              <w:top w:val="single" w:color="auto" w:sz="4" w:space="0"/>
              <w:left w:val="single" w:color="auto" w:sz="4" w:space="0"/>
              <w:bottom w:val="single" w:color="auto" w:sz="4" w:space="0"/>
              <w:right w:val="single" w:color="auto" w:sz="4" w:space="0"/>
            </w:tcBorders>
            <w:vAlign w:val="center"/>
          </w:tcPr>
          <w:p w14:paraId="33496EF8">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r>
      <w:tr w14:paraId="49EE6C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317" w:type="pct"/>
            <w:tcBorders>
              <w:top w:val="single" w:color="auto" w:sz="4" w:space="0"/>
              <w:left w:val="single" w:color="auto" w:sz="4" w:space="0"/>
              <w:bottom w:val="single" w:color="auto" w:sz="4" w:space="0"/>
              <w:right w:val="single" w:color="auto" w:sz="4" w:space="0"/>
            </w:tcBorders>
            <w:vAlign w:val="center"/>
          </w:tcPr>
          <w:p w14:paraId="13B2DFB8">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2</w:t>
            </w:r>
          </w:p>
        </w:tc>
        <w:tc>
          <w:tcPr>
            <w:tcW w:w="368" w:type="pct"/>
            <w:tcBorders>
              <w:top w:val="single" w:color="auto" w:sz="4" w:space="0"/>
              <w:left w:val="single" w:color="auto" w:sz="4" w:space="0"/>
              <w:bottom w:val="single" w:color="auto" w:sz="4" w:space="0"/>
              <w:right w:val="single" w:color="auto" w:sz="4" w:space="0"/>
            </w:tcBorders>
            <w:vAlign w:val="center"/>
          </w:tcPr>
          <w:p w14:paraId="23990BA3">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438" w:type="pct"/>
            <w:tcBorders>
              <w:top w:val="single" w:color="auto" w:sz="4" w:space="0"/>
              <w:left w:val="single" w:color="auto" w:sz="4" w:space="0"/>
              <w:bottom w:val="single" w:color="auto" w:sz="4" w:space="0"/>
              <w:right w:val="single" w:color="auto" w:sz="4" w:space="0"/>
            </w:tcBorders>
            <w:vAlign w:val="center"/>
          </w:tcPr>
          <w:p w14:paraId="70605FEF">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735" w:type="pct"/>
            <w:tcBorders>
              <w:top w:val="single" w:color="auto" w:sz="4" w:space="0"/>
              <w:left w:val="single" w:color="auto" w:sz="4" w:space="0"/>
              <w:bottom w:val="single" w:color="auto" w:sz="4" w:space="0"/>
              <w:right w:val="single" w:color="auto" w:sz="4" w:space="0"/>
            </w:tcBorders>
            <w:vAlign w:val="center"/>
          </w:tcPr>
          <w:p w14:paraId="7CB17FDC">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357" w:type="pct"/>
            <w:tcBorders>
              <w:top w:val="single" w:color="auto" w:sz="4" w:space="0"/>
              <w:left w:val="single" w:color="auto" w:sz="4" w:space="0"/>
              <w:bottom w:val="single" w:color="auto" w:sz="4" w:space="0"/>
              <w:right w:val="single" w:color="auto" w:sz="4" w:space="0"/>
            </w:tcBorders>
            <w:vAlign w:val="center"/>
          </w:tcPr>
          <w:p w14:paraId="3CE5D13F">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887" w:type="pct"/>
            <w:tcBorders>
              <w:top w:val="single" w:color="auto" w:sz="4" w:space="0"/>
              <w:left w:val="single" w:color="auto" w:sz="4" w:space="0"/>
              <w:bottom w:val="single" w:color="auto" w:sz="4" w:space="0"/>
              <w:right w:val="single" w:color="auto" w:sz="4" w:space="0"/>
            </w:tcBorders>
            <w:vAlign w:val="center"/>
          </w:tcPr>
          <w:p w14:paraId="7357B2EE">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628" w:type="pct"/>
            <w:tcBorders>
              <w:top w:val="single" w:color="auto" w:sz="4" w:space="0"/>
              <w:left w:val="single" w:color="auto" w:sz="4" w:space="0"/>
              <w:bottom w:val="single" w:color="auto" w:sz="4" w:space="0"/>
              <w:right w:val="single" w:color="auto" w:sz="4" w:space="0"/>
            </w:tcBorders>
            <w:vAlign w:val="center"/>
          </w:tcPr>
          <w:p w14:paraId="3621A1C1">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428" w:type="pct"/>
            <w:tcBorders>
              <w:top w:val="single" w:color="auto" w:sz="4" w:space="0"/>
              <w:left w:val="single" w:color="auto" w:sz="4" w:space="0"/>
              <w:bottom w:val="single" w:color="auto" w:sz="4" w:space="0"/>
              <w:right w:val="single" w:color="auto" w:sz="4" w:space="0"/>
            </w:tcBorders>
            <w:vAlign w:val="center"/>
          </w:tcPr>
          <w:p w14:paraId="0774C07D">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385" w:type="pct"/>
            <w:tcBorders>
              <w:top w:val="single" w:color="auto" w:sz="4" w:space="0"/>
              <w:left w:val="single" w:color="auto" w:sz="4" w:space="0"/>
              <w:bottom w:val="single" w:color="auto" w:sz="4" w:space="0"/>
              <w:right w:val="single" w:color="auto" w:sz="4" w:space="0"/>
            </w:tcBorders>
            <w:vAlign w:val="center"/>
          </w:tcPr>
          <w:p w14:paraId="60F9F545">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453" w:type="pct"/>
            <w:tcBorders>
              <w:top w:val="single" w:color="auto" w:sz="4" w:space="0"/>
              <w:left w:val="single" w:color="auto" w:sz="4" w:space="0"/>
              <w:bottom w:val="single" w:color="auto" w:sz="4" w:space="0"/>
              <w:right w:val="single" w:color="auto" w:sz="4" w:space="0"/>
            </w:tcBorders>
            <w:vAlign w:val="center"/>
          </w:tcPr>
          <w:p w14:paraId="78B43ED1">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r>
      <w:tr w14:paraId="232C3A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317" w:type="pct"/>
            <w:tcBorders>
              <w:top w:val="single" w:color="auto" w:sz="4" w:space="0"/>
              <w:left w:val="single" w:color="auto" w:sz="4" w:space="0"/>
              <w:bottom w:val="single" w:color="auto" w:sz="4" w:space="0"/>
              <w:right w:val="single" w:color="auto" w:sz="4" w:space="0"/>
            </w:tcBorders>
            <w:vAlign w:val="center"/>
          </w:tcPr>
          <w:p w14:paraId="61B1BEF3">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3</w:t>
            </w:r>
          </w:p>
        </w:tc>
        <w:tc>
          <w:tcPr>
            <w:tcW w:w="368" w:type="pct"/>
            <w:tcBorders>
              <w:top w:val="single" w:color="auto" w:sz="4" w:space="0"/>
              <w:left w:val="single" w:color="auto" w:sz="4" w:space="0"/>
              <w:bottom w:val="single" w:color="auto" w:sz="4" w:space="0"/>
              <w:right w:val="single" w:color="auto" w:sz="4" w:space="0"/>
            </w:tcBorders>
            <w:vAlign w:val="center"/>
          </w:tcPr>
          <w:p w14:paraId="0612E776">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438" w:type="pct"/>
            <w:tcBorders>
              <w:top w:val="single" w:color="auto" w:sz="4" w:space="0"/>
              <w:left w:val="single" w:color="auto" w:sz="4" w:space="0"/>
              <w:bottom w:val="single" w:color="auto" w:sz="4" w:space="0"/>
              <w:right w:val="single" w:color="auto" w:sz="4" w:space="0"/>
            </w:tcBorders>
            <w:vAlign w:val="center"/>
          </w:tcPr>
          <w:p w14:paraId="50460A1E">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735" w:type="pct"/>
            <w:tcBorders>
              <w:top w:val="single" w:color="auto" w:sz="4" w:space="0"/>
              <w:left w:val="single" w:color="auto" w:sz="4" w:space="0"/>
              <w:bottom w:val="single" w:color="auto" w:sz="4" w:space="0"/>
              <w:right w:val="single" w:color="auto" w:sz="4" w:space="0"/>
            </w:tcBorders>
            <w:vAlign w:val="center"/>
          </w:tcPr>
          <w:p w14:paraId="289C4168">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357" w:type="pct"/>
            <w:tcBorders>
              <w:top w:val="single" w:color="auto" w:sz="4" w:space="0"/>
              <w:left w:val="single" w:color="auto" w:sz="4" w:space="0"/>
              <w:bottom w:val="single" w:color="auto" w:sz="4" w:space="0"/>
              <w:right w:val="single" w:color="auto" w:sz="4" w:space="0"/>
            </w:tcBorders>
            <w:vAlign w:val="center"/>
          </w:tcPr>
          <w:p w14:paraId="2C17D6EC">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887" w:type="pct"/>
            <w:tcBorders>
              <w:top w:val="single" w:color="auto" w:sz="4" w:space="0"/>
              <w:left w:val="single" w:color="auto" w:sz="4" w:space="0"/>
              <w:bottom w:val="single" w:color="auto" w:sz="4" w:space="0"/>
              <w:right w:val="single" w:color="auto" w:sz="4" w:space="0"/>
            </w:tcBorders>
            <w:vAlign w:val="center"/>
          </w:tcPr>
          <w:p w14:paraId="6E1292C9">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628" w:type="pct"/>
            <w:tcBorders>
              <w:top w:val="single" w:color="auto" w:sz="4" w:space="0"/>
              <w:left w:val="single" w:color="auto" w:sz="4" w:space="0"/>
              <w:bottom w:val="single" w:color="auto" w:sz="4" w:space="0"/>
              <w:right w:val="single" w:color="auto" w:sz="4" w:space="0"/>
            </w:tcBorders>
            <w:vAlign w:val="center"/>
          </w:tcPr>
          <w:p w14:paraId="2546C2A8">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428" w:type="pct"/>
            <w:tcBorders>
              <w:top w:val="single" w:color="auto" w:sz="4" w:space="0"/>
              <w:left w:val="single" w:color="auto" w:sz="4" w:space="0"/>
              <w:bottom w:val="single" w:color="auto" w:sz="4" w:space="0"/>
              <w:right w:val="single" w:color="auto" w:sz="4" w:space="0"/>
            </w:tcBorders>
            <w:vAlign w:val="center"/>
          </w:tcPr>
          <w:p w14:paraId="43E3B4AE">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385" w:type="pct"/>
            <w:tcBorders>
              <w:top w:val="single" w:color="auto" w:sz="4" w:space="0"/>
              <w:left w:val="single" w:color="auto" w:sz="4" w:space="0"/>
              <w:bottom w:val="single" w:color="auto" w:sz="4" w:space="0"/>
              <w:right w:val="single" w:color="auto" w:sz="4" w:space="0"/>
            </w:tcBorders>
            <w:vAlign w:val="center"/>
          </w:tcPr>
          <w:p w14:paraId="6057C1D8">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453" w:type="pct"/>
            <w:tcBorders>
              <w:top w:val="single" w:color="auto" w:sz="4" w:space="0"/>
              <w:left w:val="single" w:color="auto" w:sz="4" w:space="0"/>
              <w:bottom w:val="single" w:color="auto" w:sz="4" w:space="0"/>
              <w:right w:val="single" w:color="auto" w:sz="4" w:space="0"/>
            </w:tcBorders>
            <w:vAlign w:val="center"/>
          </w:tcPr>
          <w:p w14:paraId="4A825D6E">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r>
      <w:tr w14:paraId="1CF3D9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317" w:type="pct"/>
            <w:tcBorders>
              <w:top w:val="single" w:color="auto" w:sz="4" w:space="0"/>
              <w:left w:val="single" w:color="auto" w:sz="4" w:space="0"/>
              <w:bottom w:val="single" w:color="auto" w:sz="4" w:space="0"/>
              <w:right w:val="single" w:color="auto" w:sz="4" w:space="0"/>
            </w:tcBorders>
            <w:vAlign w:val="center"/>
          </w:tcPr>
          <w:p w14:paraId="6787EE67">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368" w:type="pct"/>
            <w:tcBorders>
              <w:top w:val="single" w:color="auto" w:sz="4" w:space="0"/>
              <w:left w:val="single" w:color="auto" w:sz="4" w:space="0"/>
              <w:bottom w:val="single" w:color="auto" w:sz="4" w:space="0"/>
              <w:right w:val="single" w:color="auto" w:sz="4" w:space="0"/>
            </w:tcBorders>
            <w:vAlign w:val="center"/>
          </w:tcPr>
          <w:p w14:paraId="181A23B2">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438" w:type="pct"/>
            <w:tcBorders>
              <w:top w:val="single" w:color="auto" w:sz="4" w:space="0"/>
              <w:left w:val="single" w:color="auto" w:sz="4" w:space="0"/>
              <w:bottom w:val="single" w:color="auto" w:sz="4" w:space="0"/>
              <w:right w:val="single" w:color="auto" w:sz="4" w:space="0"/>
            </w:tcBorders>
            <w:vAlign w:val="center"/>
          </w:tcPr>
          <w:p w14:paraId="52D87D92">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735" w:type="pct"/>
            <w:tcBorders>
              <w:top w:val="single" w:color="auto" w:sz="4" w:space="0"/>
              <w:left w:val="single" w:color="auto" w:sz="4" w:space="0"/>
              <w:bottom w:val="single" w:color="auto" w:sz="4" w:space="0"/>
              <w:right w:val="single" w:color="auto" w:sz="4" w:space="0"/>
            </w:tcBorders>
            <w:vAlign w:val="center"/>
          </w:tcPr>
          <w:p w14:paraId="085DC2C2">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357" w:type="pct"/>
            <w:tcBorders>
              <w:top w:val="single" w:color="auto" w:sz="4" w:space="0"/>
              <w:left w:val="single" w:color="auto" w:sz="4" w:space="0"/>
              <w:bottom w:val="single" w:color="auto" w:sz="4" w:space="0"/>
              <w:right w:val="single" w:color="auto" w:sz="4" w:space="0"/>
            </w:tcBorders>
            <w:vAlign w:val="center"/>
          </w:tcPr>
          <w:p w14:paraId="2EAD70DA">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887" w:type="pct"/>
            <w:tcBorders>
              <w:top w:val="single" w:color="auto" w:sz="4" w:space="0"/>
              <w:left w:val="single" w:color="auto" w:sz="4" w:space="0"/>
              <w:bottom w:val="single" w:color="auto" w:sz="4" w:space="0"/>
              <w:right w:val="single" w:color="auto" w:sz="4" w:space="0"/>
            </w:tcBorders>
            <w:vAlign w:val="center"/>
          </w:tcPr>
          <w:p w14:paraId="6B4AC52C">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628" w:type="pct"/>
            <w:tcBorders>
              <w:top w:val="single" w:color="auto" w:sz="4" w:space="0"/>
              <w:left w:val="single" w:color="auto" w:sz="4" w:space="0"/>
              <w:bottom w:val="single" w:color="auto" w:sz="4" w:space="0"/>
              <w:right w:val="single" w:color="auto" w:sz="4" w:space="0"/>
            </w:tcBorders>
            <w:vAlign w:val="center"/>
          </w:tcPr>
          <w:p w14:paraId="426DB6C2">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428" w:type="pct"/>
            <w:tcBorders>
              <w:top w:val="single" w:color="auto" w:sz="4" w:space="0"/>
              <w:left w:val="single" w:color="auto" w:sz="4" w:space="0"/>
              <w:bottom w:val="single" w:color="auto" w:sz="4" w:space="0"/>
              <w:right w:val="single" w:color="auto" w:sz="4" w:space="0"/>
            </w:tcBorders>
            <w:vAlign w:val="center"/>
          </w:tcPr>
          <w:p w14:paraId="69FA90D4">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385" w:type="pct"/>
            <w:tcBorders>
              <w:top w:val="single" w:color="auto" w:sz="4" w:space="0"/>
              <w:left w:val="single" w:color="auto" w:sz="4" w:space="0"/>
              <w:bottom w:val="single" w:color="auto" w:sz="4" w:space="0"/>
              <w:right w:val="single" w:color="auto" w:sz="4" w:space="0"/>
            </w:tcBorders>
            <w:vAlign w:val="center"/>
          </w:tcPr>
          <w:p w14:paraId="3217D5C4">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453" w:type="pct"/>
            <w:tcBorders>
              <w:top w:val="single" w:color="auto" w:sz="4" w:space="0"/>
              <w:left w:val="single" w:color="auto" w:sz="4" w:space="0"/>
              <w:bottom w:val="single" w:color="auto" w:sz="4" w:space="0"/>
              <w:right w:val="single" w:color="auto" w:sz="4" w:space="0"/>
            </w:tcBorders>
            <w:vAlign w:val="center"/>
          </w:tcPr>
          <w:p w14:paraId="6BE447BD">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r>
    </w:tbl>
    <w:p w14:paraId="53A23566">
      <w:pPr>
        <w:autoSpaceDE w:val="0"/>
        <w:autoSpaceDN w:val="0"/>
        <w:adjustRightInd w:val="0"/>
        <w:snapToGrid w:val="0"/>
        <w:spacing w:line="360" w:lineRule="auto"/>
        <w:ind w:left="213" w:leftChars="-158" w:hanging="592" w:hangingChars="247"/>
        <w:jc w:val="left"/>
        <w:outlineLvl w:val="9"/>
        <w:rPr>
          <w:rFonts w:hint="eastAsia" w:ascii="宋体" w:hAnsi="宋体" w:eastAsia="宋体" w:cs="宋体"/>
          <w:szCs w:val="21"/>
          <w:lang w:val="zh-CN"/>
        </w:rPr>
      </w:pPr>
    </w:p>
    <w:p w14:paraId="5E4AA998">
      <w:pPr>
        <w:autoSpaceDE w:val="0"/>
        <w:autoSpaceDN w:val="0"/>
        <w:adjustRightInd w:val="0"/>
        <w:snapToGrid w:val="0"/>
        <w:spacing w:line="360" w:lineRule="auto"/>
        <w:ind w:left="469" w:leftChars="-41" w:hanging="567" w:hangingChars="270"/>
        <w:jc w:val="left"/>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备注：</w:t>
      </w:r>
    </w:p>
    <w:p w14:paraId="23ED4543">
      <w:pPr>
        <w:autoSpaceDE w:val="0"/>
        <w:autoSpaceDN w:val="0"/>
        <w:adjustRightInd w:val="0"/>
        <w:snapToGrid w:val="0"/>
        <w:spacing w:line="360" w:lineRule="auto"/>
        <w:ind w:left="469" w:leftChars="-41" w:hanging="567" w:hangingChars="270"/>
        <w:jc w:val="left"/>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w:t>
      </w:r>
      <w:r>
        <w:rPr>
          <w:rFonts w:hint="eastAsia" w:ascii="宋体" w:hAnsi="宋体" w:eastAsia="宋体" w:cs="宋体"/>
          <w:b/>
          <w:bCs/>
          <w:color w:val="auto"/>
          <w:sz w:val="21"/>
          <w:szCs w:val="21"/>
          <w:u w:val="single"/>
          <w:lang w:val="zh-CN"/>
        </w:rPr>
        <w:t>业绩按污泥处理规模（日处理量）从大到小的</w:t>
      </w:r>
      <w:r>
        <w:rPr>
          <w:rFonts w:hint="eastAsia" w:ascii="宋体" w:hAnsi="宋体" w:eastAsia="宋体" w:cs="宋体"/>
          <w:b/>
          <w:bCs/>
          <w:color w:val="auto"/>
          <w:sz w:val="21"/>
          <w:szCs w:val="21"/>
          <w:u w:val="single"/>
        </w:rPr>
        <w:t>顺序</w:t>
      </w:r>
      <w:r>
        <w:rPr>
          <w:rFonts w:hint="eastAsia" w:ascii="宋体" w:hAnsi="宋体" w:eastAsia="宋体" w:cs="宋体"/>
          <w:b/>
          <w:bCs/>
          <w:color w:val="auto"/>
          <w:sz w:val="21"/>
          <w:szCs w:val="21"/>
          <w:u w:val="single"/>
          <w:lang w:val="zh-CN"/>
        </w:rPr>
        <w:t>排列；同一个生活污水处理厂污泥脱水减量化处理服务的业绩可以同时在资格业绩和评分业绩重复放置，作为</w:t>
      </w:r>
      <w:r>
        <w:rPr>
          <w:rFonts w:hint="eastAsia" w:ascii="宋体" w:hAnsi="宋体" w:eastAsia="宋体" w:cs="宋体"/>
          <w:b/>
          <w:bCs/>
          <w:color w:val="auto"/>
          <w:sz w:val="21"/>
          <w:szCs w:val="21"/>
          <w:u w:val="single"/>
          <w:lang w:val="en-US" w:eastAsia="zh-CN"/>
        </w:rPr>
        <w:t>供应商</w:t>
      </w:r>
      <w:r>
        <w:rPr>
          <w:rFonts w:hint="eastAsia" w:ascii="宋体" w:hAnsi="宋体" w:eastAsia="宋体" w:cs="宋体"/>
          <w:b/>
          <w:bCs/>
          <w:color w:val="auto"/>
          <w:sz w:val="21"/>
          <w:szCs w:val="21"/>
          <w:u w:val="single"/>
          <w:lang w:val="zh-CN"/>
        </w:rPr>
        <w:t>资格条件证明的业绩放置在“</w:t>
      </w:r>
      <w:r>
        <w:rPr>
          <w:rFonts w:hint="eastAsia" w:ascii="宋体" w:hAnsi="宋体" w:eastAsia="宋体" w:cs="宋体"/>
          <w:b/>
          <w:bCs/>
          <w:color w:val="auto"/>
          <w:sz w:val="21"/>
          <w:szCs w:val="21"/>
          <w:u w:val="single"/>
        </w:rPr>
        <w:t>5.4</w:t>
      </w:r>
      <w:r>
        <w:rPr>
          <w:rFonts w:hint="eastAsia" w:ascii="宋体" w:hAnsi="宋体" w:eastAsia="宋体" w:cs="宋体"/>
          <w:b/>
          <w:bCs/>
          <w:color w:val="auto"/>
          <w:sz w:val="21"/>
          <w:szCs w:val="21"/>
          <w:u w:val="single"/>
          <w:lang w:val="zh-CN"/>
        </w:rPr>
        <w:t>资格业绩”处</w:t>
      </w:r>
      <w:r>
        <w:rPr>
          <w:rFonts w:hint="eastAsia" w:ascii="宋体" w:hAnsi="宋体" w:eastAsia="宋体" w:cs="宋体"/>
          <w:color w:val="auto"/>
          <w:sz w:val="21"/>
          <w:szCs w:val="21"/>
          <w:lang w:val="zh-CN"/>
        </w:rPr>
        <w:t>。</w:t>
      </w:r>
    </w:p>
    <w:p w14:paraId="2B5A633E">
      <w:pPr>
        <w:autoSpaceDE w:val="0"/>
        <w:autoSpaceDN w:val="0"/>
        <w:adjustRightInd w:val="0"/>
        <w:snapToGrid w:val="0"/>
        <w:spacing w:line="360" w:lineRule="auto"/>
        <w:ind w:left="469" w:leftChars="-41" w:hanging="567" w:hangingChars="270"/>
        <w:jc w:val="left"/>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w:t>
      </w:r>
      <w:r>
        <w:rPr>
          <w:rFonts w:hint="eastAsia" w:ascii="宋体" w:hAnsi="宋体" w:eastAsia="宋体" w:cs="宋体"/>
          <w:b/>
          <w:bCs/>
          <w:color w:val="auto"/>
          <w:sz w:val="21"/>
          <w:szCs w:val="21"/>
          <w:u w:val="single"/>
          <w:lang w:val="zh-CN"/>
        </w:rPr>
        <w:t>业绩必须附合同复印件（合同服务提供方为</w:t>
      </w:r>
      <w:r>
        <w:rPr>
          <w:rFonts w:hint="eastAsia" w:ascii="宋体" w:hAnsi="宋体" w:eastAsia="宋体" w:cs="宋体"/>
          <w:b/>
          <w:bCs/>
          <w:color w:val="auto"/>
          <w:sz w:val="21"/>
          <w:szCs w:val="21"/>
          <w:u w:val="single"/>
          <w:lang w:val="en-US" w:eastAsia="zh-CN"/>
        </w:rPr>
        <w:t>供应商</w:t>
      </w:r>
      <w:r>
        <w:rPr>
          <w:rFonts w:hint="eastAsia" w:ascii="宋体" w:hAnsi="宋体" w:eastAsia="宋体" w:cs="宋体"/>
          <w:b/>
          <w:bCs/>
          <w:color w:val="auto"/>
          <w:sz w:val="21"/>
          <w:szCs w:val="21"/>
          <w:u w:val="single"/>
          <w:lang w:val="zh-CN"/>
        </w:rPr>
        <w:t>）。合同必须能反映评分条件（合同签订日期、服务内容、污泥类别、污泥处理规模、</w:t>
      </w:r>
      <w:r>
        <w:rPr>
          <w:rFonts w:hint="eastAsia" w:ascii="宋体" w:hAnsi="宋体" w:eastAsia="宋体" w:cs="宋体"/>
          <w:b/>
          <w:bCs/>
          <w:color w:val="auto"/>
          <w:sz w:val="21"/>
          <w:szCs w:val="21"/>
          <w:u w:val="single"/>
          <w:lang w:val="en-US" w:eastAsia="zh-CN"/>
        </w:rPr>
        <w:t>脱水后的污泥含水率、</w:t>
      </w:r>
      <w:r>
        <w:rPr>
          <w:rFonts w:hint="eastAsia" w:ascii="宋体" w:hAnsi="宋体" w:eastAsia="宋体" w:cs="宋体"/>
          <w:b/>
          <w:bCs/>
          <w:color w:val="auto"/>
          <w:sz w:val="21"/>
          <w:szCs w:val="21"/>
          <w:u w:val="single"/>
          <w:lang w:val="zh-CN"/>
        </w:rPr>
        <w:t>合同期限），否则，需同时提供服务购买方出具的书面补充情况说明文件复印件（需加盖服务购买方公章，即复印件能显示服务购买方公章）</w:t>
      </w:r>
      <w:r>
        <w:rPr>
          <w:rFonts w:hint="eastAsia" w:ascii="宋体" w:hAnsi="宋体" w:cs="宋体"/>
          <w:b/>
          <w:bCs/>
          <w:color w:val="auto"/>
          <w:sz w:val="21"/>
          <w:szCs w:val="21"/>
          <w:u w:val="single"/>
          <w:lang w:val="en-US" w:eastAsia="zh-CN"/>
        </w:rPr>
        <w:t>或提供加盖委托方公章反映评分条件的招标文件</w:t>
      </w:r>
      <w:r>
        <w:rPr>
          <w:rFonts w:hint="eastAsia" w:ascii="宋体" w:hAnsi="宋体" w:eastAsia="宋体" w:cs="宋体"/>
          <w:b/>
          <w:bCs/>
          <w:color w:val="auto"/>
          <w:sz w:val="21"/>
          <w:szCs w:val="21"/>
          <w:u w:val="single"/>
          <w:lang w:val="zh-CN"/>
        </w:rPr>
        <w:t>复印件，否则不得分</w:t>
      </w:r>
      <w:r>
        <w:rPr>
          <w:rFonts w:hint="eastAsia" w:ascii="宋体" w:hAnsi="宋体" w:eastAsia="宋体" w:cs="宋体"/>
          <w:color w:val="auto"/>
          <w:sz w:val="21"/>
          <w:szCs w:val="21"/>
          <w:lang w:val="zh-CN"/>
        </w:rPr>
        <w:t>。</w:t>
      </w:r>
    </w:p>
    <w:p w14:paraId="7C94B1D9">
      <w:pPr>
        <w:autoSpaceDE w:val="0"/>
        <w:autoSpaceDN w:val="0"/>
        <w:adjustRightInd w:val="0"/>
        <w:snapToGrid w:val="0"/>
        <w:spacing w:line="360" w:lineRule="auto"/>
        <w:ind w:left="469" w:leftChars="-41" w:hanging="567" w:hangingChars="270"/>
        <w:jc w:val="left"/>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w:t>
      </w:r>
      <w:r>
        <w:rPr>
          <w:rFonts w:hint="eastAsia" w:ascii="宋体" w:hAnsi="宋体" w:eastAsia="宋体" w:cs="宋体"/>
          <w:b/>
          <w:bCs/>
          <w:color w:val="auto"/>
          <w:sz w:val="21"/>
          <w:szCs w:val="21"/>
          <w:u w:val="single"/>
          <w:lang w:val="zh-CN"/>
        </w:rPr>
        <w:t>污泥脱水减量化处理服务业绩的污泥类别须为生活污水处理厂污泥，服务内容须包含生活污水处理厂污泥脱水减量化处理服务，</w:t>
      </w:r>
      <w:r>
        <w:rPr>
          <w:rFonts w:hint="eastAsia" w:ascii="宋体" w:hAnsi="宋体" w:eastAsia="宋体" w:cs="宋体"/>
          <w:b/>
          <w:bCs/>
          <w:color w:val="auto"/>
          <w:sz w:val="21"/>
          <w:szCs w:val="21"/>
          <w:u w:val="single"/>
          <w:lang w:val="en-US" w:eastAsia="zh-CN"/>
        </w:rPr>
        <w:t>需将污泥脱水减量至含水率≤55%，</w:t>
      </w:r>
      <w:r>
        <w:rPr>
          <w:rFonts w:hint="eastAsia" w:ascii="宋体" w:hAnsi="宋体" w:eastAsia="宋体" w:cs="宋体"/>
          <w:b/>
          <w:bCs/>
          <w:color w:val="auto"/>
          <w:sz w:val="21"/>
          <w:szCs w:val="21"/>
          <w:u w:val="single"/>
          <w:lang w:val="zh-CN"/>
        </w:rPr>
        <w:t>如污泥脱水减量化处理服务业绩的服务内容为生活污水处理厂污泥的全流程处理处置，必须</w:t>
      </w:r>
      <w:r>
        <w:rPr>
          <w:rFonts w:hint="eastAsia" w:ascii="宋体" w:hAnsi="宋体" w:eastAsia="宋体" w:cs="宋体"/>
          <w:b/>
          <w:bCs/>
          <w:color w:val="auto"/>
          <w:sz w:val="21"/>
          <w:szCs w:val="21"/>
          <w:u w:val="single"/>
          <w:lang w:val="zh-CN" w:eastAsia="zh-CN"/>
        </w:rPr>
        <w:t>包含</w:t>
      </w:r>
      <w:r>
        <w:rPr>
          <w:rFonts w:hint="eastAsia" w:ascii="宋体" w:hAnsi="宋体" w:eastAsia="宋体" w:cs="宋体"/>
          <w:b/>
          <w:bCs/>
          <w:color w:val="auto"/>
          <w:sz w:val="21"/>
          <w:szCs w:val="21"/>
          <w:u w:val="single"/>
          <w:lang w:val="zh-CN"/>
        </w:rPr>
        <w:t>污泥</w:t>
      </w:r>
      <w:r>
        <w:rPr>
          <w:rFonts w:hint="eastAsia" w:ascii="宋体" w:hAnsi="宋体" w:eastAsia="宋体" w:cs="宋体"/>
          <w:b/>
          <w:bCs/>
          <w:color w:val="auto"/>
          <w:sz w:val="21"/>
          <w:szCs w:val="21"/>
          <w:u w:val="single"/>
          <w:lang w:val="zh-CN" w:eastAsia="zh-CN"/>
        </w:rPr>
        <w:t>脱水</w:t>
      </w:r>
      <w:r>
        <w:rPr>
          <w:rFonts w:hint="eastAsia" w:ascii="宋体" w:hAnsi="宋体" w:eastAsia="宋体" w:cs="宋体"/>
          <w:b/>
          <w:bCs/>
          <w:color w:val="auto"/>
          <w:sz w:val="21"/>
          <w:szCs w:val="21"/>
          <w:u w:val="single"/>
          <w:lang w:val="zh-CN"/>
        </w:rPr>
        <w:t>减量化处理</w:t>
      </w:r>
      <w:r>
        <w:rPr>
          <w:rFonts w:hint="eastAsia" w:ascii="宋体" w:hAnsi="宋体" w:eastAsia="宋体" w:cs="宋体"/>
          <w:b/>
          <w:bCs/>
          <w:color w:val="auto"/>
          <w:sz w:val="21"/>
          <w:szCs w:val="21"/>
          <w:u w:val="single"/>
          <w:lang w:val="en-US" w:eastAsia="zh-CN"/>
        </w:rPr>
        <w:t>至含水率≤55%</w:t>
      </w:r>
      <w:r>
        <w:rPr>
          <w:rFonts w:hint="eastAsia" w:ascii="宋体" w:hAnsi="宋体" w:eastAsia="宋体" w:cs="宋体"/>
          <w:b/>
          <w:bCs/>
          <w:color w:val="auto"/>
          <w:sz w:val="21"/>
          <w:szCs w:val="21"/>
          <w:u w:val="single"/>
          <w:lang w:val="zh-CN" w:eastAsia="zh-CN"/>
        </w:rPr>
        <w:t>的</w:t>
      </w:r>
      <w:r>
        <w:rPr>
          <w:rFonts w:hint="eastAsia" w:ascii="宋体" w:hAnsi="宋体" w:eastAsia="宋体" w:cs="宋体"/>
          <w:b/>
          <w:bCs/>
          <w:color w:val="auto"/>
          <w:sz w:val="21"/>
          <w:szCs w:val="21"/>
          <w:u w:val="single"/>
          <w:lang w:val="zh-CN"/>
        </w:rPr>
        <w:t>服务内容，否则不得分</w:t>
      </w:r>
      <w:r>
        <w:rPr>
          <w:rFonts w:hint="eastAsia" w:ascii="宋体" w:hAnsi="宋体" w:eastAsia="宋体" w:cs="宋体"/>
          <w:color w:val="auto"/>
          <w:sz w:val="21"/>
          <w:szCs w:val="21"/>
          <w:lang w:val="zh-CN"/>
        </w:rPr>
        <w:t>。</w:t>
      </w:r>
    </w:p>
    <w:p w14:paraId="74043A18">
      <w:pPr>
        <w:autoSpaceDE w:val="0"/>
        <w:autoSpaceDN w:val="0"/>
        <w:adjustRightInd w:val="0"/>
        <w:snapToGrid w:val="0"/>
        <w:spacing w:line="360" w:lineRule="auto"/>
        <w:ind w:left="469" w:leftChars="-41" w:hanging="567" w:hangingChars="270"/>
        <w:jc w:val="left"/>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（4）</w:t>
      </w:r>
      <w:r>
        <w:rPr>
          <w:rFonts w:hint="eastAsia" w:ascii="宋体" w:hAnsi="宋体" w:eastAsia="宋体" w:cs="宋体"/>
          <w:b/>
          <w:bCs/>
          <w:color w:val="auto"/>
          <w:sz w:val="21"/>
          <w:szCs w:val="21"/>
          <w:u w:val="single"/>
          <w:lang w:val="zh-CN"/>
        </w:rPr>
        <w:t>污泥处理规模按含水率80%的湿泥计，其他含水率需按下列公式折算为含水率80%的湿泥进行评审，不同含水率污泥量的折算公式：（1-Y%）/（1-80%）×A，Y为污泥实际含水率，A为实际含水率对应的污泥量</w:t>
      </w:r>
      <w:r>
        <w:rPr>
          <w:rFonts w:hint="eastAsia" w:ascii="宋体" w:hAnsi="宋体" w:eastAsia="宋体" w:cs="宋体"/>
          <w:color w:val="auto"/>
          <w:sz w:val="21"/>
          <w:szCs w:val="21"/>
          <w:lang w:val="zh-CN"/>
        </w:rPr>
        <w:t>。</w:t>
      </w:r>
    </w:p>
    <w:p w14:paraId="013AAAAB">
      <w:pPr>
        <w:autoSpaceDE w:val="0"/>
        <w:autoSpaceDN w:val="0"/>
        <w:adjustRightInd w:val="0"/>
        <w:snapToGrid w:val="0"/>
        <w:spacing w:line="360" w:lineRule="auto"/>
        <w:ind w:left="469" w:leftChars="-41" w:hanging="567" w:hangingChars="270"/>
        <w:jc w:val="left"/>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w:t>
      </w:r>
      <w:r>
        <w:rPr>
          <w:rFonts w:hint="eastAsia" w:ascii="宋体" w:hAnsi="宋体" w:eastAsia="宋体" w:cs="宋体"/>
          <w:color w:val="auto"/>
          <w:sz w:val="21"/>
          <w:szCs w:val="21"/>
        </w:rPr>
        <w:t>5</w:t>
      </w:r>
      <w:r>
        <w:rPr>
          <w:rFonts w:hint="eastAsia" w:ascii="宋体" w:hAnsi="宋体" w:eastAsia="宋体" w:cs="宋体"/>
          <w:color w:val="auto"/>
          <w:sz w:val="21"/>
          <w:szCs w:val="21"/>
          <w:lang w:val="zh-CN"/>
        </w:rPr>
        <w:t>）</w:t>
      </w:r>
      <w:r>
        <w:rPr>
          <w:rFonts w:hint="eastAsia" w:ascii="宋体" w:hAnsi="宋体" w:eastAsia="宋体" w:cs="宋体"/>
          <w:b/>
          <w:bCs/>
          <w:color w:val="auto"/>
          <w:sz w:val="21"/>
          <w:szCs w:val="21"/>
          <w:u w:val="single"/>
          <w:lang w:val="zh-CN"/>
        </w:rPr>
        <w:t>污泥脱水减量化处理服务业绩合同服务期限要求大于或等于</w:t>
      </w:r>
      <w:r>
        <w:rPr>
          <w:rFonts w:hint="eastAsia" w:ascii="宋体" w:hAnsi="宋体" w:eastAsia="宋体" w:cs="宋体"/>
          <w:b/>
          <w:bCs/>
          <w:color w:val="auto"/>
          <w:sz w:val="21"/>
          <w:szCs w:val="21"/>
          <w:u w:val="single"/>
          <w:lang w:val="en-US" w:eastAsia="zh-CN"/>
        </w:rPr>
        <w:t>1年</w:t>
      </w:r>
      <w:r>
        <w:rPr>
          <w:rFonts w:hint="eastAsia" w:ascii="宋体" w:hAnsi="宋体" w:eastAsia="宋体" w:cs="宋体"/>
          <w:b/>
          <w:bCs/>
          <w:color w:val="auto"/>
          <w:sz w:val="21"/>
          <w:szCs w:val="21"/>
          <w:u w:val="single"/>
          <w:lang w:val="zh-CN"/>
        </w:rPr>
        <w:t>，小于</w:t>
      </w:r>
      <w:r>
        <w:rPr>
          <w:rFonts w:hint="eastAsia" w:ascii="宋体" w:hAnsi="宋体" w:eastAsia="宋体" w:cs="宋体"/>
          <w:b/>
          <w:bCs/>
          <w:color w:val="auto"/>
          <w:sz w:val="21"/>
          <w:szCs w:val="21"/>
          <w:u w:val="single"/>
          <w:lang w:val="en-US" w:eastAsia="zh-CN"/>
        </w:rPr>
        <w:t>1年</w:t>
      </w:r>
      <w:r>
        <w:rPr>
          <w:rFonts w:hint="eastAsia" w:ascii="宋体" w:hAnsi="宋体" w:eastAsia="宋体" w:cs="宋体"/>
          <w:b/>
          <w:bCs/>
          <w:color w:val="auto"/>
          <w:sz w:val="21"/>
          <w:szCs w:val="21"/>
          <w:u w:val="single"/>
          <w:lang w:val="zh-CN"/>
        </w:rPr>
        <w:t>的业绩合同在</w:t>
      </w:r>
      <w:r>
        <w:rPr>
          <w:rFonts w:hint="eastAsia" w:ascii="宋体" w:hAnsi="宋体" w:eastAsia="宋体" w:cs="宋体"/>
          <w:b/>
          <w:bCs/>
          <w:color w:val="auto"/>
          <w:sz w:val="21"/>
          <w:szCs w:val="21"/>
          <w:u w:val="single"/>
          <w:lang w:val="en-US" w:eastAsia="zh-CN"/>
        </w:rPr>
        <w:t>评审</w:t>
      </w:r>
      <w:r>
        <w:rPr>
          <w:rFonts w:hint="eastAsia" w:ascii="宋体" w:hAnsi="宋体" w:eastAsia="宋体" w:cs="宋体"/>
          <w:b/>
          <w:bCs/>
          <w:color w:val="auto"/>
          <w:sz w:val="21"/>
          <w:szCs w:val="21"/>
          <w:u w:val="single"/>
          <w:lang w:val="zh-CN"/>
        </w:rPr>
        <w:t>时不予考虑</w:t>
      </w:r>
      <w:r>
        <w:rPr>
          <w:rFonts w:hint="eastAsia" w:ascii="宋体" w:hAnsi="宋体" w:eastAsia="宋体" w:cs="宋体"/>
          <w:color w:val="auto"/>
          <w:sz w:val="21"/>
          <w:szCs w:val="21"/>
          <w:lang w:val="zh-CN"/>
        </w:rPr>
        <w:t>。</w:t>
      </w:r>
    </w:p>
    <w:p w14:paraId="265E9F2C">
      <w:pPr>
        <w:autoSpaceDE w:val="0"/>
        <w:autoSpaceDN w:val="0"/>
        <w:adjustRightInd w:val="0"/>
        <w:snapToGrid w:val="0"/>
        <w:spacing w:line="360" w:lineRule="auto"/>
        <w:ind w:left="469" w:leftChars="-41" w:hanging="567" w:hangingChars="270"/>
        <w:jc w:val="left"/>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w:t>
      </w:r>
      <w:r>
        <w:rPr>
          <w:rFonts w:hint="eastAsia" w:ascii="宋体" w:hAnsi="宋体" w:eastAsia="宋体" w:cs="宋体"/>
          <w:color w:val="auto"/>
          <w:sz w:val="21"/>
          <w:szCs w:val="21"/>
        </w:rPr>
        <w:t>6</w:t>
      </w:r>
      <w:r>
        <w:rPr>
          <w:rFonts w:hint="eastAsia" w:ascii="宋体" w:hAnsi="宋体" w:eastAsia="宋体" w:cs="宋体"/>
          <w:color w:val="auto"/>
          <w:sz w:val="21"/>
          <w:szCs w:val="21"/>
          <w:lang w:val="zh-CN"/>
        </w:rPr>
        <w:t>）</w:t>
      </w:r>
      <w:r>
        <w:rPr>
          <w:rFonts w:hint="eastAsia" w:ascii="宋体" w:hAnsi="宋体" w:eastAsia="宋体" w:cs="宋体"/>
          <w:b/>
          <w:bCs/>
          <w:color w:val="auto"/>
          <w:sz w:val="21"/>
          <w:szCs w:val="21"/>
          <w:u w:val="single"/>
          <w:lang w:val="zh-CN"/>
        </w:rPr>
        <w:t>若业绩为无明确污泥处理规模，必须同时提供合同期限内</w:t>
      </w:r>
      <w:r>
        <w:rPr>
          <w:rFonts w:hint="eastAsia" w:ascii="宋体" w:hAnsi="宋体" w:eastAsia="宋体" w:cs="宋体"/>
          <w:b/>
          <w:bCs/>
          <w:color w:val="auto"/>
          <w:sz w:val="21"/>
          <w:szCs w:val="21"/>
          <w:u w:val="single"/>
          <w:lang w:val="en-US" w:eastAsia="zh-CN"/>
        </w:rPr>
        <w:t>单个月份</w:t>
      </w:r>
      <w:r>
        <w:rPr>
          <w:rFonts w:hint="eastAsia" w:ascii="宋体" w:hAnsi="宋体" w:eastAsia="宋体" w:cs="宋体"/>
          <w:b/>
          <w:bCs/>
          <w:color w:val="auto"/>
          <w:sz w:val="21"/>
          <w:szCs w:val="21"/>
          <w:u w:val="single"/>
          <w:lang w:val="zh-CN"/>
        </w:rPr>
        <w:t>已处理的生活污水处理厂污泥处理量统计表和污泥转运联单复印件（无转运联单的，提供服务发票复印件及折算处理量数据或污泥产生单位盖章的证明文件替代）以证明污泥处理规模，日平均生活污水处理厂污泥处理量按合同期限内</w:t>
      </w:r>
      <w:r>
        <w:rPr>
          <w:rFonts w:hint="eastAsia" w:ascii="宋体" w:hAnsi="宋体" w:eastAsia="宋体" w:cs="宋体"/>
          <w:b/>
          <w:bCs/>
          <w:color w:val="auto"/>
          <w:sz w:val="21"/>
          <w:szCs w:val="21"/>
          <w:u w:val="single"/>
          <w:lang w:val="en-US" w:eastAsia="zh-CN"/>
        </w:rPr>
        <w:t>单个月份</w:t>
      </w:r>
      <w:r>
        <w:rPr>
          <w:rFonts w:hint="eastAsia" w:ascii="宋体" w:hAnsi="宋体" w:eastAsia="宋体" w:cs="宋体"/>
          <w:b/>
          <w:bCs/>
          <w:color w:val="auto"/>
          <w:sz w:val="21"/>
          <w:szCs w:val="21"/>
          <w:u w:val="single"/>
          <w:lang w:val="zh-CN"/>
        </w:rPr>
        <w:t>已处理的生活污水处理厂污泥处理量除以</w:t>
      </w:r>
      <w:r>
        <w:rPr>
          <w:rFonts w:hint="eastAsia" w:ascii="宋体" w:hAnsi="宋体" w:eastAsia="宋体" w:cs="宋体"/>
          <w:b/>
          <w:bCs/>
          <w:color w:val="auto"/>
          <w:sz w:val="21"/>
          <w:szCs w:val="21"/>
          <w:u w:val="single"/>
          <w:lang w:val="en-US" w:eastAsia="zh-CN"/>
        </w:rPr>
        <w:t>单个月份自然天数</w:t>
      </w:r>
      <w:r>
        <w:rPr>
          <w:rFonts w:hint="eastAsia" w:ascii="宋体" w:hAnsi="宋体" w:eastAsia="宋体" w:cs="宋体"/>
          <w:b/>
          <w:bCs/>
          <w:color w:val="auto"/>
          <w:sz w:val="21"/>
          <w:szCs w:val="21"/>
          <w:u w:val="single"/>
          <w:lang w:val="zh-CN"/>
        </w:rPr>
        <w:t>进行计算，并以此作为污泥处理规模进行评审</w:t>
      </w:r>
      <w:r>
        <w:rPr>
          <w:rFonts w:hint="eastAsia" w:ascii="宋体" w:hAnsi="宋体" w:eastAsia="宋体" w:cs="宋体"/>
          <w:color w:val="auto"/>
          <w:sz w:val="21"/>
          <w:szCs w:val="21"/>
          <w:lang w:val="zh-CN"/>
        </w:rPr>
        <w:t>。</w:t>
      </w:r>
    </w:p>
    <w:p w14:paraId="3CEF4C35">
      <w:pPr>
        <w:autoSpaceDE w:val="0"/>
        <w:autoSpaceDN w:val="0"/>
        <w:adjustRightInd w:val="0"/>
        <w:snapToGrid w:val="0"/>
        <w:spacing w:line="360" w:lineRule="auto"/>
        <w:ind w:left="469" w:leftChars="-41" w:hanging="567" w:hangingChars="270"/>
        <w:jc w:val="left"/>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（7）</w:t>
      </w:r>
      <w:r>
        <w:rPr>
          <w:rFonts w:hint="eastAsia" w:ascii="宋体" w:hAnsi="宋体" w:eastAsia="宋体" w:cs="宋体"/>
          <w:b/>
          <w:bCs/>
          <w:color w:val="auto"/>
          <w:sz w:val="21"/>
          <w:szCs w:val="21"/>
          <w:u w:val="single"/>
          <w:lang w:val="zh-CN"/>
        </w:rPr>
        <w:t>若单个业绩合同中包含多个生活污水处理厂污泥脱水减量化处理服务项目，评分时按合同中的单个生活污水处理厂污泥脱水减量化处理服务项目分别计算得分，同一个生活污水处理厂污泥脱水减量化处理服务项目不同服务期限的单个业绩合同分别计算得分</w:t>
      </w:r>
      <w:r>
        <w:rPr>
          <w:rFonts w:hint="eastAsia" w:ascii="宋体" w:hAnsi="宋体" w:eastAsia="宋体" w:cs="宋体"/>
          <w:color w:val="auto"/>
          <w:sz w:val="21"/>
          <w:szCs w:val="21"/>
          <w:lang w:val="zh-CN"/>
        </w:rPr>
        <w:t>。</w:t>
      </w:r>
    </w:p>
    <w:p w14:paraId="56BA3B2A">
      <w:pPr>
        <w:autoSpaceDE w:val="0"/>
        <w:autoSpaceDN w:val="0"/>
        <w:adjustRightInd w:val="0"/>
        <w:snapToGrid w:val="0"/>
        <w:spacing w:line="360" w:lineRule="auto"/>
        <w:ind w:left="469" w:leftChars="-41" w:hanging="567" w:hangingChars="270"/>
        <w:jc w:val="left"/>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lang w:val="zh-CN"/>
        </w:rPr>
        <w:t>）</w:t>
      </w:r>
      <w:r>
        <w:rPr>
          <w:rFonts w:hint="eastAsia" w:ascii="宋体" w:hAnsi="宋体" w:eastAsia="宋体" w:cs="宋体"/>
          <w:b/>
          <w:bCs/>
          <w:color w:val="auto"/>
          <w:sz w:val="21"/>
          <w:szCs w:val="21"/>
          <w:u w:val="single"/>
          <w:lang w:val="en-US" w:eastAsia="zh-CN"/>
        </w:rPr>
        <w:t>若业绩所附合同复印件为主合同的补充协议，需同时附主合同，否则，在评审时将不予考虑。主合同必须能反映评分条件（合同签订日期、服务内容、污泥类别、污泥处理规模、脱水后的污泥含水率、合同期限），否则，需同时提供服务购买方出具的书面补充情况说明文件复印件（需加盖服务购买方公章，即复印件能显示服务购买方公章）</w:t>
      </w:r>
      <w:r>
        <w:rPr>
          <w:rFonts w:hint="eastAsia" w:ascii="宋体" w:hAnsi="宋体" w:cs="宋体"/>
          <w:b/>
          <w:bCs/>
          <w:color w:val="auto"/>
          <w:sz w:val="21"/>
          <w:szCs w:val="21"/>
          <w:u w:val="single"/>
          <w:lang w:val="en-US" w:eastAsia="zh-CN"/>
        </w:rPr>
        <w:t>或提供加盖委托方公章反映评分条件的招标文件</w:t>
      </w:r>
      <w:r>
        <w:rPr>
          <w:rFonts w:hint="eastAsia" w:ascii="宋体" w:hAnsi="宋体" w:eastAsia="宋体" w:cs="宋体"/>
          <w:b/>
          <w:bCs/>
          <w:color w:val="auto"/>
          <w:sz w:val="21"/>
          <w:szCs w:val="21"/>
          <w:u w:val="single"/>
          <w:lang w:val="zh-CN"/>
        </w:rPr>
        <w:t>复印件</w:t>
      </w:r>
      <w:r>
        <w:rPr>
          <w:rFonts w:hint="eastAsia" w:ascii="宋体" w:hAnsi="宋体" w:eastAsia="宋体" w:cs="宋体"/>
          <w:b/>
          <w:bCs/>
          <w:color w:val="auto"/>
          <w:sz w:val="21"/>
          <w:szCs w:val="21"/>
          <w:u w:val="single"/>
          <w:lang w:val="en-US" w:eastAsia="zh-CN"/>
        </w:rPr>
        <w:t>，否则不得分。合同签订日期按主合同签订日期进行评审，其他评分条件按主合同、主合同补充协议、服务购买方出具的书面补充情况说明文件</w:t>
      </w:r>
      <w:r>
        <w:rPr>
          <w:rFonts w:hint="eastAsia" w:ascii="宋体" w:hAnsi="宋体" w:cs="宋体"/>
          <w:b/>
          <w:bCs/>
          <w:color w:val="auto"/>
          <w:sz w:val="21"/>
          <w:szCs w:val="21"/>
          <w:u w:val="single"/>
          <w:lang w:val="en-US" w:eastAsia="zh-CN"/>
        </w:rPr>
        <w:t>、加盖委托方公章的招标文件</w:t>
      </w:r>
      <w:r>
        <w:rPr>
          <w:rFonts w:hint="eastAsia" w:ascii="宋体" w:hAnsi="宋体" w:eastAsia="宋体" w:cs="宋体"/>
          <w:b/>
          <w:bCs/>
          <w:color w:val="auto"/>
          <w:sz w:val="21"/>
          <w:szCs w:val="21"/>
          <w:u w:val="single"/>
          <w:lang w:val="en-US" w:eastAsia="zh-CN"/>
        </w:rPr>
        <w:t>反映的内容进行评审</w:t>
      </w:r>
      <w:r>
        <w:rPr>
          <w:rFonts w:hint="eastAsia" w:ascii="宋体" w:hAnsi="宋体" w:eastAsia="宋体" w:cs="宋体"/>
          <w:b/>
          <w:bCs/>
          <w:color w:val="auto"/>
          <w:sz w:val="21"/>
          <w:szCs w:val="21"/>
          <w:lang w:val="en-US" w:eastAsia="zh-CN"/>
        </w:rPr>
        <w:t>。</w:t>
      </w:r>
    </w:p>
    <w:p w14:paraId="7B7FF495">
      <w:pPr>
        <w:autoSpaceDE w:val="0"/>
        <w:autoSpaceDN w:val="0"/>
        <w:adjustRightInd w:val="0"/>
        <w:snapToGrid w:val="0"/>
        <w:spacing w:line="360" w:lineRule="auto"/>
        <w:ind w:left="469" w:leftChars="-41" w:hanging="567" w:hangingChars="270"/>
        <w:jc w:val="left"/>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lang w:val="zh-CN"/>
        </w:rPr>
        <w:t>）</w:t>
      </w:r>
      <w:r>
        <w:rPr>
          <w:rFonts w:hint="eastAsia" w:ascii="宋体" w:hAnsi="宋体" w:eastAsia="宋体" w:cs="宋体"/>
          <w:b/>
          <w:bCs/>
          <w:color w:val="auto"/>
          <w:sz w:val="21"/>
          <w:szCs w:val="21"/>
          <w:u w:val="single"/>
          <w:lang w:val="zh-CN"/>
        </w:rPr>
        <w:t>未按上述要求</w:t>
      </w:r>
      <w:r>
        <w:rPr>
          <w:rFonts w:hint="eastAsia" w:ascii="宋体" w:hAnsi="宋体" w:eastAsia="宋体" w:cs="宋体"/>
          <w:b/>
          <w:bCs/>
          <w:color w:val="auto"/>
          <w:sz w:val="21"/>
          <w:szCs w:val="21"/>
          <w:u w:val="single"/>
          <w:lang w:val="en-US" w:eastAsia="zh-CN"/>
        </w:rPr>
        <w:t>在此格式下</w:t>
      </w:r>
      <w:r>
        <w:rPr>
          <w:rFonts w:hint="eastAsia" w:ascii="宋体" w:hAnsi="宋体" w:eastAsia="宋体" w:cs="宋体"/>
          <w:b/>
          <w:bCs/>
          <w:color w:val="auto"/>
          <w:sz w:val="21"/>
          <w:szCs w:val="21"/>
          <w:u w:val="single"/>
          <w:lang w:val="zh-CN"/>
        </w:rPr>
        <w:t>提供证明材料的业绩，或</w:t>
      </w:r>
      <w:r>
        <w:rPr>
          <w:rFonts w:hint="eastAsia" w:ascii="宋体" w:hAnsi="宋体" w:eastAsia="宋体" w:cs="宋体"/>
          <w:b/>
          <w:bCs/>
          <w:color w:val="auto"/>
          <w:sz w:val="21"/>
          <w:szCs w:val="21"/>
          <w:u w:val="single"/>
          <w:lang w:val="en-US" w:eastAsia="zh-CN"/>
        </w:rPr>
        <w:t>在此格式下</w:t>
      </w:r>
      <w:r>
        <w:rPr>
          <w:rFonts w:hint="eastAsia" w:ascii="宋体" w:hAnsi="宋体" w:eastAsia="宋体" w:cs="宋体"/>
          <w:b/>
          <w:bCs/>
          <w:color w:val="auto"/>
          <w:sz w:val="21"/>
          <w:szCs w:val="21"/>
          <w:u w:val="single"/>
          <w:lang w:val="zh-CN"/>
        </w:rPr>
        <w:t>所附材料无法证明填报项目属</w:t>
      </w:r>
      <w:r>
        <w:rPr>
          <w:rFonts w:hint="eastAsia" w:ascii="宋体" w:hAnsi="宋体" w:eastAsia="宋体" w:cs="宋体"/>
          <w:b/>
          <w:bCs/>
          <w:color w:val="auto"/>
          <w:sz w:val="21"/>
          <w:szCs w:val="21"/>
          <w:u w:val="single"/>
          <w:lang w:val="en-US" w:eastAsia="zh-CN"/>
        </w:rPr>
        <w:t>供应商</w:t>
      </w:r>
      <w:r>
        <w:rPr>
          <w:rFonts w:hint="eastAsia" w:ascii="宋体" w:hAnsi="宋体" w:eastAsia="宋体" w:cs="宋体"/>
          <w:b/>
          <w:bCs/>
          <w:color w:val="auto"/>
          <w:sz w:val="21"/>
          <w:szCs w:val="21"/>
          <w:u w:val="single"/>
          <w:lang w:val="zh-CN"/>
        </w:rPr>
        <w:t>完成的或不符合本项评分要求的业绩，在评</w:t>
      </w:r>
      <w:r>
        <w:rPr>
          <w:rFonts w:hint="eastAsia" w:ascii="宋体" w:hAnsi="宋体" w:eastAsia="宋体" w:cs="宋体"/>
          <w:b/>
          <w:bCs/>
          <w:color w:val="auto"/>
          <w:sz w:val="21"/>
          <w:szCs w:val="21"/>
          <w:u w:val="single"/>
          <w:lang w:val="en-US" w:eastAsia="zh-CN"/>
        </w:rPr>
        <w:t>审</w:t>
      </w:r>
      <w:r>
        <w:rPr>
          <w:rFonts w:hint="eastAsia" w:ascii="宋体" w:hAnsi="宋体" w:eastAsia="宋体" w:cs="宋体"/>
          <w:b/>
          <w:bCs/>
          <w:color w:val="auto"/>
          <w:sz w:val="21"/>
          <w:szCs w:val="21"/>
          <w:u w:val="single"/>
          <w:lang w:val="zh-CN"/>
        </w:rPr>
        <w:t>时将不予考虑</w:t>
      </w:r>
      <w:r>
        <w:rPr>
          <w:rFonts w:hint="eastAsia" w:ascii="宋体" w:hAnsi="宋体" w:eastAsia="宋体" w:cs="宋体"/>
          <w:color w:val="auto"/>
          <w:sz w:val="21"/>
          <w:szCs w:val="21"/>
          <w:lang w:val="zh-CN"/>
        </w:rPr>
        <w:t>。</w:t>
      </w:r>
    </w:p>
    <w:p w14:paraId="396A3BF7">
      <w:pPr>
        <w:autoSpaceDE w:val="0"/>
        <w:autoSpaceDN w:val="0"/>
        <w:adjustRightInd w:val="0"/>
        <w:snapToGrid w:val="0"/>
        <w:spacing w:line="360" w:lineRule="auto"/>
        <w:ind w:left="469" w:leftChars="-41" w:hanging="567" w:hangingChars="270"/>
        <w:jc w:val="left"/>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lang w:val="zh-CN"/>
        </w:rPr>
        <w:t>人有权对</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val="zh-CN"/>
        </w:rPr>
        <w:t>提供的业绩进行核查，若发现弄虚作假，有权按照</w:t>
      </w:r>
      <w:r>
        <w:rPr>
          <w:rFonts w:hint="eastAsia" w:ascii="宋体" w:hAnsi="宋体" w:eastAsia="宋体" w:cs="宋体"/>
          <w:color w:val="auto"/>
          <w:sz w:val="21"/>
          <w:szCs w:val="21"/>
          <w:lang w:val="en-US" w:eastAsia="zh-CN"/>
        </w:rPr>
        <w:t>磋商小组</w:t>
      </w:r>
      <w:r>
        <w:rPr>
          <w:rFonts w:hint="eastAsia" w:ascii="宋体" w:hAnsi="宋体" w:eastAsia="宋体" w:cs="宋体"/>
          <w:color w:val="auto"/>
          <w:sz w:val="21"/>
          <w:szCs w:val="21"/>
          <w:lang w:val="zh-CN"/>
        </w:rPr>
        <w:t>推荐的</w:t>
      </w:r>
      <w:r>
        <w:rPr>
          <w:rFonts w:hint="eastAsia" w:ascii="宋体" w:hAnsi="宋体" w:eastAsia="宋体" w:cs="宋体"/>
          <w:color w:val="auto"/>
          <w:sz w:val="21"/>
          <w:szCs w:val="21"/>
          <w:lang w:val="en-US" w:eastAsia="zh-CN"/>
        </w:rPr>
        <w:t>成交</w:t>
      </w:r>
      <w:r>
        <w:rPr>
          <w:rFonts w:hint="eastAsia" w:ascii="宋体" w:hAnsi="宋体" w:eastAsia="宋体" w:cs="宋体"/>
          <w:color w:val="auto"/>
          <w:sz w:val="21"/>
          <w:szCs w:val="21"/>
          <w:lang w:val="zh-CN"/>
        </w:rPr>
        <w:t>候选人名单排序依次确定其他</w:t>
      </w:r>
      <w:r>
        <w:rPr>
          <w:rFonts w:hint="eastAsia" w:ascii="宋体" w:hAnsi="宋体" w:eastAsia="宋体" w:cs="宋体"/>
          <w:color w:val="auto"/>
          <w:sz w:val="21"/>
          <w:szCs w:val="21"/>
          <w:lang w:val="en-US" w:eastAsia="zh-CN"/>
        </w:rPr>
        <w:t>成交</w:t>
      </w:r>
      <w:r>
        <w:rPr>
          <w:rFonts w:hint="eastAsia" w:ascii="宋体" w:hAnsi="宋体" w:eastAsia="宋体" w:cs="宋体"/>
          <w:color w:val="auto"/>
          <w:sz w:val="21"/>
          <w:szCs w:val="21"/>
          <w:lang w:val="zh-CN"/>
        </w:rPr>
        <w:t>候选人为</w:t>
      </w:r>
      <w:r>
        <w:rPr>
          <w:rFonts w:hint="eastAsia" w:ascii="宋体" w:hAnsi="宋体" w:eastAsia="宋体" w:cs="宋体"/>
          <w:color w:val="auto"/>
          <w:sz w:val="21"/>
          <w:szCs w:val="21"/>
          <w:lang w:val="en-US" w:eastAsia="zh-CN"/>
        </w:rPr>
        <w:t>成交</w:t>
      </w:r>
      <w:r>
        <w:rPr>
          <w:rFonts w:hint="eastAsia" w:ascii="宋体" w:hAnsi="宋体" w:eastAsia="宋体" w:cs="宋体"/>
          <w:color w:val="auto"/>
          <w:sz w:val="21"/>
          <w:szCs w:val="21"/>
          <w:lang w:val="zh-CN"/>
        </w:rPr>
        <w:t>人或重新</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lang w:val="zh-CN"/>
        </w:rPr>
        <w:t>，并不予退还</w:t>
      </w:r>
      <w:r>
        <w:rPr>
          <w:rFonts w:hint="eastAsia" w:ascii="宋体" w:hAnsi="宋体" w:eastAsia="宋体" w:cs="宋体"/>
          <w:color w:val="auto"/>
          <w:sz w:val="21"/>
          <w:szCs w:val="21"/>
          <w:lang w:val="en-US" w:eastAsia="zh-CN"/>
        </w:rPr>
        <w:t>磋商</w:t>
      </w:r>
      <w:r>
        <w:rPr>
          <w:rFonts w:hint="eastAsia" w:ascii="宋体" w:hAnsi="宋体" w:eastAsia="宋体" w:cs="宋体"/>
          <w:color w:val="auto"/>
          <w:sz w:val="21"/>
          <w:szCs w:val="21"/>
          <w:lang w:val="zh-CN"/>
        </w:rPr>
        <w:t>保证金；若合同履行过程中发现弄虚作假，将没收履约担保，并将上报监督管理部门，从严处理。</w:t>
      </w:r>
    </w:p>
    <w:p w14:paraId="6CD8C36F">
      <w:pPr>
        <w:autoSpaceDE w:val="0"/>
        <w:autoSpaceDN w:val="0"/>
        <w:adjustRightInd w:val="0"/>
        <w:snapToGrid w:val="0"/>
        <w:spacing w:line="360" w:lineRule="auto"/>
        <w:ind w:left="469" w:leftChars="-41" w:hanging="567" w:hangingChars="270"/>
        <w:jc w:val="left"/>
        <w:outlineLvl w:val="9"/>
        <w:rPr>
          <w:rFonts w:hint="eastAsia" w:ascii="宋体" w:hAnsi="宋体" w:eastAsia="宋体" w:cs="宋体"/>
          <w:color w:val="auto"/>
          <w:kern w:val="0"/>
          <w:sz w:val="21"/>
          <w:szCs w:val="21"/>
        </w:rPr>
      </w:pPr>
      <w:r>
        <w:rPr>
          <w:rFonts w:hint="eastAsia" w:ascii="宋体" w:hAnsi="宋体" w:eastAsia="宋体" w:cs="宋体"/>
          <w:color w:val="auto"/>
          <w:sz w:val="21"/>
          <w:szCs w:val="21"/>
          <w:lang w:val="zh-CN"/>
        </w:rPr>
        <w:t>（</w:t>
      </w: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val="zh-CN"/>
        </w:rPr>
        <w:t>）在接到</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lang w:val="zh-CN"/>
        </w:rPr>
        <w:t>人通知之日起3个工作日内，</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val="zh-CN"/>
        </w:rPr>
        <w:t>必须提供上述合同及其证明材料的原件供</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lang w:val="zh-CN"/>
        </w:rPr>
        <w:t>人核对其真实性。</w:t>
      </w:r>
    </w:p>
    <w:p w14:paraId="08176252">
      <w:pPr>
        <w:autoSpaceDE w:val="0"/>
        <w:autoSpaceDN w:val="0"/>
        <w:adjustRightInd w:val="0"/>
        <w:spacing w:line="360" w:lineRule="auto"/>
        <w:ind w:firstLine="5040" w:firstLineChars="2400"/>
        <w:jc w:val="left"/>
        <w:outlineLvl w:val="9"/>
        <w:rPr>
          <w:rFonts w:hint="eastAsia" w:ascii="宋体" w:hAnsi="宋体" w:eastAsia="宋体" w:cs="宋体"/>
          <w:color w:val="auto"/>
          <w:sz w:val="21"/>
          <w:szCs w:val="21"/>
          <w:lang w:val="zh-CN"/>
        </w:rPr>
      </w:pPr>
    </w:p>
    <w:p w14:paraId="6EFDD29B">
      <w:pPr>
        <w:autoSpaceDE w:val="0"/>
        <w:autoSpaceDN w:val="0"/>
        <w:adjustRightInd w:val="0"/>
        <w:spacing w:line="360" w:lineRule="auto"/>
        <w:ind w:firstLine="5040" w:firstLineChars="2400"/>
        <w:jc w:val="left"/>
        <w:outlineLvl w:val="9"/>
        <w:rPr>
          <w:rFonts w:hint="eastAsia" w:ascii="宋体" w:hAnsi="宋体" w:eastAsia="宋体" w:cs="宋体"/>
          <w:color w:val="auto"/>
          <w:kern w:val="0"/>
          <w:sz w:val="21"/>
          <w:szCs w:val="21"/>
        </w:rPr>
      </w:pP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val="zh-CN"/>
        </w:rPr>
        <w:t>：（加盖</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val="zh-CN"/>
        </w:rPr>
        <w:t>法人公章）</w:t>
      </w:r>
    </w:p>
    <w:p w14:paraId="2A19D43D">
      <w:pPr>
        <w:autoSpaceDE w:val="0"/>
        <w:autoSpaceDN w:val="0"/>
        <w:adjustRightInd w:val="0"/>
        <w:spacing w:line="360" w:lineRule="auto"/>
        <w:ind w:firstLine="5040" w:firstLineChars="2400"/>
        <w:jc w:val="left"/>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日</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val="zh-CN"/>
        </w:rPr>
        <w:t>期：   年   月   日</w:t>
      </w:r>
    </w:p>
    <w:p w14:paraId="6222A3CD">
      <w:pPr>
        <w:spacing w:line="360" w:lineRule="auto"/>
        <w:outlineLvl w:val="9"/>
        <w:rPr>
          <w:rFonts w:hint="eastAsia" w:ascii="宋体" w:hAnsi="宋体" w:eastAsia="宋体" w:cs="宋体"/>
          <w:color w:val="auto"/>
          <w:szCs w:val="21"/>
          <w:lang w:val="zh-CN"/>
        </w:rPr>
      </w:pPr>
      <w:r>
        <w:rPr>
          <w:rFonts w:hint="eastAsia" w:ascii="宋体" w:hAnsi="宋体" w:eastAsia="宋体" w:cs="宋体"/>
          <w:color w:val="auto"/>
          <w:szCs w:val="21"/>
          <w:lang w:val="zh-CN"/>
        </w:rPr>
        <w:br w:type="page"/>
      </w:r>
    </w:p>
    <w:p w14:paraId="17A703CF">
      <w:pPr>
        <w:pStyle w:val="73"/>
        <w:spacing w:line="360" w:lineRule="auto"/>
        <w:jc w:val="left"/>
        <w:outlineLvl w:val="9"/>
        <w:rPr>
          <w:rFonts w:hint="eastAsia" w:ascii="宋体" w:hAnsi="宋体" w:eastAsia="宋体" w:cs="宋体"/>
          <w:color w:val="auto"/>
          <w:sz w:val="21"/>
          <w:szCs w:val="21"/>
        </w:rPr>
      </w:pPr>
      <w:r>
        <w:rPr>
          <w:rFonts w:hint="eastAsia" w:ascii="宋体" w:hAnsi="宋体" w:eastAsia="宋体" w:cs="宋体"/>
          <w:color w:val="auto"/>
          <w:sz w:val="21"/>
          <w:szCs w:val="21"/>
        </w:rPr>
        <w:t>附表：</w:t>
      </w:r>
      <w:r>
        <w:rPr>
          <w:rFonts w:hint="eastAsia" w:ascii="宋体" w:hAnsi="宋体" w:eastAsia="宋体" w:cs="宋体"/>
          <w:color w:val="auto"/>
          <w:sz w:val="21"/>
          <w:szCs w:val="21"/>
          <w:lang w:val="en-US" w:eastAsia="zh-CN"/>
        </w:rPr>
        <w:t>服务期内单个月份</w:t>
      </w:r>
      <w:r>
        <w:rPr>
          <w:rFonts w:hint="eastAsia" w:ascii="宋体" w:hAnsi="宋体" w:eastAsia="宋体" w:cs="宋体"/>
          <w:color w:val="auto"/>
          <w:sz w:val="21"/>
          <w:szCs w:val="21"/>
        </w:rPr>
        <w:t>已完成的生活污水处理厂污泥处理量统计表</w:t>
      </w:r>
    </w:p>
    <w:tbl>
      <w:tblPr>
        <w:tblStyle w:val="55"/>
        <w:tblW w:w="4872"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14"/>
        <w:gridCol w:w="2523"/>
        <w:gridCol w:w="2915"/>
        <w:gridCol w:w="1415"/>
        <w:gridCol w:w="2238"/>
      </w:tblGrid>
      <w:tr w14:paraId="4AF2C4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jc w:val="center"/>
        </w:trPr>
        <w:tc>
          <w:tcPr>
            <w:tcW w:w="502" w:type="pct"/>
            <w:tcBorders>
              <w:top w:val="single" w:color="auto" w:sz="4" w:space="0"/>
              <w:left w:val="single" w:color="auto" w:sz="4" w:space="0"/>
              <w:bottom w:val="single" w:color="auto" w:sz="4" w:space="0"/>
              <w:right w:val="single" w:color="auto" w:sz="4" w:space="0"/>
            </w:tcBorders>
            <w:vAlign w:val="center"/>
          </w:tcPr>
          <w:p w14:paraId="209A2758">
            <w:pPr>
              <w:keepNext w:val="0"/>
              <w:keepLines w:val="0"/>
              <w:suppressLineNumbers w:val="0"/>
              <w:snapToGrid w:val="0"/>
              <w:spacing w:before="0" w:beforeAutospacing="0" w:after="0" w:afterAutospacing="0" w:line="360" w:lineRule="auto"/>
              <w:ind w:left="253" w:leftChars="-58" w:right="0" w:hanging="392" w:hangingChars="187"/>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zh-CN"/>
              </w:rPr>
              <w:t>序号</w:t>
            </w:r>
          </w:p>
        </w:tc>
        <w:tc>
          <w:tcPr>
            <w:tcW w:w="1248" w:type="pct"/>
            <w:tcBorders>
              <w:top w:val="single" w:color="auto" w:sz="4" w:space="0"/>
              <w:left w:val="single" w:color="auto" w:sz="4" w:space="0"/>
              <w:bottom w:val="single" w:color="auto" w:sz="4" w:space="0"/>
              <w:right w:val="single" w:color="auto" w:sz="4" w:space="0"/>
            </w:tcBorders>
            <w:vAlign w:val="center"/>
          </w:tcPr>
          <w:p w14:paraId="214C046D">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日期</w:t>
            </w:r>
          </w:p>
        </w:tc>
        <w:tc>
          <w:tcPr>
            <w:tcW w:w="1441" w:type="pct"/>
            <w:tcBorders>
              <w:top w:val="single" w:color="auto" w:sz="4" w:space="0"/>
              <w:left w:val="single" w:color="auto" w:sz="4" w:space="0"/>
              <w:bottom w:val="single" w:color="auto" w:sz="4" w:space="0"/>
              <w:right w:val="single" w:color="auto" w:sz="4" w:space="0"/>
            </w:tcBorders>
            <w:vAlign w:val="center"/>
          </w:tcPr>
          <w:p w14:paraId="53B2428B">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污泥量</w:t>
            </w:r>
          </w:p>
        </w:tc>
        <w:tc>
          <w:tcPr>
            <w:tcW w:w="700" w:type="pct"/>
            <w:tcBorders>
              <w:top w:val="single" w:color="auto" w:sz="4" w:space="0"/>
              <w:left w:val="single" w:color="auto" w:sz="4" w:space="0"/>
              <w:bottom w:val="single" w:color="auto" w:sz="4" w:space="0"/>
              <w:right w:val="single" w:color="auto" w:sz="4" w:space="0"/>
            </w:tcBorders>
            <w:vAlign w:val="center"/>
          </w:tcPr>
          <w:p w14:paraId="6607F602">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含水率（%）</w:t>
            </w:r>
          </w:p>
        </w:tc>
        <w:tc>
          <w:tcPr>
            <w:tcW w:w="1106" w:type="pct"/>
            <w:tcBorders>
              <w:top w:val="single" w:color="auto" w:sz="4" w:space="0"/>
              <w:left w:val="single" w:color="auto" w:sz="4" w:space="0"/>
              <w:bottom w:val="single" w:color="auto" w:sz="4" w:space="0"/>
              <w:right w:val="single" w:color="auto" w:sz="4" w:space="0"/>
            </w:tcBorders>
            <w:vAlign w:val="center"/>
          </w:tcPr>
          <w:p w14:paraId="7284898B">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污泥转运联单编号</w:t>
            </w:r>
          </w:p>
        </w:tc>
      </w:tr>
      <w:tr w14:paraId="7A216C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502" w:type="pct"/>
            <w:tcBorders>
              <w:top w:val="single" w:color="auto" w:sz="4" w:space="0"/>
              <w:left w:val="single" w:color="auto" w:sz="4" w:space="0"/>
              <w:bottom w:val="single" w:color="auto" w:sz="4" w:space="0"/>
              <w:right w:val="single" w:color="auto" w:sz="4" w:space="0"/>
            </w:tcBorders>
            <w:vAlign w:val="center"/>
          </w:tcPr>
          <w:p w14:paraId="3E110EF6">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w:t>
            </w:r>
          </w:p>
        </w:tc>
        <w:tc>
          <w:tcPr>
            <w:tcW w:w="1248" w:type="pct"/>
            <w:tcBorders>
              <w:top w:val="single" w:color="auto" w:sz="4" w:space="0"/>
              <w:left w:val="single" w:color="auto" w:sz="4" w:space="0"/>
              <w:bottom w:val="single" w:color="auto" w:sz="4" w:space="0"/>
              <w:right w:val="single" w:color="auto" w:sz="4" w:space="0"/>
            </w:tcBorders>
            <w:vAlign w:val="center"/>
          </w:tcPr>
          <w:p w14:paraId="194CDDAE">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p>
        </w:tc>
        <w:tc>
          <w:tcPr>
            <w:tcW w:w="1441" w:type="pct"/>
            <w:tcBorders>
              <w:top w:val="single" w:color="auto" w:sz="4" w:space="0"/>
              <w:left w:val="single" w:color="auto" w:sz="4" w:space="0"/>
              <w:bottom w:val="single" w:color="auto" w:sz="4" w:space="0"/>
              <w:right w:val="single" w:color="auto" w:sz="4" w:space="0"/>
            </w:tcBorders>
            <w:vAlign w:val="center"/>
          </w:tcPr>
          <w:p w14:paraId="7675FDF9">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rPr>
            </w:pPr>
          </w:p>
        </w:tc>
        <w:tc>
          <w:tcPr>
            <w:tcW w:w="700" w:type="pct"/>
            <w:tcBorders>
              <w:top w:val="single" w:color="auto" w:sz="4" w:space="0"/>
              <w:left w:val="single" w:color="auto" w:sz="4" w:space="0"/>
              <w:bottom w:val="single" w:color="auto" w:sz="4" w:space="0"/>
              <w:right w:val="single" w:color="auto" w:sz="4" w:space="0"/>
            </w:tcBorders>
            <w:vAlign w:val="center"/>
          </w:tcPr>
          <w:p w14:paraId="5A918A7A">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p>
        </w:tc>
        <w:tc>
          <w:tcPr>
            <w:tcW w:w="1106" w:type="pct"/>
            <w:tcBorders>
              <w:top w:val="single" w:color="auto" w:sz="4" w:space="0"/>
              <w:left w:val="single" w:color="auto" w:sz="4" w:space="0"/>
              <w:bottom w:val="single" w:color="auto" w:sz="4" w:space="0"/>
              <w:right w:val="single" w:color="auto" w:sz="4" w:space="0"/>
            </w:tcBorders>
            <w:vAlign w:val="center"/>
          </w:tcPr>
          <w:p w14:paraId="6E7335B1">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p>
        </w:tc>
      </w:tr>
      <w:tr w14:paraId="76C3C4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502" w:type="pct"/>
            <w:tcBorders>
              <w:top w:val="single" w:color="auto" w:sz="4" w:space="0"/>
              <w:left w:val="single" w:color="auto" w:sz="4" w:space="0"/>
              <w:bottom w:val="single" w:color="auto" w:sz="4" w:space="0"/>
              <w:right w:val="single" w:color="auto" w:sz="4" w:space="0"/>
            </w:tcBorders>
            <w:vAlign w:val="center"/>
          </w:tcPr>
          <w:p w14:paraId="05B68EB0">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w:t>
            </w:r>
          </w:p>
        </w:tc>
        <w:tc>
          <w:tcPr>
            <w:tcW w:w="1248" w:type="pct"/>
            <w:tcBorders>
              <w:top w:val="single" w:color="auto" w:sz="4" w:space="0"/>
              <w:left w:val="single" w:color="auto" w:sz="4" w:space="0"/>
              <w:bottom w:val="single" w:color="auto" w:sz="4" w:space="0"/>
              <w:right w:val="single" w:color="auto" w:sz="4" w:space="0"/>
            </w:tcBorders>
            <w:vAlign w:val="center"/>
          </w:tcPr>
          <w:p w14:paraId="55D20317">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p>
        </w:tc>
        <w:tc>
          <w:tcPr>
            <w:tcW w:w="1441" w:type="pct"/>
            <w:tcBorders>
              <w:top w:val="single" w:color="auto" w:sz="4" w:space="0"/>
              <w:left w:val="single" w:color="auto" w:sz="4" w:space="0"/>
              <w:bottom w:val="single" w:color="auto" w:sz="4" w:space="0"/>
              <w:right w:val="single" w:color="auto" w:sz="4" w:space="0"/>
            </w:tcBorders>
            <w:vAlign w:val="center"/>
          </w:tcPr>
          <w:p w14:paraId="230C8A64">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rPr>
            </w:pPr>
          </w:p>
        </w:tc>
        <w:tc>
          <w:tcPr>
            <w:tcW w:w="700" w:type="pct"/>
            <w:tcBorders>
              <w:top w:val="single" w:color="auto" w:sz="4" w:space="0"/>
              <w:left w:val="single" w:color="auto" w:sz="4" w:space="0"/>
              <w:bottom w:val="single" w:color="auto" w:sz="4" w:space="0"/>
              <w:right w:val="single" w:color="auto" w:sz="4" w:space="0"/>
            </w:tcBorders>
            <w:vAlign w:val="center"/>
          </w:tcPr>
          <w:p w14:paraId="68F915DC">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p>
        </w:tc>
        <w:tc>
          <w:tcPr>
            <w:tcW w:w="1106" w:type="pct"/>
            <w:tcBorders>
              <w:top w:val="single" w:color="auto" w:sz="4" w:space="0"/>
              <w:left w:val="single" w:color="auto" w:sz="4" w:space="0"/>
              <w:bottom w:val="single" w:color="auto" w:sz="4" w:space="0"/>
              <w:right w:val="single" w:color="auto" w:sz="4" w:space="0"/>
            </w:tcBorders>
            <w:vAlign w:val="center"/>
          </w:tcPr>
          <w:p w14:paraId="1B52852B">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p>
        </w:tc>
      </w:tr>
      <w:tr w14:paraId="0AF2D9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502" w:type="pct"/>
            <w:tcBorders>
              <w:top w:val="single" w:color="auto" w:sz="4" w:space="0"/>
              <w:left w:val="single" w:color="auto" w:sz="4" w:space="0"/>
              <w:bottom w:val="single" w:color="auto" w:sz="4" w:space="0"/>
              <w:right w:val="single" w:color="auto" w:sz="4" w:space="0"/>
            </w:tcBorders>
            <w:vAlign w:val="center"/>
          </w:tcPr>
          <w:p w14:paraId="3FC6E216">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w:t>
            </w:r>
          </w:p>
        </w:tc>
        <w:tc>
          <w:tcPr>
            <w:tcW w:w="1248" w:type="pct"/>
            <w:tcBorders>
              <w:top w:val="single" w:color="auto" w:sz="4" w:space="0"/>
              <w:left w:val="single" w:color="auto" w:sz="4" w:space="0"/>
              <w:bottom w:val="single" w:color="auto" w:sz="4" w:space="0"/>
              <w:right w:val="single" w:color="auto" w:sz="4" w:space="0"/>
            </w:tcBorders>
            <w:vAlign w:val="center"/>
          </w:tcPr>
          <w:p w14:paraId="780B9038">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p>
        </w:tc>
        <w:tc>
          <w:tcPr>
            <w:tcW w:w="1441" w:type="pct"/>
            <w:tcBorders>
              <w:top w:val="single" w:color="auto" w:sz="4" w:space="0"/>
              <w:left w:val="single" w:color="auto" w:sz="4" w:space="0"/>
              <w:bottom w:val="single" w:color="auto" w:sz="4" w:space="0"/>
              <w:right w:val="single" w:color="auto" w:sz="4" w:space="0"/>
            </w:tcBorders>
            <w:vAlign w:val="center"/>
          </w:tcPr>
          <w:p w14:paraId="48933D5B">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rPr>
            </w:pPr>
          </w:p>
        </w:tc>
        <w:tc>
          <w:tcPr>
            <w:tcW w:w="700" w:type="pct"/>
            <w:tcBorders>
              <w:top w:val="single" w:color="auto" w:sz="4" w:space="0"/>
              <w:left w:val="single" w:color="auto" w:sz="4" w:space="0"/>
              <w:bottom w:val="single" w:color="auto" w:sz="4" w:space="0"/>
              <w:right w:val="single" w:color="auto" w:sz="4" w:space="0"/>
            </w:tcBorders>
            <w:vAlign w:val="center"/>
          </w:tcPr>
          <w:p w14:paraId="4340A426">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p>
        </w:tc>
        <w:tc>
          <w:tcPr>
            <w:tcW w:w="1106" w:type="pct"/>
            <w:tcBorders>
              <w:top w:val="single" w:color="auto" w:sz="4" w:space="0"/>
              <w:left w:val="single" w:color="auto" w:sz="4" w:space="0"/>
              <w:bottom w:val="single" w:color="auto" w:sz="4" w:space="0"/>
              <w:right w:val="single" w:color="auto" w:sz="4" w:space="0"/>
            </w:tcBorders>
            <w:vAlign w:val="center"/>
          </w:tcPr>
          <w:p w14:paraId="306E1725">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p>
        </w:tc>
      </w:tr>
      <w:tr w14:paraId="2CBD1C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502" w:type="pct"/>
            <w:tcBorders>
              <w:top w:val="single" w:color="auto" w:sz="4" w:space="0"/>
              <w:left w:val="single" w:color="auto" w:sz="4" w:space="0"/>
              <w:bottom w:val="single" w:color="auto" w:sz="4" w:space="0"/>
              <w:right w:val="single" w:color="auto" w:sz="4" w:space="0"/>
            </w:tcBorders>
            <w:vAlign w:val="center"/>
          </w:tcPr>
          <w:p w14:paraId="7F393D0A">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1248" w:type="pct"/>
            <w:tcBorders>
              <w:top w:val="single" w:color="auto" w:sz="4" w:space="0"/>
              <w:left w:val="single" w:color="auto" w:sz="4" w:space="0"/>
              <w:bottom w:val="single" w:color="auto" w:sz="4" w:space="0"/>
              <w:right w:val="single" w:color="auto" w:sz="4" w:space="0"/>
            </w:tcBorders>
            <w:vAlign w:val="center"/>
          </w:tcPr>
          <w:p w14:paraId="4B45CBC6">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p>
        </w:tc>
        <w:tc>
          <w:tcPr>
            <w:tcW w:w="1441" w:type="pct"/>
            <w:tcBorders>
              <w:top w:val="single" w:color="auto" w:sz="4" w:space="0"/>
              <w:left w:val="single" w:color="auto" w:sz="4" w:space="0"/>
              <w:bottom w:val="single" w:color="auto" w:sz="4" w:space="0"/>
              <w:right w:val="single" w:color="auto" w:sz="4" w:space="0"/>
            </w:tcBorders>
            <w:vAlign w:val="center"/>
          </w:tcPr>
          <w:p w14:paraId="3F388A00">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p>
        </w:tc>
        <w:tc>
          <w:tcPr>
            <w:tcW w:w="700" w:type="pct"/>
            <w:tcBorders>
              <w:top w:val="single" w:color="auto" w:sz="4" w:space="0"/>
              <w:left w:val="single" w:color="auto" w:sz="4" w:space="0"/>
              <w:bottom w:val="single" w:color="auto" w:sz="4" w:space="0"/>
              <w:right w:val="single" w:color="auto" w:sz="4" w:space="0"/>
            </w:tcBorders>
            <w:vAlign w:val="center"/>
          </w:tcPr>
          <w:p w14:paraId="2331DE04">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p>
        </w:tc>
        <w:tc>
          <w:tcPr>
            <w:tcW w:w="1106" w:type="pct"/>
            <w:tcBorders>
              <w:top w:val="single" w:color="auto" w:sz="4" w:space="0"/>
              <w:left w:val="single" w:color="auto" w:sz="4" w:space="0"/>
              <w:bottom w:val="single" w:color="auto" w:sz="4" w:space="0"/>
              <w:right w:val="single" w:color="auto" w:sz="4" w:space="0"/>
            </w:tcBorders>
            <w:vAlign w:val="center"/>
          </w:tcPr>
          <w:p w14:paraId="44087CF5">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p>
        </w:tc>
      </w:tr>
      <w:tr w14:paraId="5E8D8C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3192" w:type="pct"/>
            <w:gridSpan w:val="3"/>
            <w:tcBorders>
              <w:top w:val="single" w:color="auto" w:sz="4" w:space="0"/>
              <w:left w:val="single" w:color="auto" w:sz="4" w:space="0"/>
              <w:bottom w:val="single" w:color="auto" w:sz="4" w:space="0"/>
              <w:right w:val="single" w:color="auto" w:sz="4" w:space="0"/>
            </w:tcBorders>
            <w:vAlign w:val="center"/>
          </w:tcPr>
          <w:p w14:paraId="70270FEE">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日平均生活污水处理厂污泥处理量（按含水率80%计）（单位：吨/天）</w:t>
            </w:r>
          </w:p>
        </w:tc>
        <w:tc>
          <w:tcPr>
            <w:tcW w:w="1807" w:type="pct"/>
            <w:gridSpan w:val="2"/>
            <w:tcBorders>
              <w:top w:val="single" w:color="auto" w:sz="4" w:space="0"/>
              <w:left w:val="single" w:color="auto" w:sz="4" w:space="0"/>
              <w:bottom w:val="single" w:color="auto" w:sz="4" w:space="0"/>
              <w:right w:val="single" w:color="auto" w:sz="4" w:space="0"/>
            </w:tcBorders>
            <w:vAlign w:val="center"/>
          </w:tcPr>
          <w:p w14:paraId="43CC07D2">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p>
        </w:tc>
      </w:tr>
    </w:tbl>
    <w:p w14:paraId="611145EB">
      <w:pPr>
        <w:snapToGrid w:val="0"/>
        <w:spacing w:line="360" w:lineRule="auto"/>
        <w:ind w:left="561" w:leftChars="-57" w:hanging="698" w:hangingChars="291"/>
        <w:outlineLvl w:val="9"/>
        <w:rPr>
          <w:rFonts w:hint="eastAsia" w:ascii="宋体" w:hAnsi="宋体" w:eastAsia="宋体" w:cs="宋体"/>
          <w:color w:val="auto"/>
          <w:szCs w:val="21"/>
        </w:rPr>
      </w:pPr>
    </w:p>
    <w:p w14:paraId="4198CC90">
      <w:pPr>
        <w:snapToGrid w:val="0"/>
        <w:spacing w:line="360" w:lineRule="auto"/>
        <w:ind w:left="474" w:leftChars="-57" w:hanging="611" w:hangingChars="291"/>
        <w:outlineLvl w:val="9"/>
        <w:rPr>
          <w:rFonts w:hint="eastAsia" w:ascii="宋体" w:hAnsi="宋体" w:eastAsia="宋体" w:cs="宋体"/>
          <w:color w:val="auto"/>
          <w:sz w:val="21"/>
          <w:szCs w:val="21"/>
        </w:rPr>
      </w:pPr>
      <w:r>
        <w:rPr>
          <w:rFonts w:hint="eastAsia" w:ascii="宋体" w:hAnsi="宋体" w:eastAsia="宋体" w:cs="宋体"/>
          <w:color w:val="auto"/>
          <w:sz w:val="21"/>
          <w:szCs w:val="21"/>
        </w:rPr>
        <w:t>备注：</w:t>
      </w:r>
    </w:p>
    <w:p w14:paraId="355FC69C">
      <w:pPr>
        <w:autoSpaceDE w:val="0"/>
        <w:autoSpaceDN w:val="0"/>
        <w:adjustRightInd w:val="0"/>
        <w:snapToGrid w:val="0"/>
        <w:spacing w:line="360" w:lineRule="auto"/>
        <w:ind w:left="469" w:leftChars="-41" w:hanging="567" w:hangingChars="270"/>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w:t>
      </w:r>
      <w:r>
        <w:rPr>
          <w:rFonts w:hint="eastAsia" w:ascii="宋体" w:hAnsi="宋体" w:eastAsia="宋体" w:cs="宋体"/>
          <w:b/>
          <w:bCs/>
          <w:color w:val="auto"/>
          <w:sz w:val="21"/>
          <w:szCs w:val="21"/>
          <w:u w:val="single"/>
          <w:lang w:val="en-US" w:eastAsia="zh-CN"/>
        </w:rPr>
        <w:t>供应商</w:t>
      </w:r>
      <w:r>
        <w:rPr>
          <w:rFonts w:hint="eastAsia" w:ascii="宋体" w:hAnsi="宋体" w:eastAsia="宋体" w:cs="宋体"/>
          <w:b/>
          <w:bCs/>
          <w:color w:val="auto"/>
          <w:sz w:val="21"/>
          <w:szCs w:val="21"/>
          <w:u w:val="single"/>
          <w:lang w:val="zh-CN"/>
        </w:rPr>
        <w:t>提供无明确</w:t>
      </w:r>
      <w:r>
        <w:rPr>
          <w:rFonts w:hint="eastAsia" w:ascii="宋体" w:hAnsi="宋体" w:eastAsia="宋体" w:cs="宋体"/>
          <w:b/>
          <w:bCs/>
          <w:color w:val="auto"/>
          <w:sz w:val="21"/>
          <w:szCs w:val="21"/>
          <w:u w:val="single"/>
        </w:rPr>
        <w:t>污泥处理规模</w:t>
      </w:r>
      <w:r>
        <w:rPr>
          <w:rFonts w:hint="eastAsia" w:ascii="宋体" w:hAnsi="宋体" w:eastAsia="宋体" w:cs="宋体"/>
          <w:b/>
          <w:bCs/>
          <w:color w:val="auto"/>
          <w:sz w:val="21"/>
          <w:szCs w:val="21"/>
          <w:u w:val="single"/>
          <w:lang w:val="zh-CN"/>
        </w:rPr>
        <w:t>的合同时，必须同时提供合同期限内</w:t>
      </w:r>
      <w:r>
        <w:rPr>
          <w:rFonts w:hint="eastAsia" w:ascii="宋体" w:hAnsi="宋体" w:eastAsia="宋体" w:cs="宋体"/>
          <w:b/>
          <w:bCs/>
          <w:color w:val="auto"/>
          <w:sz w:val="21"/>
          <w:szCs w:val="21"/>
          <w:u w:val="single"/>
          <w:lang w:val="en-US" w:eastAsia="zh-CN"/>
        </w:rPr>
        <w:t>单个月份</w:t>
      </w:r>
      <w:r>
        <w:rPr>
          <w:rFonts w:hint="eastAsia" w:ascii="宋体" w:hAnsi="宋体" w:eastAsia="宋体" w:cs="宋体"/>
          <w:b/>
          <w:bCs/>
          <w:color w:val="auto"/>
          <w:sz w:val="21"/>
          <w:szCs w:val="21"/>
          <w:u w:val="single"/>
          <w:lang w:val="zh-CN"/>
        </w:rPr>
        <w:t>已</w:t>
      </w:r>
      <w:r>
        <w:rPr>
          <w:rFonts w:hint="eastAsia" w:ascii="宋体" w:hAnsi="宋体" w:eastAsia="宋体" w:cs="宋体"/>
          <w:b/>
          <w:bCs/>
          <w:color w:val="auto"/>
          <w:sz w:val="21"/>
          <w:szCs w:val="21"/>
          <w:u w:val="single"/>
        </w:rPr>
        <w:t>处理</w:t>
      </w:r>
      <w:r>
        <w:rPr>
          <w:rFonts w:hint="eastAsia" w:ascii="宋体" w:hAnsi="宋体" w:eastAsia="宋体" w:cs="宋体"/>
          <w:b/>
          <w:bCs/>
          <w:color w:val="auto"/>
          <w:sz w:val="21"/>
          <w:szCs w:val="21"/>
          <w:u w:val="single"/>
          <w:lang w:val="zh-CN"/>
        </w:rPr>
        <w:t>的</w:t>
      </w:r>
      <w:r>
        <w:rPr>
          <w:rFonts w:hint="eastAsia" w:ascii="宋体" w:hAnsi="宋体" w:eastAsia="宋体" w:cs="宋体"/>
          <w:b/>
          <w:bCs/>
          <w:color w:val="auto"/>
          <w:sz w:val="21"/>
          <w:szCs w:val="21"/>
          <w:u w:val="single"/>
        </w:rPr>
        <w:t>生活污水处理厂污泥处理量</w:t>
      </w:r>
      <w:r>
        <w:rPr>
          <w:rFonts w:hint="eastAsia" w:ascii="宋体" w:hAnsi="宋体" w:eastAsia="宋体" w:cs="宋体"/>
          <w:b/>
          <w:bCs/>
          <w:color w:val="auto"/>
          <w:sz w:val="21"/>
          <w:szCs w:val="21"/>
          <w:u w:val="single"/>
          <w:lang w:val="zh-CN"/>
        </w:rPr>
        <w:t>统计表和</w:t>
      </w:r>
      <w:r>
        <w:rPr>
          <w:rFonts w:hint="eastAsia" w:ascii="宋体" w:hAnsi="宋体" w:eastAsia="宋体" w:cs="宋体"/>
          <w:b/>
          <w:bCs/>
          <w:color w:val="auto"/>
          <w:sz w:val="21"/>
          <w:szCs w:val="21"/>
          <w:u w:val="single"/>
        </w:rPr>
        <w:t>污泥转运联单</w:t>
      </w:r>
      <w:r>
        <w:rPr>
          <w:rFonts w:hint="eastAsia" w:ascii="宋体" w:hAnsi="宋体" w:eastAsia="宋体" w:cs="宋体"/>
          <w:b/>
          <w:bCs/>
          <w:color w:val="auto"/>
          <w:sz w:val="21"/>
          <w:szCs w:val="21"/>
          <w:u w:val="single"/>
          <w:lang w:val="zh-CN"/>
        </w:rPr>
        <w:t>复印件（无转运联单的，提供服务发票复印件及折算处理量数据或污泥产生单位盖章的证明文件替代）以证明</w:t>
      </w:r>
      <w:r>
        <w:rPr>
          <w:rFonts w:hint="eastAsia" w:ascii="宋体" w:hAnsi="宋体" w:eastAsia="宋体" w:cs="宋体"/>
          <w:b/>
          <w:bCs/>
          <w:color w:val="auto"/>
          <w:sz w:val="21"/>
          <w:szCs w:val="21"/>
          <w:u w:val="single"/>
        </w:rPr>
        <w:t>污泥处理规模</w:t>
      </w:r>
      <w:r>
        <w:rPr>
          <w:rFonts w:hint="eastAsia" w:ascii="宋体" w:hAnsi="宋体" w:eastAsia="宋体" w:cs="宋体"/>
          <w:b/>
          <w:bCs/>
          <w:color w:val="auto"/>
          <w:sz w:val="21"/>
          <w:szCs w:val="21"/>
          <w:u w:val="single"/>
          <w:lang w:val="zh-CN"/>
        </w:rPr>
        <w:t>，本统计表及</w:t>
      </w:r>
      <w:r>
        <w:rPr>
          <w:rFonts w:hint="eastAsia" w:ascii="宋体" w:hAnsi="宋体" w:eastAsia="宋体" w:cs="宋体"/>
          <w:b/>
          <w:bCs/>
          <w:color w:val="auto"/>
          <w:sz w:val="21"/>
          <w:szCs w:val="21"/>
          <w:u w:val="single"/>
        </w:rPr>
        <w:t>污泥转运联单</w:t>
      </w:r>
      <w:r>
        <w:rPr>
          <w:rFonts w:hint="eastAsia" w:ascii="宋体" w:hAnsi="宋体" w:eastAsia="宋体" w:cs="宋体"/>
          <w:b/>
          <w:bCs/>
          <w:color w:val="auto"/>
          <w:sz w:val="21"/>
          <w:szCs w:val="21"/>
          <w:u w:val="single"/>
          <w:lang w:val="zh-CN"/>
        </w:rPr>
        <w:t>复印件（无转运联单的，提供服务发票复印件及折算处理量数据或污泥产生单位盖章的证明文件替代）应后附于合同复印件</w:t>
      </w:r>
      <w:r>
        <w:rPr>
          <w:rFonts w:hint="eastAsia" w:ascii="宋体" w:hAnsi="宋体" w:eastAsia="宋体" w:cs="宋体"/>
          <w:color w:val="auto"/>
          <w:sz w:val="21"/>
          <w:szCs w:val="21"/>
          <w:lang w:val="zh-CN"/>
        </w:rPr>
        <w:t>。</w:t>
      </w:r>
    </w:p>
    <w:p w14:paraId="27EFE317">
      <w:pPr>
        <w:autoSpaceDE w:val="0"/>
        <w:autoSpaceDN w:val="0"/>
        <w:adjustRightInd w:val="0"/>
        <w:snapToGrid w:val="0"/>
        <w:spacing w:line="360" w:lineRule="auto"/>
        <w:ind w:left="469" w:leftChars="-41" w:hanging="567" w:hangingChars="270"/>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w:t>
      </w:r>
      <w:r>
        <w:rPr>
          <w:rFonts w:hint="eastAsia" w:ascii="宋体" w:hAnsi="宋体" w:eastAsia="宋体" w:cs="宋体"/>
          <w:b/>
          <w:bCs/>
          <w:color w:val="auto"/>
          <w:sz w:val="21"/>
          <w:szCs w:val="21"/>
          <w:u w:val="single"/>
        </w:rPr>
        <w:t>污泥转运联单的接受单位应为</w:t>
      </w:r>
      <w:r>
        <w:rPr>
          <w:rFonts w:hint="eastAsia" w:ascii="宋体" w:hAnsi="宋体" w:eastAsia="宋体" w:cs="宋体"/>
          <w:b/>
          <w:bCs/>
          <w:color w:val="auto"/>
          <w:sz w:val="21"/>
          <w:szCs w:val="21"/>
          <w:u w:val="single"/>
          <w:lang w:val="en-US" w:eastAsia="zh-CN"/>
        </w:rPr>
        <w:t>响应供应商</w:t>
      </w:r>
      <w:r>
        <w:rPr>
          <w:rFonts w:hint="eastAsia" w:ascii="宋体" w:hAnsi="宋体" w:eastAsia="宋体" w:cs="宋体"/>
          <w:b/>
          <w:bCs/>
          <w:color w:val="auto"/>
          <w:sz w:val="21"/>
          <w:szCs w:val="21"/>
          <w:u w:val="single"/>
          <w:lang w:val="zh-CN"/>
        </w:rPr>
        <w:t>，且</w:t>
      </w:r>
      <w:r>
        <w:rPr>
          <w:rFonts w:hint="eastAsia" w:ascii="宋体" w:hAnsi="宋体" w:eastAsia="宋体" w:cs="宋体"/>
          <w:b/>
          <w:bCs/>
          <w:color w:val="auto"/>
          <w:sz w:val="21"/>
          <w:szCs w:val="21"/>
          <w:u w:val="single"/>
        </w:rPr>
        <w:t>污水处理厂名称、日期</w:t>
      </w:r>
      <w:r>
        <w:rPr>
          <w:rFonts w:hint="eastAsia" w:ascii="宋体" w:hAnsi="宋体" w:eastAsia="宋体" w:cs="宋体"/>
          <w:b/>
          <w:bCs/>
          <w:color w:val="auto"/>
          <w:sz w:val="21"/>
          <w:szCs w:val="21"/>
          <w:u w:val="single"/>
          <w:lang w:val="zh-CN"/>
        </w:rPr>
        <w:t>应与合同约定内容一致，否则不计分</w:t>
      </w:r>
      <w:r>
        <w:rPr>
          <w:rFonts w:hint="eastAsia" w:ascii="宋体" w:hAnsi="宋体" w:eastAsia="宋体" w:cs="宋体"/>
          <w:color w:val="auto"/>
          <w:sz w:val="21"/>
          <w:szCs w:val="21"/>
          <w:lang w:val="zh-CN"/>
        </w:rPr>
        <w:t>。</w:t>
      </w:r>
    </w:p>
    <w:p w14:paraId="13F0BECC">
      <w:pPr>
        <w:autoSpaceDE w:val="0"/>
        <w:autoSpaceDN w:val="0"/>
        <w:adjustRightInd w:val="0"/>
        <w:snapToGrid w:val="0"/>
        <w:spacing w:line="360" w:lineRule="auto"/>
        <w:ind w:left="469" w:leftChars="-41" w:hanging="567" w:hangingChars="270"/>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rPr>
        <w:t>（3）</w:t>
      </w:r>
      <w:r>
        <w:rPr>
          <w:rFonts w:hint="eastAsia" w:ascii="宋体" w:hAnsi="宋体" w:eastAsia="宋体" w:cs="宋体"/>
          <w:b/>
          <w:bCs/>
          <w:color w:val="auto"/>
          <w:sz w:val="21"/>
          <w:szCs w:val="21"/>
          <w:u w:val="single"/>
        </w:rPr>
        <w:t>污泥处理规模按含水率80%的湿泥计，其他含水率需按下列公式折算为含水率80%的湿泥进行评审，不同含水率污泥量的折算公式：（1-Y%）/（1-80%）×A，Y为污泥实际含水率，A为实际含水率对应的污泥量</w:t>
      </w:r>
      <w:r>
        <w:rPr>
          <w:rFonts w:hint="eastAsia" w:ascii="宋体" w:hAnsi="宋体" w:eastAsia="宋体" w:cs="宋体"/>
          <w:color w:val="auto"/>
          <w:sz w:val="21"/>
          <w:szCs w:val="21"/>
          <w:lang w:val="zh-CN"/>
        </w:rPr>
        <w:t>。</w:t>
      </w:r>
    </w:p>
    <w:p w14:paraId="035B25C7">
      <w:pPr>
        <w:autoSpaceDE w:val="0"/>
        <w:autoSpaceDN w:val="0"/>
        <w:adjustRightInd w:val="0"/>
        <w:snapToGrid w:val="0"/>
        <w:spacing w:line="360" w:lineRule="auto"/>
        <w:ind w:left="469" w:leftChars="-41" w:hanging="567" w:hangingChars="270"/>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w:t>
      </w:r>
      <w:r>
        <w:rPr>
          <w:rFonts w:hint="eastAsia" w:ascii="宋体" w:hAnsi="宋体" w:eastAsia="宋体" w:cs="宋体"/>
          <w:color w:val="auto"/>
          <w:sz w:val="21"/>
          <w:szCs w:val="21"/>
        </w:rPr>
        <w:t>4</w:t>
      </w:r>
      <w:r>
        <w:rPr>
          <w:rFonts w:hint="eastAsia" w:ascii="宋体" w:hAnsi="宋体" w:eastAsia="宋体" w:cs="宋体"/>
          <w:color w:val="auto"/>
          <w:sz w:val="21"/>
          <w:szCs w:val="21"/>
          <w:lang w:val="zh-CN"/>
        </w:rPr>
        <w:t>）</w:t>
      </w:r>
      <w:r>
        <w:rPr>
          <w:rFonts w:hint="eastAsia" w:ascii="宋体" w:hAnsi="宋体" w:eastAsia="宋体" w:cs="宋体"/>
          <w:b/>
          <w:bCs/>
          <w:color w:val="auto"/>
          <w:sz w:val="21"/>
          <w:szCs w:val="21"/>
          <w:u w:val="single"/>
        </w:rPr>
        <w:t>日平均生活污水处理厂污泥处理量按合同期限内</w:t>
      </w:r>
      <w:r>
        <w:rPr>
          <w:rFonts w:hint="eastAsia" w:ascii="宋体" w:hAnsi="宋体" w:eastAsia="宋体" w:cs="宋体"/>
          <w:b/>
          <w:bCs/>
          <w:color w:val="auto"/>
          <w:sz w:val="21"/>
          <w:szCs w:val="21"/>
          <w:u w:val="single"/>
          <w:lang w:val="en-US" w:eastAsia="zh-CN"/>
        </w:rPr>
        <w:t>单个月份</w:t>
      </w:r>
      <w:r>
        <w:rPr>
          <w:rFonts w:hint="eastAsia" w:ascii="宋体" w:hAnsi="宋体" w:eastAsia="宋体" w:cs="宋体"/>
          <w:b/>
          <w:bCs/>
          <w:color w:val="auto"/>
          <w:sz w:val="21"/>
          <w:szCs w:val="21"/>
          <w:u w:val="single"/>
        </w:rPr>
        <w:t>已处理的生活污水处理厂污泥处理量除以</w:t>
      </w:r>
      <w:r>
        <w:rPr>
          <w:rFonts w:hint="eastAsia" w:ascii="宋体" w:hAnsi="宋体" w:eastAsia="宋体" w:cs="宋体"/>
          <w:b/>
          <w:bCs/>
          <w:color w:val="auto"/>
          <w:sz w:val="21"/>
          <w:szCs w:val="21"/>
          <w:u w:val="single"/>
          <w:lang w:val="en-US" w:eastAsia="zh-CN"/>
        </w:rPr>
        <w:t>单个月份自然天数</w:t>
      </w:r>
      <w:r>
        <w:rPr>
          <w:rFonts w:hint="eastAsia" w:ascii="宋体" w:hAnsi="宋体" w:eastAsia="宋体" w:cs="宋体"/>
          <w:b/>
          <w:bCs/>
          <w:color w:val="auto"/>
          <w:sz w:val="21"/>
          <w:szCs w:val="21"/>
          <w:u w:val="single"/>
        </w:rPr>
        <w:t>进行计算，并以此作为污泥处理规模进行评审</w:t>
      </w:r>
      <w:r>
        <w:rPr>
          <w:rFonts w:hint="eastAsia" w:ascii="宋体" w:hAnsi="宋体" w:eastAsia="宋体" w:cs="宋体"/>
          <w:color w:val="auto"/>
          <w:sz w:val="21"/>
          <w:szCs w:val="21"/>
          <w:lang w:val="zh-CN"/>
        </w:rPr>
        <w:t>。</w:t>
      </w:r>
    </w:p>
    <w:bookmarkEnd w:id="389"/>
    <w:bookmarkEnd w:id="390"/>
    <w:bookmarkEnd w:id="391"/>
    <w:bookmarkEnd w:id="392"/>
    <w:bookmarkEnd w:id="393"/>
    <w:bookmarkEnd w:id="394"/>
    <w:bookmarkEnd w:id="395"/>
    <w:p w14:paraId="2B679655">
      <w:pPr>
        <w:pageBreakBefore/>
        <w:spacing w:before="120" w:after="120" w:line="360" w:lineRule="auto"/>
        <w:jc w:val="left"/>
        <w:outlineLvl w:val="9"/>
        <w:rPr>
          <w:rFonts w:hint="eastAsia" w:ascii="宋体" w:hAnsi="宋体" w:eastAsia="宋体" w:cs="宋体"/>
          <w:b/>
          <w:bCs/>
          <w:kern w:val="0"/>
          <w:sz w:val="32"/>
          <w:szCs w:val="32"/>
          <w:lang w:val="zh-CN"/>
        </w:rPr>
      </w:pPr>
      <w:bookmarkStart w:id="410" w:name="_Toc19890"/>
      <w:bookmarkStart w:id="411" w:name="_Toc94107220"/>
      <w:bookmarkStart w:id="412" w:name="_Toc142508378"/>
      <w:bookmarkStart w:id="413" w:name="_Toc18413"/>
      <w:bookmarkStart w:id="414" w:name="_Toc533708132"/>
      <w:bookmarkStart w:id="415" w:name="_Toc1977737"/>
      <w:bookmarkStart w:id="416" w:name="_Toc18175_WPSOffice_Level2"/>
      <w:bookmarkStart w:id="417" w:name="_Toc102860083"/>
      <w:bookmarkStart w:id="418" w:name="_Toc102860427"/>
      <w:bookmarkStart w:id="419" w:name="_Toc140596938"/>
      <w:bookmarkStart w:id="420" w:name="_Toc104991885"/>
      <w:bookmarkStart w:id="421" w:name="_Toc31965"/>
      <w:bookmarkStart w:id="422" w:name="_Toc486167719"/>
      <w:bookmarkStart w:id="423" w:name="_Toc17514"/>
      <w:r>
        <w:rPr>
          <w:rFonts w:hint="eastAsia" w:ascii="宋体" w:hAnsi="宋体" w:eastAsia="宋体" w:cs="宋体"/>
          <w:b/>
          <w:bCs/>
          <w:kern w:val="0"/>
          <w:sz w:val="32"/>
          <w:szCs w:val="32"/>
          <w:lang w:val="zh-CN"/>
        </w:rPr>
        <w:t>十</w:t>
      </w:r>
      <w:r>
        <w:rPr>
          <w:rFonts w:hint="eastAsia" w:ascii="宋体" w:hAnsi="宋体" w:eastAsia="宋体" w:cs="宋体"/>
          <w:b/>
          <w:bCs/>
          <w:kern w:val="0"/>
          <w:sz w:val="32"/>
          <w:szCs w:val="32"/>
        </w:rPr>
        <w:t>一</w:t>
      </w:r>
      <w:r>
        <w:rPr>
          <w:rFonts w:hint="eastAsia" w:ascii="宋体" w:hAnsi="宋体" w:eastAsia="宋体" w:cs="宋体"/>
          <w:b/>
          <w:bCs/>
          <w:kern w:val="0"/>
          <w:sz w:val="32"/>
          <w:szCs w:val="32"/>
          <w:lang w:val="zh-CN"/>
        </w:rPr>
        <w:t>、</w:t>
      </w:r>
      <w:r>
        <w:rPr>
          <w:rFonts w:hint="eastAsia" w:ascii="宋体" w:hAnsi="宋体" w:eastAsia="宋体" w:cs="宋体"/>
          <w:b/>
          <w:bCs/>
          <w:kern w:val="0"/>
          <w:sz w:val="32"/>
          <w:szCs w:val="32"/>
          <w:lang w:val="en-US" w:eastAsia="zh-CN"/>
        </w:rPr>
        <w:t>磋商</w:t>
      </w:r>
      <w:r>
        <w:rPr>
          <w:rFonts w:hint="eastAsia" w:ascii="宋体" w:hAnsi="宋体" w:eastAsia="宋体" w:cs="宋体"/>
          <w:b/>
          <w:bCs/>
          <w:kern w:val="0"/>
          <w:sz w:val="32"/>
          <w:szCs w:val="32"/>
          <w:lang w:val="zh-CN"/>
        </w:rPr>
        <w:t>保证金汇入情况说明</w:t>
      </w:r>
      <w:bookmarkEnd w:id="410"/>
      <w:bookmarkEnd w:id="411"/>
      <w:bookmarkEnd w:id="412"/>
      <w:bookmarkEnd w:id="413"/>
      <w:bookmarkEnd w:id="414"/>
      <w:bookmarkEnd w:id="415"/>
      <w:bookmarkEnd w:id="416"/>
      <w:bookmarkEnd w:id="417"/>
      <w:bookmarkEnd w:id="418"/>
      <w:bookmarkEnd w:id="419"/>
      <w:bookmarkEnd w:id="420"/>
      <w:bookmarkEnd w:id="421"/>
      <w:bookmarkEnd w:id="422"/>
    </w:p>
    <w:p w14:paraId="6106A29F">
      <w:pPr>
        <w:autoSpaceDE w:val="0"/>
        <w:autoSpaceDN w:val="0"/>
        <w:adjustRightInd w:val="0"/>
        <w:spacing w:line="360" w:lineRule="auto"/>
        <w:jc w:val="left"/>
        <w:outlineLvl w:val="9"/>
        <w:rPr>
          <w:rFonts w:hint="eastAsia" w:ascii="宋体" w:hAnsi="宋体" w:eastAsia="宋体" w:cs="宋体"/>
          <w:szCs w:val="24"/>
        </w:rPr>
      </w:pPr>
    </w:p>
    <w:p w14:paraId="6636BDB3">
      <w:pPr>
        <w:autoSpaceDE w:val="0"/>
        <w:autoSpaceDN w:val="0"/>
        <w:adjustRightInd w:val="0"/>
        <w:spacing w:line="360" w:lineRule="auto"/>
        <w:jc w:val="center"/>
        <w:outlineLvl w:val="9"/>
        <w:rPr>
          <w:rFonts w:hint="eastAsia" w:ascii="宋体" w:hAnsi="宋体" w:eastAsia="宋体" w:cs="宋体"/>
          <w:b/>
          <w:bCs/>
          <w:kern w:val="0"/>
          <w:sz w:val="21"/>
          <w:szCs w:val="21"/>
        </w:rPr>
      </w:pPr>
      <w:bookmarkStart w:id="424" w:name="_Toc31832_WPSOffice_Level3"/>
      <w:r>
        <w:rPr>
          <w:rFonts w:hint="eastAsia" w:ascii="宋体" w:hAnsi="宋体" w:eastAsia="宋体" w:cs="宋体"/>
          <w:b/>
          <w:bCs/>
          <w:kern w:val="0"/>
          <w:sz w:val="21"/>
          <w:szCs w:val="21"/>
          <w:lang w:val="en-US" w:eastAsia="zh-CN"/>
        </w:rPr>
        <w:t>磋</w:t>
      </w:r>
      <w:r>
        <w:rPr>
          <w:rFonts w:hint="eastAsia" w:ascii="宋体" w:hAnsi="宋体" w:eastAsia="宋体" w:cs="宋体"/>
          <w:b/>
          <w:bCs/>
          <w:color w:val="auto"/>
          <w:kern w:val="0"/>
          <w:sz w:val="21"/>
          <w:szCs w:val="21"/>
          <w:lang w:val="en-US" w:eastAsia="zh-CN"/>
        </w:rPr>
        <w:t>商</w:t>
      </w:r>
      <w:r>
        <w:rPr>
          <w:rFonts w:hint="eastAsia" w:ascii="宋体" w:hAnsi="宋体" w:eastAsia="宋体" w:cs="宋体"/>
          <w:b/>
          <w:bCs/>
          <w:color w:val="auto"/>
          <w:kern w:val="0"/>
          <w:sz w:val="21"/>
          <w:szCs w:val="21"/>
        </w:rPr>
        <w:t>保证金汇入情况说明</w:t>
      </w:r>
      <w:bookmarkEnd w:id="424"/>
      <w:r>
        <w:rPr>
          <w:rFonts w:hint="eastAsia" w:ascii="宋体" w:hAnsi="宋体" w:eastAsia="宋体" w:cs="宋体"/>
          <w:b/>
          <w:bCs/>
          <w:color w:val="auto"/>
          <w:kern w:val="0"/>
          <w:sz w:val="21"/>
          <w:szCs w:val="21"/>
          <w:lang w:val="zh-CN"/>
        </w:rPr>
        <w:t>(   包组)</w:t>
      </w:r>
    </w:p>
    <w:p w14:paraId="062ED0C8">
      <w:pPr>
        <w:autoSpaceDE w:val="0"/>
        <w:autoSpaceDN w:val="0"/>
        <w:adjustRightInd w:val="0"/>
        <w:spacing w:line="360" w:lineRule="auto"/>
        <w:jc w:val="center"/>
        <w:outlineLvl w:val="9"/>
        <w:rPr>
          <w:rFonts w:hint="eastAsia" w:ascii="宋体" w:hAnsi="宋体" w:eastAsia="宋体" w:cs="宋体"/>
          <w:b/>
          <w:bCs/>
          <w:kern w:val="0"/>
          <w:sz w:val="21"/>
          <w:szCs w:val="21"/>
        </w:rPr>
      </w:pPr>
    </w:p>
    <w:p w14:paraId="7429D0A6">
      <w:pPr>
        <w:spacing w:line="360" w:lineRule="auto"/>
        <w:ind w:firstLine="424" w:firstLineChars="202"/>
        <w:outlineLvl w:val="9"/>
        <w:rPr>
          <w:rFonts w:hint="eastAsia" w:ascii="宋体" w:hAnsi="宋体" w:eastAsia="宋体" w:cs="宋体"/>
          <w:color w:val="auto"/>
          <w:sz w:val="21"/>
          <w:szCs w:val="21"/>
        </w:rPr>
      </w:pPr>
      <w:r>
        <w:rPr>
          <w:rFonts w:hint="eastAsia" w:ascii="宋体" w:hAnsi="宋体" w:eastAsia="宋体" w:cs="宋体"/>
          <w:color w:val="auto"/>
          <w:sz w:val="21"/>
          <w:szCs w:val="21"/>
        </w:rPr>
        <w:t>东莞市众源环境投资有限公司：</w:t>
      </w:r>
    </w:p>
    <w:p w14:paraId="48A9429D">
      <w:pPr>
        <w:spacing w:line="360" w:lineRule="auto"/>
        <w:ind w:firstLine="424" w:firstLineChars="202"/>
        <w:outlineLvl w:val="9"/>
        <w:rPr>
          <w:rFonts w:hint="eastAsia" w:ascii="宋体" w:hAnsi="宋体" w:eastAsia="宋体" w:cs="宋体"/>
          <w:color w:val="auto"/>
          <w:sz w:val="21"/>
          <w:szCs w:val="21"/>
        </w:rPr>
      </w:pPr>
      <w:r>
        <w:rPr>
          <w:rFonts w:hint="eastAsia" w:ascii="宋体" w:hAnsi="宋体" w:eastAsia="宋体" w:cs="宋体"/>
          <w:color w:val="auto"/>
          <w:sz w:val="21"/>
          <w:szCs w:val="21"/>
        </w:rPr>
        <w:t>本单位已按</w:t>
      </w:r>
      <w:r>
        <w:rPr>
          <w:rFonts w:hint="eastAsia" w:ascii="宋体" w:hAnsi="宋体" w:cs="宋体"/>
          <w:color w:val="auto"/>
          <w:kern w:val="0"/>
          <w:sz w:val="21"/>
          <w:szCs w:val="21"/>
          <w:u w:val="single"/>
          <w:lang w:eastAsia="zh-CN"/>
        </w:rPr>
        <w:t>东莞市众源环境投资有限公司污水处理厂污泥脱水减量处理服务（BOT权属滨海湾片区）采购项目</w:t>
      </w:r>
      <w:r>
        <w:rPr>
          <w:rFonts w:hint="eastAsia" w:ascii="宋体" w:hAnsi="宋体" w:eastAsia="宋体" w:cs="宋体"/>
          <w:color w:val="auto"/>
          <w:kern w:val="0"/>
          <w:sz w:val="21"/>
          <w:szCs w:val="21"/>
          <w:u w:val="single"/>
          <w:lang w:val="zh-CN"/>
        </w:rPr>
        <w:t>(   包组)</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rPr>
        <w:t>编号：</w:t>
      </w:r>
      <w:r>
        <w:rPr>
          <w:rFonts w:hint="eastAsia" w:ascii="宋体" w:hAnsi="宋体" w:cs="宋体"/>
          <w:color w:val="auto"/>
          <w:sz w:val="21"/>
          <w:szCs w:val="21"/>
          <w:u w:val="single"/>
          <w:lang w:eastAsia="zh-CN"/>
        </w:rPr>
        <w:t xml:space="preserve">DGDS2024-002 </w:t>
      </w:r>
      <w:r>
        <w:rPr>
          <w:rFonts w:hint="eastAsia" w:ascii="宋体" w:hAnsi="宋体" w:eastAsia="宋体" w:cs="宋体"/>
          <w:color w:val="auto"/>
          <w:sz w:val="21"/>
          <w:szCs w:val="21"/>
        </w:rPr>
        <w:t>）的</w:t>
      </w:r>
      <w:r>
        <w:rPr>
          <w:rFonts w:hint="eastAsia" w:ascii="宋体" w:hAnsi="宋体" w:eastAsia="宋体" w:cs="宋体"/>
          <w:color w:val="auto"/>
          <w:sz w:val="21"/>
          <w:szCs w:val="21"/>
          <w:lang w:val="en-US" w:eastAsia="zh-CN"/>
        </w:rPr>
        <w:t>竞争性磋商</w:t>
      </w:r>
      <w:r>
        <w:rPr>
          <w:rFonts w:hint="eastAsia" w:ascii="宋体" w:hAnsi="宋体" w:eastAsia="宋体" w:cs="宋体"/>
          <w:color w:val="auto"/>
          <w:sz w:val="21"/>
          <w:szCs w:val="21"/>
        </w:rPr>
        <w:t>文件要求，于</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日前以</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付款形式）方式汇入指定账户（账户名称：</w:t>
      </w:r>
      <w:r>
        <w:rPr>
          <w:rFonts w:hint="eastAsia" w:ascii="宋体" w:hAnsi="宋体" w:eastAsia="宋体" w:cs="宋体"/>
          <w:b/>
          <w:color w:val="auto"/>
          <w:sz w:val="21"/>
          <w:szCs w:val="21"/>
          <w:u w:val="single"/>
        </w:rPr>
        <w:t xml:space="preserve">                    </w:t>
      </w:r>
      <w:r>
        <w:rPr>
          <w:rFonts w:hint="eastAsia" w:ascii="宋体" w:hAnsi="宋体" w:eastAsia="宋体" w:cs="宋体"/>
          <w:color w:val="auto"/>
          <w:sz w:val="21"/>
          <w:szCs w:val="21"/>
        </w:rPr>
        <w:t>，账号：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开户银行：</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rPr>
        <w:t>）。</w:t>
      </w:r>
    </w:p>
    <w:p w14:paraId="31CD0A88">
      <w:pPr>
        <w:spacing w:line="360" w:lineRule="auto"/>
        <w:ind w:firstLine="424" w:firstLineChars="202"/>
        <w:outlineLvl w:val="9"/>
        <w:rPr>
          <w:rFonts w:hint="eastAsia" w:ascii="宋体" w:hAnsi="宋体" w:eastAsia="宋体" w:cs="宋体"/>
          <w:color w:val="auto"/>
          <w:sz w:val="21"/>
          <w:szCs w:val="21"/>
        </w:rPr>
      </w:pPr>
      <w:r>
        <w:rPr>
          <w:rFonts w:hint="eastAsia" w:ascii="宋体" w:hAnsi="宋体" w:eastAsia="宋体" w:cs="宋体"/>
          <w:color w:val="auto"/>
          <w:sz w:val="21"/>
          <w:szCs w:val="21"/>
        </w:rPr>
        <w:t>本单位</w:t>
      </w:r>
      <w:r>
        <w:rPr>
          <w:rFonts w:hint="eastAsia" w:ascii="宋体" w:hAnsi="宋体" w:eastAsia="宋体" w:cs="宋体"/>
          <w:color w:val="auto"/>
          <w:sz w:val="21"/>
          <w:szCs w:val="21"/>
          <w:lang w:val="en-US" w:eastAsia="zh-CN"/>
        </w:rPr>
        <w:t>磋商</w:t>
      </w:r>
      <w:r>
        <w:rPr>
          <w:rFonts w:hint="eastAsia" w:ascii="宋体" w:hAnsi="宋体" w:eastAsia="宋体" w:cs="宋体"/>
          <w:color w:val="auto"/>
          <w:sz w:val="21"/>
          <w:szCs w:val="21"/>
        </w:rPr>
        <w:t>保证金的汇款情况：（详见附件－</w:t>
      </w:r>
      <w:r>
        <w:rPr>
          <w:rFonts w:hint="eastAsia" w:ascii="宋体" w:hAnsi="宋体" w:eastAsia="宋体" w:cs="宋体"/>
          <w:color w:val="auto"/>
          <w:sz w:val="21"/>
          <w:szCs w:val="21"/>
          <w:lang w:val="en-US" w:eastAsia="zh-CN"/>
        </w:rPr>
        <w:t>磋商</w:t>
      </w:r>
      <w:r>
        <w:rPr>
          <w:rFonts w:hint="eastAsia" w:ascii="宋体" w:hAnsi="宋体" w:eastAsia="宋体" w:cs="宋体"/>
          <w:color w:val="auto"/>
          <w:sz w:val="21"/>
          <w:szCs w:val="21"/>
        </w:rPr>
        <w:t>保证金进账单）</w:t>
      </w:r>
    </w:p>
    <w:p w14:paraId="485B2A06">
      <w:pPr>
        <w:spacing w:line="360" w:lineRule="auto"/>
        <w:ind w:firstLine="424" w:firstLineChars="202"/>
        <w:outlineLvl w:val="9"/>
        <w:rPr>
          <w:rFonts w:hint="eastAsia" w:ascii="宋体" w:hAnsi="宋体" w:eastAsia="宋体" w:cs="宋体"/>
          <w:color w:val="auto"/>
          <w:sz w:val="21"/>
          <w:szCs w:val="21"/>
        </w:rPr>
      </w:pPr>
      <w:r>
        <w:rPr>
          <w:rFonts w:hint="eastAsia" w:ascii="宋体" w:hAnsi="宋体" w:eastAsia="宋体" w:cs="宋体"/>
          <w:color w:val="auto"/>
          <w:sz w:val="21"/>
          <w:szCs w:val="21"/>
        </w:rPr>
        <w:t>汇出时间：</w:t>
      </w:r>
      <w:r>
        <w:rPr>
          <w:rFonts w:hint="eastAsia" w:ascii="宋体" w:hAnsi="宋体" w:eastAsia="宋体" w:cs="宋体"/>
          <w:color w:val="auto"/>
          <w:sz w:val="21"/>
          <w:szCs w:val="21"/>
          <w:u w:val="single"/>
        </w:rPr>
        <w:t xml:space="preserve">    年   月    日</w:t>
      </w:r>
    </w:p>
    <w:p w14:paraId="34170470">
      <w:pPr>
        <w:spacing w:line="360" w:lineRule="auto"/>
        <w:ind w:firstLine="424" w:firstLineChars="202"/>
        <w:outlineLvl w:val="9"/>
        <w:rPr>
          <w:rFonts w:hint="eastAsia" w:ascii="宋体" w:hAnsi="宋体" w:eastAsia="宋体" w:cs="宋体"/>
          <w:color w:val="auto"/>
          <w:sz w:val="21"/>
          <w:szCs w:val="21"/>
          <w:u w:val="single"/>
        </w:rPr>
      </w:pPr>
      <w:r>
        <w:rPr>
          <w:rFonts w:hint="eastAsia" w:ascii="宋体" w:hAnsi="宋体" w:eastAsia="宋体" w:cs="宋体"/>
          <w:color w:val="auto"/>
          <w:sz w:val="21"/>
          <w:szCs w:val="21"/>
        </w:rPr>
        <w:t>汇款金额：</w:t>
      </w:r>
      <w:r>
        <w:rPr>
          <w:rFonts w:hint="eastAsia" w:ascii="宋体" w:hAnsi="宋体" w:eastAsia="宋体" w:cs="宋体"/>
          <w:color w:val="auto"/>
          <w:sz w:val="21"/>
          <w:szCs w:val="21"/>
          <w:u w:val="single"/>
        </w:rPr>
        <w:t>（大写）人民币      元（小写：¥      元）</w:t>
      </w:r>
    </w:p>
    <w:p w14:paraId="0BCA4347">
      <w:pPr>
        <w:spacing w:line="360" w:lineRule="auto"/>
        <w:ind w:firstLine="424" w:firstLineChars="202"/>
        <w:outlineLvl w:val="9"/>
        <w:rPr>
          <w:rFonts w:hint="eastAsia" w:ascii="宋体" w:hAnsi="宋体" w:eastAsia="宋体" w:cs="宋体"/>
          <w:color w:val="auto"/>
          <w:sz w:val="21"/>
          <w:szCs w:val="21"/>
        </w:rPr>
      </w:pPr>
      <w:r>
        <w:rPr>
          <w:rFonts w:hint="eastAsia" w:ascii="宋体" w:hAnsi="宋体" w:eastAsia="宋体" w:cs="宋体"/>
          <w:color w:val="auto"/>
          <w:sz w:val="21"/>
          <w:szCs w:val="21"/>
        </w:rPr>
        <w:t>汇款账户名称：</w:t>
      </w:r>
      <w:r>
        <w:rPr>
          <w:rFonts w:hint="eastAsia" w:ascii="宋体" w:hAnsi="宋体" w:eastAsia="宋体" w:cs="宋体"/>
          <w:color w:val="auto"/>
          <w:sz w:val="21"/>
          <w:szCs w:val="21"/>
          <w:u w:val="single"/>
        </w:rPr>
        <w:t>（必须是</w:t>
      </w:r>
      <w:r>
        <w:rPr>
          <w:rFonts w:hint="eastAsia" w:ascii="宋体" w:hAnsi="宋体" w:eastAsia="宋体" w:cs="宋体"/>
          <w:color w:val="auto"/>
          <w:sz w:val="21"/>
          <w:szCs w:val="21"/>
          <w:u w:val="single"/>
          <w:lang w:val="en-US" w:eastAsia="zh-CN"/>
        </w:rPr>
        <w:t>磋商</w:t>
      </w:r>
      <w:r>
        <w:rPr>
          <w:rFonts w:hint="eastAsia" w:ascii="宋体" w:hAnsi="宋体" w:eastAsia="宋体" w:cs="宋体"/>
          <w:color w:val="auto"/>
          <w:sz w:val="21"/>
          <w:szCs w:val="21"/>
          <w:u w:val="single"/>
        </w:rPr>
        <w:t>时使用的账户名）</w:t>
      </w:r>
    </w:p>
    <w:p w14:paraId="437C6B8E">
      <w:pPr>
        <w:spacing w:line="360" w:lineRule="auto"/>
        <w:ind w:firstLine="424" w:firstLineChars="202"/>
        <w:outlineLvl w:val="9"/>
        <w:rPr>
          <w:rFonts w:hint="eastAsia" w:ascii="宋体" w:hAnsi="宋体" w:eastAsia="宋体" w:cs="宋体"/>
          <w:color w:val="auto"/>
          <w:sz w:val="21"/>
          <w:szCs w:val="21"/>
        </w:rPr>
      </w:pPr>
      <w:r>
        <w:rPr>
          <w:rFonts w:hint="eastAsia" w:ascii="宋体" w:hAnsi="宋体" w:eastAsia="宋体" w:cs="宋体"/>
          <w:color w:val="auto"/>
          <w:sz w:val="21"/>
          <w:szCs w:val="21"/>
        </w:rPr>
        <w:t>账号：</w:t>
      </w:r>
      <w:r>
        <w:rPr>
          <w:rFonts w:hint="eastAsia" w:ascii="宋体" w:hAnsi="宋体" w:eastAsia="宋体" w:cs="宋体"/>
          <w:color w:val="auto"/>
          <w:sz w:val="21"/>
          <w:szCs w:val="21"/>
          <w:u w:val="single"/>
        </w:rPr>
        <w:t>（必须是</w:t>
      </w:r>
      <w:r>
        <w:rPr>
          <w:rFonts w:hint="eastAsia" w:ascii="宋体" w:hAnsi="宋体" w:eastAsia="宋体" w:cs="宋体"/>
          <w:color w:val="auto"/>
          <w:sz w:val="21"/>
          <w:szCs w:val="21"/>
          <w:u w:val="single"/>
          <w:lang w:val="en-US" w:eastAsia="zh-CN"/>
        </w:rPr>
        <w:t>磋商</w:t>
      </w:r>
      <w:r>
        <w:rPr>
          <w:rFonts w:hint="eastAsia" w:ascii="宋体" w:hAnsi="宋体" w:eastAsia="宋体" w:cs="宋体"/>
          <w:color w:val="auto"/>
          <w:sz w:val="21"/>
          <w:szCs w:val="21"/>
          <w:u w:val="single"/>
        </w:rPr>
        <w:t>时使用的账号）</w:t>
      </w:r>
    </w:p>
    <w:p w14:paraId="48AA0753">
      <w:pPr>
        <w:spacing w:line="360" w:lineRule="auto"/>
        <w:ind w:firstLine="424" w:firstLineChars="202"/>
        <w:outlineLvl w:val="9"/>
        <w:rPr>
          <w:rFonts w:hint="eastAsia" w:ascii="宋体" w:hAnsi="宋体" w:eastAsia="宋体" w:cs="宋体"/>
          <w:color w:val="auto"/>
          <w:sz w:val="21"/>
          <w:szCs w:val="21"/>
        </w:rPr>
      </w:pPr>
      <w:r>
        <w:rPr>
          <w:rFonts w:hint="eastAsia" w:ascii="宋体" w:hAnsi="宋体" w:eastAsia="宋体" w:cs="宋体"/>
          <w:color w:val="auto"/>
          <w:sz w:val="21"/>
          <w:szCs w:val="21"/>
        </w:rPr>
        <w:t>开户银行：</w:t>
      </w:r>
      <w:r>
        <w:rPr>
          <w:rFonts w:hint="eastAsia" w:ascii="宋体" w:hAnsi="宋体" w:eastAsia="宋体" w:cs="宋体"/>
          <w:color w:val="auto"/>
          <w:sz w:val="21"/>
          <w:szCs w:val="21"/>
          <w:u w:val="single"/>
        </w:rPr>
        <w:t xml:space="preserve">        省         市         </w:t>
      </w:r>
    </w:p>
    <w:p w14:paraId="4399059D">
      <w:pPr>
        <w:spacing w:line="360" w:lineRule="auto"/>
        <w:ind w:firstLine="424" w:firstLineChars="202"/>
        <w:outlineLvl w:val="9"/>
        <w:rPr>
          <w:rFonts w:hint="eastAsia" w:ascii="宋体" w:hAnsi="宋体" w:eastAsia="宋体" w:cs="宋体"/>
          <w:color w:val="auto"/>
          <w:sz w:val="21"/>
          <w:szCs w:val="21"/>
        </w:rPr>
      </w:pPr>
      <w:r>
        <w:rPr>
          <w:rFonts w:hint="eastAsia" w:ascii="宋体" w:hAnsi="宋体" w:eastAsia="宋体" w:cs="宋体"/>
          <w:color w:val="auto"/>
          <w:sz w:val="21"/>
          <w:szCs w:val="21"/>
        </w:rPr>
        <w:t>本单位谨承诺上述资料是正确、真实的，如因上述证明与事实不符导致的一切损失，本单位保证承担赔偿等一切法律责任。</w:t>
      </w:r>
    </w:p>
    <w:p w14:paraId="4FF06C31">
      <w:pPr>
        <w:spacing w:line="360" w:lineRule="auto"/>
        <w:ind w:firstLine="424" w:firstLineChars="202"/>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磋商</w:t>
      </w:r>
      <w:r>
        <w:rPr>
          <w:rFonts w:hint="eastAsia" w:ascii="宋体" w:hAnsi="宋体" w:eastAsia="宋体" w:cs="宋体"/>
          <w:color w:val="auto"/>
          <w:sz w:val="21"/>
          <w:szCs w:val="21"/>
        </w:rPr>
        <w:t>保证金退回时，请按上述资料退回。</w:t>
      </w:r>
    </w:p>
    <w:p w14:paraId="291E1A34">
      <w:pPr>
        <w:spacing w:line="360" w:lineRule="auto"/>
        <w:ind w:right="965" w:rightChars="402" w:firstLine="424" w:firstLineChars="202"/>
        <w:jc w:val="right"/>
        <w:outlineLvl w:val="9"/>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bCs/>
          <w:color w:val="auto"/>
          <w:sz w:val="21"/>
          <w:szCs w:val="21"/>
          <w:lang w:val="en-US" w:eastAsia="zh-CN"/>
        </w:rPr>
        <w:t>供应商</w:t>
      </w:r>
      <w:r>
        <w:rPr>
          <w:rFonts w:hint="eastAsia" w:ascii="宋体" w:hAnsi="宋体" w:eastAsia="宋体" w:cs="宋体"/>
          <w:bCs/>
          <w:color w:val="auto"/>
          <w:sz w:val="21"/>
          <w:szCs w:val="21"/>
        </w:rPr>
        <w:t>法人公章</w:t>
      </w:r>
      <w:r>
        <w:rPr>
          <w:rFonts w:hint="eastAsia" w:ascii="宋体" w:hAnsi="宋体" w:eastAsia="宋体" w:cs="宋体"/>
          <w:color w:val="auto"/>
          <w:sz w:val="21"/>
          <w:szCs w:val="21"/>
        </w:rPr>
        <w:t>）</w:t>
      </w:r>
    </w:p>
    <w:p w14:paraId="3B061EF1">
      <w:pPr>
        <w:spacing w:line="360" w:lineRule="auto"/>
        <w:ind w:right="718" w:rightChars="299" w:firstLine="7774" w:firstLineChars="3702"/>
        <w:jc w:val="left"/>
        <w:outlineLvl w:val="9"/>
        <w:rPr>
          <w:rFonts w:hint="eastAsia" w:ascii="宋体" w:hAnsi="宋体" w:eastAsia="宋体" w:cs="宋体"/>
          <w:color w:val="auto"/>
          <w:sz w:val="21"/>
          <w:szCs w:val="21"/>
        </w:rPr>
      </w:pPr>
      <w:r>
        <w:rPr>
          <w:rFonts w:hint="eastAsia" w:ascii="宋体" w:hAnsi="宋体" w:eastAsia="宋体" w:cs="宋体"/>
          <w:color w:val="auto"/>
          <w:sz w:val="21"/>
          <w:szCs w:val="21"/>
        </w:rPr>
        <w:t>年   月   日</w:t>
      </w:r>
    </w:p>
    <w:p w14:paraId="3F0B4931">
      <w:pPr>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单位名称：</w:t>
      </w:r>
    </w:p>
    <w:p w14:paraId="4D7C8353">
      <w:pPr>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单位地址：</w:t>
      </w:r>
    </w:p>
    <w:p w14:paraId="4C76D774">
      <w:pPr>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联系人：</w:t>
      </w:r>
    </w:p>
    <w:p w14:paraId="0D85B24D">
      <w:pPr>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 xml:space="preserve">单位电话：                    </w:t>
      </w:r>
    </w:p>
    <w:p w14:paraId="44E8B299">
      <w:pPr>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联系人手机：</w:t>
      </w:r>
    </w:p>
    <w:p w14:paraId="3AC4D7A7">
      <w:pPr>
        <w:spacing w:line="360" w:lineRule="auto"/>
        <w:ind w:left="389" w:leftChars="162" w:firstLine="425"/>
        <w:outlineLvl w:val="9"/>
        <w:rPr>
          <w:rFonts w:hint="eastAsia" w:ascii="宋体" w:hAnsi="宋体" w:eastAsia="宋体" w:cs="宋体"/>
          <w:b/>
          <w:bCs/>
          <w:sz w:val="21"/>
          <w:szCs w:val="21"/>
        </w:rPr>
      </w:pPr>
      <w:bookmarkStart w:id="425" w:name="_Toc26208_WPSOffice_Level3"/>
      <w:r>
        <w:rPr>
          <w:rFonts w:hint="eastAsia" w:ascii="宋体" w:hAnsi="宋体" w:eastAsia="宋体" w:cs="宋体"/>
          <w:b/>
          <w:bCs/>
          <w:sz w:val="21"/>
          <w:szCs w:val="21"/>
        </w:rPr>
        <w:t>附：1、我方</w:t>
      </w:r>
      <w:r>
        <w:rPr>
          <w:rFonts w:hint="eastAsia" w:ascii="宋体" w:hAnsi="宋体" w:eastAsia="宋体" w:cs="宋体"/>
          <w:b/>
          <w:bCs/>
          <w:sz w:val="21"/>
          <w:szCs w:val="21"/>
          <w:lang w:val="en-US" w:eastAsia="zh-CN"/>
        </w:rPr>
        <w:t>磋商</w:t>
      </w:r>
      <w:r>
        <w:rPr>
          <w:rFonts w:hint="eastAsia" w:ascii="宋体" w:hAnsi="宋体" w:eastAsia="宋体" w:cs="宋体"/>
          <w:b/>
          <w:bCs/>
          <w:sz w:val="21"/>
          <w:szCs w:val="21"/>
        </w:rPr>
        <w:t>保证金汇款凭证（复印件）</w:t>
      </w:r>
      <w:bookmarkEnd w:id="425"/>
    </w:p>
    <w:p w14:paraId="6785BE6D">
      <w:pPr>
        <w:spacing w:line="360" w:lineRule="auto"/>
        <w:ind w:left="389" w:leftChars="162" w:firstLine="839" w:firstLineChars="398"/>
        <w:outlineLvl w:val="9"/>
        <w:rPr>
          <w:rFonts w:hint="eastAsia" w:ascii="宋体" w:hAnsi="宋体" w:eastAsia="宋体" w:cs="宋体"/>
          <w:b/>
          <w:bCs/>
          <w:sz w:val="21"/>
          <w:szCs w:val="21"/>
        </w:rPr>
      </w:pPr>
      <w:bookmarkStart w:id="426" w:name="_Toc12992_WPSOffice_Level3"/>
      <w:r>
        <w:rPr>
          <w:rFonts w:hint="eastAsia" w:ascii="宋体" w:hAnsi="宋体" w:eastAsia="宋体" w:cs="宋体"/>
          <w:b/>
          <w:bCs/>
          <w:sz w:val="21"/>
          <w:szCs w:val="21"/>
        </w:rPr>
        <w:t>2、我方基本账户开户许可证（复印件）</w:t>
      </w:r>
      <w:bookmarkEnd w:id="426"/>
    </w:p>
    <w:p w14:paraId="222463BF">
      <w:pPr>
        <w:spacing w:line="360" w:lineRule="auto"/>
        <w:ind w:left="389" w:leftChars="162" w:firstLine="736" w:firstLineChars="349"/>
        <w:outlineLvl w:val="9"/>
        <w:rPr>
          <w:rFonts w:hint="eastAsia" w:ascii="宋体" w:hAnsi="宋体" w:eastAsia="宋体" w:cs="宋体"/>
          <w:b/>
          <w:bCs/>
          <w:sz w:val="21"/>
          <w:szCs w:val="21"/>
          <w:lang w:val="zh-CN"/>
        </w:rPr>
      </w:pPr>
      <w:r>
        <w:rPr>
          <w:rFonts w:hint="eastAsia" w:ascii="宋体" w:hAnsi="宋体" w:eastAsia="宋体" w:cs="宋体"/>
          <w:b/>
          <w:bCs/>
          <w:sz w:val="21"/>
          <w:szCs w:val="21"/>
          <w:lang w:val="zh-CN"/>
        </w:rPr>
        <w:t>注：本情况说明手写无效。</w:t>
      </w:r>
    </w:p>
    <w:p w14:paraId="393CB1FD">
      <w:pPr>
        <w:autoSpaceDE w:val="0"/>
        <w:autoSpaceDN w:val="0"/>
        <w:adjustRightInd w:val="0"/>
        <w:spacing w:line="360" w:lineRule="auto"/>
        <w:ind w:firstLine="5880" w:firstLineChars="2450"/>
        <w:outlineLvl w:val="9"/>
        <w:rPr>
          <w:rFonts w:hint="eastAsia" w:ascii="宋体" w:hAnsi="宋体" w:eastAsia="宋体" w:cs="宋体"/>
          <w:szCs w:val="24"/>
          <w:lang w:val="zh-CN"/>
        </w:rPr>
      </w:pPr>
    </w:p>
    <w:p w14:paraId="758289FE">
      <w:pPr>
        <w:spacing w:line="360" w:lineRule="auto"/>
        <w:outlineLvl w:val="9"/>
        <w:rPr>
          <w:rFonts w:hint="eastAsia" w:ascii="宋体" w:hAnsi="宋体" w:eastAsia="宋体" w:cs="宋体"/>
          <w:b/>
          <w:kern w:val="0"/>
          <w:szCs w:val="21"/>
        </w:rPr>
      </w:pPr>
    </w:p>
    <w:p w14:paraId="34E1BCDB">
      <w:pPr>
        <w:tabs>
          <w:tab w:val="left" w:pos="567"/>
        </w:tabs>
        <w:autoSpaceDE w:val="0"/>
        <w:autoSpaceDN w:val="0"/>
        <w:adjustRightInd w:val="0"/>
        <w:spacing w:line="360" w:lineRule="auto"/>
        <w:jc w:val="left"/>
        <w:outlineLvl w:val="9"/>
        <w:rPr>
          <w:rFonts w:hint="eastAsia" w:ascii="宋体" w:hAnsi="宋体" w:eastAsia="宋体" w:cs="宋体"/>
          <w:b/>
          <w:bCs/>
          <w:kern w:val="0"/>
          <w:sz w:val="32"/>
          <w:szCs w:val="32"/>
          <w:lang w:val="zh-CN"/>
        </w:rPr>
      </w:pPr>
      <w:bookmarkStart w:id="427" w:name="_Toc102860084"/>
      <w:bookmarkStart w:id="428" w:name="_Toc142508379"/>
      <w:bookmarkStart w:id="429" w:name="_Toc94107221"/>
      <w:bookmarkStart w:id="430" w:name="_Toc140596939"/>
      <w:bookmarkStart w:id="431" w:name="_Toc1977738"/>
      <w:bookmarkStart w:id="432" w:name="_Toc102860428"/>
      <w:bookmarkStart w:id="433" w:name="_Toc24616"/>
      <w:bookmarkStart w:id="434" w:name="_Toc104991886"/>
    </w:p>
    <w:p w14:paraId="4DF4D1CD">
      <w:pPr>
        <w:tabs>
          <w:tab w:val="left" w:pos="567"/>
        </w:tabs>
        <w:autoSpaceDE w:val="0"/>
        <w:autoSpaceDN w:val="0"/>
        <w:adjustRightInd w:val="0"/>
        <w:spacing w:line="360" w:lineRule="auto"/>
        <w:ind w:left="327" w:leftChars="-100" w:hanging="567"/>
        <w:outlineLvl w:val="9"/>
        <w:rPr>
          <w:rFonts w:hint="eastAsia" w:ascii="宋体" w:hAnsi="宋体" w:eastAsia="宋体" w:cs="宋体"/>
          <w:b/>
          <w:kern w:val="0"/>
          <w:sz w:val="32"/>
          <w:szCs w:val="32"/>
        </w:rPr>
        <w:sectPr>
          <w:pgSz w:w="12240" w:h="15840"/>
          <w:pgMar w:top="1191" w:right="1043" w:bottom="1191" w:left="1043" w:header="720" w:footer="720" w:gutter="0"/>
          <w:cols w:space="720" w:num="1"/>
          <w:titlePg/>
          <w:docGrid w:linePitch="326" w:charSpace="0"/>
        </w:sectPr>
      </w:pPr>
      <w:bookmarkStart w:id="435" w:name="_Toc29652"/>
      <w:bookmarkStart w:id="436" w:name="_Toc2007"/>
      <w:r>
        <w:rPr>
          <w:rFonts w:hint="eastAsia" w:ascii="宋体" w:hAnsi="宋体" w:eastAsia="宋体" w:cs="宋体"/>
          <w:b/>
          <w:bCs/>
          <w:kern w:val="0"/>
          <w:sz w:val="32"/>
          <w:szCs w:val="32"/>
          <w:lang w:val="zh-CN"/>
        </w:rPr>
        <w:t>十</w:t>
      </w:r>
      <w:r>
        <w:rPr>
          <w:rFonts w:hint="eastAsia" w:ascii="宋体" w:hAnsi="宋体" w:eastAsia="宋体" w:cs="宋体"/>
          <w:b/>
          <w:bCs/>
          <w:kern w:val="0"/>
          <w:sz w:val="32"/>
          <w:szCs w:val="32"/>
        </w:rPr>
        <w:t>二</w:t>
      </w:r>
      <w:r>
        <w:rPr>
          <w:rFonts w:hint="eastAsia" w:ascii="宋体" w:hAnsi="宋体" w:eastAsia="宋体" w:cs="宋体"/>
          <w:b/>
          <w:bCs/>
          <w:kern w:val="0"/>
          <w:sz w:val="32"/>
          <w:szCs w:val="32"/>
          <w:lang w:val="zh-CN"/>
        </w:rPr>
        <w:t>、</w:t>
      </w:r>
      <w:r>
        <w:rPr>
          <w:rFonts w:hint="eastAsia" w:ascii="宋体" w:hAnsi="宋体" w:eastAsia="宋体" w:cs="宋体"/>
          <w:b/>
          <w:bCs/>
          <w:kern w:val="0"/>
          <w:sz w:val="32"/>
          <w:szCs w:val="32"/>
          <w:lang w:val="en-US" w:eastAsia="zh-CN"/>
        </w:rPr>
        <w:t>供应商</w:t>
      </w:r>
      <w:r>
        <w:rPr>
          <w:rFonts w:hint="eastAsia" w:ascii="宋体" w:hAnsi="宋体" w:eastAsia="宋体" w:cs="宋体"/>
          <w:b/>
          <w:bCs/>
          <w:kern w:val="0"/>
          <w:sz w:val="32"/>
          <w:szCs w:val="32"/>
          <w:lang w:val="zh-CN"/>
        </w:rPr>
        <w:t>资格证明文件以外的其他资质证书、知识产权证书及获得的相关获奖、认证证书、社会评价资料证明文件复印件等</w:t>
      </w:r>
      <w:r>
        <w:rPr>
          <w:rFonts w:hint="eastAsia" w:ascii="宋体" w:hAnsi="宋体" w:eastAsia="宋体" w:cs="宋体"/>
          <w:b/>
          <w:bCs/>
          <w:kern w:val="0"/>
          <w:sz w:val="32"/>
          <w:szCs w:val="32"/>
          <w:lang w:val="en-US" w:eastAsia="zh-CN"/>
        </w:rPr>
        <w:t>供应商</w:t>
      </w:r>
      <w:r>
        <w:rPr>
          <w:rFonts w:hint="eastAsia" w:ascii="宋体" w:hAnsi="宋体" w:eastAsia="宋体" w:cs="宋体"/>
          <w:b/>
          <w:bCs/>
          <w:kern w:val="0"/>
          <w:sz w:val="32"/>
          <w:szCs w:val="32"/>
          <w:lang w:val="zh-CN"/>
        </w:rPr>
        <w:t>认为有需要证明其具备为本次</w:t>
      </w:r>
      <w:r>
        <w:rPr>
          <w:rFonts w:hint="eastAsia" w:ascii="宋体" w:hAnsi="宋体" w:eastAsia="宋体" w:cs="宋体"/>
          <w:b/>
          <w:bCs/>
          <w:kern w:val="0"/>
          <w:sz w:val="32"/>
          <w:szCs w:val="32"/>
          <w:lang w:val="en-US" w:eastAsia="zh-CN"/>
        </w:rPr>
        <w:t>采购</w:t>
      </w:r>
      <w:r>
        <w:rPr>
          <w:rFonts w:hint="eastAsia" w:ascii="宋体" w:hAnsi="宋体" w:eastAsia="宋体" w:cs="宋体"/>
          <w:b/>
          <w:bCs/>
          <w:kern w:val="0"/>
          <w:sz w:val="32"/>
          <w:szCs w:val="32"/>
          <w:lang w:val="zh-CN"/>
        </w:rPr>
        <w:t>项目提供服务能力的有关其它商务文件（不做强制要求</w:t>
      </w:r>
      <w:bookmarkEnd w:id="427"/>
      <w:bookmarkEnd w:id="428"/>
      <w:bookmarkEnd w:id="429"/>
      <w:bookmarkEnd w:id="430"/>
      <w:bookmarkEnd w:id="431"/>
      <w:bookmarkEnd w:id="432"/>
      <w:bookmarkEnd w:id="433"/>
      <w:bookmarkEnd w:id="434"/>
      <w:bookmarkEnd w:id="435"/>
      <w:bookmarkEnd w:id="436"/>
      <w:r>
        <w:rPr>
          <w:rFonts w:hint="eastAsia" w:ascii="宋体" w:hAnsi="宋体" w:eastAsia="宋体" w:cs="宋体"/>
          <w:b/>
          <w:bCs/>
          <w:kern w:val="0"/>
          <w:sz w:val="32"/>
          <w:szCs w:val="32"/>
          <w:lang w:val="zh-CN"/>
        </w:rPr>
        <w:t>）</w:t>
      </w:r>
    </w:p>
    <w:p w14:paraId="5C30A566">
      <w:pPr>
        <w:tabs>
          <w:tab w:val="left" w:pos="567"/>
        </w:tabs>
        <w:autoSpaceDE w:val="0"/>
        <w:autoSpaceDN w:val="0"/>
        <w:adjustRightInd w:val="0"/>
        <w:spacing w:line="360" w:lineRule="auto"/>
        <w:ind w:left="327" w:leftChars="-100" w:hanging="567"/>
        <w:jc w:val="left"/>
        <w:outlineLvl w:val="9"/>
        <w:rPr>
          <w:rFonts w:hint="eastAsia" w:ascii="宋体" w:hAnsi="宋体" w:eastAsia="宋体" w:cs="宋体"/>
          <w:b/>
          <w:kern w:val="0"/>
          <w:sz w:val="32"/>
          <w:szCs w:val="32"/>
        </w:rPr>
      </w:pPr>
      <w:r>
        <w:rPr>
          <w:rFonts w:hint="eastAsia" w:ascii="宋体" w:hAnsi="宋体" w:eastAsia="宋体" w:cs="宋体"/>
          <w:b/>
          <w:kern w:val="0"/>
          <w:sz w:val="32"/>
          <w:szCs w:val="32"/>
        </w:rPr>
        <w:t>十三、技术响应文件格式</w:t>
      </w:r>
    </w:p>
    <w:p w14:paraId="127A39DB">
      <w:pPr>
        <w:tabs>
          <w:tab w:val="left" w:pos="8640"/>
        </w:tabs>
        <w:spacing w:line="360" w:lineRule="auto"/>
        <w:ind w:firstLine="420" w:firstLineChars="200"/>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供应商</w:t>
      </w:r>
      <w:r>
        <w:rPr>
          <w:rFonts w:hint="eastAsia" w:ascii="宋体" w:hAnsi="宋体" w:eastAsia="宋体" w:cs="宋体"/>
          <w:color w:val="auto"/>
          <w:kern w:val="0"/>
          <w:sz w:val="21"/>
          <w:szCs w:val="21"/>
        </w:rPr>
        <w:t>应按照</w:t>
      </w:r>
      <w:r>
        <w:rPr>
          <w:rFonts w:hint="eastAsia" w:ascii="宋体" w:hAnsi="宋体" w:eastAsia="宋体" w:cs="宋体"/>
          <w:color w:val="auto"/>
          <w:kern w:val="0"/>
          <w:sz w:val="21"/>
          <w:szCs w:val="21"/>
          <w:lang w:val="en-US" w:eastAsia="zh-CN"/>
        </w:rPr>
        <w:t>竞争性磋商</w:t>
      </w:r>
      <w:r>
        <w:rPr>
          <w:rFonts w:hint="eastAsia" w:ascii="宋体" w:hAnsi="宋体" w:eastAsia="宋体" w:cs="宋体"/>
          <w:color w:val="auto"/>
          <w:kern w:val="0"/>
          <w:sz w:val="21"/>
          <w:szCs w:val="21"/>
        </w:rPr>
        <w:t>文件</w:t>
      </w:r>
      <w:r>
        <w:rPr>
          <w:rFonts w:hint="eastAsia" w:ascii="宋体" w:hAnsi="宋体" w:eastAsia="宋体" w:cs="宋体"/>
          <w:color w:val="auto"/>
          <w:kern w:val="0"/>
          <w:sz w:val="21"/>
          <w:szCs w:val="21"/>
          <w:lang w:val="en-US" w:eastAsia="zh-CN"/>
        </w:rPr>
        <w:t>磋商</w:t>
      </w:r>
      <w:r>
        <w:rPr>
          <w:rFonts w:hint="eastAsia" w:ascii="宋体" w:hAnsi="宋体" w:eastAsia="宋体" w:cs="宋体"/>
          <w:color w:val="auto"/>
          <w:kern w:val="0"/>
          <w:sz w:val="21"/>
          <w:szCs w:val="21"/>
        </w:rPr>
        <w:t>须知关于</w:t>
      </w:r>
      <w:r>
        <w:rPr>
          <w:rFonts w:hint="eastAsia" w:ascii="宋体" w:hAnsi="宋体" w:eastAsia="宋体" w:cs="宋体"/>
          <w:color w:val="auto"/>
          <w:kern w:val="0"/>
          <w:sz w:val="21"/>
          <w:szCs w:val="21"/>
          <w:lang w:val="en-US" w:eastAsia="zh-CN"/>
        </w:rPr>
        <w:t>响应</w:t>
      </w:r>
      <w:r>
        <w:rPr>
          <w:rFonts w:hint="eastAsia" w:ascii="宋体" w:hAnsi="宋体" w:eastAsia="宋体" w:cs="宋体"/>
          <w:color w:val="auto"/>
          <w:kern w:val="0"/>
          <w:sz w:val="21"/>
          <w:szCs w:val="21"/>
        </w:rPr>
        <w:t>文件组成部分的要求编制</w:t>
      </w:r>
      <w:r>
        <w:rPr>
          <w:rFonts w:hint="eastAsia" w:ascii="宋体" w:hAnsi="宋体" w:eastAsia="宋体" w:cs="宋体"/>
          <w:color w:val="auto"/>
          <w:kern w:val="0"/>
          <w:sz w:val="21"/>
          <w:szCs w:val="21"/>
          <w:lang w:val="en-US" w:eastAsia="zh-CN"/>
        </w:rPr>
        <w:t>技术</w:t>
      </w:r>
      <w:r>
        <w:rPr>
          <w:rFonts w:hint="eastAsia" w:ascii="宋体" w:hAnsi="宋体" w:eastAsia="宋体" w:cs="宋体"/>
          <w:color w:val="auto"/>
          <w:kern w:val="0"/>
          <w:sz w:val="21"/>
          <w:szCs w:val="21"/>
        </w:rPr>
        <w:t>文件，主要包括但不限于以下内容：</w:t>
      </w:r>
    </w:p>
    <w:p w14:paraId="6D676004">
      <w:pPr>
        <w:spacing w:line="360" w:lineRule="auto"/>
        <w:ind w:left="466" w:leftChars="77" w:hanging="281" w:hangingChars="134"/>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1、用户需求响应程度（即13.1用户需求偏离表格式）；</w:t>
      </w:r>
    </w:p>
    <w:p w14:paraId="3DD86471">
      <w:pPr>
        <w:spacing w:line="360" w:lineRule="auto"/>
        <w:ind w:left="466" w:leftChars="77" w:hanging="281" w:hangingChars="134"/>
        <w:outlineLvl w:val="9"/>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rPr>
        <w:t>2、污泥脱水减量化处理服务</w:t>
      </w:r>
      <w:r>
        <w:rPr>
          <w:rFonts w:hint="eastAsia" w:ascii="宋体" w:hAnsi="宋体" w:eastAsia="宋体" w:cs="宋体"/>
          <w:color w:val="auto"/>
          <w:kern w:val="0"/>
          <w:sz w:val="21"/>
          <w:szCs w:val="21"/>
          <w:lang w:val="en-US" w:eastAsia="zh-CN"/>
        </w:rPr>
        <w:t>技术</w:t>
      </w:r>
      <w:r>
        <w:rPr>
          <w:rFonts w:hint="eastAsia" w:ascii="宋体" w:hAnsi="宋体" w:eastAsia="宋体" w:cs="宋体"/>
          <w:color w:val="auto"/>
          <w:kern w:val="0"/>
          <w:sz w:val="21"/>
          <w:szCs w:val="21"/>
        </w:rPr>
        <w:t>方案</w:t>
      </w:r>
      <w:r>
        <w:rPr>
          <w:rFonts w:hint="eastAsia" w:ascii="宋体" w:hAnsi="宋体" w:eastAsia="宋体" w:cs="宋体"/>
          <w:color w:val="auto"/>
          <w:kern w:val="0"/>
          <w:sz w:val="21"/>
          <w:szCs w:val="21"/>
          <w:lang w:val="zh-CN"/>
        </w:rPr>
        <w:t>；</w:t>
      </w:r>
    </w:p>
    <w:p w14:paraId="28AA740F">
      <w:pPr>
        <w:spacing w:line="360" w:lineRule="auto"/>
        <w:ind w:left="466" w:leftChars="77" w:hanging="281" w:hangingChars="134"/>
        <w:outlineLvl w:val="9"/>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rPr>
        <w:t>3、污泥脱水减量化处理服务</w:t>
      </w:r>
      <w:r>
        <w:rPr>
          <w:rFonts w:hint="eastAsia" w:ascii="宋体" w:hAnsi="宋体" w:eastAsia="宋体" w:cs="宋体"/>
          <w:color w:val="auto"/>
          <w:kern w:val="0"/>
          <w:sz w:val="21"/>
          <w:szCs w:val="21"/>
          <w:lang w:val="en-US" w:eastAsia="zh-CN"/>
        </w:rPr>
        <w:t>管理方案</w:t>
      </w:r>
      <w:r>
        <w:rPr>
          <w:rFonts w:hint="eastAsia" w:ascii="宋体" w:hAnsi="宋体" w:eastAsia="宋体" w:cs="宋体"/>
          <w:color w:val="auto"/>
          <w:kern w:val="0"/>
          <w:sz w:val="21"/>
          <w:szCs w:val="21"/>
          <w:lang w:val="zh-CN"/>
        </w:rPr>
        <w:t>；</w:t>
      </w:r>
    </w:p>
    <w:p w14:paraId="0CC80F97">
      <w:pPr>
        <w:spacing w:line="360" w:lineRule="auto"/>
        <w:ind w:left="466" w:leftChars="77" w:hanging="281" w:hangingChars="134"/>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r>
        <w:rPr>
          <w:rFonts w:hint="eastAsia" w:ascii="宋体" w:hAnsi="宋体" w:eastAsia="宋体" w:cs="宋体"/>
          <w:color w:val="auto"/>
          <w:kern w:val="0"/>
          <w:sz w:val="21"/>
          <w:szCs w:val="21"/>
          <w:lang w:val="en-US" w:eastAsia="zh-CN"/>
        </w:rPr>
        <w:t>项目正式投产时间承诺表</w:t>
      </w:r>
      <w:r>
        <w:rPr>
          <w:rFonts w:hint="eastAsia" w:ascii="宋体" w:hAnsi="宋体" w:eastAsia="宋体" w:cs="宋体"/>
          <w:color w:val="auto"/>
          <w:kern w:val="0"/>
          <w:sz w:val="21"/>
          <w:szCs w:val="21"/>
        </w:rPr>
        <w:t>；</w:t>
      </w:r>
    </w:p>
    <w:p w14:paraId="043BAD0A">
      <w:pPr>
        <w:spacing w:line="360" w:lineRule="auto"/>
        <w:ind w:left="466" w:leftChars="77" w:hanging="281" w:hangingChars="134"/>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进度计划及保证措施</w:t>
      </w:r>
      <w:r>
        <w:rPr>
          <w:rFonts w:hint="eastAsia" w:ascii="宋体" w:hAnsi="宋体" w:eastAsia="宋体" w:cs="宋体"/>
          <w:color w:val="auto"/>
          <w:kern w:val="0"/>
          <w:sz w:val="21"/>
          <w:szCs w:val="21"/>
        </w:rPr>
        <w:t>；</w:t>
      </w:r>
    </w:p>
    <w:p w14:paraId="5F108F20">
      <w:pPr>
        <w:spacing w:line="360" w:lineRule="auto"/>
        <w:ind w:left="466" w:leftChars="77" w:hanging="281" w:hangingChars="134"/>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6</w:t>
      </w:r>
      <w:r>
        <w:rPr>
          <w:rFonts w:hint="eastAsia" w:ascii="宋体" w:hAnsi="宋体" w:eastAsia="宋体" w:cs="宋体"/>
          <w:color w:val="auto"/>
          <w:kern w:val="0"/>
          <w:sz w:val="21"/>
          <w:szCs w:val="21"/>
        </w:rPr>
        <w:t>、应急预案和保障措施；</w:t>
      </w:r>
    </w:p>
    <w:p w14:paraId="200A6A21">
      <w:pPr>
        <w:spacing w:line="360" w:lineRule="auto"/>
        <w:ind w:left="466" w:leftChars="77" w:hanging="281" w:hangingChars="134"/>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lang w:val="en-US" w:eastAsia="zh-CN"/>
        </w:rPr>
        <w:t>7</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供应商</w:t>
      </w:r>
      <w:r>
        <w:rPr>
          <w:rFonts w:hint="eastAsia" w:ascii="宋体" w:hAnsi="宋体" w:eastAsia="宋体" w:cs="宋体"/>
          <w:color w:val="auto"/>
          <w:kern w:val="0"/>
          <w:sz w:val="21"/>
          <w:szCs w:val="21"/>
        </w:rPr>
        <w:t>认为有必要提供的其它材料（不做强制要求）。</w:t>
      </w:r>
    </w:p>
    <w:p w14:paraId="51127BD6">
      <w:pPr>
        <w:pStyle w:val="2"/>
        <w:rPr>
          <w:rFonts w:hint="eastAsia"/>
          <w:color w:val="auto"/>
          <w:highlight w:val="none"/>
        </w:rPr>
      </w:pPr>
    </w:p>
    <w:p w14:paraId="635253BB">
      <w:pPr>
        <w:pStyle w:val="2"/>
        <w:rPr>
          <w:rFonts w:hint="eastAsia" w:ascii="宋体" w:hAnsi="宋体" w:eastAsia="宋体" w:cs="宋体"/>
          <w:color w:val="auto"/>
          <w:sz w:val="84"/>
          <w:highlight w:val="none"/>
        </w:rPr>
      </w:pPr>
    </w:p>
    <w:p w14:paraId="2CF1AA3B">
      <w:pPr>
        <w:pStyle w:val="3"/>
        <w:rPr>
          <w:rFonts w:hint="eastAsia" w:ascii="宋体" w:hAnsi="宋体" w:eastAsia="宋体" w:cs="宋体"/>
          <w:color w:val="auto"/>
          <w:sz w:val="84"/>
          <w:highlight w:val="none"/>
        </w:rPr>
      </w:pPr>
    </w:p>
    <w:p w14:paraId="04FC81B6">
      <w:pPr>
        <w:pStyle w:val="3"/>
        <w:rPr>
          <w:rFonts w:hint="eastAsia" w:ascii="宋体" w:hAnsi="宋体" w:eastAsia="宋体" w:cs="宋体"/>
          <w:color w:val="auto"/>
          <w:sz w:val="84"/>
          <w:highlight w:val="none"/>
        </w:rPr>
      </w:pPr>
    </w:p>
    <w:p w14:paraId="16BC15CA">
      <w:pPr>
        <w:pStyle w:val="3"/>
        <w:rPr>
          <w:rFonts w:hint="eastAsia" w:ascii="宋体" w:hAnsi="宋体" w:eastAsia="宋体" w:cs="宋体"/>
          <w:color w:val="auto"/>
          <w:sz w:val="84"/>
          <w:highlight w:val="none"/>
        </w:rPr>
      </w:pPr>
    </w:p>
    <w:p w14:paraId="59B0DCEB">
      <w:pPr>
        <w:pStyle w:val="3"/>
        <w:rPr>
          <w:rFonts w:hint="eastAsia" w:ascii="宋体" w:hAnsi="宋体" w:eastAsia="宋体" w:cs="宋体"/>
          <w:color w:val="auto"/>
          <w:sz w:val="84"/>
          <w:highlight w:val="none"/>
        </w:rPr>
      </w:pPr>
    </w:p>
    <w:p w14:paraId="4696D6F3">
      <w:pPr>
        <w:pStyle w:val="3"/>
        <w:rPr>
          <w:rFonts w:hint="eastAsia" w:ascii="宋体" w:hAnsi="宋体" w:eastAsia="宋体" w:cs="宋体"/>
          <w:color w:val="auto"/>
          <w:sz w:val="84"/>
          <w:highlight w:val="none"/>
        </w:rPr>
      </w:pPr>
    </w:p>
    <w:p w14:paraId="3F693A95">
      <w:pPr>
        <w:pStyle w:val="3"/>
        <w:rPr>
          <w:rFonts w:hint="eastAsia" w:ascii="宋体" w:hAnsi="宋体" w:eastAsia="宋体" w:cs="宋体"/>
          <w:color w:val="auto"/>
          <w:sz w:val="84"/>
          <w:highlight w:val="none"/>
        </w:rPr>
      </w:pPr>
    </w:p>
    <w:p w14:paraId="4E49BBEB">
      <w:pPr>
        <w:pStyle w:val="3"/>
        <w:rPr>
          <w:rFonts w:hint="eastAsia" w:ascii="宋体" w:hAnsi="宋体" w:eastAsia="宋体" w:cs="宋体"/>
          <w:color w:val="auto"/>
          <w:sz w:val="84"/>
          <w:highlight w:val="none"/>
        </w:rPr>
      </w:pPr>
    </w:p>
    <w:p w14:paraId="4C731227">
      <w:pPr>
        <w:pStyle w:val="3"/>
        <w:rPr>
          <w:rFonts w:hint="eastAsia" w:ascii="宋体" w:hAnsi="宋体" w:eastAsia="宋体" w:cs="宋体"/>
          <w:color w:val="auto"/>
          <w:sz w:val="84"/>
          <w:highlight w:val="none"/>
        </w:rPr>
      </w:pPr>
    </w:p>
    <w:p w14:paraId="0F50AF37">
      <w:pPr>
        <w:pStyle w:val="3"/>
        <w:rPr>
          <w:rFonts w:hint="eastAsia" w:ascii="宋体" w:hAnsi="宋体" w:eastAsia="宋体" w:cs="宋体"/>
          <w:color w:val="auto"/>
          <w:sz w:val="84"/>
          <w:highlight w:val="none"/>
        </w:rPr>
      </w:pPr>
    </w:p>
    <w:p w14:paraId="05085BAD">
      <w:pPr>
        <w:pStyle w:val="24"/>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lang w:val="en-US" w:eastAsia="zh-CN"/>
        </w:rPr>
        <w:t>响 应</w:t>
      </w:r>
      <w:r>
        <w:rPr>
          <w:rFonts w:hint="eastAsia" w:ascii="宋体" w:hAnsi="宋体" w:eastAsia="宋体" w:cs="宋体"/>
          <w:color w:val="auto"/>
          <w:sz w:val="84"/>
          <w:highlight w:val="none"/>
        </w:rPr>
        <w:t xml:space="preserve"> 文 件</w:t>
      </w:r>
    </w:p>
    <w:p w14:paraId="68F35468">
      <w:pPr>
        <w:pStyle w:val="24"/>
        <w:spacing w:line="360" w:lineRule="auto"/>
        <w:rPr>
          <w:rFonts w:hint="eastAsia" w:ascii="宋体" w:hAnsi="宋体" w:eastAsia="宋体" w:cs="宋体"/>
          <w:color w:val="auto"/>
          <w:highlight w:val="none"/>
        </w:rPr>
      </w:pPr>
    </w:p>
    <w:p w14:paraId="228D33E6">
      <w:pPr>
        <w:pStyle w:val="24"/>
        <w:spacing w:line="360" w:lineRule="auto"/>
        <w:rPr>
          <w:rFonts w:hint="eastAsia" w:ascii="宋体" w:hAnsi="宋体" w:eastAsia="宋体" w:cs="宋体"/>
          <w:color w:val="auto"/>
          <w:highlight w:val="none"/>
        </w:rPr>
      </w:pPr>
    </w:p>
    <w:p w14:paraId="2C7EDE3E">
      <w:pPr>
        <w:pStyle w:val="24"/>
        <w:spacing w:line="360" w:lineRule="auto"/>
        <w:rPr>
          <w:rFonts w:hint="eastAsia" w:ascii="宋体" w:hAnsi="宋体" w:eastAsia="宋体" w:cs="宋体"/>
          <w:color w:val="auto"/>
          <w:highlight w:val="none"/>
        </w:rPr>
      </w:pPr>
    </w:p>
    <w:p w14:paraId="1B971C70">
      <w:pPr>
        <w:pStyle w:val="24"/>
        <w:spacing w:line="360" w:lineRule="auto"/>
        <w:rPr>
          <w:rFonts w:hint="eastAsia" w:ascii="宋体" w:hAnsi="宋体" w:eastAsia="宋体" w:cs="宋体"/>
          <w:color w:val="auto"/>
          <w:highlight w:val="none"/>
        </w:rPr>
      </w:pPr>
    </w:p>
    <w:p w14:paraId="420EB44B">
      <w:pPr>
        <w:pStyle w:val="24"/>
        <w:spacing w:line="360" w:lineRule="auto"/>
        <w:rPr>
          <w:rFonts w:hint="eastAsia" w:ascii="宋体" w:hAnsi="宋体" w:eastAsia="宋体" w:cs="宋体"/>
          <w:color w:val="auto"/>
          <w:highlight w:val="none"/>
        </w:rPr>
      </w:pPr>
    </w:p>
    <w:p w14:paraId="6E9DAFB4">
      <w:pPr>
        <w:pStyle w:val="24"/>
        <w:spacing w:line="360" w:lineRule="auto"/>
        <w:rPr>
          <w:rFonts w:hint="eastAsia" w:ascii="宋体" w:hAnsi="宋体" w:eastAsia="宋体" w:cs="宋体"/>
          <w:color w:val="auto"/>
          <w:highlight w:val="none"/>
        </w:rPr>
      </w:pPr>
    </w:p>
    <w:p w14:paraId="58349F5C">
      <w:pPr>
        <w:pStyle w:val="24"/>
        <w:spacing w:line="360" w:lineRule="auto"/>
        <w:rPr>
          <w:rFonts w:hint="eastAsia" w:ascii="宋体" w:hAnsi="宋体" w:eastAsia="宋体" w:cs="宋体"/>
          <w:color w:val="auto"/>
          <w:highlight w:val="none"/>
        </w:rPr>
      </w:pPr>
    </w:p>
    <w:p w14:paraId="0DB35A60">
      <w:pPr>
        <w:pStyle w:val="24"/>
        <w:spacing w:line="360" w:lineRule="auto"/>
        <w:rPr>
          <w:rFonts w:hint="eastAsia" w:ascii="宋体" w:hAnsi="宋体" w:eastAsia="宋体" w:cs="宋体"/>
          <w:color w:val="auto"/>
          <w:highlight w:val="none"/>
        </w:rPr>
      </w:pPr>
    </w:p>
    <w:p w14:paraId="2EA211CC">
      <w:pPr>
        <w:pStyle w:val="24"/>
        <w:spacing w:line="360" w:lineRule="auto"/>
        <w:rPr>
          <w:rFonts w:hint="eastAsia" w:ascii="宋体" w:hAnsi="宋体" w:eastAsia="宋体" w:cs="宋体"/>
          <w:color w:val="auto"/>
          <w:highlight w:val="none"/>
          <w:u w:val="none"/>
        </w:rPr>
      </w:pPr>
    </w:p>
    <w:p w14:paraId="4B97A78C">
      <w:pPr>
        <w:pStyle w:val="24"/>
        <w:spacing w:line="360" w:lineRule="auto"/>
        <w:outlineLvl w:val="9"/>
        <w:rPr>
          <w:rFonts w:hint="eastAsia" w:ascii="宋体" w:hAnsi="宋体" w:eastAsia="宋体" w:cs="宋体"/>
          <w:color w:val="auto"/>
          <w:sz w:val="30"/>
        </w:rPr>
      </w:pPr>
      <w:r>
        <w:rPr>
          <w:rFonts w:hint="eastAsia" w:ascii="宋体" w:hAnsi="宋体" w:eastAsia="宋体" w:cs="宋体"/>
          <w:color w:val="auto"/>
          <w:sz w:val="30"/>
          <w:lang w:val="en-US" w:eastAsia="zh-CN"/>
        </w:rPr>
        <w:t>采购</w:t>
      </w:r>
      <w:r>
        <w:rPr>
          <w:rFonts w:hint="eastAsia" w:ascii="宋体" w:hAnsi="宋体" w:eastAsia="宋体" w:cs="宋体"/>
          <w:color w:val="auto"/>
          <w:sz w:val="30"/>
        </w:rPr>
        <w:t>编号：</w:t>
      </w:r>
      <w:r>
        <w:rPr>
          <w:rFonts w:hint="eastAsia" w:ascii="宋体" w:hAnsi="宋体" w:eastAsia="宋体" w:cs="宋体"/>
          <w:color w:val="auto"/>
          <w:sz w:val="30"/>
          <w:u w:val="single"/>
        </w:rPr>
        <w:t xml:space="preserve"> </w:t>
      </w:r>
      <w:r>
        <w:rPr>
          <w:rFonts w:hint="eastAsia" w:ascii="宋体" w:hAnsi="宋体" w:eastAsia="宋体" w:cs="宋体"/>
          <w:color w:val="auto"/>
          <w:sz w:val="30"/>
          <w:u w:val="single"/>
          <w:lang w:val="zh-CN"/>
        </w:rPr>
        <w:t xml:space="preserve">DGDS2024-002  </w:t>
      </w:r>
    </w:p>
    <w:p w14:paraId="5943B614">
      <w:pPr>
        <w:pStyle w:val="24"/>
        <w:spacing w:line="360" w:lineRule="auto"/>
        <w:outlineLvl w:val="9"/>
        <w:rPr>
          <w:rFonts w:hint="eastAsia" w:ascii="宋体" w:hAnsi="宋体" w:eastAsia="宋体" w:cs="宋体"/>
          <w:color w:val="auto"/>
          <w:sz w:val="30"/>
          <w:u w:val="single"/>
        </w:rPr>
      </w:pPr>
      <w:r>
        <w:rPr>
          <w:rFonts w:hint="eastAsia" w:ascii="宋体" w:hAnsi="宋体" w:eastAsia="宋体" w:cs="宋体"/>
          <w:color w:val="auto"/>
          <w:sz w:val="30"/>
        </w:rPr>
        <w:t>项目名称：</w:t>
      </w:r>
      <w:r>
        <w:rPr>
          <w:rFonts w:hint="eastAsia" w:ascii="宋体" w:hAnsi="宋体" w:eastAsia="宋体" w:cs="宋体"/>
          <w:color w:val="auto"/>
          <w:sz w:val="30"/>
          <w:u w:val="single"/>
        </w:rPr>
        <w:t xml:space="preserve"> </w:t>
      </w:r>
      <w:r>
        <w:rPr>
          <w:rFonts w:hint="eastAsia" w:ascii="宋体" w:hAnsi="宋体" w:eastAsia="宋体" w:cs="宋体"/>
          <w:color w:val="auto"/>
          <w:sz w:val="30"/>
          <w:u w:val="single"/>
          <w:lang w:val="zh-CN"/>
        </w:rPr>
        <w:t>东莞市众源环境投资有限公司污水处理厂污泥脱水减量处理服务（BOT权属滨海湾片区）采购项目(   包组)</w:t>
      </w:r>
      <w:r>
        <w:rPr>
          <w:rFonts w:hint="eastAsia" w:ascii="宋体" w:hAnsi="宋体" w:eastAsia="宋体" w:cs="宋体"/>
          <w:color w:val="auto"/>
          <w:sz w:val="30"/>
          <w:u w:val="single"/>
        </w:rPr>
        <w:t xml:space="preserve"> </w:t>
      </w:r>
    </w:p>
    <w:p w14:paraId="55EBD03D">
      <w:pPr>
        <w:pStyle w:val="24"/>
        <w:spacing w:line="360" w:lineRule="auto"/>
        <w:outlineLvl w:val="9"/>
        <w:rPr>
          <w:rFonts w:hint="eastAsia" w:ascii="宋体" w:hAnsi="宋体" w:eastAsia="宋体" w:cs="宋体"/>
          <w:color w:val="auto"/>
          <w:sz w:val="30"/>
          <w:u w:val="single"/>
        </w:rPr>
      </w:pPr>
      <w:r>
        <w:rPr>
          <w:rFonts w:hint="eastAsia" w:ascii="宋体" w:hAnsi="宋体" w:eastAsia="宋体" w:cs="宋体"/>
          <w:color w:val="auto"/>
          <w:sz w:val="30"/>
          <w:lang w:val="en-US" w:eastAsia="zh-CN"/>
        </w:rPr>
        <w:t>响应</w:t>
      </w:r>
      <w:r>
        <w:rPr>
          <w:rFonts w:hint="eastAsia" w:ascii="宋体" w:hAnsi="宋体" w:eastAsia="宋体" w:cs="宋体"/>
          <w:color w:val="auto"/>
          <w:sz w:val="30"/>
        </w:rPr>
        <w:t>文件内容：</w:t>
      </w:r>
      <w:r>
        <w:rPr>
          <w:rFonts w:hint="eastAsia" w:ascii="宋体" w:hAnsi="宋体" w:eastAsia="宋体" w:cs="宋体"/>
          <w:color w:val="auto"/>
          <w:sz w:val="30"/>
          <w:u w:val="single"/>
        </w:rPr>
        <w:t xml:space="preserve"> </w:t>
      </w:r>
      <w:r>
        <w:rPr>
          <w:rFonts w:hint="eastAsia" w:ascii="宋体" w:hAnsi="宋体" w:eastAsia="宋体" w:cs="宋体"/>
          <w:color w:val="auto"/>
          <w:sz w:val="30"/>
          <w:u w:val="single"/>
          <w:lang w:val="en-US" w:eastAsia="zh-CN"/>
        </w:rPr>
        <w:t>响应</w:t>
      </w:r>
      <w:r>
        <w:rPr>
          <w:rFonts w:hint="eastAsia" w:ascii="宋体" w:hAnsi="宋体" w:eastAsia="宋体" w:cs="宋体"/>
          <w:color w:val="auto"/>
          <w:sz w:val="30"/>
          <w:u w:val="single"/>
        </w:rPr>
        <w:t xml:space="preserve">文件技术部分 </w:t>
      </w:r>
    </w:p>
    <w:p w14:paraId="70015F13">
      <w:pPr>
        <w:pStyle w:val="24"/>
        <w:spacing w:line="360" w:lineRule="auto"/>
        <w:outlineLvl w:val="9"/>
        <w:rPr>
          <w:rFonts w:hint="eastAsia" w:ascii="宋体" w:hAnsi="宋体" w:eastAsia="宋体" w:cs="宋体"/>
          <w:color w:val="auto"/>
          <w:sz w:val="30"/>
        </w:rPr>
      </w:pPr>
      <w:r>
        <w:rPr>
          <w:rFonts w:hint="eastAsia" w:ascii="宋体" w:hAnsi="宋体" w:eastAsia="宋体" w:cs="宋体"/>
          <w:color w:val="auto"/>
          <w:sz w:val="30"/>
          <w:lang w:val="en-US" w:eastAsia="zh-CN"/>
        </w:rPr>
        <w:t>采购</w:t>
      </w:r>
      <w:r>
        <w:rPr>
          <w:rFonts w:hint="eastAsia" w:ascii="宋体" w:hAnsi="宋体" w:eastAsia="宋体" w:cs="宋体"/>
          <w:color w:val="auto"/>
          <w:sz w:val="30"/>
        </w:rPr>
        <w:t>人：</w:t>
      </w:r>
      <w:r>
        <w:rPr>
          <w:rFonts w:hint="eastAsia" w:ascii="宋体" w:hAnsi="宋体" w:eastAsia="宋体" w:cs="宋体"/>
          <w:color w:val="auto"/>
          <w:sz w:val="30"/>
          <w:u w:val="single"/>
        </w:rPr>
        <w:t xml:space="preserve"> </w:t>
      </w:r>
      <w:r>
        <w:rPr>
          <w:rFonts w:hint="eastAsia" w:ascii="宋体" w:hAnsi="宋体" w:eastAsia="宋体" w:cs="宋体"/>
          <w:color w:val="auto"/>
          <w:sz w:val="30"/>
          <w:u w:val="single"/>
          <w:lang w:val="zh-CN"/>
        </w:rPr>
        <w:t>东莞市众源环境投资有限公司</w:t>
      </w:r>
      <w:r>
        <w:rPr>
          <w:rFonts w:hint="eastAsia" w:ascii="宋体" w:hAnsi="宋体" w:eastAsia="宋体" w:cs="宋体"/>
          <w:color w:val="auto"/>
          <w:sz w:val="30"/>
          <w:u w:val="single"/>
        </w:rPr>
        <w:t xml:space="preserve"> </w:t>
      </w:r>
    </w:p>
    <w:p w14:paraId="6BC2EAE4">
      <w:pPr>
        <w:pStyle w:val="24"/>
        <w:spacing w:line="360" w:lineRule="auto"/>
        <w:outlineLvl w:val="9"/>
        <w:rPr>
          <w:rFonts w:hint="eastAsia" w:ascii="宋体" w:hAnsi="宋体" w:eastAsia="宋体" w:cs="宋体"/>
          <w:color w:val="auto"/>
          <w:sz w:val="30"/>
          <w:u w:val="single"/>
        </w:rPr>
      </w:pPr>
      <w:r>
        <w:rPr>
          <w:rFonts w:hint="eastAsia" w:ascii="宋体" w:hAnsi="宋体" w:eastAsia="宋体" w:cs="宋体"/>
          <w:color w:val="auto"/>
          <w:sz w:val="30"/>
          <w:lang w:val="en-US" w:eastAsia="zh-CN"/>
        </w:rPr>
        <w:t>供应商</w:t>
      </w:r>
      <w:r>
        <w:rPr>
          <w:rFonts w:hint="eastAsia" w:ascii="宋体" w:hAnsi="宋体" w:eastAsia="宋体" w:cs="宋体"/>
          <w:color w:val="auto"/>
          <w:sz w:val="30"/>
        </w:rPr>
        <w:t>：</w:t>
      </w:r>
      <w:r>
        <w:rPr>
          <w:rFonts w:hint="eastAsia" w:ascii="宋体" w:hAnsi="宋体" w:eastAsia="宋体" w:cs="宋体"/>
          <w:color w:val="auto"/>
          <w:sz w:val="30"/>
          <w:u w:val="single"/>
        </w:rPr>
        <w:t xml:space="preserve">                        </w:t>
      </w:r>
    </w:p>
    <w:p w14:paraId="66473574">
      <w:pPr>
        <w:pStyle w:val="24"/>
        <w:spacing w:line="360" w:lineRule="auto"/>
        <w:outlineLvl w:val="9"/>
        <w:rPr>
          <w:rFonts w:hint="eastAsia" w:ascii="宋体" w:hAnsi="宋体" w:eastAsia="宋体" w:cs="宋体"/>
          <w:color w:val="auto"/>
          <w:sz w:val="30"/>
        </w:rPr>
      </w:pPr>
      <w:r>
        <w:rPr>
          <w:rFonts w:hint="eastAsia" w:ascii="宋体" w:hAnsi="宋体" w:eastAsia="宋体" w:cs="宋体"/>
          <w:color w:val="auto"/>
          <w:sz w:val="30"/>
        </w:rPr>
        <w:t>日  期：</w:t>
      </w:r>
      <w:r>
        <w:rPr>
          <w:rFonts w:hint="eastAsia" w:ascii="宋体" w:hAnsi="宋体" w:eastAsia="宋体" w:cs="宋体"/>
          <w:color w:val="auto"/>
          <w:sz w:val="30"/>
          <w:u w:val="single"/>
        </w:rPr>
        <w:t xml:space="preserve">     </w:t>
      </w:r>
      <w:r>
        <w:rPr>
          <w:rFonts w:hint="eastAsia" w:ascii="宋体" w:hAnsi="宋体" w:eastAsia="宋体" w:cs="宋体"/>
          <w:color w:val="auto"/>
          <w:sz w:val="30"/>
        </w:rPr>
        <w:t>年</w:t>
      </w:r>
      <w:r>
        <w:rPr>
          <w:rFonts w:hint="eastAsia" w:ascii="宋体" w:hAnsi="宋体" w:eastAsia="宋体" w:cs="宋体"/>
          <w:color w:val="auto"/>
          <w:sz w:val="30"/>
          <w:u w:val="single"/>
        </w:rPr>
        <w:t xml:space="preserve">    </w:t>
      </w:r>
      <w:r>
        <w:rPr>
          <w:rFonts w:hint="eastAsia" w:ascii="宋体" w:hAnsi="宋体" w:eastAsia="宋体" w:cs="宋体"/>
          <w:color w:val="auto"/>
          <w:sz w:val="30"/>
        </w:rPr>
        <w:t>月</w:t>
      </w:r>
      <w:r>
        <w:rPr>
          <w:rFonts w:hint="eastAsia" w:ascii="宋体" w:hAnsi="宋体" w:eastAsia="宋体" w:cs="宋体"/>
          <w:color w:val="auto"/>
          <w:sz w:val="30"/>
          <w:u w:val="single"/>
        </w:rPr>
        <w:t xml:space="preserve">    </w:t>
      </w:r>
      <w:r>
        <w:rPr>
          <w:rFonts w:hint="eastAsia" w:ascii="宋体" w:hAnsi="宋体" w:eastAsia="宋体" w:cs="宋体"/>
          <w:color w:val="auto"/>
          <w:sz w:val="30"/>
        </w:rPr>
        <w:t>日</w:t>
      </w:r>
    </w:p>
    <w:p w14:paraId="3C65BB7C">
      <w:pPr>
        <w:bidi w:val="0"/>
        <w:rPr>
          <w:rFonts w:hint="eastAsia" w:eastAsia="宋体"/>
          <w:color w:val="auto"/>
          <w:highlight w:val="none"/>
        </w:rPr>
      </w:pPr>
    </w:p>
    <w:p w14:paraId="15874E99">
      <w:pPr>
        <w:bidi w:val="0"/>
        <w:rPr>
          <w:rFonts w:hint="eastAsia" w:eastAsia="宋体"/>
          <w:color w:val="auto"/>
          <w:highlight w:val="none"/>
        </w:rPr>
      </w:pPr>
    </w:p>
    <w:p w14:paraId="3E544F13">
      <w:pPr>
        <w:bidi w:val="0"/>
        <w:rPr>
          <w:rFonts w:hint="eastAsia" w:eastAsia="宋体"/>
          <w:color w:val="auto"/>
          <w:highlight w:val="none"/>
        </w:rPr>
      </w:pPr>
    </w:p>
    <w:p w14:paraId="6BE0DDD1">
      <w:pPr>
        <w:bidi w:val="0"/>
        <w:rPr>
          <w:rFonts w:hint="eastAsia" w:eastAsia="宋体"/>
          <w:color w:val="auto"/>
          <w:highlight w:val="none"/>
        </w:rPr>
      </w:pPr>
    </w:p>
    <w:p w14:paraId="6B1B3B9A">
      <w:pPr>
        <w:bidi w:val="0"/>
        <w:jc w:val="center"/>
        <w:rPr>
          <w:rFonts w:hint="eastAsia" w:eastAsia="宋体"/>
          <w:b/>
          <w:bCs/>
          <w:color w:val="auto"/>
          <w:sz w:val="21"/>
          <w:szCs w:val="21"/>
          <w:highlight w:val="none"/>
        </w:rPr>
      </w:pPr>
      <w:r>
        <w:rPr>
          <w:rFonts w:hint="eastAsia" w:eastAsia="宋体"/>
          <w:b/>
          <w:bCs/>
          <w:color w:val="auto"/>
          <w:sz w:val="21"/>
          <w:szCs w:val="21"/>
          <w:highlight w:val="none"/>
          <w:lang w:val="en-US" w:eastAsia="zh-CN"/>
        </w:rPr>
        <w:t>响应</w:t>
      </w:r>
      <w:r>
        <w:rPr>
          <w:rFonts w:hint="eastAsia" w:eastAsia="宋体"/>
          <w:b/>
          <w:bCs/>
          <w:color w:val="auto"/>
          <w:sz w:val="21"/>
          <w:szCs w:val="21"/>
          <w:highlight w:val="none"/>
        </w:rPr>
        <w:t>文件</w:t>
      </w:r>
      <w:r>
        <w:rPr>
          <w:rFonts w:hint="eastAsia" w:eastAsia="宋体"/>
          <w:b/>
          <w:bCs/>
          <w:color w:val="auto"/>
          <w:sz w:val="21"/>
          <w:szCs w:val="21"/>
          <w:highlight w:val="none"/>
          <w:lang w:val="en-US" w:eastAsia="zh-CN"/>
        </w:rPr>
        <w:t>技术</w:t>
      </w:r>
      <w:r>
        <w:rPr>
          <w:rFonts w:hint="eastAsia" w:eastAsia="宋体"/>
          <w:b/>
          <w:bCs/>
          <w:color w:val="auto"/>
          <w:sz w:val="21"/>
          <w:szCs w:val="21"/>
          <w:highlight w:val="none"/>
        </w:rPr>
        <w:t>评审部分索引表</w:t>
      </w:r>
    </w:p>
    <w:p w14:paraId="52EFC027">
      <w:pPr>
        <w:widowControl w:val="0"/>
        <w:autoSpaceDE w:val="0"/>
        <w:autoSpaceDN w:val="0"/>
        <w:adjustRightInd w:val="0"/>
        <w:jc w:val="center"/>
        <w:rPr>
          <w:rFonts w:hint="eastAsia" w:ascii="Times New Roman" w:hAnsi="Times New Roman" w:eastAsia="宋体" w:cs="Times New Roman"/>
          <w:b/>
          <w:color w:val="auto"/>
          <w:sz w:val="24"/>
          <w:szCs w:val="24"/>
          <w:highlight w:val="none"/>
          <w:lang w:val="en-US" w:eastAsia="zh-CN" w:bidi="ar-SA"/>
        </w:rPr>
      </w:pPr>
    </w:p>
    <w:tbl>
      <w:tblPr>
        <w:tblStyle w:val="55"/>
        <w:tblW w:w="4996"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892"/>
        <w:gridCol w:w="2449"/>
        <w:gridCol w:w="3314"/>
        <w:gridCol w:w="2625"/>
      </w:tblGrid>
      <w:tr w14:paraId="32B9E3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94" w:hRule="atLeast"/>
          <w:jc w:val="center"/>
        </w:trPr>
        <w:tc>
          <w:tcPr>
            <w:tcW w:w="481" w:type="pct"/>
            <w:vAlign w:val="center"/>
          </w:tcPr>
          <w:p w14:paraId="41F3E176">
            <w:pPr>
              <w:keepNext w:val="0"/>
              <w:keepLines w:val="0"/>
              <w:suppressLineNumbers w:val="0"/>
              <w:bidi w:val="0"/>
              <w:spacing w:before="0" w:beforeAutospacing="0" w:after="0" w:afterAutospacing="0"/>
              <w:ind w:left="0" w:right="0"/>
              <w:jc w:val="center"/>
              <w:rPr>
                <w:rFonts w:hint="eastAsia" w:eastAsia="宋体"/>
                <w:color w:val="auto"/>
                <w:sz w:val="21"/>
                <w:szCs w:val="21"/>
                <w:highlight w:val="none"/>
              </w:rPr>
            </w:pPr>
            <w:r>
              <w:rPr>
                <w:rFonts w:hint="eastAsia" w:eastAsia="宋体"/>
                <w:color w:val="auto"/>
                <w:sz w:val="21"/>
                <w:szCs w:val="21"/>
                <w:highlight w:val="none"/>
              </w:rPr>
              <w:t>序号</w:t>
            </w:r>
          </w:p>
        </w:tc>
        <w:tc>
          <w:tcPr>
            <w:tcW w:w="1318" w:type="pct"/>
            <w:vAlign w:val="center"/>
          </w:tcPr>
          <w:p w14:paraId="6122DA7E">
            <w:pPr>
              <w:keepNext w:val="0"/>
              <w:keepLines w:val="0"/>
              <w:suppressLineNumbers w:val="0"/>
              <w:bidi w:val="0"/>
              <w:spacing w:before="0" w:beforeAutospacing="0" w:after="0" w:afterAutospacing="0"/>
              <w:ind w:left="0" w:right="0"/>
              <w:jc w:val="center"/>
              <w:rPr>
                <w:rFonts w:hint="eastAsia" w:eastAsia="宋体"/>
                <w:color w:val="auto"/>
                <w:sz w:val="21"/>
                <w:szCs w:val="21"/>
                <w:highlight w:val="none"/>
              </w:rPr>
            </w:pPr>
            <w:r>
              <w:rPr>
                <w:rFonts w:hint="eastAsia" w:eastAsia="宋体"/>
                <w:color w:val="auto"/>
                <w:sz w:val="21"/>
                <w:szCs w:val="21"/>
                <w:highlight w:val="none"/>
                <w:lang w:val="en-US" w:eastAsia="zh-CN"/>
              </w:rPr>
              <w:t>评审</w:t>
            </w:r>
            <w:r>
              <w:rPr>
                <w:rFonts w:hint="eastAsia" w:eastAsia="宋体"/>
                <w:color w:val="auto"/>
                <w:sz w:val="21"/>
                <w:szCs w:val="21"/>
                <w:highlight w:val="none"/>
              </w:rPr>
              <w:t>项目</w:t>
            </w:r>
          </w:p>
        </w:tc>
        <w:tc>
          <w:tcPr>
            <w:tcW w:w="1785" w:type="pct"/>
            <w:vAlign w:val="center"/>
          </w:tcPr>
          <w:p w14:paraId="7DB7F987">
            <w:pPr>
              <w:keepNext w:val="0"/>
              <w:keepLines w:val="0"/>
              <w:suppressLineNumbers w:val="0"/>
              <w:bidi w:val="0"/>
              <w:spacing w:before="0" w:beforeAutospacing="0" w:after="0" w:afterAutospacing="0"/>
              <w:ind w:left="0" w:right="0"/>
              <w:jc w:val="center"/>
              <w:rPr>
                <w:rFonts w:hint="eastAsia" w:eastAsia="宋体"/>
                <w:color w:val="auto"/>
                <w:sz w:val="21"/>
                <w:szCs w:val="21"/>
                <w:highlight w:val="none"/>
              </w:rPr>
            </w:pPr>
            <w:r>
              <w:rPr>
                <w:rFonts w:hint="eastAsia" w:eastAsia="宋体"/>
                <w:color w:val="auto"/>
                <w:sz w:val="21"/>
                <w:szCs w:val="21"/>
                <w:highlight w:val="none"/>
                <w:lang w:val="en-US" w:eastAsia="zh-CN"/>
              </w:rPr>
              <w:t>竞争性磋商</w:t>
            </w:r>
            <w:r>
              <w:rPr>
                <w:rFonts w:hint="eastAsia" w:eastAsia="宋体"/>
                <w:color w:val="auto"/>
                <w:sz w:val="21"/>
                <w:szCs w:val="21"/>
                <w:highlight w:val="none"/>
              </w:rPr>
              <w:t>文件上的满分值</w:t>
            </w:r>
          </w:p>
        </w:tc>
        <w:tc>
          <w:tcPr>
            <w:tcW w:w="1414" w:type="pct"/>
            <w:tcBorders>
              <w:left w:val="single" w:color="auto" w:sz="4" w:space="0"/>
            </w:tcBorders>
            <w:vAlign w:val="center"/>
          </w:tcPr>
          <w:p w14:paraId="5A99E556">
            <w:pPr>
              <w:keepNext w:val="0"/>
              <w:keepLines w:val="0"/>
              <w:suppressLineNumbers w:val="0"/>
              <w:bidi w:val="0"/>
              <w:spacing w:before="0" w:beforeAutospacing="0" w:after="0" w:afterAutospacing="0"/>
              <w:ind w:left="0" w:right="0"/>
              <w:jc w:val="center"/>
              <w:rPr>
                <w:rFonts w:hint="eastAsia" w:eastAsia="宋体"/>
                <w:color w:val="auto"/>
                <w:sz w:val="21"/>
                <w:szCs w:val="21"/>
                <w:highlight w:val="none"/>
              </w:rPr>
            </w:pPr>
            <w:r>
              <w:rPr>
                <w:rFonts w:hint="eastAsia" w:eastAsia="宋体"/>
                <w:color w:val="auto"/>
                <w:sz w:val="21"/>
                <w:szCs w:val="21"/>
                <w:highlight w:val="none"/>
              </w:rPr>
              <w:t>页码索引</w:t>
            </w:r>
          </w:p>
        </w:tc>
      </w:tr>
      <w:tr w14:paraId="5F2993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481" w:type="pct"/>
            <w:vAlign w:val="center"/>
          </w:tcPr>
          <w:p w14:paraId="2DF81CE2">
            <w:pPr>
              <w:keepNext w:val="0"/>
              <w:keepLines w:val="0"/>
              <w:suppressLineNumbers w:val="0"/>
              <w:bidi w:val="0"/>
              <w:spacing w:before="0" w:beforeAutospacing="0" w:after="0" w:afterAutospacing="0"/>
              <w:ind w:left="0" w:right="0"/>
              <w:rPr>
                <w:rFonts w:hint="eastAsia" w:eastAsia="宋体"/>
                <w:color w:val="auto"/>
                <w:highlight w:val="none"/>
              </w:rPr>
            </w:pPr>
          </w:p>
        </w:tc>
        <w:tc>
          <w:tcPr>
            <w:tcW w:w="1318" w:type="pct"/>
            <w:vAlign w:val="center"/>
          </w:tcPr>
          <w:p w14:paraId="6525D033">
            <w:pPr>
              <w:keepNext w:val="0"/>
              <w:keepLines w:val="0"/>
              <w:suppressLineNumbers w:val="0"/>
              <w:bidi w:val="0"/>
              <w:spacing w:before="0" w:beforeAutospacing="0" w:after="0" w:afterAutospacing="0"/>
              <w:ind w:left="0" w:right="0"/>
              <w:rPr>
                <w:rFonts w:hint="eastAsia" w:eastAsia="宋体"/>
                <w:color w:val="auto"/>
                <w:highlight w:val="none"/>
              </w:rPr>
            </w:pPr>
          </w:p>
        </w:tc>
        <w:tc>
          <w:tcPr>
            <w:tcW w:w="1785" w:type="pct"/>
            <w:vAlign w:val="center"/>
          </w:tcPr>
          <w:p w14:paraId="00F88308">
            <w:pPr>
              <w:keepNext w:val="0"/>
              <w:keepLines w:val="0"/>
              <w:suppressLineNumbers w:val="0"/>
              <w:bidi w:val="0"/>
              <w:spacing w:before="0" w:beforeAutospacing="0" w:after="0" w:afterAutospacing="0"/>
              <w:ind w:left="0" w:right="0"/>
              <w:rPr>
                <w:rFonts w:hint="eastAsia" w:eastAsia="宋体"/>
                <w:color w:val="auto"/>
                <w:highlight w:val="none"/>
              </w:rPr>
            </w:pPr>
          </w:p>
        </w:tc>
        <w:tc>
          <w:tcPr>
            <w:tcW w:w="1414" w:type="pct"/>
            <w:tcBorders>
              <w:left w:val="single" w:color="auto" w:sz="4" w:space="0"/>
            </w:tcBorders>
            <w:vAlign w:val="center"/>
          </w:tcPr>
          <w:p w14:paraId="77FBA6EF">
            <w:pPr>
              <w:keepNext w:val="0"/>
              <w:keepLines w:val="0"/>
              <w:suppressLineNumbers w:val="0"/>
              <w:bidi w:val="0"/>
              <w:spacing w:before="0" w:beforeAutospacing="0" w:after="0" w:afterAutospacing="0"/>
              <w:ind w:left="0" w:right="0"/>
              <w:rPr>
                <w:rFonts w:hint="eastAsia" w:eastAsia="宋体"/>
                <w:color w:val="auto"/>
                <w:highlight w:val="none"/>
              </w:rPr>
            </w:pPr>
          </w:p>
        </w:tc>
      </w:tr>
      <w:tr w14:paraId="021148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481" w:type="pct"/>
            <w:vAlign w:val="center"/>
          </w:tcPr>
          <w:p w14:paraId="3D247EDE">
            <w:pPr>
              <w:keepNext w:val="0"/>
              <w:keepLines w:val="0"/>
              <w:suppressLineNumbers w:val="0"/>
              <w:bidi w:val="0"/>
              <w:spacing w:before="0" w:beforeAutospacing="0" w:after="0" w:afterAutospacing="0"/>
              <w:ind w:left="0" w:right="0"/>
              <w:rPr>
                <w:rFonts w:hint="eastAsia" w:eastAsia="宋体"/>
                <w:color w:val="auto"/>
                <w:highlight w:val="none"/>
              </w:rPr>
            </w:pPr>
          </w:p>
        </w:tc>
        <w:tc>
          <w:tcPr>
            <w:tcW w:w="1318" w:type="pct"/>
            <w:vAlign w:val="center"/>
          </w:tcPr>
          <w:p w14:paraId="041696A2">
            <w:pPr>
              <w:keepNext w:val="0"/>
              <w:keepLines w:val="0"/>
              <w:suppressLineNumbers w:val="0"/>
              <w:bidi w:val="0"/>
              <w:spacing w:before="0" w:beforeAutospacing="0" w:after="0" w:afterAutospacing="0"/>
              <w:ind w:left="0" w:right="0"/>
              <w:rPr>
                <w:rFonts w:hint="eastAsia" w:eastAsia="宋体"/>
                <w:color w:val="auto"/>
                <w:highlight w:val="none"/>
              </w:rPr>
            </w:pPr>
          </w:p>
        </w:tc>
        <w:tc>
          <w:tcPr>
            <w:tcW w:w="1785" w:type="pct"/>
            <w:vAlign w:val="center"/>
          </w:tcPr>
          <w:p w14:paraId="08C65500">
            <w:pPr>
              <w:keepNext w:val="0"/>
              <w:keepLines w:val="0"/>
              <w:suppressLineNumbers w:val="0"/>
              <w:bidi w:val="0"/>
              <w:spacing w:before="0" w:beforeAutospacing="0" w:after="0" w:afterAutospacing="0"/>
              <w:ind w:left="0" w:right="0"/>
              <w:rPr>
                <w:rFonts w:hint="eastAsia" w:eastAsia="宋体"/>
                <w:color w:val="auto"/>
                <w:highlight w:val="none"/>
              </w:rPr>
            </w:pPr>
          </w:p>
        </w:tc>
        <w:tc>
          <w:tcPr>
            <w:tcW w:w="1414" w:type="pct"/>
            <w:tcBorders>
              <w:left w:val="single" w:color="auto" w:sz="4" w:space="0"/>
            </w:tcBorders>
            <w:vAlign w:val="center"/>
          </w:tcPr>
          <w:p w14:paraId="3594F90D">
            <w:pPr>
              <w:keepNext w:val="0"/>
              <w:keepLines w:val="0"/>
              <w:suppressLineNumbers w:val="0"/>
              <w:bidi w:val="0"/>
              <w:spacing w:before="0" w:beforeAutospacing="0" w:after="0" w:afterAutospacing="0"/>
              <w:ind w:left="0" w:right="0"/>
              <w:rPr>
                <w:rFonts w:hint="eastAsia" w:eastAsia="宋体"/>
                <w:color w:val="auto"/>
                <w:highlight w:val="none"/>
              </w:rPr>
            </w:pPr>
          </w:p>
        </w:tc>
      </w:tr>
      <w:tr w14:paraId="405420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481" w:type="pct"/>
            <w:vAlign w:val="center"/>
          </w:tcPr>
          <w:p w14:paraId="7304187B">
            <w:pPr>
              <w:keepNext w:val="0"/>
              <w:keepLines w:val="0"/>
              <w:suppressLineNumbers w:val="0"/>
              <w:bidi w:val="0"/>
              <w:spacing w:before="0" w:beforeAutospacing="0" w:after="0" w:afterAutospacing="0"/>
              <w:ind w:left="0" w:right="0"/>
              <w:rPr>
                <w:rFonts w:hint="eastAsia" w:eastAsia="宋体"/>
                <w:color w:val="auto"/>
                <w:highlight w:val="none"/>
              </w:rPr>
            </w:pPr>
          </w:p>
        </w:tc>
        <w:tc>
          <w:tcPr>
            <w:tcW w:w="1318" w:type="pct"/>
            <w:vAlign w:val="center"/>
          </w:tcPr>
          <w:p w14:paraId="3978D9D4">
            <w:pPr>
              <w:keepNext w:val="0"/>
              <w:keepLines w:val="0"/>
              <w:suppressLineNumbers w:val="0"/>
              <w:bidi w:val="0"/>
              <w:spacing w:before="0" w:beforeAutospacing="0" w:after="0" w:afterAutospacing="0"/>
              <w:ind w:left="0" w:right="0"/>
              <w:rPr>
                <w:rFonts w:hint="eastAsia" w:eastAsia="宋体"/>
                <w:color w:val="auto"/>
                <w:highlight w:val="none"/>
              </w:rPr>
            </w:pPr>
          </w:p>
        </w:tc>
        <w:tc>
          <w:tcPr>
            <w:tcW w:w="1785" w:type="pct"/>
            <w:vAlign w:val="center"/>
          </w:tcPr>
          <w:p w14:paraId="7DE80CC0">
            <w:pPr>
              <w:keepNext w:val="0"/>
              <w:keepLines w:val="0"/>
              <w:suppressLineNumbers w:val="0"/>
              <w:bidi w:val="0"/>
              <w:spacing w:before="0" w:beforeAutospacing="0" w:after="0" w:afterAutospacing="0"/>
              <w:ind w:left="0" w:right="0"/>
              <w:rPr>
                <w:rFonts w:hint="eastAsia" w:eastAsia="宋体"/>
                <w:color w:val="auto"/>
                <w:highlight w:val="none"/>
              </w:rPr>
            </w:pPr>
          </w:p>
        </w:tc>
        <w:tc>
          <w:tcPr>
            <w:tcW w:w="1414" w:type="pct"/>
            <w:tcBorders>
              <w:left w:val="single" w:color="auto" w:sz="4" w:space="0"/>
            </w:tcBorders>
            <w:vAlign w:val="center"/>
          </w:tcPr>
          <w:p w14:paraId="47BEC1EC">
            <w:pPr>
              <w:keepNext w:val="0"/>
              <w:keepLines w:val="0"/>
              <w:suppressLineNumbers w:val="0"/>
              <w:bidi w:val="0"/>
              <w:spacing w:before="0" w:beforeAutospacing="0" w:after="0" w:afterAutospacing="0"/>
              <w:ind w:left="0" w:right="0"/>
              <w:rPr>
                <w:rFonts w:hint="eastAsia" w:eastAsia="宋体"/>
                <w:color w:val="auto"/>
                <w:highlight w:val="none"/>
              </w:rPr>
            </w:pPr>
          </w:p>
        </w:tc>
      </w:tr>
      <w:tr w14:paraId="344827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481" w:type="pct"/>
            <w:tcBorders>
              <w:top w:val="single" w:color="auto" w:sz="6" w:space="0"/>
              <w:left w:val="single" w:color="auto" w:sz="4" w:space="0"/>
              <w:bottom w:val="outset" w:color="808080" w:sz="6" w:space="0"/>
              <w:right w:val="single" w:color="auto" w:sz="6" w:space="0"/>
            </w:tcBorders>
            <w:vAlign w:val="center"/>
          </w:tcPr>
          <w:p w14:paraId="7000E324">
            <w:pPr>
              <w:keepNext w:val="0"/>
              <w:keepLines w:val="0"/>
              <w:suppressLineNumbers w:val="0"/>
              <w:bidi w:val="0"/>
              <w:spacing w:before="0" w:beforeAutospacing="0" w:after="0" w:afterAutospacing="0"/>
              <w:ind w:left="0" w:right="0"/>
              <w:rPr>
                <w:rFonts w:hint="eastAsia" w:eastAsia="宋体"/>
                <w:color w:val="auto"/>
                <w:highlight w:val="none"/>
              </w:rPr>
            </w:pPr>
          </w:p>
        </w:tc>
        <w:tc>
          <w:tcPr>
            <w:tcW w:w="1318" w:type="pct"/>
            <w:tcBorders>
              <w:top w:val="single" w:color="auto" w:sz="6" w:space="0"/>
              <w:left w:val="single" w:color="auto" w:sz="6" w:space="0"/>
              <w:bottom w:val="outset" w:color="808080" w:sz="6" w:space="0"/>
              <w:right w:val="single" w:color="auto" w:sz="6" w:space="0"/>
            </w:tcBorders>
            <w:vAlign w:val="center"/>
          </w:tcPr>
          <w:p w14:paraId="30F0813C">
            <w:pPr>
              <w:keepNext w:val="0"/>
              <w:keepLines w:val="0"/>
              <w:suppressLineNumbers w:val="0"/>
              <w:bidi w:val="0"/>
              <w:spacing w:before="0" w:beforeAutospacing="0" w:after="0" w:afterAutospacing="0"/>
              <w:ind w:left="0" w:right="0"/>
              <w:rPr>
                <w:rFonts w:hint="eastAsia" w:eastAsia="宋体"/>
                <w:color w:val="auto"/>
                <w:highlight w:val="none"/>
              </w:rPr>
            </w:pPr>
          </w:p>
        </w:tc>
        <w:tc>
          <w:tcPr>
            <w:tcW w:w="1785" w:type="pct"/>
            <w:tcBorders>
              <w:top w:val="single" w:color="auto" w:sz="6" w:space="0"/>
              <w:left w:val="single" w:color="auto" w:sz="6" w:space="0"/>
              <w:bottom w:val="outset" w:color="808080" w:sz="6" w:space="0"/>
              <w:right w:val="single" w:color="auto" w:sz="6" w:space="0"/>
            </w:tcBorders>
            <w:vAlign w:val="center"/>
          </w:tcPr>
          <w:p w14:paraId="706FBA28">
            <w:pPr>
              <w:keepNext w:val="0"/>
              <w:keepLines w:val="0"/>
              <w:suppressLineNumbers w:val="0"/>
              <w:bidi w:val="0"/>
              <w:spacing w:before="0" w:beforeAutospacing="0" w:after="0" w:afterAutospacing="0"/>
              <w:ind w:left="0" w:right="0"/>
              <w:rPr>
                <w:rFonts w:hint="eastAsia" w:eastAsia="宋体"/>
                <w:color w:val="auto"/>
                <w:highlight w:val="none"/>
              </w:rPr>
            </w:pPr>
          </w:p>
        </w:tc>
        <w:tc>
          <w:tcPr>
            <w:tcW w:w="1414" w:type="pct"/>
            <w:tcBorders>
              <w:top w:val="single" w:color="auto" w:sz="6" w:space="0"/>
              <w:left w:val="single" w:color="auto" w:sz="4" w:space="0"/>
              <w:bottom w:val="outset" w:color="808080" w:sz="6" w:space="0"/>
              <w:right w:val="single" w:color="auto" w:sz="6" w:space="0"/>
            </w:tcBorders>
            <w:vAlign w:val="center"/>
          </w:tcPr>
          <w:p w14:paraId="107B0371">
            <w:pPr>
              <w:keepNext w:val="0"/>
              <w:keepLines w:val="0"/>
              <w:suppressLineNumbers w:val="0"/>
              <w:bidi w:val="0"/>
              <w:spacing w:before="0" w:beforeAutospacing="0" w:after="0" w:afterAutospacing="0"/>
              <w:ind w:left="0" w:right="0"/>
              <w:rPr>
                <w:rFonts w:hint="eastAsia" w:eastAsia="宋体"/>
                <w:color w:val="auto"/>
                <w:highlight w:val="none"/>
              </w:rPr>
            </w:pPr>
          </w:p>
        </w:tc>
      </w:tr>
      <w:tr w14:paraId="4D4837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1800" w:type="pct"/>
            <w:gridSpan w:val="2"/>
            <w:tcBorders>
              <w:bottom w:val="single" w:color="auto" w:sz="4" w:space="0"/>
            </w:tcBorders>
            <w:vAlign w:val="center"/>
          </w:tcPr>
          <w:p w14:paraId="3A1BBB25">
            <w:pPr>
              <w:keepNext w:val="0"/>
              <w:keepLines w:val="0"/>
              <w:suppressLineNumbers w:val="0"/>
              <w:bidi w:val="0"/>
              <w:spacing w:before="0" w:beforeAutospacing="0" w:after="0" w:afterAutospacing="0"/>
              <w:ind w:left="0" w:right="0"/>
              <w:jc w:val="center"/>
              <w:rPr>
                <w:rFonts w:hint="eastAsia" w:eastAsia="宋体"/>
                <w:color w:val="auto"/>
                <w:highlight w:val="none"/>
              </w:rPr>
            </w:pPr>
            <w:r>
              <w:rPr>
                <w:rFonts w:hint="eastAsia" w:eastAsia="宋体"/>
                <w:color w:val="auto"/>
                <w:sz w:val="21"/>
                <w:szCs w:val="21"/>
                <w:highlight w:val="none"/>
              </w:rPr>
              <w:t>合计</w:t>
            </w:r>
          </w:p>
        </w:tc>
        <w:tc>
          <w:tcPr>
            <w:tcW w:w="1785" w:type="pct"/>
            <w:tcBorders>
              <w:bottom w:val="single" w:color="auto" w:sz="4" w:space="0"/>
            </w:tcBorders>
            <w:vAlign w:val="center"/>
          </w:tcPr>
          <w:p w14:paraId="52FE0110">
            <w:pPr>
              <w:keepNext w:val="0"/>
              <w:keepLines w:val="0"/>
              <w:suppressLineNumbers w:val="0"/>
              <w:bidi w:val="0"/>
              <w:spacing w:before="0" w:beforeAutospacing="0" w:after="0" w:afterAutospacing="0"/>
              <w:ind w:left="0" w:right="0"/>
              <w:rPr>
                <w:rFonts w:hint="eastAsia" w:eastAsia="宋体"/>
                <w:color w:val="auto"/>
                <w:highlight w:val="none"/>
              </w:rPr>
            </w:pPr>
          </w:p>
        </w:tc>
        <w:tc>
          <w:tcPr>
            <w:tcW w:w="1414" w:type="pct"/>
            <w:tcBorders>
              <w:left w:val="single" w:color="auto" w:sz="4" w:space="0"/>
              <w:bottom w:val="single" w:color="auto" w:sz="4" w:space="0"/>
            </w:tcBorders>
            <w:vAlign w:val="center"/>
          </w:tcPr>
          <w:p w14:paraId="218BC69A">
            <w:pPr>
              <w:keepNext w:val="0"/>
              <w:keepLines w:val="0"/>
              <w:suppressLineNumbers w:val="0"/>
              <w:bidi w:val="0"/>
              <w:spacing w:before="0" w:beforeAutospacing="0" w:after="0" w:afterAutospacing="0"/>
              <w:ind w:left="0" w:right="0"/>
              <w:rPr>
                <w:rFonts w:hint="eastAsia" w:eastAsia="宋体"/>
                <w:color w:val="auto"/>
                <w:highlight w:val="none"/>
              </w:rPr>
            </w:pPr>
          </w:p>
        </w:tc>
      </w:tr>
    </w:tbl>
    <w:p w14:paraId="57521361">
      <w:pPr>
        <w:bidi w:val="0"/>
        <w:rPr>
          <w:rFonts w:hint="eastAsia" w:eastAsia="宋体"/>
          <w:color w:val="auto"/>
          <w:highlight w:val="none"/>
        </w:rPr>
      </w:pPr>
    </w:p>
    <w:p w14:paraId="64CE5335">
      <w:pPr>
        <w:keepNext w:val="0"/>
        <w:keepLines w:val="0"/>
        <w:pageBreakBefore w:val="0"/>
        <w:widowControl w:val="0"/>
        <w:kinsoku/>
        <w:wordWrap/>
        <w:overflowPunct/>
        <w:topLinePunct w:val="0"/>
        <w:autoSpaceDE w:val="0"/>
        <w:autoSpaceDN w:val="0"/>
        <w:bidi w:val="0"/>
        <w:adjustRightInd w:val="0"/>
        <w:snapToGrid/>
        <w:textAlignment w:val="auto"/>
        <w:outlineLvl w:val="9"/>
        <w:rPr>
          <w:rFonts w:hint="eastAsia"/>
          <w:color w:val="auto"/>
          <w:highlight w:val="none"/>
        </w:rPr>
      </w:pPr>
    </w:p>
    <w:p w14:paraId="707FC3A6">
      <w:pPr>
        <w:bidi w:val="0"/>
        <w:rPr>
          <w:rFonts w:hint="eastAsia"/>
          <w:color w:val="auto"/>
          <w:highlight w:val="none"/>
          <w:lang w:val="en-US" w:eastAsia="zh-CN"/>
        </w:rPr>
      </w:pPr>
      <w:r>
        <w:rPr>
          <w:rFonts w:hint="eastAsia"/>
          <w:color w:val="auto"/>
          <w:highlight w:val="none"/>
          <w:lang w:val="en-US" w:eastAsia="zh-CN"/>
        </w:rPr>
        <w:br w:type="page"/>
      </w:r>
      <w:bookmarkEnd w:id="396"/>
      <w:bookmarkEnd w:id="397"/>
      <w:bookmarkEnd w:id="423"/>
      <w:bookmarkStart w:id="437" w:name="_Toc56076635"/>
      <w:bookmarkStart w:id="438" w:name="_Toc79146608"/>
      <w:bookmarkStart w:id="439" w:name="_Toc3277"/>
      <w:bookmarkStart w:id="440" w:name="_Toc11360"/>
      <w:bookmarkStart w:id="441" w:name="_Toc3742"/>
    </w:p>
    <w:bookmarkEnd w:id="437"/>
    <w:bookmarkEnd w:id="438"/>
    <w:bookmarkEnd w:id="439"/>
    <w:bookmarkEnd w:id="440"/>
    <w:bookmarkEnd w:id="441"/>
    <w:p w14:paraId="7AE40628">
      <w:pPr>
        <w:tabs>
          <w:tab w:val="left" w:pos="567"/>
        </w:tabs>
        <w:autoSpaceDE w:val="0"/>
        <w:autoSpaceDN w:val="0"/>
        <w:adjustRightInd w:val="0"/>
        <w:spacing w:line="360" w:lineRule="auto"/>
        <w:jc w:val="left"/>
        <w:outlineLvl w:val="9"/>
        <w:rPr>
          <w:rFonts w:hint="eastAsia" w:ascii="宋体" w:hAnsi="宋体" w:eastAsia="宋体" w:cs="宋体"/>
          <w:b/>
          <w:kern w:val="0"/>
          <w:sz w:val="30"/>
          <w:szCs w:val="30"/>
        </w:rPr>
      </w:pPr>
      <w:bookmarkStart w:id="442" w:name="_Toc18999"/>
      <w:bookmarkStart w:id="443" w:name="_Toc27934"/>
      <w:bookmarkStart w:id="444" w:name="_Toc30448"/>
      <w:bookmarkStart w:id="445" w:name="_Toc14292"/>
      <w:bookmarkStart w:id="446" w:name="_Toc79146609"/>
      <w:bookmarkStart w:id="447" w:name="_Toc12153"/>
      <w:bookmarkStart w:id="448" w:name="_Toc31049"/>
      <w:bookmarkStart w:id="449" w:name="_Toc56076639"/>
      <w:bookmarkStart w:id="450" w:name="_Toc41571412"/>
      <w:bookmarkStart w:id="451" w:name="_Toc79146610"/>
      <w:bookmarkStart w:id="452" w:name="_Toc490169467"/>
      <w:bookmarkStart w:id="453" w:name="_Toc521918131"/>
      <w:bookmarkStart w:id="454" w:name="_Toc19008834"/>
      <w:bookmarkStart w:id="455" w:name="_Toc1123961"/>
      <w:bookmarkStart w:id="456" w:name="_Toc5098078"/>
      <w:bookmarkStart w:id="457" w:name="_Toc497746567"/>
      <w:bookmarkStart w:id="458" w:name="_Toc495907137"/>
      <w:bookmarkStart w:id="459" w:name="_Toc54334016"/>
      <w:r>
        <w:rPr>
          <w:rFonts w:hint="eastAsia" w:ascii="宋体" w:hAnsi="宋体" w:eastAsia="宋体" w:cs="宋体"/>
          <w:b/>
          <w:kern w:val="0"/>
          <w:sz w:val="30"/>
          <w:szCs w:val="30"/>
        </w:rPr>
        <w:t>13.1 用户需求偏离表格式</w:t>
      </w:r>
      <w:bookmarkEnd w:id="442"/>
      <w:bookmarkEnd w:id="443"/>
      <w:bookmarkEnd w:id="444"/>
    </w:p>
    <w:p w14:paraId="6B46988F">
      <w:pPr>
        <w:spacing w:before="120" w:after="120" w:line="360" w:lineRule="auto"/>
        <w:jc w:val="center"/>
        <w:outlineLvl w:val="9"/>
        <w:rPr>
          <w:rFonts w:hint="eastAsia" w:ascii="宋体" w:hAnsi="宋体" w:eastAsia="宋体" w:cs="宋体"/>
          <w:kern w:val="0"/>
          <w:szCs w:val="21"/>
        </w:rPr>
      </w:pPr>
      <w:bookmarkStart w:id="460" w:name="_Toc17449_WPSOffice_Level3"/>
      <w:r>
        <w:rPr>
          <w:rFonts w:hint="eastAsia" w:ascii="宋体" w:hAnsi="宋体" w:eastAsia="宋体" w:cs="宋体"/>
          <w:b/>
          <w:kern w:val="0"/>
          <w:sz w:val="30"/>
          <w:szCs w:val="30"/>
          <w:lang w:val="zh-CN"/>
        </w:rPr>
        <w:t>用户需求偏离表</w:t>
      </w:r>
      <w:bookmarkEnd w:id="460"/>
      <w:r>
        <w:rPr>
          <w:rFonts w:hint="eastAsia" w:ascii="宋体" w:hAnsi="宋体" w:eastAsia="宋体" w:cs="宋体"/>
          <w:b/>
          <w:kern w:val="0"/>
          <w:sz w:val="30"/>
          <w:szCs w:val="30"/>
          <w:lang w:val="zh-CN"/>
        </w:rPr>
        <w:t>(   包组)</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853"/>
        <w:gridCol w:w="5743"/>
        <w:gridCol w:w="646"/>
        <w:gridCol w:w="776"/>
        <w:gridCol w:w="734"/>
      </w:tblGrid>
      <w:tr w14:paraId="5E5D0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8" w:type="pct"/>
            <w:vMerge w:val="restart"/>
            <w:vAlign w:val="center"/>
          </w:tcPr>
          <w:p w14:paraId="7630E1AC">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3551" w:type="pct"/>
            <w:gridSpan w:val="2"/>
            <w:vAlign w:val="center"/>
          </w:tcPr>
          <w:p w14:paraId="788E9243">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竞争性磋商</w:t>
            </w:r>
            <w:r>
              <w:rPr>
                <w:rFonts w:hint="eastAsia" w:ascii="宋体" w:hAnsi="宋体" w:eastAsia="宋体" w:cs="宋体"/>
                <w:kern w:val="0"/>
                <w:sz w:val="21"/>
                <w:szCs w:val="21"/>
              </w:rPr>
              <w:t>文件要求</w:t>
            </w:r>
          </w:p>
        </w:tc>
        <w:tc>
          <w:tcPr>
            <w:tcW w:w="1160" w:type="pct"/>
            <w:gridSpan w:val="3"/>
            <w:vAlign w:val="center"/>
          </w:tcPr>
          <w:p w14:paraId="199636B0">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响应</w:t>
            </w:r>
            <w:r>
              <w:rPr>
                <w:rFonts w:hint="eastAsia" w:ascii="宋体" w:hAnsi="宋体" w:eastAsia="宋体" w:cs="宋体"/>
                <w:kern w:val="0"/>
                <w:sz w:val="21"/>
                <w:szCs w:val="21"/>
              </w:rPr>
              <w:t>文件内容</w:t>
            </w:r>
          </w:p>
        </w:tc>
      </w:tr>
      <w:tr w14:paraId="0094A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3" w:hRule="atLeast"/>
          <w:jc w:val="center"/>
        </w:trPr>
        <w:tc>
          <w:tcPr>
            <w:tcW w:w="288" w:type="pct"/>
            <w:vMerge w:val="continue"/>
            <w:vAlign w:val="center"/>
          </w:tcPr>
          <w:p w14:paraId="64445290">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459" w:type="pct"/>
            <w:vAlign w:val="center"/>
          </w:tcPr>
          <w:p w14:paraId="2DC64B87">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条款号</w:t>
            </w:r>
          </w:p>
        </w:tc>
        <w:tc>
          <w:tcPr>
            <w:tcW w:w="3092" w:type="pct"/>
            <w:vAlign w:val="center"/>
          </w:tcPr>
          <w:p w14:paraId="48274756">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简要内容</w:t>
            </w:r>
          </w:p>
        </w:tc>
        <w:tc>
          <w:tcPr>
            <w:tcW w:w="348" w:type="pct"/>
            <w:vAlign w:val="center"/>
          </w:tcPr>
          <w:p w14:paraId="5FBD2E08">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偏离情况</w:t>
            </w:r>
          </w:p>
        </w:tc>
        <w:tc>
          <w:tcPr>
            <w:tcW w:w="418" w:type="pct"/>
            <w:vAlign w:val="center"/>
          </w:tcPr>
          <w:p w14:paraId="23247434">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实质性响应的具体内容</w:t>
            </w:r>
          </w:p>
        </w:tc>
        <w:tc>
          <w:tcPr>
            <w:tcW w:w="393" w:type="pct"/>
            <w:vAlign w:val="center"/>
          </w:tcPr>
          <w:p w14:paraId="51F588C9">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对应证明材料页码</w:t>
            </w:r>
          </w:p>
        </w:tc>
      </w:tr>
      <w:tr w14:paraId="1D206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8" w:type="pct"/>
            <w:vAlign w:val="center"/>
          </w:tcPr>
          <w:p w14:paraId="4D6A9CEF">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459" w:type="pct"/>
            <w:vAlign w:val="center"/>
          </w:tcPr>
          <w:p w14:paraId="04D21385">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一</w:t>
            </w:r>
          </w:p>
        </w:tc>
        <w:tc>
          <w:tcPr>
            <w:tcW w:w="3092" w:type="pct"/>
            <w:vAlign w:val="center"/>
          </w:tcPr>
          <w:p w14:paraId="46394E0D">
            <w:pPr>
              <w:keepNext w:val="0"/>
              <w:keepLines w:val="0"/>
              <w:suppressLineNumbers w:val="0"/>
              <w:autoSpaceDE w:val="0"/>
              <w:autoSpaceDN w:val="0"/>
              <w:adjustRightInd w:val="0"/>
              <w:spacing w:before="0" w:beforeAutospacing="0" w:after="0" w:afterAutospacing="0" w:line="240" w:lineRule="auto"/>
              <w:ind w:left="0" w:right="0"/>
              <w:outlineLvl w:val="9"/>
              <w:rPr>
                <w:rFonts w:hint="eastAsia" w:ascii="宋体" w:hAnsi="宋体" w:eastAsia="宋体" w:cs="宋体"/>
                <w:kern w:val="0"/>
                <w:sz w:val="21"/>
                <w:szCs w:val="21"/>
              </w:rPr>
            </w:pPr>
            <w:r>
              <w:rPr>
                <w:rFonts w:hint="eastAsia" w:ascii="宋体" w:hAnsi="宋体" w:eastAsia="宋体" w:cs="宋体"/>
                <w:kern w:val="0"/>
                <w:sz w:val="21"/>
                <w:szCs w:val="21"/>
              </w:rPr>
              <w:t>项目概况</w:t>
            </w:r>
          </w:p>
        </w:tc>
        <w:tc>
          <w:tcPr>
            <w:tcW w:w="348" w:type="pct"/>
            <w:vAlign w:val="center"/>
          </w:tcPr>
          <w:p w14:paraId="4C8CD5E0">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418" w:type="pct"/>
            <w:vAlign w:val="center"/>
          </w:tcPr>
          <w:p w14:paraId="7E7F0444">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93" w:type="pct"/>
            <w:vAlign w:val="center"/>
          </w:tcPr>
          <w:p w14:paraId="1F2141F5">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572F2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3B57D0DF">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459" w:type="pct"/>
            <w:vAlign w:val="center"/>
          </w:tcPr>
          <w:p w14:paraId="3DF0878C">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二</w:t>
            </w:r>
          </w:p>
        </w:tc>
        <w:tc>
          <w:tcPr>
            <w:tcW w:w="3092" w:type="pct"/>
            <w:vAlign w:val="center"/>
          </w:tcPr>
          <w:p w14:paraId="6B899BB1">
            <w:pPr>
              <w:keepNext w:val="0"/>
              <w:keepLines w:val="0"/>
              <w:suppressLineNumbers w:val="0"/>
              <w:adjustRightInd w:val="0"/>
              <w:snapToGrid w:val="0"/>
              <w:spacing w:before="0" w:beforeAutospacing="0" w:after="0" w:afterAutospacing="0" w:line="240" w:lineRule="auto"/>
              <w:ind w:left="0" w:right="0"/>
              <w:outlineLvl w:val="9"/>
              <w:rPr>
                <w:rFonts w:hint="eastAsia" w:ascii="宋体" w:hAnsi="宋体" w:eastAsia="宋体" w:cs="宋体"/>
                <w:sz w:val="21"/>
                <w:szCs w:val="21"/>
              </w:rPr>
            </w:pPr>
            <w:r>
              <w:rPr>
                <w:rFonts w:hint="eastAsia" w:ascii="宋体" w:hAnsi="宋体" w:eastAsia="宋体" w:cs="宋体"/>
                <w:sz w:val="21"/>
                <w:szCs w:val="21"/>
              </w:rPr>
              <w:t>采购范围、服务期限、建设进度</w:t>
            </w:r>
          </w:p>
        </w:tc>
        <w:tc>
          <w:tcPr>
            <w:tcW w:w="348" w:type="pct"/>
            <w:vAlign w:val="center"/>
          </w:tcPr>
          <w:p w14:paraId="2AAA0250">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418" w:type="pct"/>
            <w:vAlign w:val="center"/>
          </w:tcPr>
          <w:p w14:paraId="0725B2AB">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93" w:type="pct"/>
            <w:vAlign w:val="center"/>
          </w:tcPr>
          <w:p w14:paraId="43651A35">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10A31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52D48524">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459" w:type="pct"/>
            <w:vAlign w:val="center"/>
          </w:tcPr>
          <w:p w14:paraId="43B4FE0C">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sz w:val="21"/>
                <w:szCs w:val="21"/>
              </w:rPr>
            </w:pPr>
            <w:r>
              <w:rPr>
                <w:rFonts w:hint="eastAsia" w:ascii="宋体" w:hAnsi="宋体" w:eastAsia="宋体" w:cs="宋体"/>
                <w:sz w:val="21"/>
                <w:szCs w:val="21"/>
              </w:rPr>
              <w:t>三</w:t>
            </w:r>
          </w:p>
        </w:tc>
        <w:tc>
          <w:tcPr>
            <w:tcW w:w="3092" w:type="pct"/>
            <w:vAlign w:val="center"/>
          </w:tcPr>
          <w:p w14:paraId="0B952BE5">
            <w:pPr>
              <w:keepNext w:val="0"/>
              <w:keepLines w:val="0"/>
              <w:suppressLineNumbers w:val="0"/>
              <w:spacing w:before="0" w:beforeAutospacing="0" w:after="0" w:afterAutospacing="0" w:line="240" w:lineRule="auto"/>
              <w:ind w:left="0" w:right="0"/>
              <w:outlineLvl w:val="9"/>
              <w:rPr>
                <w:rFonts w:hint="eastAsia" w:ascii="宋体" w:hAnsi="宋体" w:eastAsia="宋体" w:cs="宋体"/>
                <w:sz w:val="21"/>
                <w:szCs w:val="21"/>
              </w:rPr>
            </w:pPr>
            <w:r>
              <w:rPr>
                <w:rFonts w:hint="eastAsia" w:ascii="宋体" w:hAnsi="宋体" w:eastAsia="宋体" w:cs="宋体"/>
                <w:sz w:val="21"/>
                <w:szCs w:val="21"/>
              </w:rPr>
              <w:t>污泥计量、脱水减量化处理后污泥的含水率及抽检、计费</w:t>
            </w:r>
          </w:p>
        </w:tc>
        <w:tc>
          <w:tcPr>
            <w:tcW w:w="348" w:type="pct"/>
            <w:vAlign w:val="center"/>
          </w:tcPr>
          <w:p w14:paraId="19EA5AA0">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418" w:type="pct"/>
            <w:vAlign w:val="center"/>
          </w:tcPr>
          <w:p w14:paraId="3AACBA7B">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93" w:type="pct"/>
            <w:vAlign w:val="center"/>
          </w:tcPr>
          <w:p w14:paraId="772F232F">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0FC8D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0F57DED6">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459" w:type="pct"/>
            <w:vAlign w:val="center"/>
          </w:tcPr>
          <w:p w14:paraId="1D147B5A">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sz w:val="21"/>
                <w:szCs w:val="21"/>
              </w:rPr>
            </w:pPr>
            <w:r>
              <w:rPr>
                <w:rFonts w:hint="eastAsia" w:ascii="宋体" w:hAnsi="宋体" w:eastAsia="宋体" w:cs="宋体"/>
                <w:sz w:val="21"/>
                <w:szCs w:val="21"/>
              </w:rPr>
              <w:t>四</w:t>
            </w:r>
          </w:p>
        </w:tc>
        <w:tc>
          <w:tcPr>
            <w:tcW w:w="3092" w:type="pct"/>
            <w:vAlign w:val="center"/>
          </w:tcPr>
          <w:p w14:paraId="45DF4A6F">
            <w:pPr>
              <w:keepNext w:val="0"/>
              <w:keepLines w:val="0"/>
              <w:suppressLineNumbers w:val="0"/>
              <w:spacing w:before="0" w:beforeAutospacing="0" w:after="0" w:afterAutospacing="0" w:line="240" w:lineRule="auto"/>
              <w:ind w:left="0" w:right="0"/>
              <w:outlineLvl w:val="9"/>
              <w:rPr>
                <w:rFonts w:hint="eastAsia" w:ascii="宋体" w:hAnsi="宋体" w:eastAsia="宋体" w:cs="宋体"/>
                <w:sz w:val="21"/>
                <w:szCs w:val="21"/>
              </w:rPr>
            </w:pPr>
            <w:r>
              <w:rPr>
                <w:rFonts w:hint="eastAsia" w:ascii="宋体" w:hAnsi="宋体" w:eastAsia="宋体" w:cs="宋体"/>
                <w:sz w:val="21"/>
                <w:szCs w:val="21"/>
              </w:rPr>
              <w:t>污泥减量化项目技术要求</w:t>
            </w:r>
          </w:p>
        </w:tc>
        <w:tc>
          <w:tcPr>
            <w:tcW w:w="348" w:type="pct"/>
            <w:vAlign w:val="center"/>
          </w:tcPr>
          <w:p w14:paraId="233E431B">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418" w:type="pct"/>
            <w:vAlign w:val="center"/>
          </w:tcPr>
          <w:p w14:paraId="674918BE">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93" w:type="pct"/>
            <w:vAlign w:val="center"/>
          </w:tcPr>
          <w:p w14:paraId="6ECB5A71">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2FE0B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657C4206">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459" w:type="pct"/>
            <w:vAlign w:val="center"/>
          </w:tcPr>
          <w:p w14:paraId="3489DCAF">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五</w:t>
            </w:r>
          </w:p>
        </w:tc>
        <w:tc>
          <w:tcPr>
            <w:tcW w:w="3092" w:type="pct"/>
            <w:vAlign w:val="center"/>
          </w:tcPr>
          <w:p w14:paraId="0679F144">
            <w:pPr>
              <w:keepNext w:val="0"/>
              <w:keepLines w:val="0"/>
              <w:suppressLineNumbers w:val="0"/>
              <w:spacing w:before="0" w:beforeAutospacing="0" w:after="0" w:afterAutospacing="0" w:line="240" w:lineRule="auto"/>
              <w:ind w:left="0" w:right="0"/>
              <w:outlineLvl w:val="9"/>
              <w:rPr>
                <w:rFonts w:hint="eastAsia" w:ascii="宋体" w:hAnsi="宋体" w:eastAsia="宋体" w:cs="宋体"/>
                <w:sz w:val="21"/>
                <w:szCs w:val="21"/>
              </w:rPr>
            </w:pPr>
            <w:r>
              <w:rPr>
                <w:rFonts w:hint="eastAsia" w:ascii="宋体" w:hAnsi="宋体" w:eastAsia="宋体" w:cs="宋体"/>
                <w:sz w:val="21"/>
                <w:szCs w:val="21"/>
              </w:rPr>
              <w:t>服务要求</w:t>
            </w:r>
          </w:p>
        </w:tc>
        <w:tc>
          <w:tcPr>
            <w:tcW w:w="348" w:type="pct"/>
            <w:vAlign w:val="center"/>
          </w:tcPr>
          <w:p w14:paraId="1CA6BEF2">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418" w:type="pct"/>
            <w:vAlign w:val="center"/>
          </w:tcPr>
          <w:p w14:paraId="797A1801">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93" w:type="pct"/>
            <w:vAlign w:val="center"/>
          </w:tcPr>
          <w:p w14:paraId="4CDCB50C">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684CD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6A5FAB18">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459" w:type="pct"/>
            <w:vAlign w:val="center"/>
          </w:tcPr>
          <w:p w14:paraId="4EA0FE84">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六</w:t>
            </w:r>
          </w:p>
        </w:tc>
        <w:tc>
          <w:tcPr>
            <w:tcW w:w="3092" w:type="pct"/>
            <w:vAlign w:val="center"/>
          </w:tcPr>
          <w:p w14:paraId="21A3EF70">
            <w:pPr>
              <w:keepNext w:val="0"/>
              <w:keepLines w:val="0"/>
              <w:suppressLineNumbers w:val="0"/>
              <w:spacing w:before="0" w:beforeAutospacing="0" w:after="0" w:afterAutospacing="0" w:line="240" w:lineRule="auto"/>
              <w:ind w:left="0" w:right="0"/>
              <w:outlineLvl w:val="9"/>
              <w:rPr>
                <w:rFonts w:hint="eastAsia" w:ascii="宋体" w:hAnsi="宋体" w:eastAsia="宋体" w:cs="宋体"/>
                <w:sz w:val="21"/>
                <w:szCs w:val="21"/>
              </w:rPr>
            </w:pPr>
            <w:r>
              <w:rPr>
                <w:rFonts w:hint="eastAsia" w:ascii="宋体" w:hAnsi="宋体" w:eastAsia="宋体" w:cs="宋体"/>
                <w:sz w:val="21"/>
                <w:szCs w:val="21"/>
              </w:rPr>
              <w:t>付费机制</w:t>
            </w:r>
          </w:p>
        </w:tc>
        <w:tc>
          <w:tcPr>
            <w:tcW w:w="348" w:type="pct"/>
            <w:vAlign w:val="center"/>
          </w:tcPr>
          <w:p w14:paraId="071703C4">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418" w:type="pct"/>
            <w:vAlign w:val="center"/>
          </w:tcPr>
          <w:p w14:paraId="2668D0D5">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93" w:type="pct"/>
            <w:vAlign w:val="center"/>
          </w:tcPr>
          <w:p w14:paraId="17D9903C">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10ABC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30C7FA59">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459" w:type="pct"/>
            <w:vAlign w:val="center"/>
          </w:tcPr>
          <w:p w14:paraId="66BC6980">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七</w:t>
            </w:r>
          </w:p>
        </w:tc>
        <w:tc>
          <w:tcPr>
            <w:tcW w:w="3092" w:type="pct"/>
            <w:vAlign w:val="center"/>
          </w:tcPr>
          <w:p w14:paraId="6124F73E">
            <w:pPr>
              <w:keepNext w:val="0"/>
              <w:keepLines w:val="0"/>
              <w:suppressLineNumbers w:val="0"/>
              <w:spacing w:before="0" w:beforeAutospacing="0" w:after="0" w:afterAutospacing="0" w:line="240" w:lineRule="auto"/>
              <w:ind w:left="0" w:right="0"/>
              <w:outlineLvl w:val="9"/>
              <w:rPr>
                <w:rFonts w:hint="eastAsia" w:ascii="宋体" w:hAnsi="宋体" w:eastAsia="宋体" w:cs="宋体"/>
                <w:sz w:val="21"/>
                <w:szCs w:val="21"/>
              </w:rPr>
            </w:pPr>
            <w:r>
              <w:rPr>
                <w:rFonts w:hint="eastAsia" w:ascii="宋体" w:hAnsi="宋体" w:eastAsia="宋体" w:cs="宋体"/>
                <w:sz w:val="21"/>
                <w:szCs w:val="21"/>
              </w:rPr>
              <w:t>服务期满后</w:t>
            </w:r>
          </w:p>
        </w:tc>
        <w:tc>
          <w:tcPr>
            <w:tcW w:w="348" w:type="pct"/>
            <w:vAlign w:val="center"/>
          </w:tcPr>
          <w:p w14:paraId="1BF5EA9B">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418" w:type="pct"/>
            <w:vAlign w:val="center"/>
          </w:tcPr>
          <w:p w14:paraId="1E6D4621">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93" w:type="pct"/>
            <w:vAlign w:val="center"/>
          </w:tcPr>
          <w:p w14:paraId="38E1B02F">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44885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28BC3794">
            <w:pPr>
              <w:keepNext/>
              <w:keepLines/>
              <w:suppressLineNumbers w:val="0"/>
              <w:spacing w:before="0" w:beforeAutospacing="0" w:after="0" w:afterAutospacing="0" w:line="400" w:lineRule="exact"/>
              <w:ind w:left="0" w:right="0"/>
              <w:outlineLvl w:val="9"/>
              <w:rPr>
                <w:rFonts w:hint="eastAsia" w:ascii="宋体" w:hAnsi="宋体" w:eastAsia="宋体" w:cs="宋体"/>
                <w:kern w:val="0"/>
                <w:sz w:val="21"/>
                <w:szCs w:val="21"/>
              </w:rPr>
            </w:pPr>
            <w:r>
              <w:rPr>
                <w:rFonts w:hint="eastAsia" w:ascii="宋体" w:hAnsi="宋体" w:eastAsia="宋体" w:cs="宋体"/>
                <w:kern w:val="0"/>
                <w:sz w:val="21"/>
                <w:szCs w:val="21"/>
              </w:rPr>
              <w:t>用户需求书“★”条款汇总：</w:t>
            </w:r>
          </w:p>
        </w:tc>
      </w:tr>
      <w:tr w14:paraId="5B68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2489D528">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459" w:type="pct"/>
            <w:vAlign w:val="center"/>
          </w:tcPr>
          <w:p w14:paraId="4ADB75F9">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二、2</w:t>
            </w:r>
          </w:p>
        </w:tc>
        <w:tc>
          <w:tcPr>
            <w:tcW w:w="3092" w:type="pct"/>
            <w:vAlign w:val="center"/>
          </w:tcPr>
          <w:p w14:paraId="4822AC86">
            <w:pPr>
              <w:keepNext w:val="0"/>
              <w:keepLines w:val="0"/>
              <w:suppressLineNumbers w:val="0"/>
              <w:spacing w:before="0" w:beforeAutospacing="0" w:after="0" w:afterAutospacing="0" w:line="400" w:lineRule="exact"/>
              <w:ind w:left="0" w:right="0"/>
              <w:outlineLvl w:val="9"/>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★污泥厂内减量化处理服务期限自</w:t>
            </w:r>
            <w:r>
              <w:rPr>
                <w:rFonts w:hint="eastAsia" w:ascii="宋体" w:hAnsi="宋体" w:eastAsia="宋体" w:cs="宋体"/>
                <w:color w:val="000000" w:themeColor="text1"/>
                <w:sz w:val="21"/>
                <w:szCs w:val="21"/>
                <w:lang w:val="en-US" w:eastAsia="zh-CN"/>
                <w14:textFill>
                  <w14:solidFill>
                    <w14:schemeClr w14:val="tx1"/>
                  </w14:solidFill>
                </w14:textFill>
              </w:rPr>
              <w:t>采购</w:t>
            </w:r>
            <w:r>
              <w:rPr>
                <w:rFonts w:hint="eastAsia" w:ascii="宋体" w:hAnsi="宋体" w:eastAsia="宋体" w:cs="宋体"/>
                <w:color w:val="000000" w:themeColor="text1"/>
                <w:sz w:val="21"/>
                <w:szCs w:val="21"/>
                <w14:textFill>
                  <w14:solidFill>
                    <w14:schemeClr w14:val="tx1"/>
                  </w14:solidFill>
                </w14:textFill>
              </w:rPr>
              <w:t>人发出</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进场</w:t>
            </w:r>
            <w:r>
              <w:rPr>
                <w:rFonts w:hint="eastAsia" w:ascii="宋体" w:hAnsi="宋体" w:eastAsia="宋体" w:cs="宋体"/>
                <w:color w:val="000000" w:themeColor="text1"/>
                <w:sz w:val="21"/>
                <w:szCs w:val="21"/>
                <w14:textFill>
                  <w14:solidFill>
                    <w14:schemeClr w14:val="tx1"/>
                  </w14:solidFill>
                </w14:textFill>
              </w:rPr>
              <w:t>通知</w:t>
            </w:r>
            <w:r>
              <w:rPr>
                <w:rFonts w:hint="eastAsia" w:ascii="宋体" w:hAnsi="宋体" w:eastAsia="宋体" w:cs="宋体"/>
                <w:color w:val="000000" w:themeColor="text1"/>
                <w:sz w:val="21"/>
                <w:szCs w:val="21"/>
                <w:lang w:val="en-US" w:eastAsia="zh-CN"/>
                <w14:textFill>
                  <w14:solidFill>
                    <w14:schemeClr w14:val="tx1"/>
                  </w14:solidFill>
                </w14:textFill>
              </w:rPr>
              <w:t>书</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之日起至</w:t>
            </w:r>
            <w:r>
              <w:rPr>
                <w:rFonts w:hint="eastAsia" w:ascii="宋体" w:hAnsi="宋体" w:eastAsia="宋体" w:cs="宋体"/>
                <w:color w:val="000000" w:themeColor="text1"/>
                <w:sz w:val="21"/>
                <w:szCs w:val="21"/>
                <w:lang w:val="en-US" w:eastAsia="zh-CN"/>
                <w14:textFill>
                  <w14:solidFill>
                    <w14:schemeClr w14:val="tx1"/>
                  </w14:solidFill>
                </w14:textFill>
              </w:rPr>
              <w:t>2026年1月4日</w:t>
            </w:r>
            <w:r>
              <w:rPr>
                <w:rFonts w:hint="eastAsia" w:ascii="宋体" w:hAnsi="宋体" w:eastAsia="宋体" w:cs="宋体"/>
                <w:color w:val="000000" w:themeColor="text1"/>
                <w:sz w:val="21"/>
                <w:szCs w:val="21"/>
                <w14:textFill>
                  <w14:solidFill>
                    <w14:schemeClr w14:val="tx1"/>
                  </w14:solidFill>
                </w14:textFill>
              </w:rPr>
              <w:t>止（具体以</w:t>
            </w:r>
            <w:r>
              <w:rPr>
                <w:rFonts w:hint="eastAsia" w:ascii="宋体" w:hAnsi="宋体" w:eastAsia="宋体" w:cs="宋体"/>
                <w:color w:val="000000" w:themeColor="text1"/>
                <w:sz w:val="21"/>
                <w:szCs w:val="21"/>
                <w:lang w:val="en-US" w:eastAsia="zh-CN"/>
                <w14:textFill>
                  <w14:solidFill>
                    <w14:schemeClr w14:val="tx1"/>
                  </w14:solidFill>
                </w14:textFill>
              </w:rPr>
              <w:t>采购</w:t>
            </w:r>
            <w:r>
              <w:rPr>
                <w:rFonts w:hint="eastAsia" w:ascii="宋体" w:hAnsi="宋体" w:eastAsia="宋体" w:cs="宋体"/>
                <w:color w:val="000000" w:themeColor="text1"/>
                <w:sz w:val="21"/>
                <w:szCs w:val="21"/>
                <w14:textFill>
                  <w14:solidFill>
                    <w14:schemeClr w14:val="tx1"/>
                  </w14:solidFill>
                </w14:textFill>
              </w:rPr>
              <w:t>人通知为准）。服务期内，</w:t>
            </w:r>
            <w:r>
              <w:rPr>
                <w:rFonts w:hint="eastAsia" w:ascii="宋体" w:hAnsi="宋体" w:eastAsia="宋体" w:cs="宋体"/>
                <w:color w:val="000000" w:themeColor="text1"/>
                <w:sz w:val="21"/>
                <w:szCs w:val="21"/>
                <w:lang w:val="en-US" w:eastAsia="zh-CN"/>
                <w14:textFill>
                  <w14:solidFill>
                    <w14:schemeClr w14:val="tx1"/>
                  </w14:solidFill>
                </w14:textFill>
              </w:rPr>
              <w:t>采购</w:t>
            </w:r>
            <w:r>
              <w:rPr>
                <w:rFonts w:hint="eastAsia" w:ascii="宋体" w:hAnsi="宋体" w:eastAsia="宋体" w:cs="宋体"/>
                <w:color w:val="000000" w:themeColor="text1"/>
                <w:sz w:val="21"/>
                <w:szCs w:val="21"/>
                <w14:textFill>
                  <w14:solidFill>
                    <w14:schemeClr w14:val="tx1"/>
                  </w14:solidFill>
                </w14:textFill>
              </w:rPr>
              <w:t>人根据</w:t>
            </w:r>
            <w:r>
              <w:rPr>
                <w:rFonts w:hint="eastAsia" w:ascii="宋体" w:hAnsi="宋体" w:eastAsia="宋体" w:cs="宋体"/>
                <w:color w:val="000000" w:themeColor="text1"/>
                <w:sz w:val="21"/>
                <w:szCs w:val="21"/>
                <w:lang w:val="en-US" w:eastAsia="zh-CN"/>
                <w14:textFill>
                  <w14:solidFill>
                    <w14:schemeClr w14:val="tx1"/>
                  </w14:solidFill>
                </w14:textFill>
              </w:rPr>
              <w:t>污水厂厂区污泥脱水减量设备进行的实施进度或东莞市污泥集中处理处置特许经营项目建设运营情况</w:t>
            </w:r>
            <w:r>
              <w:rPr>
                <w:rFonts w:hint="eastAsia" w:ascii="宋体" w:hAnsi="宋体" w:eastAsia="宋体" w:cs="宋体"/>
                <w:color w:val="000000" w:themeColor="text1"/>
                <w:sz w:val="21"/>
                <w:szCs w:val="21"/>
                <w14:textFill>
                  <w14:solidFill>
                    <w14:schemeClr w14:val="tx1"/>
                  </w14:solidFill>
                </w14:textFill>
              </w:rPr>
              <w:t>有权要求</w:t>
            </w:r>
            <w:r>
              <w:rPr>
                <w:rFonts w:hint="eastAsia" w:ascii="宋体" w:hAnsi="宋体" w:eastAsia="宋体" w:cs="宋体"/>
                <w:color w:val="000000" w:themeColor="text1"/>
                <w:sz w:val="21"/>
                <w:szCs w:val="21"/>
                <w:lang w:val="en-US" w:eastAsia="zh-CN"/>
                <w14:textFill>
                  <w14:solidFill>
                    <w14:schemeClr w14:val="tx1"/>
                  </w14:solidFill>
                </w14:textFill>
              </w:rPr>
              <w:t>成交</w:t>
            </w:r>
            <w:r>
              <w:rPr>
                <w:rFonts w:hint="eastAsia" w:ascii="宋体" w:hAnsi="宋体" w:eastAsia="宋体" w:cs="宋体"/>
                <w:color w:val="000000" w:themeColor="text1"/>
                <w:sz w:val="21"/>
                <w:szCs w:val="21"/>
                <w14:textFill>
                  <w14:solidFill>
                    <w14:schemeClr w14:val="tx1"/>
                  </w14:solidFill>
                </w14:textFill>
              </w:rPr>
              <w:t>人无条件提前终止服务并撤场。在服务期满后，如</w:t>
            </w:r>
            <w:r>
              <w:rPr>
                <w:rFonts w:hint="eastAsia" w:ascii="宋体" w:hAnsi="宋体" w:eastAsia="宋体" w:cs="宋体"/>
                <w:color w:val="000000" w:themeColor="text1"/>
                <w:sz w:val="21"/>
                <w:szCs w:val="21"/>
                <w:lang w:val="en-US" w:eastAsia="zh-CN"/>
                <w14:textFill>
                  <w14:solidFill>
                    <w14:schemeClr w14:val="tx1"/>
                  </w14:solidFill>
                </w14:textFill>
              </w:rPr>
              <w:t>采购</w:t>
            </w:r>
            <w:r>
              <w:rPr>
                <w:rFonts w:hint="eastAsia" w:ascii="宋体" w:hAnsi="宋体" w:eastAsia="宋体" w:cs="宋体"/>
                <w:color w:val="000000" w:themeColor="text1"/>
                <w:sz w:val="21"/>
                <w:szCs w:val="21"/>
                <w14:textFill>
                  <w14:solidFill>
                    <w14:schemeClr w14:val="tx1"/>
                  </w14:solidFill>
                </w14:textFill>
              </w:rPr>
              <w:t>人需委托</w:t>
            </w:r>
            <w:r>
              <w:rPr>
                <w:rFonts w:hint="eastAsia" w:ascii="宋体" w:hAnsi="宋体" w:eastAsia="宋体" w:cs="宋体"/>
                <w:color w:val="000000" w:themeColor="text1"/>
                <w:sz w:val="21"/>
                <w:szCs w:val="21"/>
                <w:lang w:val="en-US" w:eastAsia="zh-CN"/>
                <w14:textFill>
                  <w14:solidFill>
                    <w14:schemeClr w14:val="tx1"/>
                  </w14:solidFill>
                </w14:textFill>
              </w:rPr>
              <w:t>成交</w:t>
            </w:r>
            <w:r>
              <w:rPr>
                <w:rFonts w:hint="eastAsia" w:ascii="宋体" w:hAnsi="宋体" w:eastAsia="宋体" w:cs="宋体"/>
                <w:color w:val="000000" w:themeColor="text1"/>
                <w:sz w:val="21"/>
                <w:szCs w:val="21"/>
                <w14:textFill>
                  <w14:solidFill>
                    <w14:schemeClr w14:val="tx1"/>
                  </w14:solidFill>
                </w14:textFill>
              </w:rPr>
              <w:t>人继续开展服务范围内的服务时，</w:t>
            </w:r>
            <w:r>
              <w:rPr>
                <w:rFonts w:hint="eastAsia" w:ascii="宋体" w:hAnsi="宋体" w:eastAsia="宋体" w:cs="宋体"/>
                <w:color w:val="000000" w:themeColor="text1"/>
                <w:sz w:val="21"/>
                <w:szCs w:val="21"/>
                <w:lang w:val="en-US" w:eastAsia="zh-CN"/>
                <w14:textFill>
                  <w14:solidFill>
                    <w14:schemeClr w14:val="tx1"/>
                  </w14:solidFill>
                </w14:textFill>
              </w:rPr>
              <w:t>经双方协商一致，成交</w:t>
            </w:r>
            <w:r>
              <w:rPr>
                <w:rFonts w:hint="eastAsia" w:ascii="宋体" w:hAnsi="宋体" w:eastAsia="宋体" w:cs="宋体"/>
                <w:color w:val="000000" w:themeColor="text1"/>
                <w:sz w:val="21"/>
                <w:szCs w:val="21"/>
                <w14:textFill>
                  <w14:solidFill>
                    <w14:schemeClr w14:val="tx1"/>
                  </w14:solidFill>
                </w14:textFill>
              </w:rPr>
              <w:t>人应按合同约定的计价方式和服务标准向</w:t>
            </w:r>
            <w:r>
              <w:rPr>
                <w:rFonts w:hint="eastAsia" w:ascii="宋体" w:hAnsi="宋体" w:eastAsia="宋体" w:cs="宋体"/>
                <w:color w:val="000000" w:themeColor="text1"/>
                <w:sz w:val="21"/>
                <w:szCs w:val="21"/>
                <w:lang w:val="en-US" w:eastAsia="zh-CN"/>
                <w14:textFill>
                  <w14:solidFill>
                    <w14:schemeClr w14:val="tx1"/>
                  </w14:solidFill>
                </w14:textFill>
              </w:rPr>
              <w:t>采购</w:t>
            </w:r>
            <w:r>
              <w:rPr>
                <w:rFonts w:hint="eastAsia" w:ascii="宋体" w:hAnsi="宋体" w:eastAsia="宋体" w:cs="宋体"/>
                <w:color w:val="000000" w:themeColor="text1"/>
                <w:sz w:val="21"/>
                <w:szCs w:val="21"/>
                <w14:textFill>
                  <w14:solidFill>
                    <w14:schemeClr w14:val="tx1"/>
                  </w14:solidFill>
                </w14:textFill>
              </w:rPr>
              <w:t>人继续提供处理服务</w:t>
            </w:r>
            <w:r>
              <w:rPr>
                <w:rFonts w:hint="eastAsia" w:ascii="宋体" w:hAnsi="宋体" w:eastAsia="宋体" w:cs="宋体"/>
                <w:color w:val="000000" w:themeColor="text1"/>
                <w:sz w:val="21"/>
                <w:szCs w:val="21"/>
                <w:lang w:eastAsia="zh-CN"/>
                <w14:textFill>
                  <w14:solidFill>
                    <w14:schemeClr w14:val="tx1"/>
                  </w14:solidFill>
                </w14:textFill>
              </w:rPr>
              <w:t>。</w:t>
            </w:r>
          </w:p>
        </w:tc>
        <w:tc>
          <w:tcPr>
            <w:tcW w:w="348" w:type="pct"/>
            <w:vAlign w:val="center"/>
          </w:tcPr>
          <w:p w14:paraId="533BEB0B">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418" w:type="pct"/>
            <w:vAlign w:val="center"/>
          </w:tcPr>
          <w:p w14:paraId="49C6550F">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93" w:type="pct"/>
            <w:vAlign w:val="center"/>
          </w:tcPr>
          <w:p w14:paraId="2F17C7C0">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7D84C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42ADA8F7">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9</w:t>
            </w:r>
          </w:p>
        </w:tc>
        <w:tc>
          <w:tcPr>
            <w:tcW w:w="459" w:type="pct"/>
            <w:vAlign w:val="center"/>
          </w:tcPr>
          <w:p w14:paraId="6FDD0553">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二、3</w:t>
            </w:r>
          </w:p>
        </w:tc>
        <w:tc>
          <w:tcPr>
            <w:tcW w:w="3092" w:type="pct"/>
            <w:vAlign w:val="center"/>
          </w:tcPr>
          <w:p w14:paraId="18614834">
            <w:pPr>
              <w:keepNext w:val="0"/>
              <w:keepLines w:val="0"/>
              <w:suppressLineNumbers w:val="0"/>
              <w:spacing w:before="0" w:beforeAutospacing="0" w:after="0" w:afterAutospacing="0" w:line="400" w:lineRule="exact"/>
              <w:ind w:left="0" w:right="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★污水处理厂</w:t>
            </w:r>
            <w:r>
              <w:rPr>
                <w:rFonts w:hint="eastAsia" w:ascii="宋体" w:hAnsi="宋体" w:eastAsia="宋体" w:cs="宋体"/>
                <w:color w:val="000000" w:themeColor="text1"/>
                <w:sz w:val="21"/>
                <w:szCs w:val="21"/>
                <w:lang w:val="zh-CN"/>
                <w14:textFill>
                  <w14:solidFill>
                    <w14:schemeClr w14:val="tx1"/>
                  </w14:solidFill>
                </w14:textFill>
              </w:rPr>
              <w:t>脱水减量化处理项目</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成交人</w:t>
            </w:r>
            <w:r>
              <w:rPr>
                <w:rFonts w:hint="eastAsia" w:ascii="宋体" w:hAnsi="宋体" w:eastAsia="宋体" w:cs="宋体"/>
                <w:color w:val="000000" w:themeColor="text1"/>
                <w:sz w:val="21"/>
                <w:szCs w:val="21"/>
                <w:lang w:val="zh-CN"/>
                <w14:textFill>
                  <w14:solidFill>
                    <w14:schemeClr w14:val="tx1"/>
                  </w14:solidFill>
                </w14:textFill>
              </w:rPr>
              <w:t>必须承诺</w:t>
            </w:r>
            <w:r>
              <w:rPr>
                <w:rFonts w:hint="eastAsia" w:ascii="宋体" w:hAnsi="宋体" w:eastAsia="宋体" w:cs="宋体"/>
                <w:color w:val="000000" w:themeColor="text1"/>
                <w:sz w:val="21"/>
                <w:szCs w:val="21"/>
                <w14:textFill>
                  <w14:solidFill>
                    <w14:schemeClr w14:val="tx1"/>
                  </w14:solidFill>
                </w14:textFill>
              </w:rPr>
              <w:t>在收到</w:t>
            </w:r>
            <w:r>
              <w:rPr>
                <w:rFonts w:hint="eastAsia" w:ascii="宋体" w:hAnsi="宋体" w:eastAsia="宋体" w:cs="宋体"/>
                <w:color w:val="000000" w:themeColor="text1"/>
                <w:sz w:val="21"/>
                <w:szCs w:val="21"/>
                <w:lang w:val="en-US" w:eastAsia="zh-CN"/>
                <w14:textFill>
                  <w14:solidFill>
                    <w14:schemeClr w14:val="tx1"/>
                  </w14:solidFill>
                </w14:textFill>
              </w:rPr>
              <w:t>采购</w:t>
            </w:r>
            <w:r>
              <w:rPr>
                <w:rFonts w:hint="eastAsia" w:ascii="宋体" w:hAnsi="宋体" w:eastAsia="宋体" w:cs="宋体"/>
                <w:color w:val="000000" w:themeColor="text1"/>
                <w:sz w:val="21"/>
                <w:szCs w:val="21"/>
                <w14:textFill>
                  <w14:solidFill>
                    <w14:schemeClr w14:val="tx1"/>
                  </w14:solidFill>
                </w14:textFill>
              </w:rPr>
              <w:t>人</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进场通知书</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 xml:space="preserve">之日起30天内完成设备安装并具备正式投产条件。 </w:t>
            </w:r>
          </w:p>
        </w:tc>
        <w:tc>
          <w:tcPr>
            <w:tcW w:w="348" w:type="pct"/>
            <w:vAlign w:val="center"/>
          </w:tcPr>
          <w:p w14:paraId="660315F6">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418" w:type="pct"/>
            <w:vAlign w:val="center"/>
          </w:tcPr>
          <w:p w14:paraId="5F733AA4">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93" w:type="pct"/>
            <w:vAlign w:val="center"/>
          </w:tcPr>
          <w:p w14:paraId="3EF197EF">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58550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2F2DF6F8">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459" w:type="pct"/>
            <w:vAlign w:val="center"/>
          </w:tcPr>
          <w:p w14:paraId="7308AEC9">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四、1</w:t>
            </w:r>
          </w:p>
        </w:tc>
        <w:tc>
          <w:tcPr>
            <w:tcW w:w="3092" w:type="pct"/>
            <w:vAlign w:val="center"/>
          </w:tcPr>
          <w:p w14:paraId="59D49C32">
            <w:pPr>
              <w:keepNext w:val="0"/>
              <w:keepLines w:val="0"/>
              <w:suppressLineNumbers w:val="0"/>
              <w:spacing w:before="0" w:beforeAutospacing="0" w:after="0" w:afterAutospacing="0" w:line="400" w:lineRule="exact"/>
              <w:ind w:left="0" w:right="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★脱水减量化处理后的半干化污泥含水率应≤55%。考虑到脱水减量化的半干化污泥后端送砖厂、纸厂、电厂处置的要求，</w:t>
            </w:r>
            <w:r>
              <w:rPr>
                <w:rFonts w:hint="eastAsia" w:ascii="宋体" w:hAnsi="宋体" w:eastAsia="宋体" w:cs="宋体"/>
                <w:color w:val="000000" w:themeColor="text1"/>
                <w:sz w:val="21"/>
                <w:szCs w:val="21"/>
                <w:lang w:val="en-US" w:eastAsia="zh-CN"/>
                <w14:textFill>
                  <w14:solidFill>
                    <w14:schemeClr w14:val="tx1"/>
                  </w14:solidFill>
                </w14:textFill>
              </w:rPr>
              <w:t>成交</w:t>
            </w:r>
            <w:r>
              <w:rPr>
                <w:rFonts w:hint="eastAsia" w:ascii="宋体" w:hAnsi="宋体" w:eastAsia="宋体" w:cs="宋体"/>
                <w:color w:val="000000" w:themeColor="text1"/>
                <w:sz w:val="21"/>
                <w:szCs w:val="21"/>
                <w14:textFill>
                  <w14:solidFill>
                    <w14:schemeClr w14:val="tx1"/>
                  </w14:solidFill>
                </w14:textFill>
              </w:rPr>
              <w:t>人需采取措施将半干化污泥粉进行适当破碎。</w:t>
            </w:r>
          </w:p>
        </w:tc>
        <w:tc>
          <w:tcPr>
            <w:tcW w:w="348" w:type="pct"/>
            <w:vAlign w:val="center"/>
          </w:tcPr>
          <w:p w14:paraId="6AC3156A">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418" w:type="pct"/>
            <w:vAlign w:val="center"/>
          </w:tcPr>
          <w:p w14:paraId="226889D3">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93" w:type="pct"/>
            <w:vAlign w:val="center"/>
          </w:tcPr>
          <w:p w14:paraId="54D17AD5">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14C7A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2B094C0D">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11</w:t>
            </w:r>
          </w:p>
        </w:tc>
        <w:tc>
          <w:tcPr>
            <w:tcW w:w="459" w:type="pct"/>
            <w:vAlign w:val="center"/>
          </w:tcPr>
          <w:p w14:paraId="4F18E5A6">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四、1</w:t>
            </w:r>
          </w:p>
        </w:tc>
        <w:tc>
          <w:tcPr>
            <w:tcW w:w="3092" w:type="pct"/>
            <w:vAlign w:val="center"/>
          </w:tcPr>
          <w:p w14:paraId="0128EC35">
            <w:pPr>
              <w:keepNext w:val="0"/>
              <w:keepLines w:val="0"/>
              <w:suppressLineNumbers w:val="0"/>
              <w:spacing w:before="0" w:beforeAutospacing="0" w:after="0" w:afterAutospacing="0" w:line="400" w:lineRule="exact"/>
              <w:ind w:left="0" w:right="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★为保证污泥减量效果，不允许添加石灰以及含石灰的调理剂。</w:t>
            </w:r>
          </w:p>
        </w:tc>
        <w:tc>
          <w:tcPr>
            <w:tcW w:w="348" w:type="pct"/>
            <w:vAlign w:val="center"/>
          </w:tcPr>
          <w:p w14:paraId="5F2CD2F9">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418" w:type="pct"/>
            <w:vAlign w:val="center"/>
          </w:tcPr>
          <w:p w14:paraId="27B01A26">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93" w:type="pct"/>
            <w:vAlign w:val="center"/>
          </w:tcPr>
          <w:p w14:paraId="33D89B7B">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77B75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75B7C91C">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12</w:t>
            </w:r>
          </w:p>
        </w:tc>
        <w:tc>
          <w:tcPr>
            <w:tcW w:w="459" w:type="pct"/>
            <w:vAlign w:val="center"/>
          </w:tcPr>
          <w:p w14:paraId="7F6B6C65">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七</w:t>
            </w:r>
          </w:p>
        </w:tc>
        <w:tc>
          <w:tcPr>
            <w:tcW w:w="3092" w:type="pct"/>
            <w:vAlign w:val="center"/>
          </w:tcPr>
          <w:p w14:paraId="204A34CC">
            <w:pPr>
              <w:keepNext w:val="0"/>
              <w:keepLines w:val="0"/>
              <w:suppressLineNumbers w:val="0"/>
              <w:spacing w:before="0" w:beforeAutospacing="0" w:after="0" w:afterAutospacing="0" w:line="400" w:lineRule="exact"/>
              <w:ind w:left="0" w:right="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★除非双方另有合同约定，</w:t>
            </w:r>
            <w:r>
              <w:rPr>
                <w:rFonts w:hint="eastAsia" w:ascii="宋体" w:hAnsi="宋体" w:eastAsia="宋体" w:cs="宋体"/>
                <w:color w:val="000000" w:themeColor="text1"/>
                <w:sz w:val="21"/>
                <w:szCs w:val="21"/>
                <w:lang w:val="en-US" w:eastAsia="zh-CN"/>
                <w14:textFill>
                  <w14:solidFill>
                    <w14:schemeClr w14:val="tx1"/>
                  </w14:solidFill>
                </w14:textFill>
              </w:rPr>
              <w:t>成交</w:t>
            </w:r>
            <w:r>
              <w:rPr>
                <w:rFonts w:hint="eastAsia" w:ascii="宋体" w:hAnsi="宋体" w:eastAsia="宋体" w:cs="宋体"/>
                <w:color w:val="000000" w:themeColor="text1"/>
                <w:sz w:val="21"/>
                <w:szCs w:val="21"/>
                <w14:textFill>
                  <w14:solidFill>
                    <w14:schemeClr w14:val="tx1"/>
                  </w14:solidFill>
                </w14:textFill>
              </w:rPr>
              <w:t>人在以下情况应自行拆除本项目服务期间新建的设备设施，并恢复本项目场地的原状：（1）服务期内，发生风险特别约定情况，</w:t>
            </w:r>
            <w:r>
              <w:rPr>
                <w:rFonts w:hint="eastAsia" w:ascii="宋体" w:hAnsi="宋体" w:eastAsia="宋体" w:cs="宋体"/>
                <w:color w:val="000000" w:themeColor="text1"/>
                <w:sz w:val="21"/>
                <w:szCs w:val="21"/>
                <w:lang w:val="en-US" w:eastAsia="zh-CN"/>
                <w14:textFill>
                  <w14:solidFill>
                    <w14:schemeClr w14:val="tx1"/>
                  </w14:solidFill>
                </w14:textFill>
              </w:rPr>
              <w:t>采购</w:t>
            </w:r>
            <w:r>
              <w:rPr>
                <w:rFonts w:hint="eastAsia" w:ascii="宋体" w:hAnsi="宋体" w:eastAsia="宋体" w:cs="宋体"/>
                <w:color w:val="000000" w:themeColor="text1"/>
                <w:sz w:val="21"/>
                <w:szCs w:val="21"/>
                <w14:textFill>
                  <w14:solidFill>
                    <w14:schemeClr w14:val="tx1"/>
                  </w14:solidFill>
                </w14:textFill>
              </w:rPr>
              <w:t>人要求</w:t>
            </w:r>
            <w:r>
              <w:rPr>
                <w:rFonts w:hint="eastAsia" w:ascii="宋体" w:hAnsi="宋体" w:eastAsia="宋体" w:cs="宋体"/>
                <w:color w:val="000000" w:themeColor="text1"/>
                <w:sz w:val="21"/>
                <w:szCs w:val="21"/>
                <w:lang w:val="en-US" w:eastAsia="zh-CN"/>
                <w14:textFill>
                  <w14:solidFill>
                    <w14:schemeClr w14:val="tx1"/>
                  </w14:solidFill>
                </w14:textFill>
              </w:rPr>
              <w:t>成交</w:t>
            </w:r>
            <w:r>
              <w:rPr>
                <w:rFonts w:hint="eastAsia" w:ascii="宋体" w:hAnsi="宋体" w:eastAsia="宋体" w:cs="宋体"/>
                <w:color w:val="000000" w:themeColor="text1"/>
                <w:sz w:val="21"/>
                <w:szCs w:val="21"/>
                <w14:textFill>
                  <w14:solidFill>
                    <w14:schemeClr w14:val="tx1"/>
                  </w14:solidFill>
                </w14:textFill>
              </w:rPr>
              <w:t>人无条件提前终止服务并发出撤场通知之日起30日内；（2）服务期内，</w:t>
            </w:r>
            <w:r>
              <w:rPr>
                <w:rFonts w:hint="eastAsia" w:ascii="宋体" w:hAnsi="宋体" w:eastAsia="宋体" w:cs="宋体"/>
                <w:color w:val="000000" w:themeColor="text1"/>
                <w:sz w:val="21"/>
                <w:szCs w:val="21"/>
                <w:lang w:val="en-US" w:eastAsia="zh-CN"/>
                <w14:textFill>
                  <w14:solidFill>
                    <w14:schemeClr w14:val="tx1"/>
                  </w14:solidFill>
                </w14:textFill>
              </w:rPr>
              <w:t>因成交人存在违约行为等，采购</w:t>
            </w:r>
            <w:r>
              <w:rPr>
                <w:rFonts w:hint="eastAsia" w:ascii="宋体" w:hAnsi="宋体" w:eastAsia="宋体" w:cs="宋体"/>
                <w:color w:val="000000" w:themeColor="text1"/>
                <w:sz w:val="21"/>
                <w:szCs w:val="21"/>
                <w14:textFill>
                  <w14:solidFill>
                    <w14:schemeClr w14:val="tx1"/>
                  </w14:solidFill>
                </w14:textFill>
              </w:rPr>
              <w:t>人</w:t>
            </w:r>
            <w:r>
              <w:rPr>
                <w:rFonts w:hint="eastAsia" w:ascii="宋体" w:hAnsi="宋体" w:eastAsia="宋体" w:cs="宋体"/>
                <w:color w:val="000000" w:themeColor="text1"/>
                <w:sz w:val="21"/>
                <w:szCs w:val="21"/>
                <w:lang w:val="en-US" w:eastAsia="zh-CN"/>
                <w14:textFill>
                  <w14:solidFill>
                    <w14:schemeClr w14:val="tx1"/>
                  </w14:solidFill>
                </w14:textFill>
              </w:rPr>
              <w:t>根据合同约定</w:t>
            </w:r>
            <w:r>
              <w:rPr>
                <w:rFonts w:hint="eastAsia" w:ascii="宋体" w:hAnsi="宋体" w:eastAsia="宋体" w:cs="宋体"/>
                <w:color w:val="000000" w:themeColor="text1"/>
                <w:sz w:val="21"/>
                <w:szCs w:val="21"/>
                <w14:textFill>
                  <w14:solidFill>
                    <w14:schemeClr w14:val="tx1"/>
                  </w14:solidFill>
                </w14:textFill>
              </w:rPr>
              <w:t>要求</w:t>
            </w:r>
            <w:r>
              <w:rPr>
                <w:rFonts w:hint="eastAsia" w:ascii="宋体" w:hAnsi="宋体" w:eastAsia="宋体" w:cs="宋体"/>
                <w:color w:val="000000" w:themeColor="text1"/>
                <w:sz w:val="21"/>
                <w:szCs w:val="21"/>
                <w:lang w:val="en-US" w:eastAsia="zh-CN"/>
                <w14:textFill>
                  <w14:solidFill>
                    <w14:schemeClr w14:val="tx1"/>
                  </w14:solidFill>
                </w14:textFill>
              </w:rPr>
              <w:t>成交</w:t>
            </w:r>
            <w:r>
              <w:rPr>
                <w:rFonts w:hint="eastAsia" w:ascii="宋体" w:hAnsi="宋体" w:eastAsia="宋体" w:cs="宋体"/>
                <w:color w:val="000000" w:themeColor="text1"/>
                <w:sz w:val="21"/>
                <w:szCs w:val="21"/>
                <w14:textFill>
                  <w14:solidFill>
                    <w14:schemeClr w14:val="tx1"/>
                  </w14:solidFill>
                </w14:textFill>
              </w:rPr>
              <w:t>人提前终止服务并发出撤场通知之日起30日内；（3）服务期届满后30日内。以上所导致的因拆除设备设施及场地复原产生的相应费用由</w:t>
            </w:r>
            <w:r>
              <w:rPr>
                <w:rFonts w:hint="eastAsia" w:ascii="宋体" w:hAnsi="宋体" w:eastAsia="宋体" w:cs="宋体"/>
                <w:color w:val="000000" w:themeColor="text1"/>
                <w:sz w:val="21"/>
                <w:szCs w:val="21"/>
                <w:lang w:val="en-US" w:eastAsia="zh-CN"/>
                <w14:textFill>
                  <w14:solidFill>
                    <w14:schemeClr w14:val="tx1"/>
                  </w14:solidFill>
                </w14:textFill>
              </w:rPr>
              <w:t>成交</w:t>
            </w:r>
            <w:r>
              <w:rPr>
                <w:rFonts w:hint="eastAsia" w:ascii="宋体" w:hAnsi="宋体" w:eastAsia="宋体" w:cs="宋体"/>
                <w:color w:val="000000" w:themeColor="text1"/>
                <w:sz w:val="21"/>
                <w:szCs w:val="21"/>
                <w14:textFill>
                  <w14:solidFill>
                    <w14:schemeClr w14:val="tx1"/>
                  </w14:solidFill>
                </w14:textFill>
              </w:rPr>
              <w:t>人承担，在本项目的拆除过程中和拆除之后，</w:t>
            </w:r>
            <w:r>
              <w:rPr>
                <w:rFonts w:hint="eastAsia" w:ascii="宋体" w:hAnsi="宋体" w:eastAsia="宋体" w:cs="宋体"/>
                <w:color w:val="000000" w:themeColor="text1"/>
                <w:sz w:val="21"/>
                <w:szCs w:val="21"/>
                <w:lang w:val="en-US" w:eastAsia="zh-CN"/>
                <w14:textFill>
                  <w14:solidFill>
                    <w14:schemeClr w14:val="tx1"/>
                  </w14:solidFill>
                </w14:textFill>
              </w:rPr>
              <w:t>采购</w:t>
            </w:r>
            <w:r>
              <w:rPr>
                <w:rFonts w:hint="eastAsia" w:ascii="宋体" w:hAnsi="宋体" w:eastAsia="宋体" w:cs="宋体"/>
                <w:color w:val="000000" w:themeColor="text1"/>
                <w:sz w:val="21"/>
                <w:szCs w:val="21"/>
                <w14:textFill>
                  <w14:solidFill>
                    <w14:schemeClr w14:val="tx1"/>
                  </w14:solidFill>
                </w14:textFill>
              </w:rPr>
              <w:t>人无须向</w:t>
            </w:r>
            <w:r>
              <w:rPr>
                <w:rFonts w:hint="eastAsia" w:ascii="宋体" w:hAnsi="宋体" w:eastAsia="宋体" w:cs="宋体"/>
                <w:color w:val="000000" w:themeColor="text1"/>
                <w:sz w:val="21"/>
                <w:szCs w:val="21"/>
                <w:lang w:val="en-US" w:eastAsia="zh-CN"/>
                <w14:textFill>
                  <w14:solidFill>
                    <w14:schemeClr w14:val="tx1"/>
                  </w14:solidFill>
                </w14:textFill>
              </w:rPr>
              <w:t>成交</w:t>
            </w:r>
            <w:r>
              <w:rPr>
                <w:rFonts w:hint="eastAsia" w:ascii="宋体" w:hAnsi="宋体" w:eastAsia="宋体" w:cs="宋体"/>
                <w:color w:val="000000" w:themeColor="text1"/>
                <w:sz w:val="21"/>
                <w:szCs w:val="21"/>
                <w14:textFill>
                  <w14:solidFill>
                    <w14:schemeClr w14:val="tx1"/>
                  </w14:solidFill>
                </w14:textFill>
              </w:rPr>
              <w:t>人支付任何补偿或移交费用。</w:t>
            </w:r>
          </w:p>
        </w:tc>
        <w:tc>
          <w:tcPr>
            <w:tcW w:w="348" w:type="pct"/>
            <w:vAlign w:val="center"/>
          </w:tcPr>
          <w:p w14:paraId="50AB1A4C">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418" w:type="pct"/>
            <w:vAlign w:val="center"/>
          </w:tcPr>
          <w:p w14:paraId="10C5C667">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93" w:type="pct"/>
            <w:vAlign w:val="center"/>
          </w:tcPr>
          <w:p w14:paraId="575D434C">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bl>
    <w:p w14:paraId="71CDEB20">
      <w:pPr>
        <w:spacing w:line="360" w:lineRule="auto"/>
        <w:outlineLvl w:val="9"/>
        <w:rPr>
          <w:rFonts w:hint="eastAsia" w:ascii="宋体" w:hAnsi="宋体" w:eastAsia="宋体" w:cs="宋体"/>
          <w:szCs w:val="21"/>
        </w:rPr>
      </w:pPr>
    </w:p>
    <w:p w14:paraId="34750BB2">
      <w:pPr>
        <w:spacing w:line="360" w:lineRule="auto"/>
        <w:outlineLvl w:val="9"/>
        <w:rPr>
          <w:rFonts w:hint="eastAsia" w:ascii="宋体" w:hAnsi="宋体" w:eastAsia="宋体" w:cs="宋体"/>
          <w:sz w:val="21"/>
          <w:szCs w:val="21"/>
        </w:rPr>
      </w:pPr>
      <w:r>
        <w:rPr>
          <w:rFonts w:hint="eastAsia" w:ascii="宋体" w:hAnsi="宋体" w:eastAsia="宋体" w:cs="宋体"/>
          <w:sz w:val="21"/>
          <w:szCs w:val="21"/>
        </w:rPr>
        <w:t>备注：</w:t>
      </w:r>
    </w:p>
    <w:p w14:paraId="52BFFD3E">
      <w:pPr>
        <w:spacing w:line="360" w:lineRule="auto"/>
        <w:ind w:left="610" w:leftChars="18" w:hanging="567" w:hangingChars="270"/>
        <w:outlineLvl w:val="9"/>
        <w:rPr>
          <w:rFonts w:hint="eastAsia" w:ascii="宋体" w:hAnsi="宋体" w:eastAsia="宋体" w:cs="宋体"/>
          <w:b/>
          <w:sz w:val="21"/>
          <w:szCs w:val="21"/>
          <w:u w:val="single"/>
        </w:rPr>
      </w:pPr>
      <w:r>
        <w:rPr>
          <w:rFonts w:hint="eastAsia" w:ascii="宋体" w:hAnsi="宋体" w:eastAsia="宋体" w:cs="宋体"/>
          <w:sz w:val="21"/>
          <w:szCs w:val="21"/>
        </w:rPr>
        <w:t>（1）</w:t>
      </w:r>
      <w:r>
        <w:rPr>
          <w:rFonts w:hint="eastAsia" w:ascii="宋体" w:hAnsi="宋体" w:eastAsia="宋体" w:cs="宋体"/>
          <w:b/>
          <w:sz w:val="21"/>
          <w:szCs w:val="21"/>
          <w:u w:val="single"/>
          <w:lang w:val="en-US" w:eastAsia="zh-CN"/>
        </w:rPr>
        <w:t>供应商</w:t>
      </w:r>
      <w:r>
        <w:rPr>
          <w:rFonts w:hint="eastAsia" w:ascii="宋体" w:hAnsi="宋体" w:eastAsia="宋体" w:cs="宋体"/>
          <w:b/>
          <w:sz w:val="21"/>
          <w:szCs w:val="21"/>
          <w:u w:val="single"/>
        </w:rPr>
        <w:t>应对照</w:t>
      </w:r>
      <w:r>
        <w:rPr>
          <w:rFonts w:hint="eastAsia" w:ascii="宋体" w:hAnsi="宋体" w:eastAsia="宋体" w:cs="宋体"/>
          <w:b/>
          <w:sz w:val="21"/>
          <w:szCs w:val="21"/>
          <w:u w:val="single"/>
          <w:lang w:val="en-US" w:eastAsia="zh-CN"/>
        </w:rPr>
        <w:t>竞争性磋商</w:t>
      </w:r>
      <w:r>
        <w:rPr>
          <w:rFonts w:hint="eastAsia" w:ascii="宋体" w:hAnsi="宋体" w:eastAsia="宋体" w:cs="宋体"/>
          <w:b/>
          <w:sz w:val="21"/>
          <w:szCs w:val="21"/>
          <w:u w:val="single"/>
        </w:rPr>
        <w:t>文件用户需求书的响应，逐条逐项、如实地填写“偏离情况”，</w:t>
      </w:r>
      <w:r>
        <w:rPr>
          <w:rFonts w:hint="eastAsia" w:ascii="宋体" w:hAnsi="宋体" w:eastAsia="宋体" w:cs="宋体"/>
          <w:b/>
          <w:kern w:val="0"/>
          <w:sz w:val="21"/>
          <w:szCs w:val="21"/>
          <w:u w:val="single"/>
        </w:rPr>
        <w:t>若发现未填写本表，或虚假填写本表，或伪造、变造证明材料的，按无效</w:t>
      </w:r>
      <w:r>
        <w:rPr>
          <w:rFonts w:hint="eastAsia" w:ascii="宋体" w:hAnsi="宋体" w:eastAsia="宋体" w:cs="宋体"/>
          <w:b/>
          <w:kern w:val="0"/>
          <w:sz w:val="21"/>
          <w:szCs w:val="21"/>
          <w:u w:val="single"/>
          <w:lang w:val="en-US" w:eastAsia="zh-CN"/>
        </w:rPr>
        <w:t>响应</w:t>
      </w:r>
      <w:r>
        <w:rPr>
          <w:rFonts w:hint="eastAsia" w:ascii="宋体" w:hAnsi="宋体" w:eastAsia="宋体" w:cs="宋体"/>
          <w:b/>
          <w:kern w:val="0"/>
          <w:sz w:val="21"/>
          <w:szCs w:val="21"/>
          <w:u w:val="single"/>
        </w:rPr>
        <w:t>文件处理</w:t>
      </w:r>
      <w:r>
        <w:rPr>
          <w:rFonts w:hint="eastAsia" w:ascii="宋体" w:hAnsi="宋体" w:eastAsia="宋体" w:cs="宋体"/>
          <w:b/>
          <w:sz w:val="21"/>
          <w:szCs w:val="21"/>
          <w:u w:val="single"/>
        </w:rPr>
        <w:t>。若</w:t>
      </w:r>
      <w:r>
        <w:rPr>
          <w:rFonts w:hint="eastAsia" w:ascii="宋体" w:hAnsi="宋体" w:eastAsia="宋体" w:cs="宋体"/>
          <w:b/>
          <w:sz w:val="21"/>
          <w:szCs w:val="21"/>
          <w:u w:val="single"/>
          <w:lang w:val="en-US" w:eastAsia="zh-CN"/>
        </w:rPr>
        <w:t>竞争性磋商</w:t>
      </w:r>
      <w:r>
        <w:rPr>
          <w:rFonts w:hint="eastAsia" w:ascii="宋体" w:hAnsi="宋体" w:eastAsia="宋体" w:cs="宋体"/>
          <w:b/>
          <w:sz w:val="21"/>
          <w:szCs w:val="21"/>
          <w:u w:val="single"/>
        </w:rPr>
        <w:t>文件用户需求书中有“★”条款须逐条逐项、如实地填写“偏离情况”，未填写“★”条款以外的条款的，视为完全满足</w:t>
      </w:r>
      <w:r>
        <w:rPr>
          <w:rFonts w:hint="eastAsia" w:ascii="宋体" w:hAnsi="宋体" w:eastAsia="宋体" w:cs="宋体"/>
          <w:b/>
          <w:sz w:val="21"/>
          <w:szCs w:val="21"/>
          <w:u w:val="single"/>
          <w:lang w:val="en-US" w:eastAsia="zh-CN"/>
        </w:rPr>
        <w:t>竞争性磋商</w:t>
      </w:r>
      <w:r>
        <w:rPr>
          <w:rFonts w:hint="eastAsia" w:ascii="宋体" w:hAnsi="宋体" w:eastAsia="宋体" w:cs="宋体"/>
          <w:b/>
          <w:sz w:val="21"/>
          <w:szCs w:val="21"/>
          <w:u w:val="single"/>
        </w:rPr>
        <w:t>文件要求。</w:t>
      </w:r>
    </w:p>
    <w:p w14:paraId="6F120D7D">
      <w:pPr>
        <w:spacing w:line="360" w:lineRule="auto"/>
        <w:ind w:left="610" w:leftChars="18" w:hanging="567" w:hangingChars="270"/>
        <w:outlineLvl w:val="9"/>
        <w:rPr>
          <w:rFonts w:hint="eastAsia" w:ascii="宋体" w:hAnsi="宋体" w:eastAsia="宋体" w:cs="宋体"/>
          <w:sz w:val="21"/>
          <w:szCs w:val="21"/>
        </w:rPr>
      </w:pPr>
      <w:r>
        <w:rPr>
          <w:rFonts w:hint="eastAsia" w:ascii="宋体" w:hAnsi="宋体" w:eastAsia="宋体" w:cs="宋体"/>
          <w:sz w:val="21"/>
          <w:szCs w:val="21"/>
        </w:rPr>
        <w:t>（2）偏离情况（</w:t>
      </w:r>
      <w:r>
        <w:rPr>
          <w:rFonts w:hint="eastAsia" w:ascii="宋体" w:hAnsi="宋体" w:eastAsia="宋体" w:cs="宋体"/>
          <w:sz w:val="21"/>
          <w:szCs w:val="21"/>
          <w:lang w:val="en-US" w:eastAsia="zh-CN"/>
        </w:rPr>
        <w:t>响应</w:t>
      </w:r>
      <w:r>
        <w:rPr>
          <w:rFonts w:hint="eastAsia" w:ascii="宋体" w:hAnsi="宋体" w:eastAsia="宋体" w:cs="宋体"/>
          <w:sz w:val="21"/>
          <w:szCs w:val="21"/>
        </w:rPr>
        <w:t>文件对</w:t>
      </w:r>
      <w:r>
        <w:rPr>
          <w:rFonts w:hint="eastAsia" w:ascii="宋体" w:hAnsi="宋体" w:eastAsia="宋体" w:cs="宋体"/>
          <w:sz w:val="21"/>
          <w:szCs w:val="21"/>
          <w:lang w:val="en-US" w:eastAsia="zh-CN"/>
        </w:rPr>
        <w:t>竞争性磋商</w:t>
      </w:r>
      <w:r>
        <w:rPr>
          <w:rFonts w:hint="eastAsia" w:ascii="宋体" w:hAnsi="宋体" w:eastAsia="宋体" w:cs="宋体"/>
          <w:sz w:val="21"/>
          <w:szCs w:val="21"/>
        </w:rPr>
        <w:t>文件用户需求的响应程度）分为：正偏离、负偏离、无偏离。正偏离是指</w:t>
      </w:r>
      <w:r>
        <w:rPr>
          <w:rFonts w:hint="eastAsia" w:ascii="宋体" w:hAnsi="宋体" w:eastAsia="宋体" w:cs="宋体"/>
          <w:sz w:val="21"/>
          <w:szCs w:val="21"/>
          <w:lang w:val="en-US" w:eastAsia="zh-CN"/>
        </w:rPr>
        <w:t>供应商</w:t>
      </w:r>
      <w:r>
        <w:rPr>
          <w:rFonts w:hint="eastAsia" w:ascii="宋体" w:hAnsi="宋体" w:eastAsia="宋体" w:cs="宋体"/>
          <w:sz w:val="21"/>
          <w:szCs w:val="21"/>
        </w:rPr>
        <w:t>对用户需求响应优于</w:t>
      </w:r>
      <w:r>
        <w:rPr>
          <w:rFonts w:hint="eastAsia" w:ascii="宋体" w:hAnsi="宋体" w:eastAsia="宋体" w:cs="宋体"/>
          <w:sz w:val="21"/>
          <w:szCs w:val="21"/>
          <w:lang w:val="en-US" w:eastAsia="zh-CN"/>
        </w:rPr>
        <w:t>竞争性磋商</w:t>
      </w:r>
      <w:r>
        <w:rPr>
          <w:rFonts w:hint="eastAsia" w:ascii="宋体" w:hAnsi="宋体" w:eastAsia="宋体" w:cs="宋体"/>
          <w:sz w:val="21"/>
          <w:szCs w:val="21"/>
        </w:rPr>
        <w:t>文件的要求；负偏离是指</w:t>
      </w:r>
      <w:r>
        <w:rPr>
          <w:rFonts w:hint="eastAsia" w:ascii="宋体" w:hAnsi="宋体" w:eastAsia="宋体" w:cs="宋体"/>
          <w:sz w:val="21"/>
          <w:szCs w:val="21"/>
          <w:lang w:val="en-US" w:eastAsia="zh-CN"/>
        </w:rPr>
        <w:t>供应商</w:t>
      </w:r>
      <w:r>
        <w:rPr>
          <w:rFonts w:hint="eastAsia" w:ascii="宋体" w:hAnsi="宋体" w:eastAsia="宋体" w:cs="宋体"/>
          <w:sz w:val="21"/>
          <w:szCs w:val="21"/>
        </w:rPr>
        <w:t>对用户需求响应不满足或不完全满足</w:t>
      </w:r>
      <w:r>
        <w:rPr>
          <w:rFonts w:hint="eastAsia" w:ascii="宋体" w:hAnsi="宋体" w:eastAsia="宋体" w:cs="宋体"/>
          <w:sz w:val="21"/>
          <w:szCs w:val="21"/>
          <w:lang w:val="en-US" w:eastAsia="zh-CN"/>
        </w:rPr>
        <w:t>竞争性磋商</w:t>
      </w:r>
      <w:r>
        <w:rPr>
          <w:rFonts w:hint="eastAsia" w:ascii="宋体" w:hAnsi="宋体" w:eastAsia="宋体" w:cs="宋体"/>
          <w:sz w:val="21"/>
          <w:szCs w:val="21"/>
        </w:rPr>
        <w:t>文件的要求；无偏离是指</w:t>
      </w:r>
      <w:r>
        <w:rPr>
          <w:rFonts w:hint="eastAsia" w:ascii="宋体" w:hAnsi="宋体" w:eastAsia="宋体" w:cs="宋体"/>
          <w:sz w:val="21"/>
          <w:szCs w:val="21"/>
          <w:lang w:val="en-US" w:eastAsia="zh-CN"/>
        </w:rPr>
        <w:t>供应商</w:t>
      </w:r>
      <w:r>
        <w:rPr>
          <w:rFonts w:hint="eastAsia" w:ascii="宋体" w:hAnsi="宋体" w:eastAsia="宋体" w:cs="宋体"/>
          <w:sz w:val="21"/>
          <w:szCs w:val="21"/>
        </w:rPr>
        <w:t>对用户需求响应完全满足</w:t>
      </w:r>
      <w:r>
        <w:rPr>
          <w:rFonts w:hint="eastAsia" w:ascii="宋体" w:hAnsi="宋体" w:eastAsia="宋体" w:cs="宋体"/>
          <w:sz w:val="21"/>
          <w:szCs w:val="21"/>
          <w:lang w:val="en-US" w:eastAsia="zh-CN"/>
        </w:rPr>
        <w:t>竞争性磋商</w:t>
      </w:r>
      <w:r>
        <w:rPr>
          <w:rFonts w:hint="eastAsia" w:ascii="宋体" w:hAnsi="宋体" w:eastAsia="宋体" w:cs="宋体"/>
          <w:sz w:val="21"/>
          <w:szCs w:val="21"/>
        </w:rPr>
        <w:t xml:space="preserve">文件的要求。 </w:t>
      </w:r>
    </w:p>
    <w:p w14:paraId="0A3BDAA9">
      <w:pPr>
        <w:spacing w:line="360" w:lineRule="auto"/>
        <w:ind w:left="612" w:leftChars="18" w:hanging="569" w:hangingChars="270"/>
        <w:outlineLvl w:val="9"/>
        <w:rPr>
          <w:rFonts w:hint="eastAsia" w:ascii="宋体" w:hAnsi="宋体" w:eastAsia="宋体" w:cs="宋体"/>
          <w:b/>
          <w:kern w:val="0"/>
          <w:sz w:val="21"/>
          <w:szCs w:val="21"/>
          <w:u w:val="single"/>
        </w:rPr>
      </w:pPr>
      <w:r>
        <w:rPr>
          <w:rFonts w:hint="eastAsia" w:ascii="宋体" w:hAnsi="宋体" w:eastAsia="宋体" w:cs="宋体"/>
          <w:b/>
          <w:sz w:val="21"/>
          <w:szCs w:val="21"/>
        </w:rPr>
        <w:t>（3）</w:t>
      </w:r>
      <w:r>
        <w:rPr>
          <w:rFonts w:hint="eastAsia" w:ascii="宋体" w:hAnsi="宋体" w:eastAsia="宋体" w:cs="宋体"/>
          <w:b/>
          <w:kern w:val="0"/>
          <w:sz w:val="21"/>
          <w:szCs w:val="21"/>
          <w:u w:val="single"/>
        </w:rPr>
        <w:t>应逐条</w:t>
      </w:r>
      <w:r>
        <w:rPr>
          <w:rFonts w:hint="eastAsia" w:ascii="宋体" w:hAnsi="宋体" w:eastAsia="宋体" w:cs="宋体"/>
          <w:b/>
          <w:sz w:val="21"/>
          <w:szCs w:val="21"/>
          <w:u w:val="single"/>
        </w:rPr>
        <w:t>逐项</w:t>
      </w:r>
      <w:r>
        <w:rPr>
          <w:rFonts w:hint="eastAsia" w:ascii="宋体" w:hAnsi="宋体" w:eastAsia="宋体" w:cs="宋体"/>
          <w:b/>
          <w:kern w:val="0"/>
          <w:sz w:val="21"/>
          <w:szCs w:val="21"/>
          <w:u w:val="single"/>
        </w:rPr>
        <w:t>、如实地填写“偏离情况”。“偏离情况”项为正偏离（或负偏离）的，必须在“实质性响应的具体内容”项内详细说明与</w:t>
      </w:r>
      <w:r>
        <w:rPr>
          <w:rFonts w:hint="eastAsia" w:ascii="宋体" w:hAnsi="宋体" w:eastAsia="宋体" w:cs="宋体"/>
          <w:b/>
          <w:kern w:val="0"/>
          <w:sz w:val="21"/>
          <w:szCs w:val="21"/>
          <w:u w:val="single"/>
          <w:lang w:val="en-US" w:eastAsia="zh-CN"/>
        </w:rPr>
        <w:t>竞争性磋商</w:t>
      </w:r>
      <w:r>
        <w:rPr>
          <w:rFonts w:hint="eastAsia" w:ascii="宋体" w:hAnsi="宋体" w:eastAsia="宋体" w:cs="宋体"/>
          <w:b/>
          <w:kern w:val="0"/>
          <w:sz w:val="21"/>
          <w:szCs w:val="21"/>
          <w:u w:val="single"/>
        </w:rPr>
        <w:t>文件的偏离内容，“偏离情况”项为无偏离的，在“实质性响应的具体内容”项内填“完全响应</w:t>
      </w:r>
      <w:r>
        <w:rPr>
          <w:rFonts w:hint="eastAsia" w:ascii="宋体" w:hAnsi="宋体" w:eastAsia="宋体" w:cs="宋体"/>
          <w:b/>
          <w:kern w:val="0"/>
          <w:sz w:val="21"/>
          <w:szCs w:val="21"/>
          <w:u w:val="single"/>
          <w:lang w:val="en-US" w:eastAsia="zh-CN"/>
        </w:rPr>
        <w:t>竞争性磋商</w:t>
      </w:r>
      <w:r>
        <w:rPr>
          <w:rFonts w:hint="eastAsia" w:ascii="宋体" w:hAnsi="宋体" w:eastAsia="宋体" w:cs="宋体"/>
          <w:b/>
          <w:kern w:val="0"/>
          <w:sz w:val="21"/>
          <w:szCs w:val="21"/>
          <w:u w:val="single"/>
        </w:rPr>
        <w:t>文件要求”即可，也可进一步说明响应的具体内容。</w:t>
      </w:r>
      <w:r>
        <w:rPr>
          <w:rFonts w:hint="eastAsia" w:ascii="宋体" w:hAnsi="宋体" w:eastAsia="宋体" w:cs="宋体"/>
          <w:b/>
          <w:kern w:val="0"/>
          <w:sz w:val="21"/>
          <w:szCs w:val="21"/>
          <w:u w:val="single"/>
          <w:lang w:val="en-US" w:eastAsia="zh-CN"/>
        </w:rPr>
        <w:t>供应商</w:t>
      </w:r>
      <w:r>
        <w:rPr>
          <w:rFonts w:hint="eastAsia" w:ascii="宋体" w:hAnsi="宋体" w:eastAsia="宋体" w:cs="宋体"/>
          <w:b/>
          <w:kern w:val="0"/>
          <w:sz w:val="21"/>
          <w:szCs w:val="21"/>
          <w:u w:val="single"/>
        </w:rPr>
        <w:t>可将反映服务能力的技术支持资料作为本表的附件，并在本偏离表“对应证明材料页码”项内注明其在</w:t>
      </w:r>
      <w:r>
        <w:rPr>
          <w:rFonts w:hint="eastAsia" w:ascii="宋体" w:hAnsi="宋体" w:eastAsia="宋体" w:cs="宋体"/>
          <w:b/>
          <w:kern w:val="0"/>
          <w:sz w:val="21"/>
          <w:szCs w:val="21"/>
          <w:u w:val="single"/>
          <w:lang w:val="en-US" w:eastAsia="zh-CN"/>
        </w:rPr>
        <w:t>响应</w:t>
      </w:r>
      <w:r>
        <w:rPr>
          <w:rFonts w:hint="eastAsia" w:ascii="宋体" w:hAnsi="宋体" w:eastAsia="宋体" w:cs="宋体"/>
          <w:b/>
          <w:kern w:val="0"/>
          <w:sz w:val="21"/>
          <w:szCs w:val="21"/>
          <w:u w:val="single"/>
        </w:rPr>
        <w:t>文件中的具体页码。</w:t>
      </w:r>
    </w:p>
    <w:p w14:paraId="5FCDAAA7">
      <w:pPr>
        <w:spacing w:line="360" w:lineRule="auto"/>
        <w:ind w:left="612" w:leftChars="18" w:hanging="569" w:hangingChars="270"/>
        <w:outlineLvl w:val="9"/>
        <w:rPr>
          <w:rFonts w:hint="eastAsia" w:ascii="宋体" w:hAnsi="宋体" w:eastAsia="宋体" w:cs="宋体"/>
          <w:b/>
          <w:kern w:val="0"/>
          <w:sz w:val="21"/>
          <w:szCs w:val="21"/>
          <w:u w:val="single"/>
        </w:rPr>
      </w:pPr>
      <w:r>
        <w:rPr>
          <w:rFonts w:hint="eastAsia" w:ascii="宋体" w:hAnsi="宋体" w:eastAsia="宋体" w:cs="宋体"/>
          <w:b/>
          <w:sz w:val="21"/>
          <w:szCs w:val="21"/>
        </w:rPr>
        <w:t>（4）</w:t>
      </w:r>
      <w:r>
        <w:rPr>
          <w:rFonts w:hint="eastAsia" w:ascii="宋体" w:hAnsi="宋体" w:eastAsia="宋体" w:cs="宋体"/>
          <w:b/>
          <w:kern w:val="0"/>
          <w:sz w:val="21"/>
          <w:szCs w:val="21"/>
          <w:u w:val="single"/>
        </w:rPr>
        <w:t>凡标有“★”的地方均被视为重要的技术指标要求或性能要求。</w:t>
      </w:r>
      <w:r>
        <w:rPr>
          <w:rFonts w:hint="eastAsia" w:ascii="宋体" w:hAnsi="宋体" w:eastAsia="宋体" w:cs="宋体"/>
          <w:b/>
          <w:kern w:val="0"/>
          <w:sz w:val="21"/>
          <w:szCs w:val="21"/>
          <w:u w:val="single"/>
          <w:lang w:val="en-US" w:eastAsia="zh-CN"/>
        </w:rPr>
        <w:t>供应商</w:t>
      </w:r>
      <w:r>
        <w:rPr>
          <w:rFonts w:hint="eastAsia" w:ascii="宋体" w:hAnsi="宋体" w:eastAsia="宋体" w:cs="宋体"/>
          <w:b/>
          <w:kern w:val="0"/>
          <w:sz w:val="21"/>
          <w:szCs w:val="21"/>
          <w:u w:val="single"/>
        </w:rPr>
        <w:t>要特别加以注意，必须对此回答并完全满足这些要求，否则若有一项带“★”的指标未响应或不满足，将按无效</w:t>
      </w:r>
      <w:r>
        <w:rPr>
          <w:rFonts w:hint="eastAsia" w:ascii="宋体" w:hAnsi="宋体" w:eastAsia="宋体" w:cs="宋体"/>
          <w:b/>
          <w:kern w:val="0"/>
          <w:sz w:val="21"/>
          <w:szCs w:val="21"/>
          <w:u w:val="single"/>
          <w:lang w:val="en-US" w:eastAsia="zh-CN"/>
        </w:rPr>
        <w:t>响应</w:t>
      </w:r>
      <w:r>
        <w:rPr>
          <w:rFonts w:hint="eastAsia" w:ascii="宋体" w:hAnsi="宋体" w:eastAsia="宋体" w:cs="宋体"/>
          <w:b/>
          <w:kern w:val="0"/>
          <w:sz w:val="21"/>
          <w:szCs w:val="21"/>
          <w:u w:val="single"/>
        </w:rPr>
        <w:t>处理</w:t>
      </w:r>
      <w:r>
        <w:rPr>
          <w:rFonts w:hint="eastAsia" w:ascii="宋体" w:hAnsi="宋体" w:eastAsia="宋体" w:cs="宋体"/>
          <w:b/>
          <w:kern w:val="0"/>
          <w:sz w:val="21"/>
          <w:szCs w:val="21"/>
          <w:u w:val="single"/>
          <w:lang w:val="zh-CN"/>
        </w:rPr>
        <w:t>。</w:t>
      </w:r>
    </w:p>
    <w:p w14:paraId="324FEAFF">
      <w:pPr>
        <w:spacing w:line="360" w:lineRule="auto"/>
        <w:outlineLvl w:val="9"/>
        <w:rPr>
          <w:rFonts w:hint="eastAsia" w:ascii="宋体" w:hAnsi="宋体" w:eastAsia="宋体" w:cs="宋体"/>
          <w:sz w:val="21"/>
          <w:szCs w:val="21"/>
        </w:rPr>
      </w:pPr>
    </w:p>
    <w:p w14:paraId="79811472">
      <w:pPr>
        <w:autoSpaceDE w:val="0"/>
        <w:autoSpaceDN w:val="0"/>
        <w:adjustRightInd w:val="0"/>
        <w:spacing w:line="360" w:lineRule="auto"/>
        <w:ind w:firstLine="5040" w:firstLineChars="2400"/>
        <w:jc w:val="left"/>
        <w:outlineLvl w:val="9"/>
        <w:rPr>
          <w:rFonts w:hint="eastAsia" w:ascii="宋体" w:hAnsi="宋体" w:eastAsia="宋体" w:cs="宋体"/>
          <w:color w:val="auto"/>
          <w:sz w:val="21"/>
          <w:szCs w:val="21"/>
          <w:lang w:val="zh-CN"/>
        </w:rPr>
      </w:pPr>
      <w:r>
        <w:rPr>
          <w:rFonts w:hint="eastAsia" w:ascii="宋体" w:hAnsi="宋体" w:eastAsia="宋体" w:cs="宋体"/>
          <w:kern w:val="0"/>
          <w:sz w:val="21"/>
          <w:szCs w:val="21"/>
        </w:rPr>
        <w:t xml:space="preserve"> </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val="zh-CN"/>
        </w:rPr>
        <w:t>：（加盖</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val="zh-CN"/>
        </w:rPr>
        <w:t>法人公章）</w:t>
      </w:r>
    </w:p>
    <w:p w14:paraId="72C9E19A">
      <w:pPr>
        <w:autoSpaceDE w:val="0"/>
        <w:autoSpaceDN w:val="0"/>
        <w:adjustRightInd w:val="0"/>
        <w:spacing w:line="360" w:lineRule="auto"/>
        <w:ind w:firstLine="5250" w:firstLineChars="2500"/>
        <w:jc w:val="left"/>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 xml:space="preserve">日  </w:t>
      </w:r>
      <w:r>
        <w:rPr>
          <w:rFonts w:hint="eastAsia" w:ascii="宋体" w:hAnsi="宋体" w:eastAsia="宋体" w:cs="宋体"/>
          <w:color w:val="auto"/>
          <w:sz w:val="21"/>
          <w:szCs w:val="21"/>
          <w:lang w:val="zh-CN"/>
        </w:rPr>
        <w:t>期：   年   月   日</w:t>
      </w:r>
    </w:p>
    <w:p w14:paraId="13E0D2CB">
      <w:pPr>
        <w:autoSpaceDE w:val="0"/>
        <w:autoSpaceDN w:val="0"/>
        <w:adjustRightInd w:val="0"/>
        <w:spacing w:line="360" w:lineRule="auto"/>
        <w:ind w:firstLine="5040" w:firstLineChars="2400"/>
        <w:jc w:val="left"/>
        <w:outlineLvl w:val="9"/>
        <w:rPr>
          <w:rFonts w:hint="eastAsia" w:ascii="宋体" w:hAnsi="宋体" w:eastAsia="宋体" w:cs="宋体"/>
          <w:color w:val="auto"/>
          <w:sz w:val="21"/>
          <w:szCs w:val="21"/>
          <w:lang w:val="zh-CN"/>
        </w:rPr>
      </w:pPr>
      <w:r>
        <w:rPr>
          <w:rFonts w:hint="eastAsia" w:ascii="宋体" w:hAnsi="宋体" w:eastAsia="宋体" w:cs="宋体"/>
          <w:kern w:val="0"/>
          <w:sz w:val="21"/>
          <w:szCs w:val="21"/>
        </w:rPr>
        <w:t xml:space="preserve">                                                  </w:t>
      </w:r>
    </w:p>
    <w:p w14:paraId="36535559">
      <w:pPr>
        <w:autoSpaceDE w:val="0"/>
        <w:autoSpaceDN w:val="0"/>
        <w:adjustRightInd w:val="0"/>
        <w:ind w:left="0" w:leftChars="-50" w:hanging="120"/>
        <w:jc w:val="left"/>
        <w:outlineLvl w:val="9"/>
        <w:rPr>
          <w:rFonts w:hint="eastAsia" w:ascii="宋体" w:hAnsi="宋体" w:eastAsia="宋体" w:cs="宋体"/>
          <w:kern w:val="0"/>
          <w:sz w:val="21"/>
          <w:szCs w:val="21"/>
        </w:rPr>
      </w:pPr>
    </w:p>
    <w:bookmarkEnd w:id="445"/>
    <w:bookmarkEnd w:id="446"/>
    <w:bookmarkEnd w:id="447"/>
    <w:bookmarkEnd w:id="448"/>
    <w:bookmarkEnd w:id="449"/>
    <w:bookmarkEnd w:id="450"/>
    <w:bookmarkEnd w:id="451"/>
    <w:p w14:paraId="63A44F9E">
      <w:pPr>
        <w:keepNext w:val="0"/>
        <w:keepLines w:val="0"/>
        <w:pageBreakBefore/>
        <w:widowControl w:val="0"/>
        <w:tabs>
          <w:tab w:val="left" w:pos="567"/>
        </w:tabs>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b/>
          <w:color w:val="auto"/>
          <w:kern w:val="0"/>
          <w:sz w:val="30"/>
          <w:szCs w:val="30"/>
        </w:rPr>
      </w:pPr>
      <w:bookmarkStart w:id="461" w:name="_Toc3593"/>
      <w:bookmarkStart w:id="462" w:name="_Toc94107224"/>
      <w:bookmarkStart w:id="463" w:name="_Toc102860087"/>
      <w:bookmarkStart w:id="464" w:name="_Toc23150"/>
      <w:bookmarkStart w:id="465" w:name="_Toc142508382"/>
      <w:bookmarkStart w:id="466" w:name="_Toc102860431"/>
      <w:bookmarkStart w:id="467" w:name="_Toc140596942"/>
      <w:bookmarkStart w:id="468" w:name="_Toc104991889"/>
      <w:bookmarkStart w:id="469" w:name="_Toc6859"/>
      <w:bookmarkStart w:id="470" w:name="_Toc79146611"/>
      <w:bookmarkStart w:id="471" w:name="_Toc25931"/>
      <w:bookmarkStart w:id="472" w:name="_Toc23831"/>
      <w:r>
        <w:rPr>
          <w:rFonts w:hint="eastAsia" w:ascii="宋体" w:hAnsi="宋体" w:eastAsia="宋体" w:cs="宋体"/>
          <w:b/>
          <w:color w:val="auto"/>
          <w:kern w:val="0"/>
          <w:sz w:val="30"/>
          <w:szCs w:val="30"/>
        </w:rPr>
        <w:t>13.2 污泥脱水减量化处理服务</w:t>
      </w:r>
      <w:r>
        <w:rPr>
          <w:rFonts w:hint="eastAsia" w:ascii="宋体" w:hAnsi="宋体" w:eastAsia="宋体" w:cs="宋体"/>
          <w:b/>
          <w:color w:val="auto"/>
          <w:kern w:val="0"/>
          <w:sz w:val="30"/>
          <w:szCs w:val="30"/>
          <w:lang w:val="en-US" w:eastAsia="zh-CN"/>
        </w:rPr>
        <w:t>技术</w:t>
      </w:r>
      <w:r>
        <w:rPr>
          <w:rFonts w:hint="eastAsia" w:ascii="宋体" w:hAnsi="宋体" w:eastAsia="宋体" w:cs="宋体"/>
          <w:b/>
          <w:color w:val="auto"/>
          <w:kern w:val="0"/>
          <w:sz w:val="30"/>
          <w:szCs w:val="30"/>
        </w:rPr>
        <w:t xml:space="preserve">方案(   </w:t>
      </w:r>
      <w:r>
        <w:rPr>
          <w:rFonts w:hint="eastAsia" w:ascii="宋体" w:hAnsi="宋体" w:eastAsia="宋体" w:cs="宋体"/>
          <w:b/>
          <w:color w:val="auto"/>
          <w:kern w:val="0"/>
          <w:sz w:val="30"/>
          <w:szCs w:val="30"/>
          <w:lang w:eastAsia="zh-CN"/>
        </w:rPr>
        <w:t>包组</w:t>
      </w:r>
      <w:r>
        <w:rPr>
          <w:rFonts w:hint="eastAsia" w:ascii="宋体" w:hAnsi="宋体" w:eastAsia="宋体" w:cs="宋体"/>
          <w:b/>
          <w:color w:val="auto"/>
          <w:kern w:val="0"/>
          <w:sz w:val="30"/>
          <w:szCs w:val="30"/>
        </w:rPr>
        <w:t>)</w:t>
      </w:r>
    </w:p>
    <w:p w14:paraId="52CA0950">
      <w:pPr>
        <w:spacing w:before="120" w:beforeLines="50" w:line="360" w:lineRule="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自行编制，包括但不限于：</w:t>
      </w:r>
    </w:p>
    <w:p w14:paraId="12FB1050">
      <w:pPr>
        <w:spacing w:before="120" w:beforeLines="50" w:line="360" w:lineRule="auto"/>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（1）污泥脱水减量化处理工艺方案</w:t>
      </w:r>
    </w:p>
    <w:p w14:paraId="12CE693B">
      <w:pPr>
        <w:spacing w:before="120" w:beforeLines="50" w:line="360" w:lineRule="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（包括但不限于对污水处理厂产泥情况的认识，污泥脱水减量化处理工艺方案、含水率稳定达标方案等）</w:t>
      </w:r>
    </w:p>
    <w:p w14:paraId="3B576293">
      <w:pPr>
        <w:spacing w:before="120" w:beforeLines="50" w:line="360" w:lineRule="auto"/>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val="en-US" w:eastAsia="zh-CN"/>
        </w:rPr>
        <w:t>2</w:t>
      </w:r>
      <w:r>
        <w:rPr>
          <w:rFonts w:hint="eastAsia" w:ascii="宋体" w:hAnsi="宋体" w:eastAsia="宋体" w:cs="宋体"/>
          <w:b/>
          <w:bCs/>
          <w:color w:val="auto"/>
          <w:sz w:val="21"/>
          <w:szCs w:val="21"/>
        </w:rPr>
        <w:t>）污泥脱水减量化处理设备、设施及处理能力</w:t>
      </w:r>
    </w:p>
    <w:p w14:paraId="5E23BA6D">
      <w:pPr>
        <w:spacing w:before="120" w:beforeLines="50" w:line="360" w:lineRule="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（包括但不限于核心设备品牌、型号、性能说明及证明材料</w:t>
      </w:r>
      <w:r>
        <w:rPr>
          <w:rFonts w:hint="eastAsia" w:ascii="宋体" w:hAnsi="宋体" w:cs="宋体"/>
          <w:color w:val="auto"/>
          <w:sz w:val="21"/>
          <w:szCs w:val="21"/>
          <w:lang w:eastAsia="zh-CN"/>
        </w:rPr>
        <w:t>，</w:t>
      </w:r>
      <w:r>
        <w:rPr>
          <w:rFonts w:hint="eastAsia" w:ascii="宋体" w:hAnsi="宋体" w:eastAsia="宋体" w:cs="宋体"/>
          <w:color w:val="auto"/>
          <w:sz w:val="21"/>
          <w:szCs w:val="21"/>
          <w:lang w:val="en-US" w:eastAsia="zh-CN"/>
        </w:rPr>
        <w:t>处理能力证明材料</w:t>
      </w:r>
      <w:r>
        <w:rPr>
          <w:rFonts w:hint="eastAsia" w:ascii="宋体" w:hAnsi="宋体" w:cs="宋体"/>
          <w:color w:val="auto"/>
          <w:sz w:val="21"/>
          <w:szCs w:val="21"/>
          <w:lang w:val="en-US" w:eastAsia="zh-CN"/>
        </w:rPr>
        <w:t>，包括</w:t>
      </w:r>
      <w:r>
        <w:rPr>
          <w:rFonts w:hint="eastAsia" w:ascii="宋体" w:hAnsi="宋体" w:eastAsia="宋体" w:cs="宋体"/>
          <w:color w:val="auto"/>
          <w:sz w:val="21"/>
          <w:szCs w:val="21"/>
          <w:lang w:val="en-US" w:eastAsia="zh-CN"/>
        </w:rPr>
        <w:t>设备数量、滤布面积、压滤时间、调理时间等参数及处理能力详细计算过程说明。</w:t>
      </w:r>
      <w:r>
        <w:rPr>
          <w:rFonts w:hint="eastAsia" w:ascii="宋体" w:hAnsi="宋体" w:eastAsia="宋体" w:cs="宋体"/>
          <w:color w:val="auto"/>
          <w:sz w:val="21"/>
          <w:szCs w:val="21"/>
        </w:rPr>
        <w:t>）</w:t>
      </w:r>
    </w:p>
    <w:p w14:paraId="7543498A">
      <w:pPr>
        <w:spacing w:before="120" w:beforeLines="50" w:line="360" w:lineRule="auto"/>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val="en-US" w:eastAsia="zh-CN"/>
        </w:rPr>
        <w:t>3</w:t>
      </w:r>
      <w:r>
        <w:rPr>
          <w:rFonts w:hint="eastAsia" w:ascii="宋体" w:hAnsi="宋体" w:eastAsia="宋体" w:cs="宋体"/>
          <w:b/>
          <w:bCs/>
          <w:color w:val="auto"/>
          <w:sz w:val="21"/>
          <w:szCs w:val="21"/>
        </w:rPr>
        <w:t>）调理剂</w:t>
      </w:r>
    </w:p>
    <w:p w14:paraId="6EBCA11F">
      <w:pPr>
        <w:spacing w:before="120" w:beforeLines="50" w:line="360" w:lineRule="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（包括调理剂成份、性质、投加量、调理剂占减量化后绝干污泥含量百分比等）</w:t>
      </w:r>
    </w:p>
    <w:p w14:paraId="72782947">
      <w:pPr>
        <w:spacing w:before="120" w:beforeLines="50" w:line="360" w:lineRule="auto"/>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val="en-US" w:eastAsia="zh-CN"/>
        </w:rPr>
        <w:t>4</w:t>
      </w:r>
      <w:r>
        <w:rPr>
          <w:rFonts w:hint="eastAsia" w:ascii="宋体" w:hAnsi="宋体" w:eastAsia="宋体" w:cs="宋体"/>
          <w:b/>
          <w:bCs/>
          <w:color w:val="auto"/>
          <w:sz w:val="21"/>
          <w:szCs w:val="21"/>
        </w:rPr>
        <w:t>）其他</w:t>
      </w:r>
    </w:p>
    <w:p w14:paraId="6578C8A3">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21"/>
          <w:szCs w:val="21"/>
        </w:rPr>
      </w:pPr>
      <w:r>
        <w:rPr>
          <w:rFonts w:hint="eastAsia" w:ascii="宋体" w:hAnsi="宋体" w:eastAsia="宋体" w:cs="宋体"/>
          <w:color w:val="auto"/>
          <w:sz w:val="21"/>
          <w:szCs w:val="21"/>
        </w:rPr>
        <w:t>（申请人自行编制，</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认为有必要的</w:t>
      </w:r>
      <w:r>
        <w:rPr>
          <w:rFonts w:hint="eastAsia" w:ascii="宋体" w:hAnsi="宋体" w:eastAsia="宋体" w:cs="宋体"/>
          <w:color w:val="auto"/>
          <w:sz w:val="21"/>
          <w:szCs w:val="21"/>
          <w:lang w:val="en-US" w:eastAsia="zh-CN"/>
        </w:rPr>
        <w:t>技术</w:t>
      </w:r>
      <w:r>
        <w:rPr>
          <w:rFonts w:hint="eastAsia" w:ascii="宋体" w:hAnsi="宋体" w:eastAsia="宋体" w:cs="宋体"/>
          <w:color w:val="auto"/>
          <w:sz w:val="21"/>
          <w:szCs w:val="21"/>
        </w:rPr>
        <w:t>方案内容）</w:t>
      </w:r>
      <w:bookmarkEnd w:id="461"/>
      <w:bookmarkEnd w:id="462"/>
      <w:bookmarkEnd w:id="463"/>
      <w:bookmarkEnd w:id="464"/>
      <w:bookmarkEnd w:id="465"/>
      <w:bookmarkEnd w:id="466"/>
      <w:bookmarkEnd w:id="467"/>
      <w:bookmarkEnd w:id="468"/>
    </w:p>
    <w:bookmarkEnd w:id="469"/>
    <w:bookmarkEnd w:id="470"/>
    <w:bookmarkEnd w:id="471"/>
    <w:bookmarkEnd w:id="472"/>
    <w:p w14:paraId="237022B9">
      <w:pPr>
        <w:keepNext w:val="0"/>
        <w:keepLines w:val="0"/>
        <w:pageBreakBefore/>
        <w:widowControl w:val="0"/>
        <w:kinsoku/>
        <w:wordWrap/>
        <w:overflowPunct/>
        <w:topLinePunct w:val="0"/>
        <w:autoSpaceDE w:val="0"/>
        <w:autoSpaceDN w:val="0"/>
        <w:bidi w:val="0"/>
        <w:adjustRightInd w:val="0"/>
        <w:snapToGrid/>
        <w:spacing w:after="120" w:afterLines="50" w:line="360" w:lineRule="auto"/>
        <w:textAlignment w:val="auto"/>
        <w:outlineLvl w:val="9"/>
        <w:rPr>
          <w:rFonts w:hint="eastAsia" w:ascii="宋体" w:hAnsi="宋体" w:eastAsia="宋体" w:cs="宋体"/>
          <w:b/>
          <w:color w:val="auto"/>
          <w:kern w:val="0"/>
          <w:sz w:val="30"/>
          <w:szCs w:val="30"/>
        </w:rPr>
      </w:pPr>
      <w:r>
        <w:rPr>
          <w:rFonts w:hint="eastAsia" w:ascii="宋体" w:hAnsi="宋体" w:eastAsia="宋体" w:cs="宋体"/>
          <w:b/>
          <w:color w:val="auto"/>
          <w:kern w:val="0"/>
          <w:sz w:val="30"/>
          <w:szCs w:val="30"/>
        </w:rPr>
        <w:t>13.3 污泥脱水减量化处理服务</w:t>
      </w:r>
      <w:r>
        <w:rPr>
          <w:rFonts w:hint="eastAsia" w:ascii="宋体" w:hAnsi="宋体" w:eastAsia="宋体" w:cs="宋体"/>
          <w:b/>
          <w:color w:val="auto"/>
          <w:kern w:val="0"/>
          <w:sz w:val="30"/>
          <w:szCs w:val="30"/>
          <w:lang w:val="en-US" w:eastAsia="zh-CN"/>
        </w:rPr>
        <w:t>管理</w:t>
      </w:r>
      <w:r>
        <w:rPr>
          <w:rFonts w:hint="eastAsia" w:ascii="宋体" w:hAnsi="宋体" w:eastAsia="宋体" w:cs="宋体"/>
          <w:b/>
          <w:color w:val="auto"/>
          <w:kern w:val="0"/>
          <w:sz w:val="30"/>
          <w:szCs w:val="30"/>
        </w:rPr>
        <w:t xml:space="preserve">方案(   </w:t>
      </w:r>
      <w:r>
        <w:rPr>
          <w:rFonts w:hint="eastAsia" w:ascii="宋体" w:hAnsi="宋体" w:eastAsia="宋体" w:cs="宋体"/>
          <w:b/>
          <w:color w:val="auto"/>
          <w:kern w:val="0"/>
          <w:sz w:val="30"/>
          <w:szCs w:val="30"/>
          <w:lang w:eastAsia="zh-CN"/>
        </w:rPr>
        <w:t>包组</w:t>
      </w:r>
      <w:r>
        <w:rPr>
          <w:rFonts w:hint="eastAsia" w:ascii="宋体" w:hAnsi="宋体" w:eastAsia="宋体" w:cs="宋体"/>
          <w:b/>
          <w:color w:val="auto"/>
          <w:kern w:val="0"/>
          <w:sz w:val="30"/>
          <w:szCs w:val="30"/>
        </w:rPr>
        <w:t>)</w:t>
      </w:r>
    </w:p>
    <w:p w14:paraId="2F55FD5C">
      <w:pPr>
        <w:autoSpaceDE w:val="0"/>
        <w:autoSpaceDN w:val="0"/>
        <w:adjustRightInd w:val="0"/>
        <w:spacing w:line="360" w:lineRule="auto"/>
        <w:ind w:firstLine="420" w:firstLineChars="200"/>
        <w:jc w:val="left"/>
        <w:outlineLvl w:val="9"/>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说明：</w:t>
      </w:r>
    </w:p>
    <w:p w14:paraId="5E3E675D">
      <w:pPr>
        <w:autoSpaceDE w:val="0"/>
        <w:autoSpaceDN w:val="0"/>
        <w:adjustRightInd w:val="0"/>
        <w:spacing w:line="360" w:lineRule="auto"/>
        <w:jc w:val="left"/>
        <w:outlineLvl w:val="9"/>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（1）</w:t>
      </w:r>
      <w:r>
        <w:rPr>
          <w:rFonts w:hint="eastAsia" w:ascii="宋体" w:hAnsi="宋体" w:cs="宋体"/>
          <w:b w:val="0"/>
          <w:bCs/>
          <w:color w:val="auto"/>
          <w:kern w:val="0"/>
          <w:sz w:val="21"/>
          <w:szCs w:val="21"/>
          <w:lang w:val="en-US" w:eastAsia="zh-CN"/>
        </w:rPr>
        <w:t>供应商</w:t>
      </w:r>
      <w:r>
        <w:rPr>
          <w:rFonts w:hint="eastAsia" w:ascii="宋体" w:hAnsi="宋体" w:eastAsia="宋体" w:cs="宋体"/>
          <w:b w:val="0"/>
          <w:bCs/>
          <w:color w:val="auto"/>
          <w:kern w:val="0"/>
          <w:sz w:val="21"/>
          <w:szCs w:val="21"/>
        </w:rPr>
        <w:t>自行编制，</w:t>
      </w:r>
      <w:r>
        <w:rPr>
          <w:rFonts w:hint="eastAsia" w:ascii="宋体" w:hAnsi="宋体" w:eastAsia="宋体" w:cs="宋体"/>
          <w:b w:val="0"/>
          <w:bCs/>
          <w:color w:val="auto"/>
          <w:kern w:val="0"/>
          <w:sz w:val="21"/>
          <w:szCs w:val="21"/>
          <w:lang w:val="en-US" w:eastAsia="zh-CN"/>
        </w:rPr>
        <w:t>格式不限。</w:t>
      </w:r>
      <w:r>
        <w:rPr>
          <w:rFonts w:hint="eastAsia" w:ascii="宋体" w:hAnsi="宋体" w:eastAsia="宋体" w:cs="宋体"/>
          <w:b w:val="0"/>
          <w:bCs/>
          <w:color w:val="auto"/>
          <w:kern w:val="0"/>
          <w:sz w:val="21"/>
          <w:szCs w:val="21"/>
        </w:rPr>
        <w:t>包括但不限于</w:t>
      </w:r>
      <w:r>
        <w:rPr>
          <w:rFonts w:hint="eastAsia" w:ascii="宋体" w:hAnsi="宋体" w:eastAsia="宋体" w:cs="宋体"/>
          <w:b w:val="0"/>
          <w:bCs/>
          <w:color w:val="auto"/>
          <w:kern w:val="0"/>
          <w:sz w:val="21"/>
          <w:szCs w:val="21"/>
          <w:lang w:val="en-US" w:eastAsia="zh-CN"/>
        </w:rPr>
        <w:t>污泥脱水减量化处理服务</w:t>
      </w:r>
      <w:r>
        <w:rPr>
          <w:rFonts w:hint="eastAsia" w:ascii="宋体" w:hAnsi="宋体" w:eastAsia="宋体" w:cs="宋体"/>
          <w:b w:val="0"/>
          <w:bCs/>
          <w:color w:val="auto"/>
          <w:kern w:val="0"/>
          <w:sz w:val="21"/>
          <w:szCs w:val="21"/>
        </w:rPr>
        <w:t>项目组织构架、</w:t>
      </w:r>
      <w:r>
        <w:rPr>
          <w:rFonts w:hint="eastAsia" w:ascii="宋体" w:hAnsi="宋体" w:eastAsia="宋体" w:cs="宋体"/>
          <w:b w:val="0"/>
          <w:bCs/>
          <w:color w:val="auto"/>
          <w:kern w:val="0"/>
          <w:sz w:val="21"/>
          <w:szCs w:val="21"/>
          <w:lang w:val="en-US" w:eastAsia="zh-CN"/>
        </w:rPr>
        <w:t>对应工艺技术的</w:t>
      </w:r>
      <w:r>
        <w:rPr>
          <w:rFonts w:hint="eastAsia" w:ascii="宋体" w:hAnsi="宋体" w:eastAsia="宋体" w:cs="宋体"/>
          <w:b w:val="0"/>
          <w:bCs/>
          <w:color w:val="auto"/>
          <w:kern w:val="0"/>
          <w:sz w:val="21"/>
          <w:szCs w:val="21"/>
        </w:rPr>
        <w:t>人员配置、制度建设、工艺运行管理、设备维护管理等</w:t>
      </w:r>
      <w:r>
        <w:rPr>
          <w:rFonts w:hint="eastAsia" w:ascii="宋体" w:hAnsi="宋体" w:eastAsia="宋体" w:cs="宋体"/>
          <w:b w:val="0"/>
          <w:bCs/>
          <w:color w:val="auto"/>
          <w:kern w:val="0"/>
          <w:sz w:val="21"/>
          <w:szCs w:val="21"/>
          <w:lang w:val="en-US" w:eastAsia="zh-CN"/>
        </w:rPr>
        <w:t>内容。</w:t>
      </w:r>
    </w:p>
    <w:p w14:paraId="4E326B5A">
      <w:pPr>
        <w:autoSpaceDE w:val="0"/>
        <w:autoSpaceDN w:val="0"/>
        <w:adjustRightInd w:val="0"/>
        <w:spacing w:line="360" w:lineRule="auto"/>
        <w:jc w:val="left"/>
        <w:outlineLvl w:val="9"/>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（2）</w:t>
      </w:r>
      <w:r>
        <w:rPr>
          <w:rFonts w:hint="eastAsia" w:ascii="宋体" w:hAnsi="宋体" w:cs="宋体"/>
          <w:b w:val="0"/>
          <w:bCs/>
          <w:color w:val="auto"/>
          <w:kern w:val="0"/>
          <w:sz w:val="21"/>
          <w:szCs w:val="21"/>
          <w:lang w:val="en-US" w:eastAsia="zh-CN"/>
        </w:rPr>
        <w:t>竞争性磋商</w:t>
      </w:r>
      <w:r>
        <w:rPr>
          <w:rFonts w:hint="eastAsia" w:ascii="宋体" w:hAnsi="宋体" w:eastAsia="宋体" w:cs="宋体"/>
          <w:b w:val="0"/>
          <w:bCs/>
          <w:color w:val="auto"/>
          <w:kern w:val="0"/>
          <w:sz w:val="21"/>
          <w:szCs w:val="21"/>
          <w:lang w:val="en-US" w:eastAsia="zh-CN"/>
        </w:rPr>
        <w:t>文件“管理方案”评分标准中第（2）项评审项的人员</w:t>
      </w:r>
      <w:r>
        <w:rPr>
          <w:rFonts w:hint="eastAsia" w:ascii="宋体" w:hAnsi="宋体" w:eastAsia="宋体" w:cs="宋体"/>
          <w:b w:val="0"/>
          <w:bCs/>
          <w:color w:val="auto"/>
          <w:kern w:val="0"/>
          <w:sz w:val="21"/>
          <w:szCs w:val="21"/>
        </w:rPr>
        <w:t>须附有</w:t>
      </w:r>
      <w:r>
        <w:rPr>
          <w:rFonts w:hint="eastAsia" w:ascii="宋体" w:hAnsi="宋体" w:eastAsia="宋体" w:cs="宋体"/>
          <w:b w:val="0"/>
          <w:bCs/>
          <w:color w:val="auto"/>
          <w:kern w:val="0"/>
          <w:sz w:val="21"/>
          <w:szCs w:val="21"/>
          <w:lang w:val="zh-CN"/>
        </w:rPr>
        <w:t>身份证、劳动合同的复印件、资格证书[学历证书/职称证/执业/职业资格证</w:t>
      </w:r>
      <w:r>
        <w:rPr>
          <w:rFonts w:hint="eastAsia" w:ascii="宋体" w:hAnsi="宋体" w:eastAsia="宋体" w:cs="宋体"/>
          <w:b w:val="0"/>
          <w:bCs/>
          <w:color w:val="auto"/>
          <w:kern w:val="0"/>
          <w:sz w:val="21"/>
          <w:szCs w:val="21"/>
        </w:rPr>
        <w:t>/岗位证书</w:t>
      </w:r>
      <w:r>
        <w:rPr>
          <w:rFonts w:hint="eastAsia" w:ascii="宋体" w:hAnsi="宋体" w:eastAsia="宋体" w:cs="宋体"/>
          <w:b w:val="0"/>
          <w:bCs/>
          <w:color w:val="auto"/>
          <w:kern w:val="0"/>
          <w:sz w:val="21"/>
          <w:szCs w:val="21"/>
          <w:lang w:val="zh-CN"/>
        </w:rPr>
        <w:t>]以及人力资源和社会保障部门（或税务部门）出具的近</w:t>
      </w:r>
      <w:r>
        <w:rPr>
          <w:rFonts w:hint="eastAsia" w:ascii="宋体" w:hAnsi="宋体" w:eastAsia="宋体" w:cs="宋体"/>
          <w:b w:val="0"/>
          <w:bCs/>
          <w:color w:val="auto"/>
          <w:kern w:val="0"/>
          <w:sz w:val="21"/>
          <w:szCs w:val="21"/>
          <w:lang w:val="en-US" w:eastAsia="zh-CN"/>
        </w:rPr>
        <w:t>六个月</w:t>
      </w:r>
      <w:r>
        <w:rPr>
          <w:rFonts w:hint="eastAsia" w:ascii="宋体" w:hAnsi="宋体" w:eastAsia="宋体" w:cs="宋体"/>
          <w:b w:val="0"/>
          <w:bCs/>
          <w:color w:val="auto"/>
          <w:kern w:val="0"/>
          <w:sz w:val="21"/>
          <w:szCs w:val="21"/>
          <w:lang w:val="zh-CN"/>
        </w:rPr>
        <w:t>（</w:t>
      </w:r>
      <w:r>
        <w:rPr>
          <w:rFonts w:hint="eastAsia" w:ascii="宋体" w:hAnsi="宋体" w:eastAsia="宋体" w:cs="宋体"/>
          <w:b w:val="0"/>
          <w:bCs/>
          <w:color w:val="auto"/>
          <w:kern w:val="0"/>
          <w:sz w:val="21"/>
          <w:szCs w:val="21"/>
          <w:lang w:val="en-US" w:eastAsia="zh-CN"/>
        </w:rPr>
        <w:t>202</w:t>
      </w:r>
      <w:r>
        <w:rPr>
          <w:rFonts w:hint="eastAsia" w:ascii="宋体" w:hAnsi="宋体" w:cs="宋体"/>
          <w:b w:val="0"/>
          <w:bCs/>
          <w:color w:val="auto"/>
          <w:kern w:val="0"/>
          <w:sz w:val="21"/>
          <w:szCs w:val="21"/>
          <w:lang w:val="en-US" w:eastAsia="zh-CN"/>
        </w:rPr>
        <w:t>4</w:t>
      </w:r>
      <w:r>
        <w:rPr>
          <w:rFonts w:hint="eastAsia" w:ascii="宋体" w:hAnsi="宋体" w:eastAsia="宋体" w:cs="宋体"/>
          <w:b w:val="0"/>
          <w:bCs/>
          <w:color w:val="auto"/>
          <w:kern w:val="0"/>
          <w:sz w:val="21"/>
          <w:szCs w:val="21"/>
          <w:lang w:val="en-US" w:eastAsia="zh-CN"/>
        </w:rPr>
        <w:t>年</w:t>
      </w:r>
      <w:r>
        <w:rPr>
          <w:rFonts w:hint="eastAsia" w:ascii="宋体" w:hAnsi="宋体" w:cs="宋体"/>
          <w:b w:val="0"/>
          <w:bCs/>
          <w:color w:val="auto"/>
          <w:kern w:val="0"/>
          <w:sz w:val="21"/>
          <w:szCs w:val="21"/>
          <w:lang w:val="en-US" w:eastAsia="zh-CN"/>
        </w:rPr>
        <w:t>2</w:t>
      </w:r>
      <w:r>
        <w:rPr>
          <w:rFonts w:hint="eastAsia" w:ascii="宋体" w:hAnsi="宋体" w:eastAsia="宋体" w:cs="宋体"/>
          <w:b w:val="0"/>
          <w:bCs/>
          <w:color w:val="auto"/>
          <w:kern w:val="0"/>
          <w:sz w:val="21"/>
          <w:szCs w:val="21"/>
          <w:lang w:val="en-US" w:eastAsia="zh-CN"/>
        </w:rPr>
        <w:t>月、</w:t>
      </w:r>
      <w:r>
        <w:rPr>
          <w:rFonts w:hint="eastAsia" w:ascii="宋体" w:hAnsi="宋体" w:eastAsia="宋体" w:cs="宋体"/>
          <w:b w:val="0"/>
          <w:bCs/>
          <w:color w:val="auto"/>
          <w:kern w:val="0"/>
          <w:sz w:val="21"/>
          <w:szCs w:val="21"/>
          <w:lang w:val="zh-CN"/>
        </w:rPr>
        <w:t>202</w:t>
      </w:r>
      <w:r>
        <w:rPr>
          <w:rFonts w:hint="eastAsia" w:ascii="宋体" w:hAnsi="宋体" w:cs="宋体"/>
          <w:b w:val="0"/>
          <w:bCs/>
          <w:color w:val="auto"/>
          <w:kern w:val="0"/>
          <w:sz w:val="21"/>
          <w:szCs w:val="21"/>
          <w:lang w:val="en-US" w:eastAsia="zh-CN"/>
        </w:rPr>
        <w:t>4</w:t>
      </w:r>
      <w:r>
        <w:rPr>
          <w:rFonts w:hint="eastAsia" w:ascii="宋体" w:hAnsi="宋体" w:eastAsia="宋体" w:cs="宋体"/>
          <w:b w:val="0"/>
          <w:bCs/>
          <w:color w:val="auto"/>
          <w:kern w:val="0"/>
          <w:sz w:val="21"/>
          <w:szCs w:val="21"/>
          <w:lang w:val="zh-CN"/>
        </w:rPr>
        <w:t>年</w:t>
      </w:r>
      <w:r>
        <w:rPr>
          <w:rFonts w:hint="eastAsia" w:ascii="宋体" w:hAnsi="宋体" w:cs="宋体"/>
          <w:b w:val="0"/>
          <w:bCs/>
          <w:color w:val="auto"/>
          <w:kern w:val="0"/>
          <w:sz w:val="21"/>
          <w:szCs w:val="21"/>
          <w:lang w:val="en-US" w:eastAsia="zh-CN"/>
        </w:rPr>
        <w:t>3</w:t>
      </w:r>
      <w:r>
        <w:rPr>
          <w:rFonts w:hint="eastAsia" w:ascii="宋体" w:hAnsi="宋体" w:eastAsia="宋体" w:cs="宋体"/>
          <w:b w:val="0"/>
          <w:bCs/>
          <w:color w:val="auto"/>
          <w:kern w:val="0"/>
          <w:sz w:val="21"/>
          <w:szCs w:val="21"/>
          <w:lang w:val="zh-CN"/>
        </w:rPr>
        <w:t>月、202</w:t>
      </w:r>
      <w:r>
        <w:rPr>
          <w:rFonts w:hint="eastAsia" w:ascii="宋体" w:hAnsi="宋体" w:cs="宋体"/>
          <w:b w:val="0"/>
          <w:bCs/>
          <w:color w:val="auto"/>
          <w:kern w:val="0"/>
          <w:sz w:val="21"/>
          <w:szCs w:val="21"/>
          <w:lang w:val="en-US" w:eastAsia="zh-CN"/>
        </w:rPr>
        <w:t>4</w:t>
      </w:r>
      <w:r>
        <w:rPr>
          <w:rFonts w:hint="eastAsia" w:ascii="宋体" w:hAnsi="宋体" w:eastAsia="宋体" w:cs="宋体"/>
          <w:b w:val="0"/>
          <w:bCs/>
          <w:color w:val="auto"/>
          <w:kern w:val="0"/>
          <w:sz w:val="21"/>
          <w:szCs w:val="21"/>
          <w:lang w:val="zh-CN"/>
        </w:rPr>
        <w:t>年</w:t>
      </w:r>
      <w:r>
        <w:rPr>
          <w:rFonts w:hint="eastAsia" w:ascii="宋体" w:hAnsi="宋体" w:cs="宋体"/>
          <w:b w:val="0"/>
          <w:bCs/>
          <w:color w:val="auto"/>
          <w:kern w:val="0"/>
          <w:sz w:val="21"/>
          <w:szCs w:val="21"/>
          <w:lang w:val="en-US" w:eastAsia="zh-CN"/>
        </w:rPr>
        <w:t>4</w:t>
      </w:r>
      <w:r>
        <w:rPr>
          <w:rFonts w:hint="eastAsia" w:ascii="宋体" w:hAnsi="宋体" w:eastAsia="宋体" w:cs="宋体"/>
          <w:b w:val="0"/>
          <w:bCs/>
          <w:color w:val="auto"/>
          <w:kern w:val="0"/>
          <w:sz w:val="21"/>
          <w:szCs w:val="21"/>
          <w:lang w:val="zh-CN"/>
        </w:rPr>
        <w:t>月、202</w:t>
      </w:r>
      <w:r>
        <w:rPr>
          <w:rFonts w:hint="eastAsia" w:ascii="宋体" w:hAnsi="宋体" w:cs="宋体"/>
          <w:b w:val="0"/>
          <w:bCs/>
          <w:color w:val="auto"/>
          <w:kern w:val="0"/>
          <w:sz w:val="21"/>
          <w:szCs w:val="21"/>
          <w:lang w:val="en-US" w:eastAsia="zh-CN"/>
        </w:rPr>
        <w:t>4</w:t>
      </w:r>
      <w:r>
        <w:rPr>
          <w:rFonts w:hint="eastAsia" w:ascii="宋体" w:hAnsi="宋体" w:eastAsia="宋体" w:cs="宋体"/>
          <w:b w:val="0"/>
          <w:bCs/>
          <w:color w:val="auto"/>
          <w:kern w:val="0"/>
          <w:sz w:val="21"/>
          <w:szCs w:val="21"/>
          <w:lang w:val="zh-CN"/>
        </w:rPr>
        <w:t>年</w:t>
      </w:r>
      <w:r>
        <w:rPr>
          <w:rFonts w:hint="eastAsia" w:ascii="宋体" w:hAnsi="宋体" w:cs="宋体"/>
          <w:b w:val="0"/>
          <w:bCs/>
          <w:color w:val="auto"/>
          <w:kern w:val="0"/>
          <w:sz w:val="21"/>
          <w:szCs w:val="21"/>
          <w:lang w:val="en-US" w:eastAsia="zh-CN"/>
        </w:rPr>
        <w:t>5</w:t>
      </w:r>
      <w:r>
        <w:rPr>
          <w:rFonts w:hint="eastAsia" w:ascii="宋体" w:hAnsi="宋体" w:eastAsia="宋体" w:cs="宋体"/>
          <w:b w:val="0"/>
          <w:bCs/>
          <w:color w:val="auto"/>
          <w:kern w:val="0"/>
          <w:sz w:val="21"/>
          <w:szCs w:val="21"/>
          <w:lang w:val="zh-CN"/>
        </w:rPr>
        <w:t>月、</w:t>
      </w:r>
      <w:r>
        <w:rPr>
          <w:rFonts w:hint="eastAsia" w:ascii="宋体" w:hAnsi="宋体" w:eastAsia="宋体" w:cs="宋体"/>
          <w:b w:val="0"/>
          <w:bCs/>
          <w:color w:val="auto"/>
          <w:kern w:val="0"/>
          <w:sz w:val="21"/>
          <w:szCs w:val="21"/>
          <w:lang w:val="en-US" w:eastAsia="zh-CN"/>
        </w:rPr>
        <w:t>2024年</w:t>
      </w:r>
      <w:r>
        <w:rPr>
          <w:rFonts w:hint="eastAsia" w:ascii="宋体" w:hAnsi="宋体" w:cs="宋体"/>
          <w:b w:val="0"/>
          <w:bCs/>
          <w:color w:val="auto"/>
          <w:kern w:val="0"/>
          <w:sz w:val="21"/>
          <w:szCs w:val="21"/>
          <w:lang w:val="en-US" w:eastAsia="zh-CN"/>
        </w:rPr>
        <w:t>6</w:t>
      </w:r>
      <w:r>
        <w:rPr>
          <w:rFonts w:hint="eastAsia" w:ascii="宋体" w:hAnsi="宋体" w:eastAsia="宋体" w:cs="宋体"/>
          <w:b w:val="0"/>
          <w:bCs/>
          <w:color w:val="auto"/>
          <w:kern w:val="0"/>
          <w:sz w:val="21"/>
          <w:szCs w:val="21"/>
          <w:lang w:val="en-US" w:eastAsia="zh-CN"/>
        </w:rPr>
        <w:t>月、2024年</w:t>
      </w:r>
      <w:r>
        <w:rPr>
          <w:rFonts w:hint="eastAsia" w:ascii="宋体" w:hAnsi="宋体" w:cs="宋体"/>
          <w:b w:val="0"/>
          <w:bCs/>
          <w:color w:val="auto"/>
          <w:kern w:val="0"/>
          <w:sz w:val="21"/>
          <w:szCs w:val="21"/>
          <w:lang w:val="en-US" w:eastAsia="zh-CN"/>
        </w:rPr>
        <w:t>7</w:t>
      </w:r>
      <w:r>
        <w:rPr>
          <w:rFonts w:hint="eastAsia" w:ascii="宋体" w:hAnsi="宋体" w:eastAsia="宋体" w:cs="宋体"/>
          <w:b w:val="0"/>
          <w:bCs/>
          <w:color w:val="auto"/>
          <w:kern w:val="0"/>
          <w:sz w:val="21"/>
          <w:szCs w:val="21"/>
          <w:lang w:val="en-US" w:eastAsia="zh-CN"/>
        </w:rPr>
        <w:t>月</w:t>
      </w:r>
      <w:r>
        <w:rPr>
          <w:rFonts w:hint="eastAsia" w:ascii="宋体" w:hAnsi="宋体" w:eastAsia="宋体" w:cs="宋体"/>
          <w:b w:val="0"/>
          <w:bCs/>
          <w:color w:val="auto"/>
          <w:kern w:val="0"/>
          <w:sz w:val="21"/>
          <w:szCs w:val="21"/>
          <w:lang w:val="zh-CN"/>
        </w:rPr>
        <w:t>）</w:t>
      </w:r>
      <w:r>
        <w:rPr>
          <w:rFonts w:hint="eastAsia" w:ascii="宋体" w:hAnsi="宋体" w:cs="宋体"/>
          <w:b w:val="0"/>
          <w:bCs/>
          <w:color w:val="auto"/>
          <w:kern w:val="0"/>
          <w:sz w:val="21"/>
          <w:szCs w:val="21"/>
          <w:lang w:val="en-US" w:eastAsia="zh-CN"/>
        </w:rPr>
        <w:t>供应商</w:t>
      </w:r>
      <w:r>
        <w:rPr>
          <w:rFonts w:hint="eastAsia" w:ascii="宋体" w:hAnsi="宋体" w:eastAsia="宋体" w:cs="宋体"/>
          <w:b w:val="0"/>
          <w:bCs/>
          <w:color w:val="auto"/>
          <w:kern w:val="0"/>
          <w:sz w:val="21"/>
          <w:szCs w:val="21"/>
          <w:lang w:val="zh-CN"/>
        </w:rPr>
        <w:t>为其缴纳的社保证明复印件，身份证、劳动合同、资格证书[学历证书/职称证/执业/职业资格证</w:t>
      </w:r>
      <w:r>
        <w:rPr>
          <w:rFonts w:hint="eastAsia" w:ascii="宋体" w:hAnsi="宋体" w:eastAsia="宋体" w:cs="宋体"/>
          <w:b w:val="0"/>
          <w:bCs/>
          <w:color w:val="auto"/>
          <w:kern w:val="0"/>
          <w:sz w:val="21"/>
          <w:szCs w:val="21"/>
        </w:rPr>
        <w:t>/岗位证书</w:t>
      </w:r>
      <w:r>
        <w:rPr>
          <w:rFonts w:hint="eastAsia" w:ascii="宋体" w:hAnsi="宋体" w:eastAsia="宋体" w:cs="宋体"/>
          <w:b w:val="0"/>
          <w:bCs/>
          <w:color w:val="auto"/>
          <w:kern w:val="0"/>
          <w:sz w:val="21"/>
          <w:szCs w:val="21"/>
          <w:lang w:val="zh-CN"/>
        </w:rPr>
        <w:t>]、社保证明的人员名称需一致时才统计得分，不提供或人员名称不一致不得分。</w:t>
      </w:r>
    </w:p>
    <w:p w14:paraId="3E44A447">
      <w:pPr>
        <w:autoSpaceDE/>
        <w:autoSpaceDN/>
        <w:adjustRightInd/>
        <w:spacing w:before="120" w:after="120" w:line="360" w:lineRule="auto"/>
        <w:ind w:left="0" w:firstLine="0" w:firstLineChars="0"/>
        <w:outlineLvl w:val="9"/>
        <w:rPr>
          <w:rFonts w:hint="eastAsia" w:ascii="宋体" w:hAnsi="宋体" w:eastAsia="宋体" w:cs="宋体"/>
          <w:b/>
          <w:color w:val="auto"/>
          <w:kern w:val="2"/>
          <w:sz w:val="30"/>
          <w:szCs w:val="30"/>
          <w:highlight w:val="none"/>
          <w:lang w:val="zh-CN" w:eastAsia="zh-CN"/>
        </w:rPr>
      </w:pPr>
    </w:p>
    <w:p w14:paraId="6D15BD29">
      <w:pPr>
        <w:keepNext w:val="0"/>
        <w:keepLines w:val="0"/>
        <w:pageBreakBefore/>
        <w:widowControl w:val="0"/>
        <w:kinsoku/>
        <w:wordWrap/>
        <w:overflowPunct/>
        <w:topLinePunct w:val="0"/>
        <w:autoSpaceDE w:val="0"/>
        <w:autoSpaceDN w:val="0"/>
        <w:bidi w:val="0"/>
        <w:adjustRightInd w:val="0"/>
        <w:snapToGrid/>
        <w:spacing w:after="120" w:afterLines="50" w:line="360" w:lineRule="auto"/>
        <w:textAlignment w:val="auto"/>
        <w:outlineLvl w:val="9"/>
        <w:rPr>
          <w:rFonts w:hint="eastAsia" w:ascii="宋体" w:hAnsi="宋体" w:eastAsia="宋体" w:cs="宋体"/>
          <w:b/>
          <w:color w:val="auto"/>
          <w:sz w:val="30"/>
          <w:szCs w:val="30"/>
        </w:rPr>
      </w:pPr>
      <w:bookmarkStart w:id="473" w:name="_Toc30333"/>
      <w:bookmarkStart w:id="474" w:name="_Toc12831"/>
      <w:bookmarkStart w:id="475" w:name="_Toc15112"/>
      <w:r>
        <w:rPr>
          <w:rFonts w:hint="eastAsia" w:ascii="宋体" w:hAnsi="宋体" w:eastAsia="宋体" w:cs="宋体"/>
          <w:b/>
          <w:color w:val="auto"/>
          <w:kern w:val="0"/>
          <w:sz w:val="30"/>
          <w:szCs w:val="30"/>
        </w:rPr>
        <w:t xml:space="preserve">13.4 </w:t>
      </w:r>
      <w:r>
        <w:rPr>
          <w:rFonts w:hint="eastAsia" w:ascii="宋体" w:hAnsi="宋体" w:eastAsia="宋体" w:cs="宋体"/>
          <w:b/>
          <w:color w:val="auto"/>
          <w:kern w:val="0"/>
          <w:sz w:val="30"/>
          <w:szCs w:val="30"/>
          <w:lang w:val="en-US" w:eastAsia="zh-CN"/>
        </w:rPr>
        <w:t>项目正式投产时间承诺表</w:t>
      </w:r>
      <w:r>
        <w:rPr>
          <w:rFonts w:hint="eastAsia" w:ascii="宋体" w:hAnsi="宋体" w:eastAsia="宋体" w:cs="宋体"/>
          <w:b/>
          <w:color w:val="auto"/>
          <w:kern w:val="0"/>
          <w:sz w:val="30"/>
          <w:szCs w:val="30"/>
        </w:rPr>
        <w:t xml:space="preserve">(   </w:t>
      </w:r>
      <w:r>
        <w:rPr>
          <w:rFonts w:hint="eastAsia" w:ascii="宋体" w:hAnsi="宋体" w:eastAsia="宋体" w:cs="宋体"/>
          <w:b/>
          <w:color w:val="auto"/>
          <w:kern w:val="0"/>
          <w:sz w:val="30"/>
          <w:szCs w:val="30"/>
          <w:lang w:eastAsia="zh-CN"/>
        </w:rPr>
        <w:t>包组</w:t>
      </w:r>
      <w:r>
        <w:rPr>
          <w:rFonts w:hint="eastAsia" w:ascii="宋体" w:hAnsi="宋体" w:eastAsia="宋体" w:cs="宋体"/>
          <w:b/>
          <w:color w:val="auto"/>
          <w:kern w:val="0"/>
          <w:sz w:val="30"/>
          <w:szCs w:val="30"/>
        </w:rPr>
        <w:t>)</w:t>
      </w:r>
    </w:p>
    <w:p w14:paraId="7517A115">
      <w:pPr>
        <w:spacing w:line="360" w:lineRule="auto"/>
        <w:jc w:val="center"/>
        <w:outlineLvl w:val="9"/>
        <w:rPr>
          <w:rFonts w:hint="eastAsia" w:ascii="宋体" w:hAnsi="宋体" w:eastAsia="宋体" w:cs="宋体"/>
          <w:b/>
          <w:color w:val="auto"/>
          <w:sz w:val="30"/>
          <w:szCs w:val="30"/>
        </w:rPr>
      </w:pPr>
      <w:r>
        <w:rPr>
          <w:rFonts w:hint="eastAsia" w:ascii="宋体" w:hAnsi="宋体" w:eastAsia="宋体" w:cs="宋体"/>
          <w:b/>
          <w:color w:val="auto"/>
          <w:sz w:val="30"/>
          <w:szCs w:val="30"/>
          <w:lang w:val="en-US" w:eastAsia="zh-CN"/>
        </w:rPr>
        <w:t>项目正式</w:t>
      </w:r>
      <w:r>
        <w:rPr>
          <w:rFonts w:hint="eastAsia" w:ascii="宋体" w:hAnsi="宋体" w:eastAsia="宋体" w:cs="宋体"/>
          <w:b/>
          <w:color w:val="auto"/>
          <w:sz w:val="30"/>
          <w:szCs w:val="30"/>
        </w:rPr>
        <w:t>投产时间承诺表</w:t>
      </w:r>
    </w:p>
    <w:tbl>
      <w:tblPr>
        <w:tblStyle w:val="55"/>
        <w:tblW w:w="9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0"/>
        <w:gridCol w:w="2389"/>
        <w:gridCol w:w="1796"/>
      </w:tblGrid>
      <w:tr w14:paraId="0FFE7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050" w:type="dxa"/>
            <w:tcBorders>
              <w:top w:val="single" w:color="auto" w:sz="4" w:space="0"/>
              <w:left w:val="single" w:color="auto" w:sz="4" w:space="0"/>
              <w:bottom w:val="single" w:color="auto" w:sz="4" w:space="0"/>
              <w:right w:val="single" w:color="auto" w:sz="4" w:space="0"/>
            </w:tcBorders>
            <w:vAlign w:val="center"/>
          </w:tcPr>
          <w:p w14:paraId="29494B28">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承诺事项</w:t>
            </w:r>
          </w:p>
        </w:tc>
        <w:tc>
          <w:tcPr>
            <w:tcW w:w="2389" w:type="dxa"/>
            <w:tcBorders>
              <w:top w:val="single" w:color="auto" w:sz="4" w:space="0"/>
              <w:left w:val="single" w:color="auto" w:sz="4" w:space="0"/>
              <w:bottom w:val="single" w:color="auto" w:sz="4" w:space="0"/>
              <w:right w:val="single" w:color="auto" w:sz="4" w:space="0"/>
            </w:tcBorders>
            <w:vAlign w:val="center"/>
          </w:tcPr>
          <w:p w14:paraId="054C763D">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投产时间</w:t>
            </w:r>
          </w:p>
        </w:tc>
        <w:tc>
          <w:tcPr>
            <w:tcW w:w="1796" w:type="dxa"/>
            <w:tcBorders>
              <w:top w:val="single" w:color="auto" w:sz="4" w:space="0"/>
              <w:left w:val="single" w:color="auto" w:sz="4" w:space="0"/>
              <w:bottom w:val="single" w:color="auto" w:sz="4" w:space="0"/>
              <w:right w:val="single" w:color="auto" w:sz="4" w:space="0"/>
            </w:tcBorders>
            <w:vAlign w:val="center"/>
          </w:tcPr>
          <w:p w14:paraId="0B97993A">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r>
      <w:tr w14:paraId="74F3B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050" w:type="dxa"/>
            <w:tcBorders>
              <w:top w:val="single" w:color="auto" w:sz="4" w:space="0"/>
              <w:left w:val="single" w:color="auto" w:sz="4" w:space="0"/>
              <w:bottom w:val="single" w:color="auto" w:sz="4" w:space="0"/>
              <w:right w:val="single" w:color="auto" w:sz="4" w:space="0"/>
            </w:tcBorders>
            <w:vAlign w:val="center"/>
          </w:tcPr>
          <w:p w14:paraId="370C4DA5">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我方承诺，本项目自收到</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rPr>
              <w:t>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进场</w:t>
            </w:r>
            <w:r>
              <w:rPr>
                <w:rFonts w:hint="eastAsia" w:ascii="宋体" w:hAnsi="宋体" w:eastAsia="宋体" w:cs="宋体"/>
                <w:color w:val="auto"/>
                <w:sz w:val="21"/>
                <w:szCs w:val="21"/>
              </w:rPr>
              <w:t>通知</w:t>
            </w:r>
            <w:r>
              <w:rPr>
                <w:rFonts w:hint="eastAsia" w:ascii="宋体" w:hAnsi="宋体" w:eastAsia="宋体" w:cs="宋体"/>
                <w:color w:val="auto"/>
                <w:sz w:val="21"/>
                <w:szCs w:val="21"/>
                <w:lang w:val="en-US" w:eastAsia="zh-CN"/>
              </w:rPr>
              <w:t>书</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之日起至完成设备安装并具备正式投产条件的时间为</w:t>
            </w:r>
          </w:p>
        </w:tc>
        <w:tc>
          <w:tcPr>
            <w:tcW w:w="2389" w:type="dxa"/>
            <w:tcBorders>
              <w:top w:val="single" w:color="auto" w:sz="4" w:space="0"/>
              <w:left w:val="single" w:color="auto" w:sz="4" w:space="0"/>
              <w:bottom w:val="single" w:color="auto" w:sz="4" w:space="0"/>
              <w:right w:val="single" w:color="auto" w:sz="4" w:space="0"/>
            </w:tcBorders>
            <w:vAlign w:val="center"/>
          </w:tcPr>
          <w:p w14:paraId="544F893A">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天</w:t>
            </w:r>
          </w:p>
        </w:tc>
        <w:tc>
          <w:tcPr>
            <w:tcW w:w="1796" w:type="dxa"/>
            <w:tcBorders>
              <w:top w:val="single" w:color="auto" w:sz="4" w:space="0"/>
              <w:left w:val="single" w:color="auto" w:sz="4" w:space="0"/>
              <w:bottom w:val="single" w:color="auto" w:sz="4" w:space="0"/>
              <w:right w:val="single" w:color="auto" w:sz="4" w:space="0"/>
            </w:tcBorders>
            <w:vAlign w:val="center"/>
          </w:tcPr>
          <w:p w14:paraId="286D77AF">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p>
        </w:tc>
      </w:tr>
    </w:tbl>
    <w:p w14:paraId="3E896416">
      <w:pPr>
        <w:spacing w:line="360" w:lineRule="auto"/>
        <w:outlineLvl w:val="9"/>
        <w:rPr>
          <w:rFonts w:hint="eastAsia" w:ascii="宋体" w:hAnsi="宋体" w:eastAsia="宋体" w:cs="宋体"/>
          <w:color w:val="auto"/>
          <w:szCs w:val="21"/>
        </w:rPr>
      </w:pPr>
    </w:p>
    <w:p w14:paraId="729F86E2">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说明：</w:t>
      </w:r>
    </w:p>
    <w:p w14:paraId="49EA4754">
      <w:pPr>
        <w:spacing w:line="360" w:lineRule="auto"/>
        <w:ind w:left="850" w:leftChars="118" w:hanging="567" w:hangingChars="270"/>
        <w:rPr>
          <w:rFonts w:hint="eastAsia" w:ascii="宋体" w:hAnsi="宋体" w:eastAsia="宋体" w:cs="宋体"/>
          <w:color w:val="auto"/>
          <w:sz w:val="21"/>
          <w:szCs w:val="21"/>
        </w:rPr>
      </w:pPr>
      <w:r>
        <w:rPr>
          <w:rFonts w:hint="eastAsia" w:ascii="宋体" w:hAnsi="宋体" w:eastAsia="宋体" w:cs="宋体"/>
          <w:color w:val="auto"/>
          <w:sz w:val="21"/>
          <w:szCs w:val="21"/>
        </w:rPr>
        <w:t>（1）“正式投产”是指污泥脱水减量化产能连续三天稳定达到该处理点设计规模产能的70%或以上，减量化后的半干化污泥含水率不高于55%。</w:t>
      </w:r>
    </w:p>
    <w:p w14:paraId="24C7D3AD">
      <w:pPr>
        <w:spacing w:line="360" w:lineRule="auto"/>
        <w:ind w:left="850" w:leftChars="118" w:hanging="567" w:hangingChars="270"/>
        <w:rPr>
          <w:rFonts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应真实填写承诺正式投产时间，如项目后续未按照承诺时间正式投产，除根据合同约定承担违约责任及违约金外，给</w:t>
      </w:r>
      <w:r>
        <w:rPr>
          <w:rFonts w:hint="eastAsia" w:ascii="宋体" w:hAnsi="宋体" w:cs="宋体"/>
          <w:color w:val="auto"/>
          <w:sz w:val="21"/>
          <w:szCs w:val="21"/>
          <w:lang w:val="en-US" w:eastAsia="zh-CN"/>
        </w:rPr>
        <w:t>采购</w:t>
      </w:r>
      <w:r>
        <w:rPr>
          <w:rFonts w:hint="eastAsia" w:ascii="宋体" w:hAnsi="宋体" w:eastAsia="宋体" w:cs="宋体"/>
          <w:color w:val="auto"/>
          <w:sz w:val="21"/>
          <w:szCs w:val="21"/>
        </w:rPr>
        <w:t>人造成损失的，由</w:t>
      </w:r>
      <w:r>
        <w:rPr>
          <w:rFonts w:hint="eastAsia" w:ascii="宋体" w:hAnsi="宋体" w:cs="宋体"/>
          <w:color w:val="auto"/>
          <w:sz w:val="21"/>
          <w:szCs w:val="21"/>
          <w:lang w:val="en-US" w:eastAsia="zh-CN"/>
        </w:rPr>
        <w:t>供应商</w:t>
      </w:r>
      <w:r>
        <w:rPr>
          <w:rFonts w:hint="eastAsia" w:ascii="宋体" w:hAnsi="宋体" w:eastAsia="宋体" w:cs="宋体"/>
          <w:color w:val="auto"/>
          <w:sz w:val="21"/>
          <w:szCs w:val="21"/>
        </w:rPr>
        <w:t>承担赔偿。</w:t>
      </w:r>
    </w:p>
    <w:p w14:paraId="6DAA8968">
      <w:pPr>
        <w:spacing w:line="360" w:lineRule="auto"/>
        <w:ind w:left="850" w:leftChars="118" w:hanging="567" w:hangingChars="270"/>
        <w:rPr>
          <w:rFonts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cs="宋体"/>
          <w:b/>
          <w:bCs/>
          <w:color w:val="auto"/>
          <w:sz w:val="21"/>
          <w:szCs w:val="21"/>
          <w:u w:val="single"/>
          <w:lang w:val="en-US" w:eastAsia="zh-CN"/>
        </w:rPr>
        <w:t>供应商</w:t>
      </w:r>
      <w:r>
        <w:rPr>
          <w:rFonts w:hint="eastAsia" w:ascii="宋体" w:hAnsi="宋体" w:eastAsia="宋体" w:cs="宋体"/>
          <w:b/>
          <w:bCs/>
          <w:color w:val="auto"/>
          <w:sz w:val="21"/>
          <w:szCs w:val="21"/>
          <w:u w:val="single"/>
        </w:rPr>
        <w:t>承诺正式投产时间不得超过30天，否则将视为</w:t>
      </w:r>
      <w:r>
        <w:rPr>
          <w:rFonts w:hint="eastAsia" w:ascii="宋体" w:hAnsi="宋体" w:cs="宋体"/>
          <w:b/>
          <w:bCs/>
          <w:color w:val="auto"/>
          <w:sz w:val="21"/>
          <w:szCs w:val="21"/>
          <w:u w:val="single"/>
          <w:lang w:val="en-US" w:eastAsia="zh-CN"/>
        </w:rPr>
        <w:t>供应商</w:t>
      </w:r>
      <w:r>
        <w:rPr>
          <w:rFonts w:hint="eastAsia" w:ascii="宋体" w:hAnsi="宋体" w:eastAsia="宋体" w:cs="宋体"/>
          <w:b/>
          <w:bCs/>
          <w:color w:val="auto"/>
          <w:sz w:val="21"/>
          <w:szCs w:val="21"/>
          <w:u w:val="single"/>
        </w:rPr>
        <w:t>未响应</w:t>
      </w:r>
      <w:r>
        <w:rPr>
          <w:rFonts w:hint="eastAsia" w:ascii="宋体" w:hAnsi="宋体" w:cs="宋体"/>
          <w:b/>
          <w:bCs/>
          <w:color w:val="auto"/>
          <w:sz w:val="21"/>
          <w:szCs w:val="21"/>
          <w:u w:val="single"/>
          <w:lang w:val="en-US" w:eastAsia="zh-CN"/>
        </w:rPr>
        <w:t>竞争性磋商</w:t>
      </w:r>
      <w:r>
        <w:rPr>
          <w:rFonts w:hint="eastAsia" w:ascii="宋体" w:hAnsi="宋体" w:eastAsia="宋体" w:cs="宋体"/>
          <w:b/>
          <w:bCs/>
          <w:color w:val="auto"/>
          <w:sz w:val="21"/>
          <w:szCs w:val="21"/>
          <w:u w:val="single"/>
        </w:rPr>
        <w:t>文件提出的实质性要求和条件（标注★的条款），将按无效</w:t>
      </w:r>
      <w:r>
        <w:rPr>
          <w:rFonts w:hint="eastAsia" w:ascii="宋体" w:hAnsi="宋体" w:cs="宋体"/>
          <w:b/>
          <w:bCs/>
          <w:color w:val="auto"/>
          <w:sz w:val="21"/>
          <w:szCs w:val="21"/>
          <w:u w:val="single"/>
          <w:lang w:val="en-US" w:eastAsia="zh-CN"/>
        </w:rPr>
        <w:t>响应</w:t>
      </w:r>
      <w:r>
        <w:rPr>
          <w:rFonts w:hint="eastAsia" w:ascii="宋体" w:hAnsi="宋体" w:eastAsia="宋体" w:cs="宋体"/>
          <w:b/>
          <w:bCs/>
          <w:color w:val="auto"/>
          <w:sz w:val="21"/>
          <w:szCs w:val="21"/>
          <w:u w:val="single"/>
        </w:rPr>
        <w:t>处理</w:t>
      </w:r>
      <w:r>
        <w:rPr>
          <w:rFonts w:hint="eastAsia" w:ascii="宋体" w:hAnsi="宋体" w:eastAsia="宋体" w:cs="宋体"/>
          <w:color w:val="auto"/>
          <w:sz w:val="21"/>
          <w:szCs w:val="21"/>
        </w:rPr>
        <w:t>。</w:t>
      </w:r>
    </w:p>
    <w:p w14:paraId="34A65BB2">
      <w:pPr>
        <w:spacing w:line="360" w:lineRule="auto"/>
        <w:ind w:left="850" w:leftChars="118" w:hanging="567" w:hangingChars="270"/>
        <w:rPr>
          <w:rFonts w:ascii="宋体" w:hAnsi="宋体" w:eastAsia="宋体" w:cs="宋体"/>
          <w:color w:val="auto"/>
          <w:sz w:val="21"/>
          <w:szCs w:val="21"/>
        </w:rPr>
      </w:pPr>
      <w:r>
        <w:rPr>
          <w:rFonts w:hint="eastAsia" w:ascii="宋体" w:hAnsi="宋体" w:eastAsia="宋体" w:cs="宋体"/>
          <w:color w:val="auto"/>
          <w:sz w:val="21"/>
          <w:szCs w:val="21"/>
        </w:rPr>
        <w:t>（4）</w:t>
      </w:r>
      <w:r>
        <w:rPr>
          <w:rFonts w:hint="eastAsia" w:ascii="宋体" w:hAnsi="宋体" w:eastAsia="宋体" w:cs="宋体"/>
          <w:b/>
          <w:bCs/>
          <w:color w:val="auto"/>
          <w:sz w:val="21"/>
          <w:szCs w:val="21"/>
          <w:u w:val="single"/>
        </w:rPr>
        <w:t>本表项目正式投产时间若未填或漏填或未按要求提供《项目正式投产时间承诺表》的，评</w:t>
      </w:r>
      <w:r>
        <w:rPr>
          <w:rFonts w:hint="eastAsia" w:ascii="宋体" w:hAnsi="宋体" w:cs="宋体"/>
          <w:b/>
          <w:bCs/>
          <w:color w:val="auto"/>
          <w:sz w:val="21"/>
          <w:szCs w:val="21"/>
          <w:u w:val="single"/>
          <w:lang w:val="en-US" w:eastAsia="zh-CN"/>
        </w:rPr>
        <w:t>审</w:t>
      </w:r>
      <w:r>
        <w:rPr>
          <w:rFonts w:hint="eastAsia" w:ascii="宋体" w:hAnsi="宋体" w:eastAsia="宋体" w:cs="宋体"/>
          <w:b/>
          <w:bCs/>
          <w:color w:val="auto"/>
          <w:sz w:val="21"/>
          <w:szCs w:val="21"/>
          <w:u w:val="single"/>
        </w:rPr>
        <w:t>时将不予考虑</w:t>
      </w:r>
      <w:r>
        <w:rPr>
          <w:rFonts w:hint="eastAsia" w:ascii="宋体" w:hAnsi="宋体" w:eastAsia="宋体" w:cs="宋体"/>
          <w:color w:val="auto"/>
          <w:sz w:val="21"/>
          <w:szCs w:val="21"/>
        </w:rPr>
        <w:t>。</w:t>
      </w:r>
    </w:p>
    <w:p w14:paraId="129E75AA">
      <w:pPr>
        <w:pStyle w:val="3"/>
        <w:spacing w:after="0" w:line="360" w:lineRule="auto"/>
        <w:ind w:firstLine="210"/>
        <w:outlineLvl w:val="9"/>
        <w:rPr>
          <w:rFonts w:hint="eastAsia" w:ascii="宋体" w:hAnsi="宋体" w:eastAsia="宋体" w:cs="宋体"/>
          <w:szCs w:val="21"/>
        </w:rPr>
      </w:pPr>
    </w:p>
    <w:p w14:paraId="580D664C">
      <w:pPr>
        <w:spacing w:line="360" w:lineRule="auto"/>
        <w:ind w:firstLine="5355" w:firstLineChars="2550"/>
        <w:outlineLvl w:val="9"/>
        <w:rPr>
          <w:rFonts w:hint="eastAsia" w:ascii="宋体" w:hAnsi="宋体" w:eastAsia="宋体" w:cs="宋体"/>
          <w:color w:val="000000"/>
          <w:sz w:val="21"/>
          <w:szCs w:val="21"/>
          <w:lang w:val="zh-CN"/>
        </w:rPr>
      </w:pPr>
      <w:r>
        <w:rPr>
          <w:rFonts w:hint="eastAsia" w:ascii="宋体" w:hAnsi="宋体" w:cs="宋体"/>
          <w:color w:val="000000"/>
          <w:sz w:val="21"/>
          <w:szCs w:val="21"/>
          <w:lang w:val="en-US" w:eastAsia="zh-CN"/>
        </w:rPr>
        <w:t>供应商</w:t>
      </w:r>
      <w:r>
        <w:rPr>
          <w:rFonts w:hint="eastAsia" w:ascii="宋体" w:hAnsi="宋体" w:eastAsia="宋体" w:cs="宋体"/>
          <w:color w:val="000000"/>
          <w:sz w:val="21"/>
          <w:szCs w:val="21"/>
          <w:lang w:val="zh-CN"/>
        </w:rPr>
        <w:t>：（加盖</w:t>
      </w:r>
      <w:r>
        <w:rPr>
          <w:rFonts w:hint="eastAsia" w:ascii="宋体" w:hAnsi="宋体" w:cs="宋体"/>
          <w:color w:val="000000"/>
          <w:sz w:val="21"/>
          <w:szCs w:val="21"/>
          <w:lang w:val="en-US" w:eastAsia="zh-CN"/>
        </w:rPr>
        <w:t>供应商</w:t>
      </w:r>
      <w:r>
        <w:rPr>
          <w:rFonts w:hint="eastAsia" w:ascii="宋体" w:hAnsi="宋体" w:eastAsia="宋体" w:cs="宋体"/>
          <w:color w:val="000000"/>
          <w:sz w:val="21"/>
          <w:szCs w:val="21"/>
          <w:lang w:val="zh-CN"/>
        </w:rPr>
        <w:t>法人公章）</w:t>
      </w:r>
    </w:p>
    <w:p w14:paraId="7352ECE5">
      <w:pPr>
        <w:spacing w:line="360" w:lineRule="auto"/>
        <w:ind w:firstLine="5355" w:firstLineChars="2550"/>
        <w:outlineLvl w:val="9"/>
        <w:rPr>
          <w:rFonts w:hint="eastAsia" w:ascii="宋体" w:hAnsi="宋体" w:eastAsia="宋体" w:cs="宋体"/>
          <w:b/>
          <w:kern w:val="0"/>
          <w:sz w:val="21"/>
          <w:szCs w:val="21"/>
        </w:rPr>
      </w:pPr>
      <w:r>
        <w:rPr>
          <w:rFonts w:hint="eastAsia" w:ascii="宋体" w:hAnsi="宋体" w:eastAsia="宋体" w:cs="宋体"/>
          <w:color w:val="000000"/>
          <w:sz w:val="21"/>
          <w:szCs w:val="21"/>
          <w:lang w:val="zh-CN"/>
        </w:rPr>
        <w:t>日</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zh-CN"/>
        </w:rPr>
        <w:t>期：   年   月   日</w:t>
      </w:r>
    </w:p>
    <w:bookmarkEnd w:id="473"/>
    <w:bookmarkEnd w:id="474"/>
    <w:bookmarkEnd w:id="475"/>
    <w:p w14:paraId="04D5C7C4">
      <w:pPr>
        <w:keepNext w:val="0"/>
        <w:keepLines w:val="0"/>
        <w:pageBreakBefore/>
        <w:widowControl w:val="0"/>
        <w:kinsoku/>
        <w:wordWrap/>
        <w:overflowPunct/>
        <w:topLinePunct w:val="0"/>
        <w:autoSpaceDE w:val="0"/>
        <w:autoSpaceDN w:val="0"/>
        <w:bidi w:val="0"/>
        <w:adjustRightInd w:val="0"/>
        <w:snapToGrid/>
        <w:spacing w:after="120" w:afterLines="50" w:line="360" w:lineRule="auto"/>
        <w:textAlignment w:val="auto"/>
        <w:outlineLvl w:val="9"/>
        <w:rPr>
          <w:rFonts w:hint="eastAsia" w:ascii="宋体" w:hAnsi="宋体" w:eastAsia="宋体" w:cs="宋体"/>
          <w:color w:val="auto"/>
          <w:szCs w:val="21"/>
        </w:rPr>
      </w:pPr>
      <w:bookmarkStart w:id="476" w:name="_Toc18876"/>
      <w:bookmarkStart w:id="477" w:name="_Toc29717"/>
      <w:bookmarkStart w:id="478" w:name="_Toc23797"/>
      <w:r>
        <w:rPr>
          <w:rFonts w:hint="eastAsia" w:ascii="宋体" w:hAnsi="宋体" w:eastAsia="宋体" w:cs="宋体"/>
          <w:b/>
          <w:color w:val="auto"/>
          <w:kern w:val="0"/>
          <w:sz w:val="30"/>
          <w:szCs w:val="30"/>
        </w:rPr>
        <w:t>13.</w:t>
      </w:r>
      <w:r>
        <w:rPr>
          <w:rFonts w:hint="eastAsia" w:ascii="宋体" w:hAnsi="宋体" w:eastAsia="宋体" w:cs="宋体"/>
          <w:b/>
          <w:color w:val="auto"/>
          <w:kern w:val="0"/>
          <w:sz w:val="30"/>
          <w:szCs w:val="30"/>
          <w:lang w:val="en-US" w:eastAsia="zh-CN"/>
        </w:rPr>
        <w:t>5</w:t>
      </w:r>
      <w:r>
        <w:rPr>
          <w:rFonts w:hint="eastAsia" w:ascii="宋体" w:hAnsi="宋体" w:eastAsia="宋体" w:cs="宋体"/>
          <w:b/>
          <w:color w:val="auto"/>
          <w:kern w:val="0"/>
          <w:sz w:val="30"/>
          <w:szCs w:val="30"/>
        </w:rPr>
        <w:t xml:space="preserve"> </w:t>
      </w:r>
      <w:r>
        <w:rPr>
          <w:rFonts w:hint="eastAsia" w:ascii="宋体" w:hAnsi="宋体" w:eastAsia="宋体" w:cs="宋体"/>
          <w:b/>
          <w:color w:val="auto"/>
          <w:kern w:val="0"/>
          <w:sz w:val="30"/>
          <w:szCs w:val="30"/>
          <w:lang w:val="en-US" w:eastAsia="zh-CN"/>
        </w:rPr>
        <w:t>进度计划及保障措施</w:t>
      </w:r>
      <w:r>
        <w:rPr>
          <w:rFonts w:hint="eastAsia" w:ascii="宋体" w:hAnsi="宋体" w:eastAsia="宋体" w:cs="宋体"/>
          <w:b/>
          <w:color w:val="auto"/>
          <w:kern w:val="0"/>
          <w:sz w:val="30"/>
          <w:szCs w:val="30"/>
        </w:rPr>
        <w:t xml:space="preserve">(   </w:t>
      </w:r>
      <w:r>
        <w:rPr>
          <w:rFonts w:hint="eastAsia" w:ascii="宋体" w:hAnsi="宋体" w:eastAsia="宋体" w:cs="宋体"/>
          <w:b/>
          <w:color w:val="auto"/>
          <w:kern w:val="0"/>
          <w:sz w:val="30"/>
          <w:szCs w:val="30"/>
          <w:lang w:eastAsia="zh-CN"/>
        </w:rPr>
        <w:t>包组</w:t>
      </w:r>
      <w:r>
        <w:rPr>
          <w:rFonts w:hint="eastAsia" w:ascii="宋体" w:hAnsi="宋体" w:eastAsia="宋体" w:cs="宋体"/>
          <w:b/>
          <w:color w:val="auto"/>
          <w:kern w:val="0"/>
          <w:sz w:val="30"/>
          <w:szCs w:val="30"/>
        </w:rPr>
        <w:t>)</w:t>
      </w:r>
    </w:p>
    <w:p w14:paraId="58974D13">
      <w:pPr>
        <w:spacing w:before="120" w:beforeLines="50" w:line="360" w:lineRule="auto"/>
        <w:ind w:left="630" w:hanging="630" w:hangingChars="300"/>
        <w:outlineLvl w:val="9"/>
        <w:rPr>
          <w:rFonts w:hint="eastAsia" w:ascii="宋体" w:hAnsi="宋体" w:eastAsia="宋体" w:cs="宋体"/>
          <w:color w:val="auto"/>
          <w:kern w:val="0"/>
          <w:sz w:val="21"/>
          <w:szCs w:val="21"/>
          <w:lang w:val="zh-CN"/>
        </w:rPr>
      </w:pPr>
      <w:r>
        <w:rPr>
          <w:rFonts w:hint="eastAsia" w:ascii="宋体" w:hAnsi="宋体" w:eastAsia="宋体" w:cs="宋体"/>
          <w:color w:val="auto"/>
          <w:sz w:val="21"/>
          <w:szCs w:val="21"/>
          <w:lang w:val="en-US" w:eastAsia="zh-CN"/>
        </w:rPr>
        <w:t>说明：</w:t>
      </w:r>
      <w:r>
        <w:rPr>
          <w:rFonts w:hint="eastAsia" w:ascii="宋体" w:hAnsi="宋体" w:cs="宋体"/>
          <w:color w:val="auto"/>
          <w:sz w:val="21"/>
          <w:szCs w:val="21"/>
          <w:lang w:val="en-US" w:eastAsia="zh-CN"/>
        </w:rPr>
        <w:t>供应商</w:t>
      </w:r>
      <w:r>
        <w:rPr>
          <w:rFonts w:hint="eastAsia" w:ascii="宋体" w:hAnsi="宋体" w:eastAsia="宋体" w:cs="宋体"/>
          <w:color w:val="auto"/>
          <w:sz w:val="21"/>
          <w:szCs w:val="21"/>
        </w:rPr>
        <w:t>自行编制，</w:t>
      </w:r>
      <w:r>
        <w:rPr>
          <w:rFonts w:hint="eastAsia" w:ascii="宋体" w:hAnsi="宋体" w:eastAsia="宋体" w:cs="宋体"/>
          <w:color w:val="auto"/>
          <w:sz w:val="21"/>
          <w:szCs w:val="21"/>
          <w:lang w:val="en-US" w:eastAsia="zh-CN"/>
        </w:rPr>
        <w:t>格式不限。</w:t>
      </w:r>
      <w:r>
        <w:rPr>
          <w:rFonts w:hint="eastAsia" w:ascii="宋体" w:hAnsi="宋体" w:eastAsia="宋体" w:cs="宋体"/>
          <w:color w:val="auto"/>
          <w:sz w:val="21"/>
          <w:szCs w:val="21"/>
        </w:rPr>
        <w:t>包括但不限于</w:t>
      </w:r>
      <w:r>
        <w:rPr>
          <w:rFonts w:hint="eastAsia" w:ascii="宋体" w:hAnsi="宋体" w:eastAsia="宋体" w:cs="宋体"/>
          <w:color w:val="auto"/>
          <w:sz w:val="21"/>
          <w:szCs w:val="21"/>
          <w:lang w:val="en-US" w:eastAsia="zh-CN"/>
        </w:rPr>
        <w:t>投产时间承诺、进度计划及保障措施等内容</w:t>
      </w:r>
      <w:r>
        <w:rPr>
          <w:rFonts w:hint="eastAsia" w:ascii="宋体" w:hAnsi="宋体" w:eastAsia="宋体" w:cs="宋体"/>
          <w:color w:val="auto"/>
          <w:kern w:val="0"/>
          <w:sz w:val="21"/>
          <w:szCs w:val="21"/>
          <w:lang w:val="zh-CN"/>
        </w:rPr>
        <w:t>。</w:t>
      </w:r>
    </w:p>
    <w:bookmarkEnd w:id="452"/>
    <w:bookmarkEnd w:id="453"/>
    <w:bookmarkEnd w:id="454"/>
    <w:bookmarkEnd w:id="455"/>
    <w:bookmarkEnd w:id="456"/>
    <w:bookmarkEnd w:id="457"/>
    <w:bookmarkEnd w:id="458"/>
    <w:bookmarkEnd w:id="459"/>
    <w:bookmarkEnd w:id="476"/>
    <w:bookmarkEnd w:id="477"/>
    <w:bookmarkEnd w:id="478"/>
    <w:p w14:paraId="6E0FC64C">
      <w:pPr>
        <w:keepNext w:val="0"/>
        <w:keepLines w:val="0"/>
        <w:pageBreakBefore/>
        <w:widowControl w:val="0"/>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b/>
          <w:color w:val="auto"/>
          <w:kern w:val="0"/>
          <w:sz w:val="30"/>
          <w:szCs w:val="30"/>
        </w:rPr>
      </w:pPr>
      <w:bookmarkStart w:id="479" w:name="_Toc51642408"/>
      <w:bookmarkStart w:id="480" w:name="_Toc521918141"/>
      <w:r>
        <w:rPr>
          <w:rFonts w:hint="eastAsia" w:ascii="宋体" w:hAnsi="宋体" w:eastAsia="宋体" w:cs="宋体"/>
          <w:b/>
          <w:color w:val="auto"/>
          <w:kern w:val="0"/>
          <w:sz w:val="30"/>
          <w:szCs w:val="30"/>
        </w:rPr>
        <w:t>13.</w:t>
      </w:r>
      <w:r>
        <w:rPr>
          <w:rFonts w:hint="eastAsia" w:ascii="宋体" w:hAnsi="宋体" w:eastAsia="宋体" w:cs="宋体"/>
          <w:b/>
          <w:color w:val="auto"/>
          <w:kern w:val="0"/>
          <w:sz w:val="30"/>
          <w:szCs w:val="30"/>
          <w:lang w:val="en-US" w:eastAsia="zh-CN"/>
        </w:rPr>
        <w:t>6</w:t>
      </w:r>
      <w:r>
        <w:rPr>
          <w:rFonts w:hint="eastAsia" w:ascii="宋体" w:hAnsi="宋体" w:eastAsia="宋体" w:cs="宋体"/>
          <w:b/>
          <w:color w:val="auto"/>
          <w:kern w:val="0"/>
          <w:sz w:val="30"/>
          <w:szCs w:val="30"/>
        </w:rPr>
        <w:t xml:space="preserve"> 应急预案和保障措施(   </w:t>
      </w:r>
      <w:r>
        <w:rPr>
          <w:rFonts w:hint="eastAsia" w:ascii="宋体" w:hAnsi="宋体" w:eastAsia="宋体" w:cs="宋体"/>
          <w:b/>
          <w:color w:val="auto"/>
          <w:kern w:val="0"/>
          <w:sz w:val="30"/>
          <w:szCs w:val="30"/>
          <w:lang w:eastAsia="zh-CN"/>
        </w:rPr>
        <w:t>包组</w:t>
      </w:r>
      <w:r>
        <w:rPr>
          <w:rFonts w:hint="eastAsia" w:ascii="宋体" w:hAnsi="宋体" w:eastAsia="宋体" w:cs="宋体"/>
          <w:b/>
          <w:color w:val="auto"/>
          <w:kern w:val="0"/>
          <w:sz w:val="30"/>
          <w:szCs w:val="30"/>
        </w:rPr>
        <w:t>)</w:t>
      </w:r>
    </w:p>
    <w:p w14:paraId="325279B9">
      <w:pPr>
        <w:autoSpaceDE w:val="0"/>
        <w:autoSpaceDN w:val="0"/>
        <w:adjustRightInd w:val="0"/>
        <w:spacing w:line="360" w:lineRule="auto"/>
        <w:ind w:firstLine="420" w:firstLineChars="200"/>
        <w:jc w:val="left"/>
        <w:outlineLvl w:val="9"/>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说明：</w:t>
      </w:r>
      <w:r>
        <w:rPr>
          <w:rFonts w:hint="eastAsia" w:ascii="宋体" w:hAnsi="宋体" w:cs="宋体"/>
          <w:b w:val="0"/>
          <w:bCs/>
          <w:color w:val="auto"/>
          <w:kern w:val="0"/>
          <w:sz w:val="21"/>
          <w:szCs w:val="21"/>
          <w:lang w:val="en-US" w:eastAsia="zh-CN"/>
        </w:rPr>
        <w:t>供应商</w:t>
      </w:r>
      <w:r>
        <w:rPr>
          <w:rFonts w:hint="eastAsia" w:ascii="宋体" w:hAnsi="宋体" w:eastAsia="宋体" w:cs="宋体"/>
          <w:b w:val="0"/>
          <w:bCs/>
          <w:color w:val="auto"/>
          <w:kern w:val="0"/>
          <w:sz w:val="21"/>
          <w:szCs w:val="21"/>
        </w:rPr>
        <w:t>自行编制，格式不限。内容包括但不限于针对污泥处理量突然增加、污泥处理设施意外停产和减产、生产事故应急处理、环境污染事故等的应急方案和保障措施。</w:t>
      </w:r>
    </w:p>
    <w:p w14:paraId="7B813FDA">
      <w:pPr>
        <w:keepNext w:val="0"/>
        <w:keepLines w:val="0"/>
        <w:pageBreakBefore/>
        <w:widowControl w:val="0"/>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b/>
          <w:kern w:val="0"/>
          <w:sz w:val="30"/>
          <w:szCs w:val="30"/>
        </w:rPr>
      </w:pPr>
      <w:r>
        <w:rPr>
          <w:rFonts w:hint="eastAsia" w:ascii="宋体" w:hAnsi="宋体" w:eastAsia="宋体" w:cs="宋体"/>
          <w:b/>
          <w:kern w:val="0"/>
          <w:sz w:val="30"/>
          <w:szCs w:val="30"/>
        </w:rPr>
        <w:t>13.</w:t>
      </w:r>
      <w:r>
        <w:rPr>
          <w:rFonts w:hint="eastAsia" w:ascii="宋体" w:hAnsi="宋体" w:eastAsia="宋体" w:cs="宋体"/>
          <w:b/>
          <w:kern w:val="0"/>
          <w:sz w:val="30"/>
          <w:szCs w:val="30"/>
          <w:lang w:val="en-US" w:eastAsia="zh-CN"/>
        </w:rPr>
        <w:t>7</w:t>
      </w:r>
      <w:r>
        <w:rPr>
          <w:rFonts w:hint="eastAsia" w:ascii="宋体" w:hAnsi="宋体" w:eastAsia="宋体" w:cs="宋体"/>
          <w:b/>
          <w:kern w:val="0"/>
          <w:sz w:val="30"/>
          <w:szCs w:val="30"/>
        </w:rPr>
        <w:t xml:space="preserve"> </w:t>
      </w:r>
      <w:r>
        <w:rPr>
          <w:rFonts w:hint="eastAsia" w:ascii="宋体" w:hAnsi="宋体" w:cs="宋体"/>
          <w:b/>
          <w:kern w:val="0"/>
          <w:sz w:val="30"/>
          <w:szCs w:val="30"/>
          <w:lang w:val="en-US" w:eastAsia="zh-CN"/>
        </w:rPr>
        <w:t>供应商</w:t>
      </w:r>
      <w:r>
        <w:rPr>
          <w:rFonts w:hint="eastAsia" w:ascii="宋体" w:hAnsi="宋体" w:eastAsia="宋体" w:cs="宋体"/>
          <w:b/>
          <w:kern w:val="0"/>
          <w:sz w:val="30"/>
          <w:szCs w:val="30"/>
        </w:rPr>
        <w:t>认为有必要提供的其它材料（不做强制要求）</w:t>
      </w:r>
    </w:p>
    <w:p w14:paraId="34741FC8">
      <w:pPr>
        <w:pStyle w:val="4"/>
        <w:keepNext w:val="0"/>
        <w:keepLines w:val="0"/>
        <w:pageBreakBefore/>
        <w:widowControl w:val="0"/>
        <w:tabs>
          <w:tab w:val="left" w:pos="1080"/>
        </w:tabs>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color w:val="auto"/>
          <w:kern w:val="44"/>
          <w:sz w:val="32"/>
          <w:szCs w:val="32"/>
          <w:highlight w:val="none"/>
          <w:lang w:val="zh-CN"/>
        </w:rPr>
      </w:pPr>
      <w:bookmarkStart w:id="481" w:name="_Toc31218"/>
      <w:r>
        <w:rPr>
          <w:rFonts w:hint="eastAsia" w:ascii="宋体" w:hAnsi="宋体" w:eastAsia="宋体" w:cs="宋体"/>
          <w:b/>
          <w:bCs/>
          <w:color w:val="auto"/>
          <w:kern w:val="44"/>
          <w:sz w:val="32"/>
          <w:szCs w:val="32"/>
          <w:highlight w:val="none"/>
          <w:lang w:val="zh-CN"/>
        </w:rPr>
        <w:t>附件一：</w:t>
      </w:r>
      <w:bookmarkEnd w:id="479"/>
      <w:bookmarkEnd w:id="480"/>
      <w:r>
        <w:rPr>
          <w:rFonts w:hint="eastAsia" w:ascii="宋体" w:hAnsi="宋体" w:eastAsia="宋体" w:cs="宋体"/>
          <w:b/>
          <w:bCs/>
          <w:color w:val="auto"/>
          <w:kern w:val="44"/>
          <w:sz w:val="32"/>
          <w:szCs w:val="32"/>
          <w:highlight w:val="none"/>
          <w:lang w:val="zh-CN"/>
        </w:rPr>
        <w:t>评审工作大纲</w:t>
      </w:r>
      <w:bookmarkEnd w:id="481"/>
    </w:p>
    <w:p w14:paraId="18C97F98">
      <w:pPr>
        <w:spacing w:line="400" w:lineRule="atLeast"/>
        <w:jc w:val="center"/>
        <w:rPr>
          <w:rFonts w:hint="eastAsia" w:ascii="宋体" w:hAnsi="宋体" w:eastAsia="宋体" w:cs="宋体"/>
          <w:b/>
          <w:bCs/>
          <w:color w:val="auto"/>
          <w:kern w:val="2"/>
          <w:sz w:val="21"/>
          <w:szCs w:val="21"/>
          <w:highlight w:val="none"/>
        </w:rPr>
      </w:pPr>
    </w:p>
    <w:p w14:paraId="368B4D4F">
      <w:pPr>
        <w:spacing w:line="400" w:lineRule="atLeast"/>
        <w:jc w:val="center"/>
        <w:rPr>
          <w:rFonts w:hint="eastAsia" w:ascii="宋体" w:hAnsi="宋体" w:eastAsia="宋体" w:cs="宋体"/>
          <w:b/>
          <w:bCs/>
          <w:color w:val="auto"/>
          <w:kern w:val="2"/>
          <w:sz w:val="21"/>
          <w:szCs w:val="21"/>
          <w:highlight w:val="none"/>
        </w:rPr>
      </w:pPr>
    </w:p>
    <w:p w14:paraId="07159C31">
      <w:pPr>
        <w:spacing w:line="400" w:lineRule="atLeast"/>
        <w:jc w:val="center"/>
        <w:rPr>
          <w:rFonts w:hint="eastAsia" w:ascii="宋体" w:hAnsi="宋体" w:eastAsia="宋体" w:cs="宋体"/>
          <w:b/>
          <w:bCs/>
          <w:color w:val="auto"/>
          <w:kern w:val="2"/>
          <w:sz w:val="21"/>
          <w:szCs w:val="21"/>
          <w:highlight w:val="none"/>
        </w:rPr>
      </w:pPr>
    </w:p>
    <w:p w14:paraId="64F221B0">
      <w:pPr>
        <w:spacing w:line="400" w:lineRule="atLeast"/>
        <w:jc w:val="center"/>
        <w:rPr>
          <w:rFonts w:hint="eastAsia" w:ascii="宋体" w:hAnsi="宋体" w:eastAsia="宋体" w:cs="宋体"/>
          <w:b/>
          <w:bCs/>
          <w:color w:val="auto"/>
          <w:kern w:val="2"/>
          <w:sz w:val="21"/>
          <w:szCs w:val="21"/>
          <w:highlight w:val="none"/>
        </w:rPr>
      </w:pPr>
    </w:p>
    <w:p w14:paraId="6AFD3E38">
      <w:pPr>
        <w:spacing w:line="400" w:lineRule="atLeast"/>
        <w:jc w:val="center"/>
        <w:rPr>
          <w:rFonts w:hint="eastAsia" w:ascii="宋体" w:hAnsi="宋体" w:eastAsia="宋体" w:cs="宋体"/>
          <w:b/>
          <w:bCs/>
          <w:color w:val="auto"/>
          <w:kern w:val="2"/>
          <w:sz w:val="21"/>
          <w:szCs w:val="21"/>
          <w:highlight w:val="none"/>
        </w:rPr>
      </w:pPr>
    </w:p>
    <w:p w14:paraId="0AC396CE">
      <w:pPr>
        <w:spacing w:line="400" w:lineRule="atLeast"/>
        <w:jc w:val="center"/>
        <w:rPr>
          <w:rFonts w:hint="eastAsia" w:ascii="宋体" w:hAnsi="宋体" w:eastAsia="宋体" w:cs="宋体"/>
          <w:b/>
          <w:bCs/>
          <w:color w:val="auto"/>
          <w:kern w:val="2"/>
          <w:sz w:val="21"/>
          <w:szCs w:val="21"/>
          <w:highlight w:val="none"/>
        </w:rPr>
      </w:pPr>
    </w:p>
    <w:p w14:paraId="68F986CA">
      <w:pPr>
        <w:autoSpaceDE w:val="0"/>
        <w:autoSpaceDN w:val="0"/>
        <w:adjustRightInd w:val="0"/>
        <w:spacing w:line="360" w:lineRule="auto"/>
        <w:jc w:val="center"/>
        <w:outlineLvl w:val="9"/>
        <w:rPr>
          <w:rFonts w:hint="eastAsia" w:ascii="宋体" w:hAnsi="宋体" w:eastAsia="宋体" w:cs="宋体"/>
          <w:b/>
          <w:bCs/>
          <w:color w:val="auto"/>
          <w:sz w:val="36"/>
          <w:szCs w:val="44"/>
          <w:lang w:eastAsia="zh-CN"/>
        </w:rPr>
      </w:pPr>
      <w:r>
        <w:rPr>
          <w:rFonts w:hint="eastAsia" w:ascii="宋体" w:hAnsi="宋体" w:cs="宋体"/>
          <w:b/>
          <w:bCs/>
          <w:color w:val="auto"/>
          <w:sz w:val="40"/>
          <w:szCs w:val="36"/>
          <w:lang w:eastAsia="zh-CN"/>
        </w:rPr>
        <w:t>东莞市众源环境投资有限公司污水处理厂污泥脱水减量处理服务（BOT权属滨海湾片区）采购项目</w:t>
      </w:r>
    </w:p>
    <w:p w14:paraId="4B03D8C2">
      <w:pPr>
        <w:spacing w:line="360" w:lineRule="auto"/>
        <w:jc w:val="center"/>
        <w:rPr>
          <w:rFonts w:hint="eastAsia" w:ascii="宋体" w:hAnsi="宋体" w:eastAsia="宋体" w:cs="宋体"/>
          <w:b/>
          <w:bCs/>
          <w:color w:val="auto"/>
          <w:kern w:val="2"/>
          <w:sz w:val="36"/>
          <w:szCs w:val="36"/>
          <w:highlight w:val="none"/>
          <w:lang w:val="en-US" w:eastAsia="zh-CN"/>
        </w:rPr>
      </w:pPr>
      <w:bookmarkStart w:id="482" w:name="_Toc14752_WPSOffice_Level1"/>
      <w:r>
        <w:rPr>
          <w:rFonts w:hint="eastAsia" w:ascii="宋体" w:hAnsi="宋体" w:eastAsia="宋体" w:cs="宋体"/>
          <w:b/>
          <w:bCs/>
          <w:color w:val="auto"/>
          <w:sz w:val="36"/>
          <w:szCs w:val="36"/>
          <w:lang w:val="zh-CN"/>
        </w:rPr>
        <w:t>（</w:t>
      </w:r>
      <w:r>
        <w:rPr>
          <w:rFonts w:hint="eastAsia" w:ascii="宋体" w:hAnsi="宋体" w:eastAsia="宋体" w:cs="宋体"/>
          <w:b/>
          <w:bCs/>
          <w:color w:val="auto"/>
          <w:sz w:val="36"/>
          <w:szCs w:val="36"/>
          <w:lang w:val="en-US" w:eastAsia="zh-CN"/>
        </w:rPr>
        <w:t>采购</w:t>
      </w:r>
      <w:r>
        <w:rPr>
          <w:rFonts w:hint="eastAsia" w:ascii="宋体" w:hAnsi="宋体" w:eastAsia="宋体" w:cs="宋体"/>
          <w:b/>
          <w:bCs/>
          <w:color w:val="auto"/>
          <w:sz w:val="36"/>
          <w:szCs w:val="36"/>
          <w:lang w:val="zh-CN"/>
        </w:rPr>
        <w:t>编号：</w:t>
      </w:r>
      <w:r>
        <w:rPr>
          <w:rFonts w:hint="eastAsia" w:ascii="宋体" w:hAnsi="宋体" w:cs="宋体"/>
          <w:b/>
          <w:bCs/>
          <w:color w:val="auto"/>
          <w:sz w:val="36"/>
          <w:szCs w:val="36"/>
          <w:lang w:val="zh-CN"/>
        </w:rPr>
        <w:t xml:space="preserve">DGDS2024-002 </w:t>
      </w:r>
      <w:r>
        <w:rPr>
          <w:rFonts w:hint="eastAsia" w:ascii="宋体" w:hAnsi="宋体" w:eastAsia="宋体" w:cs="宋体"/>
          <w:b/>
          <w:bCs/>
          <w:color w:val="auto"/>
          <w:sz w:val="36"/>
          <w:szCs w:val="36"/>
          <w:lang w:val="zh-CN"/>
        </w:rPr>
        <w:t>）</w:t>
      </w:r>
      <w:bookmarkEnd w:id="482"/>
      <w:r>
        <w:rPr>
          <w:rFonts w:hint="eastAsia" w:ascii="宋体" w:hAnsi="宋体" w:eastAsia="宋体" w:cs="宋体"/>
          <w:b/>
          <w:bCs/>
          <w:color w:val="auto"/>
          <w:kern w:val="2"/>
          <w:sz w:val="36"/>
          <w:szCs w:val="36"/>
          <w:highlight w:val="none"/>
          <w:lang w:val="en-US" w:eastAsia="zh-CN"/>
        </w:rPr>
        <w:t xml:space="preserve"> </w:t>
      </w:r>
    </w:p>
    <w:p w14:paraId="739E9DB2">
      <w:pPr>
        <w:spacing w:line="400" w:lineRule="atLeast"/>
        <w:jc w:val="center"/>
        <w:rPr>
          <w:rFonts w:hint="eastAsia" w:ascii="宋体" w:hAnsi="宋体" w:eastAsia="宋体" w:cs="宋体"/>
          <w:b/>
          <w:bCs/>
          <w:color w:val="auto"/>
          <w:kern w:val="2"/>
          <w:sz w:val="36"/>
          <w:szCs w:val="36"/>
          <w:highlight w:val="none"/>
        </w:rPr>
      </w:pPr>
    </w:p>
    <w:p w14:paraId="4173ADA4">
      <w:pPr>
        <w:spacing w:line="400" w:lineRule="atLeast"/>
        <w:jc w:val="center"/>
        <w:rPr>
          <w:rFonts w:hint="eastAsia" w:ascii="宋体" w:hAnsi="宋体" w:eastAsia="宋体" w:cs="宋体"/>
          <w:b/>
          <w:bCs/>
          <w:color w:val="auto"/>
          <w:kern w:val="2"/>
          <w:sz w:val="36"/>
          <w:szCs w:val="36"/>
          <w:highlight w:val="none"/>
        </w:rPr>
      </w:pPr>
    </w:p>
    <w:p w14:paraId="1C7FC656">
      <w:pPr>
        <w:spacing w:line="400" w:lineRule="atLeast"/>
        <w:jc w:val="center"/>
        <w:rPr>
          <w:rFonts w:hint="eastAsia" w:ascii="宋体" w:hAnsi="宋体" w:eastAsia="宋体" w:cs="宋体"/>
          <w:b/>
          <w:bCs/>
          <w:color w:val="auto"/>
          <w:kern w:val="2"/>
          <w:sz w:val="36"/>
          <w:szCs w:val="36"/>
          <w:highlight w:val="none"/>
        </w:rPr>
      </w:pPr>
    </w:p>
    <w:p w14:paraId="7A541E2D">
      <w:pPr>
        <w:spacing w:line="400" w:lineRule="atLeast"/>
        <w:jc w:val="center"/>
        <w:rPr>
          <w:rFonts w:hint="eastAsia" w:ascii="宋体" w:hAnsi="宋体" w:eastAsia="宋体" w:cs="宋体"/>
          <w:b/>
          <w:bCs/>
          <w:color w:val="auto"/>
          <w:kern w:val="2"/>
          <w:sz w:val="36"/>
          <w:szCs w:val="36"/>
          <w:highlight w:val="none"/>
        </w:rPr>
      </w:pPr>
    </w:p>
    <w:p w14:paraId="58147F4F">
      <w:pPr>
        <w:spacing w:line="400" w:lineRule="atLeast"/>
        <w:jc w:val="center"/>
        <w:rPr>
          <w:rFonts w:hint="eastAsia" w:ascii="宋体" w:hAnsi="宋体" w:eastAsia="宋体" w:cs="宋体"/>
          <w:b/>
          <w:bCs/>
          <w:color w:val="auto"/>
          <w:kern w:val="2"/>
          <w:sz w:val="36"/>
          <w:szCs w:val="36"/>
          <w:highlight w:val="none"/>
        </w:rPr>
      </w:pPr>
    </w:p>
    <w:p w14:paraId="7AAD84DA">
      <w:pPr>
        <w:spacing w:line="400" w:lineRule="atLeast"/>
        <w:jc w:val="center"/>
        <w:rPr>
          <w:rFonts w:hint="eastAsia" w:ascii="宋体" w:hAnsi="宋体" w:eastAsia="宋体" w:cs="宋体"/>
          <w:b/>
          <w:bCs/>
          <w:color w:val="auto"/>
          <w:kern w:val="2"/>
          <w:sz w:val="72"/>
          <w:szCs w:val="72"/>
          <w:highlight w:val="none"/>
          <w:lang w:val="zh-CN"/>
        </w:rPr>
      </w:pPr>
      <w:r>
        <w:rPr>
          <w:rFonts w:hint="eastAsia" w:ascii="宋体" w:hAnsi="宋体" w:eastAsia="宋体" w:cs="宋体"/>
          <w:b/>
          <w:bCs/>
          <w:color w:val="auto"/>
          <w:kern w:val="2"/>
          <w:sz w:val="72"/>
          <w:szCs w:val="72"/>
          <w:highlight w:val="none"/>
          <w:lang w:val="zh-CN"/>
        </w:rPr>
        <w:t>评审工作大纲</w:t>
      </w:r>
    </w:p>
    <w:p w14:paraId="5231305E">
      <w:pPr>
        <w:spacing w:line="400" w:lineRule="atLeast"/>
        <w:jc w:val="center"/>
        <w:rPr>
          <w:rFonts w:hint="eastAsia" w:ascii="宋体" w:hAnsi="宋体" w:eastAsia="宋体" w:cs="宋体"/>
          <w:b/>
          <w:bCs/>
          <w:color w:val="auto"/>
          <w:kern w:val="2"/>
          <w:sz w:val="36"/>
          <w:szCs w:val="36"/>
          <w:highlight w:val="none"/>
        </w:rPr>
      </w:pPr>
    </w:p>
    <w:p w14:paraId="693B9A00">
      <w:pPr>
        <w:spacing w:line="400" w:lineRule="atLeast"/>
        <w:jc w:val="both"/>
        <w:rPr>
          <w:rFonts w:hint="eastAsia" w:ascii="宋体" w:hAnsi="宋体" w:eastAsia="宋体" w:cs="宋体"/>
          <w:b/>
          <w:bCs/>
          <w:color w:val="auto"/>
          <w:kern w:val="2"/>
          <w:sz w:val="36"/>
          <w:szCs w:val="36"/>
          <w:highlight w:val="none"/>
        </w:rPr>
      </w:pPr>
    </w:p>
    <w:p w14:paraId="0D8FD174">
      <w:pPr>
        <w:spacing w:line="400" w:lineRule="atLeast"/>
        <w:jc w:val="center"/>
        <w:rPr>
          <w:rFonts w:hint="eastAsia" w:ascii="宋体" w:hAnsi="宋体" w:eastAsia="宋体" w:cs="宋体"/>
          <w:b/>
          <w:bCs/>
          <w:color w:val="auto"/>
          <w:kern w:val="2"/>
          <w:sz w:val="36"/>
          <w:szCs w:val="36"/>
          <w:highlight w:val="none"/>
        </w:rPr>
      </w:pPr>
    </w:p>
    <w:p w14:paraId="50F62B49">
      <w:pPr>
        <w:spacing w:line="400" w:lineRule="atLeast"/>
        <w:jc w:val="both"/>
        <w:rPr>
          <w:rFonts w:hint="eastAsia" w:ascii="宋体" w:hAnsi="宋体" w:eastAsia="宋体" w:cs="宋体"/>
          <w:b/>
          <w:bCs/>
          <w:color w:val="auto"/>
          <w:kern w:val="2"/>
          <w:sz w:val="36"/>
          <w:szCs w:val="36"/>
          <w:highlight w:val="none"/>
        </w:rPr>
      </w:pPr>
    </w:p>
    <w:p w14:paraId="19E21E7A">
      <w:pPr>
        <w:spacing w:line="400" w:lineRule="atLeast"/>
        <w:jc w:val="center"/>
        <w:rPr>
          <w:rFonts w:hint="eastAsia" w:ascii="宋体" w:hAnsi="宋体" w:eastAsia="宋体" w:cs="宋体"/>
          <w:b/>
          <w:bCs/>
          <w:color w:val="auto"/>
          <w:kern w:val="2"/>
          <w:sz w:val="36"/>
          <w:szCs w:val="36"/>
          <w:highlight w:val="none"/>
        </w:rPr>
      </w:pPr>
    </w:p>
    <w:p w14:paraId="5C0B5D17">
      <w:pPr>
        <w:autoSpaceDE w:val="0"/>
        <w:autoSpaceDN w:val="0"/>
        <w:adjustRightInd w:val="0"/>
        <w:spacing w:line="400" w:lineRule="atLeast"/>
        <w:jc w:val="center"/>
        <w:outlineLvl w:val="9"/>
        <w:rPr>
          <w:rFonts w:hint="eastAsia" w:ascii="宋体" w:hAnsi="宋体" w:eastAsia="宋体" w:cs="宋体"/>
          <w:b/>
          <w:bCs/>
          <w:color w:val="auto"/>
          <w:sz w:val="36"/>
          <w:szCs w:val="36"/>
        </w:rPr>
      </w:pPr>
      <w:r>
        <w:rPr>
          <w:rFonts w:hint="eastAsia" w:ascii="宋体" w:hAnsi="宋体" w:cs="宋体"/>
          <w:b/>
          <w:bCs/>
          <w:color w:val="auto"/>
          <w:sz w:val="36"/>
          <w:szCs w:val="36"/>
          <w:lang w:val="zh-CN"/>
        </w:rPr>
        <w:t>东莞市达盛招标代理有限公司</w:t>
      </w:r>
      <w:r>
        <w:rPr>
          <w:rFonts w:hint="eastAsia" w:ascii="宋体" w:hAnsi="宋体" w:eastAsia="宋体" w:cs="宋体"/>
          <w:b/>
          <w:bCs/>
          <w:color w:val="auto"/>
          <w:sz w:val="36"/>
          <w:szCs w:val="36"/>
          <w:lang w:val="zh-CN"/>
        </w:rPr>
        <w:t xml:space="preserve"> </w:t>
      </w:r>
    </w:p>
    <w:p w14:paraId="53844895">
      <w:pPr>
        <w:spacing w:line="400" w:lineRule="atLeast"/>
        <w:rPr>
          <w:rFonts w:hint="eastAsia" w:ascii="宋体" w:hAnsi="宋体" w:eastAsia="宋体" w:cs="宋体"/>
          <w:b/>
          <w:bCs/>
          <w:color w:val="auto"/>
          <w:kern w:val="2"/>
          <w:sz w:val="36"/>
          <w:szCs w:val="36"/>
          <w:highlight w:val="none"/>
        </w:rPr>
      </w:pPr>
    </w:p>
    <w:p w14:paraId="170CEC4B">
      <w:pPr>
        <w:spacing w:line="400" w:lineRule="atLeast"/>
        <w:jc w:val="center"/>
        <w:rPr>
          <w:rFonts w:hint="eastAsia" w:ascii="宋体" w:hAnsi="宋体" w:eastAsia="宋体" w:cs="宋体"/>
          <w:b/>
          <w:bCs/>
          <w:color w:val="auto"/>
          <w:kern w:val="2"/>
          <w:sz w:val="36"/>
          <w:szCs w:val="36"/>
          <w:highlight w:val="none"/>
        </w:rPr>
      </w:pPr>
    </w:p>
    <w:p w14:paraId="40475C96">
      <w:pPr>
        <w:pStyle w:val="2"/>
        <w:rPr>
          <w:rFonts w:hint="eastAsia" w:ascii="宋体" w:hAnsi="宋体" w:eastAsia="宋体" w:cs="宋体"/>
          <w:color w:val="auto"/>
          <w:highlight w:val="none"/>
          <w:lang w:val="en-US"/>
        </w:rPr>
      </w:pPr>
    </w:p>
    <w:p w14:paraId="0BF7A72F">
      <w:pPr>
        <w:pStyle w:val="2"/>
        <w:jc w:val="both"/>
        <w:rPr>
          <w:rFonts w:hint="eastAsia" w:ascii="宋体" w:hAnsi="宋体" w:eastAsia="宋体" w:cs="宋体"/>
          <w:color w:val="auto"/>
          <w:sz w:val="21"/>
          <w:szCs w:val="21"/>
          <w:highlight w:val="none"/>
        </w:rPr>
      </w:pPr>
    </w:p>
    <w:p w14:paraId="4C58FB1D">
      <w:pPr>
        <w:autoSpaceDE w:val="0"/>
        <w:autoSpaceDN w:val="0"/>
        <w:adjustRightInd w:val="0"/>
        <w:spacing w:line="400" w:lineRule="atLeast"/>
        <w:jc w:val="center"/>
        <w:outlineLvl w:val="9"/>
        <w:rPr>
          <w:rFonts w:hint="eastAsia" w:ascii="宋体" w:hAnsi="宋体" w:eastAsia="宋体" w:cs="宋体"/>
          <w:b/>
          <w:bCs/>
          <w:sz w:val="36"/>
          <w:szCs w:val="36"/>
        </w:rPr>
      </w:pPr>
      <w:bookmarkStart w:id="483" w:name="_Toc32395_WPSOffice_Level1"/>
      <w:r>
        <w:rPr>
          <w:rFonts w:hint="eastAsia" w:ascii="宋体" w:hAnsi="宋体" w:eastAsia="宋体" w:cs="宋体"/>
          <w:b/>
          <w:bCs/>
          <w:sz w:val="36"/>
          <w:szCs w:val="36"/>
          <w:lang w:val="zh-CN"/>
        </w:rPr>
        <w:t>目录</w:t>
      </w:r>
      <w:bookmarkEnd w:id="483"/>
    </w:p>
    <w:p w14:paraId="64DDCD09">
      <w:pPr>
        <w:autoSpaceDE w:val="0"/>
        <w:autoSpaceDN w:val="0"/>
        <w:adjustRightInd w:val="0"/>
        <w:spacing w:line="400" w:lineRule="atLeast"/>
        <w:jc w:val="center"/>
        <w:outlineLvl w:val="9"/>
        <w:rPr>
          <w:rFonts w:hint="eastAsia" w:ascii="宋体" w:hAnsi="宋体" w:eastAsia="宋体" w:cs="宋体"/>
          <w:sz w:val="44"/>
          <w:szCs w:val="44"/>
        </w:rPr>
      </w:pPr>
    </w:p>
    <w:p w14:paraId="7D4A9767">
      <w:pPr>
        <w:autoSpaceDE w:val="0"/>
        <w:autoSpaceDN w:val="0"/>
        <w:adjustRightInd w:val="0"/>
        <w:spacing w:line="360" w:lineRule="auto"/>
        <w:ind w:left="567" w:hanging="567"/>
        <w:outlineLvl w:val="9"/>
        <w:rPr>
          <w:rFonts w:hint="eastAsia" w:ascii="宋体" w:hAnsi="宋体" w:eastAsia="宋体" w:cs="宋体"/>
          <w:sz w:val="21"/>
          <w:szCs w:val="21"/>
        </w:rPr>
      </w:pPr>
      <w:bookmarkStart w:id="484" w:name="_Toc21604_WPSOffice_Level1"/>
      <w:r>
        <w:rPr>
          <w:rFonts w:hint="eastAsia" w:ascii="宋体" w:hAnsi="宋体" w:eastAsia="宋体" w:cs="宋体"/>
          <w:sz w:val="21"/>
          <w:szCs w:val="21"/>
          <w:lang w:val="zh-CN"/>
        </w:rPr>
        <w:t>一、总则</w:t>
      </w:r>
      <w:bookmarkEnd w:id="484"/>
    </w:p>
    <w:p w14:paraId="5D5B1C1B">
      <w:pPr>
        <w:autoSpaceDE w:val="0"/>
        <w:autoSpaceDN w:val="0"/>
        <w:adjustRightInd w:val="0"/>
        <w:spacing w:line="360" w:lineRule="auto"/>
        <w:ind w:left="567" w:hanging="567"/>
        <w:outlineLvl w:val="9"/>
        <w:rPr>
          <w:rFonts w:hint="eastAsia" w:ascii="宋体" w:hAnsi="宋体" w:eastAsia="宋体" w:cs="宋体"/>
          <w:sz w:val="21"/>
          <w:szCs w:val="21"/>
        </w:rPr>
      </w:pPr>
      <w:bookmarkStart w:id="485" w:name="_Toc1387_WPSOffice_Level1"/>
      <w:r>
        <w:rPr>
          <w:rFonts w:hint="eastAsia" w:ascii="宋体" w:hAnsi="宋体" w:eastAsia="宋体" w:cs="宋体"/>
          <w:sz w:val="21"/>
          <w:szCs w:val="21"/>
          <w:lang w:val="zh-CN"/>
        </w:rPr>
        <w:t>二、</w:t>
      </w:r>
      <w:r>
        <w:rPr>
          <w:rFonts w:hint="eastAsia" w:ascii="宋体" w:hAnsi="宋体" w:cs="宋体"/>
          <w:sz w:val="21"/>
          <w:szCs w:val="21"/>
          <w:lang w:val="en-US" w:eastAsia="zh-CN"/>
        </w:rPr>
        <w:t>响应文件</w:t>
      </w:r>
      <w:r>
        <w:rPr>
          <w:rFonts w:hint="eastAsia" w:ascii="宋体" w:hAnsi="宋体" w:eastAsia="宋体" w:cs="宋体"/>
          <w:sz w:val="21"/>
          <w:szCs w:val="21"/>
          <w:lang w:val="zh-CN"/>
        </w:rPr>
        <w:t>的初审</w:t>
      </w:r>
      <w:bookmarkEnd w:id="485"/>
    </w:p>
    <w:p w14:paraId="2A18A55B">
      <w:pPr>
        <w:autoSpaceDE w:val="0"/>
        <w:autoSpaceDN w:val="0"/>
        <w:adjustRightInd w:val="0"/>
        <w:spacing w:line="360" w:lineRule="auto"/>
        <w:ind w:left="567" w:hanging="567"/>
        <w:outlineLvl w:val="9"/>
        <w:rPr>
          <w:rFonts w:hint="eastAsia" w:ascii="宋体" w:hAnsi="宋体" w:eastAsia="宋体" w:cs="宋体"/>
          <w:sz w:val="21"/>
          <w:szCs w:val="21"/>
        </w:rPr>
      </w:pPr>
      <w:bookmarkStart w:id="486" w:name="_Toc30284_WPSOffice_Level1"/>
      <w:r>
        <w:rPr>
          <w:rFonts w:hint="eastAsia" w:ascii="宋体" w:hAnsi="宋体" w:eastAsia="宋体" w:cs="宋体"/>
          <w:sz w:val="21"/>
          <w:szCs w:val="21"/>
          <w:lang w:val="zh-CN"/>
        </w:rPr>
        <w:t>三、澄清有关问题</w:t>
      </w:r>
      <w:bookmarkEnd w:id="486"/>
    </w:p>
    <w:p w14:paraId="7F22CB2D">
      <w:pPr>
        <w:autoSpaceDE w:val="0"/>
        <w:autoSpaceDN w:val="0"/>
        <w:adjustRightInd w:val="0"/>
        <w:spacing w:line="360" w:lineRule="auto"/>
        <w:ind w:left="567" w:hanging="567"/>
        <w:outlineLvl w:val="9"/>
        <w:rPr>
          <w:rFonts w:hint="eastAsia" w:ascii="宋体" w:hAnsi="宋体" w:eastAsia="宋体" w:cs="宋体"/>
          <w:sz w:val="21"/>
          <w:szCs w:val="21"/>
        </w:rPr>
      </w:pPr>
      <w:bookmarkStart w:id="487" w:name="_Toc1206_WPSOffice_Level1"/>
      <w:r>
        <w:rPr>
          <w:rFonts w:hint="eastAsia" w:ascii="宋体" w:hAnsi="宋体" w:eastAsia="宋体" w:cs="宋体"/>
          <w:sz w:val="21"/>
          <w:szCs w:val="21"/>
        </w:rPr>
        <w:t>四、比较和评价</w:t>
      </w:r>
      <w:bookmarkEnd w:id="487"/>
    </w:p>
    <w:p w14:paraId="1AC1EED4">
      <w:pPr>
        <w:autoSpaceDE w:val="0"/>
        <w:autoSpaceDN w:val="0"/>
        <w:adjustRightInd w:val="0"/>
        <w:spacing w:line="360" w:lineRule="auto"/>
        <w:ind w:left="567" w:hanging="567"/>
        <w:outlineLvl w:val="9"/>
        <w:rPr>
          <w:rFonts w:hint="default" w:ascii="宋体" w:hAnsi="宋体" w:eastAsia="宋体" w:cs="宋体"/>
          <w:sz w:val="21"/>
          <w:szCs w:val="21"/>
          <w:lang w:val="en-US" w:eastAsia="zh-CN"/>
        </w:rPr>
      </w:pPr>
      <w:bookmarkStart w:id="488" w:name="_Toc12163_WPSOffice_Level1"/>
      <w:r>
        <w:rPr>
          <w:rFonts w:hint="eastAsia" w:ascii="宋体" w:hAnsi="宋体" w:eastAsia="宋体" w:cs="宋体"/>
          <w:sz w:val="21"/>
          <w:szCs w:val="21"/>
          <w:lang w:val="zh-CN"/>
        </w:rPr>
        <w:t>五、推荐</w:t>
      </w:r>
      <w:bookmarkEnd w:id="488"/>
      <w:r>
        <w:rPr>
          <w:rFonts w:hint="eastAsia" w:ascii="宋体" w:hAnsi="宋体" w:cs="宋体"/>
          <w:sz w:val="21"/>
          <w:szCs w:val="21"/>
          <w:lang w:val="en-US" w:eastAsia="zh-CN"/>
        </w:rPr>
        <w:t>成交人</w:t>
      </w:r>
    </w:p>
    <w:p w14:paraId="0E7225D8">
      <w:pPr>
        <w:autoSpaceDE w:val="0"/>
        <w:autoSpaceDN w:val="0"/>
        <w:adjustRightInd w:val="0"/>
        <w:spacing w:line="360" w:lineRule="auto"/>
        <w:ind w:left="567" w:hanging="567"/>
        <w:outlineLvl w:val="9"/>
        <w:rPr>
          <w:rFonts w:hint="eastAsia" w:ascii="宋体" w:hAnsi="宋体" w:eastAsia="宋体" w:cs="宋体"/>
          <w:sz w:val="21"/>
          <w:szCs w:val="21"/>
        </w:rPr>
      </w:pPr>
      <w:bookmarkStart w:id="489" w:name="_Toc366_WPSOffice_Level1"/>
      <w:r>
        <w:rPr>
          <w:rFonts w:hint="eastAsia" w:ascii="宋体" w:hAnsi="宋体" w:eastAsia="宋体" w:cs="宋体"/>
          <w:sz w:val="21"/>
          <w:szCs w:val="21"/>
          <w:lang w:val="zh-CN"/>
        </w:rPr>
        <w:t>六、编写</w:t>
      </w:r>
      <w:r>
        <w:rPr>
          <w:rFonts w:hint="eastAsia" w:ascii="宋体" w:hAnsi="宋体" w:cs="宋体"/>
          <w:sz w:val="21"/>
          <w:szCs w:val="21"/>
          <w:lang w:val="en-US" w:eastAsia="zh-CN"/>
        </w:rPr>
        <w:t>评审</w:t>
      </w:r>
      <w:r>
        <w:rPr>
          <w:rFonts w:hint="eastAsia" w:ascii="宋体" w:hAnsi="宋体" w:eastAsia="宋体" w:cs="宋体"/>
          <w:sz w:val="21"/>
          <w:szCs w:val="21"/>
          <w:lang w:val="zh-CN"/>
        </w:rPr>
        <w:t>报告</w:t>
      </w:r>
      <w:bookmarkEnd w:id="489"/>
    </w:p>
    <w:p w14:paraId="6C4F9C92">
      <w:pPr>
        <w:autoSpaceDE w:val="0"/>
        <w:autoSpaceDN w:val="0"/>
        <w:adjustRightInd w:val="0"/>
        <w:spacing w:line="360" w:lineRule="auto"/>
        <w:ind w:left="567" w:hanging="567"/>
        <w:outlineLvl w:val="9"/>
        <w:rPr>
          <w:rFonts w:hint="eastAsia" w:ascii="宋体" w:hAnsi="宋体" w:eastAsia="宋体" w:cs="宋体"/>
          <w:sz w:val="21"/>
          <w:szCs w:val="21"/>
        </w:rPr>
      </w:pPr>
      <w:bookmarkStart w:id="490" w:name="_Toc22378_WPSOffice_Level1"/>
      <w:r>
        <w:rPr>
          <w:rFonts w:hint="eastAsia" w:ascii="宋体" w:hAnsi="宋体" w:eastAsia="宋体" w:cs="宋体"/>
          <w:sz w:val="21"/>
          <w:szCs w:val="21"/>
          <w:lang w:val="zh-CN"/>
        </w:rPr>
        <w:t>七、注意事项</w:t>
      </w:r>
      <w:bookmarkEnd w:id="490"/>
    </w:p>
    <w:p w14:paraId="20346F33">
      <w:pPr>
        <w:pageBreakBefore/>
        <w:tabs>
          <w:tab w:val="left" w:pos="1140"/>
        </w:tabs>
        <w:spacing w:line="360" w:lineRule="auto"/>
        <w:jc w:val="center"/>
        <w:rPr>
          <w:rFonts w:hint="eastAsia" w:ascii="宋体" w:hAnsi="宋体" w:eastAsia="宋体" w:cs="宋体"/>
          <w:b/>
          <w:bCs/>
          <w:color w:val="auto"/>
          <w:kern w:val="2"/>
          <w:sz w:val="28"/>
          <w:szCs w:val="28"/>
          <w:highlight w:val="none"/>
        </w:rPr>
      </w:pPr>
      <w:r>
        <w:rPr>
          <w:rFonts w:hint="eastAsia" w:ascii="宋体" w:hAnsi="宋体" w:eastAsia="宋体" w:cs="宋体"/>
          <w:color w:val="auto"/>
          <w:kern w:val="2"/>
          <w:sz w:val="28"/>
          <w:szCs w:val="28"/>
          <w:highlight w:val="none"/>
          <w:lang w:val="zh-CN"/>
        </w:rPr>
        <w:t>一、</w:t>
      </w:r>
      <w:r>
        <w:rPr>
          <w:rFonts w:hint="eastAsia" w:ascii="宋体" w:hAnsi="宋体" w:eastAsia="宋体" w:cs="宋体"/>
          <w:b/>
          <w:bCs/>
          <w:color w:val="auto"/>
          <w:kern w:val="2"/>
          <w:sz w:val="28"/>
          <w:szCs w:val="28"/>
          <w:highlight w:val="none"/>
          <w:lang w:val="zh-CN"/>
        </w:rPr>
        <w:t>总</w:t>
      </w:r>
      <w:r>
        <w:rPr>
          <w:rFonts w:hint="eastAsia" w:ascii="宋体" w:hAnsi="宋体" w:eastAsia="宋体" w:cs="宋体"/>
          <w:b/>
          <w:bCs/>
          <w:color w:val="auto"/>
          <w:kern w:val="2"/>
          <w:sz w:val="28"/>
          <w:szCs w:val="28"/>
          <w:highlight w:val="none"/>
        </w:rPr>
        <w:t xml:space="preserve">  </w:t>
      </w:r>
      <w:r>
        <w:rPr>
          <w:rFonts w:hint="eastAsia" w:ascii="宋体" w:hAnsi="宋体" w:eastAsia="宋体" w:cs="宋体"/>
          <w:b/>
          <w:bCs/>
          <w:color w:val="auto"/>
          <w:kern w:val="2"/>
          <w:sz w:val="28"/>
          <w:szCs w:val="28"/>
          <w:highlight w:val="none"/>
          <w:lang w:val="zh-CN"/>
        </w:rPr>
        <w:t>则</w:t>
      </w:r>
    </w:p>
    <w:p w14:paraId="14418981">
      <w:pPr>
        <w:tabs>
          <w:tab w:val="left" w:pos="567"/>
          <w:tab w:val="left" w:pos="600"/>
        </w:tabs>
        <w:spacing w:line="360" w:lineRule="auto"/>
        <w:ind w:left="600" w:hanging="600"/>
        <w:jc w:val="both"/>
        <w:rPr>
          <w:rFonts w:hint="eastAsia" w:ascii="宋体" w:hAnsi="宋体" w:eastAsia="宋体" w:cs="宋体"/>
          <w:b/>
          <w:bCs/>
          <w:color w:val="auto"/>
          <w:kern w:val="2"/>
          <w:sz w:val="21"/>
          <w:highlight w:val="none"/>
          <w:lang w:val="zh-CN"/>
        </w:rPr>
      </w:pPr>
      <w:r>
        <w:rPr>
          <w:rFonts w:hint="eastAsia" w:ascii="宋体" w:hAnsi="宋体" w:eastAsia="宋体" w:cs="宋体"/>
          <w:b/>
          <w:bCs/>
          <w:color w:val="auto"/>
          <w:kern w:val="2"/>
          <w:sz w:val="21"/>
          <w:highlight w:val="none"/>
          <w:lang w:val="zh-CN"/>
        </w:rPr>
        <w:t>1、一般规定</w:t>
      </w:r>
    </w:p>
    <w:p w14:paraId="5E888440">
      <w:pPr>
        <w:autoSpaceDE w:val="0"/>
        <w:autoSpaceDN w:val="0"/>
        <w:adjustRightInd w:val="0"/>
        <w:spacing w:line="360" w:lineRule="auto"/>
        <w:ind w:left="567" w:hanging="567"/>
        <w:outlineLvl w:val="9"/>
        <w:rPr>
          <w:rFonts w:hint="eastAsia" w:ascii="宋体" w:hAnsi="宋体" w:cs="宋体"/>
          <w:color w:val="auto"/>
          <w:kern w:val="0"/>
          <w:sz w:val="21"/>
          <w:szCs w:val="21"/>
          <w:lang w:eastAsia="zh-CN"/>
        </w:rPr>
      </w:pPr>
      <w:r>
        <w:rPr>
          <w:rFonts w:hint="eastAsia" w:ascii="宋体" w:hAnsi="宋体" w:eastAsia="宋体" w:cs="宋体"/>
          <w:color w:val="auto"/>
          <w:sz w:val="21"/>
          <w:szCs w:val="21"/>
          <w:lang w:val="zh-CN"/>
        </w:rPr>
        <w:t>1.1</w:t>
      </w:r>
      <w:r>
        <w:rPr>
          <w:rFonts w:hint="eastAsia" w:ascii="宋体" w:hAnsi="宋体" w:eastAsia="宋体" w:cs="宋体"/>
          <w:color w:val="auto"/>
          <w:sz w:val="21"/>
          <w:szCs w:val="21"/>
          <w:lang w:val="en-US" w:eastAsia="zh-CN"/>
        </w:rPr>
        <w:t xml:space="preserve"> </w:t>
      </w:r>
      <w:r>
        <w:rPr>
          <w:rFonts w:hint="eastAsia" w:ascii="宋体" w:hAnsi="宋体" w:cs="宋体"/>
          <w:color w:val="auto"/>
          <w:kern w:val="0"/>
          <w:sz w:val="21"/>
          <w:szCs w:val="21"/>
          <w:lang w:eastAsia="zh-CN"/>
        </w:rPr>
        <w:t>东莞市众源环境投资有限公司污水处理厂污泥脱水减量处理服务（BOT权属滨海湾片区）采购项</w:t>
      </w:r>
    </w:p>
    <w:p w14:paraId="69708AF4">
      <w:pPr>
        <w:autoSpaceDE w:val="0"/>
        <w:autoSpaceDN w:val="0"/>
        <w:adjustRightInd w:val="0"/>
        <w:spacing w:line="360" w:lineRule="auto"/>
        <w:ind w:firstLine="420" w:firstLineChars="200"/>
        <w:outlineLvl w:val="9"/>
        <w:rPr>
          <w:rFonts w:hint="eastAsia" w:ascii="宋体" w:hAnsi="宋体" w:eastAsia="宋体" w:cs="宋体"/>
          <w:color w:val="auto"/>
          <w:kern w:val="2"/>
          <w:sz w:val="21"/>
          <w:highlight w:val="none"/>
          <w:lang w:val="zh-CN"/>
        </w:rPr>
      </w:pPr>
      <w:r>
        <w:rPr>
          <w:rFonts w:hint="eastAsia" w:ascii="宋体" w:hAnsi="宋体" w:cs="宋体"/>
          <w:color w:val="auto"/>
          <w:kern w:val="0"/>
          <w:sz w:val="21"/>
          <w:szCs w:val="21"/>
          <w:lang w:eastAsia="zh-CN"/>
        </w:rPr>
        <w:t>目</w:t>
      </w: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lang w:val="zh-CN"/>
        </w:rPr>
        <w:t>编号：</w:t>
      </w:r>
      <w:r>
        <w:rPr>
          <w:rFonts w:hint="eastAsia" w:ascii="宋体" w:hAnsi="宋体" w:cs="宋体"/>
          <w:color w:val="auto"/>
          <w:sz w:val="21"/>
          <w:szCs w:val="21"/>
          <w:lang w:val="zh-CN"/>
        </w:rPr>
        <w:t xml:space="preserve">DGDS2024-002 </w:t>
      </w:r>
      <w:r>
        <w:rPr>
          <w:rFonts w:hint="eastAsia" w:ascii="宋体" w:hAnsi="宋体" w:eastAsia="宋体" w:cs="宋体"/>
          <w:color w:val="auto"/>
          <w:kern w:val="0"/>
          <w:sz w:val="21"/>
          <w:szCs w:val="21"/>
        </w:rPr>
        <w:t>)的</w:t>
      </w:r>
      <w:r>
        <w:rPr>
          <w:rFonts w:hint="eastAsia" w:ascii="宋体" w:hAnsi="宋体" w:eastAsia="宋体" w:cs="宋体"/>
          <w:color w:val="auto"/>
          <w:kern w:val="0"/>
          <w:sz w:val="21"/>
          <w:szCs w:val="21"/>
          <w:lang w:val="en-US" w:eastAsia="zh-CN"/>
        </w:rPr>
        <w:t>竞争性磋商</w:t>
      </w:r>
      <w:r>
        <w:rPr>
          <w:rFonts w:hint="eastAsia" w:ascii="宋体" w:hAnsi="宋体" w:eastAsia="宋体" w:cs="宋体"/>
          <w:color w:val="auto"/>
          <w:kern w:val="2"/>
          <w:sz w:val="21"/>
          <w:highlight w:val="none"/>
          <w:lang w:val="zh-CN"/>
        </w:rPr>
        <w:t>采购按照采购人及上级单位的相关制度等有关规定</w:t>
      </w:r>
    </w:p>
    <w:p w14:paraId="686423A4">
      <w:pPr>
        <w:autoSpaceDE w:val="0"/>
        <w:autoSpaceDN w:val="0"/>
        <w:adjustRightInd w:val="0"/>
        <w:spacing w:line="360" w:lineRule="auto"/>
        <w:ind w:firstLine="420" w:firstLineChars="200"/>
        <w:outlineLvl w:val="9"/>
        <w:rPr>
          <w:rFonts w:hint="eastAsia" w:ascii="宋体" w:hAnsi="宋体" w:eastAsia="宋体" w:cs="宋体"/>
          <w:color w:val="auto"/>
          <w:kern w:val="0"/>
          <w:sz w:val="21"/>
          <w:szCs w:val="21"/>
        </w:rPr>
      </w:pPr>
      <w:r>
        <w:rPr>
          <w:rFonts w:hint="eastAsia" w:ascii="宋体" w:hAnsi="宋体" w:eastAsia="宋体" w:cs="宋体"/>
          <w:color w:val="auto"/>
          <w:kern w:val="2"/>
          <w:sz w:val="21"/>
          <w:highlight w:val="none"/>
          <w:lang w:val="zh-CN"/>
        </w:rPr>
        <w:t>进行。</w:t>
      </w:r>
    </w:p>
    <w:p w14:paraId="08AFAD92">
      <w:pPr>
        <w:autoSpaceDE w:val="0"/>
        <w:autoSpaceDN w:val="0"/>
        <w:adjustRightInd w:val="0"/>
        <w:spacing w:line="360" w:lineRule="auto"/>
        <w:ind w:left="567" w:hanging="567"/>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1.2</w:t>
      </w:r>
      <w:r>
        <w:rPr>
          <w:rFonts w:hint="eastAsia" w:ascii="宋体" w:hAnsi="宋体" w:eastAsia="宋体" w:cs="宋体"/>
          <w:color w:val="auto"/>
          <w:sz w:val="21"/>
          <w:szCs w:val="21"/>
          <w:lang w:val="en-US" w:eastAsia="zh-CN"/>
        </w:rPr>
        <w:t xml:space="preserve"> 磋商</w:t>
      </w:r>
      <w:r>
        <w:rPr>
          <w:rFonts w:hint="eastAsia" w:ascii="宋体" w:hAnsi="宋体" w:eastAsia="宋体" w:cs="宋体"/>
          <w:color w:val="auto"/>
          <w:sz w:val="21"/>
          <w:szCs w:val="21"/>
          <w:lang w:val="zh-CN"/>
        </w:rPr>
        <w:t>必须遵循公平、公正、诚实信用的原则。</w:t>
      </w:r>
    </w:p>
    <w:p w14:paraId="65D90448">
      <w:pPr>
        <w:autoSpaceDE w:val="0"/>
        <w:autoSpaceDN w:val="0"/>
        <w:adjustRightInd w:val="0"/>
        <w:spacing w:line="360" w:lineRule="auto"/>
        <w:ind w:left="567" w:hanging="567"/>
        <w:outlineLvl w:val="9"/>
        <w:rPr>
          <w:rFonts w:hint="eastAsia" w:ascii="宋体" w:hAnsi="宋体" w:eastAsia="宋体" w:cs="宋体"/>
          <w:sz w:val="21"/>
          <w:szCs w:val="21"/>
          <w:lang w:val="zh-CN"/>
        </w:rPr>
      </w:pPr>
      <w:r>
        <w:rPr>
          <w:rFonts w:hint="eastAsia" w:ascii="宋体" w:hAnsi="宋体" w:eastAsia="宋体" w:cs="宋体"/>
          <w:color w:val="auto"/>
          <w:sz w:val="21"/>
          <w:szCs w:val="21"/>
          <w:lang w:val="zh-CN"/>
        </w:rPr>
        <w:t>1.3</w:t>
      </w:r>
      <w:r>
        <w:rPr>
          <w:rFonts w:hint="eastAsia" w:ascii="宋体" w:hAnsi="宋体" w:eastAsia="宋体" w:cs="宋体"/>
          <w:color w:val="auto"/>
          <w:sz w:val="21"/>
          <w:szCs w:val="21"/>
          <w:lang w:val="en-US" w:eastAsia="zh-CN"/>
        </w:rPr>
        <w:t xml:space="preserve"> 采购</w:t>
      </w:r>
      <w:r>
        <w:rPr>
          <w:rFonts w:hint="eastAsia" w:ascii="宋体" w:hAnsi="宋体" w:eastAsia="宋体" w:cs="宋体"/>
          <w:color w:val="auto"/>
          <w:sz w:val="21"/>
          <w:szCs w:val="21"/>
          <w:lang w:val="zh-CN"/>
        </w:rPr>
        <w:t>代理机构</w:t>
      </w:r>
      <w:r>
        <w:rPr>
          <w:rFonts w:hint="eastAsia" w:ascii="宋体" w:hAnsi="宋体" w:eastAsia="宋体" w:cs="宋体"/>
          <w:color w:val="auto"/>
          <w:kern w:val="0"/>
          <w:sz w:val="21"/>
          <w:szCs w:val="21"/>
        </w:rPr>
        <w:t>(</w:t>
      </w:r>
      <w:r>
        <w:rPr>
          <w:rFonts w:hint="eastAsia" w:ascii="宋体" w:hAnsi="宋体" w:cs="宋体"/>
          <w:color w:val="auto"/>
          <w:kern w:val="0"/>
          <w:sz w:val="21"/>
          <w:szCs w:val="21"/>
          <w:lang w:eastAsia="zh-CN"/>
        </w:rPr>
        <w:t>东莞市达盛招标代理有限公司</w:t>
      </w:r>
      <w:r>
        <w:rPr>
          <w:rFonts w:hint="eastAsia" w:ascii="宋体" w:hAnsi="宋体" w:eastAsia="宋体" w:cs="宋体"/>
          <w:color w:val="auto"/>
          <w:kern w:val="0"/>
          <w:sz w:val="21"/>
          <w:szCs w:val="21"/>
        </w:rPr>
        <w:t>）组</w:t>
      </w:r>
      <w:r>
        <w:rPr>
          <w:rFonts w:hint="eastAsia" w:ascii="宋体" w:hAnsi="宋体" w:eastAsia="宋体" w:cs="宋体"/>
          <w:color w:val="auto"/>
          <w:sz w:val="21"/>
          <w:szCs w:val="21"/>
          <w:lang w:val="zh-CN"/>
        </w:rPr>
        <w:t>织</w:t>
      </w:r>
      <w:r>
        <w:rPr>
          <w:rFonts w:hint="eastAsia" w:ascii="宋体" w:hAnsi="宋体" w:eastAsia="宋体" w:cs="宋体"/>
          <w:color w:val="auto"/>
          <w:sz w:val="21"/>
          <w:szCs w:val="21"/>
          <w:lang w:val="en-US" w:eastAsia="zh-CN"/>
        </w:rPr>
        <w:t>磋商</w:t>
      </w:r>
      <w:r>
        <w:rPr>
          <w:rFonts w:hint="eastAsia" w:ascii="宋体" w:hAnsi="宋体" w:eastAsia="宋体" w:cs="宋体"/>
          <w:color w:val="auto"/>
          <w:sz w:val="21"/>
          <w:szCs w:val="21"/>
          <w:lang w:val="zh-CN"/>
        </w:rPr>
        <w:t>工作，全过</w:t>
      </w:r>
      <w:r>
        <w:rPr>
          <w:rFonts w:hint="eastAsia" w:ascii="宋体" w:hAnsi="宋体" w:eastAsia="宋体" w:cs="宋体"/>
          <w:sz w:val="21"/>
          <w:szCs w:val="21"/>
          <w:lang w:val="zh-CN"/>
        </w:rPr>
        <w:t>程接受</w:t>
      </w:r>
      <w:r>
        <w:rPr>
          <w:rFonts w:hint="eastAsia" w:ascii="宋体" w:hAnsi="宋体" w:eastAsia="宋体" w:cs="宋体"/>
          <w:sz w:val="21"/>
          <w:szCs w:val="21"/>
          <w:lang w:val="en-US" w:eastAsia="zh-CN"/>
        </w:rPr>
        <w:t>采购</w:t>
      </w:r>
      <w:r>
        <w:rPr>
          <w:rFonts w:hint="eastAsia" w:ascii="宋体" w:hAnsi="宋体" w:eastAsia="宋体" w:cs="宋体"/>
          <w:sz w:val="21"/>
          <w:szCs w:val="21"/>
          <w:lang w:val="zh-CN"/>
        </w:rPr>
        <w:t>人及相关部门的</w:t>
      </w:r>
    </w:p>
    <w:p w14:paraId="34122497">
      <w:pPr>
        <w:autoSpaceDE w:val="0"/>
        <w:autoSpaceDN w:val="0"/>
        <w:adjustRightInd w:val="0"/>
        <w:spacing w:line="360" w:lineRule="auto"/>
        <w:ind w:firstLine="420" w:firstLineChars="200"/>
        <w:outlineLvl w:val="9"/>
        <w:rPr>
          <w:rFonts w:hint="eastAsia" w:ascii="宋体" w:hAnsi="宋体" w:eastAsia="宋体" w:cs="宋体"/>
          <w:sz w:val="21"/>
          <w:szCs w:val="21"/>
          <w:lang w:val="zh-CN"/>
        </w:rPr>
      </w:pPr>
      <w:r>
        <w:rPr>
          <w:rFonts w:hint="eastAsia" w:ascii="宋体" w:hAnsi="宋体" w:eastAsia="宋体" w:cs="宋体"/>
          <w:sz w:val="21"/>
          <w:szCs w:val="21"/>
          <w:lang w:val="zh-CN"/>
        </w:rPr>
        <w:t>监督、管理和指导。</w:t>
      </w:r>
    </w:p>
    <w:p w14:paraId="1B74E23F">
      <w:pPr>
        <w:autoSpaceDE w:val="0"/>
        <w:autoSpaceDN w:val="0"/>
        <w:adjustRightInd w:val="0"/>
        <w:spacing w:line="360" w:lineRule="auto"/>
        <w:ind w:left="567" w:hanging="567"/>
        <w:outlineLvl w:val="9"/>
        <w:rPr>
          <w:rFonts w:hint="eastAsia" w:ascii="宋体" w:hAnsi="宋体" w:eastAsia="宋体" w:cs="宋体"/>
          <w:sz w:val="21"/>
          <w:szCs w:val="21"/>
          <w:lang w:val="zh-CN"/>
        </w:rPr>
      </w:pPr>
      <w:r>
        <w:rPr>
          <w:rFonts w:hint="eastAsia" w:ascii="宋体" w:hAnsi="宋体" w:eastAsia="宋体" w:cs="宋体"/>
          <w:sz w:val="21"/>
          <w:szCs w:val="21"/>
          <w:lang w:val="zh-CN"/>
        </w:rPr>
        <w:t>1.4</w:t>
      </w:r>
      <w:r>
        <w:rPr>
          <w:rFonts w:hint="eastAsia" w:ascii="宋体" w:hAnsi="宋体" w:eastAsia="宋体" w:cs="宋体"/>
          <w:sz w:val="21"/>
          <w:szCs w:val="21"/>
          <w:lang w:val="en-US" w:eastAsia="zh-CN"/>
        </w:rPr>
        <w:t xml:space="preserve"> 磋商</w:t>
      </w:r>
      <w:r>
        <w:rPr>
          <w:rFonts w:hint="eastAsia" w:ascii="宋体" w:hAnsi="宋体" w:eastAsia="宋体" w:cs="宋体"/>
          <w:sz w:val="21"/>
          <w:szCs w:val="21"/>
          <w:lang w:val="zh-CN"/>
        </w:rPr>
        <w:t>按照</w:t>
      </w:r>
      <w:r>
        <w:rPr>
          <w:rFonts w:hint="eastAsia" w:ascii="宋体" w:hAnsi="宋体" w:eastAsia="宋体" w:cs="宋体"/>
          <w:sz w:val="21"/>
          <w:szCs w:val="21"/>
          <w:lang w:val="en-US" w:eastAsia="zh-CN"/>
        </w:rPr>
        <w:t>竞争性磋商</w:t>
      </w:r>
      <w:r>
        <w:rPr>
          <w:rFonts w:hint="eastAsia" w:ascii="宋体" w:hAnsi="宋体" w:eastAsia="宋体" w:cs="宋体"/>
          <w:sz w:val="21"/>
          <w:szCs w:val="21"/>
          <w:lang w:val="zh-CN"/>
        </w:rPr>
        <w:t>文件规定的内容进行，采取综合评分</w:t>
      </w:r>
      <w:r>
        <w:rPr>
          <w:rFonts w:hint="eastAsia" w:ascii="宋体" w:hAnsi="宋体" w:eastAsia="宋体" w:cs="宋体"/>
          <w:sz w:val="21"/>
          <w:szCs w:val="21"/>
        </w:rPr>
        <w:t>法进行评审</w:t>
      </w:r>
      <w:r>
        <w:rPr>
          <w:rFonts w:hint="eastAsia" w:ascii="宋体" w:hAnsi="宋体" w:eastAsia="宋体" w:cs="宋体"/>
          <w:sz w:val="21"/>
          <w:szCs w:val="21"/>
          <w:lang w:val="zh-CN"/>
        </w:rPr>
        <w:t>。</w:t>
      </w:r>
    </w:p>
    <w:p w14:paraId="5F247BA3">
      <w:pPr>
        <w:autoSpaceDE w:val="0"/>
        <w:autoSpaceDN w:val="0"/>
        <w:adjustRightInd w:val="0"/>
        <w:spacing w:line="360" w:lineRule="auto"/>
        <w:ind w:left="567" w:hanging="567"/>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1.5 </w:t>
      </w:r>
      <w:r>
        <w:rPr>
          <w:rFonts w:hint="eastAsia" w:ascii="宋体" w:hAnsi="宋体" w:eastAsia="宋体" w:cs="宋体"/>
          <w:sz w:val="21"/>
          <w:szCs w:val="21"/>
          <w:lang w:val="zh-CN"/>
        </w:rPr>
        <w:t>本办法的评审对象是指</w:t>
      </w:r>
      <w:r>
        <w:rPr>
          <w:rFonts w:hint="eastAsia" w:ascii="宋体" w:hAnsi="宋体" w:eastAsia="宋体" w:cs="宋体"/>
          <w:sz w:val="21"/>
          <w:szCs w:val="21"/>
          <w:lang w:val="en-US" w:eastAsia="zh-CN"/>
        </w:rPr>
        <w:t>供应商</w:t>
      </w:r>
      <w:r>
        <w:rPr>
          <w:rFonts w:hint="eastAsia" w:ascii="宋体" w:hAnsi="宋体" w:eastAsia="宋体" w:cs="宋体"/>
          <w:sz w:val="21"/>
          <w:szCs w:val="21"/>
          <w:lang w:val="zh-CN"/>
        </w:rPr>
        <w:t>按照</w:t>
      </w:r>
      <w:r>
        <w:rPr>
          <w:rFonts w:hint="eastAsia" w:ascii="宋体" w:hAnsi="宋体" w:eastAsia="宋体" w:cs="宋体"/>
          <w:sz w:val="21"/>
          <w:szCs w:val="21"/>
          <w:lang w:val="en-US" w:eastAsia="zh-CN"/>
        </w:rPr>
        <w:t>竞争性磋商</w:t>
      </w:r>
      <w:r>
        <w:rPr>
          <w:rFonts w:hint="eastAsia" w:ascii="宋体" w:hAnsi="宋体" w:eastAsia="宋体" w:cs="宋体"/>
          <w:sz w:val="21"/>
          <w:szCs w:val="21"/>
          <w:lang w:val="zh-CN"/>
        </w:rPr>
        <w:t>文件要求提供的有效</w:t>
      </w:r>
      <w:r>
        <w:rPr>
          <w:rFonts w:hint="eastAsia" w:ascii="宋体" w:hAnsi="宋体" w:eastAsia="宋体" w:cs="宋体"/>
          <w:sz w:val="21"/>
          <w:szCs w:val="21"/>
          <w:lang w:val="en-US" w:eastAsia="zh-CN"/>
        </w:rPr>
        <w:t>响应</w:t>
      </w:r>
      <w:r>
        <w:rPr>
          <w:rFonts w:hint="eastAsia" w:ascii="宋体" w:hAnsi="宋体" w:eastAsia="宋体" w:cs="宋体"/>
          <w:sz w:val="21"/>
          <w:szCs w:val="21"/>
          <w:lang w:val="zh-CN"/>
        </w:rPr>
        <w:t>文件，包括</w:t>
      </w:r>
      <w:r>
        <w:rPr>
          <w:rFonts w:hint="eastAsia" w:ascii="宋体" w:hAnsi="宋体" w:eastAsia="宋体" w:cs="宋体"/>
          <w:sz w:val="21"/>
          <w:szCs w:val="21"/>
          <w:lang w:val="en-US" w:eastAsia="zh-CN"/>
        </w:rPr>
        <w:t>供应商</w:t>
      </w:r>
      <w:r>
        <w:rPr>
          <w:rFonts w:hint="eastAsia" w:ascii="宋体" w:hAnsi="宋体" w:eastAsia="宋体" w:cs="宋体"/>
          <w:sz w:val="21"/>
          <w:szCs w:val="21"/>
          <w:lang w:val="zh-CN"/>
        </w:rPr>
        <w:t>应</w:t>
      </w:r>
      <w:r>
        <w:rPr>
          <w:rFonts w:hint="eastAsia" w:ascii="宋体" w:hAnsi="宋体" w:eastAsia="宋体" w:cs="宋体"/>
          <w:sz w:val="21"/>
          <w:szCs w:val="21"/>
          <w:lang w:val="en-US" w:eastAsia="zh-CN"/>
        </w:rPr>
        <w:t>磋</w:t>
      </w:r>
    </w:p>
    <w:p w14:paraId="6B200A22">
      <w:pPr>
        <w:autoSpaceDE w:val="0"/>
        <w:autoSpaceDN w:val="0"/>
        <w:adjustRightInd w:val="0"/>
        <w:spacing w:line="360" w:lineRule="auto"/>
        <w:ind w:firstLine="420" w:firstLineChars="200"/>
        <w:outlineLvl w:val="9"/>
        <w:rPr>
          <w:rFonts w:hint="eastAsia" w:ascii="宋体" w:hAnsi="宋体" w:eastAsia="宋体" w:cs="宋体"/>
          <w:sz w:val="21"/>
          <w:szCs w:val="21"/>
          <w:lang w:val="zh-CN"/>
        </w:rPr>
      </w:pPr>
      <w:r>
        <w:rPr>
          <w:rFonts w:hint="eastAsia" w:ascii="宋体" w:hAnsi="宋体" w:eastAsia="宋体" w:cs="宋体"/>
          <w:sz w:val="21"/>
          <w:szCs w:val="21"/>
          <w:lang w:val="en-US" w:eastAsia="zh-CN"/>
        </w:rPr>
        <w:t>商小组</w:t>
      </w:r>
      <w:r>
        <w:rPr>
          <w:rFonts w:hint="eastAsia" w:ascii="宋体" w:hAnsi="宋体" w:eastAsia="宋体" w:cs="宋体"/>
          <w:sz w:val="21"/>
          <w:szCs w:val="21"/>
          <w:lang w:val="zh-CN"/>
        </w:rPr>
        <w:t>要求对原</w:t>
      </w:r>
      <w:r>
        <w:rPr>
          <w:rFonts w:hint="eastAsia" w:ascii="宋体" w:hAnsi="宋体" w:eastAsia="宋体" w:cs="宋体"/>
          <w:sz w:val="21"/>
          <w:szCs w:val="21"/>
          <w:lang w:val="en-US" w:eastAsia="zh-CN"/>
        </w:rPr>
        <w:t>响应</w:t>
      </w:r>
      <w:r>
        <w:rPr>
          <w:rFonts w:hint="eastAsia" w:ascii="宋体" w:hAnsi="宋体" w:eastAsia="宋体" w:cs="宋体"/>
          <w:sz w:val="21"/>
          <w:szCs w:val="21"/>
          <w:lang w:val="zh-CN"/>
        </w:rPr>
        <w:t>文件作出的正式书面澄清文件。</w:t>
      </w:r>
    </w:p>
    <w:p w14:paraId="7527BC49">
      <w:pPr>
        <w:spacing w:line="360" w:lineRule="auto"/>
        <w:jc w:val="both"/>
        <w:rPr>
          <w:rFonts w:hint="eastAsia" w:ascii="宋体" w:hAnsi="宋体" w:eastAsia="宋体" w:cs="宋体"/>
          <w:color w:val="auto"/>
          <w:kern w:val="2"/>
          <w:highlight w:val="none"/>
          <w:lang w:val="zh-CN"/>
        </w:rPr>
      </w:pPr>
    </w:p>
    <w:p w14:paraId="5E02F0B1">
      <w:pPr>
        <w:tabs>
          <w:tab w:val="left" w:pos="360"/>
          <w:tab w:val="left" w:pos="600"/>
        </w:tabs>
        <w:spacing w:line="360" w:lineRule="auto"/>
        <w:ind w:left="600" w:hanging="600"/>
        <w:jc w:val="both"/>
        <w:rPr>
          <w:rFonts w:hint="eastAsia" w:ascii="宋体" w:hAnsi="宋体" w:eastAsia="宋体" w:cs="宋体"/>
          <w:b/>
          <w:bCs/>
          <w:color w:val="auto"/>
          <w:kern w:val="2"/>
          <w:sz w:val="21"/>
          <w:highlight w:val="none"/>
          <w:lang w:val="zh-CN"/>
        </w:rPr>
      </w:pPr>
      <w:r>
        <w:rPr>
          <w:rFonts w:hint="eastAsia" w:ascii="宋体" w:hAnsi="宋体" w:eastAsia="宋体" w:cs="宋体"/>
          <w:b/>
          <w:bCs/>
          <w:color w:val="auto"/>
          <w:kern w:val="2"/>
          <w:sz w:val="21"/>
          <w:highlight w:val="none"/>
          <w:lang w:val="zh-CN"/>
        </w:rPr>
        <w:t>2、磋商小组的组成</w:t>
      </w:r>
    </w:p>
    <w:p w14:paraId="324C8D19">
      <w:pPr>
        <w:keepNext w:val="0"/>
        <w:keepLines w:val="0"/>
        <w:pageBreakBefore w:val="0"/>
        <w:widowControl w:val="0"/>
        <w:tabs>
          <w:tab w:val="left" w:pos="567"/>
          <w:tab w:val="left" w:pos="1145"/>
        </w:tabs>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eastAsia="宋体" w:cs="宋体"/>
          <w:color w:val="auto"/>
          <w:sz w:val="21"/>
          <w:highlight w:val="none"/>
        </w:rPr>
      </w:pPr>
      <w:r>
        <w:rPr>
          <w:rFonts w:hint="eastAsia" w:ascii="宋体" w:hAnsi="宋体" w:eastAsia="宋体" w:cs="宋体"/>
          <w:color w:val="auto"/>
          <w:kern w:val="2"/>
          <w:sz w:val="21"/>
          <w:highlight w:val="none"/>
          <w:lang w:val="zh-CN"/>
        </w:rPr>
        <w:t>2.1</w:t>
      </w:r>
      <w:r>
        <w:rPr>
          <w:rFonts w:hint="eastAsia" w:ascii="宋体" w:hAnsi="宋体" w:eastAsia="宋体" w:cs="宋体"/>
          <w:color w:val="auto"/>
          <w:kern w:val="2"/>
          <w:sz w:val="21"/>
          <w:highlight w:val="none"/>
          <w:lang w:val="en-US" w:eastAsia="zh-CN"/>
        </w:rPr>
        <w:t xml:space="preserve"> </w:t>
      </w:r>
      <w:r>
        <w:rPr>
          <w:rFonts w:hint="eastAsia" w:ascii="宋体" w:hAnsi="宋体" w:eastAsia="宋体" w:cs="宋体"/>
          <w:color w:val="auto"/>
          <w:kern w:val="2"/>
          <w:sz w:val="21"/>
          <w:highlight w:val="none"/>
        </w:rPr>
        <w:t>磋商小组</w:t>
      </w:r>
      <w:r>
        <w:rPr>
          <w:rFonts w:hint="eastAsia" w:ascii="宋体" w:hAnsi="宋体" w:eastAsia="宋体" w:cs="宋体"/>
          <w:color w:val="auto"/>
          <w:sz w:val="21"/>
          <w:highlight w:val="none"/>
        </w:rPr>
        <w:t>由采购人</w:t>
      </w:r>
      <w:r>
        <w:rPr>
          <w:rFonts w:hint="eastAsia" w:ascii="宋体" w:hAnsi="宋体" w:cs="宋体"/>
          <w:color w:val="auto"/>
          <w:sz w:val="21"/>
          <w:highlight w:val="none"/>
          <w:lang w:val="en-US" w:eastAsia="zh-CN"/>
        </w:rPr>
        <w:t>组建</w:t>
      </w:r>
      <w:r>
        <w:rPr>
          <w:rFonts w:hint="eastAsia" w:ascii="宋体" w:hAnsi="宋体" w:eastAsia="宋体" w:cs="宋体"/>
          <w:color w:val="auto"/>
          <w:sz w:val="21"/>
          <w:highlight w:val="none"/>
        </w:rPr>
        <w:t>。</w:t>
      </w:r>
    </w:p>
    <w:p w14:paraId="13849924">
      <w:pPr>
        <w:tabs>
          <w:tab w:val="left" w:pos="567"/>
          <w:tab w:val="left" w:pos="1145"/>
        </w:tabs>
        <w:spacing w:line="360" w:lineRule="auto"/>
        <w:ind w:left="600" w:hanging="6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2.2</w:t>
      </w:r>
      <w:r>
        <w:rPr>
          <w:rFonts w:hint="eastAsia" w:ascii="宋体" w:hAnsi="宋体" w:eastAsia="宋体" w:cs="宋体"/>
          <w:color w:val="auto"/>
          <w:kern w:val="2"/>
          <w:sz w:val="21"/>
          <w:highlight w:val="none"/>
          <w:lang w:val="en-US" w:eastAsia="zh-CN"/>
        </w:rPr>
        <w:t xml:space="preserve"> </w:t>
      </w:r>
      <w:r>
        <w:rPr>
          <w:rFonts w:hint="eastAsia" w:ascii="宋体" w:hAnsi="宋体" w:eastAsia="宋体" w:cs="宋体"/>
          <w:color w:val="auto"/>
          <w:kern w:val="2"/>
          <w:sz w:val="21"/>
          <w:highlight w:val="none"/>
          <w:lang w:val="zh-CN"/>
        </w:rPr>
        <w:t>磋商工作组由</w:t>
      </w:r>
      <w:r>
        <w:rPr>
          <w:rFonts w:hint="eastAsia" w:ascii="宋体" w:hAnsi="宋体" w:eastAsia="宋体" w:cs="宋体"/>
          <w:color w:val="auto"/>
          <w:kern w:val="2"/>
          <w:sz w:val="21"/>
          <w:highlight w:val="none"/>
          <w:lang w:val="en-US" w:eastAsia="zh-CN"/>
        </w:rPr>
        <w:t>采购</w:t>
      </w:r>
      <w:r>
        <w:rPr>
          <w:rFonts w:hint="eastAsia" w:ascii="宋体" w:hAnsi="宋体" w:eastAsia="宋体" w:cs="宋体"/>
          <w:color w:val="auto"/>
          <w:kern w:val="2"/>
          <w:sz w:val="21"/>
          <w:highlight w:val="none"/>
          <w:lang w:val="zh-CN"/>
        </w:rPr>
        <w:t>人、</w:t>
      </w:r>
      <w:r>
        <w:rPr>
          <w:rFonts w:hint="eastAsia" w:ascii="宋体" w:hAnsi="宋体" w:eastAsia="宋体" w:cs="宋体"/>
          <w:color w:val="auto"/>
          <w:kern w:val="2"/>
          <w:sz w:val="21"/>
          <w:highlight w:val="none"/>
          <w:lang w:val="en-US" w:eastAsia="zh-CN"/>
        </w:rPr>
        <w:t>采购</w:t>
      </w:r>
      <w:r>
        <w:rPr>
          <w:rFonts w:hint="eastAsia" w:ascii="宋体" w:hAnsi="宋体" w:eastAsia="宋体" w:cs="宋体"/>
          <w:color w:val="auto"/>
          <w:kern w:val="2"/>
          <w:sz w:val="21"/>
          <w:highlight w:val="none"/>
          <w:lang w:val="zh-CN"/>
        </w:rPr>
        <w:t>代理机构组成。</w:t>
      </w:r>
    </w:p>
    <w:p w14:paraId="67D2F558">
      <w:pPr>
        <w:spacing w:line="360" w:lineRule="auto"/>
        <w:ind w:left="567" w:hanging="567"/>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2.3</w:t>
      </w:r>
      <w:r>
        <w:rPr>
          <w:rFonts w:hint="eastAsia" w:ascii="宋体" w:hAnsi="宋体" w:eastAsia="宋体" w:cs="宋体"/>
          <w:color w:val="auto"/>
          <w:kern w:val="2"/>
          <w:sz w:val="21"/>
          <w:highlight w:val="none"/>
          <w:lang w:val="en-US" w:eastAsia="zh-CN"/>
        </w:rPr>
        <w:t xml:space="preserve"> </w:t>
      </w:r>
      <w:r>
        <w:rPr>
          <w:rFonts w:hint="eastAsia" w:ascii="宋体" w:hAnsi="宋体" w:eastAsia="宋体" w:cs="宋体"/>
          <w:color w:val="auto"/>
          <w:kern w:val="2"/>
          <w:sz w:val="21"/>
          <w:highlight w:val="none"/>
          <w:lang w:val="zh-CN"/>
        </w:rPr>
        <w:t>磋商工作组分成磋商小组、</w:t>
      </w:r>
      <w:r>
        <w:rPr>
          <w:rFonts w:hint="eastAsia" w:ascii="宋体" w:hAnsi="宋体" w:eastAsia="宋体" w:cs="宋体"/>
          <w:color w:val="auto"/>
          <w:kern w:val="2"/>
          <w:sz w:val="21"/>
          <w:highlight w:val="none"/>
          <w:lang w:val="en-US" w:eastAsia="zh-CN"/>
        </w:rPr>
        <w:t>采购</w:t>
      </w:r>
      <w:r>
        <w:rPr>
          <w:rFonts w:hint="eastAsia" w:ascii="宋体" w:hAnsi="宋体" w:eastAsia="宋体" w:cs="宋体"/>
          <w:color w:val="auto"/>
          <w:kern w:val="2"/>
          <w:sz w:val="21"/>
          <w:highlight w:val="none"/>
          <w:lang w:val="zh-CN"/>
        </w:rPr>
        <w:t>代理机构秘书组。</w:t>
      </w:r>
    </w:p>
    <w:p w14:paraId="16A23AC1">
      <w:pPr>
        <w:keepNext w:val="0"/>
        <w:keepLines w:val="0"/>
        <w:pageBreakBefore w:val="0"/>
        <w:widowControl w:val="0"/>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w:t>
      </w:r>
      <w:r>
        <w:rPr>
          <w:rFonts w:hint="eastAsia" w:ascii="宋体" w:hAnsi="宋体" w:eastAsia="宋体" w:cs="宋体"/>
          <w:color w:val="auto"/>
          <w:kern w:val="2"/>
          <w:sz w:val="21"/>
          <w:highlight w:val="none"/>
          <w:lang w:val="en-US" w:eastAsia="zh-CN"/>
        </w:rPr>
        <w:t xml:space="preserve">4 </w:t>
      </w:r>
      <w:r>
        <w:rPr>
          <w:rFonts w:hint="eastAsia" w:ascii="宋体" w:hAnsi="宋体" w:eastAsia="宋体" w:cs="宋体"/>
          <w:color w:val="auto"/>
          <w:kern w:val="2"/>
          <w:sz w:val="21"/>
          <w:highlight w:val="none"/>
        </w:rPr>
        <w:t>磋商小组</w:t>
      </w:r>
      <w:r>
        <w:rPr>
          <w:rFonts w:hint="eastAsia" w:ascii="宋体" w:hAnsi="宋体" w:eastAsia="宋体" w:cs="宋体"/>
          <w:color w:val="auto"/>
          <w:kern w:val="2"/>
          <w:sz w:val="21"/>
          <w:highlight w:val="none"/>
          <w:lang w:val="zh-CN"/>
        </w:rPr>
        <w:t>应相对独立工作，负责评审、</w:t>
      </w:r>
      <w:r>
        <w:rPr>
          <w:rFonts w:hint="eastAsia" w:ascii="宋体" w:hAnsi="宋体" w:eastAsia="宋体" w:cs="宋体"/>
          <w:color w:val="auto"/>
          <w:kern w:val="2"/>
          <w:sz w:val="21"/>
          <w:highlight w:val="none"/>
          <w:lang w:val="en-US" w:eastAsia="zh-CN"/>
        </w:rPr>
        <w:t>磋商、</w:t>
      </w:r>
      <w:r>
        <w:rPr>
          <w:rFonts w:hint="eastAsia" w:ascii="宋体" w:hAnsi="宋体" w:eastAsia="宋体" w:cs="宋体"/>
          <w:color w:val="auto"/>
          <w:kern w:val="2"/>
          <w:sz w:val="21"/>
          <w:highlight w:val="none"/>
          <w:lang w:val="zh-CN"/>
        </w:rPr>
        <w:t>撰写评审报告。采购代理机构秘书组负责评审过程中资料的保管、发放及回收，协调技术和</w:t>
      </w:r>
      <w:r>
        <w:rPr>
          <w:rFonts w:hint="eastAsia" w:ascii="宋体" w:hAnsi="宋体" w:eastAsia="宋体" w:cs="宋体"/>
          <w:color w:val="auto"/>
          <w:kern w:val="2"/>
          <w:sz w:val="21"/>
          <w:highlight w:val="none"/>
        </w:rPr>
        <w:t>磋商小组</w:t>
      </w:r>
      <w:r>
        <w:rPr>
          <w:rFonts w:hint="eastAsia" w:ascii="宋体" w:hAnsi="宋体" w:eastAsia="宋体" w:cs="宋体"/>
          <w:color w:val="auto"/>
          <w:kern w:val="2"/>
          <w:sz w:val="21"/>
          <w:highlight w:val="none"/>
          <w:lang w:val="zh-CN"/>
        </w:rPr>
        <w:t>评审工作的进展和整理、汇总评审资料及复核。</w:t>
      </w:r>
    </w:p>
    <w:p w14:paraId="214416F3">
      <w:pPr>
        <w:spacing w:line="360" w:lineRule="auto"/>
        <w:jc w:val="both"/>
        <w:rPr>
          <w:rFonts w:hint="eastAsia" w:ascii="宋体" w:hAnsi="宋体" w:eastAsia="宋体" w:cs="宋体"/>
          <w:color w:val="auto"/>
          <w:kern w:val="2"/>
          <w:highlight w:val="none"/>
          <w:lang w:val="zh-CN"/>
        </w:rPr>
      </w:pPr>
    </w:p>
    <w:p w14:paraId="096AD0CD">
      <w:pPr>
        <w:spacing w:line="360" w:lineRule="auto"/>
        <w:jc w:val="both"/>
        <w:rPr>
          <w:rFonts w:hint="eastAsia" w:ascii="宋体" w:hAnsi="宋体" w:eastAsia="宋体" w:cs="宋体"/>
          <w:color w:val="auto"/>
          <w:kern w:val="2"/>
          <w:highlight w:val="none"/>
          <w:lang w:val="zh-CN"/>
        </w:rPr>
      </w:pPr>
      <w:r>
        <w:rPr>
          <w:rFonts w:hint="eastAsia" w:ascii="宋体" w:hAnsi="宋体" w:eastAsia="宋体" w:cs="宋体"/>
          <w:b/>
          <w:color w:val="auto"/>
          <w:kern w:val="2"/>
          <w:sz w:val="21"/>
          <w:szCs w:val="21"/>
          <w:highlight w:val="none"/>
          <w:lang w:val="zh-CN"/>
        </w:rPr>
        <w:t>3、</w:t>
      </w:r>
      <w:r>
        <w:rPr>
          <w:rFonts w:hint="eastAsia" w:ascii="宋体" w:hAnsi="宋体" w:eastAsia="宋体" w:cs="宋体"/>
          <w:b/>
          <w:bCs/>
          <w:color w:val="auto"/>
          <w:kern w:val="2"/>
          <w:sz w:val="21"/>
          <w:highlight w:val="none"/>
          <w:lang w:val="zh-CN"/>
        </w:rPr>
        <w:t>磋商小组职责</w:t>
      </w:r>
    </w:p>
    <w:p w14:paraId="489F4DA2">
      <w:pPr>
        <w:spacing w:line="360" w:lineRule="auto"/>
        <w:ind w:left="424" w:leftChars="-1" w:hanging="426" w:hangingChars="203"/>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zh-CN"/>
        </w:rPr>
        <w:t>3.1</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磋商小组成员应当按照客观、公正、审慎的原则，根据竞争性磋商文件规定的评审程序、评审</w:t>
      </w:r>
    </w:p>
    <w:p w14:paraId="0CA0552D">
      <w:pPr>
        <w:spacing w:line="360" w:lineRule="auto"/>
        <w:ind w:firstLine="420" w:firstLineChars="200"/>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rPr>
        <w:t>方法和评审标准进行独立评审</w:t>
      </w:r>
      <w:r>
        <w:rPr>
          <w:rFonts w:hint="eastAsia" w:ascii="宋体" w:hAnsi="宋体" w:eastAsia="宋体" w:cs="宋体"/>
          <w:b w:val="0"/>
          <w:bCs w:val="0"/>
          <w:color w:val="auto"/>
          <w:sz w:val="21"/>
          <w:szCs w:val="21"/>
          <w:highlight w:val="none"/>
          <w:lang w:val="zh-CN"/>
        </w:rPr>
        <w:t>；</w:t>
      </w:r>
    </w:p>
    <w:p w14:paraId="51ED889E">
      <w:pPr>
        <w:spacing w:line="360" w:lineRule="auto"/>
        <w:ind w:left="424" w:hanging="424" w:hangingChars="202"/>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lang w:val="zh-CN"/>
        </w:rPr>
        <w:t>3.2 供应商</w:t>
      </w:r>
      <w:r>
        <w:rPr>
          <w:rFonts w:hint="eastAsia" w:ascii="宋体" w:hAnsi="宋体" w:eastAsia="宋体" w:cs="宋体"/>
          <w:b w:val="0"/>
          <w:bCs w:val="0"/>
          <w:color w:val="auto"/>
          <w:sz w:val="21"/>
          <w:szCs w:val="21"/>
          <w:highlight w:val="none"/>
        </w:rPr>
        <w:t>未实质性响应竞争性磋商文件的响应文件按无效响应处理，磋商小组应当告知提交响应文件的供应商</w:t>
      </w:r>
      <w:r>
        <w:rPr>
          <w:rFonts w:hint="eastAsia" w:ascii="宋体" w:hAnsi="宋体" w:eastAsia="宋体" w:cs="宋体"/>
          <w:b w:val="0"/>
          <w:bCs w:val="0"/>
          <w:color w:val="auto"/>
          <w:sz w:val="21"/>
          <w:szCs w:val="21"/>
          <w:highlight w:val="none"/>
          <w:lang w:val="zh-CN"/>
        </w:rPr>
        <w:t>；</w:t>
      </w:r>
    </w:p>
    <w:p w14:paraId="0727CB64">
      <w:pPr>
        <w:spacing w:line="360" w:lineRule="auto"/>
        <w:ind w:left="424" w:hanging="424" w:hangingChars="202"/>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lang w:val="zh-CN"/>
        </w:rPr>
        <w:t>3.3 竞争性磋商文件内容违反国家有关强制性规定的，磋商小组应当停止评审并</w:t>
      </w:r>
      <w:r>
        <w:rPr>
          <w:rFonts w:hint="eastAsia" w:ascii="宋体" w:hAnsi="宋体" w:eastAsia="宋体" w:cs="宋体"/>
          <w:b w:val="0"/>
          <w:bCs w:val="0"/>
          <w:color w:val="auto"/>
          <w:sz w:val="21"/>
          <w:szCs w:val="21"/>
          <w:highlight w:val="none"/>
          <w:lang w:val="en-US" w:eastAsia="zh-CN"/>
        </w:rPr>
        <w:t>记录</w:t>
      </w:r>
      <w:r>
        <w:rPr>
          <w:rFonts w:hint="eastAsia" w:ascii="宋体" w:hAnsi="宋体" w:eastAsia="宋体" w:cs="宋体"/>
          <w:b w:val="0"/>
          <w:bCs w:val="0"/>
          <w:color w:val="auto"/>
          <w:sz w:val="21"/>
          <w:szCs w:val="21"/>
          <w:highlight w:val="none"/>
          <w:lang w:val="zh-CN"/>
        </w:rPr>
        <w:t>；</w:t>
      </w:r>
    </w:p>
    <w:p w14:paraId="6C96EA8B">
      <w:pPr>
        <w:tabs>
          <w:tab w:val="left" w:pos="675"/>
        </w:tabs>
        <w:spacing w:line="360" w:lineRule="auto"/>
        <w:ind w:left="567" w:hanging="567"/>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lang w:val="zh-CN"/>
        </w:rPr>
        <w:t>3.4 推荐成交候选人名单</w:t>
      </w:r>
      <w:r>
        <w:rPr>
          <w:rFonts w:hint="eastAsia" w:ascii="宋体" w:hAnsi="宋体" w:eastAsia="宋体" w:cs="宋体"/>
          <w:color w:val="auto"/>
          <w:sz w:val="21"/>
          <w:szCs w:val="21"/>
          <w:highlight w:val="none"/>
          <w:lang w:val="zh-CN"/>
        </w:rPr>
        <w:t>及排序</w:t>
      </w:r>
      <w:r>
        <w:rPr>
          <w:rFonts w:hint="eastAsia" w:ascii="宋体" w:hAnsi="宋体" w:eastAsia="宋体" w:cs="宋体"/>
          <w:b w:val="0"/>
          <w:bCs w:val="0"/>
          <w:color w:val="auto"/>
          <w:sz w:val="21"/>
          <w:szCs w:val="21"/>
          <w:highlight w:val="none"/>
          <w:lang w:val="zh-CN"/>
        </w:rPr>
        <w:t>；</w:t>
      </w:r>
    </w:p>
    <w:p w14:paraId="26B6C464">
      <w:pPr>
        <w:spacing w:line="360" w:lineRule="auto"/>
        <w:ind w:left="567" w:hanging="567"/>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lang w:val="zh-CN"/>
        </w:rPr>
        <w:t>3.</w:t>
      </w:r>
      <w:r>
        <w:rPr>
          <w:rFonts w:hint="eastAsia" w:ascii="宋体" w:hAnsi="宋体" w:eastAsia="宋体" w:cs="宋体"/>
          <w:b w:val="0"/>
          <w:bCs w:val="0"/>
          <w:color w:val="auto"/>
          <w:sz w:val="21"/>
          <w:szCs w:val="21"/>
          <w:highlight w:val="none"/>
        </w:rPr>
        <w:t xml:space="preserve">5 </w:t>
      </w:r>
      <w:r>
        <w:rPr>
          <w:rFonts w:hint="eastAsia" w:ascii="宋体" w:hAnsi="宋体" w:eastAsia="宋体" w:cs="宋体"/>
          <w:b w:val="0"/>
          <w:bCs w:val="0"/>
          <w:color w:val="auto"/>
          <w:sz w:val="21"/>
          <w:szCs w:val="21"/>
          <w:highlight w:val="none"/>
          <w:lang w:val="zh-CN"/>
        </w:rPr>
        <w:t>向</w:t>
      </w:r>
      <w:r>
        <w:rPr>
          <w:rFonts w:hint="eastAsia" w:ascii="宋体" w:hAnsi="宋体" w:eastAsia="宋体" w:cs="宋体"/>
          <w:b w:val="0"/>
          <w:bCs w:val="0"/>
          <w:color w:val="auto"/>
          <w:sz w:val="21"/>
          <w:szCs w:val="21"/>
          <w:highlight w:val="none"/>
        </w:rPr>
        <w:t>采购</w:t>
      </w:r>
      <w:r>
        <w:rPr>
          <w:rFonts w:hint="eastAsia" w:ascii="宋体" w:hAnsi="宋体" w:eastAsia="宋体" w:cs="宋体"/>
          <w:b w:val="0"/>
          <w:bCs w:val="0"/>
          <w:color w:val="auto"/>
          <w:sz w:val="21"/>
          <w:szCs w:val="21"/>
          <w:highlight w:val="none"/>
          <w:lang w:val="zh-CN"/>
        </w:rPr>
        <w:t>人、</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val="zh-CN"/>
        </w:rPr>
        <w:t>代理机构</w:t>
      </w:r>
      <w:r>
        <w:rPr>
          <w:rFonts w:hint="eastAsia" w:ascii="宋体" w:hAnsi="宋体" w:eastAsia="宋体" w:cs="宋体"/>
          <w:b w:val="0"/>
          <w:bCs w:val="0"/>
          <w:color w:val="auto"/>
          <w:sz w:val="21"/>
          <w:szCs w:val="21"/>
          <w:highlight w:val="none"/>
          <w:lang w:val="zh-CN"/>
        </w:rPr>
        <w:t>或者有关部门报告非法干预评审工作的行为。</w:t>
      </w:r>
    </w:p>
    <w:p w14:paraId="5442A7F1">
      <w:pPr>
        <w:spacing w:line="360" w:lineRule="auto"/>
        <w:rPr>
          <w:rFonts w:hint="eastAsia" w:ascii="宋体" w:hAnsi="宋体" w:eastAsia="宋体" w:cs="宋体"/>
          <w:color w:val="auto"/>
          <w:highlight w:val="none"/>
          <w:lang w:val="zh-CN"/>
        </w:rPr>
      </w:pPr>
    </w:p>
    <w:p w14:paraId="756881FB">
      <w:pPr>
        <w:tabs>
          <w:tab w:val="left" w:pos="405"/>
        </w:tabs>
        <w:spacing w:line="360" w:lineRule="auto"/>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4、</w:t>
      </w:r>
      <w:r>
        <w:rPr>
          <w:rFonts w:hint="eastAsia" w:ascii="宋体" w:hAnsi="宋体" w:eastAsia="宋体" w:cs="宋体"/>
          <w:b/>
          <w:bCs/>
          <w:color w:val="auto"/>
          <w:kern w:val="2"/>
          <w:sz w:val="21"/>
          <w:highlight w:val="none"/>
          <w:lang w:val="zh-CN"/>
        </w:rPr>
        <w:tab/>
      </w:r>
      <w:r>
        <w:rPr>
          <w:rFonts w:hint="eastAsia" w:ascii="宋体" w:hAnsi="宋体" w:eastAsia="宋体" w:cs="宋体"/>
          <w:b/>
          <w:bCs/>
          <w:color w:val="auto"/>
          <w:kern w:val="2"/>
          <w:sz w:val="21"/>
          <w:highlight w:val="none"/>
          <w:lang w:val="zh-CN"/>
        </w:rPr>
        <w:t>磋商小组</w:t>
      </w:r>
      <w:r>
        <w:rPr>
          <w:rFonts w:hint="eastAsia" w:ascii="宋体" w:hAnsi="宋体" w:eastAsia="宋体" w:cs="宋体"/>
          <w:b/>
          <w:bCs/>
          <w:color w:val="auto"/>
          <w:kern w:val="2"/>
          <w:sz w:val="21"/>
          <w:szCs w:val="21"/>
          <w:highlight w:val="none"/>
          <w:lang w:val="zh-CN"/>
        </w:rPr>
        <w:t>义务</w:t>
      </w:r>
    </w:p>
    <w:p w14:paraId="7606893E">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4.1 遵纪守法，客观、公正、廉洁地履行职责；</w:t>
      </w:r>
    </w:p>
    <w:p w14:paraId="6446DCE6">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4.2 按照竞争性磋商文件规定的评审方法和评审标准进行评审，对评审意见承担个人责任；</w:t>
      </w:r>
    </w:p>
    <w:p w14:paraId="7CE538E9">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4.3 对磋商过程和结果，以及供应商的商业秘密保密；</w:t>
      </w:r>
    </w:p>
    <w:p w14:paraId="168C4EDD">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4.4 参与评审报告的起草；</w:t>
      </w:r>
    </w:p>
    <w:p w14:paraId="5ECB17CD">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4.5 配合有关部门的投诉处理工作；</w:t>
      </w:r>
    </w:p>
    <w:p w14:paraId="636F7C19">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4.6 配合</w:t>
      </w:r>
      <w:r>
        <w:rPr>
          <w:rFonts w:hint="eastAsia" w:ascii="宋体" w:hAnsi="宋体" w:eastAsia="宋体" w:cs="宋体"/>
          <w:color w:val="auto"/>
          <w:sz w:val="21"/>
          <w:highlight w:val="none"/>
          <w:lang w:val="en-US" w:eastAsia="zh-CN"/>
        </w:rPr>
        <w:t>采购</w:t>
      </w:r>
      <w:r>
        <w:rPr>
          <w:rFonts w:hint="eastAsia" w:ascii="宋体" w:hAnsi="宋体" w:eastAsia="宋体" w:cs="宋体"/>
          <w:color w:val="auto"/>
          <w:sz w:val="21"/>
          <w:highlight w:val="none"/>
          <w:lang w:val="zh-CN"/>
        </w:rPr>
        <w:t>人、</w:t>
      </w:r>
      <w:r>
        <w:rPr>
          <w:rFonts w:hint="eastAsia" w:ascii="宋体" w:hAnsi="宋体" w:eastAsia="宋体" w:cs="宋体"/>
          <w:color w:val="auto"/>
          <w:sz w:val="21"/>
          <w:highlight w:val="none"/>
          <w:lang w:val="en-US" w:eastAsia="zh-CN"/>
        </w:rPr>
        <w:t>采购</w:t>
      </w:r>
      <w:r>
        <w:rPr>
          <w:rFonts w:hint="eastAsia" w:ascii="宋体" w:hAnsi="宋体" w:eastAsia="宋体" w:cs="宋体"/>
          <w:color w:val="auto"/>
          <w:sz w:val="21"/>
          <w:highlight w:val="none"/>
          <w:lang w:val="zh-CN"/>
        </w:rPr>
        <w:t>代理机构答复供应商提出的</w:t>
      </w:r>
      <w:r>
        <w:rPr>
          <w:rFonts w:hint="eastAsia" w:ascii="宋体" w:hAnsi="宋体" w:eastAsia="宋体" w:cs="宋体"/>
          <w:color w:val="auto"/>
          <w:sz w:val="21"/>
          <w:highlight w:val="none"/>
          <w:lang w:val="en-US" w:eastAsia="zh-CN"/>
        </w:rPr>
        <w:t>异议</w:t>
      </w:r>
      <w:r>
        <w:rPr>
          <w:rFonts w:hint="eastAsia" w:ascii="宋体" w:hAnsi="宋体" w:eastAsia="宋体" w:cs="宋体"/>
          <w:color w:val="auto"/>
          <w:sz w:val="21"/>
          <w:highlight w:val="none"/>
          <w:lang w:val="zh-CN"/>
        </w:rPr>
        <w:t>。</w:t>
      </w:r>
    </w:p>
    <w:p w14:paraId="47EFDE36">
      <w:pPr>
        <w:spacing w:line="360" w:lineRule="auto"/>
        <w:rPr>
          <w:rFonts w:hint="eastAsia" w:ascii="宋体" w:hAnsi="宋体" w:eastAsia="宋体" w:cs="宋体"/>
          <w:color w:val="auto"/>
          <w:highlight w:val="none"/>
          <w:lang w:val="zh-CN"/>
        </w:rPr>
      </w:pPr>
    </w:p>
    <w:p w14:paraId="1ECD8413">
      <w:pPr>
        <w:tabs>
          <w:tab w:val="left" w:pos="1547"/>
        </w:tabs>
        <w:spacing w:line="360" w:lineRule="auto"/>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5、磋商程序</w:t>
      </w:r>
      <w:r>
        <w:rPr>
          <w:rFonts w:hint="eastAsia" w:ascii="宋体" w:hAnsi="宋体" w:cs="宋体"/>
          <w:b/>
          <w:bCs/>
          <w:color w:val="auto"/>
          <w:kern w:val="2"/>
          <w:sz w:val="21"/>
          <w:szCs w:val="21"/>
          <w:highlight w:val="none"/>
          <w:lang w:val="zh-CN"/>
        </w:rPr>
        <w:t>（</w:t>
      </w:r>
      <w:r>
        <w:rPr>
          <w:rFonts w:hint="eastAsia" w:ascii="宋体" w:hAnsi="宋体" w:cs="宋体"/>
          <w:b/>
          <w:bCs/>
          <w:color w:val="auto"/>
          <w:kern w:val="2"/>
          <w:sz w:val="21"/>
          <w:szCs w:val="21"/>
          <w:highlight w:val="none"/>
          <w:lang w:val="en-US" w:eastAsia="zh-CN"/>
        </w:rPr>
        <w:t>磋商小组将按包组的顺序，以包组为单位分别进行磋商</w:t>
      </w:r>
      <w:r>
        <w:rPr>
          <w:rFonts w:hint="eastAsia" w:ascii="宋体" w:hAnsi="宋体" w:cs="宋体"/>
          <w:b/>
          <w:bCs/>
          <w:color w:val="auto"/>
          <w:kern w:val="2"/>
          <w:sz w:val="21"/>
          <w:szCs w:val="21"/>
          <w:highlight w:val="none"/>
          <w:lang w:val="zh-CN"/>
        </w:rPr>
        <w:t>）</w:t>
      </w:r>
    </w:p>
    <w:p w14:paraId="6D3771A0">
      <w:pPr>
        <w:spacing w:line="360" w:lineRule="auto"/>
        <w:ind w:left="426" w:hanging="426"/>
        <w:jc w:val="both"/>
        <w:rPr>
          <w:rFonts w:hint="eastAsia" w:ascii="宋体" w:hAnsi="宋体" w:eastAsia="宋体" w:cs="宋体"/>
          <w:bCs/>
          <w:color w:val="auto"/>
          <w:kern w:val="2"/>
          <w:sz w:val="21"/>
          <w:highlight w:val="none"/>
          <w:lang w:val="zh-CN"/>
        </w:rPr>
      </w:pPr>
      <w:r>
        <w:rPr>
          <w:rFonts w:hint="eastAsia" w:ascii="宋体" w:hAnsi="宋体" w:eastAsia="宋体" w:cs="宋体"/>
          <w:bCs/>
          <w:color w:val="auto"/>
          <w:kern w:val="2"/>
          <w:sz w:val="21"/>
          <w:highlight w:val="none"/>
          <w:lang w:val="zh-CN"/>
        </w:rPr>
        <w:t>5.1</w:t>
      </w:r>
      <w:r>
        <w:rPr>
          <w:rFonts w:hint="eastAsia" w:ascii="宋体" w:hAnsi="宋体" w:eastAsia="宋体" w:cs="宋体"/>
          <w:bCs/>
          <w:color w:val="auto"/>
          <w:kern w:val="2"/>
          <w:sz w:val="21"/>
          <w:highlight w:val="none"/>
          <w:lang w:val="en-US" w:eastAsia="zh-CN"/>
        </w:rPr>
        <w:t xml:space="preserve"> 评审</w:t>
      </w:r>
      <w:r>
        <w:rPr>
          <w:rFonts w:hint="eastAsia" w:ascii="宋体" w:hAnsi="宋体" w:eastAsia="宋体" w:cs="宋体"/>
          <w:bCs/>
          <w:color w:val="auto"/>
          <w:kern w:val="2"/>
          <w:sz w:val="21"/>
          <w:highlight w:val="none"/>
          <w:lang w:val="zh-CN"/>
        </w:rPr>
        <w:t>首先由磋商小组对供应商的响应文件</w:t>
      </w:r>
      <w:r>
        <w:rPr>
          <w:rFonts w:hint="eastAsia" w:ascii="宋体" w:hAnsi="宋体" w:eastAsia="宋体" w:cs="宋体"/>
          <w:bCs/>
          <w:color w:val="auto"/>
          <w:kern w:val="2"/>
          <w:sz w:val="21"/>
          <w:highlight w:val="none"/>
          <w:lang w:val="en-US" w:eastAsia="zh-CN"/>
        </w:rPr>
        <w:t>做资格性检查</w:t>
      </w:r>
      <w:r>
        <w:rPr>
          <w:rFonts w:hint="eastAsia" w:ascii="宋体" w:hAnsi="宋体" w:eastAsia="宋体" w:cs="宋体"/>
          <w:b w:val="0"/>
          <w:bCs/>
          <w:color w:val="auto"/>
          <w:kern w:val="2"/>
          <w:sz w:val="21"/>
          <w:highlight w:val="none"/>
          <w:lang w:val="en-US" w:eastAsia="zh-CN"/>
        </w:rPr>
        <w:t>，对未能通过初审的响应文件不再进入下一阶段磋商。</w:t>
      </w:r>
    </w:p>
    <w:p w14:paraId="2AA24680">
      <w:pPr>
        <w:spacing w:line="360" w:lineRule="auto"/>
        <w:ind w:left="426" w:hanging="426"/>
        <w:jc w:val="both"/>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zh-CN"/>
        </w:rPr>
        <w:t xml:space="preserve">5.2 </w:t>
      </w:r>
      <w:r>
        <w:rPr>
          <w:rFonts w:hint="eastAsia" w:ascii="宋体" w:hAnsi="宋体" w:eastAsia="宋体" w:cs="宋体"/>
          <w:color w:val="auto"/>
          <w:kern w:val="2"/>
          <w:sz w:val="21"/>
          <w:szCs w:val="21"/>
          <w:highlight w:val="none"/>
          <w:lang w:val="zh-CN"/>
        </w:rPr>
        <w:t>磋商小组将集中与单一通过初审的供应商（以响应供应商签到</w:t>
      </w:r>
      <w:r>
        <w:rPr>
          <w:rFonts w:hint="eastAsia" w:ascii="宋体" w:hAnsi="宋体" w:eastAsia="宋体" w:cs="宋体"/>
          <w:color w:val="auto"/>
          <w:kern w:val="2"/>
          <w:sz w:val="21"/>
          <w:szCs w:val="21"/>
          <w:highlight w:val="none"/>
          <w:lang w:val="en-US" w:eastAsia="zh-CN"/>
        </w:rPr>
        <w:t>时间</w:t>
      </w:r>
      <w:r>
        <w:rPr>
          <w:rFonts w:hint="eastAsia" w:ascii="宋体" w:hAnsi="宋体" w:eastAsia="宋体" w:cs="宋体"/>
          <w:color w:val="auto"/>
          <w:kern w:val="2"/>
          <w:sz w:val="21"/>
          <w:szCs w:val="21"/>
          <w:highlight w:val="none"/>
          <w:lang w:val="zh-CN"/>
        </w:rPr>
        <w:t>顺序为准）分别进行</w:t>
      </w:r>
      <w:r>
        <w:rPr>
          <w:rFonts w:hint="eastAsia" w:ascii="宋体" w:hAnsi="宋体" w:eastAsia="宋体" w:cs="宋体"/>
          <w:color w:val="auto"/>
          <w:kern w:val="2"/>
          <w:sz w:val="21"/>
          <w:szCs w:val="21"/>
          <w:highlight w:val="none"/>
          <w:lang w:val="en-US" w:eastAsia="zh-CN"/>
        </w:rPr>
        <w:t>现场</w:t>
      </w:r>
      <w:r>
        <w:rPr>
          <w:rFonts w:hint="eastAsia" w:ascii="宋体" w:hAnsi="宋体" w:eastAsia="宋体" w:cs="宋体"/>
          <w:color w:val="auto"/>
          <w:kern w:val="2"/>
          <w:sz w:val="21"/>
          <w:szCs w:val="21"/>
          <w:highlight w:val="none"/>
          <w:lang w:val="zh-CN"/>
        </w:rPr>
        <w:t>磋商，并给予所有参加磋商的响应供应商平等的磋商机会。</w:t>
      </w:r>
      <w:r>
        <w:rPr>
          <w:rFonts w:hint="eastAsia" w:ascii="宋体" w:hAnsi="宋体" w:eastAsia="宋体" w:cs="宋体"/>
          <w:color w:val="auto"/>
          <w:kern w:val="2"/>
          <w:sz w:val="21"/>
          <w:szCs w:val="21"/>
          <w:highlight w:val="none"/>
          <w:lang w:val="en-US" w:eastAsia="zh-CN"/>
        </w:rPr>
        <w:t>如需要，进行必要的澄清工作。</w:t>
      </w:r>
    </w:p>
    <w:p w14:paraId="66357CDA">
      <w:pPr>
        <w:spacing w:line="360" w:lineRule="auto"/>
        <w:ind w:left="424" w:hanging="424" w:hangingChars="202"/>
        <w:jc w:val="both"/>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zh-CN"/>
        </w:rPr>
        <w:t>5.</w:t>
      </w:r>
      <w:r>
        <w:rPr>
          <w:rFonts w:hint="eastAsia" w:ascii="宋体" w:hAnsi="宋体" w:eastAsia="宋体" w:cs="宋体"/>
          <w:color w:val="auto"/>
          <w:kern w:val="2"/>
          <w:sz w:val="21"/>
          <w:highlight w:val="none"/>
          <w:lang w:val="en-US" w:eastAsia="zh-CN"/>
        </w:rPr>
        <w:t>3</w:t>
      </w:r>
      <w:r>
        <w:rPr>
          <w:rFonts w:hint="eastAsia" w:ascii="宋体" w:hAnsi="宋体" w:eastAsia="宋体" w:cs="宋体"/>
          <w:color w:val="auto"/>
          <w:kern w:val="2"/>
          <w:sz w:val="21"/>
          <w:highlight w:val="none"/>
          <w:lang w:val="zh-CN"/>
        </w:rPr>
        <w:t xml:space="preserve"> </w:t>
      </w:r>
      <w:r>
        <w:rPr>
          <w:rFonts w:hint="eastAsia" w:ascii="宋体" w:hAnsi="宋体" w:eastAsia="宋体" w:cs="宋体"/>
          <w:color w:val="auto"/>
          <w:kern w:val="2"/>
          <w:sz w:val="21"/>
          <w:highlight w:val="none"/>
          <w:lang w:val="en-US" w:eastAsia="zh-CN"/>
        </w:rPr>
        <w:t>磋商小组将逐一对响应文件初审合格的供应商首次报价进行磋商。</w:t>
      </w:r>
    </w:p>
    <w:p w14:paraId="7EA96575">
      <w:pPr>
        <w:spacing w:line="360" w:lineRule="auto"/>
        <w:ind w:left="424" w:hanging="424" w:hangingChars="202"/>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zh-CN"/>
        </w:rPr>
        <w:t>5.</w:t>
      </w:r>
      <w:r>
        <w:rPr>
          <w:rFonts w:hint="eastAsia" w:ascii="宋体" w:hAnsi="宋体" w:eastAsia="宋体" w:cs="宋体"/>
          <w:color w:val="auto"/>
          <w:kern w:val="2"/>
          <w:sz w:val="21"/>
          <w:highlight w:val="none"/>
          <w:lang w:val="en-US" w:eastAsia="zh-CN"/>
        </w:rPr>
        <w:t>4</w:t>
      </w:r>
      <w:r>
        <w:rPr>
          <w:rFonts w:hint="eastAsia" w:ascii="宋体" w:hAnsi="宋体" w:eastAsia="宋体" w:cs="宋体"/>
          <w:color w:val="auto"/>
          <w:kern w:val="2"/>
          <w:sz w:val="21"/>
          <w:highlight w:val="none"/>
          <w:lang w:val="zh-CN"/>
        </w:rPr>
        <w:t xml:space="preserve"> </w:t>
      </w:r>
      <w:r>
        <w:rPr>
          <w:rFonts w:hint="eastAsia" w:ascii="宋体" w:hAnsi="宋体" w:eastAsia="宋体" w:cs="宋体"/>
          <w:color w:val="auto"/>
          <w:kern w:val="2"/>
          <w:sz w:val="21"/>
          <w:highlight w:val="none"/>
        </w:rPr>
        <w:t>在磋商过程中，磋商小组可以根据竞争性磋商文件和磋商情况实质性变动采购需求中的技术、服务要求以及合同草案条款，但不得变动竞争性磋商文件中的其他内容。实质性变动的内容，</w:t>
      </w:r>
      <w:r>
        <w:rPr>
          <w:rFonts w:hint="eastAsia" w:ascii="宋体" w:hAnsi="宋体" w:eastAsia="宋体" w:cs="宋体"/>
          <w:color w:val="auto"/>
          <w:kern w:val="2"/>
          <w:sz w:val="21"/>
          <w:highlight w:val="none"/>
          <w:lang w:val="en-US" w:eastAsia="zh-CN"/>
        </w:rPr>
        <w:t>须经采购人确认，</w:t>
      </w:r>
      <w:r>
        <w:rPr>
          <w:rFonts w:hint="eastAsia" w:ascii="宋体" w:hAnsi="宋体" w:eastAsia="宋体" w:cs="宋体"/>
          <w:color w:val="auto"/>
          <w:kern w:val="2"/>
          <w:sz w:val="21"/>
          <w:highlight w:val="none"/>
        </w:rPr>
        <w:t>对竞争性磋商文件作出的实质性变动是竞争性磋商文件的有效组成部分，磋商小组应当及时以书面形式同时通知所有参加磋商的供应商。</w:t>
      </w:r>
    </w:p>
    <w:p w14:paraId="0E1791EA">
      <w:pPr>
        <w:spacing w:line="360" w:lineRule="auto"/>
        <w:ind w:left="424" w:hanging="424" w:hangingChars="202"/>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5.</w:t>
      </w:r>
      <w:r>
        <w:rPr>
          <w:rFonts w:hint="eastAsia" w:ascii="宋体" w:hAnsi="宋体" w:eastAsia="宋体" w:cs="宋体"/>
          <w:color w:val="auto"/>
          <w:kern w:val="2"/>
          <w:sz w:val="21"/>
          <w:highlight w:val="none"/>
          <w:lang w:val="en-US" w:eastAsia="zh-CN"/>
        </w:rPr>
        <w:t>5</w:t>
      </w:r>
      <w:r>
        <w:rPr>
          <w:rFonts w:hint="eastAsia" w:ascii="宋体" w:hAnsi="宋体" w:eastAsia="宋体" w:cs="宋体"/>
          <w:color w:val="auto"/>
          <w:kern w:val="2"/>
          <w:sz w:val="21"/>
          <w:highlight w:val="none"/>
          <w:lang w:val="zh-CN"/>
        </w:rPr>
        <w:t xml:space="preserve"> </w:t>
      </w:r>
      <w:r>
        <w:rPr>
          <w:rFonts w:hint="eastAsia" w:ascii="宋体" w:hAnsi="宋体" w:eastAsia="宋体" w:cs="宋体"/>
          <w:color w:val="auto"/>
          <w:kern w:val="2"/>
          <w:sz w:val="21"/>
          <w:highlight w:val="none"/>
          <w:lang w:val="en-US" w:eastAsia="zh-CN"/>
        </w:rPr>
        <w:t>供应商应当按照竞争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24B4446B">
      <w:pPr>
        <w:spacing w:line="360" w:lineRule="auto"/>
        <w:ind w:left="462" w:leftChars="0" w:hanging="462" w:hangingChars="22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5.6</w:t>
      </w:r>
      <w:r>
        <w:rPr>
          <w:rFonts w:hint="eastAsia" w:ascii="宋体" w:hAnsi="宋体" w:eastAsia="宋体" w:cs="宋体"/>
          <w:color w:val="auto"/>
          <w:kern w:val="2"/>
          <w:sz w:val="21"/>
          <w:highlight w:val="none"/>
          <w:lang w:val="en-US" w:eastAsia="zh-CN"/>
        </w:rPr>
        <w:t xml:space="preserve"> </w:t>
      </w:r>
      <w:r>
        <w:rPr>
          <w:rFonts w:hint="eastAsia" w:ascii="宋体" w:hAnsi="宋体" w:eastAsia="宋体" w:cs="宋体"/>
          <w:b w:val="0"/>
          <w:bCs w:val="0"/>
          <w:color w:val="auto"/>
          <w:kern w:val="2"/>
          <w:sz w:val="21"/>
          <w:szCs w:val="21"/>
          <w:highlight w:val="none"/>
          <w:u w:val="none"/>
          <w:lang w:val="zh-CN" w:eastAsia="zh-CN"/>
        </w:rPr>
        <w:t>竞争性磋商文件能够详细列明采购标的的技术、服务要求的，</w:t>
      </w:r>
      <w:r>
        <w:rPr>
          <w:rFonts w:hint="eastAsia" w:ascii="宋体" w:hAnsi="宋体" w:eastAsia="宋体" w:cs="宋体"/>
          <w:b w:val="0"/>
          <w:bCs w:val="0"/>
          <w:color w:val="auto"/>
          <w:kern w:val="2"/>
          <w:sz w:val="21"/>
          <w:szCs w:val="21"/>
          <w:highlight w:val="none"/>
          <w:u w:val="none"/>
          <w:lang w:val="zh-CN"/>
        </w:rPr>
        <w:t>磋商结束后，所有作出实质性响应的有效供应商应在规定的时间内集中密封提交最后报价（</w:t>
      </w:r>
      <w:r>
        <w:rPr>
          <w:rFonts w:hint="eastAsia" w:ascii="宋体" w:hAnsi="宋体" w:eastAsia="宋体" w:cs="宋体"/>
          <w:b w:val="0"/>
          <w:bCs w:val="0"/>
          <w:color w:val="auto"/>
          <w:kern w:val="2"/>
          <w:sz w:val="21"/>
          <w:szCs w:val="21"/>
          <w:highlight w:val="none"/>
          <w:u w:val="none"/>
          <w:lang w:val="en-US" w:eastAsia="zh-CN"/>
        </w:rPr>
        <w:t>最后报价时间视磋商进程由磋商小组决定</w:t>
      </w:r>
      <w:r>
        <w:rPr>
          <w:rFonts w:hint="eastAsia" w:ascii="宋体" w:hAnsi="宋体" w:eastAsia="宋体" w:cs="宋体"/>
          <w:b w:val="0"/>
          <w:bCs w:val="0"/>
          <w:color w:val="auto"/>
          <w:kern w:val="2"/>
          <w:sz w:val="21"/>
          <w:szCs w:val="21"/>
          <w:highlight w:val="none"/>
          <w:u w:val="none"/>
          <w:lang w:val="zh-CN"/>
        </w:rPr>
        <w:t>），最后报价是供应商响应文件的有效组成部分。</w:t>
      </w:r>
      <w:r>
        <w:rPr>
          <w:rFonts w:hint="eastAsia" w:ascii="宋体" w:hAnsi="宋体" w:eastAsia="宋体" w:cs="宋体"/>
          <w:b/>
          <w:bCs/>
          <w:color w:val="auto"/>
          <w:kern w:val="2"/>
          <w:sz w:val="21"/>
          <w:szCs w:val="21"/>
          <w:highlight w:val="none"/>
          <w:u w:val="single"/>
          <w:lang w:val="zh-CN"/>
        </w:rPr>
        <w:t>如在磋商中磋商小组没有对本磋商文件作实质性变动增加新的需求，后一轮报价不得高于前一轮报价</w:t>
      </w:r>
      <w:r>
        <w:rPr>
          <w:rFonts w:hint="eastAsia" w:ascii="宋体" w:hAnsi="宋体" w:eastAsia="宋体" w:cs="宋体"/>
          <w:color w:val="auto"/>
          <w:kern w:val="2"/>
          <w:sz w:val="21"/>
          <w:szCs w:val="21"/>
          <w:highlight w:val="none"/>
          <w:lang w:val="zh-CN"/>
        </w:rPr>
        <w:t>。</w:t>
      </w:r>
    </w:p>
    <w:p w14:paraId="1800C638">
      <w:pPr>
        <w:spacing w:line="360" w:lineRule="auto"/>
        <w:ind w:left="424" w:leftChars="-12" w:hanging="453" w:hangingChars="216"/>
        <w:jc w:val="both"/>
        <w:rPr>
          <w:rFonts w:hint="eastAsia" w:ascii="宋体" w:hAnsi="宋体" w:eastAsia="宋体" w:cs="宋体"/>
          <w:bCs/>
          <w:color w:val="auto"/>
          <w:kern w:val="2"/>
          <w:sz w:val="21"/>
          <w:highlight w:val="none"/>
          <w:lang w:val="zh-CN"/>
        </w:rPr>
      </w:pPr>
      <w:r>
        <w:rPr>
          <w:rFonts w:hint="eastAsia" w:ascii="宋体" w:hAnsi="宋体" w:eastAsia="宋体" w:cs="宋体"/>
          <w:color w:val="auto"/>
          <w:kern w:val="2"/>
          <w:sz w:val="21"/>
          <w:highlight w:val="none"/>
          <w:u w:val="none"/>
          <w:lang w:val="zh-CN"/>
        </w:rPr>
        <w:t>5.</w:t>
      </w:r>
      <w:r>
        <w:rPr>
          <w:rFonts w:hint="eastAsia" w:ascii="宋体" w:hAnsi="宋体" w:eastAsia="宋体" w:cs="宋体"/>
          <w:color w:val="auto"/>
          <w:kern w:val="2"/>
          <w:sz w:val="21"/>
          <w:highlight w:val="none"/>
          <w:u w:val="none"/>
          <w:lang w:val="en-US" w:eastAsia="zh-CN"/>
        </w:rPr>
        <w:t>7</w:t>
      </w:r>
      <w:r>
        <w:rPr>
          <w:rFonts w:hint="eastAsia" w:ascii="宋体" w:hAnsi="宋体" w:eastAsia="宋体" w:cs="宋体"/>
          <w:color w:val="auto"/>
          <w:kern w:val="2"/>
          <w:sz w:val="21"/>
          <w:highlight w:val="none"/>
          <w:u w:val="none"/>
          <w:lang w:val="zh-CN"/>
        </w:rPr>
        <w:t xml:space="preserve"> </w:t>
      </w:r>
      <w:r>
        <w:rPr>
          <w:rFonts w:hint="eastAsia" w:ascii="宋体" w:hAnsi="宋体" w:eastAsia="宋体" w:cs="宋体"/>
          <w:color w:val="auto"/>
          <w:kern w:val="2"/>
          <w:sz w:val="21"/>
          <w:highlight w:val="none"/>
          <w:u w:val="none"/>
          <w:lang w:val="en-US" w:eastAsia="zh-CN"/>
        </w:rPr>
        <w:t>根据评分标准以及各项权重，磋商小组各成员单独就每个供应商的商务状况、技术状况进行比较和评价，评出其商务得分和技术得分。</w:t>
      </w:r>
    </w:p>
    <w:p w14:paraId="1BA0EB79">
      <w:pPr>
        <w:spacing w:line="360" w:lineRule="auto"/>
        <w:ind w:left="426" w:hanging="426"/>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5.</w:t>
      </w:r>
      <w:r>
        <w:rPr>
          <w:rFonts w:hint="eastAsia" w:ascii="宋体" w:hAnsi="宋体" w:eastAsia="宋体" w:cs="宋体"/>
          <w:color w:val="auto"/>
          <w:kern w:val="2"/>
          <w:sz w:val="21"/>
          <w:highlight w:val="none"/>
          <w:lang w:val="en-US" w:eastAsia="zh-CN"/>
        </w:rPr>
        <w:t>8</w:t>
      </w:r>
      <w:r>
        <w:rPr>
          <w:rFonts w:hint="eastAsia" w:ascii="宋体" w:hAnsi="宋体" w:eastAsia="宋体" w:cs="宋体"/>
          <w:color w:val="auto"/>
          <w:kern w:val="2"/>
          <w:sz w:val="21"/>
          <w:highlight w:val="none"/>
          <w:lang w:val="zh-CN"/>
        </w:rPr>
        <w:t xml:space="preserve"> 对有效供应商的磋商报价进行审查和价格评分。</w:t>
      </w:r>
    </w:p>
    <w:p w14:paraId="1EA9718F">
      <w:pPr>
        <w:keepNext w:val="0"/>
        <w:keepLines w:val="0"/>
        <w:pageBreakBefore w:val="0"/>
        <w:widowControl w:val="0"/>
        <w:kinsoku/>
        <w:wordWrap/>
        <w:overflowPunct/>
        <w:topLinePunct w:val="0"/>
        <w:autoSpaceDE w:val="0"/>
        <w:autoSpaceDN w:val="0"/>
        <w:bidi w:val="0"/>
        <w:adjustRightInd w:val="0"/>
        <w:snapToGrid/>
        <w:spacing w:line="360" w:lineRule="auto"/>
        <w:ind w:left="422" w:right="51" w:hanging="424" w:hangingChars="201"/>
        <w:jc w:val="both"/>
        <w:textAlignment w:val="auto"/>
        <w:rPr>
          <w:rFonts w:hint="eastAsia" w:ascii="宋体" w:hAnsi="宋体" w:eastAsia="宋体" w:cs="宋体"/>
          <w:b/>
          <w:bCs/>
          <w:color w:val="auto"/>
          <w:kern w:val="2"/>
          <w:sz w:val="21"/>
          <w:highlight w:val="none"/>
          <w:lang w:val="zh-CN"/>
        </w:rPr>
      </w:pPr>
      <w:r>
        <w:rPr>
          <w:rFonts w:hint="eastAsia" w:ascii="宋体" w:hAnsi="宋体" w:eastAsia="宋体" w:cs="宋体"/>
          <w:b/>
          <w:bCs/>
          <w:color w:val="auto"/>
          <w:kern w:val="2"/>
          <w:sz w:val="21"/>
          <w:highlight w:val="none"/>
          <w:lang w:val="zh-CN"/>
        </w:rPr>
        <w:t>5.</w:t>
      </w:r>
      <w:r>
        <w:rPr>
          <w:rFonts w:hint="eastAsia" w:ascii="宋体" w:hAnsi="宋体" w:eastAsia="宋体" w:cs="宋体"/>
          <w:b/>
          <w:bCs/>
          <w:color w:val="auto"/>
          <w:kern w:val="2"/>
          <w:sz w:val="21"/>
          <w:highlight w:val="none"/>
          <w:lang w:val="en-US" w:eastAsia="zh-CN"/>
        </w:rPr>
        <w:t>9</w:t>
      </w:r>
      <w:r>
        <w:rPr>
          <w:rFonts w:hint="eastAsia" w:ascii="宋体" w:hAnsi="宋体" w:eastAsia="宋体" w:cs="宋体"/>
          <w:b/>
          <w:bCs/>
          <w:color w:val="auto"/>
          <w:kern w:val="2"/>
          <w:sz w:val="21"/>
          <w:highlight w:val="none"/>
          <w:lang w:val="zh-CN"/>
        </w:rPr>
        <w:t xml:space="preserve"> </w:t>
      </w:r>
      <w:r>
        <w:rPr>
          <w:rFonts w:hint="eastAsia" w:ascii="宋体" w:hAnsi="宋体" w:eastAsia="宋体" w:cs="宋体"/>
          <w:b/>
          <w:bCs/>
          <w:color w:val="auto"/>
          <w:kern w:val="2"/>
          <w:sz w:val="21"/>
          <w:highlight w:val="none"/>
          <w:u w:val="single"/>
          <w:lang w:val="zh-CN"/>
        </w:rPr>
        <w:t>磋商小组</w:t>
      </w:r>
      <w:r>
        <w:rPr>
          <w:rFonts w:hint="eastAsia" w:ascii="宋体" w:hAnsi="宋体" w:eastAsia="宋体" w:cs="宋体"/>
          <w:b/>
          <w:bCs/>
          <w:color w:val="auto"/>
          <w:sz w:val="21"/>
          <w:szCs w:val="21"/>
          <w:highlight w:val="none"/>
          <w:u w:val="single"/>
        </w:rPr>
        <w:t>将向采购人推荐</w:t>
      </w:r>
      <w:r>
        <w:rPr>
          <w:rFonts w:hint="eastAsia" w:ascii="宋体" w:hAnsi="宋体" w:cs="宋体"/>
          <w:b/>
          <w:bCs/>
          <w:color w:val="auto"/>
          <w:sz w:val="21"/>
          <w:szCs w:val="21"/>
          <w:highlight w:val="none"/>
          <w:u w:val="single"/>
          <w:lang w:val="en-US" w:eastAsia="zh-CN"/>
        </w:rPr>
        <w:t>对应包组</w:t>
      </w:r>
      <w:r>
        <w:rPr>
          <w:rFonts w:hint="eastAsia" w:ascii="宋体" w:hAnsi="宋体" w:eastAsia="宋体" w:cs="宋体"/>
          <w:b/>
          <w:bCs/>
          <w:color w:val="auto"/>
          <w:sz w:val="21"/>
          <w:szCs w:val="21"/>
          <w:highlight w:val="none"/>
          <w:u w:val="single"/>
          <w:lang w:eastAsia="zh-CN"/>
        </w:rPr>
        <w:t>评审</w:t>
      </w:r>
      <w:r>
        <w:rPr>
          <w:rFonts w:hint="eastAsia" w:ascii="宋体" w:hAnsi="宋体" w:eastAsia="宋体" w:cs="宋体"/>
          <w:b/>
          <w:bCs/>
          <w:color w:val="auto"/>
          <w:sz w:val="21"/>
          <w:szCs w:val="21"/>
          <w:highlight w:val="none"/>
          <w:u w:val="single"/>
        </w:rPr>
        <w:t>最后综合得分最高</w:t>
      </w:r>
      <w:r>
        <w:rPr>
          <w:rFonts w:hint="eastAsia" w:ascii="宋体" w:hAnsi="宋体" w:cs="宋体"/>
          <w:b/>
          <w:bCs/>
          <w:color w:val="auto"/>
          <w:sz w:val="21"/>
          <w:szCs w:val="21"/>
          <w:highlight w:val="none"/>
          <w:u w:val="single"/>
          <w:lang w:val="en-US" w:eastAsia="zh-CN"/>
        </w:rPr>
        <w:t>的前二名</w:t>
      </w:r>
      <w:r>
        <w:rPr>
          <w:rFonts w:hint="eastAsia" w:ascii="宋体" w:hAnsi="宋体" w:eastAsia="宋体" w:cs="宋体"/>
          <w:b/>
          <w:bCs/>
          <w:color w:val="auto"/>
          <w:kern w:val="2"/>
          <w:sz w:val="21"/>
          <w:highlight w:val="none"/>
          <w:u w:val="single"/>
          <w:lang w:val="en-US" w:eastAsia="zh-CN"/>
        </w:rPr>
        <w:t>供应商</w:t>
      </w:r>
      <w:r>
        <w:rPr>
          <w:rFonts w:hint="eastAsia" w:ascii="宋体" w:hAnsi="宋体" w:eastAsia="宋体" w:cs="宋体"/>
          <w:b/>
          <w:bCs/>
          <w:color w:val="auto"/>
          <w:kern w:val="2"/>
          <w:sz w:val="21"/>
          <w:highlight w:val="none"/>
          <w:u w:val="single"/>
        </w:rPr>
        <w:t>为</w:t>
      </w:r>
      <w:r>
        <w:rPr>
          <w:rFonts w:hint="eastAsia" w:ascii="宋体" w:hAnsi="宋体" w:cs="宋体"/>
          <w:b/>
          <w:bCs/>
          <w:color w:val="auto"/>
          <w:kern w:val="2"/>
          <w:sz w:val="21"/>
          <w:highlight w:val="none"/>
          <w:u w:val="single"/>
          <w:lang w:val="en-US" w:eastAsia="zh-CN"/>
        </w:rPr>
        <w:t>该包组的</w:t>
      </w:r>
      <w:r>
        <w:rPr>
          <w:rFonts w:hint="eastAsia" w:ascii="宋体" w:hAnsi="宋体" w:eastAsia="宋体" w:cs="宋体"/>
          <w:b/>
          <w:bCs/>
          <w:color w:val="auto"/>
          <w:sz w:val="21"/>
          <w:szCs w:val="21"/>
          <w:highlight w:val="none"/>
          <w:u w:val="single"/>
          <w:lang w:val="en-US" w:eastAsia="zh-CN"/>
        </w:rPr>
        <w:t>成交</w:t>
      </w:r>
      <w:r>
        <w:rPr>
          <w:rFonts w:hint="eastAsia" w:ascii="宋体" w:hAnsi="宋体" w:eastAsia="宋体" w:cs="宋体"/>
          <w:b/>
          <w:bCs/>
          <w:color w:val="auto"/>
          <w:sz w:val="21"/>
          <w:szCs w:val="21"/>
          <w:highlight w:val="none"/>
          <w:u w:val="single"/>
        </w:rPr>
        <w:t>候选人</w:t>
      </w:r>
      <w:r>
        <w:rPr>
          <w:rFonts w:hint="eastAsia" w:ascii="宋体" w:hAnsi="宋体" w:cs="宋体"/>
          <w:b/>
          <w:bCs/>
          <w:color w:val="auto"/>
          <w:sz w:val="21"/>
          <w:szCs w:val="21"/>
          <w:highlight w:val="none"/>
          <w:u w:val="single"/>
          <w:lang w:eastAsia="zh-CN"/>
        </w:rPr>
        <w:t>，</w:t>
      </w:r>
      <w:r>
        <w:rPr>
          <w:rFonts w:hint="eastAsia" w:ascii="宋体" w:hAnsi="宋体" w:cs="宋体"/>
          <w:b/>
          <w:bCs/>
          <w:color w:val="auto"/>
          <w:sz w:val="21"/>
          <w:szCs w:val="21"/>
          <w:highlight w:val="none"/>
          <w:u w:val="single"/>
          <w:lang w:val="en-US" w:eastAsia="zh-CN"/>
        </w:rPr>
        <w:t>并标明排列顺序</w:t>
      </w:r>
      <w:r>
        <w:rPr>
          <w:rFonts w:hint="eastAsia" w:ascii="宋体" w:hAnsi="宋体" w:eastAsia="宋体" w:cs="宋体"/>
          <w:b/>
          <w:bCs/>
          <w:color w:val="auto"/>
          <w:kern w:val="2"/>
          <w:sz w:val="21"/>
          <w:highlight w:val="none"/>
          <w:lang w:val="zh-CN"/>
        </w:rPr>
        <w:t>。</w:t>
      </w:r>
    </w:p>
    <w:p w14:paraId="43C4C2B6">
      <w:pPr>
        <w:tabs>
          <w:tab w:val="left" w:pos="360"/>
        </w:tabs>
        <w:spacing w:line="360" w:lineRule="auto"/>
        <w:ind w:left="645" w:right="51" w:hanging="644" w:hangingChars="307"/>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highlight w:val="none"/>
          <w:lang w:val="zh-CN"/>
        </w:rPr>
        <w:t>5.</w:t>
      </w:r>
      <w:r>
        <w:rPr>
          <w:rFonts w:hint="eastAsia" w:ascii="宋体" w:hAnsi="宋体" w:eastAsia="宋体" w:cs="宋体"/>
          <w:color w:val="auto"/>
          <w:kern w:val="2"/>
          <w:sz w:val="21"/>
          <w:highlight w:val="none"/>
          <w:lang w:val="zh-CN"/>
        </w:rPr>
        <w:t>1</w:t>
      </w:r>
      <w:r>
        <w:rPr>
          <w:rFonts w:hint="eastAsia" w:ascii="宋体" w:hAnsi="宋体" w:eastAsia="宋体" w:cs="宋体"/>
          <w:color w:val="auto"/>
          <w:kern w:val="2"/>
          <w:sz w:val="21"/>
          <w:highlight w:val="none"/>
          <w:lang w:val="en-US" w:eastAsia="zh-CN"/>
        </w:rPr>
        <w:t>0</w:t>
      </w:r>
      <w:r>
        <w:rPr>
          <w:rFonts w:hint="eastAsia" w:ascii="宋体" w:hAnsi="宋体" w:eastAsia="宋体" w:cs="宋体"/>
          <w:color w:val="auto"/>
          <w:kern w:val="2"/>
          <w:sz w:val="21"/>
          <w:highlight w:val="none"/>
          <w:lang w:val="zh-CN"/>
        </w:rPr>
        <w:t xml:space="preserve"> </w:t>
      </w:r>
      <w:r>
        <w:rPr>
          <w:rFonts w:hint="eastAsia" w:ascii="宋体" w:hAnsi="宋体" w:eastAsia="宋体" w:cs="宋体"/>
          <w:color w:val="auto"/>
          <w:sz w:val="21"/>
          <w:highlight w:val="none"/>
          <w:lang w:val="zh-CN"/>
        </w:rPr>
        <w:t>磋商小组</w:t>
      </w:r>
      <w:r>
        <w:rPr>
          <w:rFonts w:hint="eastAsia" w:ascii="宋体" w:hAnsi="宋体" w:eastAsia="宋体" w:cs="宋体"/>
          <w:color w:val="auto"/>
          <w:kern w:val="2"/>
          <w:sz w:val="21"/>
          <w:highlight w:val="none"/>
          <w:lang w:val="zh-CN"/>
        </w:rPr>
        <w:t>根据评审结果编写评审报告。</w:t>
      </w:r>
    </w:p>
    <w:p w14:paraId="171BF155">
      <w:pPr>
        <w:tabs>
          <w:tab w:val="left" w:pos="1140"/>
        </w:tabs>
        <w:spacing w:line="360" w:lineRule="auto"/>
        <w:ind w:firstLine="3213" w:firstLineChars="1000"/>
        <w:rPr>
          <w:rFonts w:hint="eastAsia" w:ascii="宋体" w:hAnsi="宋体" w:eastAsia="宋体" w:cs="宋体"/>
          <w:b/>
          <w:bCs/>
          <w:color w:val="auto"/>
          <w:kern w:val="2"/>
          <w:sz w:val="32"/>
          <w:szCs w:val="32"/>
          <w:highlight w:val="none"/>
        </w:rPr>
      </w:pPr>
    </w:p>
    <w:p w14:paraId="64B8453E">
      <w:pPr>
        <w:tabs>
          <w:tab w:val="left" w:pos="1140"/>
        </w:tabs>
        <w:spacing w:line="360" w:lineRule="auto"/>
        <w:ind w:firstLine="2811" w:firstLineChars="1000"/>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lang w:val="zh-CN"/>
        </w:rPr>
        <w:t>二、响应文件的初审</w:t>
      </w:r>
    </w:p>
    <w:p w14:paraId="5F03DD98">
      <w:pPr>
        <w:spacing w:line="360" w:lineRule="auto"/>
        <w:jc w:val="both"/>
        <w:rPr>
          <w:rFonts w:hint="eastAsia" w:ascii="宋体" w:hAnsi="宋体" w:eastAsia="宋体" w:cs="宋体"/>
          <w:b/>
          <w:color w:val="auto"/>
          <w:kern w:val="2"/>
          <w:sz w:val="21"/>
          <w:highlight w:val="none"/>
          <w:lang w:val="zh-CN"/>
        </w:rPr>
      </w:pPr>
      <w:r>
        <w:rPr>
          <w:rFonts w:hint="eastAsia" w:ascii="宋体" w:hAnsi="宋体" w:eastAsia="宋体" w:cs="宋体"/>
          <w:b/>
          <w:color w:val="auto"/>
          <w:kern w:val="2"/>
          <w:sz w:val="21"/>
          <w:highlight w:val="none"/>
          <w:lang w:val="zh-CN"/>
        </w:rPr>
        <w:t>6、响应文件的初审分为资格性检查和符合性检查。</w:t>
      </w:r>
    </w:p>
    <w:p w14:paraId="16050314">
      <w:pPr>
        <w:spacing w:line="360" w:lineRule="auto"/>
        <w:ind w:left="443" w:leftChars="8" w:hanging="424" w:hangingChars="202"/>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6.1 资格性检查是指磋商小组依据法律法规和竞争性磋商文件的规定，对响应文件中的资格证明</w:t>
      </w:r>
      <w:r>
        <w:rPr>
          <w:rFonts w:hint="eastAsia" w:ascii="宋体" w:hAnsi="宋体" w:eastAsia="宋体" w:cs="宋体"/>
          <w:b w:val="0"/>
          <w:color w:val="auto"/>
          <w:kern w:val="2"/>
          <w:sz w:val="21"/>
          <w:szCs w:val="24"/>
          <w:highlight w:val="none"/>
          <w:lang w:val="zh-CN"/>
        </w:rPr>
        <w:t>、</w:t>
      </w:r>
      <w:r>
        <w:rPr>
          <w:rFonts w:hint="eastAsia" w:ascii="宋体" w:hAnsi="宋体" w:cs="宋体"/>
          <w:b w:val="0"/>
          <w:color w:val="auto"/>
          <w:kern w:val="2"/>
          <w:sz w:val="21"/>
          <w:szCs w:val="24"/>
          <w:highlight w:val="none"/>
          <w:lang w:val="en-US" w:eastAsia="zh-CN"/>
        </w:rPr>
        <w:t>磋商</w:t>
      </w:r>
      <w:r>
        <w:rPr>
          <w:rFonts w:hint="eastAsia" w:ascii="宋体" w:hAnsi="宋体" w:eastAsia="宋体" w:cs="宋体"/>
          <w:b w:val="0"/>
          <w:color w:val="auto"/>
          <w:kern w:val="2"/>
          <w:sz w:val="21"/>
          <w:szCs w:val="24"/>
          <w:highlight w:val="none"/>
          <w:lang w:val="zh-CN"/>
        </w:rPr>
        <w:t>保证金</w:t>
      </w:r>
      <w:r>
        <w:rPr>
          <w:rFonts w:hint="eastAsia" w:ascii="宋体" w:hAnsi="宋体" w:cs="宋体"/>
          <w:b w:val="0"/>
          <w:color w:val="auto"/>
          <w:kern w:val="2"/>
          <w:sz w:val="21"/>
          <w:szCs w:val="24"/>
          <w:highlight w:val="none"/>
          <w:lang w:val="zh-CN"/>
        </w:rPr>
        <w:t>、</w:t>
      </w:r>
      <w:r>
        <w:rPr>
          <w:rFonts w:hint="eastAsia" w:ascii="宋体" w:hAnsi="宋体" w:cs="宋体"/>
          <w:b w:val="0"/>
          <w:color w:val="auto"/>
          <w:kern w:val="2"/>
          <w:sz w:val="21"/>
          <w:szCs w:val="24"/>
          <w:highlight w:val="none"/>
          <w:lang w:val="en-US" w:eastAsia="zh-CN"/>
        </w:rPr>
        <w:t>供应商</w:t>
      </w:r>
      <w:r>
        <w:rPr>
          <w:rFonts w:hint="eastAsia" w:ascii="宋体" w:hAnsi="宋体" w:cs="宋体"/>
          <w:b w:val="0"/>
          <w:color w:val="auto"/>
          <w:kern w:val="2"/>
          <w:sz w:val="21"/>
          <w:szCs w:val="24"/>
          <w:highlight w:val="none"/>
          <w:lang w:val="zh-CN"/>
        </w:rPr>
        <w:t>（含其不具有独立法人资格的分支机构）信用（由</w:t>
      </w:r>
      <w:r>
        <w:rPr>
          <w:rFonts w:hint="eastAsia" w:ascii="宋体" w:hAnsi="宋体" w:cs="宋体"/>
          <w:b w:val="0"/>
          <w:color w:val="auto"/>
          <w:kern w:val="2"/>
          <w:sz w:val="21"/>
          <w:szCs w:val="24"/>
          <w:highlight w:val="none"/>
          <w:lang w:val="en-US" w:eastAsia="zh-CN"/>
        </w:rPr>
        <w:t>采购</w:t>
      </w:r>
      <w:r>
        <w:rPr>
          <w:rFonts w:hint="eastAsia" w:ascii="宋体" w:hAnsi="宋体" w:cs="宋体"/>
          <w:b w:val="0"/>
          <w:color w:val="auto"/>
          <w:kern w:val="2"/>
          <w:sz w:val="21"/>
          <w:szCs w:val="24"/>
          <w:highlight w:val="none"/>
          <w:lang w:val="zh-CN"/>
        </w:rPr>
        <w:t>代理机构在递交</w:t>
      </w:r>
      <w:r>
        <w:rPr>
          <w:rFonts w:hint="eastAsia" w:ascii="宋体" w:hAnsi="宋体" w:cs="宋体"/>
          <w:b w:val="0"/>
          <w:color w:val="auto"/>
          <w:kern w:val="2"/>
          <w:sz w:val="21"/>
          <w:szCs w:val="24"/>
          <w:highlight w:val="none"/>
          <w:lang w:val="en-US" w:eastAsia="zh-CN"/>
        </w:rPr>
        <w:t>响应</w:t>
      </w:r>
      <w:r>
        <w:rPr>
          <w:rFonts w:hint="eastAsia" w:ascii="宋体" w:hAnsi="宋体" w:cs="宋体"/>
          <w:b w:val="0"/>
          <w:color w:val="auto"/>
          <w:kern w:val="2"/>
          <w:sz w:val="21"/>
          <w:szCs w:val="24"/>
          <w:highlight w:val="none"/>
          <w:lang w:val="zh-CN"/>
        </w:rPr>
        <w:t>文件截止时间当天通过“信用中国”网站对</w:t>
      </w:r>
      <w:r>
        <w:rPr>
          <w:rFonts w:hint="eastAsia" w:ascii="宋体" w:hAnsi="宋体" w:cs="宋体"/>
          <w:b w:val="0"/>
          <w:color w:val="auto"/>
          <w:kern w:val="2"/>
          <w:sz w:val="21"/>
          <w:szCs w:val="24"/>
          <w:highlight w:val="none"/>
          <w:lang w:val="en-US" w:eastAsia="zh-CN"/>
        </w:rPr>
        <w:t>供应商</w:t>
      </w:r>
      <w:r>
        <w:rPr>
          <w:rFonts w:hint="eastAsia" w:ascii="宋体" w:hAnsi="宋体" w:cs="宋体"/>
          <w:b w:val="0"/>
          <w:color w:val="auto"/>
          <w:kern w:val="2"/>
          <w:sz w:val="21"/>
          <w:szCs w:val="24"/>
          <w:highlight w:val="none"/>
          <w:lang w:val="zh-CN"/>
        </w:rPr>
        <w:t>信用进行查询，</w:t>
      </w:r>
      <w:r>
        <w:rPr>
          <w:rFonts w:hint="eastAsia" w:ascii="宋体" w:hAnsi="宋体" w:cs="宋体"/>
          <w:b w:val="0"/>
          <w:color w:val="auto"/>
          <w:kern w:val="2"/>
          <w:sz w:val="21"/>
          <w:szCs w:val="24"/>
          <w:highlight w:val="none"/>
          <w:lang w:val="en-US" w:eastAsia="zh-CN"/>
        </w:rPr>
        <w:t>采购</w:t>
      </w:r>
      <w:r>
        <w:rPr>
          <w:rFonts w:hint="eastAsia" w:ascii="宋体" w:hAnsi="宋体" w:cs="宋体"/>
          <w:b w:val="0"/>
          <w:color w:val="auto"/>
          <w:kern w:val="2"/>
          <w:sz w:val="21"/>
          <w:szCs w:val="24"/>
          <w:highlight w:val="none"/>
          <w:lang w:val="zh-CN"/>
        </w:rPr>
        <w:t>代理机构将查询情况提交</w:t>
      </w:r>
      <w:r>
        <w:rPr>
          <w:rFonts w:hint="eastAsia" w:ascii="宋体" w:hAnsi="宋体" w:cs="宋体"/>
          <w:b w:val="0"/>
          <w:color w:val="auto"/>
          <w:kern w:val="2"/>
          <w:sz w:val="21"/>
          <w:szCs w:val="24"/>
          <w:highlight w:val="none"/>
          <w:lang w:val="en-US" w:eastAsia="zh-CN"/>
        </w:rPr>
        <w:t>磋商小组</w:t>
      </w:r>
      <w:r>
        <w:rPr>
          <w:rFonts w:hint="eastAsia" w:ascii="宋体" w:hAnsi="宋体" w:cs="宋体"/>
          <w:b w:val="0"/>
          <w:color w:val="auto"/>
          <w:kern w:val="2"/>
          <w:sz w:val="21"/>
          <w:szCs w:val="24"/>
          <w:highlight w:val="none"/>
          <w:lang w:val="zh-CN"/>
        </w:rPr>
        <w:t>评审）等进行审查，以确定</w:t>
      </w:r>
      <w:r>
        <w:rPr>
          <w:rFonts w:hint="eastAsia" w:ascii="宋体" w:hAnsi="宋体" w:cs="宋体"/>
          <w:b w:val="0"/>
          <w:color w:val="auto"/>
          <w:kern w:val="2"/>
          <w:sz w:val="21"/>
          <w:szCs w:val="24"/>
          <w:highlight w:val="none"/>
          <w:lang w:val="en-US" w:eastAsia="zh-CN"/>
        </w:rPr>
        <w:t>供应商</w:t>
      </w:r>
      <w:r>
        <w:rPr>
          <w:rFonts w:hint="eastAsia" w:ascii="宋体" w:hAnsi="宋体" w:cs="宋体"/>
          <w:b w:val="0"/>
          <w:color w:val="auto"/>
          <w:kern w:val="2"/>
          <w:sz w:val="21"/>
          <w:szCs w:val="24"/>
          <w:highlight w:val="none"/>
          <w:lang w:val="zh-CN"/>
        </w:rPr>
        <w:t>是否具备</w:t>
      </w:r>
      <w:r>
        <w:rPr>
          <w:rFonts w:hint="eastAsia" w:ascii="宋体" w:hAnsi="宋体" w:cs="宋体"/>
          <w:b w:val="0"/>
          <w:color w:val="auto"/>
          <w:kern w:val="2"/>
          <w:sz w:val="21"/>
          <w:szCs w:val="24"/>
          <w:highlight w:val="none"/>
          <w:lang w:val="en-US" w:eastAsia="zh-CN"/>
        </w:rPr>
        <w:t>磋商</w:t>
      </w:r>
      <w:r>
        <w:rPr>
          <w:rFonts w:hint="eastAsia" w:ascii="宋体" w:hAnsi="宋体" w:cs="宋体"/>
          <w:b w:val="0"/>
          <w:color w:val="auto"/>
          <w:kern w:val="2"/>
          <w:sz w:val="21"/>
          <w:szCs w:val="24"/>
          <w:highlight w:val="none"/>
          <w:lang w:val="zh-CN"/>
        </w:rPr>
        <w:t>资格。</w:t>
      </w:r>
    </w:p>
    <w:p w14:paraId="07E7A695">
      <w:pPr>
        <w:spacing w:line="360" w:lineRule="auto"/>
        <w:ind w:left="424" w:hanging="424" w:hangingChars="202"/>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6.2 符合性检查是指磋商小组依据竞争性磋商文件规定，从响应文件的有效性、完整性和对竞争性磋商文件的响应程度进行审查，以确定是否对竞争性磋商文件的实质性要求作出响应。</w:t>
      </w:r>
    </w:p>
    <w:p w14:paraId="407DFF37">
      <w:pPr>
        <w:spacing w:line="360" w:lineRule="auto"/>
        <w:ind w:left="545" w:leftChars="227" w:firstLine="420" w:firstLineChars="2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实质性响应的磋商响应指的是符合竞争性磋商文件要求的全部“★”条款和验收标准而无任何重大偏离或保留。重大偏离或保留系指实质上影响到合同项下的服务范围、质量</w:t>
      </w:r>
      <w:r>
        <w:rPr>
          <w:rFonts w:hint="eastAsia" w:ascii="宋体" w:hAnsi="宋体" w:cs="宋体"/>
          <w:color w:val="auto"/>
          <w:kern w:val="2"/>
          <w:sz w:val="21"/>
          <w:highlight w:val="none"/>
          <w:lang w:val="zh-CN"/>
        </w:rPr>
        <w:t>，</w:t>
      </w:r>
      <w:r>
        <w:rPr>
          <w:rFonts w:hint="eastAsia" w:ascii="宋体" w:hAnsi="宋体" w:cs="宋体"/>
          <w:color w:val="auto"/>
          <w:kern w:val="2"/>
          <w:sz w:val="21"/>
          <w:highlight w:val="none"/>
          <w:lang w:val="en-US" w:eastAsia="zh-CN"/>
        </w:rPr>
        <w:t>或指与竞争性磋商文件有</w:t>
      </w:r>
      <w:r>
        <w:rPr>
          <w:rFonts w:hint="eastAsia" w:ascii="宋体" w:hAnsi="宋体" w:eastAsia="宋体" w:cs="宋体"/>
          <w:color w:val="auto"/>
          <w:kern w:val="2"/>
          <w:sz w:val="21"/>
          <w:highlight w:val="none"/>
          <w:lang w:val="zh-CN"/>
        </w:rPr>
        <w:t>实质不一致，限制了合同项下采购人的权利和承包人的义务, 或对该重大偏离的修改对提交实质性响应磋商的其他供应商将不公平。</w:t>
      </w:r>
    </w:p>
    <w:p w14:paraId="70E7DEBD">
      <w:pPr>
        <w:spacing w:line="360" w:lineRule="auto"/>
        <w:ind w:firstLine="945" w:firstLineChars="4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磋商小组决定竞争性磋商文件的响应性是基于响应文件的内容本身而不靠外部的证据。</w:t>
      </w:r>
    </w:p>
    <w:p w14:paraId="202439FD">
      <w:pPr>
        <w:spacing w:line="360" w:lineRule="auto"/>
        <w:ind w:left="545" w:leftChars="227" w:firstLine="422" w:firstLineChars="200"/>
        <w:jc w:val="both"/>
        <w:rPr>
          <w:rFonts w:hint="eastAsia" w:ascii="宋体" w:hAnsi="宋体" w:eastAsia="宋体" w:cs="宋体"/>
          <w:b/>
          <w:bCs/>
          <w:color w:val="auto"/>
          <w:kern w:val="2"/>
          <w:sz w:val="21"/>
          <w:highlight w:val="none"/>
          <w:lang w:val="zh-CN"/>
        </w:rPr>
      </w:pPr>
      <w:r>
        <w:rPr>
          <w:rFonts w:hint="eastAsia" w:ascii="宋体" w:hAnsi="宋体" w:eastAsia="宋体" w:cs="宋体"/>
          <w:b/>
          <w:bCs/>
          <w:color w:val="auto"/>
          <w:kern w:val="2"/>
          <w:sz w:val="21"/>
          <w:highlight w:val="none"/>
          <w:u w:val="single"/>
          <w:lang w:val="zh-CN"/>
        </w:rPr>
        <w:t>对是否符合实质性响应竞争性磋商文件有争议的响应文件,磋商小组将以记名方式表决,</w:t>
      </w:r>
      <w:r>
        <w:rPr>
          <w:rFonts w:hint="eastAsia" w:ascii="宋体" w:hAnsi="宋体" w:cs="宋体"/>
          <w:b/>
          <w:bCs/>
          <w:color w:val="auto"/>
          <w:kern w:val="2"/>
          <w:sz w:val="21"/>
          <w:highlight w:val="none"/>
          <w:u w:val="single"/>
          <w:lang w:val="en-US" w:eastAsia="zh-CN"/>
        </w:rPr>
        <w:t>根据少数服从多数的原则，获多数表决通过的供应商</w:t>
      </w:r>
      <w:r>
        <w:rPr>
          <w:rFonts w:hint="eastAsia" w:ascii="宋体" w:hAnsi="宋体" w:eastAsia="宋体" w:cs="宋体"/>
          <w:b/>
          <w:bCs/>
          <w:color w:val="auto"/>
          <w:kern w:val="2"/>
          <w:sz w:val="21"/>
          <w:highlight w:val="none"/>
          <w:u w:val="single"/>
          <w:lang w:val="zh-CN"/>
        </w:rPr>
        <w:t>才有资格进入下一阶段的评审,否则将被认定为无效响应文件</w:t>
      </w:r>
      <w:r>
        <w:rPr>
          <w:rFonts w:hint="eastAsia" w:ascii="宋体" w:hAnsi="宋体" w:eastAsia="宋体" w:cs="宋体"/>
          <w:b/>
          <w:bCs/>
          <w:color w:val="auto"/>
          <w:kern w:val="2"/>
          <w:sz w:val="21"/>
          <w:highlight w:val="none"/>
          <w:lang w:val="zh-CN"/>
        </w:rPr>
        <w:t>。</w:t>
      </w:r>
    </w:p>
    <w:p w14:paraId="0A7CC731">
      <w:pPr>
        <w:spacing w:line="360" w:lineRule="auto"/>
        <w:jc w:val="both"/>
        <w:rPr>
          <w:rFonts w:hint="eastAsia" w:ascii="宋体" w:hAnsi="宋体" w:eastAsia="宋体" w:cs="宋体"/>
          <w:color w:val="auto"/>
          <w:kern w:val="2"/>
          <w:sz w:val="21"/>
          <w:highlight w:val="none"/>
          <w:lang w:val="zh-CN"/>
        </w:rPr>
      </w:pPr>
    </w:p>
    <w:p w14:paraId="4F17FA93">
      <w:pPr>
        <w:spacing w:line="360" w:lineRule="auto"/>
        <w:jc w:val="both"/>
        <w:rPr>
          <w:rFonts w:hint="eastAsia" w:ascii="宋体" w:hAnsi="宋体" w:eastAsia="宋体" w:cs="宋体"/>
          <w:b/>
          <w:color w:val="auto"/>
          <w:kern w:val="2"/>
          <w:sz w:val="21"/>
          <w:highlight w:val="none"/>
          <w:lang w:val="zh-CN"/>
        </w:rPr>
      </w:pPr>
      <w:r>
        <w:rPr>
          <w:rFonts w:hint="eastAsia" w:ascii="宋体" w:hAnsi="宋体" w:eastAsia="宋体" w:cs="宋体"/>
          <w:b/>
          <w:color w:val="auto"/>
          <w:kern w:val="2"/>
          <w:sz w:val="21"/>
          <w:highlight w:val="none"/>
          <w:lang w:val="zh-CN"/>
        </w:rPr>
        <w:t>7、响应文件出现下列情况之一的，被认定为无效</w:t>
      </w:r>
      <w:r>
        <w:rPr>
          <w:rFonts w:hint="eastAsia" w:ascii="宋体" w:hAnsi="宋体" w:eastAsia="宋体" w:cs="宋体"/>
          <w:b/>
          <w:color w:val="auto"/>
          <w:kern w:val="2"/>
          <w:sz w:val="21"/>
          <w:highlight w:val="none"/>
          <w:lang w:val="en-US" w:eastAsia="zh-CN"/>
        </w:rPr>
        <w:t>响应</w:t>
      </w:r>
      <w:r>
        <w:rPr>
          <w:rFonts w:hint="eastAsia" w:ascii="宋体" w:hAnsi="宋体" w:eastAsia="宋体" w:cs="宋体"/>
          <w:b/>
          <w:color w:val="auto"/>
          <w:kern w:val="2"/>
          <w:sz w:val="21"/>
          <w:highlight w:val="none"/>
          <w:lang w:val="zh-CN"/>
        </w:rPr>
        <w:t>：</w:t>
      </w:r>
    </w:p>
    <w:p w14:paraId="1B7DF8C8">
      <w:pPr>
        <w:pStyle w:val="187"/>
        <w:spacing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7.1 </w:t>
      </w:r>
      <w:r>
        <w:rPr>
          <w:rFonts w:hint="eastAsia" w:ascii="宋体" w:hAnsi="宋体" w:eastAsia="宋体" w:cs="宋体"/>
          <w:b/>
          <w:color w:val="auto"/>
          <w:sz w:val="21"/>
          <w:szCs w:val="21"/>
          <w:highlight w:val="none"/>
          <w:u w:val="single"/>
          <w:lang w:val="en-US" w:eastAsia="zh-CN"/>
        </w:rPr>
        <w:t>供应商未按竞争性磋商文件要求缴纳磋商保证金</w:t>
      </w:r>
      <w:r>
        <w:rPr>
          <w:rFonts w:hint="eastAsia" w:ascii="宋体" w:hAnsi="宋体" w:eastAsia="宋体" w:cs="宋体"/>
          <w:b/>
          <w:color w:val="auto"/>
          <w:sz w:val="21"/>
          <w:szCs w:val="21"/>
          <w:highlight w:val="none"/>
        </w:rPr>
        <w:t>；</w:t>
      </w:r>
    </w:p>
    <w:p w14:paraId="4AFC0A5C">
      <w:pPr>
        <w:pStyle w:val="187"/>
        <w:spacing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u w:val="single"/>
        </w:rPr>
        <w:t>磋商最后报价</w:t>
      </w:r>
      <w:r>
        <w:rPr>
          <w:rFonts w:hint="eastAsia" w:ascii="宋体" w:hAnsi="宋体" w:eastAsia="宋体" w:cs="宋体"/>
          <w:b/>
          <w:color w:val="auto"/>
          <w:sz w:val="21"/>
          <w:szCs w:val="21"/>
          <w:highlight w:val="none"/>
          <w:u w:val="single"/>
          <w:lang w:val="en-US" w:eastAsia="zh-CN"/>
        </w:rPr>
        <w:t>高于对应包组</w:t>
      </w:r>
      <w:r>
        <w:rPr>
          <w:rFonts w:hint="eastAsia" w:ascii="宋体" w:hAnsi="宋体" w:eastAsia="宋体" w:cs="宋体"/>
          <w:b/>
          <w:color w:val="auto"/>
          <w:sz w:val="21"/>
          <w:szCs w:val="21"/>
          <w:highlight w:val="none"/>
          <w:u w:val="single"/>
        </w:rPr>
        <w:t>最高限价的</w:t>
      </w:r>
      <w:r>
        <w:rPr>
          <w:rFonts w:hint="eastAsia" w:ascii="宋体" w:hAnsi="宋体" w:eastAsia="宋体" w:cs="宋体"/>
          <w:b/>
          <w:color w:val="auto"/>
          <w:sz w:val="21"/>
          <w:szCs w:val="21"/>
          <w:highlight w:val="none"/>
        </w:rPr>
        <w:t>；</w:t>
      </w:r>
    </w:p>
    <w:p w14:paraId="0482D211">
      <w:pPr>
        <w:tabs>
          <w:tab w:val="left" w:pos="567"/>
        </w:tabs>
        <w:spacing w:line="360" w:lineRule="auto"/>
        <w:ind w:left="632" w:hanging="632" w:hangingChars="300"/>
        <w:outlineLvl w:val="9"/>
        <w:rPr>
          <w:rFonts w:hint="eastAsia" w:ascii="宋体" w:hAnsi="宋体" w:eastAsia="宋体" w:cs="宋体"/>
          <w:b/>
          <w:kern w:val="0"/>
          <w:sz w:val="21"/>
          <w:szCs w:val="21"/>
        </w:rPr>
      </w:pPr>
      <w:r>
        <w:rPr>
          <w:rFonts w:hint="eastAsia" w:ascii="宋体" w:hAnsi="宋体" w:eastAsia="宋体" w:cs="宋体"/>
          <w:b/>
          <w:kern w:val="0"/>
          <w:sz w:val="21"/>
          <w:szCs w:val="21"/>
        </w:rPr>
        <w:t xml:space="preserve">7.3 </w:t>
      </w:r>
      <w:r>
        <w:rPr>
          <w:rFonts w:hint="eastAsia" w:ascii="宋体" w:hAnsi="宋体" w:eastAsia="宋体" w:cs="宋体"/>
          <w:b/>
          <w:kern w:val="0"/>
          <w:sz w:val="21"/>
          <w:szCs w:val="21"/>
          <w:u w:val="single"/>
          <w:lang w:val="en-US" w:eastAsia="zh-CN"/>
        </w:rPr>
        <w:t>供应商</w:t>
      </w:r>
      <w:r>
        <w:rPr>
          <w:rFonts w:hint="eastAsia" w:ascii="宋体" w:hAnsi="宋体" w:eastAsia="宋体" w:cs="宋体"/>
          <w:b/>
          <w:kern w:val="0"/>
          <w:sz w:val="21"/>
          <w:szCs w:val="21"/>
          <w:u w:val="single"/>
        </w:rPr>
        <w:t>以低于企业成本价报价，且</w:t>
      </w:r>
      <w:r>
        <w:rPr>
          <w:rFonts w:hint="eastAsia" w:ascii="宋体" w:hAnsi="宋体" w:eastAsia="宋体" w:cs="宋体"/>
          <w:b/>
          <w:kern w:val="0"/>
          <w:sz w:val="21"/>
          <w:szCs w:val="21"/>
          <w:u w:val="single"/>
          <w:lang w:val="en-US" w:eastAsia="zh-CN"/>
        </w:rPr>
        <w:t>供应商</w:t>
      </w:r>
      <w:r>
        <w:rPr>
          <w:rFonts w:hint="eastAsia" w:ascii="宋体" w:hAnsi="宋体" w:eastAsia="宋体" w:cs="宋体"/>
          <w:b/>
          <w:kern w:val="0"/>
          <w:sz w:val="21"/>
          <w:szCs w:val="21"/>
          <w:u w:val="single"/>
        </w:rPr>
        <w:t>不能合理说明或不能提供相关证明材料</w:t>
      </w:r>
      <w:r>
        <w:rPr>
          <w:rFonts w:hint="eastAsia" w:ascii="宋体" w:hAnsi="宋体" w:eastAsia="宋体" w:cs="宋体"/>
          <w:b/>
          <w:kern w:val="0"/>
          <w:sz w:val="21"/>
          <w:szCs w:val="21"/>
        </w:rPr>
        <w:t>；</w:t>
      </w:r>
    </w:p>
    <w:p w14:paraId="0856D5E7">
      <w:pPr>
        <w:pStyle w:val="187"/>
        <w:spacing w:line="360" w:lineRule="auto"/>
        <w:ind w:left="493" w:leftChars="0" w:hanging="493" w:hangingChars="234"/>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u w:val="single"/>
        </w:rPr>
        <w:t>供应商不符合合格供应商的基本条件[含未提供资格证明文件，或供应商（含其不具有独立法人</w:t>
      </w:r>
    </w:p>
    <w:p w14:paraId="296A2D48">
      <w:pPr>
        <w:pStyle w:val="187"/>
        <w:spacing w:line="360" w:lineRule="auto"/>
        <w:ind w:left="418" w:leftChars="174"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u w:val="single"/>
        </w:rPr>
        <w:t>资格的分支机构）被列入“信用中国”网站（www.creditchina.gov.cn）失信被执行人、</w:t>
      </w:r>
      <w:r>
        <w:rPr>
          <w:rFonts w:hint="eastAsia" w:ascii="宋体" w:hAnsi="宋体" w:eastAsia="宋体" w:cs="宋体"/>
          <w:b/>
          <w:color w:val="auto"/>
          <w:sz w:val="21"/>
          <w:szCs w:val="21"/>
          <w:highlight w:val="none"/>
          <w:u w:val="single"/>
          <w:lang w:val="zh-CN"/>
        </w:rPr>
        <w:t>重大税收违法失信主体</w:t>
      </w:r>
      <w:r>
        <w:rPr>
          <w:rFonts w:hint="eastAsia" w:ascii="宋体" w:hAnsi="宋体" w:eastAsia="宋体" w:cs="宋体"/>
          <w:b/>
          <w:color w:val="auto"/>
          <w:sz w:val="21"/>
          <w:szCs w:val="21"/>
          <w:highlight w:val="none"/>
          <w:u w:val="single"/>
        </w:rPr>
        <w:t>、政府采购严重违法失信行为记录名单（处罚期限届满的除外）]</w:t>
      </w:r>
      <w:r>
        <w:rPr>
          <w:rFonts w:hint="eastAsia" w:ascii="宋体" w:hAnsi="宋体" w:eastAsia="宋体" w:cs="宋体"/>
          <w:b/>
          <w:color w:val="auto"/>
          <w:sz w:val="21"/>
          <w:szCs w:val="21"/>
          <w:highlight w:val="none"/>
        </w:rPr>
        <w:t>；</w:t>
      </w:r>
    </w:p>
    <w:p w14:paraId="7EB7C6D8">
      <w:pPr>
        <w:pStyle w:val="187"/>
        <w:spacing w:line="360" w:lineRule="auto"/>
        <w:ind w:left="527" w:hanging="527" w:hangingChars="25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u w:val="single"/>
        </w:rPr>
        <w:t>响应文件未按照</w:t>
      </w:r>
      <w:r>
        <w:rPr>
          <w:rFonts w:hint="eastAsia" w:ascii="宋体" w:hAnsi="宋体" w:eastAsia="宋体" w:cs="宋体"/>
          <w:b/>
          <w:color w:val="auto"/>
          <w:sz w:val="21"/>
          <w:szCs w:val="21"/>
          <w:highlight w:val="none"/>
          <w:u w:val="single"/>
          <w:lang w:eastAsia="zh-CN"/>
        </w:rPr>
        <w:t>竞争性磋商文件</w:t>
      </w:r>
      <w:r>
        <w:rPr>
          <w:rFonts w:hint="eastAsia" w:ascii="宋体" w:hAnsi="宋体" w:eastAsia="宋体" w:cs="宋体"/>
          <w:b/>
          <w:color w:val="auto"/>
          <w:sz w:val="21"/>
          <w:szCs w:val="21"/>
          <w:highlight w:val="none"/>
          <w:u w:val="single"/>
        </w:rPr>
        <w:t>规定要求密封；响应文件无法定代表人或其授权代表签字（或盖私章），或签字人无法定代表人有效授权的；签字盖章不符合</w:t>
      </w:r>
      <w:r>
        <w:rPr>
          <w:rFonts w:hint="eastAsia" w:ascii="宋体" w:hAnsi="宋体" w:eastAsia="宋体" w:cs="宋体"/>
          <w:b/>
          <w:color w:val="auto"/>
          <w:sz w:val="21"/>
          <w:szCs w:val="21"/>
          <w:highlight w:val="none"/>
          <w:u w:val="single"/>
          <w:lang w:val="en-US" w:eastAsia="zh-CN"/>
        </w:rPr>
        <w:t>竞争性磋商</w:t>
      </w:r>
      <w:r>
        <w:rPr>
          <w:rFonts w:hint="eastAsia" w:ascii="宋体" w:hAnsi="宋体" w:eastAsia="宋体" w:cs="宋体"/>
          <w:b/>
          <w:color w:val="auto"/>
          <w:sz w:val="21"/>
          <w:szCs w:val="21"/>
          <w:highlight w:val="none"/>
          <w:u w:val="single"/>
        </w:rPr>
        <w:t>文件要求的</w:t>
      </w:r>
      <w:r>
        <w:rPr>
          <w:rFonts w:hint="eastAsia" w:ascii="宋体" w:hAnsi="宋体" w:eastAsia="宋体" w:cs="宋体"/>
          <w:b/>
          <w:color w:val="auto"/>
          <w:sz w:val="21"/>
          <w:szCs w:val="21"/>
          <w:highlight w:val="none"/>
        </w:rPr>
        <w:t xml:space="preserve">； </w:t>
      </w:r>
    </w:p>
    <w:p w14:paraId="185B3095">
      <w:pPr>
        <w:pStyle w:val="187"/>
        <w:spacing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u w:val="single"/>
          <w:lang w:val="en-US" w:eastAsia="zh-CN"/>
        </w:rPr>
        <w:t>响应文件</w:t>
      </w:r>
      <w:r>
        <w:rPr>
          <w:rFonts w:hint="eastAsia" w:ascii="宋体" w:hAnsi="宋体" w:eastAsia="宋体" w:cs="宋体"/>
          <w:b/>
          <w:color w:val="auto"/>
          <w:sz w:val="21"/>
          <w:szCs w:val="21"/>
          <w:highlight w:val="none"/>
          <w:u w:val="single"/>
        </w:rPr>
        <w:t>有效期限不符合要求</w:t>
      </w:r>
      <w:r>
        <w:rPr>
          <w:rFonts w:hint="eastAsia" w:ascii="宋体" w:hAnsi="宋体" w:eastAsia="宋体" w:cs="宋体"/>
          <w:b/>
          <w:color w:val="auto"/>
          <w:sz w:val="21"/>
          <w:szCs w:val="21"/>
          <w:highlight w:val="none"/>
        </w:rPr>
        <w:t>；</w:t>
      </w:r>
    </w:p>
    <w:p w14:paraId="047A8128">
      <w:pPr>
        <w:pStyle w:val="187"/>
        <w:spacing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val="en-US" w:eastAsia="zh-CN"/>
        </w:rPr>
        <w:t>7</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u w:val="single"/>
          <w:lang w:val="en-US" w:eastAsia="zh-CN"/>
        </w:rPr>
        <w:t>响应文件未对对应包组采购范围内的全部内容进行响应报价</w:t>
      </w:r>
      <w:r>
        <w:rPr>
          <w:rFonts w:hint="eastAsia" w:ascii="宋体" w:hAnsi="宋体" w:eastAsia="宋体" w:cs="宋体"/>
          <w:b/>
          <w:color w:val="auto"/>
          <w:sz w:val="21"/>
          <w:szCs w:val="21"/>
          <w:highlight w:val="none"/>
          <w:u w:val="single"/>
        </w:rPr>
        <w:t>或</w:t>
      </w:r>
      <w:r>
        <w:rPr>
          <w:rFonts w:hint="eastAsia" w:ascii="宋体" w:hAnsi="宋体" w:eastAsia="宋体" w:cs="宋体"/>
          <w:b/>
          <w:color w:val="auto"/>
          <w:sz w:val="21"/>
          <w:szCs w:val="21"/>
          <w:highlight w:val="none"/>
          <w:u w:val="single"/>
          <w:lang w:val="en-US" w:eastAsia="zh-CN"/>
        </w:rPr>
        <w:t>响应</w:t>
      </w:r>
      <w:r>
        <w:rPr>
          <w:rFonts w:hint="eastAsia" w:ascii="宋体" w:hAnsi="宋体" w:eastAsia="宋体" w:cs="宋体"/>
          <w:b/>
          <w:color w:val="auto"/>
          <w:sz w:val="21"/>
          <w:szCs w:val="21"/>
          <w:highlight w:val="none"/>
          <w:u w:val="single"/>
        </w:rPr>
        <w:t>方案不是唯一</w:t>
      </w:r>
      <w:r>
        <w:rPr>
          <w:rFonts w:hint="eastAsia" w:ascii="宋体" w:hAnsi="宋体" w:eastAsia="宋体" w:cs="宋体"/>
          <w:b/>
          <w:color w:val="auto"/>
          <w:sz w:val="21"/>
          <w:szCs w:val="21"/>
          <w:highlight w:val="none"/>
        </w:rPr>
        <w:t>；</w:t>
      </w:r>
    </w:p>
    <w:p w14:paraId="75D32505">
      <w:pPr>
        <w:pStyle w:val="187"/>
        <w:spacing w:line="360" w:lineRule="auto"/>
        <w:ind w:left="493" w:leftChars="0" w:hanging="493" w:hangingChars="234"/>
        <w:rPr>
          <w:rFonts w:hint="eastAsia" w:ascii="宋体" w:hAnsi="宋体" w:eastAsia="宋体" w:cs="宋体"/>
          <w:b/>
          <w:color w:val="auto"/>
          <w:sz w:val="21"/>
          <w:szCs w:val="21"/>
          <w:highlight w:val="none"/>
          <w:u w:val="single"/>
          <w:lang w:val="en-US" w:eastAsia="zh-CN"/>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val="en-US" w:eastAsia="zh-CN"/>
        </w:rPr>
        <w:t xml:space="preserve">8 </w:t>
      </w:r>
      <w:r>
        <w:rPr>
          <w:rFonts w:hint="eastAsia" w:ascii="宋体" w:hAnsi="宋体" w:eastAsia="宋体" w:cs="宋体"/>
          <w:b/>
          <w:color w:val="auto"/>
          <w:sz w:val="21"/>
          <w:szCs w:val="21"/>
          <w:highlight w:val="none"/>
          <w:u w:val="single"/>
          <w:lang w:val="en-US" w:eastAsia="zh-CN"/>
        </w:rPr>
        <w:t>未提供或</w:t>
      </w:r>
      <w:r>
        <w:rPr>
          <w:rFonts w:hint="eastAsia" w:ascii="宋体" w:hAnsi="宋体" w:eastAsia="宋体" w:cs="宋体"/>
          <w:b/>
          <w:color w:val="auto"/>
          <w:sz w:val="21"/>
          <w:szCs w:val="21"/>
          <w:highlight w:val="none"/>
          <w:u w:val="single"/>
        </w:rPr>
        <w:t>虚假填写《合同条款偏离表》和《用户需求偏离表》的，或</w:t>
      </w:r>
      <w:r>
        <w:rPr>
          <w:rFonts w:hint="eastAsia" w:ascii="宋体" w:hAnsi="宋体" w:eastAsia="宋体" w:cs="宋体"/>
          <w:b/>
          <w:color w:val="auto"/>
          <w:sz w:val="21"/>
          <w:szCs w:val="21"/>
          <w:highlight w:val="none"/>
          <w:u w:val="single"/>
          <w:lang w:val="en-US" w:eastAsia="zh-CN"/>
        </w:rPr>
        <w:t>经磋商小组与供应商进行</w:t>
      </w:r>
    </w:p>
    <w:p w14:paraId="27FE45BB">
      <w:pPr>
        <w:pStyle w:val="187"/>
        <w:spacing w:line="360" w:lineRule="auto"/>
        <w:ind w:left="418" w:leftChars="174"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u w:val="single"/>
          <w:lang w:val="en-US" w:eastAsia="zh-CN"/>
        </w:rPr>
        <w:t>磋商后，供应商最终的</w:t>
      </w:r>
      <w:r>
        <w:rPr>
          <w:rFonts w:hint="eastAsia" w:ascii="宋体" w:hAnsi="宋体" w:eastAsia="宋体" w:cs="宋体"/>
          <w:b/>
          <w:color w:val="auto"/>
          <w:sz w:val="21"/>
          <w:szCs w:val="21"/>
          <w:highlight w:val="none"/>
          <w:u w:val="single"/>
        </w:rPr>
        <w:t>《合同条款偏离表》</w:t>
      </w:r>
      <w:r>
        <w:rPr>
          <w:rFonts w:hint="eastAsia" w:ascii="宋体" w:hAnsi="宋体" w:eastAsia="宋体" w:cs="宋体"/>
          <w:b/>
          <w:color w:val="auto"/>
          <w:sz w:val="21"/>
          <w:szCs w:val="21"/>
          <w:highlight w:val="none"/>
          <w:u w:val="single"/>
          <w:lang w:val="en-US" w:eastAsia="zh-CN"/>
        </w:rPr>
        <w:t>响应条款</w:t>
      </w:r>
      <w:r>
        <w:rPr>
          <w:rFonts w:hint="eastAsia" w:ascii="宋体" w:hAnsi="宋体" w:eastAsia="宋体" w:cs="宋体"/>
          <w:b/>
          <w:color w:val="auto"/>
          <w:sz w:val="21"/>
          <w:szCs w:val="21"/>
          <w:highlight w:val="none"/>
          <w:u w:val="single"/>
        </w:rPr>
        <w:t>有重大的负偏离导致采购人利益无法得到保障、存在采购人无法接受的风险的</w:t>
      </w:r>
      <w:r>
        <w:rPr>
          <w:rFonts w:hint="eastAsia" w:ascii="宋体" w:hAnsi="宋体" w:eastAsia="宋体" w:cs="宋体"/>
          <w:b/>
          <w:color w:val="auto"/>
          <w:sz w:val="21"/>
          <w:szCs w:val="21"/>
          <w:highlight w:val="none"/>
        </w:rPr>
        <w:t>。</w:t>
      </w:r>
    </w:p>
    <w:p w14:paraId="20FF6125">
      <w:pPr>
        <w:pStyle w:val="187"/>
        <w:spacing w:line="360" w:lineRule="auto"/>
        <w:ind w:firstLine="0" w:firstLineChars="0"/>
        <w:rPr>
          <w:rFonts w:hint="eastAsia" w:ascii="宋体" w:hAnsi="宋体" w:eastAsia="宋体" w:cs="宋体"/>
          <w:color w:val="auto"/>
          <w:highlight w:val="none"/>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val="en-US" w:eastAsia="zh-CN"/>
        </w:rPr>
        <w:t>9</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u w:val="single"/>
        </w:rPr>
        <w:t>未实质性满足</w:t>
      </w:r>
      <w:r>
        <w:rPr>
          <w:rFonts w:hint="eastAsia" w:ascii="宋体" w:hAnsi="宋体" w:eastAsia="宋体" w:cs="宋体"/>
          <w:b/>
          <w:color w:val="auto"/>
          <w:sz w:val="21"/>
          <w:szCs w:val="21"/>
          <w:highlight w:val="none"/>
          <w:u w:val="single"/>
          <w:lang w:eastAsia="zh-CN"/>
        </w:rPr>
        <w:t>竞争性磋商文件</w:t>
      </w:r>
      <w:r>
        <w:rPr>
          <w:rFonts w:hint="eastAsia" w:ascii="宋体" w:hAnsi="宋体" w:eastAsia="宋体" w:cs="宋体"/>
          <w:b/>
          <w:color w:val="auto"/>
          <w:sz w:val="21"/>
          <w:szCs w:val="21"/>
          <w:highlight w:val="none"/>
          <w:u w:val="single"/>
        </w:rPr>
        <w:t>提出的实质性要求和条件（标注★的条款）</w:t>
      </w:r>
      <w:r>
        <w:rPr>
          <w:rFonts w:hint="eastAsia" w:ascii="宋体" w:hAnsi="宋体" w:eastAsia="宋体" w:cs="宋体"/>
          <w:b/>
          <w:color w:val="auto"/>
          <w:sz w:val="21"/>
          <w:szCs w:val="21"/>
          <w:highlight w:val="none"/>
        </w:rPr>
        <w:t>。</w:t>
      </w:r>
    </w:p>
    <w:p w14:paraId="7C947CAA">
      <w:pPr>
        <w:spacing w:line="360" w:lineRule="auto"/>
        <w:ind w:left="315" w:hanging="315" w:hangingChars="150"/>
        <w:jc w:val="both"/>
        <w:rPr>
          <w:rFonts w:hint="eastAsia" w:ascii="宋体" w:hAnsi="宋体" w:eastAsia="宋体" w:cs="宋体"/>
          <w:color w:val="auto"/>
          <w:sz w:val="21"/>
          <w:highlight w:val="none"/>
          <w:lang w:val="zh-CN"/>
        </w:rPr>
      </w:pPr>
    </w:p>
    <w:p w14:paraId="3CE0FD25">
      <w:pPr>
        <w:keepNext w:val="0"/>
        <w:keepLines w:val="0"/>
        <w:pageBreakBefore w:val="0"/>
        <w:widowControl w:val="0"/>
        <w:kinsoku/>
        <w:wordWrap/>
        <w:overflowPunct/>
        <w:topLinePunct w:val="0"/>
        <w:autoSpaceDE w:val="0"/>
        <w:autoSpaceDN w:val="0"/>
        <w:bidi w:val="0"/>
        <w:adjustRightInd w:val="0"/>
        <w:snapToGrid/>
        <w:spacing w:line="360" w:lineRule="auto"/>
        <w:ind w:left="270" w:hanging="270" w:hangingChars="129"/>
        <w:jc w:val="both"/>
        <w:textAlignment w:val="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8、磋商小组应当书面要求存在细微偏差的供应商在磋商评审结束前予以补正。细微偏差是指响应文件在实质上响应竞争性磋商文件要求，但在个别地方存在漏项或者提供了不完整的技术方案信息和数据等情况，并且补正这些遗漏或者不完整不会对其他供应商造成不公平的结果。细微偏差不影响响应文件的有效性。</w:t>
      </w:r>
    </w:p>
    <w:p w14:paraId="7EDC1088">
      <w:pPr>
        <w:pStyle w:val="187"/>
        <w:spacing w:line="360" w:lineRule="auto"/>
        <w:ind w:left="735" w:firstLine="0" w:firstLineChars="0"/>
        <w:rPr>
          <w:rFonts w:hint="eastAsia" w:ascii="宋体" w:hAnsi="宋体" w:eastAsia="宋体" w:cs="宋体"/>
          <w:b/>
          <w:color w:val="auto"/>
          <w:sz w:val="21"/>
          <w:szCs w:val="21"/>
          <w:highlight w:val="none"/>
        </w:rPr>
      </w:pPr>
    </w:p>
    <w:p w14:paraId="799AA6AC">
      <w:pPr>
        <w:tabs>
          <w:tab w:val="left" w:pos="1140"/>
        </w:tabs>
        <w:spacing w:line="360" w:lineRule="auto"/>
        <w:ind w:firstLine="3528" w:firstLineChars="1255"/>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lang w:val="zh-CN"/>
        </w:rPr>
        <w:t>三、澄清有关问题</w:t>
      </w:r>
    </w:p>
    <w:p w14:paraId="19DE7C3F">
      <w:pPr>
        <w:keepNext w:val="0"/>
        <w:keepLines w:val="0"/>
        <w:pageBreakBefore w:val="0"/>
        <w:widowControl w:val="0"/>
        <w:kinsoku/>
        <w:wordWrap/>
        <w:overflowPunct/>
        <w:topLinePunct w:val="0"/>
        <w:autoSpaceDE w:val="0"/>
        <w:autoSpaceDN w:val="0"/>
        <w:bidi w:val="0"/>
        <w:adjustRightInd w:val="0"/>
        <w:snapToGrid/>
        <w:spacing w:line="360" w:lineRule="auto"/>
        <w:ind w:left="270" w:hanging="270" w:hangingChars="129"/>
        <w:jc w:val="both"/>
        <w:textAlignment w:val="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9、在响应</w:t>
      </w:r>
      <w:r>
        <w:rPr>
          <w:rFonts w:hint="eastAsia" w:ascii="宋体" w:hAnsi="宋体" w:eastAsia="宋体" w:cs="宋体"/>
          <w:color w:val="auto"/>
          <w:sz w:val="21"/>
          <w:highlight w:val="none"/>
          <w:lang w:val="zh-CN" w:eastAsia="zh-CN"/>
        </w:rPr>
        <w:t>文件</w:t>
      </w:r>
      <w:r>
        <w:rPr>
          <w:rFonts w:hint="eastAsia" w:ascii="宋体" w:hAnsi="宋体" w:eastAsia="宋体" w:cs="宋体"/>
          <w:color w:val="auto"/>
          <w:sz w:val="21"/>
          <w:highlight w:val="none"/>
          <w:lang w:val="zh-CN"/>
        </w:rPr>
        <w:t>的商务、技术资格性检查及符合性检查过程中，供应商可应磋商小组要求对响应文件中有关问题进行书面澄清。该书面澄清作为其响应文件的一部分。</w:t>
      </w:r>
    </w:p>
    <w:p w14:paraId="6777B35A">
      <w:pPr>
        <w:keepNext w:val="0"/>
        <w:keepLines w:val="0"/>
        <w:pageBreakBefore w:val="0"/>
        <w:widowControl w:val="0"/>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9.1</w:t>
      </w:r>
      <w:r>
        <w:rPr>
          <w:rFonts w:hint="eastAsia" w:ascii="宋体" w:hAnsi="宋体" w:eastAsia="宋体" w:cs="宋体"/>
          <w:color w:val="auto"/>
          <w:kern w:val="2"/>
          <w:sz w:val="21"/>
          <w:highlight w:val="none"/>
          <w:lang w:val="en-US" w:eastAsia="zh-CN"/>
        </w:rPr>
        <w:t xml:space="preserve"> </w:t>
      </w:r>
      <w:r>
        <w:rPr>
          <w:rFonts w:hint="eastAsia" w:ascii="宋体" w:hAnsi="宋体" w:eastAsia="宋体" w:cs="宋体"/>
          <w:color w:val="auto"/>
          <w:kern w:val="2"/>
          <w:sz w:val="21"/>
          <w:highlight w:val="none"/>
          <w:lang w:val="zh-CN"/>
        </w:rPr>
        <w:t>对</w:t>
      </w:r>
      <w:r>
        <w:rPr>
          <w:rFonts w:hint="eastAsia" w:ascii="宋体" w:hAnsi="宋体" w:eastAsia="宋体" w:cs="宋体"/>
          <w:color w:val="auto"/>
          <w:sz w:val="21"/>
          <w:highlight w:val="none"/>
          <w:lang w:val="zh-CN"/>
        </w:rPr>
        <w:t>响应文件</w:t>
      </w:r>
      <w:r>
        <w:rPr>
          <w:rFonts w:hint="eastAsia" w:ascii="宋体" w:hAnsi="宋体" w:eastAsia="宋体" w:cs="宋体"/>
          <w:color w:val="auto"/>
          <w:kern w:val="2"/>
          <w:sz w:val="21"/>
          <w:highlight w:val="none"/>
          <w:lang w:val="zh-CN"/>
        </w:rPr>
        <w:t>中含义不明确、同类问题表述不一致或者有明显文字和计算错误的内容，磋商小组可以书面形式（由磋商小组成员签字）要求供应商作出必要的澄清、说明或者纠正。</w:t>
      </w:r>
    </w:p>
    <w:p w14:paraId="1C962DC6">
      <w:pPr>
        <w:keepNext w:val="0"/>
        <w:keepLines w:val="0"/>
        <w:pageBreakBefore w:val="0"/>
        <w:widowControl w:val="0"/>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9.2 供应商的澄清、说明或者纠正应当采用书面形式，由其授权的代表签字，并不得超出响应文件的范围或者改变响应文件的实质性内容。</w:t>
      </w:r>
    </w:p>
    <w:p w14:paraId="5CF7D96F">
      <w:pPr>
        <w:keepNext w:val="0"/>
        <w:keepLines w:val="0"/>
        <w:pageBreakBefore w:val="0"/>
        <w:widowControl w:val="0"/>
        <w:kinsoku/>
        <w:wordWrap/>
        <w:overflowPunct/>
        <w:topLinePunct w:val="0"/>
        <w:autoSpaceDE w:val="0"/>
        <w:autoSpaceDN w:val="0"/>
        <w:bidi w:val="0"/>
        <w:adjustRightInd w:val="0"/>
        <w:snapToGrid/>
        <w:spacing w:line="360" w:lineRule="auto"/>
        <w:ind w:left="420" w:right="18" w:hanging="420" w:hangingChars="20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9.3 经过澄清后仍不符合要求，则该项目在下一步评审进行评分调整；若重大（实质性）偏差仍存在，且不可接受，供应商则被认为是“不响应竞争性磋商文件要求的供应商”，不再进入下一步评审。</w:t>
      </w:r>
    </w:p>
    <w:p w14:paraId="7BC76DCD">
      <w:pPr>
        <w:pStyle w:val="187"/>
        <w:spacing w:line="360" w:lineRule="auto"/>
        <w:ind w:left="424" w:hanging="424" w:hanging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 竞争性磋商文件计算错误的修正</w:t>
      </w:r>
    </w:p>
    <w:p w14:paraId="0A14809B">
      <w:pPr>
        <w:tabs>
          <w:tab w:val="left" w:pos="709"/>
          <w:tab w:val="left" w:pos="851"/>
        </w:tabs>
        <w:autoSpaceDE/>
        <w:autoSpaceDN/>
        <w:snapToGrid w:val="0"/>
        <w:spacing w:line="360" w:lineRule="auto"/>
        <w:jc w:val="both"/>
        <w:rPr>
          <w:rFonts w:hint="eastAsia" w:ascii="宋体" w:hAnsi="宋体" w:eastAsia="宋体" w:cs="宋体"/>
          <w:color w:val="auto"/>
          <w:kern w:val="2"/>
          <w:sz w:val="21"/>
          <w:szCs w:val="21"/>
          <w:highlight w:val="none"/>
          <w:lang w:val="zh-CN" w:eastAsia="zh-CN"/>
        </w:rPr>
      </w:pPr>
      <w:r>
        <w:rPr>
          <w:rFonts w:hint="eastAsia" w:ascii="宋体" w:hAnsi="宋体" w:eastAsia="宋体" w:cs="宋体"/>
          <w:color w:val="auto"/>
          <w:kern w:val="2"/>
          <w:sz w:val="21"/>
          <w:szCs w:val="21"/>
          <w:highlight w:val="none"/>
          <w:lang w:val="zh-CN" w:eastAsia="zh-CN"/>
        </w:rPr>
        <w:t>（1）当以数字表示的金额与以文字表示的金额不一致时，以文字表示的金额为准；</w:t>
      </w:r>
    </w:p>
    <w:p w14:paraId="2EB712C5">
      <w:pPr>
        <w:tabs>
          <w:tab w:val="left" w:pos="709"/>
          <w:tab w:val="left" w:pos="851"/>
        </w:tabs>
        <w:autoSpaceDE/>
        <w:autoSpaceDN/>
        <w:snapToGrid w:val="0"/>
        <w:spacing w:line="360" w:lineRule="auto"/>
        <w:jc w:val="both"/>
        <w:rPr>
          <w:rFonts w:hint="eastAsia" w:ascii="宋体" w:hAnsi="宋体" w:eastAsia="宋体" w:cs="宋体"/>
          <w:color w:val="auto"/>
          <w:kern w:val="2"/>
          <w:sz w:val="21"/>
          <w:szCs w:val="21"/>
          <w:highlight w:val="none"/>
          <w:lang w:val="zh-CN" w:eastAsia="zh-CN"/>
        </w:rPr>
      </w:pPr>
      <w:r>
        <w:rPr>
          <w:rFonts w:hint="eastAsia" w:ascii="宋体" w:hAnsi="宋体" w:eastAsia="宋体" w:cs="宋体"/>
          <w:color w:val="auto"/>
          <w:kern w:val="2"/>
          <w:sz w:val="21"/>
          <w:szCs w:val="21"/>
          <w:highlight w:val="none"/>
          <w:lang w:val="zh-CN" w:eastAsia="zh-CN"/>
        </w:rPr>
        <w:t>（2）当分项报价表内合计与</w:t>
      </w:r>
      <w:r>
        <w:rPr>
          <w:rFonts w:hint="eastAsia" w:ascii="宋体" w:hAnsi="宋体" w:eastAsia="宋体" w:cs="宋体"/>
          <w:color w:val="auto"/>
          <w:kern w:val="2"/>
          <w:sz w:val="21"/>
          <w:szCs w:val="21"/>
          <w:highlight w:val="none"/>
          <w:lang w:val="en-US" w:eastAsia="zh-CN"/>
        </w:rPr>
        <w:t>首次</w:t>
      </w:r>
      <w:r>
        <w:rPr>
          <w:rFonts w:hint="eastAsia" w:ascii="宋体" w:hAnsi="宋体" w:eastAsia="宋体" w:cs="宋体"/>
          <w:color w:val="auto"/>
          <w:kern w:val="2"/>
          <w:sz w:val="21"/>
          <w:szCs w:val="21"/>
          <w:highlight w:val="none"/>
          <w:lang w:val="zh-CN" w:eastAsia="zh-CN"/>
        </w:rPr>
        <w:t>报价表内报价不一致时，以</w:t>
      </w:r>
      <w:r>
        <w:rPr>
          <w:rFonts w:hint="eastAsia" w:ascii="宋体" w:hAnsi="宋体" w:eastAsia="宋体" w:cs="宋体"/>
          <w:color w:val="auto"/>
          <w:kern w:val="2"/>
          <w:sz w:val="21"/>
          <w:szCs w:val="21"/>
          <w:highlight w:val="none"/>
          <w:lang w:val="en-US" w:eastAsia="zh-CN"/>
        </w:rPr>
        <w:t>首次</w:t>
      </w:r>
      <w:r>
        <w:rPr>
          <w:rFonts w:hint="eastAsia" w:ascii="宋体" w:hAnsi="宋体" w:eastAsia="宋体" w:cs="宋体"/>
          <w:color w:val="auto"/>
          <w:kern w:val="2"/>
          <w:sz w:val="21"/>
          <w:szCs w:val="21"/>
          <w:highlight w:val="none"/>
          <w:lang w:val="zh-CN" w:eastAsia="zh-CN"/>
        </w:rPr>
        <w:t>报价表为准，修正分项报价表内的</w:t>
      </w:r>
    </w:p>
    <w:p w14:paraId="03CC3482">
      <w:pPr>
        <w:keepNext w:val="0"/>
        <w:keepLines w:val="0"/>
        <w:pageBreakBefore w:val="0"/>
        <w:widowControl w:val="0"/>
        <w:tabs>
          <w:tab w:val="left" w:pos="709"/>
          <w:tab w:val="left" w:pos="851"/>
        </w:tabs>
        <w:kinsoku/>
        <w:wordWrap/>
        <w:overflowPunct/>
        <w:topLinePunct w:val="0"/>
        <w:autoSpaceDE/>
        <w:autoSpaceDN/>
        <w:bidi w:val="0"/>
        <w:adjustRightInd w:val="0"/>
        <w:snapToGrid w:val="0"/>
        <w:spacing w:line="360" w:lineRule="auto"/>
        <w:ind w:left="480" w:leftChars="200"/>
        <w:jc w:val="both"/>
        <w:textAlignment w:val="auto"/>
        <w:rPr>
          <w:rFonts w:hint="eastAsia" w:ascii="宋体" w:hAnsi="宋体" w:eastAsia="宋体" w:cs="宋体"/>
          <w:color w:val="auto"/>
          <w:kern w:val="2"/>
          <w:sz w:val="21"/>
          <w:szCs w:val="21"/>
          <w:highlight w:val="none"/>
          <w:lang w:val="zh-CN" w:eastAsia="zh-CN"/>
        </w:rPr>
      </w:pPr>
      <w:r>
        <w:rPr>
          <w:rFonts w:hint="eastAsia" w:ascii="宋体" w:hAnsi="宋体" w:eastAsia="宋体" w:cs="宋体"/>
          <w:color w:val="auto"/>
          <w:kern w:val="2"/>
          <w:sz w:val="21"/>
          <w:szCs w:val="21"/>
          <w:highlight w:val="none"/>
          <w:lang w:val="zh-CN" w:eastAsia="zh-CN"/>
        </w:rPr>
        <w:t>各分项报价；</w:t>
      </w:r>
    </w:p>
    <w:p w14:paraId="3A289CA5">
      <w:pPr>
        <w:keepNext w:val="0"/>
        <w:keepLines w:val="0"/>
        <w:pageBreakBefore w:val="0"/>
        <w:widowControl w:val="0"/>
        <w:kinsoku/>
        <w:wordWrap/>
        <w:overflowPunct/>
        <w:topLinePunct w:val="0"/>
        <w:autoSpaceDE w:val="0"/>
        <w:autoSpaceDN w:val="0"/>
        <w:bidi w:val="0"/>
        <w:adjustRightInd w:val="0"/>
        <w:snapToGrid/>
        <w:spacing w:line="360" w:lineRule="auto"/>
        <w:ind w:left="420" w:hanging="422" w:hangingChars="200"/>
        <w:jc w:val="both"/>
        <w:textAlignment w:val="auto"/>
        <w:rPr>
          <w:rFonts w:hint="eastAsia" w:ascii="宋体" w:hAnsi="宋体" w:eastAsia="宋体" w:cs="宋体"/>
          <w:b/>
          <w:bCs/>
          <w:color w:val="auto"/>
          <w:kern w:val="2"/>
          <w:sz w:val="21"/>
          <w:highlight w:val="none"/>
          <w:lang w:val="zh-CN"/>
        </w:rPr>
      </w:pPr>
      <w:r>
        <w:rPr>
          <w:rFonts w:hint="eastAsia" w:ascii="宋体" w:hAnsi="宋体" w:eastAsia="宋体" w:cs="宋体"/>
          <w:b/>
          <w:bCs/>
          <w:color w:val="auto"/>
          <w:kern w:val="2"/>
          <w:sz w:val="21"/>
          <w:szCs w:val="24"/>
          <w:highlight w:val="none"/>
          <w:lang w:val="zh-CN"/>
        </w:rPr>
        <w:t>9.</w:t>
      </w:r>
      <w:r>
        <w:rPr>
          <w:rFonts w:hint="eastAsia" w:ascii="宋体" w:hAnsi="宋体" w:eastAsia="宋体" w:cs="宋体"/>
          <w:b/>
          <w:bCs/>
          <w:color w:val="auto"/>
          <w:kern w:val="2"/>
          <w:sz w:val="21"/>
          <w:szCs w:val="24"/>
          <w:highlight w:val="none"/>
          <w:lang w:val="zh-CN" w:eastAsia="zh-CN"/>
        </w:rPr>
        <w:t xml:space="preserve">5 </w:t>
      </w:r>
      <w:r>
        <w:rPr>
          <w:rFonts w:hint="eastAsia" w:ascii="宋体" w:hAnsi="宋体" w:eastAsia="宋体" w:cs="宋体"/>
          <w:b/>
          <w:bCs/>
          <w:color w:val="auto"/>
          <w:kern w:val="2"/>
          <w:sz w:val="21"/>
          <w:highlight w:val="none"/>
          <w:u w:val="single"/>
          <w:lang w:val="zh-CN"/>
        </w:rPr>
        <w:t>磋商小组按上述修正误差的原则调整的价格对其响应供应商具有约束力。如果响应供应商不接受修正后的价格，其</w:t>
      </w:r>
      <w:r>
        <w:rPr>
          <w:rFonts w:hint="eastAsia" w:ascii="宋体" w:hAnsi="宋体" w:cs="宋体"/>
          <w:b/>
          <w:bCs/>
          <w:color w:val="auto"/>
          <w:kern w:val="2"/>
          <w:sz w:val="21"/>
          <w:highlight w:val="none"/>
          <w:u w:val="single"/>
          <w:lang w:val="en-US" w:eastAsia="zh-CN"/>
        </w:rPr>
        <w:t>响应</w:t>
      </w:r>
      <w:r>
        <w:rPr>
          <w:rFonts w:hint="eastAsia" w:ascii="宋体" w:hAnsi="宋体" w:eastAsia="宋体" w:cs="宋体"/>
          <w:b/>
          <w:bCs/>
          <w:color w:val="auto"/>
          <w:kern w:val="2"/>
          <w:sz w:val="21"/>
          <w:highlight w:val="none"/>
          <w:u w:val="single"/>
          <w:lang w:val="zh-CN"/>
        </w:rPr>
        <w:t>将被拒绝</w:t>
      </w:r>
      <w:r>
        <w:rPr>
          <w:rFonts w:hint="eastAsia" w:ascii="宋体" w:hAnsi="宋体" w:cs="宋体"/>
          <w:b/>
          <w:bCs/>
          <w:color w:val="auto"/>
          <w:kern w:val="2"/>
          <w:sz w:val="21"/>
          <w:highlight w:val="none"/>
          <w:u w:val="single"/>
          <w:lang w:val="zh-CN"/>
        </w:rPr>
        <w:t>，</w:t>
      </w:r>
      <w:r>
        <w:rPr>
          <w:rFonts w:hint="eastAsia" w:ascii="宋体" w:hAnsi="宋体" w:cs="宋体"/>
          <w:b/>
          <w:bCs/>
          <w:color w:val="auto"/>
          <w:kern w:val="2"/>
          <w:sz w:val="21"/>
          <w:highlight w:val="none"/>
          <w:u w:val="single"/>
          <w:lang w:val="en-US" w:eastAsia="zh-CN"/>
        </w:rPr>
        <w:t>作为无效响应处理</w:t>
      </w:r>
      <w:r>
        <w:rPr>
          <w:rFonts w:hint="eastAsia" w:ascii="宋体" w:hAnsi="宋体" w:eastAsia="宋体" w:cs="宋体"/>
          <w:b/>
          <w:bCs/>
          <w:color w:val="auto"/>
          <w:kern w:val="2"/>
          <w:sz w:val="21"/>
          <w:highlight w:val="none"/>
          <w:lang w:val="zh-CN"/>
        </w:rPr>
        <w:t>。</w:t>
      </w:r>
    </w:p>
    <w:p w14:paraId="5A6EB8A7">
      <w:pPr>
        <w:keepNext w:val="0"/>
        <w:keepLines w:val="0"/>
        <w:pageBreakBefore w:val="0"/>
        <w:widowControl w:val="0"/>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en-US" w:eastAsia="zh-CN"/>
        </w:rPr>
        <w:t xml:space="preserve">9.6 </w:t>
      </w:r>
      <w:r>
        <w:rPr>
          <w:rFonts w:hint="eastAsia" w:ascii="宋体" w:hAnsi="宋体" w:eastAsia="宋体" w:cs="宋体"/>
          <w:b w:val="0"/>
          <w:bCs/>
          <w:color w:val="auto"/>
          <w:sz w:val="21"/>
          <w:szCs w:val="21"/>
          <w:highlight w:val="none"/>
          <w:lang w:val="zh-CN"/>
        </w:rPr>
        <w:t>若</w:t>
      </w:r>
      <w:r>
        <w:rPr>
          <w:rFonts w:hint="eastAsia" w:ascii="宋体" w:hAnsi="宋体" w:eastAsia="宋体" w:cs="宋体"/>
          <w:b w:val="0"/>
          <w:bCs/>
          <w:color w:val="auto"/>
          <w:sz w:val="21"/>
          <w:szCs w:val="21"/>
          <w:highlight w:val="none"/>
          <w:lang w:val="en-US" w:eastAsia="zh-CN"/>
        </w:rPr>
        <w:t>供应商</w:t>
      </w:r>
      <w:r>
        <w:rPr>
          <w:rFonts w:hint="eastAsia" w:ascii="宋体" w:hAnsi="宋体" w:eastAsia="宋体" w:cs="宋体"/>
          <w:b w:val="0"/>
          <w:bCs/>
          <w:color w:val="auto"/>
          <w:sz w:val="21"/>
          <w:szCs w:val="21"/>
          <w:highlight w:val="none"/>
          <w:lang w:val="zh-CN"/>
        </w:rPr>
        <w:t>出现超低报价，有可能影响服务质量和不能诚信履约的，</w:t>
      </w:r>
      <w:r>
        <w:rPr>
          <w:rFonts w:hint="eastAsia" w:ascii="宋体" w:hAnsi="宋体" w:eastAsia="宋体" w:cs="宋体"/>
          <w:b w:val="0"/>
          <w:bCs/>
          <w:color w:val="auto"/>
          <w:sz w:val="21"/>
          <w:szCs w:val="21"/>
          <w:highlight w:val="none"/>
          <w:lang w:val="en-US" w:eastAsia="zh-CN"/>
        </w:rPr>
        <w:t>磋商小组</w:t>
      </w:r>
      <w:r>
        <w:rPr>
          <w:rFonts w:hint="eastAsia" w:ascii="宋体" w:hAnsi="宋体" w:eastAsia="宋体" w:cs="宋体"/>
          <w:b w:val="0"/>
          <w:bCs/>
          <w:color w:val="auto"/>
          <w:sz w:val="21"/>
          <w:szCs w:val="21"/>
          <w:highlight w:val="none"/>
          <w:lang w:val="zh-CN"/>
        </w:rPr>
        <w:t>将要求该</w:t>
      </w:r>
      <w:r>
        <w:rPr>
          <w:rFonts w:hint="eastAsia" w:ascii="宋体" w:hAnsi="宋体" w:eastAsia="宋体" w:cs="宋体"/>
          <w:b w:val="0"/>
          <w:bCs/>
          <w:color w:val="auto"/>
          <w:sz w:val="21"/>
          <w:szCs w:val="21"/>
          <w:highlight w:val="none"/>
          <w:lang w:val="en-US" w:eastAsia="zh-CN"/>
        </w:rPr>
        <w:t>供应商</w:t>
      </w:r>
      <w:r>
        <w:rPr>
          <w:rFonts w:hint="eastAsia" w:ascii="宋体" w:hAnsi="宋体" w:eastAsia="宋体" w:cs="宋体"/>
          <w:b w:val="0"/>
          <w:bCs/>
          <w:color w:val="auto"/>
          <w:sz w:val="21"/>
          <w:szCs w:val="21"/>
          <w:highlight w:val="none"/>
          <w:lang w:val="zh-CN"/>
        </w:rPr>
        <w:t>作出书面说明并提供相关证明材料，以确定</w:t>
      </w:r>
      <w:r>
        <w:rPr>
          <w:rFonts w:hint="eastAsia" w:ascii="宋体" w:hAnsi="宋体" w:eastAsia="宋体" w:cs="宋体"/>
          <w:b w:val="0"/>
          <w:bCs/>
          <w:color w:val="auto"/>
          <w:sz w:val="21"/>
          <w:szCs w:val="21"/>
          <w:highlight w:val="none"/>
          <w:lang w:val="en-US" w:eastAsia="zh-CN"/>
        </w:rPr>
        <w:t>供应商</w:t>
      </w:r>
      <w:r>
        <w:rPr>
          <w:rFonts w:hint="eastAsia" w:ascii="宋体" w:hAnsi="宋体" w:eastAsia="宋体" w:cs="宋体"/>
          <w:b w:val="0"/>
          <w:bCs/>
          <w:color w:val="auto"/>
          <w:sz w:val="21"/>
          <w:szCs w:val="21"/>
          <w:highlight w:val="none"/>
          <w:lang w:val="zh-CN"/>
        </w:rPr>
        <w:t>是否以低于企业成本价报价。</w:t>
      </w:r>
      <w:r>
        <w:rPr>
          <w:rFonts w:hint="eastAsia" w:ascii="宋体" w:hAnsi="宋体" w:eastAsia="宋体" w:cs="宋体"/>
          <w:b/>
          <w:color w:val="auto"/>
          <w:sz w:val="21"/>
          <w:szCs w:val="21"/>
          <w:highlight w:val="none"/>
          <w:u w:val="single"/>
          <w:lang w:val="zh-CN"/>
        </w:rPr>
        <w:t>若</w:t>
      </w:r>
      <w:r>
        <w:rPr>
          <w:rFonts w:hint="eastAsia" w:ascii="宋体" w:hAnsi="宋体" w:eastAsia="宋体" w:cs="宋体"/>
          <w:b/>
          <w:color w:val="auto"/>
          <w:sz w:val="21"/>
          <w:szCs w:val="21"/>
          <w:highlight w:val="none"/>
          <w:u w:val="single"/>
          <w:lang w:val="en-US" w:eastAsia="zh-CN"/>
        </w:rPr>
        <w:t>供应商</w:t>
      </w:r>
      <w:r>
        <w:rPr>
          <w:rFonts w:hint="eastAsia" w:ascii="宋体" w:hAnsi="宋体" w:eastAsia="宋体" w:cs="宋体"/>
          <w:b/>
          <w:color w:val="auto"/>
          <w:sz w:val="21"/>
          <w:szCs w:val="21"/>
          <w:highlight w:val="none"/>
          <w:u w:val="single"/>
          <w:lang w:val="zh-CN"/>
        </w:rPr>
        <w:t>不能合理说明或不能提供相关证明材料的，</w:t>
      </w:r>
      <w:r>
        <w:rPr>
          <w:rFonts w:hint="eastAsia" w:ascii="宋体" w:hAnsi="宋体" w:eastAsia="宋体" w:cs="宋体"/>
          <w:b/>
          <w:color w:val="auto"/>
          <w:sz w:val="21"/>
          <w:szCs w:val="21"/>
          <w:highlight w:val="none"/>
          <w:u w:val="single"/>
          <w:lang w:val="en-US" w:eastAsia="zh-CN"/>
        </w:rPr>
        <w:t>磋商小组</w:t>
      </w:r>
      <w:r>
        <w:rPr>
          <w:rFonts w:hint="eastAsia" w:ascii="宋体" w:hAnsi="宋体" w:eastAsia="宋体" w:cs="宋体"/>
          <w:b/>
          <w:color w:val="auto"/>
          <w:sz w:val="21"/>
          <w:szCs w:val="21"/>
          <w:highlight w:val="none"/>
          <w:u w:val="single"/>
          <w:lang w:val="zh-CN"/>
        </w:rPr>
        <w:t>将认定其</w:t>
      </w:r>
      <w:r>
        <w:rPr>
          <w:rFonts w:hint="eastAsia" w:ascii="宋体" w:hAnsi="宋体" w:eastAsia="宋体" w:cs="宋体"/>
          <w:b/>
          <w:color w:val="auto"/>
          <w:sz w:val="21"/>
          <w:szCs w:val="21"/>
          <w:highlight w:val="none"/>
          <w:u w:val="single"/>
          <w:lang w:val="en-US" w:eastAsia="zh-CN"/>
        </w:rPr>
        <w:t>响应</w:t>
      </w:r>
      <w:r>
        <w:rPr>
          <w:rFonts w:hint="eastAsia" w:ascii="宋体" w:hAnsi="宋体" w:eastAsia="宋体" w:cs="宋体"/>
          <w:b/>
          <w:color w:val="auto"/>
          <w:sz w:val="21"/>
          <w:szCs w:val="21"/>
          <w:highlight w:val="none"/>
          <w:u w:val="single"/>
          <w:lang w:val="zh-CN"/>
        </w:rPr>
        <w:t>报价低于成本，同时否决其</w:t>
      </w:r>
      <w:r>
        <w:rPr>
          <w:rFonts w:hint="eastAsia" w:ascii="宋体" w:hAnsi="宋体" w:eastAsia="宋体" w:cs="宋体"/>
          <w:b/>
          <w:color w:val="auto"/>
          <w:sz w:val="21"/>
          <w:szCs w:val="21"/>
          <w:highlight w:val="none"/>
          <w:u w:val="single"/>
          <w:lang w:val="en-US" w:eastAsia="zh-CN"/>
        </w:rPr>
        <w:t>递交的响应文件</w:t>
      </w:r>
      <w:r>
        <w:rPr>
          <w:rFonts w:hint="eastAsia" w:ascii="宋体" w:hAnsi="宋体" w:eastAsia="宋体" w:cs="宋体"/>
          <w:b/>
          <w:color w:val="auto"/>
          <w:sz w:val="21"/>
          <w:szCs w:val="21"/>
          <w:highlight w:val="none"/>
          <w:lang w:val="zh-CN"/>
        </w:rPr>
        <w:t>。</w:t>
      </w:r>
    </w:p>
    <w:p w14:paraId="4C74757F">
      <w:pPr>
        <w:pStyle w:val="187"/>
        <w:spacing w:line="360" w:lineRule="auto"/>
        <w:ind w:left="735" w:firstLine="0" w:firstLineChars="0"/>
        <w:rPr>
          <w:rFonts w:hint="eastAsia" w:ascii="宋体" w:hAnsi="宋体" w:eastAsia="宋体" w:cs="宋体"/>
          <w:color w:val="auto"/>
          <w:kern w:val="2"/>
          <w:sz w:val="21"/>
          <w:szCs w:val="21"/>
          <w:highlight w:val="none"/>
        </w:rPr>
      </w:pPr>
    </w:p>
    <w:p w14:paraId="4116A0C9">
      <w:pPr>
        <w:spacing w:line="360" w:lineRule="auto"/>
        <w:ind w:firstLine="3528" w:firstLineChars="1255"/>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lang w:val="zh-CN"/>
        </w:rPr>
        <w:t>四、比较和评价</w:t>
      </w:r>
    </w:p>
    <w:p w14:paraId="77423B55">
      <w:pPr>
        <w:spacing w:line="360" w:lineRule="auto"/>
        <w:ind w:left="422" w:leftChars="1" w:hanging="420" w:hangingChars="2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10、</w:t>
      </w:r>
      <w:r>
        <w:rPr>
          <w:rFonts w:hint="eastAsia" w:ascii="宋体" w:hAnsi="宋体" w:eastAsia="宋体" w:cs="宋体"/>
          <w:color w:val="auto"/>
          <w:sz w:val="21"/>
          <w:szCs w:val="21"/>
          <w:highlight w:val="none"/>
        </w:rPr>
        <w:t>磋商小组</w:t>
      </w:r>
      <w:r>
        <w:rPr>
          <w:rFonts w:hint="eastAsia" w:ascii="宋体" w:hAnsi="宋体" w:eastAsia="宋体" w:cs="宋体"/>
          <w:color w:val="auto"/>
          <w:kern w:val="2"/>
          <w:sz w:val="21"/>
          <w:highlight w:val="none"/>
          <w:lang w:val="zh-CN"/>
        </w:rPr>
        <w:t>按</w:t>
      </w:r>
      <w:r>
        <w:rPr>
          <w:rFonts w:hint="eastAsia" w:ascii="宋体" w:hAnsi="宋体" w:eastAsia="宋体" w:cs="宋体"/>
          <w:color w:val="auto"/>
          <w:kern w:val="2"/>
          <w:sz w:val="21"/>
          <w:highlight w:val="none"/>
          <w:lang w:val="en-US" w:eastAsia="zh-CN"/>
        </w:rPr>
        <w:t>竞争性磋商</w:t>
      </w:r>
      <w:r>
        <w:rPr>
          <w:rFonts w:hint="eastAsia" w:ascii="宋体" w:hAnsi="宋体" w:eastAsia="宋体" w:cs="宋体"/>
          <w:color w:val="auto"/>
          <w:kern w:val="2"/>
          <w:sz w:val="21"/>
          <w:highlight w:val="none"/>
          <w:lang w:val="zh-CN"/>
        </w:rPr>
        <w:t>文件中规定的评审方法和标准，对资格性检查和符合性检查合格的响应文件进行商务和技术评估、综合比较与评价；</w:t>
      </w:r>
      <w:r>
        <w:rPr>
          <w:rFonts w:hint="eastAsia" w:ascii="宋体" w:hAnsi="宋体" w:eastAsia="宋体" w:cs="宋体"/>
          <w:color w:val="auto"/>
          <w:sz w:val="21"/>
          <w:szCs w:val="21"/>
          <w:highlight w:val="none"/>
        </w:rPr>
        <w:t>磋商小组</w:t>
      </w:r>
      <w:r>
        <w:rPr>
          <w:rFonts w:hint="eastAsia" w:ascii="宋体" w:hAnsi="宋体" w:eastAsia="宋体" w:cs="宋体"/>
          <w:color w:val="auto"/>
          <w:kern w:val="2"/>
          <w:sz w:val="21"/>
          <w:highlight w:val="none"/>
          <w:lang w:val="zh-CN"/>
        </w:rPr>
        <w:t xml:space="preserve">根据商务和技术评估的结果，采用综合评分法，分别对响应文件的商务、技术、价格等内容进行打分。 </w:t>
      </w:r>
    </w:p>
    <w:p w14:paraId="48377F8B">
      <w:pPr>
        <w:tabs>
          <w:tab w:val="left" w:pos="780"/>
        </w:tabs>
        <w:spacing w:line="360" w:lineRule="auto"/>
        <w:ind w:left="780" w:hanging="780"/>
        <w:jc w:val="both"/>
        <w:rPr>
          <w:rFonts w:hint="eastAsia" w:ascii="宋体" w:hAnsi="宋体" w:eastAsia="宋体" w:cs="宋体"/>
          <w:b w:val="0"/>
          <w:bCs/>
          <w:color w:val="auto"/>
          <w:kern w:val="2"/>
          <w:sz w:val="21"/>
          <w:highlight w:val="none"/>
          <w:lang w:val="zh-CN"/>
        </w:rPr>
      </w:pPr>
      <w:r>
        <w:rPr>
          <w:rFonts w:hint="eastAsia" w:ascii="宋体" w:hAnsi="宋体" w:eastAsia="宋体" w:cs="宋体"/>
          <w:b w:val="0"/>
          <w:bCs/>
          <w:color w:val="auto"/>
          <w:kern w:val="2"/>
          <w:sz w:val="21"/>
          <w:highlight w:val="none"/>
          <w:lang w:val="zh-CN"/>
        </w:rPr>
        <w:t>11、</w:t>
      </w:r>
      <w:r>
        <w:rPr>
          <w:rFonts w:hint="eastAsia" w:ascii="宋体" w:hAnsi="宋体" w:eastAsia="宋体" w:cs="宋体"/>
          <w:b w:val="0"/>
          <w:bCs/>
          <w:color w:val="auto"/>
          <w:kern w:val="2"/>
          <w:sz w:val="21"/>
          <w:highlight w:val="none"/>
        </w:rPr>
        <w:t>磋商小组</w:t>
      </w:r>
      <w:r>
        <w:rPr>
          <w:rFonts w:hint="eastAsia" w:ascii="宋体" w:hAnsi="宋体" w:eastAsia="宋体" w:cs="宋体"/>
          <w:b w:val="0"/>
          <w:bCs/>
          <w:color w:val="auto"/>
          <w:kern w:val="2"/>
          <w:sz w:val="21"/>
          <w:highlight w:val="none"/>
          <w:lang w:val="zh-CN"/>
        </w:rPr>
        <w:t>打分办法</w:t>
      </w:r>
    </w:p>
    <w:p w14:paraId="0D803BEA">
      <w:pPr>
        <w:tabs>
          <w:tab w:val="left" w:pos="709"/>
          <w:tab w:val="left" w:pos="851"/>
        </w:tabs>
        <w:autoSpaceDE/>
        <w:autoSpaceDN/>
        <w:snapToGrid w:val="0"/>
        <w:spacing w:line="360" w:lineRule="auto"/>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zh-CN"/>
        </w:rPr>
        <w:t>）参加评分的磋商小组成员应尽力体现客观、实事求是，避免学派偏见和个人偏好。</w:t>
      </w:r>
    </w:p>
    <w:p w14:paraId="562937BA">
      <w:pPr>
        <w:spacing w:line="360" w:lineRule="auto"/>
        <w:ind w:left="422" w:leftChars="1" w:hanging="420" w:hangingChars="2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w:t>
      </w:r>
      <w:r>
        <w:rPr>
          <w:rFonts w:hint="eastAsia" w:ascii="宋体" w:hAnsi="宋体" w:eastAsia="宋体" w:cs="宋体"/>
          <w:color w:val="auto"/>
          <w:kern w:val="2"/>
          <w:sz w:val="21"/>
          <w:highlight w:val="none"/>
          <w:lang w:val="en-US" w:eastAsia="zh-CN"/>
        </w:rPr>
        <w:t>2</w:t>
      </w:r>
      <w:r>
        <w:rPr>
          <w:rFonts w:hint="eastAsia" w:ascii="宋体" w:hAnsi="宋体" w:eastAsia="宋体" w:cs="宋体"/>
          <w:color w:val="auto"/>
          <w:kern w:val="2"/>
          <w:sz w:val="21"/>
          <w:highlight w:val="none"/>
          <w:lang w:val="zh-CN"/>
        </w:rPr>
        <w:t>）衡量、对比的依据，应以竞争性磋商文件、响应文件、提供的正式试验数据、澄清中的文字为</w:t>
      </w:r>
    </w:p>
    <w:p w14:paraId="3BC45DDE">
      <w:pPr>
        <w:tabs>
          <w:tab w:val="left" w:pos="1134"/>
        </w:tabs>
        <w:spacing w:line="360" w:lineRule="auto"/>
        <w:ind w:left="1053" w:leftChars="220" w:hanging="525" w:hangingChars="2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准，口头回答和收集的资料只作为参考。</w:t>
      </w:r>
    </w:p>
    <w:p w14:paraId="10B0B48B">
      <w:pPr>
        <w:tabs>
          <w:tab w:val="left" w:pos="709"/>
          <w:tab w:val="left" w:pos="851"/>
        </w:tabs>
        <w:autoSpaceDE/>
        <w:autoSpaceDN/>
        <w:snapToGrid w:val="0"/>
        <w:spacing w:line="360" w:lineRule="auto"/>
        <w:jc w:val="both"/>
        <w:rPr>
          <w:rFonts w:hint="eastAsia" w:ascii="宋体" w:hAnsi="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）评分主要是为比较各供应商的商务、技术和价格综合排序。</w:t>
      </w:r>
      <w:r>
        <w:rPr>
          <w:rFonts w:hint="eastAsia" w:ascii="宋体" w:hAnsi="宋体" w:cs="宋体"/>
          <w:color w:val="auto"/>
          <w:kern w:val="2"/>
          <w:sz w:val="21"/>
          <w:szCs w:val="21"/>
          <w:highlight w:val="none"/>
          <w:lang w:val="en-US" w:eastAsia="zh-CN"/>
        </w:rPr>
        <w:t>磋商小组的每一位成员根据竞争性</w:t>
      </w:r>
    </w:p>
    <w:p w14:paraId="6B7EBCA6">
      <w:pPr>
        <w:keepNext w:val="0"/>
        <w:keepLines w:val="0"/>
        <w:pageBreakBefore w:val="0"/>
        <w:widowControl w:val="0"/>
        <w:tabs>
          <w:tab w:val="left" w:pos="709"/>
          <w:tab w:val="left" w:pos="851"/>
        </w:tabs>
        <w:kinsoku/>
        <w:wordWrap/>
        <w:overflowPunct/>
        <w:topLinePunct w:val="0"/>
        <w:autoSpaceDE/>
        <w:autoSpaceDN/>
        <w:bidi w:val="0"/>
        <w:adjustRightInd w:val="0"/>
        <w:snapToGrid w:val="0"/>
        <w:spacing w:line="360" w:lineRule="auto"/>
        <w:ind w:left="480" w:leftChars="200"/>
        <w:jc w:val="both"/>
        <w:textAlignment w:val="auto"/>
        <w:rPr>
          <w:rFonts w:hint="default"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磋商文件评分标准对响应文件分别评审，对有效响应供应商响应文件的商务、技术、最后报价分别评分。</w:t>
      </w:r>
    </w:p>
    <w:p w14:paraId="7EBF68F2">
      <w:pPr>
        <w:keepNext w:val="0"/>
        <w:keepLines w:val="0"/>
        <w:pageBreakBefore w:val="0"/>
        <w:widowControl w:val="0"/>
        <w:tabs>
          <w:tab w:val="left" w:pos="709"/>
          <w:tab w:val="left" w:pos="851"/>
        </w:tabs>
        <w:kinsoku/>
        <w:wordWrap/>
        <w:overflowPunct/>
        <w:topLinePunct w:val="0"/>
        <w:autoSpaceDE/>
        <w:autoSpaceDN/>
        <w:bidi w:val="0"/>
        <w:adjustRightInd w:val="0"/>
        <w:snapToGrid w:val="0"/>
        <w:spacing w:line="360" w:lineRule="auto"/>
        <w:ind w:left="480" w:leftChars="200" w:firstLine="0" w:firstLineChars="0"/>
        <w:jc w:val="both"/>
        <w:textAlignment w:val="auto"/>
        <w:rPr>
          <w:rFonts w:hint="eastAsia"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1）磋商小组首先对商务响应文件进行评审，按评分标准打分后，取所有磋商小组成员评分的</w:t>
      </w:r>
    </w:p>
    <w:p w14:paraId="071B251F">
      <w:pPr>
        <w:keepNext w:val="0"/>
        <w:keepLines w:val="0"/>
        <w:pageBreakBefore w:val="0"/>
        <w:widowControl w:val="0"/>
        <w:tabs>
          <w:tab w:val="left" w:pos="709"/>
          <w:tab w:val="left" w:pos="851"/>
        </w:tabs>
        <w:kinsoku/>
        <w:wordWrap/>
        <w:overflowPunct/>
        <w:topLinePunct w:val="0"/>
        <w:autoSpaceDE/>
        <w:autoSpaceDN/>
        <w:bidi w:val="0"/>
        <w:adjustRightInd w:val="0"/>
        <w:snapToGrid w:val="0"/>
        <w:spacing w:line="360" w:lineRule="auto"/>
        <w:ind w:left="790" w:leftChars="329"/>
        <w:jc w:val="both"/>
        <w:textAlignment w:val="auto"/>
        <w:rPr>
          <w:rFonts w:hint="eastAsia"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平均值得出该供应商的商务评分；</w:t>
      </w:r>
    </w:p>
    <w:p w14:paraId="61071A7B">
      <w:pPr>
        <w:keepNext w:val="0"/>
        <w:keepLines w:val="0"/>
        <w:pageBreakBefore w:val="0"/>
        <w:widowControl w:val="0"/>
        <w:tabs>
          <w:tab w:val="left" w:pos="709"/>
          <w:tab w:val="left" w:pos="851"/>
        </w:tabs>
        <w:kinsoku/>
        <w:wordWrap/>
        <w:overflowPunct/>
        <w:topLinePunct w:val="0"/>
        <w:autoSpaceDE/>
        <w:autoSpaceDN/>
        <w:bidi w:val="0"/>
        <w:adjustRightInd w:val="0"/>
        <w:snapToGrid w:val="0"/>
        <w:spacing w:line="360" w:lineRule="auto"/>
        <w:ind w:left="480" w:leftChars="200"/>
        <w:jc w:val="both"/>
        <w:textAlignment w:val="auto"/>
        <w:rPr>
          <w:rFonts w:hint="eastAsia"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2）然后磋商小组对技术响应文件进行评审，按评分标准打分后，当磋商小组为五人时，在所</w:t>
      </w:r>
    </w:p>
    <w:p w14:paraId="07A35B50">
      <w:pPr>
        <w:keepNext w:val="0"/>
        <w:keepLines w:val="0"/>
        <w:pageBreakBefore w:val="0"/>
        <w:widowControl w:val="0"/>
        <w:tabs>
          <w:tab w:val="left" w:pos="709"/>
          <w:tab w:val="left" w:pos="851"/>
        </w:tabs>
        <w:kinsoku/>
        <w:wordWrap/>
        <w:overflowPunct/>
        <w:topLinePunct w:val="0"/>
        <w:autoSpaceDE/>
        <w:autoSpaceDN/>
        <w:bidi w:val="0"/>
        <w:adjustRightInd w:val="0"/>
        <w:snapToGrid w:val="0"/>
        <w:spacing w:line="360" w:lineRule="auto"/>
        <w:ind w:left="790" w:leftChars="329"/>
        <w:jc w:val="both"/>
        <w:textAlignment w:val="auto"/>
        <w:rPr>
          <w:rFonts w:hint="default"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有磋商小组成员对同一份响应文件技术评审的总评分中，去掉一个最高分和一个最低分，计算剩余总评分的算术平均值即为该供应商技术部分的最终综合得分；当磋商小组为七人及以上单数时，在磋商小组各成员的打分中，磋商小组同一成员的最高评分减去最低评分，去掉分差最大成员的所有打分（出现分差相同时，按最高评分减去次最低评分进行比较，如此类推），在所有剩余成员对同一份响应文件技术部分评审的总评分中，去掉一个最高分和一个最低分，计算剩余总评分的算术平均值即为该供应商技术部分的最终综合得分；若磋商小组成员对某一项按“优、良、中、差”区间评审的评分因素的评分低于权重分值60%的，应在评审报告中作出说明。</w:t>
      </w:r>
    </w:p>
    <w:p w14:paraId="1B4D3039">
      <w:pPr>
        <w:keepNext w:val="0"/>
        <w:keepLines w:val="0"/>
        <w:pageBreakBefore w:val="0"/>
        <w:widowControl w:val="0"/>
        <w:tabs>
          <w:tab w:val="left" w:pos="709"/>
          <w:tab w:val="left" w:pos="851"/>
        </w:tabs>
        <w:kinsoku/>
        <w:wordWrap/>
        <w:overflowPunct/>
        <w:topLinePunct w:val="0"/>
        <w:autoSpaceDE/>
        <w:autoSpaceDN/>
        <w:bidi w:val="0"/>
        <w:adjustRightInd w:val="0"/>
        <w:snapToGrid w:val="0"/>
        <w:spacing w:line="360" w:lineRule="auto"/>
        <w:ind w:left="480" w:leftChars="200"/>
        <w:jc w:val="both"/>
        <w:textAlignment w:val="auto"/>
        <w:rPr>
          <w:rFonts w:hint="default"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3）最后磋商小组对最终报价进行评审，按评分标准计算得出该供应商的价格评分。</w:t>
      </w:r>
    </w:p>
    <w:p w14:paraId="0580EDB3">
      <w:pPr>
        <w:tabs>
          <w:tab w:val="left" w:pos="709"/>
          <w:tab w:val="left" w:pos="851"/>
        </w:tabs>
        <w:autoSpaceDE/>
        <w:autoSpaceDN/>
        <w:snapToGrid w:val="0"/>
        <w:spacing w:line="360" w:lineRule="auto"/>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）磋商小组打分采取记名形式。</w:t>
      </w:r>
    </w:p>
    <w:p w14:paraId="5C5F2D9D">
      <w:pPr>
        <w:keepNext w:val="0"/>
        <w:keepLines w:val="0"/>
        <w:pageBreakBefore w:val="0"/>
        <w:widowControl w:val="0"/>
        <w:tabs>
          <w:tab w:val="left" w:pos="709"/>
          <w:tab w:val="left" w:pos="851"/>
        </w:tabs>
        <w:kinsoku/>
        <w:wordWrap/>
        <w:overflowPunct/>
        <w:topLinePunct w:val="0"/>
        <w:autoSpaceDE/>
        <w:autoSpaceDN/>
        <w:bidi w:val="0"/>
        <w:adjustRightInd w:val="0"/>
        <w:snapToGrid w:val="0"/>
        <w:spacing w:line="360" w:lineRule="auto"/>
        <w:ind w:left="504" w:hanging="504" w:hangingChars="24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highlight w:val="none"/>
          <w:lang w:val="zh-CN"/>
        </w:rPr>
        <w:t>各磋商小组成员根据秘书组提供的商务、技术打分表独立自主打分，任何人不得要求评委统一打分或统一确定等次顺序。</w:t>
      </w:r>
    </w:p>
    <w:p w14:paraId="4AFFE987">
      <w:pPr>
        <w:keepNext w:val="0"/>
        <w:keepLines w:val="0"/>
        <w:pageBreakBefore w:val="0"/>
        <w:widowControl w:val="0"/>
        <w:tabs>
          <w:tab w:val="left" w:pos="709"/>
          <w:tab w:val="left" w:pos="851"/>
        </w:tabs>
        <w:kinsoku/>
        <w:wordWrap/>
        <w:overflowPunct/>
        <w:topLinePunct w:val="0"/>
        <w:autoSpaceDE/>
        <w:autoSpaceDN/>
        <w:bidi w:val="0"/>
        <w:adjustRightInd w:val="0"/>
        <w:snapToGrid w:val="0"/>
        <w:spacing w:line="360" w:lineRule="auto"/>
        <w:ind w:left="504" w:hanging="504" w:hangingChars="24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w:t>
      </w:r>
      <w:r>
        <w:rPr>
          <w:rFonts w:hint="eastAsia" w:ascii="宋体" w:hAnsi="宋体" w:eastAsia="宋体" w:cs="宋体"/>
          <w:color w:val="auto"/>
          <w:kern w:val="2"/>
          <w:sz w:val="21"/>
          <w:highlight w:val="none"/>
          <w:lang w:val="en-US" w:eastAsia="zh-CN"/>
        </w:rPr>
        <w:t>6</w:t>
      </w:r>
      <w:r>
        <w:rPr>
          <w:rFonts w:hint="eastAsia" w:ascii="宋体" w:hAnsi="宋体" w:eastAsia="宋体" w:cs="宋体"/>
          <w:color w:val="auto"/>
          <w:kern w:val="2"/>
          <w:sz w:val="21"/>
          <w:highlight w:val="none"/>
          <w:lang w:val="zh-CN"/>
        </w:rPr>
        <w:t>）对打分表中的每项条款，各磋商小组成员应根据响应文件、澄清材料、竞争性磋商文件要求，按满足的程度给供应商打分。</w:t>
      </w:r>
    </w:p>
    <w:p w14:paraId="708770E2">
      <w:pPr>
        <w:tabs>
          <w:tab w:val="left" w:pos="709"/>
          <w:tab w:val="left" w:pos="851"/>
        </w:tabs>
        <w:autoSpaceDE/>
        <w:autoSpaceDN/>
        <w:snapToGrid w:val="0"/>
        <w:spacing w:line="360" w:lineRule="auto"/>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lang w:val="zh-CN"/>
        </w:rPr>
        <w:t>）评分程序</w:t>
      </w:r>
    </w:p>
    <w:p w14:paraId="16C5FF26">
      <w:pPr>
        <w:tabs>
          <w:tab w:val="left" w:pos="1134"/>
        </w:tabs>
        <w:spacing w:line="360" w:lineRule="auto"/>
        <w:ind w:left="1053" w:leftChars="220" w:hanging="525" w:hangingChars="2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1）就供应商的响应文件对照整理出商务、技术评审因素对比表，并在经过校核的基础上逐项</w:t>
      </w:r>
    </w:p>
    <w:p w14:paraId="2976B2CB">
      <w:pPr>
        <w:tabs>
          <w:tab w:val="left" w:pos="1134"/>
        </w:tabs>
        <w:spacing w:line="360" w:lineRule="auto"/>
        <w:ind w:firstLine="840" w:firstLineChars="4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打分。</w:t>
      </w:r>
    </w:p>
    <w:p w14:paraId="797E35C2">
      <w:pPr>
        <w:spacing w:line="360" w:lineRule="auto"/>
        <w:ind w:firstLine="525" w:firstLineChars="2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2）各磋商小组成员独立完成打分后，将统计好的评分表交给</w:t>
      </w:r>
      <w:r>
        <w:rPr>
          <w:rFonts w:hint="eastAsia" w:ascii="宋体" w:hAnsi="宋体" w:eastAsia="宋体" w:cs="宋体"/>
          <w:color w:val="auto"/>
          <w:kern w:val="2"/>
          <w:sz w:val="21"/>
          <w:highlight w:val="none"/>
          <w:lang w:val="en-US" w:eastAsia="zh-CN"/>
        </w:rPr>
        <w:t>现场工作人员</w:t>
      </w:r>
      <w:r>
        <w:rPr>
          <w:rFonts w:hint="eastAsia" w:ascii="宋体" w:hAnsi="宋体" w:eastAsia="宋体" w:cs="宋体"/>
          <w:color w:val="auto"/>
          <w:kern w:val="2"/>
          <w:sz w:val="21"/>
          <w:highlight w:val="none"/>
          <w:lang w:val="zh-CN"/>
        </w:rPr>
        <w:t>复核。</w:t>
      </w:r>
    </w:p>
    <w:p w14:paraId="58C444DD">
      <w:pPr>
        <w:spacing w:line="360" w:lineRule="auto"/>
        <w:ind w:firstLine="525" w:firstLineChars="2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3）评分统计表中各供应商得分应为评委打分的算术平均值。</w:t>
      </w:r>
    </w:p>
    <w:p w14:paraId="0C20A9DD">
      <w:pPr>
        <w:spacing w:line="360" w:lineRule="auto"/>
        <w:ind w:left="2" w:leftChars="1"/>
        <w:jc w:val="both"/>
        <w:rPr>
          <w:rFonts w:hint="eastAsia" w:ascii="宋体" w:hAnsi="宋体" w:eastAsia="宋体" w:cs="宋体"/>
          <w:b/>
          <w:color w:val="auto"/>
          <w:kern w:val="2"/>
          <w:sz w:val="21"/>
          <w:highlight w:val="none"/>
          <w:lang w:val="zh-CN"/>
        </w:rPr>
      </w:pPr>
      <w:r>
        <w:rPr>
          <w:rFonts w:hint="eastAsia" w:ascii="宋体" w:hAnsi="宋体" w:eastAsia="宋体" w:cs="宋体"/>
          <w:b/>
          <w:color w:val="auto"/>
          <w:kern w:val="2"/>
          <w:sz w:val="21"/>
          <w:highlight w:val="none"/>
          <w:lang w:val="zh-CN"/>
        </w:rPr>
        <w:t>12、评分因素及分值</w:t>
      </w:r>
    </w:p>
    <w:tbl>
      <w:tblPr>
        <w:tblStyle w:val="5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372"/>
        <w:gridCol w:w="4915"/>
      </w:tblGrid>
      <w:tr w14:paraId="6D4A68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354" w:type="pct"/>
            <w:tcBorders>
              <w:top w:val="single" w:color="auto" w:sz="4" w:space="0"/>
              <w:left w:val="single" w:color="auto" w:sz="4" w:space="0"/>
              <w:bottom w:val="single" w:color="auto" w:sz="4" w:space="0"/>
              <w:right w:val="single" w:color="auto" w:sz="4" w:space="0"/>
            </w:tcBorders>
            <w:noWrap w:val="0"/>
            <w:vAlign w:val="center"/>
          </w:tcPr>
          <w:p w14:paraId="3B88FC1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评分因素</w:t>
            </w:r>
          </w:p>
        </w:tc>
        <w:tc>
          <w:tcPr>
            <w:tcW w:w="2646" w:type="pct"/>
            <w:tcBorders>
              <w:top w:val="single" w:color="auto" w:sz="4" w:space="0"/>
              <w:left w:val="single" w:color="auto" w:sz="4" w:space="0"/>
              <w:bottom w:val="single" w:color="auto" w:sz="4" w:space="0"/>
              <w:right w:val="single" w:color="auto" w:sz="4" w:space="0"/>
            </w:tcBorders>
            <w:noWrap w:val="0"/>
            <w:vAlign w:val="center"/>
          </w:tcPr>
          <w:p w14:paraId="01F9737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分值</w:t>
            </w:r>
          </w:p>
        </w:tc>
      </w:tr>
      <w:tr w14:paraId="0191CA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354" w:type="pct"/>
            <w:tcBorders>
              <w:top w:val="single" w:color="auto" w:sz="4" w:space="0"/>
              <w:left w:val="single" w:color="auto" w:sz="4" w:space="0"/>
              <w:bottom w:val="single" w:color="auto" w:sz="4" w:space="0"/>
              <w:right w:val="single" w:color="auto" w:sz="4" w:space="0"/>
            </w:tcBorders>
            <w:noWrap w:val="0"/>
            <w:vAlign w:val="bottom"/>
          </w:tcPr>
          <w:p w14:paraId="53305B0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64" w:afterLines="50" w:afterAutospacing="0" w:line="240" w:lineRule="auto"/>
              <w:ind w:left="0" w:right="0"/>
              <w:jc w:val="center"/>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1、商务</w:t>
            </w:r>
          </w:p>
        </w:tc>
        <w:tc>
          <w:tcPr>
            <w:tcW w:w="2646" w:type="pct"/>
            <w:tcBorders>
              <w:top w:val="single" w:color="auto" w:sz="4" w:space="0"/>
              <w:left w:val="single" w:color="auto" w:sz="4" w:space="0"/>
              <w:bottom w:val="single" w:color="auto" w:sz="4" w:space="0"/>
              <w:right w:val="single" w:color="auto" w:sz="4" w:space="0"/>
            </w:tcBorders>
            <w:noWrap w:val="0"/>
            <w:vAlign w:val="bottom"/>
          </w:tcPr>
          <w:p w14:paraId="1C83585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64" w:afterLines="50" w:afterAutospacing="0" w:line="240" w:lineRule="auto"/>
              <w:ind w:left="0" w:right="0"/>
              <w:jc w:val="center"/>
              <w:textAlignment w:val="auto"/>
              <w:rPr>
                <w:rFonts w:hint="eastAsia" w:ascii="宋体" w:hAnsi="宋体" w:eastAsia="宋体" w:cs="宋体"/>
                <w:color w:val="auto"/>
                <w:kern w:val="2"/>
                <w:sz w:val="21"/>
                <w:highlight w:val="none"/>
                <w:lang w:val="zh-CN"/>
              </w:rPr>
            </w:pPr>
            <w:r>
              <w:rPr>
                <w:rFonts w:hint="eastAsia" w:ascii="宋体" w:hAnsi="宋体" w:cs="宋体"/>
                <w:color w:val="auto"/>
                <w:kern w:val="2"/>
                <w:sz w:val="21"/>
                <w:highlight w:val="none"/>
                <w:lang w:val="en-US" w:eastAsia="zh-CN"/>
              </w:rPr>
              <w:t>20</w:t>
            </w:r>
            <w:r>
              <w:rPr>
                <w:rFonts w:hint="eastAsia" w:ascii="宋体" w:hAnsi="宋体" w:eastAsia="宋体" w:cs="宋体"/>
                <w:color w:val="auto"/>
                <w:kern w:val="2"/>
                <w:sz w:val="21"/>
                <w:highlight w:val="none"/>
                <w:lang w:val="zh-CN"/>
              </w:rPr>
              <w:t>分</w:t>
            </w:r>
          </w:p>
        </w:tc>
      </w:tr>
      <w:tr w14:paraId="557C20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354" w:type="pct"/>
            <w:tcBorders>
              <w:top w:val="single" w:color="auto" w:sz="4" w:space="0"/>
              <w:left w:val="single" w:color="auto" w:sz="4" w:space="0"/>
              <w:bottom w:val="single" w:color="auto" w:sz="4" w:space="0"/>
              <w:right w:val="single" w:color="auto" w:sz="4" w:space="0"/>
            </w:tcBorders>
            <w:noWrap w:val="0"/>
            <w:vAlign w:val="bottom"/>
          </w:tcPr>
          <w:p w14:paraId="224A84E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64" w:afterLines="50" w:afterAutospacing="0" w:line="240" w:lineRule="auto"/>
              <w:ind w:left="0" w:right="0"/>
              <w:jc w:val="center"/>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2、技术</w:t>
            </w:r>
          </w:p>
        </w:tc>
        <w:tc>
          <w:tcPr>
            <w:tcW w:w="2646" w:type="pct"/>
            <w:tcBorders>
              <w:top w:val="single" w:color="auto" w:sz="4" w:space="0"/>
              <w:left w:val="single" w:color="auto" w:sz="4" w:space="0"/>
              <w:bottom w:val="single" w:color="auto" w:sz="4" w:space="0"/>
              <w:right w:val="single" w:color="auto" w:sz="4" w:space="0"/>
            </w:tcBorders>
            <w:noWrap w:val="0"/>
            <w:vAlign w:val="bottom"/>
          </w:tcPr>
          <w:p w14:paraId="52E3FF2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64" w:afterLines="50" w:afterAutospacing="0" w:line="240" w:lineRule="auto"/>
              <w:ind w:left="0" w:right="0"/>
              <w:jc w:val="center"/>
              <w:textAlignment w:val="auto"/>
              <w:rPr>
                <w:rFonts w:hint="eastAsia" w:ascii="宋体" w:hAnsi="宋体" w:eastAsia="宋体" w:cs="宋体"/>
                <w:color w:val="auto"/>
                <w:kern w:val="2"/>
                <w:sz w:val="21"/>
                <w:highlight w:val="none"/>
                <w:lang w:val="zh-CN"/>
              </w:rPr>
            </w:pPr>
            <w:r>
              <w:rPr>
                <w:rFonts w:hint="eastAsia" w:ascii="宋体" w:hAnsi="宋体" w:cs="宋体"/>
                <w:color w:val="auto"/>
                <w:kern w:val="2"/>
                <w:sz w:val="21"/>
                <w:highlight w:val="none"/>
                <w:lang w:val="en-US" w:eastAsia="zh-CN"/>
              </w:rPr>
              <w:t>4</w:t>
            </w:r>
            <w:r>
              <w:rPr>
                <w:rFonts w:hint="eastAsia" w:ascii="宋体" w:hAnsi="宋体" w:eastAsia="宋体" w:cs="宋体"/>
                <w:color w:val="auto"/>
                <w:kern w:val="2"/>
                <w:sz w:val="21"/>
                <w:highlight w:val="none"/>
                <w:lang w:val="en-US" w:eastAsia="zh-CN"/>
              </w:rPr>
              <w:t>0</w:t>
            </w:r>
            <w:r>
              <w:rPr>
                <w:rFonts w:hint="eastAsia" w:ascii="宋体" w:hAnsi="宋体" w:eastAsia="宋体" w:cs="宋体"/>
                <w:color w:val="auto"/>
                <w:kern w:val="2"/>
                <w:sz w:val="21"/>
                <w:highlight w:val="none"/>
                <w:lang w:val="zh-CN"/>
              </w:rPr>
              <w:t>分</w:t>
            </w:r>
          </w:p>
        </w:tc>
      </w:tr>
      <w:tr w14:paraId="0B9789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354" w:type="pct"/>
            <w:tcBorders>
              <w:top w:val="single" w:color="auto" w:sz="4" w:space="0"/>
              <w:left w:val="single" w:color="auto" w:sz="4" w:space="0"/>
              <w:bottom w:val="single" w:color="auto" w:sz="4" w:space="0"/>
              <w:right w:val="single" w:color="auto" w:sz="4" w:space="0"/>
            </w:tcBorders>
            <w:noWrap w:val="0"/>
            <w:vAlign w:val="bottom"/>
          </w:tcPr>
          <w:p w14:paraId="6CE52C8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64" w:afterLines="50" w:afterAutospacing="0" w:line="240" w:lineRule="auto"/>
              <w:ind w:left="0" w:right="0"/>
              <w:jc w:val="center"/>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3、价格</w:t>
            </w:r>
          </w:p>
        </w:tc>
        <w:tc>
          <w:tcPr>
            <w:tcW w:w="2646" w:type="pct"/>
            <w:tcBorders>
              <w:top w:val="single" w:color="auto" w:sz="4" w:space="0"/>
              <w:left w:val="single" w:color="auto" w:sz="4" w:space="0"/>
              <w:bottom w:val="single" w:color="auto" w:sz="4" w:space="0"/>
              <w:right w:val="single" w:color="auto" w:sz="4" w:space="0"/>
            </w:tcBorders>
            <w:noWrap w:val="0"/>
            <w:vAlign w:val="bottom"/>
          </w:tcPr>
          <w:p w14:paraId="2EA7401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64" w:afterLines="50" w:afterAutospacing="0" w:line="240" w:lineRule="auto"/>
              <w:ind w:left="0" w:right="0"/>
              <w:jc w:val="center"/>
              <w:textAlignment w:val="auto"/>
              <w:rPr>
                <w:rFonts w:hint="eastAsia" w:ascii="宋体" w:hAnsi="宋体" w:eastAsia="宋体" w:cs="宋体"/>
                <w:color w:val="auto"/>
                <w:kern w:val="2"/>
                <w:sz w:val="21"/>
                <w:highlight w:val="none"/>
                <w:lang w:val="zh-CN"/>
              </w:rPr>
            </w:pPr>
            <w:r>
              <w:rPr>
                <w:rFonts w:hint="eastAsia" w:ascii="宋体" w:hAnsi="宋体" w:cs="宋体"/>
                <w:color w:val="auto"/>
                <w:kern w:val="2"/>
                <w:sz w:val="21"/>
                <w:highlight w:val="none"/>
                <w:lang w:val="en-US" w:eastAsia="zh-CN"/>
              </w:rPr>
              <w:t>4</w:t>
            </w:r>
            <w:r>
              <w:rPr>
                <w:rFonts w:hint="eastAsia" w:ascii="宋体" w:hAnsi="宋体" w:eastAsia="宋体" w:cs="宋体"/>
                <w:color w:val="auto"/>
                <w:kern w:val="2"/>
                <w:sz w:val="21"/>
                <w:highlight w:val="none"/>
                <w:lang w:val="zh-CN"/>
              </w:rPr>
              <w:t>0分</w:t>
            </w:r>
          </w:p>
        </w:tc>
      </w:tr>
    </w:tbl>
    <w:p w14:paraId="4196F90D">
      <w:pPr>
        <w:keepNext w:val="0"/>
        <w:keepLines w:val="0"/>
        <w:pageBreakBefore w:val="0"/>
        <w:widowControl w:val="0"/>
        <w:tabs>
          <w:tab w:val="left" w:pos="585"/>
        </w:tabs>
        <w:kinsoku/>
        <w:wordWrap/>
        <w:overflowPunct/>
        <w:topLinePunct w:val="0"/>
        <w:bidi w:val="0"/>
        <w:snapToGrid/>
        <w:spacing w:line="360" w:lineRule="auto"/>
        <w:jc w:val="both"/>
        <w:textAlignment w:val="auto"/>
        <w:rPr>
          <w:rFonts w:hint="eastAsia" w:ascii="宋体" w:hAnsi="宋体" w:eastAsia="宋体" w:cs="宋体"/>
          <w:b/>
          <w:color w:val="auto"/>
          <w:kern w:val="2"/>
          <w:sz w:val="21"/>
          <w:szCs w:val="21"/>
          <w:highlight w:val="none"/>
          <w:lang w:val="zh-CN"/>
        </w:rPr>
      </w:pPr>
    </w:p>
    <w:p w14:paraId="40B2CDB8">
      <w:pPr>
        <w:tabs>
          <w:tab w:val="left" w:pos="585"/>
        </w:tabs>
        <w:autoSpaceDE w:val="0"/>
        <w:autoSpaceDN w:val="0"/>
        <w:adjustRightInd w:val="0"/>
        <w:snapToGrid w:val="0"/>
        <w:spacing w:line="360" w:lineRule="auto"/>
        <w:outlineLvl w:val="9"/>
        <w:rPr>
          <w:rFonts w:hint="eastAsia" w:ascii="宋体" w:hAnsi="宋体" w:eastAsia="宋体" w:cs="宋体"/>
          <w:b/>
          <w:color w:val="auto"/>
          <w:sz w:val="21"/>
          <w:szCs w:val="21"/>
          <w:lang w:val="zh-CN"/>
        </w:rPr>
      </w:pPr>
      <w:r>
        <w:rPr>
          <w:rFonts w:hint="eastAsia" w:ascii="宋体" w:hAnsi="宋体" w:eastAsia="宋体" w:cs="宋体"/>
          <w:b/>
          <w:color w:val="auto"/>
          <w:sz w:val="21"/>
          <w:szCs w:val="21"/>
        </w:rPr>
        <w:t>（1）</w:t>
      </w:r>
      <w:r>
        <w:rPr>
          <w:rFonts w:hint="eastAsia" w:ascii="宋体" w:hAnsi="宋体" w:eastAsia="宋体" w:cs="宋体"/>
          <w:b/>
          <w:color w:val="auto"/>
          <w:sz w:val="21"/>
          <w:szCs w:val="21"/>
          <w:lang w:val="zh-CN"/>
        </w:rPr>
        <w:t>商务：总分</w:t>
      </w:r>
      <w:r>
        <w:rPr>
          <w:rFonts w:hint="eastAsia" w:ascii="宋体" w:hAnsi="宋体" w:eastAsia="宋体" w:cs="宋体"/>
          <w:b/>
          <w:color w:val="auto"/>
          <w:sz w:val="21"/>
          <w:szCs w:val="21"/>
          <w:lang w:val="en-US" w:eastAsia="zh-CN"/>
        </w:rPr>
        <w:t>2</w:t>
      </w:r>
      <w:r>
        <w:rPr>
          <w:rFonts w:hint="eastAsia" w:ascii="宋体" w:hAnsi="宋体" w:eastAsia="宋体" w:cs="宋体"/>
          <w:b/>
          <w:color w:val="auto"/>
          <w:sz w:val="21"/>
          <w:szCs w:val="21"/>
        </w:rPr>
        <w:t>0</w:t>
      </w:r>
      <w:r>
        <w:rPr>
          <w:rFonts w:hint="eastAsia" w:ascii="宋体" w:hAnsi="宋体" w:eastAsia="宋体" w:cs="宋体"/>
          <w:b/>
          <w:color w:val="auto"/>
          <w:sz w:val="21"/>
          <w:szCs w:val="21"/>
          <w:lang w:val="zh-CN"/>
        </w:rPr>
        <w:t>分</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1080"/>
        <w:gridCol w:w="6662"/>
        <w:gridCol w:w="864"/>
      </w:tblGrid>
      <w:tr w14:paraId="037B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vAlign w:val="center"/>
          </w:tcPr>
          <w:p w14:paraId="12051735">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b/>
                <w:bCs/>
                <w:color w:val="auto"/>
                <w:sz w:val="21"/>
                <w:szCs w:val="21"/>
              </w:rPr>
            </w:pPr>
            <w:bookmarkStart w:id="491" w:name="_Toc11639_WPSOffice_Level2"/>
            <w:r>
              <w:rPr>
                <w:rFonts w:hint="eastAsia" w:ascii="宋体" w:hAnsi="宋体" w:eastAsia="宋体" w:cs="宋体"/>
                <w:b/>
                <w:bCs/>
                <w:color w:val="auto"/>
                <w:sz w:val="21"/>
                <w:szCs w:val="21"/>
              </w:rPr>
              <w:t>序号</w:t>
            </w:r>
          </w:p>
        </w:tc>
        <w:tc>
          <w:tcPr>
            <w:tcW w:w="581" w:type="pct"/>
            <w:vAlign w:val="center"/>
          </w:tcPr>
          <w:p w14:paraId="5B327B18">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评审内容</w:t>
            </w:r>
          </w:p>
        </w:tc>
        <w:tc>
          <w:tcPr>
            <w:tcW w:w="3585" w:type="pct"/>
            <w:vAlign w:val="center"/>
          </w:tcPr>
          <w:p w14:paraId="306F2AA9">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评审细则</w:t>
            </w:r>
          </w:p>
        </w:tc>
        <w:tc>
          <w:tcPr>
            <w:tcW w:w="465" w:type="pct"/>
            <w:vAlign w:val="center"/>
          </w:tcPr>
          <w:p w14:paraId="4C237BB6">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满分值</w:t>
            </w:r>
          </w:p>
        </w:tc>
      </w:tr>
      <w:tr w14:paraId="10C18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vAlign w:val="center"/>
          </w:tcPr>
          <w:p w14:paraId="4140BCE8">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81" w:type="pct"/>
            <w:vAlign w:val="center"/>
          </w:tcPr>
          <w:p w14:paraId="43718183">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财务状况</w:t>
            </w:r>
          </w:p>
        </w:tc>
        <w:tc>
          <w:tcPr>
            <w:tcW w:w="3585" w:type="pct"/>
            <w:vAlign w:val="center"/>
          </w:tcPr>
          <w:p w14:paraId="26DCED36">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202</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年-202</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年三个年度，每具有1个年度</w:t>
            </w:r>
            <w:r>
              <w:rPr>
                <w:rFonts w:hint="eastAsia" w:ascii="宋体" w:hAnsi="宋体" w:eastAsia="宋体" w:cs="宋体"/>
                <w:color w:val="auto"/>
                <w:sz w:val="21"/>
                <w:szCs w:val="21"/>
                <w:lang w:val="en-US" w:eastAsia="zh-CN"/>
              </w:rPr>
              <w:t>盈利</w:t>
            </w:r>
            <w:r>
              <w:rPr>
                <w:rFonts w:hint="eastAsia" w:ascii="宋体" w:hAnsi="宋体" w:eastAsia="宋体" w:cs="宋体"/>
                <w:color w:val="auto"/>
                <w:sz w:val="21"/>
                <w:szCs w:val="21"/>
              </w:rPr>
              <w:t>的得1分，满分3分。</w:t>
            </w:r>
          </w:p>
          <w:p w14:paraId="227D427A">
            <w:pPr>
              <w:keepNext w:val="0"/>
              <w:keepLines w:val="0"/>
              <w:suppressLineNumbers w:val="0"/>
              <w:spacing w:before="0" w:beforeAutospacing="0" w:after="0" w:afterAutospacing="0" w:line="360" w:lineRule="auto"/>
              <w:ind w:left="0" w:right="0"/>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备注：</w:t>
            </w:r>
          </w:p>
          <w:p w14:paraId="64A1BE24">
            <w:pPr>
              <w:keepNext w:val="0"/>
              <w:keepLines w:val="0"/>
              <w:suppressLineNumbers w:val="0"/>
              <w:spacing w:before="0" w:beforeAutospacing="0" w:after="0" w:afterAutospacing="0" w:line="360" w:lineRule="auto"/>
              <w:ind w:left="0" w:right="0"/>
              <w:outlineLvl w:val="9"/>
              <w:rPr>
                <w:rFonts w:hint="eastAsia" w:ascii="宋体" w:hAnsi="宋体" w:eastAsia="宋体" w:cs="宋体"/>
                <w:b/>
                <w:color w:val="auto"/>
                <w:sz w:val="21"/>
                <w:szCs w:val="21"/>
              </w:rPr>
            </w:pPr>
            <w:r>
              <w:rPr>
                <w:rFonts w:hint="eastAsia" w:ascii="宋体" w:hAnsi="宋体" w:eastAsia="宋体" w:cs="宋体"/>
                <w:bCs/>
                <w:color w:val="auto"/>
                <w:sz w:val="21"/>
                <w:szCs w:val="21"/>
                <w:lang w:val="en-US" w:eastAsia="zh-CN"/>
              </w:rPr>
              <w:t>盈利指净利润为正数（非零、非负数），</w:t>
            </w:r>
            <w:r>
              <w:rPr>
                <w:rFonts w:hint="eastAsia" w:ascii="宋体" w:hAnsi="宋体" w:cs="宋体"/>
                <w:bCs/>
                <w:color w:val="auto"/>
                <w:sz w:val="21"/>
                <w:szCs w:val="21"/>
                <w:lang w:val="zh-CN"/>
              </w:rPr>
              <w:t>供应商</w:t>
            </w:r>
            <w:r>
              <w:rPr>
                <w:rFonts w:hint="eastAsia" w:ascii="宋体" w:hAnsi="宋体" w:eastAsia="宋体" w:cs="宋体"/>
                <w:bCs/>
                <w:color w:val="auto"/>
                <w:sz w:val="21"/>
                <w:szCs w:val="21"/>
                <w:lang w:val="zh-CN"/>
              </w:rPr>
              <w:t>应提供202</w:t>
            </w:r>
            <w:r>
              <w:rPr>
                <w:rFonts w:hint="eastAsia" w:ascii="宋体" w:hAnsi="宋体" w:eastAsia="宋体" w:cs="宋体"/>
                <w:bCs/>
                <w:color w:val="auto"/>
                <w:sz w:val="21"/>
                <w:szCs w:val="21"/>
                <w:lang w:val="en-US" w:eastAsia="zh-CN"/>
              </w:rPr>
              <w:t>1</w:t>
            </w:r>
            <w:r>
              <w:rPr>
                <w:rFonts w:hint="eastAsia" w:ascii="宋体" w:hAnsi="宋体" w:eastAsia="宋体" w:cs="宋体"/>
                <w:bCs/>
                <w:color w:val="auto"/>
                <w:sz w:val="21"/>
                <w:szCs w:val="21"/>
                <w:lang w:val="zh-CN"/>
              </w:rPr>
              <w:t>年、202</w:t>
            </w: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lang w:val="zh-CN"/>
              </w:rPr>
              <w:t>年、202</w:t>
            </w:r>
            <w:r>
              <w:rPr>
                <w:rFonts w:hint="eastAsia" w:ascii="宋体" w:hAnsi="宋体" w:eastAsia="宋体" w:cs="宋体"/>
                <w:bCs/>
                <w:color w:val="auto"/>
                <w:sz w:val="21"/>
                <w:szCs w:val="21"/>
                <w:lang w:val="en-US" w:eastAsia="zh-CN"/>
              </w:rPr>
              <w:t>3</w:t>
            </w:r>
            <w:r>
              <w:rPr>
                <w:rFonts w:hint="eastAsia" w:ascii="宋体" w:hAnsi="宋体" w:eastAsia="宋体" w:cs="宋体"/>
                <w:bCs/>
                <w:color w:val="auto"/>
                <w:sz w:val="21"/>
                <w:szCs w:val="21"/>
                <w:lang w:val="zh-CN"/>
              </w:rPr>
              <w:t>年三个年度的财务报表，净利润以</w:t>
            </w:r>
            <w:r>
              <w:rPr>
                <w:rFonts w:hint="eastAsia" w:ascii="宋体" w:hAnsi="宋体" w:eastAsia="宋体" w:cs="宋体"/>
                <w:bCs/>
                <w:color w:val="auto"/>
                <w:sz w:val="21"/>
                <w:szCs w:val="21"/>
                <w:lang w:val="en-US" w:eastAsia="zh-CN"/>
              </w:rPr>
              <w:t>对应年度</w:t>
            </w:r>
            <w:r>
              <w:rPr>
                <w:rFonts w:hint="eastAsia" w:ascii="宋体" w:hAnsi="宋体" w:eastAsia="宋体" w:cs="宋体"/>
                <w:bCs/>
                <w:color w:val="auto"/>
                <w:sz w:val="21"/>
                <w:szCs w:val="21"/>
                <w:lang w:val="zh-CN"/>
              </w:rPr>
              <w:t>经审计的财务报表为准，</w:t>
            </w:r>
            <w:r>
              <w:rPr>
                <w:rFonts w:hint="eastAsia" w:ascii="宋体" w:hAnsi="宋体" w:eastAsia="宋体" w:cs="宋体"/>
                <w:bCs/>
                <w:color w:val="auto"/>
                <w:sz w:val="21"/>
                <w:szCs w:val="21"/>
                <w:lang w:val="en-US" w:eastAsia="zh-CN"/>
              </w:rPr>
              <w:t>应</w:t>
            </w:r>
            <w:r>
              <w:rPr>
                <w:rFonts w:hint="eastAsia" w:ascii="宋体" w:hAnsi="宋体" w:eastAsia="宋体" w:cs="宋体"/>
                <w:bCs/>
                <w:color w:val="auto"/>
                <w:sz w:val="21"/>
                <w:szCs w:val="21"/>
                <w:lang w:val="zh-CN"/>
              </w:rPr>
              <w:t>提供经独立会计师事务所审计过的有效的财务报表</w:t>
            </w:r>
            <w:r>
              <w:rPr>
                <w:rFonts w:hint="eastAsia" w:ascii="宋体" w:hAnsi="宋体" w:eastAsia="宋体" w:cs="宋体"/>
                <w:bCs/>
                <w:color w:val="auto"/>
                <w:sz w:val="21"/>
                <w:szCs w:val="21"/>
                <w:lang w:val="en-US" w:eastAsia="zh-CN"/>
              </w:rPr>
              <w:t>复印</w:t>
            </w:r>
            <w:r>
              <w:rPr>
                <w:rFonts w:hint="eastAsia" w:ascii="宋体" w:hAnsi="宋体" w:eastAsia="宋体" w:cs="宋体"/>
                <w:bCs/>
                <w:color w:val="auto"/>
                <w:sz w:val="21"/>
                <w:szCs w:val="21"/>
                <w:lang w:val="zh-CN"/>
              </w:rPr>
              <w:t>件，未提供前述财务</w:t>
            </w:r>
            <w:r>
              <w:rPr>
                <w:rFonts w:hint="eastAsia" w:ascii="宋体" w:hAnsi="宋体" w:eastAsia="宋体" w:cs="宋体"/>
                <w:bCs/>
                <w:color w:val="auto"/>
                <w:sz w:val="21"/>
                <w:szCs w:val="21"/>
                <w:lang w:val="en-US" w:eastAsia="zh-CN"/>
              </w:rPr>
              <w:t>报表</w:t>
            </w:r>
            <w:r>
              <w:rPr>
                <w:rFonts w:hint="eastAsia" w:ascii="宋体" w:hAnsi="宋体" w:eastAsia="宋体" w:cs="宋体"/>
                <w:bCs/>
                <w:color w:val="auto"/>
                <w:sz w:val="21"/>
                <w:szCs w:val="21"/>
                <w:lang w:val="zh-CN"/>
              </w:rPr>
              <w:t>或财务</w:t>
            </w:r>
            <w:r>
              <w:rPr>
                <w:rFonts w:hint="eastAsia" w:ascii="宋体" w:hAnsi="宋体" w:eastAsia="宋体" w:cs="宋体"/>
                <w:bCs/>
                <w:color w:val="auto"/>
                <w:sz w:val="21"/>
                <w:szCs w:val="21"/>
                <w:lang w:val="en-US" w:eastAsia="zh-CN"/>
              </w:rPr>
              <w:t>报表</w:t>
            </w:r>
            <w:r>
              <w:rPr>
                <w:rFonts w:hint="eastAsia" w:ascii="宋体" w:hAnsi="宋体" w:eastAsia="宋体" w:cs="宋体"/>
                <w:bCs/>
                <w:color w:val="auto"/>
                <w:sz w:val="21"/>
                <w:szCs w:val="21"/>
                <w:lang w:val="zh-CN"/>
              </w:rPr>
              <w:t>未能反映净利润的，不得分。</w:t>
            </w:r>
          </w:p>
        </w:tc>
        <w:tc>
          <w:tcPr>
            <w:tcW w:w="465" w:type="pct"/>
            <w:vAlign w:val="center"/>
          </w:tcPr>
          <w:p w14:paraId="4B2C3730">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b/>
                <w:color w:val="auto"/>
                <w:sz w:val="21"/>
                <w:szCs w:val="21"/>
              </w:rPr>
            </w:pPr>
            <w:r>
              <w:rPr>
                <w:rFonts w:hint="eastAsia" w:ascii="宋体" w:hAnsi="宋体" w:eastAsia="宋体" w:cs="宋体"/>
                <w:color w:val="auto"/>
                <w:sz w:val="21"/>
                <w:szCs w:val="21"/>
              </w:rPr>
              <w:t>3分</w:t>
            </w:r>
          </w:p>
        </w:tc>
      </w:tr>
      <w:tr w14:paraId="63584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vAlign w:val="center"/>
          </w:tcPr>
          <w:p w14:paraId="2A450CE5">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81" w:type="pct"/>
            <w:vAlign w:val="center"/>
          </w:tcPr>
          <w:p w14:paraId="0F4E0AC4">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标准化系</w:t>
            </w:r>
          </w:p>
          <w:p w14:paraId="1D07F899">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统认证</w:t>
            </w:r>
          </w:p>
        </w:tc>
        <w:tc>
          <w:tcPr>
            <w:tcW w:w="3585" w:type="pct"/>
            <w:vAlign w:val="center"/>
          </w:tcPr>
          <w:p w14:paraId="0D4C11A6">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val="zh-CN"/>
              </w:rPr>
              <w:t>具有有效期内的ISO9001质量管理体系认证证书得</w:t>
            </w:r>
            <w:r>
              <w:rPr>
                <w:rFonts w:hint="eastAsia" w:ascii="宋体" w:hAnsi="宋体" w:eastAsia="宋体" w:cs="宋体"/>
                <w:color w:val="auto"/>
                <w:sz w:val="21"/>
                <w:szCs w:val="21"/>
              </w:rPr>
              <w:t>1</w:t>
            </w:r>
            <w:r>
              <w:rPr>
                <w:rFonts w:hint="eastAsia" w:ascii="宋体" w:hAnsi="宋体" w:eastAsia="宋体" w:cs="宋体"/>
                <w:color w:val="auto"/>
                <w:sz w:val="21"/>
                <w:szCs w:val="21"/>
                <w:lang w:val="zh-CN"/>
              </w:rPr>
              <w:t>分；</w:t>
            </w:r>
          </w:p>
          <w:p w14:paraId="468E7A97">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val="zh-CN"/>
              </w:rPr>
              <w:t>具有有效期内的ISO14001环境管理体系认证证书得</w:t>
            </w:r>
            <w:r>
              <w:rPr>
                <w:rFonts w:hint="eastAsia" w:ascii="宋体" w:hAnsi="宋体" w:eastAsia="宋体" w:cs="宋体"/>
                <w:color w:val="auto"/>
                <w:sz w:val="21"/>
                <w:szCs w:val="21"/>
              </w:rPr>
              <w:t>1</w:t>
            </w:r>
            <w:r>
              <w:rPr>
                <w:rFonts w:hint="eastAsia" w:ascii="宋体" w:hAnsi="宋体" w:eastAsia="宋体" w:cs="宋体"/>
                <w:color w:val="auto"/>
                <w:sz w:val="21"/>
                <w:szCs w:val="21"/>
                <w:lang w:val="zh-CN"/>
              </w:rPr>
              <w:t>分；</w:t>
            </w:r>
          </w:p>
          <w:p w14:paraId="34142E58">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val="zh-CN"/>
              </w:rPr>
              <w:t>具有有效期内的OHSAS18001（或GB/T</w:t>
            </w:r>
            <w:r>
              <w:rPr>
                <w:rFonts w:hint="eastAsia" w:ascii="宋体" w:hAnsi="宋体" w:eastAsia="宋体" w:cs="宋体"/>
                <w:color w:val="auto"/>
                <w:sz w:val="21"/>
                <w:szCs w:val="21"/>
              </w:rPr>
              <w:t>45001</w:t>
            </w:r>
            <w:r>
              <w:rPr>
                <w:rFonts w:hint="eastAsia" w:ascii="宋体" w:hAnsi="宋体" w:eastAsia="宋体" w:cs="宋体"/>
                <w:color w:val="auto"/>
                <w:sz w:val="21"/>
                <w:szCs w:val="21"/>
                <w:lang w:val="zh-CN"/>
              </w:rPr>
              <w:t>-20</w:t>
            </w:r>
            <w:r>
              <w:rPr>
                <w:rFonts w:hint="eastAsia" w:ascii="宋体" w:hAnsi="宋体" w:eastAsia="宋体" w:cs="宋体"/>
                <w:color w:val="auto"/>
                <w:sz w:val="21"/>
                <w:szCs w:val="21"/>
              </w:rPr>
              <w:t>20</w:t>
            </w:r>
            <w:r>
              <w:rPr>
                <w:rFonts w:hint="eastAsia" w:ascii="宋体" w:hAnsi="宋体" w:eastAsia="宋体" w:cs="宋体"/>
                <w:color w:val="auto"/>
                <w:sz w:val="21"/>
                <w:szCs w:val="21"/>
                <w:lang w:val="zh-CN"/>
              </w:rPr>
              <w:t>，或ISO45001）职业健康安全管理体系认证证书得</w:t>
            </w:r>
            <w:r>
              <w:rPr>
                <w:rFonts w:hint="eastAsia" w:ascii="宋体" w:hAnsi="宋体" w:eastAsia="宋体" w:cs="宋体"/>
                <w:color w:val="auto"/>
                <w:sz w:val="21"/>
                <w:szCs w:val="21"/>
              </w:rPr>
              <w:t>1</w:t>
            </w:r>
            <w:r>
              <w:rPr>
                <w:rFonts w:hint="eastAsia" w:ascii="宋体" w:hAnsi="宋体" w:eastAsia="宋体" w:cs="宋体"/>
                <w:color w:val="auto"/>
                <w:sz w:val="21"/>
                <w:szCs w:val="21"/>
                <w:lang w:val="zh-CN"/>
              </w:rPr>
              <w:t>分。</w:t>
            </w:r>
          </w:p>
          <w:p w14:paraId="471FDDD4">
            <w:pPr>
              <w:keepNext w:val="0"/>
              <w:keepLines w:val="0"/>
              <w:suppressLineNumbers w:val="0"/>
              <w:spacing w:before="0" w:beforeAutospacing="0" w:after="0" w:afterAutospacing="0" w:line="360" w:lineRule="auto"/>
              <w:ind w:left="0" w:right="0"/>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备注：</w:t>
            </w:r>
          </w:p>
          <w:p w14:paraId="1F115EFD">
            <w:pPr>
              <w:keepNext w:val="0"/>
              <w:keepLines w:val="0"/>
              <w:suppressLineNumbers w:val="0"/>
              <w:spacing w:before="0" w:beforeAutospacing="0" w:after="0" w:afterAutospacing="0" w:line="360" w:lineRule="auto"/>
              <w:ind w:left="0" w:right="0"/>
              <w:outlineLvl w:val="9"/>
              <w:rPr>
                <w:rFonts w:hint="eastAsia" w:ascii="宋体" w:hAnsi="宋体" w:eastAsia="宋体" w:cs="宋体"/>
                <w:b/>
                <w:color w:val="auto"/>
                <w:sz w:val="21"/>
                <w:szCs w:val="21"/>
                <w:lang w:val="zh-CN"/>
              </w:rPr>
            </w:pPr>
            <w:r>
              <w:rPr>
                <w:rFonts w:hint="eastAsia" w:ascii="宋体" w:hAnsi="宋体" w:eastAsia="宋体" w:cs="宋体"/>
                <w:bCs/>
                <w:color w:val="auto"/>
                <w:sz w:val="21"/>
                <w:szCs w:val="21"/>
                <w:lang w:val="en-US" w:eastAsia="zh-CN"/>
              </w:rPr>
              <w:t>供应商</w:t>
            </w:r>
            <w:r>
              <w:rPr>
                <w:rFonts w:hint="eastAsia" w:ascii="宋体" w:hAnsi="宋体" w:eastAsia="宋体" w:cs="宋体"/>
                <w:bCs/>
                <w:color w:val="auto"/>
                <w:sz w:val="21"/>
                <w:szCs w:val="21"/>
                <w:lang w:val="zh-CN"/>
              </w:rPr>
              <w:t>应提供上述证书复印件及能显示证书有效状态的全国认证认可信息公共服务平台（http://cx.cnca.cn/)查询结果凭证{凭证界面需显示有“全国认证认可信息公共服务平台”或“认证证书（需显示网址cx.cnca.cn）”}，否则不得分。</w:t>
            </w:r>
          </w:p>
        </w:tc>
        <w:tc>
          <w:tcPr>
            <w:tcW w:w="465" w:type="pct"/>
            <w:vAlign w:val="center"/>
          </w:tcPr>
          <w:p w14:paraId="78C306F4">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b/>
                <w:color w:val="auto"/>
                <w:sz w:val="21"/>
                <w:szCs w:val="21"/>
              </w:rPr>
            </w:pPr>
            <w:r>
              <w:rPr>
                <w:rFonts w:hint="eastAsia" w:ascii="宋体" w:hAnsi="宋体" w:eastAsia="宋体" w:cs="宋体"/>
                <w:color w:val="auto"/>
                <w:sz w:val="21"/>
                <w:szCs w:val="21"/>
              </w:rPr>
              <w:t>3分</w:t>
            </w:r>
          </w:p>
        </w:tc>
      </w:tr>
      <w:tr w14:paraId="47E45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vAlign w:val="center"/>
          </w:tcPr>
          <w:p w14:paraId="27456129">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581" w:type="pct"/>
            <w:vAlign w:val="center"/>
          </w:tcPr>
          <w:p w14:paraId="487D9B3B">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业绩</w:t>
            </w:r>
          </w:p>
        </w:tc>
        <w:tc>
          <w:tcPr>
            <w:tcW w:w="3585" w:type="pct"/>
            <w:vAlign w:val="center"/>
          </w:tcPr>
          <w:p w14:paraId="4526FD55">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20</w:t>
            </w:r>
            <w:r>
              <w:rPr>
                <w:rFonts w:hint="eastAsia" w:ascii="宋体" w:hAnsi="宋体" w:eastAsia="宋体" w:cs="宋体"/>
                <w:color w:val="auto"/>
                <w:sz w:val="21"/>
                <w:szCs w:val="21"/>
                <w:lang w:val="en-US" w:eastAsia="zh-CN"/>
              </w:rPr>
              <w:t>19</w:t>
            </w:r>
            <w:r>
              <w:rPr>
                <w:rFonts w:hint="eastAsia" w:ascii="宋体" w:hAnsi="宋体" w:eastAsia="宋体" w:cs="宋体"/>
                <w:color w:val="auto"/>
                <w:sz w:val="21"/>
                <w:szCs w:val="21"/>
              </w:rPr>
              <w:t>年以来（签订合同的时间要求为20</w:t>
            </w:r>
            <w:r>
              <w:rPr>
                <w:rFonts w:hint="eastAsia" w:ascii="宋体" w:hAnsi="宋体" w:eastAsia="宋体" w:cs="宋体"/>
                <w:color w:val="auto"/>
                <w:sz w:val="21"/>
                <w:szCs w:val="21"/>
                <w:lang w:val="en-US" w:eastAsia="zh-CN"/>
              </w:rPr>
              <w:t>19</w:t>
            </w:r>
            <w:r>
              <w:rPr>
                <w:rFonts w:hint="eastAsia" w:ascii="宋体" w:hAnsi="宋体" w:eastAsia="宋体" w:cs="宋体"/>
                <w:color w:val="auto"/>
                <w:sz w:val="21"/>
                <w:szCs w:val="21"/>
              </w:rPr>
              <w:t>年1月1日或以后）承接的</w:t>
            </w:r>
            <w:r>
              <w:rPr>
                <w:rFonts w:hint="eastAsia" w:ascii="宋体" w:hAnsi="宋体" w:eastAsia="宋体" w:cs="宋体"/>
                <w:color w:val="auto"/>
                <w:sz w:val="21"/>
                <w:szCs w:val="21"/>
                <w:lang w:val="en-US" w:eastAsia="zh-CN"/>
              </w:rPr>
              <w:t>生活污水处理厂污泥脱水减量化处理</w:t>
            </w:r>
            <w:r>
              <w:rPr>
                <w:rFonts w:hint="eastAsia" w:ascii="宋体" w:hAnsi="宋体" w:eastAsia="宋体" w:cs="宋体"/>
                <w:color w:val="auto"/>
                <w:sz w:val="21"/>
                <w:szCs w:val="21"/>
              </w:rPr>
              <w:t>服务业绩进行评审，满分</w:t>
            </w:r>
            <w:r>
              <w:rPr>
                <w:rFonts w:hint="eastAsia" w:ascii="宋体" w:hAnsi="宋体" w:eastAsia="宋体" w:cs="宋体"/>
                <w:color w:val="auto"/>
                <w:sz w:val="21"/>
                <w:szCs w:val="21"/>
                <w:lang w:val="en-US" w:eastAsia="zh-CN"/>
              </w:rPr>
              <w:t>14</w:t>
            </w:r>
            <w:r>
              <w:rPr>
                <w:rFonts w:hint="eastAsia" w:ascii="宋体" w:hAnsi="宋体" w:eastAsia="宋体" w:cs="宋体"/>
                <w:color w:val="auto"/>
                <w:sz w:val="21"/>
                <w:szCs w:val="21"/>
              </w:rPr>
              <w:t>分。</w:t>
            </w:r>
          </w:p>
          <w:p w14:paraId="3C972962">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每提供一个</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污泥处理规模（按含水率80%的湿泥计）</w:t>
            </w:r>
            <w:r>
              <w:rPr>
                <w:rFonts w:hint="eastAsia" w:ascii="宋体" w:hAnsi="宋体" w:eastAsia="宋体" w:cs="宋体"/>
                <w:color w:val="auto"/>
                <w:sz w:val="21"/>
                <w:szCs w:val="21"/>
              </w:rPr>
              <w:t>≥50</w:t>
            </w:r>
            <w:r>
              <w:rPr>
                <w:rFonts w:hint="eastAsia" w:ascii="宋体" w:hAnsi="宋体" w:eastAsia="宋体" w:cs="宋体"/>
                <w:color w:val="auto"/>
                <w:sz w:val="21"/>
                <w:szCs w:val="21"/>
                <w:lang w:val="en-US" w:eastAsia="zh-CN"/>
              </w:rPr>
              <w:t>吨/天</w:t>
            </w:r>
            <w:r>
              <w:rPr>
                <w:rFonts w:hint="eastAsia" w:ascii="宋体" w:hAnsi="宋体" w:eastAsia="宋体" w:cs="宋体"/>
                <w:color w:val="auto"/>
                <w:sz w:val="21"/>
                <w:szCs w:val="21"/>
              </w:rPr>
              <w:t>】的前述业绩的，得4分；</w:t>
            </w:r>
          </w:p>
          <w:p w14:paraId="4EB61FD2">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每提供一个</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30吨/天</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污泥处理规模（按含水率80%的湿泥计）</w:t>
            </w:r>
            <w:r>
              <w:rPr>
                <w:rFonts w:hint="eastAsia" w:ascii="宋体" w:hAnsi="宋体" w:eastAsia="宋体" w:cs="宋体"/>
                <w:color w:val="auto"/>
                <w:sz w:val="21"/>
                <w:szCs w:val="21"/>
              </w:rPr>
              <w:t>＜50</w:t>
            </w:r>
            <w:r>
              <w:rPr>
                <w:rFonts w:hint="eastAsia" w:ascii="宋体" w:hAnsi="宋体" w:eastAsia="宋体" w:cs="宋体"/>
                <w:color w:val="auto"/>
                <w:sz w:val="21"/>
                <w:szCs w:val="21"/>
                <w:lang w:val="en-US" w:eastAsia="zh-CN"/>
              </w:rPr>
              <w:t>吨/天</w:t>
            </w:r>
            <w:r>
              <w:rPr>
                <w:rFonts w:hint="eastAsia" w:ascii="宋体" w:hAnsi="宋体" w:eastAsia="宋体" w:cs="宋体"/>
                <w:color w:val="auto"/>
                <w:sz w:val="21"/>
                <w:szCs w:val="21"/>
              </w:rPr>
              <w:t>】的前述业绩的，得2分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本小项最高得8分</w:t>
            </w:r>
            <w:r>
              <w:rPr>
                <w:rFonts w:hint="eastAsia" w:ascii="宋体" w:hAnsi="宋体" w:eastAsia="宋体" w:cs="宋体"/>
                <w:color w:val="auto"/>
                <w:sz w:val="21"/>
                <w:szCs w:val="21"/>
                <w:lang w:eastAsia="zh-CN"/>
              </w:rPr>
              <w:t>。</w:t>
            </w:r>
          </w:p>
          <w:p w14:paraId="5302F194">
            <w:pPr>
              <w:keepNext w:val="0"/>
              <w:keepLines w:val="0"/>
              <w:suppressLineNumbers w:val="0"/>
              <w:spacing w:before="0" w:beforeAutospacing="0" w:after="0" w:afterAutospacing="0" w:line="360" w:lineRule="auto"/>
              <w:ind w:left="0" w:right="0"/>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备注：</w:t>
            </w:r>
          </w:p>
          <w:p w14:paraId="4773E1B6">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业绩必须附合同复印件（合同服务提供方为供应商）。合同必须能反映评分条件（合同签订日期、服务内容、污泥类别、污泥处理规模、脱水后的污泥含水率、合同期限），否则，需同时提供服务购买方出具的书面补充情况说明文件复印件（需加盖服务购买方公章，即复印件能显示服务购买方公章），否则不得分。</w:t>
            </w:r>
          </w:p>
          <w:p w14:paraId="0CE5F9BB">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污泥脱水减量化处理服务业绩的污泥类别须为生活污水处理厂污泥，服务内容须包含生活污水处理厂污泥脱水减量化处理服务，需将污泥脱水减量至含水率≤55%，如污泥脱水减量化处理服务业绩的服务内容为生活污水处理厂污泥的全流程处理处置，必须包含污泥脱水减量化处理至含水率≤55%的服务内容，否则不得分。</w:t>
            </w:r>
          </w:p>
          <w:p w14:paraId="7C4A729A">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（3）污泥处理规模按含水率80%的湿泥计，其他含水率需按下列公式折算为含水率80%的湿泥进行评审，不同含水率污泥量的折算公式：（1-Y%）/（1-80%）×A，Y为污泥实际含水率，A为实际含水率对应的污泥量</w:t>
            </w:r>
            <w:r>
              <w:rPr>
                <w:rFonts w:hint="eastAsia" w:ascii="宋体" w:hAnsi="宋体" w:eastAsia="宋体" w:cs="宋体"/>
                <w:color w:val="auto"/>
                <w:sz w:val="21"/>
                <w:szCs w:val="21"/>
                <w:lang w:val="zh-CN"/>
              </w:rPr>
              <w:t>。</w:t>
            </w:r>
          </w:p>
          <w:p w14:paraId="6152F69C">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en-US" w:eastAsia="zh-CN"/>
              </w:rPr>
              <w:t>污泥脱水减量化处理服务业绩合同服务期限要求大于或等于1年，小于1年的业绩合同在评标时不予考虑。</w:t>
            </w:r>
          </w:p>
          <w:p w14:paraId="2843E273">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val="zh-CN"/>
              </w:rPr>
              <w:t>）若业绩为无明确</w:t>
            </w:r>
            <w:r>
              <w:rPr>
                <w:rFonts w:hint="eastAsia" w:ascii="宋体" w:hAnsi="宋体" w:eastAsia="宋体" w:cs="宋体"/>
                <w:color w:val="auto"/>
                <w:sz w:val="21"/>
                <w:szCs w:val="21"/>
                <w:lang w:val="en-US" w:eastAsia="zh-CN"/>
              </w:rPr>
              <w:t>污泥处理规模，</w:t>
            </w:r>
            <w:r>
              <w:rPr>
                <w:rFonts w:hint="eastAsia" w:ascii="宋体" w:hAnsi="宋体" w:eastAsia="宋体" w:cs="宋体"/>
                <w:color w:val="auto"/>
                <w:sz w:val="21"/>
                <w:szCs w:val="21"/>
                <w:lang w:val="zh-CN"/>
              </w:rPr>
              <w:t>必须同时提供合同期限内</w:t>
            </w:r>
            <w:r>
              <w:rPr>
                <w:rFonts w:hint="eastAsia" w:ascii="宋体" w:hAnsi="宋体" w:eastAsia="宋体" w:cs="宋体"/>
                <w:color w:val="auto"/>
                <w:sz w:val="21"/>
                <w:szCs w:val="21"/>
                <w:lang w:val="en-US" w:eastAsia="zh-CN"/>
              </w:rPr>
              <w:t>单个月份</w:t>
            </w:r>
            <w:r>
              <w:rPr>
                <w:rFonts w:hint="eastAsia" w:ascii="宋体" w:hAnsi="宋体" w:eastAsia="宋体" w:cs="宋体"/>
                <w:color w:val="auto"/>
                <w:sz w:val="21"/>
                <w:szCs w:val="21"/>
                <w:lang w:val="zh-CN"/>
              </w:rPr>
              <w:t>已</w:t>
            </w:r>
            <w:r>
              <w:rPr>
                <w:rFonts w:hint="eastAsia" w:ascii="宋体" w:hAnsi="宋体" w:eastAsia="宋体" w:cs="宋体"/>
                <w:color w:val="auto"/>
                <w:sz w:val="21"/>
                <w:szCs w:val="21"/>
                <w:lang w:val="en-US" w:eastAsia="zh-CN"/>
              </w:rPr>
              <w:t>处理</w:t>
            </w:r>
            <w:r>
              <w:rPr>
                <w:rFonts w:hint="eastAsia" w:ascii="宋体" w:hAnsi="宋体" w:eastAsia="宋体" w:cs="宋体"/>
                <w:color w:val="auto"/>
                <w:sz w:val="21"/>
                <w:szCs w:val="21"/>
                <w:lang w:val="zh-CN"/>
              </w:rPr>
              <w:t>的</w:t>
            </w:r>
            <w:r>
              <w:rPr>
                <w:rFonts w:hint="eastAsia" w:ascii="宋体" w:hAnsi="宋体" w:eastAsia="宋体" w:cs="宋体"/>
                <w:color w:val="auto"/>
                <w:sz w:val="21"/>
                <w:szCs w:val="21"/>
                <w:lang w:val="en-US" w:eastAsia="zh-CN"/>
              </w:rPr>
              <w:t>生活污水处理厂污泥处理量</w:t>
            </w:r>
            <w:r>
              <w:rPr>
                <w:rFonts w:hint="eastAsia" w:ascii="宋体" w:hAnsi="宋体" w:eastAsia="宋体" w:cs="宋体"/>
                <w:color w:val="auto"/>
                <w:sz w:val="21"/>
                <w:szCs w:val="21"/>
                <w:lang w:val="zh-CN"/>
              </w:rPr>
              <w:t>统计表和</w:t>
            </w:r>
            <w:r>
              <w:rPr>
                <w:rFonts w:hint="eastAsia" w:ascii="宋体" w:hAnsi="宋体" w:eastAsia="宋体" w:cs="宋体"/>
                <w:color w:val="auto"/>
                <w:sz w:val="21"/>
                <w:szCs w:val="21"/>
                <w:lang w:val="en-US" w:eastAsia="zh-CN"/>
              </w:rPr>
              <w:t>污泥转运联单</w:t>
            </w:r>
            <w:r>
              <w:rPr>
                <w:rFonts w:hint="eastAsia" w:ascii="宋体" w:hAnsi="宋体" w:eastAsia="宋体" w:cs="宋体"/>
                <w:color w:val="auto"/>
                <w:sz w:val="21"/>
                <w:szCs w:val="21"/>
                <w:lang w:val="zh-CN"/>
              </w:rPr>
              <w:t>复印件（</w:t>
            </w:r>
            <w:r>
              <w:rPr>
                <w:rFonts w:hint="eastAsia" w:ascii="宋体" w:hAnsi="宋体" w:eastAsia="宋体" w:cs="宋体"/>
                <w:color w:val="auto"/>
                <w:sz w:val="21"/>
                <w:szCs w:val="21"/>
                <w:lang w:val="zh-CN" w:eastAsia="zh-CN"/>
              </w:rPr>
              <w:t>无转运联单的，提供服务发票复印件及折算处理量数据或污泥产生单位盖章的证明文件替代</w:t>
            </w:r>
            <w:r>
              <w:rPr>
                <w:rFonts w:hint="eastAsia" w:ascii="宋体" w:hAnsi="宋体" w:eastAsia="宋体" w:cs="宋体"/>
                <w:color w:val="auto"/>
                <w:sz w:val="21"/>
                <w:szCs w:val="21"/>
                <w:lang w:val="zh-CN"/>
              </w:rPr>
              <w:t>）以证明</w:t>
            </w:r>
            <w:r>
              <w:rPr>
                <w:rFonts w:hint="eastAsia" w:ascii="宋体" w:hAnsi="宋体" w:eastAsia="宋体" w:cs="宋体"/>
                <w:color w:val="auto"/>
                <w:sz w:val="21"/>
                <w:szCs w:val="21"/>
                <w:lang w:val="en-US" w:eastAsia="zh-CN"/>
              </w:rPr>
              <w:t>污泥处理规模，日平均生活污水处理厂污泥处理量按合同期限内单个月份已处理的生活污水处理厂污泥处理量除以单个月份自然天数进行计算，并以此作为污泥处理规模进行评审</w:t>
            </w:r>
            <w:r>
              <w:rPr>
                <w:rFonts w:hint="eastAsia" w:ascii="宋体" w:hAnsi="宋体" w:eastAsia="宋体" w:cs="宋体"/>
                <w:color w:val="auto"/>
                <w:sz w:val="21"/>
                <w:szCs w:val="21"/>
                <w:lang w:val="zh-CN"/>
              </w:rPr>
              <w:t>。</w:t>
            </w:r>
          </w:p>
          <w:p w14:paraId="653D3982">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en-US" w:eastAsia="zh-CN"/>
              </w:rPr>
              <w:t>若单个业绩合同中包含多个生活污水处理厂污泥脱水减量化处理服务项目，评分时按合同中的单个生活污水处理厂污泥脱水减量化处理服务项目分别计算得分，同一个生活污水处理厂污泥脱水减量化处理服务项目不同服务期限的单个业绩合同分别计算得分。</w:t>
            </w:r>
          </w:p>
          <w:p w14:paraId="26D955FA">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en-US" w:eastAsia="zh-CN"/>
              </w:rPr>
              <w:t>若业绩所附合同复印件为主合同的补充协议，需同时附主合同，否则，在评标时将不予考虑。主合同必须能反映评分条件（合同签订日期、服务内容、污泥类别、污泥处理规模、脱水后的污泥含水率、合同期限），否则，需同时提供服务购买方出具的书面补充情况说明文件复印件（需加盖服务购买方公章，即复印件能显示服务购买方公章），否则不得分。合同签订日期按主合同签订日期进行评审，其他评分条件按主合同、主合同补充协议、服务购买方出具的书面补充情况说明文件反映的内容进行评审。</w:t>
            </w:r>
          </w:p>
          <w:p w14:paraId="11498857">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lang w:val="zh-CN"/>
              </w:rPr>
              <w:t>）未按上述要求提供证明材料的业绩，或所附材料无法证明填报项目属</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val="zh-CN"/>
              </w:rPr>
              <w:t>完成的或不符合本项评分要求的业绩，在评</w:t>
            </w:r>
            <w:r>
              <w:rPr>
                <w:rFonts w:hint="eastAsia" w:ascii="宋体" w:hAnsi="宋体" w:eastAsia="宋体" w:cs="宋体"/>
                <w:color w:val="auto"/>
                <w:sz w:val="21"/>
                <w:szCs w:val="21"/>
                <w:lang w:val="en-US" w:eastAsia="zh-CN"/>
              </w:rPr>
              <w:t>审</w:t>
            </w:r>
            <w:r>
              <w:rPr>
                <w:rFonts w:hint="eastAsia" w:ascii="宋体" w:hAnsi="宋体" w:eastAsia="宋体" w:cs="宋体"/>
                <w:color w:val="auto"/>
                <w:sz w:val="21"/>
                <w:szCs w:val="21"/>
                <w:lang w:val="zh-CN"/>
              </w:rPr>
              <w:t>时将不予考虑。</w:t>
            </w:r>
          </w:p>
        </w:tc>
        <w:tc>
          <w:tcPr>
            <w:tcW w:w="465" w:type="pct"/>
            <w:vAlign w:val="center"/>
          </w:tcPr>
          <w:p w14:paraId="1E386C10">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b/>
                <w:bCs/>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4分</w:t>
            </w:r>
          </w:p>
        </w:tc>
      </w:tr>
    </w:tbl>
    <w:p w14:paraId="4C2CD736">
      <w:pPr>
        <w:autoSpaceDE w:val="0"/>
        <w:autoSpaceDN w:val="0"/>
        <w:adjustRightInd w:val="0"/>
        <w:snapToGrid w:val="0"/>
        <w:spacing w:line="360" w:lineRule="auto"/>
        <w:ind w:right="-26" w:firstLine="480"/>
        <w:jc w:val="center"/>
        <w:outlineLvl w:val="9"/>
        <w:rPr>
          <w:rFonts w:hint="eastAsia" w:ascii="宋体" w:hAnsi="宋体" w:eastAsia="宋体" w:cs="宋体"/>
          <w:b/>
          <w:bCs/>
          <w:color w:val="auto"/>
          <w:kern w:val="0"/>
          <w:szCs w:val="21"/>
        </w:rPr>
      </w:pPr>
    </w:p>
    <w:p w14:paraId="5F982E01">
      <w:pPr>
        <w:tabs>
          <w:tab w:val="left" w:pos="585"/>
        </w:tabs>
        <w:autoSpaceDE w:val="0"/>
        <w:autoSpaceDN w:val="0"/>
        <w:adjustRightInd w:val="0"/>
        <w:snapToGrid w:val="0"/>
        <w:spacing w:line="360" w:lineRule="auto"/>
        <w:outlineLvl w:val="9"/>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val="zh-CN"/>
        </w:rPr>
        <w:t>（</w:t>
      </w:r>
      <w:r>
        <w:rPr>
          <w:rFonts w:hint="eastAsia" w:ascii="宋体" w:hAnsi="宋体" w:eastAsia="宋体" w:cs="宋体"/>
          <w:b/>
          <w:color w:val="auto"/>
          <w:sz w:val="21"/>
          <w:szCs w:val="21"/>
        </w:rPr>
        <w:t>2）</w:t>
      </w:r>
      <w:r>
        <w:rPr>
          <w:rFonts w:hint="eastAsia" w:ascii="宋体" w:hAnsi="宋体" w:eastAsia="宋体" w:cs="宋体"/>
          <w:b/>
          <w:color w:val="auto"/>
          <w:sz w:val="21"/>
          <w:szCs w:val="21"/>
          <w:lang w:val="zh-CN"/>
        </w:rPr>
        <w:t>技术：总分</w:t>
      </w:r>
      <w:r>
        <w:rPr>
          <w:rFonts w:hint="eastAsia" w:ascii="宋体" w:hAnsi="宋体" w:cs="宋体"/>
          <w:b/>
          <w:color w:val="auto"/>
          <w:sz w:val="21"/>
          <w:szCs w:val="21"/>
          <w:lang w:val="en-US" w:eastAsia="zh-CN"/>
        </w:rPr>
        <w:t>4</w:t>
      </w:r>
      <w:r>
        <w:rPr>
          <w:rFonts w:hint="eastAsia" w:ascii="宋体" w:hAnsi="宋体" w:eastAsia="宋体" w:cs="宋体"/>
          <w:b/>
          <w:color w:val="auto"/>
          <w:sz w:val="21"/>
          <w:szCs w:val="21"/>
        </w:rPr>
        <w:t>0</w:t>
      </w:r>
      <w:r>
        <w:rPr>
          <w:rFonts w:hint="eastAsia" w:ascii="宋体" w:hAnsi="宋体" w:eastAsia="宋体" w:cs="宋体"/>
          <w:b/>
          <w:color w:val="auto"/>
          <w:sz w:val="21"/>
          <w:szCs w:val="21"/>
          <w:lang w:val="zh-CN"/>
        </w:rPr>
        <w:t>分</w:t>
      </w:r>
      <w:bookmarkEnd w:id="491"/>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083"/>
        <w:gridCol w:w="6660"/>
        <w:gridCol w:w="864"/>
      </w:tblGrid>
      <w:tr w14:paraId="6C8A3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6" w:type="pct"/>
            <w:tcBorders>
              <w:top w:val="single" w:color="auto" w:sz="4" w:space="0"/>
              <w:left w:val="single" w:color="auto" w:sz="4" w:space="0"/>
              <w:bottom w:val="single" w:color="auto" w:sz="4" w:space="0"/>
              <w:right w:val="single" w:color="auto" w:sz="4" w:space="0"/>
            </w:tcBorders>
            <w:vAlign w:val="center"/>
          </w:tcPr>
          <w:p w14:paraId="41087B8D">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583" w:type="pct"/>
            <w:tcBorders>
              <w:top w:val="single" w:color="auto" w:sz="4" w:space="0"/>
              <w:left w:val="single" w:color="auto" w:sz="4" w:space="0"/>
              <w:bottom w:val="single" w:color="auto" w:sz="4" w:space="0"/>
              <w:right w:val="single" w:color="auto" w:sz="4" w:space="0"/>
            </w:tcBorders>
            <w:vAlign w:val="center"/>
          </w:tcPr>
          <w:p w14:paraId="1AD1525B">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b/>
                <w:color w:val="auto"/>
                <w:sz w:val="21"/>
                <w:szCs w:val="21"/>
              </w:rPr>
            </w:pPr>
            <w:r>
              <w:rPr>
                <w:rFonts w:hint="eastAsia" w:ascii="宋体" w:hAnsi="宋体" w:eastAsia="宋体" w:cs="宋体"/>
                <w:b/>
                <w:color w:val="auto"/>
                <w:sz w:val="21"/>
                <w:szCs w:val="21"/>
                <w:lang w:val="zh-CN"/>
              </w:rPr>
              <w:t>评审内容</w:t>
            </w:r>
          </w:p>
        </w:tc>
        <w:tc>
          <w:tcPr>
            <w:tcW w:w="3585" w:type="pct"/>
            <w:tcBorders>
              <w:top w:val="single" w:color="auto" w:sz="4" w:space="0"/>
              <w:left w:val="single" w:color="auto" w:sz="4" w:space="0"/>
              <w:bottom w:val="single" w:color="auto" w:sz="4" w:space="0"/>
              <w:right w:val="single" w:color="auto" w:sz="4" w:space="0"/>
            </w:tcBorders>
            <w:vAlign w:val="center"/>
          </w:tcPr>
          <w:p w14:paraId="05330375">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评审细则</w:t>
            </w:r>
          </w:p>
        </w:tc>
        <w:tc>
          <w:tcPr>
            <w:tcW w:w="465" w:type="pct"/>
            <w:tcBorders>
              <w:top w:val="single" w:color="auto" w:sz="4" w:space="0"/>
              <w:left w:val="single" w:color="auto" w:sz="4" w:space="0"/>
              <w:bottom w:val="single" w:color="auto" w:sz="4" w:space="0"/>
              <w:right w:val="single" w:color="auto" w:sz="4" w:space="0"/>
            </w:tcBorders>
            <w:vAlign w:val="center"/>
          </w:tcPr>
          <w:p w14:paraId="4C3EB47D">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满分值</w:t>
            </w:r>
          </w:p>
        </w:tc>
      </w:tr>
      <w:tr w14:paraId="2CEA6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6" w:type="pct"/>
            <w:tcBorders>
              <w:top w:val="single" w:color="auto" w:sz="4" w:space="0"/>
              <w:left w:val="single" w:color="auto" w:sz="4" w:space="0"/>
              <w:bottom w:val="single" w:color="auto" w:sz="4" w:space="0"/>
              <w:right w:val="single" w:color="auto" w:sz="4" w:space="0"/>
            </w:tcBorders>
            <w:vAlign w:val="center"/>
          </w:tcPr>
          <w:p w14:paraId="0520C255">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b/>
                <w:color w:val="auto"/>
                <w:sz w:val="21"/>
                <w:szCs w:val="21"/>
              </w:rPr>
            </w:pPr>
            <w:r>
              <w:rPr>
                <w:rFonts w:hint="eastAsia" w:ascii="宋体" w:hAnsi="宋体" w:eastAsia="宋体" w:cs="宋体"/>
                <w:color w:val="auto"/>
                <w:sz w:val="21"/>
                <w:szCs w:val="21"/>
              </w:rPr>
              <w:t>1</w:t>
            </w:r>
          </w:p>
        </w:tc>
        <w:tc>
          <w:tcPr>
            <w:tcW w:w="583" w:type="pct"/>
            <w:tcBorders>
              <w:top w:val="single" w:color="auto" w:sz="4" w:space="0"/>
              <w:left w:val="single" w:color="auto" w:sz="4" w:space="0"/>
              <w:bottom w:val="single" w:color="auto" w:sz="4" w:space="0"/>
              <w:right w:val="single" w:color="auto" w:sz="4" w:space="0"/>
            </w:tcBorders>
            <w:vAlign w:val="center"/>
          </w:tcPr>
          <w:p w14:paraId="3F59C69B">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用户需求响应程度</w:t>
            </w:r>
          </w:p>
        </w:tc>
        <w:tc>
          <w:tcPr>
            <w:tcW w:w="3585" w:type="pct"/>
            <w:tcBorders>
              <w:top w:val="single" w:color="auto" w:sz="4" w:space="0"/>
              <w:left w:val="single" w:color="auto" w:sz="4" w:space="0"/>
              <w:bottom w:val="single" w:color="auto" w:sz="4" w:space="0"/>
              <w:right w:val="single" w:color="auto" w:sz="4" w:space="0"/>
            </w:tcBorders>
            <w:vAlign w:val="center"/>
          </w:tcPr>
          <w:p w14:paraId="69E8D32B">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rPr>
              <w:t>对用户需求偏离表的偏离情况进行评审计分，完全满足用户需求书的要求得满分；每一处负偏离，扣2分；同时参照其</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文件中其部分的内容进行对比，每发现一处</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填写为无偏离或正偏离，但</w:t>
            </w:r>
            <w:r>
              <w:rPr>
                <w:rFonts w:hint="eastAsia" w:ascii="宋体" w:hAnsi="宋体" w:eastAsia="宋体" w:cs="宋体"/>
                <w:color w:val="auto"/>
                <w:sz w:val="21"/>
                <w:szCs w:val="21"/>
                <w:lang w:val="en-US" w:eastAsia="zh-CN"/>
              </w:rPr>
              <w:t>磋商小组</w:t>
            </w:r>
            <w:r>
              <w:rPr>
                <w:rFonts w:hint="eastAsia" w:ascii="宋体" w:hAnsi="宋体" w:eastAsia="宋体" w:cs="宋体"/>
                <w:color w:val="auto"/>
                <w:sz w:val="21"/>
                <w:szCs w:val="21"/>
              </w:rPr>
              <w:t>评审认定其为负偏离的，每处扣5分；本项最低分为0分。</w:t>
            </w:r>
          </w:p>
        </w:tc>
        <w:tc>
          <w:tcPr>
            <w:tcW w:w="465" w:type="pct"/>
            <w:tcBorders>
              <w:top w:val="single" w:color="auto" w:sz="4" w:space="0"/>
              <w:left w:val="single" w:color="auto" w:sz="4" w:space="0"/>
              <w:bottom w:val="single" w:color="auto" w:sz="4" w:space="0"/>
              <w:right w:val="single" w:color="auto" w:sz="4" w:space="0"/>
            </w:tcBorders>
            <w:vAlign w:val="center"/>
          </w:tcPr>
          <w:p w14:paraId="70106A29">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5分</w:t>
            </w:r>
          </w:p>
        </w:tc>
      </w:tr>
      <w:tr w14:paraId="08209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6" w:type="pct"/>
            <w:tcBorders>
              <w:top w:val="single" w:color="auto" w:sz="4" w:space="0"/>
              <w:left w:val="single" w:color="auto" w:sz="4" w:space="0"/>
              <w:bottom w:val="single" w:color="auto" w:sz="4" w:space="0"/>
              <w:right w:val="single" w:color="auto" w:sz="4" w:space="0"/>
            </w:tcBorders>
            <w:vAlign w:val="center"/>
          </w:tcPr>
          <w:p w14:paraId="7514FB3D">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83" w:type="pct"/>
            <w:tcBorders>
              <w:top w:val="single" w:color="auto" w:sz="4" w:space="0"/>
              <w:left w:val="single" w:color="auto" w:sz="4" w:space="0"/>
              <w:bottom w:val="single" w:color="auto" w:sz="4" w:space="0"/>
              <w:right w:val="single" w:color="auto" w:sz="4" w:space="0"/>
            </w:tcBorders>
            <w:vAlign w:val="center"/>
          </w:tcPr>
          <w:p w14:paraId="0C1624A1">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技术</w:t>
            </w:r>
            <w:r>
              <w:rPr>
                <w:rFonts w:hint="eastAsia" w:ascii="宋体" w:hAnsi="宋体" w:eastAsia="宋体" w:cs="宋体"/>
                <w:color w:val="auto"/>
                <w:sz w:val="21"/>
                <w:szCs w:val="21"/>
              </w:rPr>
              <w:t>方案</w:t>
            </w:r>
          </w:p>
        </w:tc>
        <w:tc>
          <w:tcPr>
            <w:tcW w:w="3585" w:type="pct"/>
            <w:tcBorders>
              <w:top w:val="single" w:color="auto" w:sz="4" w:space="0"/>
              <w:left w:val="single" w:color="auto" w:sz="4" w:space="0"/>
              <w:bottom w:val="single" w:color="auto" w:sz="4" w:space="0"/>
              <w:right w:val="single" w:color="auto" w:sz="4" w:space="0"/>
            </w:tcBorders>
          </w:tcPr>
          <w:p w14:paraId="45CDA0E3">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1</w:t>
            </w:r>
            <w:r>
              <w:rPr>
                <w:rFonts w:hint="eastAsia" w:ascii="宋体" w:hAnsi="宋体" w:cs="宋体"/>
                <w:color w:val="auto"/>
                <w:sz w:val="21"/>
                <w:szCs w:val="21"/>
                <w:lang w:eastAsia="zh-CN"/>
              </w:rPr>
              <w:t>）</w:t>
            </w:r>
            <w:r>
              <w:rPr>
                <w:rFonts w:hint="eastAsia" w:ascii="宋体" w:hAnsi="宋体" w:eastAsia="宋体" w:cs="宋体"/>
                <w:color w:val="auto"/>
                <w:sz w:val="21"/>
                <w:szCs w:val="21"/>
              </w:rPr>
              <w:t>根据</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提供的污泥脱水减量化处理服务</w:t>
            </w:r>
            <w:r>
              <w:rPr>
                <w:rFonts w:hint="eastAsia" w:ascii="宋体" w:hAnsi="宋体" w:eastAsia="宋体" w:cs="宋体"/>
                <w:color w:val="auto"/>
                <w:sz w:val="21"/>
                <w:szCs w:val="21"/>
                <w:lang w:val="en-US" w:eastAsia="zh-CN"/>
              </w:rPr>
              <w:t>技术</w:t>
            </w:r>
            <w:r>
              <w:rPr>
                <w:rFonts w:hint="eastAsia" w:ascii="宋体" w:hAnsi="宋体" w:eastAsia="宋体" w:cs="宋体"/>
                <w:color w:val="auto"/>
                <w:sz w:val="21"/>
                <w:szCs w:val="21"/>
              </w:rPr>
              <w:t>方案，包括污泥脱水减量化处理工艺方案、污泥脱水减量化处理设备、设施及处理能力、调理剂等内容的</w:t>
            </w:r>
            <w:r>
              <w:rPr>
                <w:rFonts w:hint="eastAsia" w:ascii="宋体" w:hAnsi="宋体" w:eastAsia="宋体" w:cs="宋体"/>
                <w:color w:val="auto"/>
                <w:sz w:val="21"/>
                <w:szCs w:val="21"/>
                <w:lang w:val="en-US" w:eastAsia="zh-CN"/>
              </w:rPr>
              <w:t>技术先进性</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可靠性、性能稳定性</w:t>
            </w:r>
            <w:r>
              <w:rPr>
                <w:rFonts w:hint="eastAsia" w:ascii="宋体" w:hAnsi="宋体" w:eastAsia="宋体" w:cs="宋体"/>
                <w:color w:val="auto"/>
                <w:sz w:val="21"/>
                <w:szCs w:val="21"/>
              </w:rPr>
              <w:t>等方面进行评审</w:t>
            </w:r>
            <w:r>
              <w:rPr>
                <w:rFonts w:hint="eastAsia" w:ascii="宋体" w:hAnsi="宋体" w:eastAsia="宋体" w:cs="宋体"/>
                <w:color w:val="auto"/>
                <w:sz w:val="21"/>
                <w:szCs w:val="21"/>
                <w:lang w:eastAsia="zh-CN"/>
              </w:rPr>
              <w:t>：</w:t>
            </w:r>
          </w:p>
          <w:p w14:paraId="595409D3">
            <w:pPr>
              <w:keepNext w:val="0"/>
              <w:keepLines w:val="0"/>
              <w:suppressLineNumbers w:val="0"/>
              <w:spacing w:before="0" w:beforeAutospacing="0" w:after="0" w:afterAutospacing="0" w:line="360" w:lineRule="auto"/>
              <w:ind w:left="0" w:right="0"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优</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分]</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工艺技术</w:t>
            </w:r>
            <w:r>
              <w:rPr>
                <w:rFonts w:hint="eastAsia" w:ascii="宋体" w:hAnsi="宋体" w:eastAsia="宋体" w:cs="宋体"/>
                <w:color w:val="auto"/>
                <w:sz w:val="21"/>
                <w:szCs w:val="21"/>
                <w:lang w:val="en-US" w:eastAsia="zh-CN"/>
              </w:rPr>
              <w:t>非常</w:t>
            </w:r>
            <w:r>
              <w:rPr>
                <w:rFonts w:hint="eastAsia" w:ascii="宋体" w:hAnsi="宋体" w:eastAsia="宋体" w:cs="宋体"/>
                <w:color w:val="auto"/>
                <w:sz w:val="21"/>
                <w:szCs w:val="21"/>
              </w:rPr>
              <w:t>成熟稳定</w:t>
            </w:r>
            <w:r>
              <w:rPr>
                <w:rFonts w:hint="eastAsia" w:ascii="宋体" w:hAnsi="宋体" w:eastAsia="宋体" w:cs="宋体"/>
                <w:color w:val="auto"/>
                <w:sz w:val="21"/>
                <w:szCs w:val="21"/>
                <w:lang w:val="en-US" w:eastAsia="zh-CN"/>
              </w:rPr>
              <w:t>，设备先进</w:t>
            </w:r>
            <w:r>
              <w:rPr>
                <w:rFonts w:hint="eastAsia" w:ascii="宋体" w:hAnsi="宋体" w:eastAsia="宋体" w:cs="宋体"/>
                <w:color w:val="auto"/>
                <w:sz w:val="21"/>
                <w:szCs w:val="21"/>
              </w:rPr>
              <w:t>，自动化程度高，设施完善，布局合理，</w:t>
            </w:r>
            <w:r>
              <w:rPr>
                <w:rFonts w:hint="eastAsia" w:ascii="宋体" w:hAnsi="宋体" w:eastAsia="宋体" w:cs="宋体"/>
                <w:color w:val="auto"/>
                <w:sz w:val="21"/>
                <w:szCs w:val="21"/>
                <w:lang w:val="en-US" w:eastAsia="zh-CN"/>
              </w:rPr>
              <w:t>处理能力稳定可靠，</w:t>
            </w:r>
            <w:r>
              <w:rPr>
                <w:rFonts w:hint="eastAsia" w:ascii="宋体" w:hAnsi="宋体" w:eastAsia="宋体" w:cs="宋体"/>
                <w:color w:val="auto"/>
                <w:sz w:val="21"/>
                <w:szCs w:val="21"/>
              </w:rPr>
              <w:t>能</w:t>
            </w:r>
            <w:r>
              <w:rPr>
                <w:rFonts w:hint="eastAsia" w:ascii="宋体" w:hAnsi="宋体" w:eastAsia="宋体" w:cs="宋体"/>
                <w:color w:val="auto"/>
                <w:sz w:val="21"/>
                <w:szCs w:val="21"/>
                <w:lang w:val="en-US" w:eastAsia="zh-CN"/>
              </w:rPr>
              <w:t>完全满足项目现场污泥</w:t>
            </w:r>
            <w:r>
              <w:rPr>
                <w:rFonts w:hint="eastAsia" w:ascii="宋体" w:hAnsi="宋体" w:eastAsia="宋体" w:cs="宋体"/>
                <w:color w:val="auto"/>
                <w:sz w:val="21"/>
                <w:szCs w:val="21"/>
              </w:rPr>
              <w:t>脱水减量化</w:t>
            </w:r>
            <w:r>
              <w:rPr>
                <w:rFonts w:hint="eastAsia" w:ascii="宋体" w:hAnsi="宋体" w:eastAsia="宋体" w:cs="宋体"/>
                <w:color w:val="auto"/>
                <w:sz w:val="21"/>
                <w:szCs w:val="21"/>
                <w:lang w:val="en-US" w:eastAsia="zh-CN"/>
              </w:rPr>
              <w:t>需求</w:t>
            </w:r>
            <w:r>
              <w:rPr>
                <w:rFonts w:hint="eastAsia" w:ascii="宋体" w:hAnsi="宋体" w:eastAsia="宋体" w:cs="宋体"/>
                <w:color w:val="auto"/>
                <w:sz w:val="21"/>
                <w:szCs w:val="21"/>
              </w:rPr>
              <w:t>。</w:t>
            </w:r>
          </w:p>
          <w:p w14:paraId="43DCC9C6">
            <w:pPr>
              <w:keepNext w:val="0"/>
              <w:keepLines w:val="0"/>
              <w:suppressLineNumbers w:val="0"/>
              <w:spacing w:before="0" w:beforeAutospacing="0" w:after="0" w:afterAutospacing="0" w:line="360" w:lineRule="auto"/>
              <w:ind w:left="0" w:right="0"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良（</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工艺技术较为成熟稳定，设备</w:t>
            </w:r>
            <w:r>
              <w:rPr>
                <w:rFonts w:hint="eastAsia" w:ascii="宋体" w:hAnsi="宋体" w:eastAsia="宋体" w:cs="宋体"/>
                <w:color w:val="auto"/>
                <w:sz w:val="21"/>
                <w:szCs w:val="21"/>
                <w:lang w:eastAsia="zh-CN"/>
              </w:rPr>
              <w:t>较为先进，</w:t>
            </w:r>
            <w:r>
              <w:rPr>
                <w:rFonts w:hint="eastAsia" w:ascii="宋体" w:hAnsi="宋体" w:eastAsia="宋体" w:cs="宋体"/>
                <w:color w:val="auto"/>
                <w:sz w:val="21"/>
                <w:szCs w:val="21"/>
                <w:lang w:val="en-US" w:eastAsia="zh-CN"/>
              </w:rPr>
              <w:t>布局较为合理，处理能力较为稳定可靠，能满足项目现场污泥脱水减量化需求</w:t>
            </w:r>
            <w:r>
              <w:rPr>
                <w:rFonts w:hint="eastAsia" w:ascii="宋体" w:hAnsi="宋体" w:eastAsia="宋体" w:cs="宋体"/>
                <w:color w:val="auto"/>
                <w:sz w:val="21"/>
                <w:szCs w:val="21"/>
                <w:lang w:eastAsia="zh-CN"/>
              </w:rPr>
              <w:t>。</w:t>
            </w:r>
          </w:p>
          <w:p w14:paraId="3735425E">
            <w:pPr>
              <w:keepNext w:val="0"/>
              <w:keepLines w:val="0"/>
              <w:suppressLineNumbers w:val="0"/>
              <w:spacing w:before="0" w:beforeAutospacing="0" w:after="0" w:afterAutospacing="0" w:line="360" w:lineRule="auto"/>
              <w:ind w:left="0" w:right="0"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中（</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：工艺</w:t>
            </w:r>
            <w:r>
              <w:rPr>
                <w:rFonts w:hint="eastAsia" w:ascii="宋体" w:hAnsi="宋体" w:eastAsia="宋体" w:cs="宋体"/>
                <w:color w:val="auto"/>
                <w:sz w:val="21"/>
                <w:szCs w:val="21"/>
                <w:lang w:val="en-US" w:eastAsia="zh-CN"/>
              </w:rPr>
              <w:t>技术、</w:t>
            </w:r>
            <w:r>
              <w:rPr>
                <w:rFonts w:hint="eastAsia" w:ascii="宋体" w:hAnsi="宋体" w:eastAsia="宋体" w:cs="宋体"/>
                <w:color w:val="auto"/>
                <w:sz w:val="21"/>
                <w:szCs w:val="21"/>
                <w:lang w:eastAsia="zh-CN"/>
              </w:rPr>
              <w:t>设备性能、设施、</w:t>
            </w:r>
            <w:r>
              <w:rPr>
                <w:rFonts w:hint="eastAsia" w:ascii="宋体" w:hAnsi="宋体" w:eastAsia="宋体" w:cs="宋体"/>
                <w:color w:val="auto"/>
                <w:sz w:val="21"/>
                <w:szCs w:val="21"/>
                <w:lang w:val="en-US" w:eastAsia="zh-CN"/>
              </w:rPr>
              <w:t>布局、</w:t>
            </w:r>
            <w:r>
              <w:rPr>
                <w:rFonts w:hint="eastAsia" w:ascii="宋体" w:hAnsi="宋体" w:eastAsia="宋体" w:cs="宋体"/>
                <w:color w:val="auto"/>
                <w:sz w:val="21"/>
                <w:szCs w:val="21"/>
                <w:lang w:eastAsia="zh-CN"/>
              </w:rPr>
              <w:t>处理能力</w:t>
            </w:r>
            <w:r>
              <w:rPr>
                <w:rFonts w:hint="eastAsia" w:ascii="宋体" w:hAnsi="宋体" w:eastAsia="宋体" w:cs="宋体"/>
                <w:color w:val="auto"/>
                <w:sz w:val="21"/>
                <w:szCs w:val="21"/>
                <w:lang w:val="en-US" w:eastAsia="zh-CN"/>
              </w:rPr>
              <w:t>均一般，</w:t>
            </w:r>
            <w:r>
              <w:rPr>
                <w:rFonts w:hint="eastAsia" w:ascii="宋体" w:hAnsi="宋体" w:eastAsia="宋体" w:cs="宋体"/>
                <w:color w:val="auto"/>
                <w:sz w:val="21"/>
                <w:szCs w:val="21"/>
                <w:lang w:eastAsia="zh-CN"/>
              </w:rPr>
              <w:t>基本</w:t>
            </w:r>
            <w:r>
              <w:rPr>
                <w:rFonts w:hint="eastAsia" w:ascii="宋体" w:hAnsi="宋体" w:eastAsia="宋体" w:cs="宋体"/>
                <w:color w:val="auto"/>
                <w:sz w:val="21"/>
                <w:szCs w:val="21"/>
                <w:lang w:val="en-US" w:eastAsia="zh-CN"/>
              </w:rPr>
              <w:t>满足项目现场污泥脱水减量化需求</w:t>
            </w:r>
            <w:r>
              <w:rPr>
                <w:rFonts w:hint="eastAsia" w:ascii="宋体" w:hAnsi="宋体" w:eastAsia="宋体" w:cs="宋体"/>
                <w:color w:val="auto"/>
                <w:sz w:val="21"/>
                <w:szCs w:val="21"/>
                <w:lang w:eastAsia="zh-CN"/>
              </w:rPr>
              <w:t>。</w:t>
            </w:r>
          </w:p>
          <w:p w14:paraId="6FA2E228">
            <w:pPr>
              <w:keepNext w:val="0"/>
              <w:keepLines w:val="0"/>
              <w:suppressLineNumbers w:val="0"/>
              <w:spacing w:before="0" w:beforeAutospacing="0" w:after="0" w:afterAutospacing="0" w:line="360" w:lineRule="auto"/>
              <w:ind w:left="0" w:right="0" w:firstLine="420" w:firstLineChars="200"/>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差（</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-0分]</w:t>
            </w:r>
            <w:r>
              <w:rPr>
                <w:rFonts w:hint="eastAsia" w:ascii="宋体" w:hAnsi="宋体" w:eastAsia="宋体" w:cs="宋体"/>
                <w:color w:val="auto"/>
                <w:sz w:val="21"/>
                <w:szCs w:val="21"/>
                <w:lang w:eastAsia="zh-CN"/>
              </w:rPr>
              <w:t>：工艺落后</w:t>
            </w:r>
            <w:r>
              <w:rPr>
                <w:rFonts w:hint="eastAsia" w:ascii="宋体" w:hAnsi="宋体" w:eastAsia="宋体" w:cs="宋体"/>
                <w:color w:val="auto"/>
                <w:sz w:val="21"/>
                <w:szCs w:val="21"/>
                <w:lang w:val="en-US" w:eastAsia="zh-CN"/>
              </w:rPr>
              <w:t>可能</w:t>
            </w:r>
            <w:r>
              <w:rPr>
                <w:rFonts w:hint="eastAsia" w:ascii="宋体" w:hAnsi="宋体" w:eastAsia="宋体" w:cs="宋体"/>
                <w:color w:val="auto"/>
                <w:sz w:val="21"/>
                <w:szCs w:val="21"/>
                <w:lang w:eastAsia="zh-CN"/>
              </w:rPr>
              <w:t>存在技术瓶颈，设备性能落后不稳定，设施简陋，处理能力</w:t>
            </w:r>
            <w:r>
              <w:rPr>
                <w:rFonts w:hint="eastAsia" w:ascii="宋体" w:hAnsi="宋体" w:eastAsia="宋体" w:cs="宋体"/>
                <w:color w:val="auto"/>
                <w:sz w:val="21"/>
                <w:szCs w:val="21"/>
                <w:lang w:val="en-US" w:eastAsia="zh-CN"/>
              </w:rPr>
              <w:t>可能</w:t>
            </w:r>
            <w:r>
              <w:rPr>
                <w:rFonts w:hint="eastAsia" w:ascii="宋体" w:hAnsi="宋体" w:eastAsia="宋体" w:cs="宋体"/>
                <w:color w:val="auto"/>
                <w:sz w:val="21"/>
                <w:szCs w:val="21"/>
                <w:lang w:eastAsia="zh-CN"/>
              </w:rPr>
              <w:t>不足，</w:t>
            </w:r>
            <w:r>
              <w:rPr>
                <w:rFonts w:hint="eastAsia" w:ascii="宋体" w:hAnsi="宋体" w:cs="宋体"/>
                <w:color w:val="auto"/>
                <w:sz w:val="21"/>
                <w:szCs w:val="21"/>
                <w:lang w:val="en-US" w:eastAsia="zh-CN"/>
              </w:rPr>
              <w:t>未提供处理能力计算过程说明，</w:t>
            </w:r>
            <w:r>
              <w:rPr>
                <w:rFonts w:hint="eastAsia" w:ascii="宋体" w:hAnsi="宋体" w:eastAsia="宋体" w:cs="宋体"/>
                <w:color w:val="auto"/>
                <w:sz w:val="21"/>
                <w:szCs w:val="21"/>
                <w:lang w:val="en-US" w:eastAsia="zh-CN"/>
              </w:rPr>
              <w:t>可能无法满足项目现场污泥脱水减量化需求</w:t>
            </w:r>
            <w:r>
              <w:rPr>
                <w:rFonts w:hint="eastAsia" w:ascii="宋体" w:hAnsi="宋体" w:eastAsia="宋体" w:cs="宋体"/>
                <w:color w:val="auto"/>
                <w:sz w:val="21"/>
                <w:szCs w:val="21"/>
                <w:lang w:eastAsia="zh-CN"/>
              </w:rPr>
              <w:t>。</w:t>
            </w:r>
          </w:p>
          <w:p w14:paraId="6867B77E">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（2）供应商提供</w:t>
            </w:r>
            <w:r>
              <w:rPr>
                <w:rFonts w:hint="eastAsia" w:ascii="宋体" w:hAnsi="宋体" w:cs="宋体"/>
                <w:color w:val="auto"/>
                <w:sz w:val="21"/>
                <w:szCs w:val="21"/>
                <w:lang w:val="en-US" w:eastAsia="zh-CN"/>
              </w:rPr>
              <w:t>技术</w:t>
            </w:r>
            <w:r>
              <w:rPr>
                <w:rFonts w:hint="eastAsia" w:ascii="宋体" w:hAnsi="宋体" w:eastAsia="宋体" w:cs="宋体"/>
                <w:color w:val="auto"/>
                <w:sz w:val="21"/>
                <w:szCs w:val="21"/>
                <w:lang w:val="en-US" w:eastAsia="zh-CN"/>
              </w:rPr>
              <w:t>方案的</w:t>
            </w:r>
            <w:r>
              <w:rPr>
                <w:rFonts w:hint="eastAsia" w:ascii="宋体" w:hAnsi="宋体" w:cs="宋体"/>
                <w:color w:val="auto"/>
                <w:sz w:val="21"/>
                <w:szCs w:val="21"/>
                <w:lang w:val="en-US" w:eastAsia="zh-CN"/>
              </w:rPr>
              <w:t>工艺方案</w:t>
            </w:r>
            <w:r>
              <w:rPr>
                <w:rFonts w:hint="eastAsia" w:ascii="宋体" w:hAnsi="宋体" w:eastAsia="宋体" w:cs="宋体"/>
                <w:color w:val="auto"/>
                <w:sz w:val="21"/>
                <w:szCs w:val="21"/>
                <w:lang w:val="en-US" w:eastAsia="zh-CN"/>
              </w:rPr>
              <w:t>情况在上述得分基础上进行加分，本小项满分</w:t>
            </w: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分：</w:t>
            </w:r>
          </w:p>
          <w:p w14:paraId="31C7CDA1">
            <w:pPr>
              <w:keepNext w:val="0"/>
              <w:keepLines w:val="0"/>
              <w:suppressLineNumbers w:val="0"/>
              <w:spacing w:before="0" w:beforeAutospacing="0" w:after="0" w:afterAutospacing="0" w:line="360" w:lineRule="auto"/>
              <w:ind w:left="0" w:right="0" w:firstLine="420" w:firstLineChars="200"/>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①</w:t>
            </w:r>
            <w:r>
              <w:rPr>
                <w:rFonts w:hint="eastAsia" w:ascii="宋体" w:hAnsi="宋体" w:cs="宋体"/>
                <w:color w:val="auto"/>
                <w:sz w:val="21"/>
                <w:szCs w:val="21"/>
                <w:lang w:val="en-US" w:eastAsia="zh-CN"/>
              </w:rPr>
              <w:t>供应商工艺方案采用行走滤布式板框压滤机的</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得2分</w:t>
            </w:r>
            <w:r>
              <w:rPr>
                <w:rFonts w:hint="eastAsia" w:ascii="宋体" w:hAnsi="宋体" w:eastAsia="宋体" w:cs="宋体"/>
                <w:color w:val="auto"/>
                <w:sz w:val="21"/>
                <w:szCs w:val="21"/>
                <w:lang w:val="en-US" w:eastAsia="zh-CN"/>
              </w:rPr>
              <w:t>。</w:t>
            </w:r>
          </w:p>
          <w:p w14:paraId="1921DD65">
            <w:pPr>
              <w:keepNext w:val="0"/>
              <w:keepLines w:val="0"/>
              <w:suppressLineNumbers w:val="0"/>
              <w:spacing w:before="0" w:beforeAutospacing="0" w:after="0" w:afterAutospacing="0" w:line="360" w:lineRule="auto"/>
              <w:ind w:left="0" w:right="0" w:firstLine="420" w:firstLineChars="200"/>
              <w:outlineLvl w:val="9"/>
              <w:rPr>
                <w:rFonts w:hint="eastAsia" w:ascii="宋体" w:hAnsi="宋体" w:cs="宋体"/>
                <w:color w:val="auto"/>
                <w:sz w:val="21"/>
                <w:szCs w:val="21"/>
                <w:lang w:val="en-US" w:eastAsia="zh-CN"/>
              </w:rPr>
            </w:pPr>
            <w:r>
              <w:rPr>
                <w:rFonts w:hint="eastAsia" w:ascii="宋体" w:hAnsi="宋体" w:eastAsia="宋体" w:cs="宋体"/>
                <w:color w:val="auto"/>
                <w:sz w:val="21"/>
                <w:szCs w:val="21"/>
                <w:lang w:val="zh-CN" w:eastAsia="zh-CN"/>
              </w:rPr>
              <w:t>②</w:t>
            </w:r>
            <w:r>
              <w:rPr>
                <w:rFonts w:hint="eastAsia" w:ascii="宋体" w:hAnsi="宋体" w:cs="宋体"/>
                <w:color w:val="auto"/>
                <w:sz w:val="21"/>
                <w:szCs w:val="21"/>
                <w:lang w:val="en-US" w:eastAsia="zh-CN"/>
              </w:rPr>
              <w:t>供应商工艺方案采用高压板框压滤机（工作压力1.0MPa及以上）的，得1.5分。</w:t>
            </w:r>
          </w:p>
          <w:p w14:paraId="7B1F4FB6">
            <w:pPr>
              <w:keepNext w:val="0"/>
              <w:keepLines w:val="0"/>
              <w:suppressLineNumbers w:val="0"/>
              <w:spacing w:before="0" w:beforeAutospacing="0" w:after="0" w:afterAutospacing="0" w:line="360" w:lineRule="auto"/>
              <w:ind w:left="0" w:right="0" w:firstLine="420" w:firstLineChars="200"/>
              <w:outlineLvl w:val="9"/>
              <w:rPr>
                <w:rFonts w:hint="eastAsia" w:ascii="宋体" w:hAnsi="宋体" w:cs="宋体"/>
                <w:color w:val="auto"/>
                <w:sz w:val="21"/>
                <w:szCs w:val="21"/>
                <w:lang w:val="en-US" w:eastAsia="zh-CN"/>
              </w:rPr>
            </w:pPr>
            <w:r>
              <w:rPr>
                <w:rFonts w:hint="default" w:ascii="宋体" w:hAnsi="宋体" w:eastAsia="宋体" w:cs="宋体"/>
                <w:color w:val="auto"/>
                <w:sz w:val="21"/>
                <w:szCs w:val="21"/>
                <w:lang w:val="zh-CN" w:eastAsia="zh-CN"/>
              </w:rPr>
              <w:t>③</w:t>
            </w:r>
            <w:r>
              <w:rPr>
                <w:rFonts w:hint="eastAsia" w:ascii="宋体" w:hAnsi="宋体" w:cs="宋体"/>
                <w:color w:val="auto"/>
                <w:sz w:val="21"/>
                <w:szCs w:val="21"/>
                <w:lang w:val="en-US" w:eastAsia="zh-CN"/>
              </w:rPr>
              <w:t>供应商工艺方案采用其他型式板框压滤机的，得1分。</w:t>
            </w:r>
          </w:p>
          <w:p w14:paraId="1ED5B7E1">
            <w:pPr>
              <w:keepNext w:val="0"/>
              <w:keepLines w:val="0"/>
              <w:suppressLineNumbers w:val="0"/>
              <w:spacing w:before="0" w:beforeAutospacing="0" w:after="0" w:afterAutospacing="0" w:line="360" w:lineRule="auto"/>
              <w:ind w:left="0" w:right="0"/>
              <w:outlineLvl w:val="9"/>
              <w:rPr>
                <w:rFonts w:hint="eastAsia" w:ascii="宋体" w:hAnsi="宋体" w:eastAsia="宋体" w:cs="宋体"/>
                <w:b/>
                <w:bCs/>
                <w:color w:val="auto"/>
                <w:sz w:val="21"/>
                <w:szCs w:val="21"/>
                <w:lang w:val="zh-CN"/>
              </w:rPr>
            </w:pPr>
            <w:r>
              <w:rPr>
                <w:rFonts w:hint="eastAsia" w:ascii="宋体" w:hAnsi="宋体" w:eastAsia="宋体" w:cs="宋体"/>
                <w:b/>
                <w:bCs/>
                <w:color w:val="auto"/>
                <w:sz w:val="21"/>
                <w:szCs w:val="21"/>
                <w:lang w:val="zh-CN"/>
              </w:rPr>
              <w:t>备注：</w:t>
            </w:r>
          </w:p>
          <w:p w14:paraId="51EE8AFF">
            <w:pPr>
              <w:keepNext w:val="0"/>
              <w:keepLines w:val="0"/>
              <w:suppressLineNumbers w:val="0"/>
              <w:spacing w:before="0" w:beforeAutospacing="0" w:after="0" w:afterAutospacing="0" w:line="360" w:lineRule="auto"/>
              <w:ind w:left="0" w:right="0" w:firstLine="420" w:firstLineChars="200"/>
              <w:outlineLvl w:val="9"/>
              <w:rPr>
                <w:rFonts w:hint="eastAsia" w:ascii="宋体" w:hAnsi="宋体" w:eastAsia="宋体" w:cs="宋体"/>
                <w:color w:val="auto"/>
                <w:sz w:val="21"/>
                <w:szCs w:val="21"/>
                <w:lang w:val="zh-CN"/>
              </w:rPr>
            </w:pPr>
            <w:r>
              <w:rPr>
                <w:rFonts w:hint="eastAsia" w:ascii="宋体" w:hAnsi="宋体" w:cs="宋体"/>
                <w:color w:val="auto"/>
                <w:sz w:val="21"/>
                <w:szCs w:val="21"/>
                <w:lang w:val="en-US" w:eastAsia="zh-CN"/>
              </w:rPr>
              <w:t>供应商须在技术方案中提供处理能力证明材料，包括设备数量、滤布面积、压滤时间、调理时间等参数及处理能力详细计算过程说明。</w:t>
            </w:r>
          </w:p>
        </w:tc>
        <w:tc>
          <w:tcPr>
            <w:tcW w:w="465" w:type="pct"/>
            <w:tcBorders>
              <w:top w:val="single" w:color="auto" w:sz="4" w:space="0"/>
              <w:left w:val="single" w:color="auto" w:sz="4" w:space="0"/>
              <w:bottom w:val="single" w:color="auto" w:sz="4" w:space="0"/>
              <w:right w:val="single" w:color="auto" w:sz="4" w:space="0"/>
            </w:tcBorders>
            <w:vAlign w:val="center"/>
          </w:tcPr>
          <w:p w14:paraId="6ABFE22D">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b/>
                <w:bCs/>
                <w:color w:val="auto"/>
                <w:sz w:val="21"/>
                <w:szCs w:val="21"/>
              </w:rPr>
            </w:pPr>
            <w:r>
              <w:rPr>
                <w:rFonts w:hint="eastAsia" w:ascii="宋体" w:hAnsi="宋体" w:cs="宋体"/>
                <w:color w:val="auto"/>
                <w:sz w:val="21"/>
                <w:szCs w:val="21"/>
                <w:lang w:val="en-US" w:eastAsia="zh-CN"/>
              </w:rPr>
              <w:t>7</w:t>
            </w:r>
            <w:r>
              <w:rPr>
                <w:rFonts w:hint="eastAsia" w:ascii="宋体" w:hAnsi="宋体" w:eastAsia="宋体" w:cs="宋体"/>
                <w:color w:val="auto"/>
                <w:sz w:val="21"/>
                <w:szCs w:val="21"/>
                <w:lang w:val="zh-CN"/>
              </w:rPr>
              <w:t>分</w:t>
            </w:r>
          </w:p>
        </w:tc>
      </w:tr>
      <w:tr w14:paraId="74255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6" w:type="pct"/>
            <w:vMerge w:val="restart"/>
            <w:tcBorders>
              <w:top w:val="single" w:color="auto" w:sz="4" w:space="0"/>
              <w:left w:val="single" w:color="auto" w:sz="4" w:space="0"/>
              <w:right w:val="single" w:color="auto" w:sz="4" w:space="0"/>
            </w:tcBorders>
            <w:vAlign w:val="center"/>
          </w:tcPr>
          <w:p w14:paraId="1FAEA1E8">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583" w:type="pct"/>
            <w:vMerge w:val="restart"/>
            <w:tcBorders>
              <w:top w:val="single" w:color="auto" w:sz="4" w:space="0"/>
              <w:left w:val="single" w:color="auto" w:sz="4" w:space="0"/>
              <w:right w:val="single" w:color="auto" w:sz="4" w:space="0"/>
            </w:tcBorders>
            <w:vAlign w:val="center"/>
          </w:tcPr>
          <w:p w14:paraId="090752C9">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管理</w:t>
            </w:r>
            <w:r>
              <w:rPr>
                <w:rFonts w:hint="eastAsia" w:ascii="宋体" w:hAnsi="宋体" w:eastAsia="宋体" w:cs="宋体"/>
                <w:color w:val="auto"/>
                <w:sz w:val="21"/>
                <w:szCs w:val="21"/>
              </w:rPr>
              <w:t>方案</w:t>
            </w:r>
          </w:p>
        </w:tc>
        <w:tc>
          <w:tcPr>
            <w:tcW w:w="3585" w:type="pct"/>
            <w:tcBorders>
              <w:top w:val="single" w:color="auto" w:sz="4" w:space="0"/>
              <w:left w:val="single" w:color="auto" w:sz="4" w:space="0"/>
              <w:bottom w:val="single" w:color="auto" w:sz="4" w:space="0"/>
              <w:right w:val="single" w:color="auto" w:sz="4" w:space="0"/>
            </w:tcBorders>
          </w:tcPr>
          <w:p w14:paraId="3951885B">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bookmarkStart w:id="492" w:name="OLE_LINK1"/>
            <w:r>
              <w:rPr>
                <w:rFonts w:hint="eastAsia" w:ascii="宋体" w:hAnsi="宋体" w:eastAsia="宋体" w:cs="宋体"/>
                <w:color w:val="auto"/>
                <w:sz w:val="21"/>
                <w:szCs w:val="21"/>
              </w:rPr>
              <w:t>根据</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提供的污泥脱水减量化处理服务</w:t>
            </w:r>
            <w:r>
              <w:rPr>
                <w:rFonts w:hint="eastAsia" w:ascii="宋体" w:hAnsi="宋体" w:eastAsia="宋体" w:cs="宋体"/>
                <w:color w:val="auto"/>
                <w:sz w:val="21"/>
                <w:szCs w:val="21"/>
                <w:lang w:val="en-US" w:eastAsia="zh-CN"/>
              </w:rPr>
              <w:t>管理</w:t>
            </w:r>
            <w:r>
              <w:rPr>
                <w:rFonts w:hint="eastAsia" w:ascii="宋体" w:hAnsi="宋体" w:eastAsia="宋体" w:cs="宋体"/>
                <w:color w:val="auto"/>
                <w:sz w:val="21"/>
                <w:szCs w:val="21"/>
              </w:rPr>
              <w:t>方案，包括</w:t>
            </w:r>
            <w:r>
              <w:rPr>
                <w:rFonts w:hint="eastAsia" w:ascii="宋体" w:hAnsi="宋体" w:eastAsia="宋体" w:cs="宋体"/>
                <w:color w:val="auto"/>
                <w:sz w:val="21"/>
                <w:szCs w:val="21"/>
                <w:lang w:val="en-US" w:eastAsia="zh-CN"/>
              </w:rPr>
              <w:t>项目组织构架、人员配置、制度建设、工艺运行管理、设备维护管理</w:t>
            </w:r>
            <w:r>
              <w:rPr>
                <w:rFonts w:hint="eastAsia" w:ascii="宋体" w:hAnsi="宋体" w:eastAsia="宋体" w:cs="宋体"/>
                <w:color w:val="auto"/>
                <w:sz w:val="21"/>
                <w:szCs w:val="21"/>
              </w:rPr>
              <w:t>等内容的</w:t>
            </w:r>
            <w:r>
              <w:rPr>
                <w:rFonts w:hint="eastAsia" w:ascii="宋体" w:hAnsi="宋体" w:eastAsia="宋体" w:cs="宋体"/>
                <w:color w:val="auto"/>
                <w:sz w:val="21"/>
                <w:szCs w:val="21"/>
                <w:lang w:val="en-US" w:eastAsia="zh-CN"/>
              </w:rPr>
              <w:t>详细程度、科学性、合理性</w:t>
            </w:r>
            <w:r>
              <w:rPr>
                <w:rFonts w:hint="eastAsia" w:ascii="宋体" w:hAnsi="宋体" w:eastAsia="宋体" w:cs="宋体"/>
                <w:color w:val="auto"/>
                <w:sz w:val="21"/>
                <w:szCs w:val="21"/>
              </w:rPr>
              <w:t>等方面进行评审</w:t>
            </w:r>
            <w:bookmarkEnd w:id="492"/>
            <w:r>
              <w:rPr>
                <w:rFonts w:hint="eastAsia" w:ascii="宋体" w:hAnsi="宋体" w:eastAsia="宋体" w:cs="宋体"/>
                <w:color w:val="auto"/>
                <w:sz w:val="21"/>
                <w:szCs w:val="21"/>
                <w:lang w:eastAsia="zh-CN"/>
              </w:rPr>
              <w:t>：</w:t>
            </w:r>
          </w:p>
          <w:p w14:paraId="17A8E80A">
            <w:pPr>
              <w:keepNext w:val="0"/>
              <w:keepLines w:val="0"/>
              <w:suppressLineNumbers w:val="0"/>
              <w:spacing w:before="0" w:beforeAutospacing="0" w:after="0" w:afterAutospacing="0" w:line="360" w:lineRule="auto"/>
              <w:ind w:left="0" w:right="0"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优[</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项目管理</w:t>
            </w:r>
            <w:r>
              <w:rPr>
                <w:rFonts w:hint="eastAsia" w:ascii="宋体" w:hAnsi="宋体" w:eastAsia="宋体" w:cs="宋体"/>
                <w:color w:val="auto"/>
                <w:sz w:val="21"/>
                <w:szCs w:val="21"/>
                <w:lang w:eastAsia="zh-CN"/>
              </w:rPr>
              <w:t>组织架构清晰，层次分明，</w:t>
            </w:r>
            <w:r>
              <w:rPr>
                <w:rFonts w:hint="eastAsia" w:ascii="宋体" w:hAnsi="宋体" w:eastAsia="宋体" w:cs="宋体"/>
                <w:color w:val="auto"/>
                <w:sz w:val="21"/>
                <w:szCs w:val="21"/>
              </w:rPr>
              <w:t>人员配置</w:t>
            </w:r>
            <w:r>
              <w:rPr>
                <w:rFonts w:hint="eastAsia" w:ascii="宋体" w:hAnsi="宋体" w:cs="宋体"/>
                <w:color w:val="auto"/>
                <w:sz w:val="21"/>
                <w:szCs w:val="21"/>
                <w:lang w:val="en-US" w:eastAsia="zh-CN"/>
              </w:rPr>
              <w:t>完全满足对应工艺技术的需求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制度建设完善，内容明确、具体，可操作性强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建立完善的工艺运行管理和设备维护管理体系，</w:t>
            </w:r>
            <w:r>
              <w:rPr>
                <w:rFonts w:hint="eastAsia" w:ascii="宋体" w:hAnsi="宋体" w:eastAsia="宋体" w:cs="宋体"/>
                <w:color w:val="auto"/>
                <w:sz w:val="21"/>
                <w:szCs w:val="21"/>
                <w:lang w:eastAsia="zh-CN"/>
              </w:rPr>
              <w:t>能够高效支持项目运作。</w:t>
            </w:r>
          </w:p>
          <w:p w14:paraId="0216BE90">
            <w:pPr>
              <w:keepNext w:val="0"/>
              <w:keepLines w:val="0"/>
              <w:suppressLineNumbers w:val="0"/>
              <w:spacing w:before="0" w:beforeAutospacing="0" w:after="0" w:afterAutospacing="0" w:line="360" w:lineRule="auto"/>
              <w:ind w:left="0" w:right="0" w:firstLine="420" w:firstLineChars="200"/>
              <w:outlineLvl w:val="9"/>
              <w:rPr>
                <w:rFonts w:hint="default" w:ascii="宋体" w:hAnsi="宋体" w:eastAsia="宋体" w:cs="宋体"/>
                <w:color w:val="auto"/>
                <w:sz w:val="21"/>
                <w:szCs w:val="21"/>
                <w:lang w:val="en-US"/>
              </w:rPr>
            </w:pPr>
            <w:r>
              <w:rPr>
                <w:rFonts w:hint="eastAsia" w:ascii="宋体" w:hAnsi="宋体" w:eastAsia="宋体" w:cs="宋体"/>
                <w:color w:val="auto"/>
                <w:sz w:val="21"/>
                <w:szCs w:val="21"/>
              </w:rPr>
              <w:t>良（</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项目</w:t>
            </w:r>
            <w:r>
              <w:rPr>
                <w:rFonts w:hint="eastAsia" w:ascii="宋体" w:hAnsi="宋体" w:eastAsia="宋体" w:cs="宋体"/>
                <w:color w:val="auto"/>
                <w:sz w:val="21"/>
                <w:szCs w:val="21"/>
                <w:lang w:eastAsia="zh-CN"/>
              </w:rPr>
              <w:t>组织架构、</w:t>
            </w:r>
            <w:r>
              <w:rPr>
                <w:rFonts w:hint="eastAsia" w:ascii="宋体" w:hAnsi="宋体" w:eastAsia="宋体" w:cs="宋体"/>
                <w:color w:val="auto"/>
                <w:sz w:val="21"/>
                <w:szCs w:val="21"/>
                <w:lang w:val="en-US" w:eastAsia="zh-CN"/>
              </w:rPr>
              <w:t>人员配置</w:t>
            </w:r>
            <w:r>
              <w:rPr>
                <w:rFonts w:hint="eastAsia" w:ascii="宋体" w:hAnsi="宋体" w:cs="宋体"/>
                <w:color w:val="auto"/>
                <w:sz w:val="21"/>
                <w:szCs w:val="21"/>
                <w:lang w:val="en-US" w:eastAsia="zh-CN"/>
              </w:rPr>
              <w:t>满足对应工艺技术的需求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制度建设较为完善，但部分制度内容不够具体或存在漏洞</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建立较为完善的工艺运行管理和设备维护管理体系，能够支持项目运作。</w:t>
            </w:r>
          </w:p>
          <w:p w14:paraId="26FD404B">
            <w:pPr>
              <w:keepNext w:val="0"/>
              <w:keepLines w:val="0"/>
              <w:suppressLineNumbers w:val="0"/>
              <w:spacing w:before="0" w:beforeAutospacing="0" w:after="0" w:afterAutospacing="0" w:line="360" w:lineRule="auto"/>
              <w:ind w:left="0" w:right="0"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中（</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项目</w:t>
            </w:r>
            <w:r>
              <w:rPr>
                <w:rFonts w:hint="eastAsia" w:ascii="宋体" w:hAnsi="宋体" w:eastAsia="宋体" w:cs="宋体"/>
                <w:color w:val="auto"/>
                <w:sz w:val="21"/>
                <w:szCs w:val="21"/>
                <w:lang w:eastAsia="zh-CN"/>
              </w:rPr>
              <w:t>组织架构、</w:t>
            </w:r>
            <w:r>
              <w:rPr>
                <w:rFonts w:hint="eastAsia" w:ascii="宋体" w:hAnsi="宋体" w:eastAsia="宋体" w:cs="宋体"/>
                <w:color w:val="auto"/>
                <w:sz w:val="21"/>
                <w:szCs w:val="21"/>
              </w:rPr>
              <w:t>人员配置</w:t>
            </w:r>
            <w:r>
              <w:rPr>
                <w:rFonts w:hint="eastAsia" w:ascii="宋体" w:hAnsi="宋体" w:cs="宋体"/>
                <w:color w:val="auto"/>
                <w:sz w:val="21"/>
                <w:szCs w:val="21"/>
                <w:lang w:val="en-US" w:eastAsia="zh-CN"/>
              </w:rPr>
              <w:t>基本满足对应工艺技术的需求</w:t>
            </w:r>
            <w:r>
              <w:rPr>
                <w:rFonts w:hint="eastAsia" w:ascii="宋体" w:hAnsi="宋体" w:eastAsia="宋体" w:cs="宋体"/>
                <w:color w:val="auto"/>
                <w:sz w:val="21"/>
                <w:szCs w:val="21"/>
              </w:rPr>
              <w:t>，制度建设不完善，存在较多空白或模糊地带</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工艺运行管理和设备维护管理体系不健全，基本能维持项目运作</w:t>
            </w:r>
            <w:r>
              <w:rPr>
                <w:rFonts w:hint="eastAsia" w:ascii="宋体" w:hAnsi="宋体" w:eastAsia="宋体" w:cs="宋体"/>
                <w:color w:val="auto"/>
                <w:sz w:val="21"/>
                <w:szCs w:val="21"/>
              </w:rPr>
              <w:t>。</w:t>
            </w:r>
          </w:p>
          <w:p w14:paraId="68DA8170">
            <w:pPr>
              <w:keepNext w:val="0"/>
              <w:keepLines w:val="0"/>
              <w:suppressLineNumbers w:val="0"/>
              <w:spacing w:before="0" w:beforeAutospacing="0" w:after="0" w:afterAutospacing="0" w:line="360" w:lineRule="auto"/>
              <w:ind w:left="0" w:right="0" w:firstLine="420" w:firstLineChars="200"/>
              <w:outlineLvl w:val="9"/>
              <w:rPr>
                <w:rFonts w:hint="eastAsia" w:ascii="宋体" w:hAnsi="宋体" w:eastAsia="宋体" w:cs="宋体"/>
                <w:b w:val="0"/>
                <w:color w:val="auto"/>
                <w:kern w:val="2"/>
                <w:sz w:val="21"/>
                <w:szCs w:val="21"/>
                <w:lang w:val="en-US" w:eastAsia="zh-CN" w:bidi="ar-SA"/>
              </w:rPr>
            </w:pPr>
            <w:r>
              <w:rPr>
                <w:rFonts w:hint="eastAsia" w:ascii="宋体" w:hAnsi="宋体" w:eastAsia="宋体" w:cs="宋体"/>
                <w:color w:val="auto"/>
                <w:sz w:val="21"/>
                <w:szCs w:val="21"/>
              </w:rPr>
              <w:t>差（</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-0分]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项目</w:t>
            </w:r>
            <w:r>
              <w:rPr>
                <w:rFonts w:hint="eastAsia" w:ascii="宋体" w:hAnsi="宋体" w:eastAsia="宋体" w:cs="宋体"/>
                <w:color w:val="auto"/>
                <w:sz w:val="21"/>
                <w:szCs w:val="21"/>
                <w:lang w:eastAsia="zh-CN"/>
              </w:rPr>
              <w:t>组织架构、</w:t>
            </w:r>
            <w:r>
              <w:rPr>
                <w:rFonts w:hint="eastAsia" w:ascii="宋体" w:hAnsi="宋体" w:eastAsia="宋体" w:cs="宋体"/>
                <w:color w:val="auto"/>
                <w:sz w:val="21"/>
                <w:szCs w:val="21"/>
                <w:lang w:val="en-US" w:eastAsia="zh-CN"/>
              </w:rPr>
              <w:t>人员配置</w:t>
            </w:r>
            <w:r>
              <w:rPr>
                <w:rFonts w:hint="eastAsia" w:ascii="宋体" w:hAnsi="宋体" w:cs="宋体"/>
                <w:color w:val="auto"/>
                <w:sz w:val="21"/>
                <w:szCs w:val="21"/>
                <w:lang w:val="en-US" w:eastAsia="zh-CN"/>
              </w:rPr>
              <w:t>不满足对应工艺技术的需求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制度建设严重滞后，暂未建立工艺运行管理和设备维护管理体系，项目运作可能存在一定风险。</w:t>
            </w:r>
          </w:p>
        </w:tc>
        <w:tc>
          <w:tcPr>
            <w:tcW w:w="465" w:type="pct"/>
            <w:vMerge w:val="restart"/>
            <w:tcBorders>
              <w:top w:val="single" w:color="auto" w:sz="4" w:space="0"/>
              <w:left w:val="single" w:color="auto" w:sz="4" w:space="0"/>
              <w:right w:val="single" w:color="auto" w:sz="4" w:space="0"/>
            </w:tcBorders>
            <w:vAlign w:val="center"/>
          </w:tcPr>
          <w:p w14:paraId="0E7B3076">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9</w:t>
            </w:r>
            <w:r>
              <w:rPr>
                <w:rFonts w:hint="eastAsia" w:ascii="宋体" w:hAnsi="宋体" w:eastAsia="宋体" w:cs="宋体"/>
                <w:color w:val="auto"/>
                <w:sz w:val="21"/>
                <w:szCs w:val="21"/>
                <w:lang w:val="en-US" w:eastAsia="zh-CN"/>
              </w:rPr>
              <w:t>分</w:t>
            </w:r>
          </w:p>
        </w:tc>
      </w:tr>
      <w:tr w14:paraId="1B227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6" w:type="pct"/>
            <w:vMerge w:val="continue"/>
            <w:tcBorders>
              <w:left w:val="single" w:color="auto" w:sz="4" w:space="0"/>
              <w:bottom w:val="single" w:color="auto" w:sz="4" w:space="0"/>
              <w:right w:val="single" w:color="auto" w:sz="4" w:space="0"/>
            </w:tcBorders>
            <w:vAlign w:val="center"/>
          </w:tcPr>
          <w:p w14:paraId="5432B44F">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lang w:val="en-US" w:eastAsia="zh-CN"/>
              </w:rPr>
            </w:pPr>
          </w:p>
        </w:tc>
        <w:tc>
          <w:tcPr>
            <w:tcW w:w="583" w:type="pct"/>
            <w:vMerge w:val="continue"/>
            <w:tcBorders>
              <w:left w:val="single" w:color="auto" w:sz="4" w:space="0"/>
              <w:bottom w:val="single" w:color="auto" w:sz="4" w:space="0"/>
              <w:right w:val="single" w:color="auto" w:sz="4" w:space="0"/>
            </w:tcBorders>
            <w:vAlign w:val="center"/>
          </w:tcPr>
          <w:p w14:paraId="4AAF493B">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lang w:val="en-US" w:eastAsia="zh-CN"/>
              </w:rPr>
            </w:pPr>
          </w:p>
        </w:tc>
        <w:tc>
          <w:tcPr>
            <w:tcW w:w="3585" w:type="pct"/>
            <w:tcBorders>
              <w:top w:val="single" w:color="auto" w:sz="4" w:space="0"/>
              <w:left w:val="single" w:color="auto" w:sz="4" w:space="0"/>
              <w:bottom w:val="single" w:color="auto" w:sz="4" w:space="0"/>
              <w:right w:val="single" w:color="auto" w:sz="4" w:space="0"/>
            </w:tcBorders>
          </w:tcPr>
          <w:p w14:paraId="4FA3F328">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（2）供应商提供管理方案的人员配置情况在上述得分基础上进行加分，本小项满分4分：</w:t>
            </w:r>
          </w:p>
          <w:p w14:paraId="6FE4B398">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①人员配置的技术人员具有有效的安全人员上岗证或安全生产考核合格证书（C类证）或注册安全工程师证，每人得1分，本小项最高2分。</w:t>
            </w:r>
          </w:p>
          <w:p w14:paraId="0D3290D7">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②人员配置的技术人员具有应急管理部门（或安全生产监督管理部门）颁发的特种作业操作证且作业类别为电工作业的，每人得1分，本小项最高2分。</w:t>
            </w:r>
          </w:p>
          <w:p w14:paraId="6AF60460">
            <w:pPr>
              <w:keepNext w:val="0"/>
              <w:keepLines w:val="0"/>
              <w:suppressLineNumbers w:val="0"/>
              <w:spacing w:before="0" w:beforeAutospacing="0" w:after="0" w:afterAutospacing="0" w:line="360" w:lineRule="auto"/>
              <w:ind w:left="0" w:right="0"/>
              <w:outlineLvl w:val="9"/>
              <w:rPr>
                <w:rFonts w:hint="eastAsia" w:ascii="宋体" w:hAnsi="宋体" w:eastAsia="宋体" w:cs="宋体"/>
                <w:b/>
                <w:bCs/>
                <w:color w:val="auto"/>
                <w:sz w:val="21"/>
                <w:szCs w:val="21"/>
                <w:lang w:val="zh-CN"/>
              </w:rPr>
            </w:pPr>
            <w:r>
              <w:rPr>
                <w:rFonts w:hint="eastAsia" w:ascii="宋体" w:hAnsi="宋体" w:eastAsia="宋体" w:cs="宋体"/>
                <w:b/>
                <w:bCs/>
                <w:color w:val="auto"/>
                <w:sz w:val="21"/>
                <w:szCs w:val="21"/>
                <w:lang w:val="zh-CN"/>
              </w:rPr>
              <w:t>备注：</w:t>
            </w:r>
          </w:p>
          <w:p w14:paraId="031AD2F6">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val="zh-CN" w:eastAsia="zh-CN"/>
              </w:rPr>
              <w:t>）</w:t>
            </w:r>
            <w:r>
              <w:rPr>
                <w:rFonts w:hint="eastAsia" w:ascii="宋体" w:hAnsi="宋体" w:eastAsia="宋体" w:cs="宋体"/>
                <w:color w:val="auto"/>
                <w:sz w:val="21"/>
                <w:szCs w:val="21"/>
                <w:lang w:val="en-US" w:eastAsia="zh-CN"/>
              </w:rPr>
              <w:t>第（2）项评审项的人员</w:t>
            </w:r>
            <w:r>
              <w:rPr>
                <w:rFonts w:hint="eastAsia" w:ascii="宋体" w:hAnsi="宋体" w:eastAsia="宋体" w:cs="宋体"/>
                <w:color w:val="auto"/>
                <w:sz w:val="21"/>
                <w:szCs w:val="21"/>
                <w:lang w:val="zh-CN" w:eastAsia="zh-CN"/>
              </w:rPr>
              <w:t>需提供人员的身份证、劳动合同的复印件、资格证书[学历证书/职称证/执业/职业资格证</w:t>
            </w:r>
            <w:r>
              <w:rPr>
                <w:rFonts w:hint="eastAsia" w:ascii="宋体" w:hAnsi="宋体" w:eastAsia="宋体" w:cs="宋体"/>
                <w:color w:val="auto"/>
                <w:sz w:val="21"/>
                <w:szCs w:val="21"/>
                <w:lang w:val="en-US" w:eastAsia="zh-CN"/>
              </w:rPr>
              <w:t>/岗位证书</w:t>
            </w:r>
            <w:r>
              <w:rPr>
                <w:rFonts w:hint="eastAsia" w:ascii="宋体" w:hAnsi="宋体" w:eastAsia="宋体" w:cs="宋体"/>
                <w:color w:val="auto"/>
                <w:sz w:val="21"/>
                <w:szCs w:val="21"/>
                <w:lang w:val="zh-CN" w:eastAsia="zh-CN"/>
              </w:rPr>
              <w:t>]以及人力资源和社会保障部门（或税务部门）出具的</w:t>
            </w:r>
            <w:r>
              <w:rPr>
                <w:rFonts w:hint="eastAsia" w:ascii="宋体" w:hAnsi="宋体" w:eastAsia="宋体" w:cs="宋体"/>
                <w:b w:val="0"/>
                <w:bCs/>
                <w:color w:val="auto"/>
                <w:kern w:val="0"/>
                <w:sz w:val="21"/>
                <w:szCs w:val="21"/>
                <w:lang w:val="zh-CN"/>
              </w:rPr>
              <w:t>近</w:t>
            </w:r>
            <w:r>
              <w:rPr>
                <w:rFonts w:hint="eastAsia" w:ascii="宋体" w:hAnsi="宋体" w:eastAsia="宋体" w:cs="宋体"/>
                <w:b w:val="0"/>
                <w:bCs/>
                <w:color w:val="auto"/>
                <w:kern w:val="0"/>
                <w:sz w:val="21"/>
                <w:szCs w:val="21"/>
                <w:lang w:val="en-US" w:eastAsia="zh-CN"/>
              </w:rPr>
              <w:t>六个月</w:t>
            </w:r>
            <w:r>
              <w:rPr>
                <w:rFonts w:hint="eastAsia" w:ascii="宋体" w:hAnsi="宋体" w:eastAsia="宋体" w:cs="宋体"/>
                <w:b w:val="0"/>
                <w:bCs/>
                <w:color w:val="auto"/>
                <w:kern w:val="0"/>
                <w:sz w:val="21"/>
                <w:szCs w:val="21"/>
                <w:lang w:val="zh-CN"/>
              </w:rPr>
              <w:t>（</w:t>
            </w:r>
            <w:r>
              <w:rPr>
                <w:rFonts w:hint="eastAsia" w:ascii="宋体" w:hAnsi="宋体" w:eastAsia="宋体" w:cs="宋体"/>
                <w:b w:val="0"/>
                <w:bCs/>
                <w:color w:val="auto"/>
                <w:kern w:val="0"/>
                <w:sz w:val="21"/>
                <w:szCs w:val="21"/>
                <w:lang w:val="en-US" w:eastAsia="zh-CN"/>
              </w:rPr>
              <w:t>2024年2月、2024年3月</w:t>
            </w:r>
            <w:r>
              <w:rPr>
                <w:rFonts w:hint="eastAsia" w:ascii="宋体" w:hAnsi="宋体" w:eastAsia="宋体" w:cs="宋体"/>
                <w:b w:val="0"/>
                <w:bCs/>
                <w:color w:val="auto"/>
                <w:kern w:val="0"/>
                <w:sz w:val="21"/>
                <w:szCs w:val="21"/>
                <w:lang w:val="zh-CN"/>
              </w:rPr>
              <w:t>、202</w:t>
            </w:r>
            <w:r>
              <w:rPr>
                <w:rFonts w:hint="eastAsia" w:ascii="宋体" w:hAnsi="宋体" w:eastAsia="宋体" w:cs="宋体"/>
                <w:b w:val="0"/>
                <w:bCs/>
                <w:color w:val="auto"/>
                <w:kern w:val="0"/>
                <w:sz w:val="21"/>
                <w:szCs w:val="21"/>
                <w:lang w:val="en-US" w:eastAsia="zh-CN"/>
              </w:rPr>
              <w:t>4</w:t>
            </w:r>
            <w:r>
              <w:rPr>
                <w:rFonts w:hint="eastAsia" w:ascii="宋体" w:hAnsi="宋体" w:eastAsia="宋体" w:cs="宋体"/>
                <w:b w:val="0"/>
                <w:bCs/>
                <w:color w:val="auto"/>
                <w:kern w:val="0"/>
                <w:sz w:val="21"/>
                <w:szCs w:val="21"/>
                <w:lang w:val="zh-CN"/>
              </w:rPr>
              <w:t>年</w:t>
            </w:r>
            <w:r>
              <w:rPr>
                <w:rFonts w:hint="eastAsia" w:ascii="宋体" w:hAnsi="宋体" w:eastAsia="宋体" w:cs="宋体"/>
                <w:b w:val="0"/>
                <w:bCs/>
                <w:color w:val="auto"/>
                <w:kern w:val="0"/>
                <w:sz w:val="21"/>
                <w:szCs w:val="21"/>
                <w:lang w:val="en-US" w:eastAsia="zh-CN"/>
              </w:rPr>
              <w:t>4</w:t>
            </w:r>
            <w:r>
              <w:rPr>
                <w:rFonts w:hint="eastAsia" w:ascii="宋体" w:hAnsi="宋体" w:eastAsia="宋体" w:cs="宋体"/>
                <w:b w:val="0"/>
                <w:bCs/>
                <w:color w:val="auto"/>
                <w:kern w:val="0"/>
                <w:sz w:val="21"/>
                <w:szCs w:val="21"/>
                <w:lang w:val="zh-CN"/>
              </w:rPr>
              <w:t>月、202</w:t>
            </w:r>
            <w:r>
              <w:rPr>
                <w:rFonts w:hint="eastAsia" w:ascii="宋体" w:hAnsi="宋体" w:eastAsia="宋体" w:cs="宋体"/>
                <w:b w:val="0"/>
                <w:bCs/>
                <w:color w:val="auto"/>
                <w:kern w:val="0"/>
                <w:sz w:val="21"/>
                <w:szCs w:val="21"/>
                <w:lang w:val="en-US" w:eastAsia="zh-CN"/>
              </w:rPr>
              <w:t>4</w:t>
            </w:r>
            <w:r>
              <w:rPr>
                <w:rFonts w:hint="eastAsia" w:ascii="宋体" w:hAnsi="宋体" w:eastAsia="宋体" w:cs="宋体"/>
                <w:b w:val="0"/>
                <w:bCs/>
                <w:color w:val="auto"/>
                <w:kern w:val="0"/>
                <w:sz w:val="21"/>
                <w:szCs w:val="21"/>
                <w:lang w:val="zh-CN"/>
              </w:rPr>
              <w:t>年</w:t>
            </w:r>
            <w:r>
              <w:rPr>
                <w:rFonts w:hint="eastAsia" w:ascii="宋体" w:hAnsi="宋体" w:eastAsia="宋体" w:cs="宋体"/>
                <w:b w:val="0"/>
                <w:bCs/>
                <w:color w:val="auto"/>
                <w:kern w:val="0"/>
                <w:sz w:val="21"/>
                <w:szCs w:val="21"/>
                <w:lang w:val="en-US" w:eastAsia="zh-CN"/>
              </w:rPr>
              <w:t>5</w:t>
            </w:r>
            <w:r>
              <w:rPr>
                <w:rFonts w:hint="eastAsia" w:ascii="宋体" w:hAnsi="宋体" w:eastAsia="宋体" w:cs="宋体"/>
                <w:b w:val="0"/>
                <w:bCs/>
                <w:color w:val="auto"/>
                <w:kern w:val="0"/>
                <w:sz w:val="21"/>
                <w:szCs w:val="21"/>
                <w:lang w:val="zh-CN"/>
              </w:rPr>
              <w:t>月、</w:t>
            </w:r>
            <w:r>
              <w:rPr>
                <w:rFonts w:hint="eastAsia" w:ascii="宋体" w:hAnsi="宋体" w:eastAsia="宋体" w:cs="宋体"/>
                <w:b w:val="0"/>
                <w:bCs/>
                <w:color w:val="auto"/>
                <w:kern w:val="0"/>
                <w:sz w:val="21"/>
                <w:szCs w:val="21"/>
                <w:lang w:val="en-US" w:eastAsia="zh-CN"/>
              </w:rPr>
              <w:t>2024年6月、</w:t>
            </w:r>
            <w:r>
              <w:rPr>
                <w:rFonts w:hint="eastAsia" w:ascii="宋体" w:hAnsi="宋体" w:eastAsia="宋体" w:cs="宋体"/>
                <w:b w:val="0"/>
                <w:bCs/>
                <w:color w:val="auto"/>
                <w:kern w:val="0"/>
                <w:sz w:val="21"/>
                <w:szCs w:val="21"/>
                <w:lang w:val="zh-CN"/>
              </w:rPr>
              <w:t>202</w:t>
            </w:r>
            <w:r>
              <w:rPr>
                <w:rFonts w:hint="eastAsia" w:ascii="宋体" w:hAnsi="宋体" w:eastAsia="宋体" w:cs="宋体"/>
                <w:b w:val="0"/>
                <w:bCs/>
                <w:color w:val="auto"/>
                <w:kern w:val="0"/>
                <w:sz w:val="21"/>
                <w:szCs w:val="21"/>
                <w:lang w:val="en-US" w:eastAsia="zh-CN"/>
              </w:rPr>
              <w:t>4</w:t>
            </w:r>
            <w:r>
              <w:rPr>
                <w:rFonts w:hint="eastAsia" w:ascii="宋体" w:hAnsi="宋体" w:eastAsia="宋体" w:cs="宋体"/>
                <w:b w:val="0"/>
                <w:bCs/>
                <w:color w:val="auto"/>
                <w:kern w:val="0"/>
                <w:sz w:val="21"/>
                <w:szCs w:val="21"/>
                <w:lang w:val="zh-CN"/>
              </w:rPr>
              <w:t>年</w:t>
            </w:r>
            <w:r>
              <w:rPr>
                <w:rFonts w:hint="eastAsia" w:ascii="宋体" w:hAnsi="宋体" w:eastAsia="宋体" w:cs="宋体"/>
                <w:b w:val="0"/>
                <w:bCs/>
                <w:color w:val="auto"/>
                <w:kern w:val="0"/>
                <w:sz w:val="21"/>
                <w:szCs w:val="21"/>
                <w:lang w:val="en-US" w:eastAsia="zh-CN"/>
              </w:rPr>
              <w:t>7</w:t>
            </w:r>
            <w:r>
              <w:rPr>
                <w:rFonts w:hint="eastAsia" w:ascii="宋体" w:hAnsi="宋体" w:eastAsia="宋体" w:cs="宋体"/>
                <w:b w:val="0"/>
                <w:bCs/>
                <w:color w:val="auto"/>
                <w:kern w:val="0"/>
                <w:sz w:val="21"/>
                <w:szCs w:val="21"/>
                <w:lang w:val="zh-CN"/>
              </w:rPr>
              <w:t>月）</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val="zh-CN" w:eastAsia="zh-CN"/>
              </w:rPr>
              <w:t>为其缴纳的社保证明复印件，身份证、劳动合同、资格证书[学历证书/职称证/执业/职业资格证/岗位证书]、社保证明的人员名称需一致时才统计得分，不提供或人员名称不一致不得分。</w:t>
            </w:r>
          </w:p>
          <w:p w14:paraId="2913ACF6">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val="zh-CN" w:eastAsia="zh-CN"/>
              </w:rPr>
              <w:t>）</w:t>
            </w:r>
            <w:r>
              <w:rPr>
                <w:rFonts w:hint="eastAsia" w:ascii="宋体" w:hAnsi="宋体" w:eastAsia="宋体" w:cs="宋体"/>
                <w:color w:val="auto"/>
                <w:sz w:val="21"/>
                <w:szCs w:val="21"/>
                <w:lang w:val="en-US" w:eastAsia="zh-CN"/>
              </w:rPr>
              <w:t>第（2）项评审项中同一人员只能进行一次得分，不重复得分。</w:t>
            </w:r>
          </w:p>
        </w:tc>
        <w:tc>
          <w:tcPr>
            <w:tcW w:w="465" w:type="pct"/>
            <w:vMerge w:val="continue"/>
            <w:tcBorders>
              <w:left w:val="single" w:color="auto" w:sz="4" w:space="0"/>
              <w:bottom w:val="single" w:color="auto" w:sz="4" w:space="0"/>
              <w:right w:val="single" w:color="auto" w:sz="4" w:space="0"/>
            </w:tcBorders>
            <w:vAlign w:val="center"/>
          </w:tcPr>
          <w:p w14:paraId="46637036">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lang w:val="en-US" w:eastAsia="zh-CN"/>
              </w:rPr>
            </w:pPr>
          </w:p>
        </w:tc>
      </w:tr>
      <w:tr w14:paraId="477D6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6" w:type="pct"/>
            <w:tcBorders>
              <w:top w:val="single" w:color="auto" w:sz="4" w:space="0"/>
              <w:left w:val="single" w:color="auto" w:sz="4" w:space="0"/>
              <w:bottom w:val="single" w:color="auto" w:sz="4" w:space="0"/>
              <w:right w:val="single" w:color="auto" w:sz="4" w:space="0"/>
            </w:tcBorders>
            <w:vAlign w:val="center"/>
          </w:tcPr>
          <w:p w14:paraId="61B86DE2">
            <w:pPr>
              <w:keepNext w:val="0"/>
              <w:keepLines w:val="0"/>
              <w:suppressLineNumbers w:val="0"/>
              <w:spacing w:before="0" w:beforeAutospacing="0" w:after="0" w:afterAutospacing="0" w:line="360" w:lineRule="auto"/>
              <w:ind w:left="0" w:right="0"/>
              <w:jc w:val="center"/>
              <w:outlineLvl w:val="9"/>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583" w:type="pct"/>
            <w:tcBorders>
              <w:top w:val="single" w:color="auto" w:sz="4" w:space="0"/>
              <w:left w:val="single" w:color="auto" w:sz="4" w:space="0"/>
              <w:bottom w:val="single" w:color="auto" w:sz="4" w:space="0"/>
              <w:right w:val="single" w:color="auto" w:sz="4" w:space="0"/>
            </w:tcBorders>
            <w:vAlign w:val="center"/>
          </w:tcPr>
          <w:p w14:paraId="1CD31F37">
            <w:pPr>
              <w:keepNext w:val="0"/>
              <w:keepLines w:val="0"/>
              <w:suppressLineNumbers w:val="0"/>
              <w:spacing w:before="0" w:beforeAutospacing="0" w:after="0" w:afterAutospacing="0" w:line="360" w:lineRule="auto"/>
              <w:ind w:left="0" w:right="0"/>
              <w:jc w:val="center"/>
              <w:outlineLvl w:val="9"/>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项目正式投产时间</w:t>
            </w:r>
          </w:p>
        </w:tc>
        <w:tc>
          <w:tcPr>
            <w:tcW w:w="3585" w:type="pct"/>
            <w:tcBorders>
              <w:top w:val="single" w:color="auto" w:sz="4" w:space="0"/>
              <w:left w:val="single" w:color="auto" w:sz="4" w:space="0"/>
              <w:bottom w:val="single" w:color="auto" w:sz="4" w:space="0"/>
              <w:right w:val="single" w:color="auto" w:sz="4" w:space="0"/>
            </w:tcBorders>
          </w:tcPr>
          <w:p w14:paraId="53ACB7F2">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rPr>
            </w:pPr>
            <w:r>
              <w:rPr>
                <w:rFonts w:hint="eastAsia" w:ascii="宋体" w:hAnsi="宋体" w:eastAsia="宋体" w:cs="宋体"/>
                <w:color w:val="auto"/>
                <w:sz w:val="21"/>
                <w:szCs w:val="21"/>
              </w:rPr>
              <w:t>根据</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承诺本项目正式投产时间进行评审，本小项满分</w:t>
            </w:r>
            <w:r>
              <w:rPr>
                <w:rFonts w:hint="eastAsia" w:ascii="宋体" w:hAnsi="宋体" w:cs="宋体"/>
                <w:color w:val="auto"/>
                <w:sz w:val="21"/>
                <w:szCs w:val="21"/>
                <w:lang w:val="en-US" w:eastAsia="zh-CN"/>
              </w:rPr>
              <w:t>9</w:t>
            </w:r>
            <w:r>
              <w:rPr>
                <w:rFonts w:hint="eastAsia" w:ascii="宋体" w:hAnsi="宋体" w:eastAsia="宋体" w:cs="宋体"/>
                <w:color w:val="auto"/>
                <w:sz w:val="21"/>
                <w:szCs w:val="21"/>
              </w:rPr>
              <w:t>分。</w:t>
            </w:r>
          </w:p>
          <w:p w14:paraId="07338AC7">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rPr>
            </w:pPr>
            <w:r>
              <w:rPr>
                <w:rFonts w:hint="eastAsia" w:ascii="宋体" w:hAnsi="宋体" w:eastAsia="宋体" w:cs="宋体"/>
                <w:color w:val="auto"/>
                <w:sz w:val="21"/>
                <w:szCs w:val="21"/>
              </w:rPr>
              <w:t>（1）正式投产时间≤10天的，得</w:t>
            </w:r>
            <w:r>
              <w:rPr>
                <w:rFonts w:hint="eastAsia" w:ascii="宋体" w:hAnsi="宋体" w:cs="宋体"/>
                <w:color w:val="auto"/>
                <w:sz w:val="21"/>
                <w:szCs w:val="21"/>
                <w:lang w:val="en-US" w:eastAsia="zh-CN"/>
              </w:rPr>
              <w:t>9</w:t>
            </w:r>
            <w:r>
              <w:rPr>
                <w:rFonts w:hint="eastAsia" w:ascii="宋体" w:hAnsi="宋体" w:eastAsia="宋体" w:cs="宋体"/>
                <w:color w:val="auto"/>
                <w:sz w:val="21"/>
                <w:szCs w:val="21"/>
              </w:rPr>
              <w:t>分；</w:t>
            </w:r>
          </w:p>
          <w:p w14:paraId="0228E9FE">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rPr>
            </w:pPr>
            <w:r>
              <w:rPr>
                <w:rFonts w:hint="eastAsia" w:ascii="宋体" w:hAnsi="宋体" w:eastAsia="宋体" w:cs="宋体"/>
                <w:color w:val="auto"/>
                <w:sz w:val="21"/>
                <w:szCs w:val="21"/>
              </w:rPr>
              <w:t>（2）10天＜正式投产时间≤20天的，得</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p>
          <w:p w14:paraId="50D6E108">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rPr>
            </w:pPr>
            <w:r>
              <w:rPr>
                <w:rFonts w:hint="eastAsia" w:ascii="宋体" w:hAnsi="宋体" w:eastAsia="宋体" w:cs="宋体"/>
                <w:color w:val="auto"/>
                <w:sz w:val="21"/>
                <w:szCs w:val="21"/>
              </w:rPr>
              <w:t>（3）20天＜正式投产时间</w:t>
            </w:r>
            <w:r>
              <w:rPr>
                <w:rFonts w:hint="eastAsia" w:ascii="宋体" w:hAnsi="宋体" w:cs="宋体"/>
                <w:color w:val="auto"/>
                <w:sz w:val="21"/>
                <w:szCs w:val="21"/>
                <w:lang w:val="en-US" w:eastAsia="zh-CN"/>
              </w:rPr>
              <w:t>＜</w:t>
            </w:r>
            <w:r>
              <w:rPr>
                <w:rFonts w:hint="eastAsia" w:ascii="宋体" w:hAnsi="宋体" w:eastAsia="宋体" w:cs="宋体"/>
                <w:color w:val="auto"/>
                <w:sz w:val="21"/>
                <w:szCs w:val="21"/>
              </w:rPr>
              <w:t>30天的，得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w:t>
            </w:r>
          </w:p>
          <w:p w14:paraId="7CD85D02">
            <w:pPr>
              <w:keepNext w:val="0"/>
              <w:keepLines w:val="0"/>
              <w:suppressLineNumbers w:val="0"/>
              <w:spacing w:before="0" w:beforeAutospacing="0" w:after="0" w:afterAutospacing="0" w:line="360" w:lineRule="auto"/>
              <w:ind w:left="0" w:right="0"/>
              <w:rPr>
                <w:rFonts w:hint="default" w:ascii="宋体" w:hAnsi="宋体" w:eastAsia="宋体" w:cs="宋体"/>
                <w:b/>
                <w:bCs/>
                <w:color w:val="auto"/>
                <w:sz w:val="21"/>
                <w:szCs w:val="21"/>
                <w:lang w:val="zh-CN"/>
              </w:rPr>
            </w:pPr>
            <w:r>
              <w:rPr>
                <w:rFonts w:hint="eastAsia" w:ascii="宋体" w:hAnsi="宋体" w:eastAsia="宋体" w:cs="宋体"/>
                <w:b/>
                <w:bCs/>
                <w:color w:val="auto"/>
                <w:sz w:val="21"/>
                <w:szCs w:val="21"/>
                <w:lang w:val="zh-CN"/>
              </w:rPr>
              <w:t>备注：</w:t>
            </w:r>
          </w:p>
          <w:p w14:paraId="4E63C7BE">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rPr>
            </w:pPr>
            <w:r>
              <w:rPr>
                <w:rFonts w:hint="eastAsia" w:ascii="宋体" w:hAnsi="宋体" w:eastAsia="宋体" w:cs="宋体"/>
                <w:color w:val="auto"/>
                <w:sz w:val="21"/>
                <w:szCs w:val="21"/>
                <w:lang w:val="zh-CN"/>
              </w:rPr>
              <w:t>（</w:t>
            </w:r>
            <w:r>
              <w:rPr>
                <w:rFonts w:hint="eastAsia" w:ascii="宋体" w:hAnsi="宋体" w:eastAsia="宋体" w:cs="宋体"/>
                <w:color w:val="auto"/>
                <w:sz w:val="21"/>
                <w:szCs w:val="21"/>
              </w:rPr>
              <w:t>1</w:t>
            </w:r>
            <w:r>
              <w:rPr>
                <w:rFonts w:hint="eastAsia" w:ascii="宋体" w:hAnsi="宋体" w:eastAsia="宋体" w:cs="宋体"/>
                <w:color w:val="auto"/>
                <w:sz w:val="21"/>
                <w:szCs w:val="21"/>
                <w:lang w:val="zh-CN"/>
              </w:rPr>
              <w:t>）</w:t>
            </w:r>
            <w:r>
              <w:rPr>
                <w:rFonts w:hint="eastAsia" w:ascii="宋体" w:hAnsi="宋体" w:eastAsia="宋体" w:cs="宋体"/>
                <w:color w:val="auto"/>
                <w:sz w:val="21"/>
                <w:szCs w:val="21"/>
              </w:rPr>
              <w:t>根据《项目正式投产时间承诺表》对应的内容进行评审。</w:t>
            </w:r>
          </w:p>
          <w:p w14:paraId="778ABDF7">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rPr>
            </w:pPr>
            <w:r>
              <w:rPr>
                <w:rFonts w:hint="eastAsia" w:ascii="宋体" w:hAnsi="宋体" w:eastAsia="宋体" w:cs="宋体"/>
                <w:color w:val="auto"/>
                <w:sz w:val="21"/>
                <w:szCs w:val="21"/>
              </w:rPr>
              <w:t>（2）“正式投产”是指污泥脱水减量化产能连续三天稳定达到该处理点设计规模产能的70%或以上，减量化后的半干化污泥含水率不高于55%。</w:t>
            </w:r>
          </w:p>
          <w:p w14:paraId="398025C7">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rPr>
              <w:t>（3）未填或漏填或未按要求提供《项目正式投产时间承诺表》的，</w:t>
            </w:r>
            <w:r>
              <w:rPr>
                <w:rFonts w:hint="eastAsia" w:ascii="宋体" w:hAnsi="宋体" w:eastAsia="宋体" w:cs="宋体"/>
                <w:color w:val="auto"/>
                <w:sz w:val="21"/>
                <w:szCs w:val="21"/>
                <w:lang w:val="en-US" w:eastAsia="zh-CN"/>
              </w:rPr>
              <w:t>评审</w:t>
            </w:r>
            <w:r>
              <w:rPr>
                <w:rFonts w:hint="eastAsia" w:ascii="宋体" w:hAnsi="宋体" w:eastAsia="宋体" w:cs="宋体"/>
                <w:color w:val="auto"/>
                <w:sz w:val="21"/>
                <w:szCs w:val="21"/>
              </w:rPr>
              <w:t>时将不予考虑。</w:t>
            </w:r>
          </w:p>
        </w:tc>
        <w:tc>
          <w:tcPr>
            <w:tcW w:w="465" w:type="pct"/>
            <w:tcBorders>
              <w:top w:val="single" w:color="auto" w:sz="4" w:space="0"/>
              <w:left w:val="single" w:color="auto" w:sz="4" w:space="0"/>
              <w:bottom w:val="single" w:color="auto" w:sz="4" w:space="0"/>
              <w:right w:val="single" w:color="auto" w:sz="4" w:space="0"/>
            </w:tcBorders>
            <w:vAlign w:val="center"/>
          </w:tcPr>
          <w:p w14:paraId="033BED1F">
            <w:pPr>
              <w:keepNext w:val="0"/>
              <w:keepLines w:val="0"/>
              <w:suppressLineNumbers w:val="0"/>
              <w:spacing w:before="0" w:beforeAutospacing="0" w:after="0" w:afterAutospacing="0" w:line="360" w:lineRule="auto"/>
              <w:ind w:left="0" w:right="0"/>
              <w:jc w:val="center"/>
              <w:outlineLvl w:val="9"/>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9</w:t>
            </w:r>
            <w:r>
              <w:rPr>
                <w:rFonts w:hint="eastAsia" w:ascii="宋体" w:hAnsi="宋体" w:eastAsia="宋体" w:cs="宋体"/>
                <w:color w:val="auto"/>
                <w:sz w:val="21"/>
                <w:szCs w:val="21"/>
                <w:lang w:val="en-US" w:eastAsia="zh-CN"/>
              </w:rPr>
              <w:t>分</w:t>
            </w:r>
          </w:p>
        </w:tc>
      </w:tr>
      <w:tr w14:paraId="76C7C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6" w:type="pct"/>
            <w:tcBorders>
              <w:left w:val="single" w:color="auto" w:sz="4" w:space="0"/>
              <w:right w:val="single" w:color="auto" w:sz="4" w:space="0"/>
            </w:tcBorders>
            <w:vAlign w:val="center"/>
          </w:tcPr>
          <w:p w14:paraId="28DB5342">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p>
        </w:tc>
        <w:tc>
          <w:tcPr>
            <w:tcW w:w="583" w:type="pct"/>
            <w:tcBorders>
              <w:left w:val="single" w:color="auto" w:sz="4" w:space="0"/>
              <w:right w:val="single" w:color="auto" w:sz="4" w:space="0"/>
            </w:tcBorders>
            <w:vAlign w:val="center"/>
          </w:tcPr>
          <w:p w14:paraId="3CA58ADA">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进度计划及保障措施</w:t>
            </w:r>
          </w:p>
        </w:tc>
        <w:tc>
          <w:tcPr>
            <w:tcW w:w="3585" w:type="pct"/>
            <w:tcBorders>
              <w:top w:val="single" w:color="auto" w:sz="4" w:space="0"/>
              <w:left w:val="single" w:color="auto" w:sz="4" w:space="0"/>
              <w:right w:val="single" w:color="auto" w:sz="4" w:space="0"/>
            </w:tcBorders>
          </w:tcPr>
          <w:p w14:paraId="53395628">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横向比较各供应商进度计划及保障措施，包括进度计划和保障措施</w:t>
            </w:r>
            <w:r>
              <w:rPr>
                <w:rFonts w:hint="eastAsia" w:ascii="宋体" w:hAnsi="宋体" w:eastAsia="宋体" w:cs="宋体"/>
                <w:color w:val="auto"/>
                <w:sz w:val="21"/>
                <w:szCs w:val="21"/>
              </w:rPr>
              <w:t>切合实际的程度、详细具体的程度</w:t>
            </w:r>
            <w:r>
              <w:rPr>
                <w:rFonts w:hint="eastAsia" w:ascii="宋体" w:hAnsi="宋体" w:eastAsia="宋体" w:cs="宋体"/>
                <w:color w:val="auto"/>
                <w:sz w:val="21"/>
                <w:szCs w:val="21"/>
                <w:lang w:val="en-US" w:eastAsia="zh-CN"/>
              </w:rPr>
              <w:t>及</w:t>
            </w:r>
            <w:r>
              <w:rPr>
                <w:rFonts w:hint="eastAsia" w:ascii="宋体" w:hAnsi="宋体" w:eastAsia="宋体" w:cs="宋体"/>
                <w:color w:val="auto"/>
                <w:sz w:val="21"/>
                <w:szCs w:val="21"/>
              </w:rPr>
              <w:t>可操作性情况进行评审</w:t>
            </w:r>
            <w:r>
              <w:rPr>
                <w:rFonts w:hint="eastAsia" w:ascii="宋体" w:hAnsi="宋体" w:eastAsia="宋体" w:cs="宋体"/>
                <w:color w:val="auto"/>
                <w:sz w:val="21"/>
                <w:szCs w:val="21"/>
                <w:lang w:eastAsia="zh-CN"/>
              </w:rPr>
              <w:t>：</w:t>
            </w:r>
          </w:p>
          <w:p w14:paraId="44EE8579">
            <w:pPr>
              <w:keepNext w:val="0"/>
              <w:keepLines w:val="0"/>
              <w:suppressLineNumbers w:val="0"/>
              <w:spacing w:before="0" w:beforeAutospacing="0" w:after="0" w:afterAutospacing="0" w:line="360" w:lineRule="auto"/>
              <w:ind w:left="0" w:right="0" w:firstLine="420" w:firstLineChars="200"/>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优[</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：进度计划详细、具体，具有较高的可行性和可操作性，保障措施全面</w:t>
            </w:r>
            <w:r>
              <w:rPr>
                <w:rFonts w:hint="eastAsia" w:ascii="宋体" w:hAnsi="宋体" w:eastAsia="宋体" w:cs="宋体"/>
                <w:color w:val="auto"/>
                <w:sz w:val="21"/>
                <w:szCs w:val="21"/>
                <w:lang w:val="en-US" w:eastAsia="zh-CN"/>
              </w:rPr>
              <w:t>完善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非常详细、</w:t>
            </w:r>
            <w:r>
              <w:rPr>
                <w:rFonts w:hint="eastAsia" w:ascii="宋体" w:hAnsi="宋体" w:eastAsia="宋体" w:cs="宋体"/>
                <w:color w:val="auto"/>
                <w:sz w:val="21"/>
                <w:szCs w:val="21"/>
                <w:lang w:eastAsia="zh-CN"/>
              </w:rPr>
              <w:t>具体，组织保障措施得力</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能确保项目按承诺正式投产的</w:t>
            </w:r>
            <w:r>
              <w:rPr>
                <w:rFonts w:hint="eastAsia" w:ascii="宋体" w:hAnsi="宋体" w:eastAsia="宋体" w:cs="宋体"/>
                <w:color w:val="auto"/>
                <w:sz w:val="21"/>
                <w:szCs w:val="21"/>
                <w:lang w:eastAsia="zh-CN"/>
              </w:rPr>
              <w:t>。</w:t>
            </w:r>
          </w:p>
          <w:p w14:paraId="588265BC">
            <w:pPr>
              <w:keepNext w:val="0"/>
              <w:keepLines w:val="0"/>
              <w:suppressLineNumbers w:val="0"/>
              <w:spacing w:before="0" w:beforeAutospacing="0" w:after="0" w:afterAutospacing="0" w:line="360" w:lineRule="auto"/>
              <w:ind w:left="0" w:right="0" w:firstLine="420" w:firstLineChars="200"/>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良（</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：进度计划较为详细，有一定的可行性和可操作性，</w:t>
            </w:r>
          </w:p>
          <w:p w14:paraId="11DF721D">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保障措施较全面、</w:t>
            </w:r>
            <w:r>
              <w:rPr>
                <w:rFonts w:hint="eastAsia" w:ascii="宋体" w:hAnsi="宋体" w:eastAsia="宋体" w:cs="宋体"/>
                <w:color w:val="auto"/>
                <w:sz w:val="21"/>
                <w:szCs w:val="21"/>
                <w:lang w:val="en-US" w:eastAsia="zh-CN"/>
              </w:rPr>
              <w:t>较详细，</w:t>
            </w:r>
            <w:r>
              <w:rPr>
                <w:rFonts w:hint="eastAsia" w:ascii="宋体" w:hAnsi="宋体" w:eastAsia="宋体" w:cs="宋体"/>
                <w:color w:val="auto"/>
                <w:sz w:val="21"/>
                <w:szCs w:val="21"/>
                <w:lang w:eastAsia="zh-CN"/>
              </w:rPr>
              <w:t>组织保障措施较为得力。</w:t>
            </w:r>
          </w:p>
          <w:p w14:paraId="6FBBA022">
            <w:pPr>
              <w:keepNext w:val="0"/>
              <w:keepLines w:val="0"/>
              <w:suppressLineNumbers w:val="0"/>
              <w:spacing w:before="0" w:beforeAutospacing="0" w:after="0" w:afterAutospacing="0" w:line="360" w:lineRule="auto"/>
              <w:ind w:left="0" w:right="0"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中（</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：进度计划基本完整，可行性和可操作性一般，</w:t>
            </w:r>
            <w:r>
              <w:rPr>
                <w:rFonts w:hint="eastAsia" w:ascii="宋体" w:hAnsi="宋体" w:eastAsia="宋体" w:cs="宋体"/>
                <w:color w:val="auto"/>
                <w:sz w:val="21"/>
                <w:szCs w:val="21"/>
              </w:rPr>
              <w:t>保障措施不够全面和具体</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组织保障措施一般。</w:t>
            </w:r>
          </w:p>
          <w:p w14:paraId="4D47506E">
            <w:pPr>
              <w:keepNext w:val="0"/>
              <w:keepLines w:val="0"/>
              <w:suppressLineNumbers w:val="0"/>
              <w:spacing w:before="0" w:beforeAutospacing="0" w:after="0" w:afterAutospacing="0" w:line="360" w:lineRule="auto"/>
              <w:ind w:left="0" w:right="0" w:firstLine="420" w:firstLineChars="200"/>
              <w:outlineLvl w:val="9"/>
              <w:rPr>
                <w:rFonts w:hint="eastAsia"/>
                <w:color w:val="auto"/>
                <w:sz w:val="21"/>
                <w:szCs w:val="21"/>
                <w:lang w:eastAsia="zh-CN"/>
              </w:rPr>
            </w:pPr>
            <w:r>
              <w:rPr>
                <w:rFonts w:hint="eastAsia" w:ascii="宋体" w:hAnsi="宋体" w:eastAsia="宋体" w:cs="宋体"/>
                <w:color w:val="auto"/>
                <w:sz w:val="21"/>
                <w:szCs w:val="21"/>
              </w:rPr>
              <w:t>差（</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-0分]</w:t>
            </w:r>
            <w:r>
              <w:rPr>
                <w:rFonts w:hint="eastAsia" w:ascii="宋体" w:hAnsi="宋体" w:eastAsia="宋体" w:cs="宋体"/>
                <w:color w:val="auto"/>
                <w:sz w:val="21"/>
                <w:szCs w:val="21"/>
                <w:lang w:eastAsia="zh-CN"/>
              </w:rPr>
              <w:t>：进度计划不完整，可行性和可操作性</w:t>
            </w:r>
            <w:r>
              <w:rPr>
                <w:rFonts w:hint="eastAsia" w:ascii="宋体" w:hAnsi="宋体" w:eastAsia="宋体" w:cs="宋体"/>
                <w:color w:val="auto"/>
                <w:sz w:val="21"/>
                <w:szCs w:val="21"/>
                <w:lang w:val="en-US" w:eastAsia="zh-CN"/>
              </w:rPr>
              <w:t>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保障措施混乱</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严重不足。</w:t>
            </w:r>
          </w:p>
        </w:tc>
        <w:tc>
          <w:tcPr>
            <w:tcW w:w="465" w:type="pct"/>
            <w:tcBorders>
              <w:top w:val="single" w:color="auto" w:sz="4" w:space="0"/>
              <w:left w:val="single" w:color="auto" w:sz="4" w:space="0"/>
              <w:right w:val="single" w:color="auto" w:sz="4" w:space="0"/>
            </w:tcBorders>
            <w:vAlign w:val="center"/>
          </w:tcPr>
          <w:p w14:paraId="358DC3BF">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31A42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6" w:type="pct"/>
            <w:tcBorders>
              <w:left w:val="single" w:color="auto" w:sz="4" w:space="0"/>
              <w:bottom w:val="single" w:color="auto" w:sz="4" w:space="0"/>
              <w:right w:val="single" w:color="auto" w:sz="4" w:space="0"/>
            </w:tcBorders>
            <w:vAlign w:val="center"/>
          </w:tcPr>
          <w:p w14:paraId="18182D4A">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6</w:t>
            </w:r>
          </w:p>
        </w:tc>
        <w:tc>
          <w:tcPr>
            <w:tcW w:w="583" w:type="pct"/>
            <w:tcBorders>
              <w:left w:val="single" w:color="auto" w:sz="4" w:space="0"/>
              <w:bottom w:val="single" w:color="auto" w:sz="4" w:space="0"/>
              <w:right w:val="single" w:color="auto" w:sz="4" w:space="0"/>
            </w:tcBorders>
            <w:vAlign w:val="center"/>
          </w:tcPr>
          <w:p w14:paraId="498B0560">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应急预案和保障措施</w:t>
            </w:r>
          </w:p>
        </w:tc>
        <w:tc>
          <w:tcPr>
            <w:tcW w:w="3585" w:type="pct"/>
            <w:tcBorders>
              <w:left w:val="single" w:color="auto" w:sz="4" w:space="0"/>
              <w:bottom w:val="single" w:color="auto" w:sz="4" w:space="0"/>
              <w:right w:val="single" w:color="auto" w:sz="4" w:space="0"/>
            </w:tcBorders>
          </w:tcPr>
          <w:p w14:paraId="065F2E8F">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横向比较各</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应急预案和保障措施，包括针对污泥处理量突然增加、污泥处理设施意外停产和减产、生产事故应急处理、环境污染事故等的应急方案和保障措施切合实际的程度、详细具体的程度及可操作性情况进行评审</w:t>
            </w:r>
            <w:r>
              <w:rPr>
                <w:rFonts w:hint="eastAsia" w:ascii="宋体" w:hAnsi="宋体" w:eastAsia="宋体" w:cs="宋体"/>
                <w:color w:val="auto"/>
                <w:sz w:val="21"/>
                <w:szCs w:val="21"/>
                <w:lang w:eastAsia="zh-CN"/>
              </w:rPr>
              <w:t>：</w:t>
            </w:r>
          </w:p>
          <w:p w14:paraId="55CB460B">
            <w:pPr>
              <w:keepNext w:val="0"/>
              <w:keepLines w:val="0"/>
              <w:suppressLineNumbers w:val="0"/>
              <w:spacing w:before="0" w:beforeAutospacing="0" w:after="0" w:afterAutospacing="0" w:line="360" w:lineRule="auto"/>
              <w:ind w:left="0" w:right="0"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优[</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：应急预案</w:t>
            </w:r>
            <w:r>
              <w:rPr>
                <w:rFonts w:hint="eastAsia" w:ascii="宋体" w:hAnsi="宋体" w:eastAsia="宋体" w:cs="宋体"/>
                <w:color w:val="auto"/>
                <w:sz w:val="21"/>
                <w:szCs w:val="21"/>
                <w:lang w:val="en-US" w:eastAsia="zh-CN"/>
              </w:rPr>
              <w:t>有非常全面的紧急情况分析，并能针对紧急应急情况作出非常科学、合理及可操作性强的应对措施。</w:t>
            </w:r>
          </w:p>
          <w:p w14:paraId="5B807224">
            <w:pPr>
              <w:keepNext w:val="0"/>
              <w:keepLines w:val="0"/>
              <w:suppressLineNumbers w:val="0"/>
              <w:spacing w:before="0" w:beforeAutospacing="0" w:after="0" w:afterAutospacing="0" w:line="360" w:lineRule="auto"/>
              <w:ind w:left="0" w:right="0"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良（</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应急预案有较全面的紧急情况分析，并能针对紧急情况作出较科学、合理的应对措施。</w:t>
            </w:r>
          </w:p>
          <w:p w14:paraId="04BA255D">
            <w:pPr>
              <w:keepNext w:val="0"/>
              <w:keepLines w:val="0"/>
              <w:suppressLineNumbers w:val="0"/>
              <w:spacing w:before="0" w:beforeAutospacing="0" w:after="0" w:afterAutospacing="0" w:line="360" w:lineRule="auto"/>
              <w:ind w:left="0" w:right="0"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中（</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应急预案内容一般，有紧急情况分析，并能作出基本的应对措施</w:t>
            </w:r>
            <w:r>
              <w:rPr>
                <w:rFonts w:hint="eastAsia" w:ascii="宋体" w:hAnsi="宋体" w:eastAsia="宋体" w:cs="宋体"/>
                <w:color w:val="auto"/>
                <w:sz w:val="21"/>
                <w:szCs w:val="21"/>
                <w:lang w:eastAsia="zh-CN"/>
              </w:rPr>
              <w:t>。</w:t>
            </w:r>
          </w:p>
          <w:p w14:paraId="516B527D">
            <w:pPr>
              <w:pStyle w:val="2"/>
              <w:keepNext w:val="0"/>
              <w:keepLines w:val="0"/>
              <w:suppressLineNumbers w:val="0"/>
              <w:spacing w:before="0" w:beforeAutospacing="0" w:after="0" w:afterAutospacing="0"/>
              <w:ind w:left="0" w:firstLine="420" w:firstLineChars="200"/>
              <w:jc w:val="both"/>
              <w:rPr>
                <w:rFonts w:hint="eastAsia"/>
                <w:color w:val="auto"/>
                <w:sz w:val="21"/>
                <w:szCs w:val="21"/>
                <w:lang w:val="zh-CN"/>
              </w:rPr>
            </w:pPr>
            <w:r>
              <w:rPr>
                <w:rFonts w:hint="eastAsia" w:ascii="宋体" w:hAnsi="宋体" w:eastAsia="宋体" w:cs="宋体"/>
                <w:b w:val="0"/>
                <w:bCs w:val="0"/>
                <w:color w:val="auto"/>
                <w:kern w:val="2"/>
                <w:sz w:val="21"/>
                <w:szCs w:val="21"/>
                <w:lang w:val="en-US" w:eastAsia="zh-CN" w:bidi="ar-SA"/>
              </w:rPr>
              <w:t>差（1-0分]：应急预案内容不全面，有紧急情况分析，作出应对措施操作性差。</w:t>
            </w:r>
          </w:p>
        </w:tc>
        <w:tc>
          <w:tcPr>
            <w:tcW w:w="465" w:type="pct"/>
            <w:tcBorders>
              <w:left w:val="single" w:color="auto" w:sz="4" w:space="0"/>
              <w:bottom w:val="single" w:color="auto" w:sz="4" w:space="0"/>
              <w:right w:val="single" w:color="auto" w:sz="4" w:space="0"/>
            </w:tcBorders>
            <w:vAlign w:val="center"/>
          </w:tcPr>
          <w:p w14:paraId="46C09D29">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zh-CN"/>
              </w:rPr>
              <w:t>分</w:t>
            </w:r>
          </w:p>
        </w:tc>
      </w:tr>
    </w:tbl>
    <w:p w14:paraId="428CA25D">
      <w:pPr>
        <w:autoSpaceDE w:val="0"/>
        <w:autoSpaceDN w:val="0"/>
        <w:adjustRightInd w:val="0"/>
        <w:snapToGrid w:val="0"/>
        <w:spacing w:line="360" w:lineRule="auto"/>
        <w:ind w:left="480" w:leftChars="200" w:firstLine="420" w:firstLineChars="200"/>
        <w:outlineLvl w:val="9"/>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备注：</w:t>
      </w:r>
    </w:p>
    <w:p w14:paraId="47A15AE1">
      <w:pPr>
        <w:autoSpaceDE w:val="0"/>
        <w:autoSpaceDN w:val="0"/>
        <w:adjustRightInd w:val="0"/>
        <w:spacing w:line="360" w:lineRule="auto"/>
        <w:ind w:left="480" w:leftChars="200" w:firstLine="420" w:firstLineChars="200"/>
        <w:outlineLvl w:val="9"/>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①表中“[”代表闭区间，“]”代表闭区间，如[0，1]代表该分数段范围为大于等于0且小于等于1。表中“（”代表开区间，“]”代表闭区间，如（1，2]代表该分数段范围为大于1且小于等于2。</w:t>
      </w:r>
    </w:p>
    <w:p w14:paraId="3C340B81">
      <w:pPr>
        <w:autoSpaceDE w:val="0"/>
        <w:autoSpaceDN w:val="0"/>
        <w:adjustRightInd w:val="0"/>
        <w:spacing w:line="360" w:lineRule="auto"/>
        <w:ind w:left="480" w:leftChars="200" w:firstLine="420" w:firstLineChars="200"/>
        <w:outlineLvl w:val="9"/>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②分数出现小数点，保留小数点后2位，从小数点后第3位四舍五入。</w:t>
      </w:r>
    </w:p>
    <w:p w14:paraId="1BE900C0">
      <w:pPr>
        <w:autoSpaceDE w:val="0"/>
        <w:autoSpaceDN w:val="0"/>
        <w:adjustRightInd w:val="0"/>
        <w:spacing w:line="360" w:lineRule="auto"/>
        <w:ind w:left="480" w:leftChars="200" w:firstLine="422" w:firstLineChars="200"/>
        <w:outlineLvl w:val="9"/>
        <w:rPr>
          <w:rFonts w:hint="eastAsia" w:ascii="宋体" w:hAnsi="宋体" w:eastAsia="宋体" w:cs="宋体"/>
          <w:b/>
          <w:color w:val="000000"/>
          <w:sz w:val="21"/>
          <w:szCs w:val="21"/>
          <w:lang w:val="zh-CN"/>
        </w:rPr>
      </w:pPr>
      <w:r>
        <w:rPr>
          <w:rFonts w:hint="eastAsia" w:ascii="宋体" w:hAnsi="宋体" w:eastAsia="宋体" w:cs="宋体"/>
          <w:b/>
          <w:color w:val="000000"/>
          <w:sz w:val="21"/>
          <w:szCs w:val="21"/>
          <w:lang w:val="zh-CN"/>
        </w:rPr>
        <w:t>③上述“评分项目”中按“优、良、中、差”区间评审的，若低于该项满分分值60%时，</w:t>
      </w:r>
      <w:r>
        <w:rPr>
          <w:rFonts w:hint="eastAsia" w:ascii="宋体" w:hAnsi="宋体" w:eastAsia="宋体" w:cs="宋体"/>
          <w:b/>
          <w:color w:val="000000"/>
          <w:sz w:val="21"/>
          <w:szCs w:val="21"/>
          <w:lang w:val="en-US" w:eastAsia="zh-CN"/>
        </w:rPr>
        <w:t>磋商小组</w:t>
      </w:r>
      <w:r>
        <w:rPr>
          <w:rFonts w:hint="eastAsia" w:ascii="宋体" w:hAnsi="宋体" w:cs="宋体"/>
          <w:b/>
          <w:color w:val="000000"/>
          <w:sz w:val="21"/>
          <w:szCs w:val="21"/>
          <w:lang w:val="en-US" w:eastAsia="zh-CN"/>
        </w:rPr>
        <w:t>成员</w:t>
      </w:r>
      <w:r>
        <w:rPr>
          <w:rFonts w:hint="eastAsia" w:ascii="宋体" w:hAnsi="宋体" w:eastAsia="宋体" w:cs="宋体"/>
          <w:b/>
          <w:color w:val="000000"/>
          <w:sz w:val="21"/>
          <w:szCs w:val="21"/>
          <w:lang w:val="zh-CN"/>
        </w:rPr>
        <w:t>需详细填写该项低分的充分理由，例如：该项目内容存在违反国家有关标准和规范或与项目实际不符等原则性问题。</w:t>
      </w:r>
    </w:p>
    <w:p w14:paraId="45D7C09D">
      <w:pPr>
        <w:autoSpaceDE w:val="0"/>
        <w:autoSpaceDN w:val="0"/>
        <w:adjustRightInd w:val="0"/>
        <w:spacing w:line="360" w:lineRule="auto"/>
        <w:ind w:left="480" w:leftChars="200" w:firstLine="422" w:firstLineChars="200"/>
        <w:outlineLvl w:val="9"/>
        <w:rPr>
          <w:rFonts w:hint="eastAsia" w:ascii="宋体" w:hAnsi="宋体" w:eastAsia="宋体" w:cs="宋体"/>
          <w:kern w:val="0"/>
          <w:sz w:val="21"/>
          <w:szCs w:val="21"/>
        </w:rPr>
      </w:pPr>
      <w:r>
        <w:rPr>
          <w:rFonts w:hint="eastAsia" w:ascii="宋体" w:hAnsi="宋体" w:eastAsia="宋体" w:cs="宋体"/>
          <w:b/>
          <w:sz w:val="21"/>
          <w:szCs w:val="21"/>
        </w:rPr>
        <w:t>④</w:t>
      </w:r>
      <w:r>
        <w:rPr>
          <w:rFonts w:hint="eastAsia" w:ascii="宋体" w:hAnsi="宋体" w:eastAsia="宋体" w:cs="宋体"/>
          <w:b/>
          <w:kern w:val="0"/>
          <w:sz w:val="21"/>
          <w:szCs w:val="21"/>
          <w:lang w:val="zh-CN"/>
        </w:rPr>
        <w:t>对</w:t>
      </w:r>
      <w:r>
        <w:rPr>
          <w:rFonts w:hint="eastAsia" w:ascii="宋体" w:hAnsi="宋体" w:eastAsia="宋体" w:cs="宋体"/>
          <w:b/>
          <w:kern w:val="0"/>
          <w:sz w:val="21"/>
          <w:szCs w:val="21"/>
        </w:rPr>
        <w:t>于各</w:t>
      </w:r>
      <w:r>
        <w:rPr>
          <w:rFonts w:hint="eastAsia" w:ascii="宋体" w:hAnsi="宋体" w:eastAsia="宋体" w:cs="宋体"/>
          <w:b/>
          <w:kern w:val="0"/>
          <w:sz w:val="21"/>
          <w:szCs w:val="21"/>
          <w:lang w:val="en-US" w:eastAsia="zh-CN"/>
        </w:rPr>
        <w:t>磋商小组</w:t>
      </w:r>
      <w:r>
        <w:rPr>
          <w:rFonts w:hint="eastAsia" w:ascii="宋体" w:hAnsi="宋体" w:eastAsia="宋体" w:cs="宋体"/>
          <w:b/>
          <w:kern w:val="0"/>
          <w:sz w:val="21"/>
          <w:szCs w:val="21"/>
          <w:lang w:val="zh-CN"/>
        </w:rPr>
        <w:t>成员</w:t>
      </w:r>
      <w:r>
        <w:rPr>
          <w:rFonts w:hint="eastAsia" w:ascii="宋体" w:hAnsi="宋体" w:eastAsia="宋体" w:cs="宋体"/>
          <w:b/>
          <w:kern w:val="0"/>
          <w:sz w:val="21"/>
          <w:szCs w:val="21"/>
        </w:rPr>
        <w:t>存在客观分打分不一致时</w:t>
      </w:r>
      <w:r>
        <w:rPr>
          <w:rFonts w:hint="eastAsia" w:ascii="宋体" w:hAnsi="宋体" w:eastAsia="宋体" w:cs="宋体"/>
          <w:b/>
          <w:kern w:val="0"/>
          <w:sz w:val="21"/>
          <w:szCs w:val="21"/>
          <w:lang w:val="zh-CN"/>
        </w:rPr>
        <w:t>,根据少数服</w:t>
      </w:r>
      <w:r>
        <w:rPr>
          <w:rFonts w:hint="eastAsia" w:ascii="宋体" w:hAnsi="宋体" w:eastAsia="宋体" w:cs="宋体"/>
          <w:b/>
          <w:kern w:val="0"/>
          <w:sz w:val="21"/>
          <w:szCs w:val="21"/>
        </w:rPr>
        <w:t>从</w:t>
      </w:r>
      <w:r>
        <w:rPr>
          <w:rFonts w:hint="eastAsia" w:ascii="宋体" w:hAnsi="宋体" w:eastAsia="宋体" w:cs="宋体"/>
          <w:b/>
          <w:kern w:val="0"/>
          <w:sz w:val="21"/>
          <w:szCs w:val="21"/>
          <w:lang w:val="zh-CN"/>
        </w:rPr>
        <w:t>多数的原则，以记名方式表决</w:t>
      </w:r>
      <w:r>
        <w:rPr>
          <w:rFonts w:hint="eastAsia" w:ascii="宋体" w:hAnsi="宋体" w:eastAsia="宋体" w:cs="宋体"/>
          <w:b/>
          <w:kern w:val="0"/>
          <w:sz w:val="21"/>
          <w:szCs w:val="21"/>
        </w:rPr>
        <w:t>确定该项的评分。</w:t>
      </w:r>
    </w:p>
    <w:p w14:paraId="0114ABF0">
      <w:pPr>
        <w:tabs>
          <w:tab w:val="left" w:pos="1701"/>
        </w:tabs>
        <w:autoSpaceDE w:val="0"/>
        <w:autoSpaceDN w:val="0"/>
        <w:adjustRightInd w:val="0"/>
        <w:spacing w:line="360" w:lineRule="auto"/>
        <w:outlineLvl w:val="9"/>
        <w:rPr>
          <w:rFonts w:hint="eastAsia" w:ascii="宋体" w:hAnsi="宋体" w:eastAsia="宋体" w:cs="宋体"/>
          <w:b/>
          <w:sz w:val="21"/>
          <w:szCs w:val="21"/>
          <w:lang w:val="zh-CN"/>
        </w:rPr>
      </w:pPr>
      <w:r>
        <w:rPr>
          <w:rFonts w:hint="eastAsia" w:ascii="宋体" w:hAnsi="宋体" w:eastAsia="宋体" w:cs="宋体"/>
          <w:b/>
          <w:sz w:val="21"/>
          <w:szCs w:val="21"/>
          <w:lang w:val="zh-CN"/>
        </w:rPr>
        <w:t>（3）价格评分方法</w:t>
      </w:r>
    </w:p>
    <w:p w14:paraId="6D08716C">
      <w:pPr>
        <w:autoSpaceDN w:val="0"/>
        <w:adjustRightInd w:val="0"/>
        <w:snapToGrid w:val="0"/>
        <w:spacing w:line="360" w:lineRule="auto"/>
        <w:ind w:left="450" w:leftChars="100" w:hanging="210" w:hangingChars="100"/>
        <w:outlineLvl w:val="9"/>
        <w:rPr>
          <w:rFonts w:hint="eastAsia" w:ascii="宋体" w:hAnsi="宋体" w:eastAsia="宋体" w:cs="宋体"/>
          <w:color w:val="auto"/>
          <w:sz w:val="21"/>
          <w:szCs w:val="21"/>
          <w:highlight w:val="none"/>
        </w:rPr>
      </w:pPr>
      <w:r>
        <w:rPr>
          <w:rFonts w:hint="eastAsia" w:ascii="宋体" w:hAnsi="宋体" w:eastAsia="宋体" w:cs="宋体"/>
          <w:kern w:val="0"/>
          <w:sz w:val="21"/>
          <w:szCs w:val="21"/>
        </w:rPr>
        <w:t>A、根据有效</w:t>
      </w:r>
      <w:r>
        <w:rPr>
          <w:rFonts w:hint="eastAsia" w:ascii="宋体" w:hAnsi="宋体" w:eastAsia="宋体" w:cs="宋体"/>
          <w:kern w:val="0"/>
          <w:sz w:val="21"/>
          <w:szCs w:val="21"/>
          <w:lang w:val="en-US" w:eastAsia="zh-CN"/>
        </w:rPr>
        <w:t>响应供应商</w:t>
      </w:r>
      <w:r>
        <w:rPr>
          <w:rFonts w:hint="eastAsia" w:ascii="宋体" w:hAnsi="宋体" w:eastAsia="宋体" w:cs="宋体"/>
          <w:kern w:val="0"/>
          <w:sz w:val="21"/>
          <w:szCs w:val="21"/>
        </w:rPr>
        <w:t>的</w:t>
      </w:r>
      <w:r>
        <w:rPr>
          <w:rFonts w:hint="eastAsia" w:ascii="宋体" w:hAnsi="宋体" w:eastAsia="宋体" w:cs="宋体"/>
          <w:kern w:val="0"/>
          <w:sz w:val="21"/>
          <w:szCs w:val="21"/>
          <w:lang w:val="en-US" w:eastAsia="zh-CN"/>
        </w:rPr>
        <w:t>最终</w:t>
      </w:r>
      <w:r>
        <w:rPr>
          <w:rFonts w:hint="eastAsia" w:ascii="宋体" w:hAnsi="宋体" w:eastAsia="宋体" w:cs="宋体"/>
          <w:kern w:val="0"/>
          <w:sz w:val="21"/>
          <w:szCs w:val="21"/>
        </w:rPr>
        <w:t>报价，</w:t>
      </w:r>
      <w:r>
        <w:rPr>
          <w:rFonts w:hint="eastAsia" w:ascii="宋体" w:hAnsi="宋体" w:eastAsia="宋体" w:cs="宋体"/>
          <w:color w:val="auto"/>
          <w:sz w:val="21"/>
          <w:szCs w:val="21"/>
          <w:highlight w:val="none"/>
        </w:rPr>
        <w:t>满足竞争性磋商文件要求且最后报价最低的供应商的价格为</w:t>
      </w:r>
    </w:p>
    <w:p w14:paraId="2A295D70">
      <w:pPr>
        <w:keepNext w:val="0"/>
        <w:keepLines w:val="0"/>
        <w:pageBreakBefore w:val="0"/>
        <w:widowControl w:val="0"/>
        <w:kinsoku/>
        <w:wordWrap/>
        <w:overflowPunct/>
        <w:topLinePunct w:val="0"/>
        <w:autoSpaceDE w:val="0"/>
        <w:autoSpaceDN w:val="0"/>
        <w:bidi w:val="0"/>
        <w:adjustRightInd w:val="0"/>
        <w:snapToGrid w:val="0"/>
        <w:spacing w:line="360" w:lineRule="auto"/>
        <w:ind w:left="480" w:leftChars="200"/>
        <w:textAlignment w:val="auto"/>
        <w:outlineLvl w:val="9"/>
        <w:rPr>
          <w:rFonts w:hint="eastAsia" w:ascii="宋体" w:hAnsi="宋体" w:eastAsia="宋体" w:cs="宋体"/>
          <w:color w:val="auto"/>
          <w:kern w:val="0"/>
          <w:sz w:val="21"/>
          <w:szCs w:val="21"/>
          <w:lang w:eastAsia="zh-CN"/>
        </w:rPr>
      </w:pPr>
      <w:r>
        <w:rPr>
          <w:rFonts w:hint="eastAsia" w:ascii="宋体" w:hAnsi="宋体" w:eastAsia="宋体" w:cs="宋体"/>
          <w:color w:val="auto"/>
          <w:sz w:val="21"/>
          <w:szCs w:val="21"/>
          <w:highlight w:val="none"/>
        </w:rPr>
        <w:t>磋商基准价</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其价格分为满分</w:t>
      </w:r>
      <w:r>
        <w:rPr>
          <w:rFonts w:hint="eastAsia" w:ascii="宋体" w:hAnsi="宋体" w:cs="宋体"/>
          <w:color w:val="auto"/>
          <w:kern w:val="0"/>
          <w:sz w:val="21"/>
          <w:szCs w:val="21"/>
          <w:lang w:val="en-US" w:eastAsia="zh-CN"/>
        </w:rPr>
        <w:t>4</w:t>
      </w:r>
      <w:r>
        <w:rPr>
          <w:rFonts w:hint="eastAsia" w:ascii="宋体" w:hAnsi="宋体" w:eastAsia="宋体" w:cs="宋体"/>
          <w:color w:val="auto"/>
          <w:kern w:val="0"/>
          <w:sz w:val="21"/>
          <w:szCs w:val="21"/>
        </w:rPr>
        <w:t>0分，其他</w:t>
      </w:r>
      <w:r>
        <w:rPr>
          <w:rFonts w:hint="eastAsia" w:ascii="宋体" w:hAnsi="宋体" w:eastAsia="宋体" w:cs="宋体"/>
          <w:color w:val="auto"/>
          <w:kern w:val="0"/>
          <w:sz w:val="21"/>
          <w:szCs w:val="21"/>
          <w:lang w:val="en-US" w:eastAsia="zh-CN"/>
        </w:rPr>
        <w:t>供应商</w:t>
      </w:r>
      <w:r>
        <w:rPr>
          <w:rFonts w:hint="eastAsia" w:ascii="宋体" w:hAnsi="宋体" w:eastAsia="宋体" w:cs="宋体"/>
          <w:color w:val="auto"/>
          <w:kern w:val="0"/>
          <w:sz w:val="21"/>
          <w:szCs w:val="21"/>
        </w:rPr>
        <w:t>的价格得分统一按照下列公式计算：</w:t>
      </w:r>
    </w:p>
    <w:p w14:paraId="2B64F705">
      <w:pPr>
        <w:keepNext w:val="0"/>
        <w:keepLines w:val="0"/>
        <w:pageBreakBefore w:val="0"/>
        <w:widowControl w:val="0"/>
        <w:kinsoku/>
        <w:wordWrap/>
        <w:overflowPunct/>
        <w:topLinePunct w:val="0"/>
        <w:autoSpaceDE w:val="0"/>
        <w:autoSpaceDN w:val="0"/>
        <w:bidi w:val="0"/>
        <w:adjustRightInd w:val="0"/>
        <w:snapToGrid w:val="0"/>
        <w:spacing w:line="360" w:lineRule="auto"/>
        <w:ind w:left="480" w:leftChars="200"/>
        <w:textAlignment w:val="auto"/>
        <w:outlineLvl w:val="9"/>
        <w:rPr>
          <w:rFonts w:hint="eastAsia" w:ascii="宋体" w:hAnsi="宋体" w:eastAsia="宋体" w:cs="宋体"/>
          <w:kern w:val="0"/>
          <w:sz w:val="21"/>
          <w:szCs w:val="21"/>
        </w:rPr>
      </w:pPr>
      <w:r>
        <w:rPr>
          <w:rFonts w:hint="eastAsia" w:ascii="宋体" w:hAnsi="宋体" w:eastAsia="宋体" w:cs="宋体"/>
          <w:color w:val="auto"/>
          <w:kern w:val="0"/>
          <w:sz w:val="21"/>
          <w:szCs w:val="21"/>
        </w:rPr>
        <w:t xml:space="preserve">    价格得分=(</w:t>
      </w:r>
      <w:r>
        <w:rPr>
          <w:rFonts w:hint="eastAsia" w:ascii="宋体" w:hAnsi="宋体" w:eastAsia="宋体" w:cs="宋体"/>
          <w:color w:val="auto"/>
          <w:sz w:val="21"/>
          <w:szCs w:val="21"/>
          <w:highlight w:val="none"/>
        </w:rPr>
        <w:t>磋商基准价/最后磋商报价</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4</w:t>
      </w:r>
      <w:r>
        <w:rPr>
          <w:rFonts w:hint="eastAsia" w:ascii="宋体" w:hAnsi="宋体" w:eastAsia="宋体" w:cs="宋体"/>
          <w:color w:val="auto"/>
          <w:kern w:val="0"/>
          <w:sz w:val="21"/>
          <w:szCs w:val="21"/>
        </w:rPr>
        <w:t>0</w:t>
      </w:r>
    </w:p>
    <w:p w14:paraId="454EF7CC">
      <w:pPr>
        <w:autoSpaceDN w:val="0"/>
        <w:adjustRightInd w:val="0"/>
        <w:snapToGrid w:val="0"/>
        <w:spacing w:line="360" w:lineRule="auto"/>
        <w:ind w:firstLine="210" w:firstLineChars="100"/>
        <w:outlineLvl w:val="9"/>
        <w:rPr>
          <w:rFonts w:hint="eastAsia" w:ascii="宋体" w:hAnsi="宋体" w:eastAsia="宋体" w:cs="宋体"/>
          <w:kern w:val="0"/>
          <w:sz w:val="21"/>
          <w:szCs w:val="21"/>
        </w:rPr>
      </w:pPr>
      <w:r>
        <w:rPr>
          <w:rFonts w:hint="eastAsia" w:ascii="宋体" w:hAnsi="宋体" w:eastAsia="宋体" w:cs="宋体"/>
          <w:kern w:val="0"/>
          <w:sz w:val="21"/>
          <w:szCs w:val="21"/>
        </w:rPr>
        <w:t>B、分数出现小数点，保留小数点后2位，从小数点后第3位四舍五入。</w:t>
      </w:r>
    </w:p>
    <w:p w14:paraId="41EC475E">
      <w:pPr>
        <w:tabs>
          <w:tab w:val="left" w:pos="585"/>
        </w:tabs>
        <w:autoSpaceDE w:val="0"/>
        <w:autoSpaceDN w:val="0"/>
        <w:adjustRightInd w:val="0"/>
        <w:spacing w:line="400" w:lineRule="exact"/>
        <w:outlineLvl w:val="9"/>
        <w:rPr>
          <w:rFonts w:hint="eastAsia" w:ascii="宋体" w:hAnsi="宋体" w:eastAsia="宋体" w:cs="宋体"/>
          <w:b/>
          <w:sz w:val="21"/>
          <w:szCs w:val="21"/>
          <w:lang w:val="zh-CN"/>
        </w:rPr>
      </w:pPr>
      <w:r>
        <w:rPr>
          <w:rFonts w:hint="eastAsia" w:ascii="宋体" w:hAnsi="宋体" w:eastAsia="宋体" w:cs="宋体"/>
          <w:b/>
          <w:sz w:val="21"/>
          <w:szCs w:val="21"/>
          <w:lang w:val="zh-CN"/>
        </w:rPr>
        <w:t>（4）综合得分</w:t>
      </w:r>
    </w:p>
    <w:p w14:paraId="008B0133">
      <w:pPr>
        <w:spacing w:line="400" w:lineRule="exact"/>
        <w:ind w:firstLine="848" w:firstLineChars="404"/>
        <w:outlineLvl w:val="9"/>
        <w:rPr>
          <w:rFonts w:hint="eastAsia" w:ascii="宋体" w:hAnsi="宋体" w:eastAsia="宋体" w:cs="宋体"/>
          <w:kern w:val="0"/>
          <w:sz w:val="21"/>
          <w:szCs w:val="21"/>
          <w:lang w:val="zh-CN"/>
        </w:rPr>
      </w:pPr>
      <w:bookmarkStart w:id="493" w:name="_Toc31624_WPSOffice_Level2"/>
      <w:r>
        <w:rPr>
          <w:rFonts w:hint="eastAsia" w:ascii="宋体" w:hAnsi="宋体" w:eastAsia="宋体" w:cs="宋体"/>
          <w:kern w:val="0"/>
          <w:sz w:val="21"/>
          <w:szCs w:val="21"/>
          <w:lang w:val="zh-CN"/>
        </w:rPr>
        <w:t>评</w:t>
      </w:r>
      <w:r>
        <w:rPr>
          <w:rFonts w:hint="eastAsia" w:ascii="宋体" w:hAnsi="宋体" w:eastAsia="宋体" w:cs="宋体"/>
          <w:kern w:val="0"/>
          <w:sz w:val="21"/>
          <w:szCs w:val="21"/>
          <w:lang w:val="en-US" w:eastAsia="zh-CN"/>
        </w:rPr>
        <w:t>审</w:t>
      </w:r>
      <w:r>
        <w:rPr>
          <w:rFonts w:hint="eastAsia" w:ascii="宋体" w:hAnsi="宋体" w:eastAsia="宋体" w:cs="宋体"/>
          <w:kern w:val="0"/>
          <w:sz w:val="21"/>
          <w:szCs w:val="21"/>
          <w:lang w:val="zh-CN"/>
        </w:rPr>
        <w:t>总得分=F1＋F2＋……+Fn</w:t>
      </w:r>
      <w:bookmarkEnd w:id="493"/>
    </w:p>
    <w:p w14:paraId="1541A5D8">
      <w:pPr>
        <w:widowControl/>
        <w:autoSpaceDE w:val="0"/>
        <w:autoSpaceDN w:val="0"/>
        <w:adjustRightInd w:val="0"/>
        <w:spacing w:line="400" w:lineRule="exact"/>
        <w:ind w:firstLine="840" w:firstLineChars="400"/>
        <w:jc w:val="left"/>
        <w:outlineLvl w:val="9"/>
        <w:rPr>
          <w:rFonts w:hint="eastAsia" w:ascii="宋体" w:hAnsi="宋体" w:eastAsia="宋体" w:cs="宋体"/>
          <w:kern w:val="0"/>
          <w:sz w:val="21"/>
          <w:szCs w:val="21"/>
        </w:rPr>
      </w:pPr>
      <w:bookmarkStart w:id="494" w:name="_Toc13236_WPSOffice_Level2"/>
      <w:r>
        <w:rPr>
          <w:rFonts w:hint="eastAsia" w:ascii="宋体" w:hAnsi="宋体" w:eastAsia="宋体" w:cs="宋体"/>
          <w:kern w:val="0"/>
          <w:sz w:val="21"/>
          <w:szCs w:val="21"/>
        </w:rPr>
        <w:t>F1、F2、……Fn分别为各项评分因素的得分</w:t>
      </w:r>
      <w:bookmarkEnd w:id="494"/>
      <w:r>
        <w:rPr>
          <w:rFonts w:hint="eastAsia" w:ascii="宋体" w:hAnsi="宋体" w:eastAsia="宋体" w:cs="宋体"/>
          <w:kern w:val="0"/>
          <w:sz w:val="21"/>
          <w:szCs w:val="21"/>
        </w:rPr>
        <w:t>。</w:t>
      </w:r>
    </w:p>
    <w:p w14:paraId="27C955B7">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kern w:val="2"/>
          <w:sz w:val="28"/>
          <w:szCs w:val="28"/>
          <w:highlight w:val="none"/>
          <w:lang w:val="zh-CN"/>
        </w:rPr>
      </w:pPr>
    </w:p>
    <w:p w14:paraId="2F72BCCD">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lang w:val="zh-CN"/>
        </w:rPr>
        <w:t>五、推荐成交人</w:t>
      </w:r>
    </w:p>
    <w:p w14:paraId="569F094D">
      <w:pPr>
        <w:spacing w:line="360" w:lineRule="auto"/>
        <w:jc w:val="both"/>
        <w:rPr>
          <w:rFonts w:hint="eastAsia" w:ascii="宋体" w:hAnsi="宋体" w:cs="宋体"/>
          <w:color w:val="auto"/>
          <w:kern w:val="2"/>
          <w:sz w:val="21"/>
          <w:highlight w:val="none"/>
          <w:lang w:val="en-US" w:eastAsia="zh-CN"/>
        </w:rPr>
      </w:pPr>
      <w:r>
        <w:rPr>
          <w:rFonts w:hint="eastAsia" w:ascii="宋体" w:hAnsi="宋体" w:eastAsia="宋体" w:cs="宋体"/>
          <w:color w:val="auto"/>
          <w:kern w:val="2"/>
          <w:sz w:val="21"/>
          <w:highlight w:val="none"/>
          <w:lang w:val="zh-CN"/>
        </w:rPr>
        <w:t>14.</w:t>
      </w:r>
      <w:r>
        <w:rPr>
          <w:rFonts w:hint="eastAsia" w:ascii="宋体" w:hAnsi="宋体" w:eastAsia="宋体" w:cs="宋体"/>
          <w:color w:val="auto"/>
          <w:kern w:val="2"/>
          <w:sz w:val="21"/>
          <w:highlight w:val="none"/>
          <w:lang w:val="en-US" w:eastAsia="zh-CN"/>
        </w:rPr>
        <w:t xml:space="preserve">1 </w:t>
      </w:r>
      <w:r>
        <w:rPr>
          <w:rFonts w:hint="eastAsia" w:ascii="宋体" w:hAnsi="宋体" w:eastAsia="宋体" w:cs="宋体"/>
          <w:color w:val="auto"/>
          <w:kern w:val="2"/>
          <w:sz w:val="21"/>
          <w:highlight w:val="none"/>
          <w:lang w:val="zh-CN"/>
        </w:rPr>
        <w:t>磋商小组</w:t>
      </w:r>
      <w:r>
        <w:rPr>
          <w:rFonts w:hint="eastAsia" w:ascii="宋体" w:hAnsi="宋体" w:cs="宋体"/>
          <w:color w:val="auto"/>
          <w:kern w:val="2"/>
          <w:sz w:val="21"/>
          <w:highlight w:val="none"/>
          <w:lang w:val="en-US" w:eastAsia="zh-CN"/>
        </w:rPr>
        <w:t>按评审后得分由高到低顺序排列，并向采购人推荐最后综合得分最高的前二名供应商</w:t>
      </w:r>
    </w:p>
    <w:p w14:paraId="73CE0E0B">
      <w:pPr>
        <w:keepNext w:val="0"/>
        <w:keepLines w:val="0"/>
        <w:pageBreakBefore w:val="0"/>
        <w:widowControl w:val="0"/>
        <w:kinsoku/>
        <w:wordWrap/>
        <w:overflowPunct/>
        <w:topLinePunct w:val="0"/>
        <w:autoSpaceDE w:val="0"/>
        <w:autoSpaceDN w:val="0"/>
        <w:bidi w:val="0"/>
        <w:adjustRightInd w:val="0"/>
        <w:snapToGrid/>
        <w:spacing w:line="360" w:lineRule="auto"/>
        <w:ind w:left="528" w:leftChars="220"/>
        <w:jc w:val="both"/>
        <w:textAlignment w:val="auto"/>
        <w:rPr>
          <w:rFonts w:hint="eastAsia" w:ascii="宋体" w:hAnsi="宋体" w:cs="宋体"/>
          <w:color w:val="auto"/>
          <w:kern w:val="2"/>
          <w:sz w:val="21"/>
          <w:highlight w:val="none"/>
          <w:lang w:val="en-US" w:eastAsia="zh-CN"/>
        </w:rPr>
      </w:pPr>
      <w:r>
        <w:rPr>
          <w:rFonts w:hint="eastAsia" w:ascii="宋体" w:hAnsi="宋体" w:cs="宋体"/>
          <w:color w:val="auto"/>
          <w:kern w:val="2"/>
          <w:sz w:val="21"/>
          <w:highlight w:val="none"/>
          <w:lang w:val="en-US" w:eastAsia="zh-CN"/>
        </w:rPr>
        <w:t>为成交候选人（最后综合得分排名第一、第二的供应商分别为第一、第二成交候选人），采购人将确定第一成交候选人为成交人</w:t>
      </w:r>
    </w:p>
    <w:p w14:paraId="3757E1B3">
      <w:pPr>
        <w:spacing w:line="360" w:lineRule="auto"/>
        <w:ind w:left="624" w:leftChars="260" w:firstLine="417" w:firstLineChars="199"/>
        <w:jc w:val="both"/>
        <w:rPr>
          <w:rFonts w:hint="eastAsia" w:ascii="宋体" w:hAnsi="宋体" w:eastAsia="宋体" w:cs="宋体"/>
          <w:color w:val="auto"/>
          <w:kern w:val="2"/>
          <w:sz w:val="21"/>
          <w:highlight w:val="none"/>
          <w:lang w:val="zh-CN" w:eastAsia="zh-CN"/>
        </w:rPr>
      </w:pPr>
      <w:r>
        <w:rPr>
          <w:rFonts w:hint="eastAsia" w:ascii="宋体" w:hAnsi="宋体" w:eastAsia="宋体" w:cs="宋体"/>
          <w:color w:val="auto"/>
          <w:kern w:val="2"/>
          <w:sz w:val="21"/>
          <w:highlight w:val="none"/>
          <w:lang w:val="zh-CN" w:eastAsia="zh-CN"/>
        </w:rPr>
        <w:t>如果有两个或以上的供应商的最后综合得分相同，则在最后综合得分相同的供应商中按最终报价由低到高顺序排出次序，报价低的排前，报价高的排后。如果出现供应商的最后综合得分及最终报价均相同时，则按技术评审得分高低排出次序，得分高的排前，得分低的排后。如果出现供应商的最后综合得分、最终报价及技术得分均相同时，由磋商小组进行投票，得票多的排名在先。当第一轮投票结果为供应商得票数相同时，再次进行投票，如此类推，直到能确定排序次序为止。</w:t>
      </w:r>
    </w:p>
    <w:p w14:paraId="7CA63A8B">
      <w:pPr>
        <w:spacing w:line="360" w:lineRule="auto"/>
        <w:ind w:left="211" w:leftChars="88" w:firstLine="3443" w:firstLineChars="1225"/>
        <w:jc w:val="both"/>
        <w:rPr>
          <w:rFonts w:hint="eastAsia" w:ascii="宋体" w:hAnsi="宋体" w:eastAsia="宋体" w:cs="宋体"/>
          <w:b/>
          <w:bCs/>
          <w:color w:val="auto"/>
          <w:kern w:val="2"/>
          <w:sz w:val="28"/>
          <w:szCs w:val="28"/>
          <w:highlight w:val="none"/>
          <w:lang w:val="zh-CN"/>
        </w:rPr>
      </w:pPr>
    </w:p>
    <w:p w14:paraId="433F7876">
      <w:pPr>
        <w:spacing w:line="360" w:lineRule="auto"/>
        <w:ind w:left="211" w:leftChars="88" w:firstLine="3443" w:firstLineChars="1225"/>
        <w:jc w:val="both"/>
        <w:rPr>
          <w:rFonts w:hint="eastAsia" w:ascii="宋体" w:hAnsi="宋体" w:eastAsia="宋体" w:cs="宋体"/>
          <w:b/>
          <w:bCs/>
          <w:color w:val="auto"/>
          <w:kern w:val="2"/>
          <w:sz w:val="28"/>
          <w:szCs w:val="28"/>
          <w:highlight w:val="none"/>
          <w:lang w:val="zh-CN"/>
        </w:rPr>
      </w:pPr>
      <w:r>
        <w:rPr>
          <w:rFonts w:hint="eastAsia" w:ascii="宋体" w:hAnsi="宋体" w:eastAsia="宋体" w:cs="宋体"/>
          <w:b/>
          <w:bCs/>
          <w:color w:val="auto"/>
          <w:kern w:val="2"/>
          <w:sz w:val="28"/>
          <w:szCs w:val="28"/>
          <w:highlight w:val="none"/>
          <w:lang w:val="zh-CN"/>
        </w:rPr>
        <w:t>六、编写评审报告</w:t>
      </w:r>
    </w:p>
    <w:p w14:paraId="61976AF4">
      <w:pPr>
        <w:spacing w:line="360" w:lineRule="auto"/>
        <w:ind w:left="420" w:hanging="420" w:hangingChars="200"/>
        <w:rPr>
          <w:rFonts w:hint="eastAsia" w:ascii="宋体" w:hAnsi="宋体" w:eastAsia="宋体" w:cs="宋体"/>
          <w:b/>
          <w:bCs/>
          <w:color w:val="auto"/>
          <w:kern w:val="2"/>
          <w:sz w:val="21"/>
          <w:szCs w:val="32"/>
          <w:highlight w:val="none"/>
          <w:lang w:val="zh-CN"/>
        </w:rPr>
      </w:pPr>
      <w:r>
        <w:rPr>
          <w:rFonts w:hint="eastAsia" w:ascii="宋体" w:hAnsi="宋体" w:eastAsia="宋体" w:cs="宋体"/>
          <w:color w:val="auto"/>
          <w:kern w:val="2"/>
          <w:sz w:val="21"/>
          <w:highlight w:val="none"/>
        </w:rPr>
        <w:t>15</w:t>
      </w:r>
      <w:r>
        <w:rPr>
          <w:rFonts w:hint="eastAsia" w:ascii="宋体" w:hAnsi="宋体" w:eastAsia="宋体" w:cs="宋体"/>
          <w:color w:val="auto"/>
          <w:kern w:val="2"/>
          <w:sz w:val="21"/>
          <w:highlight w:val="none"/>
          <w:lang w:val="zh-CN"/>
        </w:rPr>
        <w:t>、</w:t>
      </w:r>
      <w:r>
        <w:rPr>
          <w:rFonts w:hint="eastAsia" w:ascii="宋体" w:hAnsi="宋体" w:eastAsia="宋体" w:cs="宋体"/>
          <w:color w:val="auto"/>
          <w:sz w:val="21"/>
          <w:szCs w:val="21"/>
          <w:highlight w:val="none"/>
        </w:rPr>
        <w:t>磋商小组</w:t>
      </w:r>
      <w:r>
        <w:rPr>
          <w:rFonts w:hint="eastAsia" w:ascii="宋体" w:hAnsi="宋体" w:eastAsia="宋体" w:cs="宋体"/>
          <w:color w:val="auto"/>
          <w:kern w:val="2"/>
          <w:sz w:val="21"/>
          <w:highlight w:val="none"/>
          <w:lang w:val="zh-CN"/>
        </w:rPr>
        <w:t>根据评审结果撰写评审报告。评审报告是</w:t>
      </w:r>
      <w:r>
        <w:rPr>
          <w:rFonts w:hint="eastAsia" w:ascii="宋体" w:hAnsi="宋体" w:eastAsia="宋体" w:cs="宋体"/>
          <w:color w:val="auto"/>
          <w:sz w:val="21"/>
          <w:szCs w:val="21"/>
          <w:highlight w:val="none"/>
        </w:rPr>
        <w:t>磋商小组</w:t>
      </w:r>
      <w:r>
        <w:rPr>
          <w:rFonts w:hint="eastAsia" w:ascii="宋体" w:hAnsi="宋体" w:eastAsia="宋体" w:cs="宋体"/>
          <w:color w:val="auto"/>
          <w:kern w:val="2"/>
          <w:sz w:val="21"/>
          <w:highlight w:val="none"/>
          <w:lang w:val="zh-CN"/>
        </w:rPr>
        <w:t>根据全体</w:t>
      </w:r>
      <w:r>
        <w:rPr>
          <w:rFonts w:hint="eastAsia" w:ascii="宋体" w:hAnsi="宋体" w:eastAsia="宋体" w:cs="宋体"/>
          <w:color w:val="auto"/>
          <w:sz w:val="21"/>
          <w:szCs w:val="21"/>
          <w:highlight w:val="none"/>
        </w:rPr>
        <w:t>磋商小组</w:t>
      </w:r>
      <w:r>
        <w:rPr>
          <w:rFonts w:hint="eastAsia" w:ascii="宋体" w:hAnsi="宋体" w:eastAsia="宋体" w:cs="宋体"/>
          <w:color w:val="auto"/>
          <w:kern w:val="2"/>
          <w:sz w:val="21"/>
          <w:highlight w:val="none"/>
          <w:lang w:val="zh-CN"/>
        </w:rPr>
        <w:t>成员签字的原始评审记录和评审结果编写的报告，其主要内容包括：</w:t>
      </w:r>
    </w:p>
    <w:p w14:paraId="66506EE3">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　　  1）</w:t>
      </w:r>
      <w:r>
        <w:rPr>
          <w:rFonts w:hint="eastAsia" w:ascii="宋体" w:hAnsi="宋体" w:cs="宋体"/>
          <w:color w:val="auto"/>
          <w:sz w:val="21"/>
          <w:highlight w:val="none"/>
          <w:lang w:val="en-US" w:eastAsia="zh-CN"/>
        </w:rPr>
        <w:t>竞争性</w:t>
      </w:r>
      <w:r>
        <w:rPr>
          <w:rFonts w:hint="eastAsia" w:ascii="宋体" w:hAnsi="宋体" w:eastAsia="宋体" w:cs="宋体"/>
          <w:color w:val="auto"/>
          <w:sz w:val="21"/>
          <w:highlight w:val="none"/>
          <w:lang w:val="zh-CN"/>
        </w:rPr>
        <w:t>磋商</w:t>
      </w:r>
      <w:r>
        <w:rPr>
          <w:rFonts w:hint="eastAsia" w:ascii="宋体" w:hAnsi="宋体" w:cs="宋体"/>
          <w:color w:val="auto"/>
          <w:sz w:val="21"/>
          <w:highlight w:val="none"/>
          <w:lang w:val="en-US" w:eastAsia="zh-CN"/>
        </w:rPr>
        <w:t>文件公告</w:t>
      </w:r>
      <w:r>
        <w:rPr>
          <w:rFonts w:hint="eastAsia" w:ascii="宋体" w:hAnsi="宋体" w:eastAsia="宋体" w:cs="宋体"/>
          <w:color w:val="auto"/>
          <w:sz w:val="21"/>
          <w:highlight w:val="none"/>
          <w:lang w:val="zh-CN"/>
        </w:rPr>
        <w:t>时间、</w:t>
      </w:r>
      <w:r>
        <w:rPr>
          <w:rFonts w:hint="eastAsia" w:ascii="宋体" w:hAnsi="宋体" w:cs="宋体"/>
          <w:color w:val="auto"/>
          <w:sz w:val="21"/>
          <w:highlight w:val="none"/>
          <w:lang w:val="en-US" w:eastAsia="zh-CN"/>
        </w:rPr>
        <w:t>磋商</w:t>
      </w:r>
      <w:r>
        <w:rPr>
          <w:rFonts w:hint="eastAsia" w:ascii="宋体" w:hAnsi="宋体" w:eastAsia="宋体" w:cs="宋体"/>
          <w:color w:val="auto"/>
          <w:sz w:val="21"/>
          <w:highlight w:val="none"/>
          <w:lang w:val="zh-CN"/>
        </w:rPr>
        <w:t>日期和地点；</w:t>
      </w:r>
    </w:p>
    <w:p w14:paraId="42DE339E">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　　  2）供应商名单和</w:t>
      </w:r>
      <w:r>
        <w:rPr>
          <w:rFonts w:hint="eastAsia" w:ascii="宋体" w:hAnsi="宋体" w:eastAsia="宋体" w:cs="宋体"/>
          <w:color w:val="auto"/>
          <w:sz w:val="21"/>
          <w:szCs w:val="21"/>
          <w:highlight w:val="none"/>
        </w:rPr>
        <w:t>磋商小组</w:t>
      </w:r>
      <w:r>
        <w:rPr>
          <w:rFonts w:hint="eastAsia" w:ascii="宋体" w:hAnsi="宋体" w:eastAsia="宋体" w:cs="宋体"/>
          <w:color w:val="auto"/>
          <w:sz w:val="21"/>
          <w:highlight w:val="none"/>
          <w:lang w:val="zh-CN"/>
        </w:rPr>
        <w:t>成员名单；</w:t>
      </w:r>
    </w:p>
    <w:p w14:paraId="67B53998">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 xml:space="preserve">      3）磋商记录；</w:t>
      </w:r>
    </w:p>
    <w:p w14:paraId="0FA31092">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　　  4）评审方法和标准；</w:t>
      </w:r>
    </w:p>
    <w:p w14:paraId="2C23CD7A">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　　  5）评审记录和评审情况及说明，包括响应无效供应商名单及原因；</w:t>
      </w:r>
    </w:p>
    <w:p w14:paraId="3A6C5BCF">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　 　 6）评审结果和</w:t>
      </w:r>
      <w:r>
        <w:rPr>
          <w:rFonts w:hint="eastAsia" w:ascii="宋体" w:hAnsi="宋体" w:eastAsia="宋体" w:cs="宋体"/>
          <w:color w:val="auto"/>
          <w:sz w:val="21"/>
          <w:highlight w:val="none"/>
          <w:lang w:val="en-US" w:eastAsia="zh-CN"/>
        </w:rPr>
        <w:t>成交</w:t>
      </w:r>
      <w:r>
        <w:rPr>
          <w:rFonts w:hint="eastAsia" w:ascii="宋体" w:hAnsi="宋体" w:eastAsia="宋体" w:cs="宋体"/>
          <w:color w:val="auto"/>
          <w:sz w:val="21"/>
          <w:highlight w:val="none"/>
          <w:lang w:val="zh-CN"/>
        </w:rPr>
        <w:t>候选供应商排序表；</w:t>
      </w:r>
    </w:p>
    <w:p w14:paraId="39CC43A3">
      <w:pPr>
        <w:spacing w:line="360" w:lineRule="auto"/>
        <w:ind w:left="420" w:firstLine="210" w:firstLineChars="1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7）</w:t>
      </w:r>
      <w:r>
        <w:rPr>
          <w:rFonts w:hint="eastAsia" w:ascii="宋体" w:hAnsi="宋体" w:eastAsia="宋体" w:cs="宋体"/>
          <w:color w:val="auto"/>
          <w:sz w:val="21"/>
          <w:szCs w:val="21"/>
          <w:highlight w:val="none"/>
        </w:rPr>
        <w:t>磋商小组</w:t>
      </w:r>
      <w:r>
        <w:rPr>
          <w:rFonts w:hint="eastAsia" w:ascii="宋体" w:hAnsi="宋体" w:eastAsia="宋体" w:cs="宋体"/>
          <w:color w:val="auto"/>
          <w:kern w:val="2"/>
          <w:sz w:val="21"/>
          <w:highlight w:val="none"/>
          <w:lang w:val="zh-CN"/>
        </w:rPr>
        <w:t>的推荐建议。</w:t>
      </w:r>
    </w:p>
    <w:p w14:paraId="5DC55A50">
      <w:pPr>
        <w:spacing w:line="360" w:lineRule="auto"/>
        <w:jc w:val="center"/>
        <w:rPr>
          <w:rFonts w:hint="eastAsia" w:ascii="宋体" w:hAnsi="宋体" w:eastAsia="宋体" w:cs="宋体"/>
          <w:b/>
          <w:bCs/>
          <w:color w:val="auto"/>
          <w:kern w:val="2"/>
          <w:sz w:val="28"/>
          <w:szCs w:val="28"/>
          <w:highlight w:val="none"/>
          <w:lang w:val="zh-CN"/>
        </w:rPr>
      </w:pPr>
    </w:p>
    <w:p w14:paraId="50C2AE22">
      <w:pPr>
        <w:spacing w:line="360" w:lineRule="auto"/>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28"/>
          <w:szCs w:val="28"/>
          <w:highlight w:val="none"/>
          <w:lang w:val="zh-CN"/>
        </w:rPr>
        <w:t>七、注意事项</w:t>
      </w:r>
    </w:p>
    <w:p w14:paraId="34CB74AD">
      <w:pPr>
        <w:keepNext w:val="0"/>
        <w:keepLines w:val="0"/>
        <w:pageBreakBefore w:val="0"/>
        <w:widowControl w:val="0"/>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rPr>
        <w:t>16</w:t>
      </w:r>
      <w:r>
        <w:rPr>
          <w:rFonts w:hint="eastAsia" w:ascii="宋体" w:hAnsi="宋体" w:eastAsia="宋体" w:cs="宋体"/>
          <w:color w:val="auto"/>
          <w:kern w:val="2"/>
          <w:sz w:val="21"/>
          <w:highlight w:val="none"/>
          <w:lang w:val="zh-CN"/>
        </w:rPr>
        <w:t>、为确保磋商活动的顺利进行，防止因泄密或其它意外而造成的不良后果及影响，凡参加磋商活</w:t>
      </w:r>
    </w:p>
    <w:p w14:paraId="43BE2F87">
      <w:pPr>
        <w:keepNext w:val="0"/>
        <w:keepLines w:val="0"/>
        <w:pageBreakBefore w:val="0"/>
        <w:widowControl w:val="0"/>
        <w:kinsoku/>
        <w:wordWrap/>
        <w:overflowPunct/>
        <w:topLinePunct w:val="0"/>
        <w:autoSpaceDE w:val="0"/>
        <w:autoSpaceDN w:val="0"/>
        <w:bidi w:val="0"/>
        <w:adjustRightInd w:val="0"/>
        <w:snapToGrid/>
        <w:spacing w:line="360" w:lineRule="auto"/>
        <w:ind w:left="430" w:leftChars="179"/>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动的人员都必须认真执行本规定：</w:t>
      </w:r>
    </w:p>
    <w:p w14:paraId="2C92085A">
      <w:pPr>
        <w:spacing w:line="360" w:lineRule="auto"/>
        <w:ind w:left="905" w:leftChars="237" w:hanging="336" w:hangingChars="16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1）在磋商期间，所有分发的供应商响应文件、资料等仅限于在磋商场所中使用，不得带往其它地方，所有的</w:t>
      </w:r>
      <w:r>
        <w:rPr>
          <w:rFonts w:hint="eastAsia" w:ascii="宋体" w:hAnsi="宋体" w:cs="宋体"/>
          <w:color w:val="auto"/>
          <w:kern w:val="2"/>
          <w:sz w:val="21"/>
          <w:highlight w:val="none"/>
          <w:lang w:val="en-US" w:eastAsia="zh-CN"/>
        </w:rPr>
        <w:t>竞争性</w:t>
      </w:r>
      <w:r>
        <w:rPr>
          <w:rFonts w:hint="eastAsia" w:ascii="宋体" w:hAnsi="宋体" w:eastAsia="宋体" w:cs="宋体"/>
          <w:color w:val="auto"/>
          <w:kern w:val="2"/>
          <w:sz w:val="21"/>
          <w:highlight w:val="none"/>
          <w:lang w:val="zh-CN"/>
        </w:rPr>
        <w:t>磋商文件、供应商响应文件、资料等一律编号登记。</w:t>
      </w:r>
    </w:p>
    <w:p w14:paraId="761EA0D8">
      <w:pPr>
        <w:spacing w:line="360" w:lineRule="auto"/>
        <w:ind w:left="905" w:leftChars="237" w:hanging="336" w:hangingChars="16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2）磋商小组成员及工作人员不得在公共场合谈论有关评审内容。</w:t>
      </w:r>
    </w:p>
    <w:p w14:paraId="5919D2D5">
      <w:pPr>
        <w:spacing w:line="360" w:lineRule="auto"/>
        <w:ind w:left="905" w:leftChars="237" w:hanging="336" w:hangingChars="16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3）磋商小组成员及工作人员不得以书信、电讯、口述等方式将有关评审内容（如资料、供应商响应文件、磋商报价、评审方式、磋商小组的决定、磋商小组机构、磋商小组人员名单等）披露给未参加磋商的任何无关人员，包括上级领导、同级和下级人员，任何与</w:t>
      </w:r>
      <w:r>
        <w:rPr>
          <w:rFonts w:hint="eastAsia" w:ascii="宋体" w:hAnsi="宋体" w:cs="宋体"/>
          <w:color w:val="auto"/>
          <w:kern w:val="2"/>
          <w:sz w:val="21"/>
          <w:highlight w:val="none"/>
          <w:lang w:val="en-US" w:eastAsia="zh-CN"/>
        </w:rPr>
        <w:t>磋商</w:t>
      </w:r>
      <w:r>
        <w:rPr>
          <w:rFonts w:hint="eastAsia" w:ascii="宋体" w:hAnsi="宋体" w:eastAsia="宋体" w:cs="宋体"/>
          <w:color w:val="auto"/>
          <w:kern w:val="2"/>
          <w:sz w:val="21"/>
          <w:highlight w:val="none"/>
          <w:lang w:val="zh-CN"/>
        </w:rPr>
        <w:t>无关的人员（包括亲朋好友和同事）不得进入磋商场所。</w:t>
      </w:r>
    </w:p>
    <w:p w14:paraId="4E24842A">
      <w:pPr>
        <w:spacing w:line="360" w:lineRule="auto"/>
        <w:ind w:left="915" w:leftChars="250" w:hanging="315" w:hangingChars="1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4）在举行与各供应商的</w:t>
      </w:r>
      <w:r>
        <w:rPr>
          <w:rFonts w:hint="eastAsia" w:ascii="宋体" w:hAnsi="宋体" w:cs="宋体"/>
          <w:color w:val="auto"/>
          <w:kern w:val="2"/>
          <w:sz w:val="21"/>
          <w:highlight w:val="none"/>
          <w:lang w:val="en-US" w:eastAsia="zh-CN"/>
        </w:rPr>
        <w:t>磋商</w:t>
      </w:r>
      <w:r>
        <w:rPr>
          <w:rFonts w:hint="eastAsia" w:ascii="宋体" w:hAnsi="宋体" w:eastAsia="宋体" w:cs="宋体"/>
          <w:color w:val="auto"/>
          <w:kern w:val="2"/>
          <w:sz w:val="21"/>
          <w:highlight w:val="none"/>
          <w:lang w:val="zh-CN"/>
        </w:rPr>
        <w:t>之前磋商小组应明确参加</w:t>
      </w:r>
      <w:r>
        <w:rPr>
          <w:rFonts w:hint="eastAsia" w:ascii="宋体" w:hAnsi="宋体" w:cs="宋体"/>
          <w:color w:val="auto"/>
          <w:kern w:val="2"/>
          <w:sz w:val="21"/>
          <w:highlight w:val="none"/>
          <w:lang w:val="en-US" w:eastAsia="zh-CN"/>
        </w:rPr>
        <w:t>磋商</w:t>
      </w:r>
      <w:r>
        <w:rPr>
          <w:rFonts w:hint="eastAsia" w:ascii="宋体" w:hAnsi="宋体" w:eastAsia="宋体" w:cs="宋体"/>
          <w:color w:val="auto"/>
          <w:kern w:val="2"/>
          <w:sz w:val="21"/>
          <w:highlight w:val="none"/>
          <w:lang w:val="zh-CN"/>
        </w:rPr>
        <w:t>的人员及主谈人。任何需要供应商在</w:t>
      </w:r>
      <w:r>
        <w:rPr>
          <w:rFonts w:hint="eastAsia" w:ascii="宋体" w:hAnsi="宋体" w:cs="宋体"/>
          <w:color w:val="auto"/>
          <w:kern w:val="2"/>
          <w:sz w:val="21"/>
          <w:highlight w:val="none"/>
          <w:lang w:val="en-US" w:eastAsia="zh-CN"/>
        </w:rPr>
        <w:t>磋商</w:t>
      </w:r>
      <w:r>
        <w:rPr>
          <w:rFonts w:hint="eastAsia" w:ascii="宋体" w:hAnsi="宋体" w:eastAsia="宋体" w:cs="宋体"/>
          <w:color w:val="auto"/>
          <w:kern w:val="2"/>
          <w:sz w:val="21"/>
          <w:highlight w:val="none"/>
          <w:lang w:val="zh-CN"/>
        </w:rPr>
        <w:t>上澄清的问题必须经磋商小组成员签字并由主谈人提出。在</w:t>
      </w:r>
      <w:r>
        <w:rPr>
          <w:rFonts w:hint="eastAsia" w:ascii="宋体" w:hAnsi="宋体" w:cs="宋体"/>
          <w:color w:val="auto"/>
          <w:kern w:val="2"/>
          <w:sz w:val="21"/>
          <w:highlight w:val="none"/>
          <w:lang w:val="en-US" w:eastAsia="zh-CN"/>
        </w:rPr>
        <w:t>磋商</w:t>
      </w:r>
      <w:r>
        <w:rPr>
          <w:rFonts w:hint="eastAsia" w:ascii="宋体" w:hAnsi="宋体" w:eastAsia="宋体" w:cs="宋体"/>
          <w:color w:val="auto"/>
          <w:kern w:val="2"/>
          <w:sz w:val="21"/>
          <w:highlight w:val="none"/>
          <w:lang w:val="zh-CN"/>
        </w:rPr>
        <w:t>期间，对于涉及本规定保密范畴的所有内容，主谈人不得向供应商透露。</w:t>
      </w:r>
    </w:p>
    <w:p w14:paraId="69C5A26F">
      <w:pPr>
        <w:spacing w:line="360" w:lineRule="auto"/>
        <w:ind w:left="120" w:leftChars="50" w:firstLine="525" w:firstLineChars="250"/>
        <w:jc w:val="both"/>
        <w:rPr>
          <w:rFonts w:hint="eastAsia" w:ascii="宋体" w:hAnsi="宋体" w:eastAsia="宋体" w:cs="宋体"/>
          <w:color w:val="auto"/>
          <w:highlight w:val="none"/>
        </w:rPr>
      </w:pPr>
      <w:r>
        <w:rPr>
          <w:rFonts w:hint="eastAsia" w:ascii="宋体" w:hAnsi="宋体" w:eastAsia="宋体" w:cs="宋体"/>
          <w:color w:val="auto"/>
          <w:kern w:val="2"/>
          <w:sz w:val="21"/>
          <w:highlight w:val="none"/>
          <w:lang w:val="zh-CN"/>
        </w:rPr>
        <w:t>5）任何磋商人员和工作人员不得对外公布磋商的一切内容。</w:t>
      </w:r>
    </w:p>
    <w:sectPr>
      <w:pgSz w:w="11907" w:h="16840"/>
      <w:pgMar w:top="1701" w:right="1418" w:bottom="851" w:left="1418" w:header="720" w:footer="720" w:gutter="0"/>
      <w:pgBorders w:offsetFrom="page">
        <w:top w:val="none" w:sz="0" w:space="0"/>
        <w:left w:val="none" w:sz="0" w:space="0"/>
        <w:bottom w:val="none" w:sz="0" w:space="0"/>
        <w:right w:val="none" w:sz="0" w:space="0"/>
      </w:pgBorders>
      <w:pgNumType w:fmt="decimal"/>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PMingLiU">
    <w:panose1 w:val="02020500000000000000"/>
    <w:charset w:val="88"/>
    <w:family w:val="auto"/>
    <w:pitch w:val="default"/>
    <w:sig w:usb0="A00002FF" w:usb1="28CFFCFA" w:usb2="00000016" w:usb3="00000000" w:csb0="00100001" w:csb1="00000000"/>
  </w:font>
  <w:font w:name="font-weight : 400">
    <w:altName w:val="微软雅黑"/>
    <w:panose1 w:val="00000000000000000000"/>
    <w:charset w:val="00"/>
    <w:family w:val="auto"/>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monospace">
    <w:altName w:val="微软雅黑"/>
    <w:panose1 w:val="00000000000000000000"/>
    <w:charset w:val="00"/>
    <w:family w:val="auto"/>
    <w:pitch w:val="default"/>
    <w:sig w:usb0="00000000" w:usb1="00000000" w:usb2="00000000" w:usb3="00000000" w:csb0="00040001" w:csb1="00000000"/>
  </w:font>
  <w:font w:name="Helv">
    <w:altName w:val="Segoe Print"/>
    <w:panose1 w:val="020B0604020202030204"/>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Roman">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FrutigerNext LT Light">
    <w:altName w:val="宋体"/>
    <w:panose1 w:val="00000000000000000000"/>
    <w:charset w:val="86"/>
    <w:family w:val="swiss"/>
    <w:pitch w:val="default"/>
    <w:sig w:usb0="00000000" w:usb1="00000000" w:usb2="00000010" w:usb3="00000000" w:csb0="00040001" w:csb1="00000000"/>
  </w:font>
  <w:font w:name="Cambria Math">
    <w:panose1 w:val="02040503050406030204"/>
    <w:charset w:val="00"/>
    <w:family w:val="roman"/>
    <w:pitch w:val="default"/>
    <w:sig w:usb0="E00002FF" w:usb1="420024FF" w:usb2="00000000" w:usb3="00000000" w:csb0="2000019F" w:csb1="00000000"/>
  </w:font>
  <w:font w:name="Cambria">
    <w:panose1 w:val="02040503050406030204"/>
    <w:charset w:val="00"/>
    <w:family w:val="roman"/>
    <w:pitch w:val="default"/>
    <w:sig w:usb0="E00002FF" w:usb1="400004FF" w:usb2="00000000" w:usb3="00000000" w:csb0="2000019F" w:csb1="00000000"/>
  </w:font>
  <w:font w:name="_x001A_">
    <w:altName w:val="Times New Roman"/>
    <w:panose1 w:val="00000000000000000000"/>
    <w:charset w:val="00"/>
    <w:family w:val="roman"/>
    <w:pitch w:val="default"/>
    <w:sig w:usb0="00000000" w:usb1="00000000" w:usb2="00000000" w:usb3="00000000" w:csb0="00040001" w:csb1="00000000"/>
  </w:font>
  <w:font w:name="MS Sans Serif">
    <w:altName w:val="Times New Roman"/>
    <w:panose1 w:val="00000000000000000000"/>
    <w:charset w:val="00"/>
    <w:family w:val="auto"/>
    <w:pitch w:val="default"/>
    <w:sig w:usb0="00000000" w:usb1="00000000" w:usb2="00000000" w:usb3="00000000" w:csb0="00000001" w:csb1="00000000"/>
  </w:font>
  <w:font w:name="Lucida Grande">
    <w:altName w:val="Arial"/>
    <w:panose1 w:val="020B0600040502020204"/>
    <w:charset w:val="00"/>
    <w:family w:val="auto"/>
    <w:pitch w:val="default"/>
    <w:sig w:usb0="00000000" w:usb1="00000000" w:usb2="00000000" w:usb3="00000000" w:csb0="000001BF" w:csb1="00000000"/>
  </w:font>
  <w:font w:name="Microsoft YaHei UI">
    <w:altName w:val="宋体"/>
    <w:panose1 w:val="020B0503020204020204"/>
    <w:charset w:val="86"/>
    <w:family w:val="swiss"/>
    <w:pitch w:val="default"/>
    <w:sig w:usb0="00000000" w:usb1="00000000"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MS PGothic">
    <w:panose1 w:val="020B0600070205080204"/>
    <w:charset w:val="80"/>
    <w:family w:val="auto"/>
    <w:pitch w:val="default"/>
    <w:sig w:usb0="E00002FF" w:usb1="6AC7FDFB" w:usb2="00000012" w:usb3="00000000" w:csb0="4002009F" w:csb1="DFD7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B1EF3">
    <w:pPr>
      <w:pStyle w:val="3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65C7C4">
                          <w:pPr>
                            <w:pStyle w:val="3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1e/c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cWxO25x4Ocf388/f59/fSPL&#10;LE8foMasx4B5abjxAy7N7Ad0ZtaDijZ/kQ/BOIp7uogrh0REfrRarlYVhgTG5gvis6fnIUK6k96S&#10;bDQ04vSKqPx4D2lMnVNyNedvtTFlgsb95UDM7GG597HHbKVhN0yEdr49IZ8eB99Qh3tOifnoUNe8&#10;I7MRZ2M3G4cQ9b4rS5TrQfhwSNhE6S1XGGGnwjixwm7arrwSz+8l6+mP2v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9Xv3LIAQAAmQMAAA4AAAAAAAAAAQAgAAAAHgEAAGRycy9lMm9Eb2Mu&#10;eG1sUEsFBgAAAAAGAAYAWQEAAFgFAAAAAA==&#10;">
              <v:fill on="f" focussize="0,0"/>
              <v:stroke on="f"/>
              <v:imagedata o:title=""/>
              <o:lock v:ext="edit" aspectratio="f"/>
              <v:textbox inset="0mm,0mm,0mm,0mm" style="mso-fit-shape-to-text:t;">
                <w:txbxContent>
                  <w:p w14:paraId="6B65C7C4">
                    <w:pPr>
                      <w:pStyle w:val="3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D5E8E">
    <w:pPr>
      <w:pStyle w:val="39"/>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8C7226">
                          <w:pPr>
                            <w:pStyle w:val="39"/>
                          </w:pPr>
                          <w:r>
                            <w:t xml:space="preserve">第 </w:t>
                          </w:r>
                          <w:r>
                            <w:fldChar w:fldCharType="begin"/>
                          </w:r>
                          <w:r>
                            <w:instrText xml:space="preserve"> PAGE  \* MERGEFORMAT </w:instrText>
                          </w:r>
                          <w:r>
                            <w:fldChar w:fldCharType="separate"/>
                          </w:r>
                          <w:r>
                            <w:t>50</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1UOcgBAACa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gWN2FJieMWJ37++eP868/593dy&#10;nfXpA9SY9hAwMQ0f/IC5sx/QmWkPKtr8RUIE46ju6aKuHBIR+dFquVpVGBIYmy+Izx6fhwjpo/SW&#10;ZKOhEcdXVOXHO0hj6pySqzl/q40pIzTuPwdiZg/LvY89ZisNu2EitPPtCfn0OPmGOlx0Sswnh8Lm&#10;JZmNOBu72TiEqPdd2aJcD8L7Q8ImSm+5wgg7FcaRFXbTeuWd+Pdesh5/qc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IDdVDnIAQAAmgMAAA4AAAAAAAAAAQAgAAAAHgEAAGRycy9lMm9Eb2Mu&#10;eG1sUEsFBgAAAAAGAAYAWQEAAFgFAAAAAA==&#10;">
              <v:fill on="f" focussize="0,0"/>
              <v:stroke on="f"/>
              <v:imagedata o:title=""/>
              <o:lock v:ext="edit" aspectratio="f"/>
              <v:textbox inset="0mm,0mm,0mm,0mm" style="mso-fit-shape-to-text:t;">
                <w:txbxContent>
                  <w:p w14:paraId="788C7226">
                    <w:pPr>
                      <w:pStyle w:val="39"/>
                    </w:pPr>
                    <w:r>
                      <w:t xml:space="preserve">第 </w:t>
                    </w:r>
                    <w:r>
                      <w:fldChar w:fldCharType="begin"/>
                    </w:r>
                    <w:r>
                      <w:instrText xml:space="preserve"> PAGE  \* MERGEFORMAT </w:instrText>
                    </w:r>
                    <w:r>
                      <w:fldChar w:fldCharType="separate"/>
                    </w:r>
                    <w:r>
                      <w:t>50</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mc:Fallback>
      </mc:AlternateContent>
    </w:r>
  </w:p>
  <w:p w14:paraId="3BC1922B">
    <w:pPr>
      <w:rPr>
        <w:rFonts w:hint="eastAsia"/>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34DC0">
    <w:pPr>
      <w:pStyle w:val="3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C0A63D">
                          <w:pPr>
                            <w:pStyle w:val="39"/>
                          </w:pPr>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LvjDskBAACa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aEsctTvz888f515/z7+/k&#10;b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wu+MOyQEAAJoDAAAOAAAAAAAAAAEAIAAAAB4BAABkcnMvZTJvRG9j&#10;LnhtbFBLBQYAAAAABgAGAFkBAABZBQAAAAA=&#10;">
              <v:fill on="f" focussize="0,0"/>
              <v:stroke on="f"/>
              <v:imagedata o:title=""/>
              <o:lock v:ext="edit" aspectratio="f"/>
              <v:textbox inset="0mm,0mm,0mm,0mm" style="mso-fit-shape-to-text:t;">
                <w:txbxContent>
                  <w:p w14:paraId="11C0A63D">
                    <w:pPr>
                      <w:pStyle w:val="39"/>
                    </w:pPr>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mc:Fallback>
      </mc:AlternateContent>
    </w:r>
  </w:p>
  <w:p w14:paraId="7E030A0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BDC2C">
    <w:pPr>
      <w:pStyle w:val="39"/>
      <w:framePr w:wrap="around" w:vAnchor="text" w:hAnchor="margin" w:xAlign="center" w:y="1"/>
      <w:rPr>
        <w:rStyle w:val="60"/>
      </w:rPr>
    </w:pPr>
    <w:r>
      <w:fldChar w:fldCharType="begin"/>
    </w:r>
    <w:r>
      <w:rPr>
        <w:rStyle w:val="60"/>
      </w:rPr>
      <w:instrText xml:space="preserve">PAGE  </w:instrText>
    </w:r>
    <w:r>
      <w:fldChar w:fldCharType="end"/>
    </w:r>
  </w:p>
  <w:p w14:paraId="1715E7C0">
    <w:pPr>
      <w:pStyle w:val="39"/>
      <w:ind w:right="360"/>
    </w:pPr>
  </w:p>
  <w:p w14:paraId="51DFD286"/>
  <w:p w14:paraId="7C7F1773"/>
  <w:p w14:paraId="07CA4CD5"/>
  <w:p w14:paraId="7A92AEA3"/>
  <w:p w14:paraId="028898B2"/>
  <w:p w14:paraId="06C5B1A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985E9">
    <w:pPr>
      <w:pStyle w:val="3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5F9934">
                          <w:pPr>
                            <w:pStyle w:val="3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zEIRckBAACZ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L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vMQhFyQEAAJkDAAAOAAAAAAAAAAEAIAAAAB4BAABkcnMvZTJvRG9j&#10;LnhtbFBLBQYAAAAABgAGAFkBAABZBQAAAAA=&#10;">
              <v:fill on="f" focussize="0,0"/>
              <v:stroke on="f"/>
              <v:imagedata o:title=""/>
              <o:lock v:ext="edit" aspectratio="f"/>
              <v:textbox inset="0mm,0mm,0mm,0mm" style="mso-fit-shape-to-text:t;">
                <w:txbxContent>
                  <w:p w14:paraId="4E5F9934">
                    <w:pPr>
                      <w:pStyle w:val="3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09F9D">
    <w:pPr>
      <w:pStyle w:val="39"/>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3DEFF">
    <w:pPr>
      <w:pStyle w:val="39"/>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1E51B">
    <w:pPr>
      <w:pStyle w:val="39"/>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5E2CA">
    <w:pPr>
      <w:pStyle w:val="39"/>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F604E">
    <w:pPr>
      <w:pStyle w:val="39"/>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786A9">
    <w:pPr>
      <w:pStyle w:val="39"/>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B212B">
    <w:pPr>
      <w:pStyle w:val="40"/>
      <w:pBdr>
        <w:top w:val="none" w:color="auto" w:sz="0" w:space="0"/>
        <w:left w:val="none" w:color="auto" w:sz="0" w:space="0"/>
        <w:bottom w:val="none" w:color="auto" w:sz="0" w:space="1"/>
        <w:right w:val="none" w:color="auto" w:sz="0" w:space="0"/>
        <w:between w:val="none" w:color="auto" w:sz="0" w:space="0"/>
      </w:pBdr>
      <w:rPr>
        <w:rFonts w:hint="eastAsia" w:ascii="宋体" w:hAnsi="宋体" w:eastAsia="宋体" w:cs="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99128">
    <w:pPr>
      <w:pStyle w:val="22"/>
      <w:jc w:val="left"/>
      <w:rPr>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CE375">
    <w:pP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FEB810"/>
    <w:multiLevelType w:val="singleLevel"/>
    <w:tmpl w:val="EEFEB810"/>
    <w:lvl w:ilvl="0" w:tentative="0">
      <w:start w:val="1"/>
      <w:numFmt w:val="decimal"/>
      <w:suff w:val="nothing"/>
      <w:lvlText w:val="（%1）"/>
      <w:lvlJc w:val="left"/>
    </w:lvl>
  </w:abstractNum>
  <w:abstractNum w:abstractNumId="1">
    <w:nsid w:val="027C0FD1"/>
    <w:multiLevelType w:val="multilevel"/>
    <w:tmpl w:val="027C0FD1"/>
    <w:lvl w:ilvl="0" w:tentative="0">
      <w:start w:val="1"/>
      <w:numFmt w:val="decimal"/>
      <w:lvlText w:val="%1"/>
      <w:lvlJc w:val="left"/>
      <w:pPr>
        <w:tabs>
          <w:tab w:val="left" w:pos="425"/>
        </w:tabs>
        <w:ind w:left="425" w:hanging="425"/>
      </w:pPr>
      <w:rPr>
        <w:rFonts w:hint="eastAsia"/>
      </w:rPr>
    </w:lvl>
    <w:lvl w:ilvl="1" w:tentative="0">
      <w:start w:val="1"/>
      <w:numFmt w:val="chineseCountingThousand"/>
      <w:lvlText w:val="(%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pStyle w:val="478"/>
      <w:lvlText w:val="%1.%2.%3.%4.%5.%6.%7.%8.%9."/>
      <w:lvlJc w:val="left"/>
      <w:pPr>
        <w:tabs>
          <w:tab w:val="left" w:pos="1559"/>
        </w:tabs>
        <w:ind w:left="1559" w:hanging="1559"/>
      </w:pPr>
      <w:rPr>
        <w:rFonts w:hint="eastAsia"/>
      </w:rPr>
    </w:lvl>
  </w:abstractNum>
  <w:abstractNum w:abstractNumId="2">
    <w:nsid w:val="115801B5"/>
    <w:multiLevelType w:val="multilevel"/>
    <w:tmpl w:val="115801B5"/>
    <w:lvl w:ilvl="0" w:tentative="0">
      <w:start w:val="1"/>
      <w:numFmt w:val="decimal"/>
      <w:pStyle w:val="477"/>
      <w:lvlText w:val="%1"/>
      <w:lvlJc w:val="left"/>
      <w:pPr>
        <w:tabs>
          <w:tab w:val="left" w:pos="425"/>
        </w:tabs>
        <w:ind w:left="425" w:hanging="425"/>
      </w:pPr>
      <w:rPr>
        <w:rFonts w:hint="eastAsia"/>
      </w:rPr>
    </w:lvl>
    <w:lvl w:ilvl="1" w:tentative="0">
      <w:start w:val="1"/>
      <w:numFmt w:val="chineseCountingThousand"/>
      <w:lvlText w:val="(%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1199E657"/>
    <w:multiLevelType w:val="singleLevel"/>
    <w:tmpl w:val="1199E657"/>
    <w:lvl w:ilvl="0" w:tentative="0">
      <w:start w:val="1"/>
      <w:numFmt w:val="decimal"/>
      <w:suff w:val="nothing"/>
      <w:lvlText w:val="%1．"/>
      <w:lvlJc w:val="left"/>
      <w:pPr>
        <w:ind w:left="0" w:firstLine="400"/>
      </w:pPr>
      <w:rPr>
        <w:rFonts w:hint="default"/>
      </w:rPr>
    </w:lvl>
  </w:abstractNum>
  <w:abstractNum w:abstractNumId="4">
    <w:nsid w:val="1EC9440B"/>
    <w:multiLevelType w:val="multilevel"/>
    <w:tmpl w:val="1EC9440B"/>
    <w:lvl w:ilvl="0" w:tentative="0">
      <w:start w:val="1"/>
      <w:numFmt w:val="decimal"/>
      <w:pStyle w:val="607"/>
      <w:lvlText w:val="%1"/>
      <w:lvlJc w:val="left"/>
      <w:pPr>
        <w:tabs>
          <w:tab w:val="left" w:pos="425"/>
        </w:tabs>
        <w:ind w:left="425" w:hanging="425"/>
      </w:pPr>
      <w:rPr>
        <w:rFonts w:hint="eastAsia"/>
      </w:rPr>
    </w:lvl>
    <w:lvl w:ilvl="1" w:tentative="0">
      <w:start w:val="1"/>
      <w:numFmt w:val="chineseCountingThousand"/>
      <w:lvlText w:val="(%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23466618"/>
    <w:multiLevelType w:val="multilevel"/>
    <w:tmpl w:val="23466618"/>
    <w:lvl w:ilvl="0" w:tentative="0">
      <w:start w:val="1"/>
      <w:numFmt w:val="decimal"/>
      <w:pStyle w:val="572"/>
      <w:lvlText w:val="%1"/>
      <w:lvlJc w:val="left"/>
      <w:pPr>
        <w:tabs>
          <w:tab w:val="left" w:pos="425"/>
        </w:tabs>
        <w:ind w:left="425" w:hanging="425"/>
      </w:pPr>
      <w:rPr>
        <w:rFonts w:hint="eastAsia"/>
      </w:rPr>
    </w:lvl>
    <w:lvl w:ilvl="1" w:tentative="0">
      <w:start w:val="1"/>
      <w:numFmt w:val="chineseCountingThousand"/>
      <w:lvlText w:val="(%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25DE29EA"/>
    <w:multiLevelType w:val="singleLevel"/>
    <w:tmpl w:val="25DE29EA"/>
    <w:lvl w:ilvl="0" w:tentative="0">
      <w:start w:val="7"/>
      <w:numFmt w:val="chineseCounting"/>
      <w:suff w:val="nothing"/>
      <w:lvlText w:val="%1、"/>
      <w:lvlJc w:val="left"/>
      <w:rPr>
        <w:rFonts w:hint="eastAsia"/>
      </w:rPr>
    </w:lvl>
  </w:abstractNum>
  <w:abstractNum w:abstractNumId="7">
    <w:nsid w:val="2B8C6822"/>
    <w:multiLevelType w:val="multilevel"/>
    <w:tmpl w:val="2B8C6822"/>
    <w:lvl w:ilvl="0" w:tentative="0">
      <w:start w:val="1"/>
      <w:numFmt w:val="decimal"/>
      <w:lvlText w:val="%1"/>
      <w:lvlJc w:val="left"/>
      <w:pPr>
        <w:tabs>
          <w:tab w:val="left" w:pos="425"/>
        </w:tabs>
        <w:ind w:left="425" w:hanging="425"/>
      </w:pPr>
      <w:rPr>
        <w:rFonts w:hint="eastAsia"/>
      </w:rPr>
    </w:lvl>
    <w:lvl w:ilvl="1" w:tentative="0">
      <w:start w:val="1"/>
      <w:numFmt w:val="chineseCountingThousand"/>
      <w:lvlText w:val="(%2)"/>
      <w:lvlJc w:val="left"/>
      <w:pPr>
        <w:tabs>
          <w:tab w:val="left" w:pos="567"/>
        </w:tabs>
        <w:ind w:left="567" w:hanging="567"/>
      </w:pPr>
      <w:rPr>
        <w:rFonts w:hint="eastAsia"/>
        <w:b w:val="0"/>
        <w:bCs/>
      </w:rPr>
    </w:lvl>
    <w:lvl w:ilvl="2" w:tentative="0">
      <w:start w:val="1"/>
      <w:numFmt w:val="decimal"/>
      <w:pStyle w:val="498"/>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2F8D6FBB"/>
    <w:multiLevelType w:val="multilevel"/>
    <w:tmpl w:val="2F8D6FBB"/>
    <w:lvl w:ilvl="0" w:tentative="0">
      <w:start w:val="1"/>
      <w:numFmt w:val="decimal"/>
      <w:pStyle w:val="584"/>
      <w:lvlText w:val="%1."/>
      <w:legacy w:legacy="1" w:legacySpace="0" w:legacyIndent="360"/>
      <w:lvlJc w:val="left"/>
      <w:rPr>
        <w:rFonts w:hint="eastAsia" w:ascii="等线 Light" w:hAnsi="等线 Light" w:eastAsia="等线 Light"/>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9">
    <w:nsid w:val="52F84DAB"/>
    <w:multiLevelType w:val="multilevel"/>
    <w:tmpl w:val="52F84DAB"/>
    <w:lvl w:ilvl="0" w:tentative="0">
      <w:start w:val="1"/>
      <w:numFmt w:val="decimal"/>
      <w:lvlText w:val="%1"/>
      <w:lvlJc w:val="left"/>
      <w:pPr>
        <w:tabs>
          <w:tab w:val="left" w:pos="425"/>
        </w:tabs>
        <w:ind w:left="425" w:hanging="425"/>
      </w:pPr>
      <w:rPr>
        <w:rFonts w:hint="eastAsia"/>
      </w:rPr>
    </w:lvl>
    <w:lvl w:ilvl="1" w:tentative="0">
      <w:start w:val="1"/>
      <w:numFmt w:val="chineseCountingThousand"/>
      <w:pStyle w:val="475"/>
      <w:lvlText w:val="(%2)"/>
      <w:lvlJc w:val="left"/>
      <w:pPr>
        <w:tabs>
          <w:tab w:val="left" w:pos="567"/>
        </w:tabs>
        <w:ind w:left="567" w:hanging="567"/>
      </w:pPr>
      <w:rPr>
        <w:rFonts w:hint="eastAsia"/>
        <w:b w:val="0"/>
        <w:bCs/>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572D1240"/>
    <w:multiLevelType w:val="multilevel"/>
    <w:tmpl w:val="572D1240"/>
    <w:lvl w:ilvl="0" w:tentative="0">
      <w:start w:val="1"/>
      <w:numFmt w:val="decimal"/>
      <w:pStyle w:val="525"/>
      <w:lvlText w:val="%1"/>
      <w:lvlJc w:val="left"/>
      <w:pPr>
        <w:tabs>
          <w:tab w:val="left" w:pos="425"/>
        </w:tabs>
        <w:ind w:left="425" w:hanging="425"/>
      </w:pPr>
      <w:rPr>
        <w:rFonts w:hint="eastAsia"/>
      </w:rPr>
    </w:lvl>
    <w:lvl w:ilvl="1" w:tentative="0">
      <w:start w:val="1"/>
      <w:numFmt w:val="chineseCountingThousand"/>
      <w:lvlText w:val="(%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5B4DB846"/>
    <w:multiLevelType w:val="singleLevel"/>
    <w:tmpl w:val="5B4DB846"/>
    <w:lvl w:ilvl="0" w:tentative="0">
      <w:start w:val="6"/>
      <w:numFmt w:val="chineseCounting"/>
      <w:pStyle w:val="18"/>
      <w:suff w:val="space"/>
      <w:lvlText w:val="第%1条"/>
      <w:lvlJc w:val="left"/>
    </w:lvl>
  </w:abstractNum>
  <w:abstractNum w:abstractNumId="12">
    <w:nsid w:val="669288AD"/>
    <w:multiLevelType w:val="singleLevel"/>
    <w:tmpl w:val="669288AD"/>
    <w:lvl w:ilvl="0" w:tentative="0">
      <w:start w:val="2"/>
      <w:numFmt w:val="decimal"/>
      <w:suff w:val="nothing"/>
      <w:lvlText w:val="（%1）"/>
      <w:lvlJc w:val="left"/>
    </w:lvl>
  </w:abstractNum>
  <w:abstractNum w:abstractNumId="13">
    <w:nsid w:val="69D4D353"/>
    <w:multiLevelType w:val="singleLevel"/>
    <w:tmpl w:val="69D4D353"/>
    <w:lvl w:ilvl="0" w:tentative="0">
      <w:start w:val="1"/>
      <w:numFmt w:val="decimal"/>
      <w:suff w:val="nothing"/>
      <w:lvlText w:val="（%1）"/>
      <w:lvlJc w:val="left"/>
    </w:lvl>
  </w:abstractNum>
  <w:abstractNum w:abstractNumId="14">
    <w:nsid w:val="7E8B76FF"/>
    <w:multiLevelType w:val="multilevel"/>
    <w:tmpl w:val="7E8B76FF"/>
    <w:lvl w:ilvl="0" w:tentative="0">
      <w:start w:val="1"/>
      <w:numFmt w:val="decimal"/>
      <w:pStyle w:val="28"/>
      <w:lvlText w:val="%1、"/>
      <w:lvlJc w:val="left"/>
      <w:pPr>
        <w:tabs>
          <w:tab w:val="left" w:pos="360"/>
        </w:tabs>
        <w:ind w:left="340" w:hanging="340"/>
      </w:pPr>
      <w:rPr>
        <w:rFonts w:hint="default"/>
      </w:rPr>
    </w:lvl>
    <w:lvl w:ilvl="1" w:tentative="0">
      <w:start w:val="1"/>
      <w:numFmt w:val="decimal"/>
      <w:lvlText w:val="%2)"/>
      <w:lvlJc w:val="left"/>
      <w:pPr>
        <w:tabs>
          <w:tab w:val="left" w:pos="786"/>
        </w:tabs>
        <w:ind w:left="786" w:hanging="360"/>
      </w:pPr>
      <w:rPr>
        <w:rFonts w:hint="default"/>
        <w:color w:val="auto"/>
      </w:rPr>
    </w:lvl>
    <w:lvl w:ilvl="2" w:tentative="0">
      <w:start w:val="3"/>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1"/>
  </w:num>
  <w:num w:numId="2">
    <w:abstractNumId w:val="14"/>
  </w:num>
  <w:num w:numId="3">
    <w:abstractNumId w:val="13"/>
  </w:num>
  <w:num w:numId="4">
    <w:abstractNumId w:val="9"/>
  </w:num>
  <w:num w:numId="5">
    <w:abstractNumId w:val="2"/>
  </w:num>
  <w:num w:numId="6">
    <w:abstractNumId w:val="1"/>
  </w:num>
  <w:num w:numId="7">
    <w:abstractNumId w:val="7"/>
  </w:num>
  <w:num w:numId="8">
    <w:abstractNumId w:val="10"/>
  </w:num>
  <w:num w:numId="9">
    <w:abstractNumId w:val="5"/>
  </w:num>
  <w:num w:numId="10">
    <w:abstractNumId w:val="8"/>
  </w:num>
  <w:num w:numId="11">
    <w:abstractNumId w:val="4"/>
  </w:num>
  <w:num w:numId="12">
    <w:abstractNumId w:val="3"/>
  </w:num>
  <w:num w:numId="13">
    <w:abstractNumId w:val="12"/>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hyphenationZone w:val="360"/>
  <w:drawingGridHorizontalSpacing w:val="1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5ODE3YmQ4YWE2MTA3ODk4MTRlMWQ3NmVkMTlhZjkifQ=="/>
  </w:docVars>
  <w:rsids>
    <w:rsidRoot w:val="00172A27"/>
    <w:rsid w:val="0000033B"/>
    <w:rsid w:val="000004D8"/>
    <w:rsid w:val="00000A48"/>
    <w:rsid w:val="00001384"/>
    <w:rsid w:val="0000145D"/>
    <w:rsid w:val="000014AA"/>
    <w:rsid w:val="00001F26"/>
    <w:rsid w:val="0000293E"/>
    <w:rsid w:val="000031BA"/>
    <w:rsid w:val="000033DB"/>
    <w:rsid w:val="000036B5"/>
    <w:rsid w:val="00003B3D"/>
    <w:rsid w:val="00004156"/>
    <w:rsid w:val="00004AC9"/>
    <w:rsid w:val="00004D05"/>
    <w:rsid w:val="00004F7C"/>
    <w:rsid w:val="00005043"/>
    <w:rsid w:val="00005297"/>
    <w:rsid w:val="00005507"/>
    <w:rsid w:val="00005BF8"/>
    <w:rsid w:val="00006195"/>
    <w:rsid w:val="00006738"/>
    <w:rsid w:val="00007089"/>
    <w:rsid w:val="00007345"/>
    <w:rsid w:val="00007716"/>
    <w:rsid w:val="000079EA"/>
    <w:rsid w:val="00007A04"/>
    <w:rsid w:val="00007C62"/>
    <w:rsid w:val="00007DA6"/>
    <w:rsid w:val="00010367"/>
    <w:rsid w:val="0001123B"/>
    <w:rsid w:val="000112F4"/>
    <w:rsid w:val="000113B2"/>
    <w:rsid w:val="000113BF"/>
    <w:rsid w:val="00011BA9"/>
    <w:rsid w:val="000122D0"/>
    <w:rsid w:val="00012E7B"/>
    <w:rsid w:val="0001406B"/>
    <w:rsid w:val="00014400"/>
    <w:rsid w:val="000145A6"/>
    <w:rsid w:val="00014E7F"/>
    <w:rsid w:val="00015044"/>
    <w:rsid w:val="00015146"/>
    <w:rsid w:val="00015373"/>
    <w:rsid w:val="0001553F"/>
    <w:rsid w:val="000156AA"/>
    <w:rsid w:val="00015725"/>
    <w:rsid w:val="00015822"/>
    <w:rsid w:val="00015ECB"/>
    <w:rsid w:val="00016090"/>
    <w:rsid w:val="00016149"/>
    <w:rsid w:val="00016244"/>
    <w:rsid w:val="00016657"/>
    <w:rsid w:val="00016E51"/>
    <w:rsid w:val="000177BE"/>
    <w:rsid w:val="00017E79"/>
    <w:rsid w:val="00017FAD"/>
    <w:rsid w:val="00020534"/>
    <w:rsid w:val="00020BBC"/>
    <w:rsid w:val="00021475"/>
    <w:rsid w:val="00021E70"/>
    <w:rsid w:val="00021F28"/>
    <w:rsid w:val="00021FDC"/>
    <w:rsid w:val="00022434"/>
    <w:rsid w:val="00022A75"/>
    <w:rsid w:val="00022B36"/>
    <w:rsid w:val="00022F7B"/>
    <w:rsid w:val="00023124"/>
    <w:rsid w:val="0002334F"/>
    <w:rsid w:val="00023385"/>
    <w:rsid w:val="0002437D"/>
    <w:rsid w:val="0002493B"/>
    <w:rsid w:val="00024A55"/>
    <w:rsid w:val="00024BD4"/>
    <w:rsid w:val="00024E24"/>
    <w:rsid w:val="000251B9"/>
    <w:rsid w:val="000255AC"/>
    <w:rsid w:val="00026007"/>
    <w:rsid w:val="00026292"/>
    <w:rsid w:val="000267B4"/>
    <w:rsid w:val="00026ABF"/>
    <w:rsid w:val="00027107"/>
    <w:rsid w:val="0002720D"/>
    <w:rsid w:val="00027587"/>
    <w:rsid w:val="00027D04"/>
    <w:rsid w:val="00027E42"/>
    <w:rsid w:val="0003121B"/>
    <w:rsid w:val="00031793"/>
    <w:rsid w:val="00031AC9"/>
    <w:rsid w:val="00031C8B"/>
    <w:rsid w:val="00031C8E"/>
    <w:rsid w:val="00031DD4"/>
    <w:rsid w:val="00031F4C"/>
    <w:rsid w:val="00031F9D"/>
    <w:rsid w:val="00032201"/>
    <w:rsid w:val="0003229F"/>
    <w:rsid w:val="000322CF"/>
    <w:rsid w:val="00032384"/>
    <w:rsid w:val="00033203"/>
    <w:rsid w:val="000339C4"/>
    <w:rsid w:val="00033DEF"/>
    <w:rsid w:val="00033FFB"/>
    <w:rsid w:val="0003410A"/>
    <w:rsid w:val="0003466F"/>
    <w:rsid w:val="0003490A"/>
    <w:rsid w:val="00034E66"/>
    <w:rsid w:val="000351A9"/>
    <w:rsid w:val="0003573C"/>
    <w:rsid w:val="000359DE"/>
    <w:rsid w:val="00035B8C"/>
    <w:rsid w:val="00035C80"/>
    <w:rsid w:val="00036A97"/>
    <w:rsid w:val="0003759C"/>
    <w:rsid w:val="00040187"/>
    <w:rsid w:val="0004081E"/>
    <w:rsid w:val="00040A10"/>
    <w:rsid w:val="00040B47"/>
    <w:rsid w:val="000419FD"/>
    <w:rsid w:val="00041BDE"/>
    <w:rsid w:val="00041E42"/>
    <w:rsid w:val="0004217E"/>
    <w:rsid w:val="000427DE"/>
    <w:rsid w:val="00042BF1"/>
    <w:rsid w:val="00042D41"/>
    <w:rsid w:val="00043BBF"/>
    <w:rsid w:val="00044171"/>
    <w:rsid w:val="00044272"/>
    <w:rsid w:val="000444C8"/>
    <w:rsid w:val="000449CB"/>
    <w:rsid w:val="00044E06"/>
    <w:rsid w:val="0004507A"/>
    <w:rsid w:val="00045120"/>
    <w:rsid w:val="000451E8"/>
    <w:rsid w:val="0004527C"/>
    <w:rsid w:val="000461E4"/>
    <w:rsid w:val="000463B3"/>
    <w:rsid w:val="0004682F"/>
    <w:rsid w:val="00046D80"/>
    <w:rsid w:val="00047935"/>
    <w:rsid w:val="000479CD"/>
    <w:rsid w:val="00047B8E"/>
    <w:rsid w:val="00047F1B"/>
    <w:rsid w:val="00051BA1"/>
    <w:rsid w:val="00051C5B"/>
    <w:rsid w:val="00051E3C"/>
    <w:rsid w:val="00051F96"/>
    <w:rsid w:val="00052DE9"/>
    <w:rsid w:val="00053D70"/>
    <w:rsid w:val="00053F7F"/>
    <w:rsid w:val="000541E3"/>
    <w:rsid w:val="000545E2"/>
    <w:rsid w:val="000546A8"/>
    <w:rsid w:val="00054B86"/>
    <w:rsid w:val="00055978"/>
    <w:rsid w:val="000561E3"/>
    <w:rsid w:val="000564D7"/>
    <w:rsid w:val="00056A02"/>
    <w:rsid w:val="00056BD4"/>
    <w:rsid w:val="000571C6"/>
    <w:rsid w:val="00057559"/>
    <w:rsid w:val="00057573"/>
    <w:rsid w:val="00060006"/>
    <w:rsid w:val="000604BB"/>
    <w:rsid w:val="00060AA1"/>
    <w:rsid w:val="00061B6F"/>
    <w:rsid w:val="00061F9E"/>
    <w:rsid w:val="0006202C"/>
    <w:rsid w:val="00062C32"/>
    <w:rsid w:val="000637E4"/>
    <w:rsid w:val="0006396E"/>
    <w:rsid w:val="00063B2A"/>
    <w:rsid w:val="00063CB4"/>
    <w:rsid w:val="00064AB0"/>
    <w:rsid w:val="00065283"/>
    <w:rsid w:val="000652FC"/>
    <w:rsid w:val="00065C22"/>
    <w:rsid w:val="00065CBF"/>
    <w:rsid w:val="00065F1F"/>
    <w:rsid w:val="00066C42"/>
    <w:rsid w:val="00066D70"/>
    <w:rsid w:val="00066FCB"/>
    <w:rsid w:val="0006748D"/>
    <w:rsid w:val="00067973"/>
    <w:rsid w:val="00067CF6"/>
    <w:rsid w:val="00067DFE"/>
    <w:rsid w:val="00067FF3"/>
    <w:rsid w:val="00070787"/>
    <w:rsid w:val="00070DCB"/>
    <w:rsid w:val="00071F67"/>
    <w:rsid w:val="00072C3B"/>
    <w:rsid w:val="00072C8D"/>
    <w:rsid w:val="000732DB"/>
    <w:rsid w:val="0007396A"/>
    <w:rsid w:val="000739F4"/>
    <w:rsid w:val="00073C18"/>
    <w:rsid w:val="00073EE6"/>
    <w:rsid w:val="0007409C"/>
    <w:rsid w:val="000741A0"/>
    <w:rsid w:val="0007421C"/>
    <w:rsid w:val="0007533A"/>
    <w:rsid w:val="0007560D"/>
    <w:rsid w:val="00075B43"/>
    <w:rsid w:val="00077DA2"/>
    <w:rsid w:val="0008029C"/>
    <w:rsid w:val="000806E4"/>
    <w:rsid w:val="000807BB"/>
    <w:rsid w:val="00080BB6"/>
    <w:rsid w:val="00081050"/>
    <w:rsid w:val="000810B6"/>
    <w:rsid w:val="00081285"/>
    <w:rsid w:val="00081815"/>
    <w:rsid w:val="00081A68"/>
    <w:rsid w:val="00081D58"/>
    <w:rsid w:val="000821A4"/>
    <w:rsid w:val="00082411"/>
    <w:rsid w:val="000828B9"/>
    <w:rsid w:val="00082F8C"/>
    <w:rsid w:val="00083591"/>
    <w:rsid w:val="000835A2"/>
    <w:rsid w:val="00083639"/>
    <w:rsid w:val="000837B8"/>
    <w:rsid w:val="0008386F"/>
    <w:rsid w:val="00083DC1"/>
    <w:rsid w:val="000840C7"/>
    <w:rsid w:val="00084DC3"/>
    <w:rsid w:val="00085354"/>
    <w:rsid w:val="00085849"/>
    <w:rsid w:val="00085C17"/>
    <w:rsid w:val="00085F66"/>
    <w:rsid w:val="00085F9E"/>
    <w:rsid w:val="00086402"/>
    <w:rsid w:val="000867FB"/>
    <w:rsid w:val="00087168"/>
    <w:rsid w:val="00087178"/>
    <w:rsid w:val="000871F0"/>
    <w:rsid w:val="000872C7"/>
    <w:rsid w:val="00087A37"/>
    <w:rsid w:val="00090491"/>
    <w:rsid w:val="0009129F"/>
    <w:rsid w:val="0009135D"/>
    <w:rsid w:val="000917F4"/>
    <w:rsid w:val="000920E2"/>
    <w:rsid w:val="000921FA"/>
    <w:rsid w:val="000922C3"/>
    <w:rsid w:val="00092B8C"/>
    <w:rsid w:val="00092D0D"/>
    <w:rsid w:val="000931C5"/>
    <w:rsid w:val="00093438"/>
    <w:rsid w:val="000948F2"/>
    <w:rsid w:val="00094905"/>
    <w:rsid w:val="00094CA6"/>
    <w:rsid w:val="00094D9E"/>
    <w:rsid w:val="00094DCA"/>
    <w:rsid w:val="00094E96"/>
    <w:rsid w:val="00094F30"/>
    <w:rsid w:val="0009552D"/>
    <w:rsid w:val="00095DF6"/>
    <w:rsid w:val="00095F0E"/>
    <w:rsid w:val="00096BAF"/>
    <w:rsid w:val="000977FF"/>
    <w:rsid w:val="000978E8"/>
    <w:rsid w:val="00097BC7"/>
    <w:rsid w:val="00097E30"/>
    <w:rsid w:val="000A064E"/>
    <w:rsid w:val="000A0861"/>
    <w:rsid w:val="000A0979"/>
    <w:rsid w:val="000A0A86"/>
    <w:rsid w:val="000A1B6B"/>
    <w:rsid w:val="000A1C7A"/>
    <w:rsid w:val="000A1DB9"/>
    <w:rsid w:val="000A1F95"/>
    <w:rsid w:val="000A22E0"/>
    <w:rsid w:val="000A37D9"/>
    <w:rsid w:val="000A427B"/>
    <w:rsid w:val="000A5080"/>
    <w:rsid w:val="000A5107"/>
    <w:rsid w:val="000A5697"/>
    <w:rsid w:val="000A5857"/>
    <w:rsid w:val="000A58F0"/>
    <w:rsid w:val="000A5AD3"/>
    <w:rsid w:val="000A5B72"/>
    <w:rsid w:val="000A5F92"/>
    <w:rsid w:val="000A648B"/>
    <w:rsid w:val="000A6D3C"/>
    <w:rsid w:val="000A6F71"/>
    <w:rsid w:val="000A70FF"/>
    <w:rsid w:val="000A74D3"/>
    <w:rsid w:val="000A7ECF"/>
    <w:rsid w:val="000A7F63"/>
    <w:rsid w:val="000B0338"/>
    <w:rsid w:val="000B04A8"/>
    <w:rsid w:val="000B0C76"/>
    <w:rsid w:val="000B132D"/>
    <w:rsid w:val="000B13DB"/>
    <w:rsid w:val="000B145F"/>
    <w:rsid w:val="000B211C"/>
    <w:rsid w:val="000B236E"/>
    <w:rsid w:val="000B2756"/>
    <w:rsid w:val="000B3481"/>
    <w:rsid w:val="000B3909"/>
    <w:rsid w:val="000B3AED"/>
    <w:rsid w:val="000B3FF8"/>
    <w:rsid w:val="000B429E"/>
    <w:rsid w:val="000B56C1"/>
    <w:rsid w:val="000B5759"/>
    <w:rsid w:val="000B5D35"/>
    <w:rsid w:val="000B61F5"/>
    <w:rsid w:val="000B6345"/>
    <w:rsid w:val="000B668E"/>
    <w:rsid w:val="000B682D"/>
    <w:rsid w:val="000B694F"/>
    <w:rsid w:val="000B6B79"/>
    <w:rsid w:val="000B72C4"/>
    <w:rsid w:val="000B742F"/>
    <w:rsid w:val="000B7F0F"/>
    <w:rsid w:val="000B7FD1"/>
    <w:rsid w:val="000C07BA"/>
    <w:rsid w:val="000C0FCF"/>
    <w:rsid w:val="000C104B"/>
    <w:rsid w:val="000C1875"/>
    <w:rsid w:val="000C1D23"/>
    <w:rsid w:val="000C29A0"/>
    <w:rsid w:val="000C2DA6"/>
    <w:rsid w:val="000C2FE8"/>
    <w:rsid w:val="000C3106"/>
    <w:rsid w:val="000C39A6"/>
    <w:rsid w:val="000C407F"/>
    <w:rsid w:val="000C4728"/>
    <w:rsid w:val="000C4965"/>
    <w:rsid w:val="000C4B4C"/>
    <w:rsid w:val="000C4F9C"/>
    <w:rsid w:val="000C52E5"/>
    <w:rsid w:val="000C5989"/>
    <w:rsid w:val="000C5992"/>
    <w:rsid w:val="000C5BC6"/>
    <w:rsid w:val="000C5C86"/>
    <w:rsid w:val="000C66C4"/>
    <w:rsid w:val="000C673C"/>
    <w:rsid w:val="000C6D36"/>
    <w:rsid w:val="000C7D7E"/>
    <w:rsid w:val="000D041A"/>
    <w:rsid w:val="000D0C5F"/>
    <w:rsid w:val="000D1B62"/>
    <w:rsid w:val="000D1BAD"/>
    <w:rsid w:val="000D276F"/>
    <w:rsid w:val="000D27B9"/>
    <w:rsid w:val="000D2D6D"/>
    <w:rsid w:val="000D31D2"/>
    <w:rsid w:val="000D3815"/>
    <w:rsid w:val="000D397B"/>
    <w:rsid w:val="000D3999"/>
    <w:rsid w:val="000D4302"/>
    <w:rsid w:val="000D4367"/>
    <w:rsid w:val="000D47D4"/>
    <w:rsid w:val="000D496A"/>
    <w:rsid w:val="000D4B38"/>
    <w:rsid w:val="000D4F7D"/>
    <w:rsid w:val="000D4F89"/>
    <w:rsid w:val="000D531F"/>
    <w:rsid w:val="000D5598"/>
    <w:rsid w:val="000D59BD"/>
    <w:rsid w:val="000D5A0D"/>
    <w:rsid w:val="000D6224"/>
    <w:rsid w:val="000D65DD"/>
    <w:rsid w:val="000D6D96"/>
    <w:rsid w:val="000D7621"/>
    <w:rsid w:val="000D7827"/>
    <w:rsid w:val="000D7CE2"/>
    <w:rsid w:val="000D7F19"/>
    <w:rsid w:val="000E0FC8"/>
    <w:rsid w:val="000E1CEA"/>
    <w:rsid w:val="000E2758"/>
    <w:rsid w:val="000E2AA6"/>
    <w:rsid w:val="000E2B76"/>
    <w:rsid w:val="000E2C5A"/>
    <w:rsid w:val="000E2EE2"/>
    <w:rsid w:val="000E3457"/>
    <w:rsid w:val="000E365C"/>
    <w:rsid w:val="000E3B73"/>
    <w:rsid w:val="000E3C04"/>
    <w:rsid w:val="000E3DE6"/>
    <w:rsid w:val="000E49C8"/>
    <w:rsid w:val="000E4C43"/>
    <w:rsid w:val="000E58B8"/>
    <w:rsid w:val="000E5AEA"/>
    <w:rsid w:val="000E5C7B"/>
    <w:rsid w:val="000E6E4B"/>
    <w:rsid w:val="000E72B3"/>
    <w:rsid w:val="000E7925"/>
    <w:rsid w:val="000E7B98"/>
    <w:rsid w:val="000F0799"/>
    <w:rsid w:val="000F0F69"/>
    <w:rsid w:val="000F21B9"/>
    <w:rsid w:val="000F22DD"/>
    <w:rsid w:val="000F2761"/>
    <w:rsid w:val="000F286D"/>
    <w:rsid w:val="000F35D4"/>
    <w:rsid w:val="000F4E93"/>
    <w:rsid w:val="000F4FB2"/>
    <w:rsid w:val="000F537F"/>
    <w:rsid w:val="000F557C"/>
    <w:rsid w:val="000F5791"/>
    <w:rsid w:val="000F60CF"/>
    <w:rsid w:val="000F64E9"/>
    <w:rsid w:val="000F7161"/>
    <w:rsid w:val="000F7666"/>
    <w:rsid w:val="000F7B5B"/>
    <w:rsid w:val="000F7D1C"/>
    <w:rsid w:val="000F7EDC"/>
    <w:rsid w:val="001002E5"/>
    <w:rsid w:val="001006A2"/>
    <w:rsid w:val="00100C14"/>
    <w:rsid w:val="0010143B"/>
    <w:rsid w:val="00101670"/>
    <w:rsid w:val="00101956"/>
    <w:rsid w:val="00101A85"/>
    <w:rsid w:val="00101D6C"/>
    <w:rsid w:val="0010230B"/>
    <w:rsid w:val="001025F8"/>
    <w:rsid w:val="001026AB"/>
    <w:rsid w:val="001028C1"/>
    <w:rsid w:val="001028E9"/>
    <w:rsid w:val="00102F08"/>
    <w:rsid w:val="00103335"/>
    <w:rsid w:val="00103D0D"/>
    <w:rsid w:val="00104291"/>
    <w:rsid w:val="0010453C"/>
    <w:rsid w:val="00104C62"/>
    <w:rsid w:val="001053CD"/>
    <w:rsid w:val="0010609D"/>
    <w:rsid w:val="00106E59"/>
    <w:rsid w:val="001078B6"/>
    <w:rsid w:val="00107F3C"/>
    <w:rsid w:val="0011074A"/>
    <w:rsid w:val="00110C8C"/>
    <w:rsid w:val="00110E26"/>
    <w:rsid w:val="00111279"/>
    <w:rsid w:val="001115F8"/>
    <w:rsid w:val="0011162B"/>
    <w:rsid w:val="001120DC"/>
    <w:rsid w:val="0011295D"/>
    <w:rsid w:val="00112EC1"/>
    <w:rsid w:val="00113510"/>
    <w:rsid w:val="001135C9"/>
    <w:rsid w:val="00113D18"/>
    <w:rsid w:val="001141BF"/>
    <w:rsid w:val="001146E7"/>
    <w:rsid w:val="00114788"/>
    <w:rsid w:val="001149CF"/>
    <w:rsid w:val="00114AA2"/>
    <w:rsid w:val="00115A04"/>
    <w:rsid w:val="0011623A"/>
    <w:rsid w:val="0011650B"/>
    <w:rsid w:val="00116FBB"/>
    <w:rsid w:val="0011709A"/>
    <w:rsid w:val="00117224"/>
    <w:rsid w:val="0011724A"/>
    <w:rsid w:val="00117A79"/>
    <w:rsid w:val="00117C2A"/>
    <w:rsid w:val="00117EB4"/>
    <w:rsid w:val="00121175"/>
    <w:rsid w:val="00121953"/>
    <w:rsid w:val="00121C23"/>
    <w:rsid w:val="001225A6"/>
    <w:rsid w:val="00122A49"/>
    <w:rsid w:val="00122E40"/>
    <w:rsid w:val="0012334E"/>
    <w:rsid w:val="001233FC"/>
    <w:rsid w:val="00123F1F"/>
    <w:rsid w:val="00124062"/>
    <w:rsid w:val="00124D05"/>
    <w:rsid w:val="00124EF1"/>
    <w:rsid w:val="00125571"/>
    <w:rsid w:val="00125903"/>
    <w:rsid w:val="00125A9F"/>
    <w:rsid w:val="00125B8B"/>
    <w:rsid w:val="00125CCB"/>
    <w:rsid w:val="001264E3"/>
    <w:rsid w:val="0012672B"/>
    <w:rsid w:val="00126B39"/>
    <w:rsid w:val="001274AC"/>
    <w:rsid w:val="0012755A"/>
    <w:rsid w:val="00127EA3"/>
    <w:rsid w:val="001303FB"/>
    <w:rsid w:val="001304D7"/>
    <w:rsid w:val="00130AC3"/>
    <w:rsid w:val="00130D20"/>
    <w:rsid w:val="00130EBF"/>
    <w:rsid w:val="001310D2"/>
    <w:rsid w:val="00132314"/>
    <w:rsid w:val="00132865"/>
    <w:rsid w:val="00132A88"/>
    <w:rsid w:val="00132B3D"/>
    <w:rsid w:val="00132C37"/>
    <w:rsid w:val="00132FAC"/>
    <w:rsid w:val="00133656"/>
    <w:rsid w:val="00133EAC"/>
    <w:rsid w:val="001340AF"/>
    <w:rsid w:val="00134231"/>
    <w:rsid w:val="001344D2"/>
    <w:rsid w:val="00134805"/>
    <w:rsid w:val="00134825"/>
    <w:rsid w:val="00134C60"/>
    <w:rsid w:val="00134EE3"/>
    <w:rsid w:val="00135440"/>
    <w:rsid w:val="001357B0"/>
    <w:rsid w:val="00135CA5"/>
    <w:rsid w:val="00136169"/>
    <w:rsid w:val="00136BC0"/>
    <w:rsid w:val="00137754"/>
    <w:rsid w:val="00137ADF"/>
    <w:rsid w:val="00137E4B"/>
    <w:rsid w:val="001400E8"/>
    <w:rsid w:val="0014058A"/>
    <w:rsid w:val="00140C5B"/>
    <w:rsid w:val="00141CF9"/>
    <w:rsid w:val="00141DFE"/>
    <w:rsid w:val="00142637"/>
    <w:rsid w:val="00142706"/>
    <w:rsid w:val="0014313F"/>
    <w:rsid w:val="00144346"/>
    <w:rsid w:val="0014446F"/>
    <w:rsid w:val="0014494B"/>
    <w:rsid w:val="001451E9"/>
    <w:rsid w:val="00145C78"/>
    <w:rsid w:val="00145D49"/>
    <w:rsid w:val="001460CA"/>
    <w:rsid w:val="001465D5"/>
    <w:rsid w:val="00146683"/>
    <w:rsid w:val="001467F4"/>
    <w:rsid w:val="00146A96"/>
    <w:rsid w:val="00146ADE"/>
    <w:rsid w:val="00146D65"/>
    <w:rsid w:val="00146E1B"/>
    <w:rsid w:val="001474EC"/>
    <w:rsid w:val="00147556"/>
    <w:rsid w:val="00147650"/>
    <w:rsid w:val="001479ED"/>
    <w:rsid w:val="00147E70"/>
    <w:rsid w:val="00147F69"/>
    <w:rsid w:val="00150960"/>
    <w:rsid w:val="00151435"/>
    <w:rsid w:val="00151A10"/>
    <w:rsid w:val="0015220A"/>
    <w:rsid w:val="0015293F"/>
    <w:rsid w:val="001529C8"/>
    <w:rsid w:val="00153024"/>
    <w:rsid w:val="0015371A"/>
    <w:rsid w:val="001539C6"/>
    <w:rsid w:val="00153B6D"/>
    <w:rsid w:val="00153D6C"/>
    <w:rsid w:val="00153ED3"/>
    <w:rsid w:val="00154196"/>
    <w:rsid w:val="00154326"/>
    <w:rsid w:val="001543BD"/>
    <w:rsid w:val="0015503D"/>
    <w:rsid w:val="0015505E"/>
    <w:rsid w:val="001551AD"/>
    <w:rsid w:val="0015540A"/>
    <w:rsid w:val="00155433"/>
    <w:rsid w:val="001559AE"/>
    <w:rsid w:val="00155FEA"/>
    <w:rsid w:val="00156123"/>
    <w:rsid w:val="001561D0"/>
    <w:rsid w:val="0015639B"/>
    <w:rsid w:val="0015664E"/>
    <w:rsid w:val="00156D8D"/>
    <w:rsid w:val="001570B7"/>
    <w:rsid w:val="00157C10"/>
    <w:rsid w:val="001608D2"/>
    <w:rsid w:val="0016105B"/>
    <w:rsid w:val="00161207"/>
    <w:rsid w:val="00161B8F"/>
    <w:rsid w:val="00161BE9"/>
    <w:rsid w:val="00161CAF"/>
    <w:rsid w:val="0016297E"/>
    <w:rsid w:val="0016319F"/>
    <w:rsid w:val="00163830"/>
    <w:rsid w:val="00163B8C"/>
    <w:rsid w:val="00163E58"/>
    <w:rsid w:val="00164D33"/>
    <w:rsid w:val="001654BE"/>
    <w:rsid w:val="00165927"/>
    <w:rsid w:val="00165C5F"/>
    <w:rsid w:val="00165E7B"/>
    <w:rsid w:val="00166235"/>
    <w:rsid w:val="001666F0"/>
    <w:rsid w:val="0016682D"/>
    <w:rsid w:val="0016747D"/>
    <w:rsid w:val="00167BE8"/>
    <w:rsid w:val="00170B25"/>
    <w:rsid w:val="00170E71"/>
    <w:rsid w:val="001716A2"/>
    <w:rsid w:val="001716E1"/>
    <w:rsid w:val="00172134"/>
    <w:rsid w:val="001722E3"/>
    <w:rsid w:val="0017378F"/>
    <w:rsid w:val="00173AD1"/>
    <w:rsid w:val="00173B61"/>
    <w:rsid w:val="001740B8"/>
    <w:rsid w:val="00174562"/>
    <w:rsid w:val="001747F1"/>
    <w:rsid w:val="001758AF"/>
    <w:rsid w:val="001759C2"/>
    <w:rsid w:val="00176209"/>
    <w:rsid w:val="001769D4"/>
    <w:rsid w:val="00176F3C"/>
    <w:rsid w:val="0017742F"/>
    <w:rsid w:val="00177CEB"/>
    <w:rsid w:val="00177E34"/>
    <w:rsid w:val="0018028F"/>
    <w:rsid w:val="00180932"/>
    <w:rsid w:val="0018094A"/>
    <w:rsid w:val="001816DA"/>
    <w:rsid w:val="001819D3"/>
    <w:rsid w:val="00181FCD"/>
    <w:rsid w:val="001824B6"/>
    <w:rsid w:val="00182556"/>
    <w:rsid w:val="00182710"/>
    <w:rsid w:val="001830BD"/>
    <w:rsid w:val="00183346"/>
    <w:rsid w:val="0018339C"/>
    <w:rsid w:val="00183808"/>
    <w:rsid w:val="00183A52"/>
    <w:rsid w:val="00183B9D"/>
    <w:rsid w:val="001840E3"/>
    <w:rsid w:val="00184966"/>
    <w:rsid w:val="00184D80"/>
    <w:rsid w:val="00186C70"/>
    <w:rsid w:val="00187135"/>
    <w:rsid w:val="00187648"/>
    <w:rsid w:val="00187AE6"/>
    <w:rsid w:val="00190327"/>
    <w:rsid w:val="00190545"/>
    <w:rsid w:val="0019077E"/>
    <w:rsid w:val="00190DE1"/>
    <w:rsid w:val="001920B2"/>
    <w:rsid w:val="0019253B"/>
    <w:rsid w:val="00192BBA"/>
    <w:rsid w:val="00192F22"/>
    <w:rsid w:val="00193399"/>
    <w:rsid w:val="0019341B"/>
    <w:rsid w:val="001934ED"/>
    <w:rsid w:val="00193DED"/>
    <w:rsid w:val="00193F95"/>
    <w:rsid w:val="00194157"/>
    <w:rsid w:val="0019469A"/>
    <w:rsid w:val="001947F9"/>
    <w:rsid w:val="00194A7F"/>
    <w:rsid w:val="00194AF1"/>
    <w:rsid w:val="00194BE6"/>
    <w:rsid w:val="00194F5F"/>
    <w:rsid w:val="0019508D"/>
    <w:rsid w:val="001959BB"/>
    <w:rsid w:val="00195B8A"/>
    <w:rsid w:val="00196675"/>
    <w:rsid w:val="001966CB"/>
    <w:rsid w:val="001967D7"/>
    <w:rsid w:val="0019690B"/>
    <w:rsid w:val="00196EC7"/>
    <w:rsid w:val="00196F8D"/>
    <w:rsid w:val="001970E5"/>
    <w:rsid w:val="001971A3"/>
    <w:rsid w:val="00197877"/>
    <w:rsid w:val="00197B44"/>
    <w:rsid w:val="00197B87"/>
    <w:rsid w:val="001A021D"/>
    <w:rsid w:val="001A0683"/>
    <w:rsid w:val="001A08D7"/>
    <w:rsid w:val="001A0C41"/>
    <w:rsid w:val="001A1877"/>
    <w:rsid w:val="001A190D"/>
    <w:rsid w:val="001A1B5B"/>
    <w:rsid w:val="001A1CB4"/>
    <w:rsid w:val="001A2173"/>
    <w:rsid w:val="001A2337"/>
    <w:rsid w:val="001A27B5"/>
    <w:rsid w:val="001A2B08"/>
    <w:rsid w:val="001A2DF5"/>
    <w:rsid w:val="001A3B70"/>
    <w:rsid w:val="001A3CCD"/>
    <w:rsid w:val="001A3E41"/>
    <w:rsid w:val="001A41CE"/>
    <w:rsid w:val="001A4283"/>
    <w:rsid w:val="001A4826"/>
    <w:rsid w:val="001A48FA"/>
    <w:rsid w:val="001A4A94"/>
    <w:rsid w:val="001A4B1A"/>
    <w:rsid w:val="001A4FFB"/>
    <w:rsid w:val="001A50E9"/>
    <w:rsid w:val="001A5442"/>
    <w:rsid w:val="001A5889"/>
    <w:rsid w:val="001A59EE"/>
    <w:rsid w:val="001A71D4"/>
    <w:rsid w:val="001A7229"/>
    <w:rsid w:val="001A72AC"/>
    <w:rsid w:val="001A77B4"/>
    <w:rsid w:val="001A7CB5"/>
    <w:rsid w:val="001A7E84"/>
    <w:rsid w:val="001B06B2"/>
    <w:rsid w:val="001B09FA"/>
    <w:rsid w:val="001B0B5C"/>
    <w:rsid w:val="001B15DA"/>
    <w:rsid w:val="001B1BAF"/>
    <w:rsid w:val="001B2047"/>
    <w:rsid w:val="001B20A4"/>
    <w:rsid w:val="001B28AB"/>
    <w:rsid w:val="001B2A24"/>
    <w:rsid w:val="001B30F4"/>
    <w:rsid w:val="001B3519"/>
    <w:rsid w:val="001B3C94"/>
    <w:rsid w:val="001B3DAA"/>
    <w:rsid w:val="001B3E51"/>
    <w:rsid w:val="001B3F27"/>
    <w:rsid w:val="001B3FD4"/>
    <w:rsid w:val="001B5552"/>
    <w:rsid w:val="001B5B2A"/>
    <w:rsid w:val="001B5BAA"/>
    <w:rsid w:val="001B5D39"/>
    <w:rsid w:val="001B678D"/>
    <w:rsid w:val="001B69A3"/>
    <w:rsid w:val="001B6BDC"/>
    <w:rsid w:val="001B6C92"/>
    <w:rsid w:val="001B6DE9"/>
    <w:rsid w:val="001B6ED8"/>
    <w:rsid w:val="001B7427"/>
    <w:rsid w:val="001B76D7"/>
    <w:rsid w:val="001B7ABA"/>
    <w:rsid w:val="001B7AF6"/>
    <w:rsid w:val="001B7C22"/>
    <w:rsid w:val="001B7E2A"/>
    <w:rsid w:val="001C090D"/>
    <w:rsid w:val="001C0E9C"/>
    <w:rsid w:val="001C1293"/>
    <w:rsid w:val="001C1473"/>
    <w:rsid w:val="001C1580"/>
    <w:rsid w:val="001C169B"/>
    <w:rsid w:val="001C18F7"/>
    <w:rsid w:val="001C1986"/>
    <w:rsid w:val="001C1B85"/>
    <w:rsid w:val="001C20EC"/>
    <w:rsid w:val="001C2161"/>
    <w:rsid w:val="001C22DE"/>
    <w:rsid w:val="001C2749"/>
    <w:rsid w:val="001C3A04"/>
    <w:rsid w:val="001C3A45"/>
    <w:rsid w:val="001C3E5D"/>
    <w:rsid w:val="001C3E96"/>
    <w:rsid w:val="001C4066"/>
    <w:rsid w:val="001C46A5"/>
    <w:rsid w:val="001C54B1"/>
    <w:rsid w:val="001C5880"/>
    <w:rsid w:val="001C5B48"/>
    <w:rsid w:val="001C61D9"/>
    <w:rsid w:val="001C6626"/>
    <w:rsid w:val="001C69D5"/>
    <w:rsid w:val="001C6DF8"/>
    <w:rsid w:val="001C6EF2"/>
    <w:rsid w:val="001C76FD"/>
    <w:rsid w:val="001D01E1"/>
    <w:rsid w:val="001D0505"/>
    <w:rsid w:val="001D064E"/>
    <w:rsid w:val="001D07B4"/>
    <w:rsid w:val="001D0C2C"/>
    <w:rsid w:val="001D11E3"/>
    <w:rsid w:val="001D1627"/>
    <w:rsid w:val="001D1752"/>
    <w:rsid w:val="001D1BB4"/>
    <w:rsid w:val="001D1DCB"/>
    <w:rsid w:val="001D1EAE"/>
    <w:rsid w:val="001D26F2"/>
    <w:rsid w:val="001D2841"/>
    <w:rsid w:val="001D28E3"/>
    <w:rsid w:val="001D2C03"/>
    <w:rsid w:val="001D2D8E"/>
    <w:rsid w:val="001D30DA"/>
    <w:rsid w:val="001D3333"/>
    <w:rsid w:val="001D3511"/>
    <w:rsid w:val="001D3DFE"/>
    <w:rsid w:val="001D40EB"/>
    <w:rsid w:val="001D4189"/>
    <w:rsid w:val="001D41B8"/>
    <w:rsid w:val="001D4661"/>
    <w:rsid w:val="001D4F58"/>
    <w:rsid w:val="001D57A3"/>
    <w:rsid w:val="001D7893"/>
    <w:rsid w:val="001D7955"/>
    <w:rsid w:val="001D7FFA"/>
    <w:rsid w:val="001E00B8"/>
    <w:rsid w:val="001E014A"/>
    <w:rsid w:val="001E02B7"/>
    <w:rsid w:val="001E06ED"/>
    <w:rsid w:val="001E0DDD"/>
    <w:rsid w:val="001E1342"/>
    <w:rsid w:val="001E15F4"/>
    <w:rsid w:val="001E2119"/>
    <w:rsid w:val="001E2459"/>
    <w:rsid w:val="001E2B06"/>
    <w:rsid w:val="001E3252"/>
    <w:rsid w:val="001E34A2"/>
    <w:rsid w:val="001E35EE"/>
    <w:rsid w:val="001E3CDE"/>
    <w:rsid w:val="001E40E8"/>
    <w:rsid w:val="001E42A1"/>
    <w:rsid w:val="001E44F1"/>
    <w:rsid w:val="001E4E9C"/>
    <w:rsid w:val="001E508C"/>
    <w:rsid w:val="001E5261"/>
    <w:rsid w:val="001E540A"/>
    <w:rsid w:val="001E5438"/>
    <w:rsid w:val="001E64FE"/>
    <w:rsid w:val="001E65A9"/>
    <w:rsid w:val="001E7348"/>
    <w:rsid w:val="001E79C4"/>
    <w:rsid w:val="001F01E1"/>
    <w:rsid w:val="001F07CF"/>
    <w:rsid w:val="001F1035"/>
    <w:rsid w:val="001F1193"/>
    <w:rsid w:val="001F11C1"/>
    <w:rsid w:val="001F15C8"/>
    <w:rsid w:val="001F1602"/>
    <w:rsid w:val="001F1C1B"/>
    <w:rsid w:val="001F232D"/>
    <w:rsid w:val="001F24BB"/>
    <w:rsid w:val="001F2975"/>
    <w:rsid w:val="001F2C6F"/>
    <w:rsid w:val="001F34BE"/>
    <w:rsid w:val="001F3533"/>
    <w:rsid w:val="001F37E2"/>
    <w:rsid w:val="001F3CB0"/>
    <w:rsid w:val="001F3D36"/>
    <w:rsid w:val="001F47AA"/>
    <w:rsid w:val="001F4D8F"/>
    <w:rsid w:val="001F521D"/>
    <w:rsid w:val="001F52E6"/>
    <w:rsid w:val="001F5319"/>
    <w:rsid w:val="001F5929"/>
    <w:rsid w:val="001F5B00"/>
    <w:rsid w:val="001F5B76"/>
    <w:rsid w:val="001F5C63"/>
    <w:rsid w:val="001F63E1"/>
    <w:rsid w:val="001F670B"/>
    <w:rsid w:val="001F67D3"/>
    <w:rsid w:val="001F6A34"/>
    <w:rsid w:val="001F6B45"/>
    <w:rsid w:val="001F7496"/>
    <w:rsid w:val="001F74E7"/>
    <w:rsid w:val="001F7574"/>
    <w:rsid w:val="001F78F7"/>
    <w:rsid w:val="001F7E39"/>
    <w:rsid w:val="0020002B"/>
    <w:rsid w:val="00200170"/>
    <w:rsid w:val="002008E3"/>
    <w:rsid w:val="00200BCA"/>
    <w:rsid w:val="002029B6"/>
    <w:rsid w:val="00202B16"/>
    <w:rsid w:val="00202B3A"/>
    <w:rsid w:val="002032B9"/>
    <w:rsid w:val="00203452"/>
    <w:rsid w:val="002034F8"/>
    <w:rsid w:val="002038BC"/>
    <w:rsid w:val="0020393D"/>
    <w:rsid w:val="00204295"/>
    <w:rsid w:val="00204A86"/>
    <w:rsid w:val="002053F8"/>
    <w:rsid w:val="002065E4"/>
    <w:rsid w:val="002066F0"/>
    <w:rsid w:val="00206956"/>
    <w:rsid w:val="00206C78"/>
    <w:rsid w:val="00207144"/>
    <w:rsid w:val="00207811"/>
    <w:rsid w:val="00210054"/>
    <w:rsid w:val="00210A39"/>
    <w:rsid w:val="002110C0"/>
    <w:rsid w:val="00211E92"/>
    <w:rsid w:val="0021203A"/>
    <w:rsid w:val="002120C8"/>
    <w:rsid w:val="002125C7"/>
    <w:rsid w:val="002127A0"/>
    <w:rsid w:val="00212AAC"/>
    <w:rsid w:val="00212B17"/>
    <w:rsid w:val="00212E5F"/>
    <w:rsid w:val="00213396"/>
    <w:rsid w:val="002138D4"/>
    <w:rsid w:val="00213961"/>
    <w:rsid w:val="00213EE7"/>
    <w:rsid w:val="0021434F"/>
    <w:rsid w:val="00214446"/>
    <w:rsid w:val="00214A1F"/>
    <w:rsid w:val="00215D1A"/>
    <w:rsid w:val="00216122"/>
    <w:rsid w:val="00216409"/>
    <w:rsid w:val="002164BF"/>
    <w:rsid w:val="00216C64"/>
    <w:rsid w:val="00216D2F"/>
    <w:rsid w:val="00216FC8"/>
    <w:rsid w:val="002172D3"/>
    <w:rsid w:val="00217358"/>
    <w:rsid w:val="0021777E"/>
    <w:rsid w:val="002178FF"/>
    <w:rsid w:val="00217ACE"/>
    <w:rsid w:val="00217F20"/>
    <w:rsid w:val="002202D0"/>
    <w:rsid w:val="002203F0"/>
    <w:rsid w:val="0022087F"/>
    <w:rsid w:val="00220C9D"/>
    <w:rsid w:val="00220F3F"/>
    <w:rsid w:val="00221182"/>
    <w:rsid w:val="00222D4E"/>
    <w:rsid w:val="00223044"/>
    <w:rsid w:val="0022323C"/>
    <w:rsid w:val="0022349F"/>
    <w:rsid w:val="00224917"/>
    <w:rsid w:val="00224AC7"/>
    <w:rsid w:val="00225269"/>
    <w:rsid w:val="00225455"/>
    <w:rsid w:val="002256BE"/>
    <w:rsid w:val="0022584A"/>
    <w:rsid w:val="00225C66"/>
    <w:rsid w:val="00225D97"/>
    <w:rsid w:val="00226138"/>
    <w:rsid w:val="002261E5"/>
    <w:rsid w:val="00226212"/>
    <w:rsid w:val="00226826"/>
    <w:rsid w:val="00226A5B"/>
    <w:rsid w:val="00226F23"/>
    <w:rsid w:val="0023013E"/>
    <w:rsid w:val="0023068A"/>
    <w:rsid w:val="00230CC3"/>
    <w:rsid w:val="00231285"/>
    <w:rsid w:val="00231A87"/>
    <w:rsid w:val="002325AF"/>
    <w:rsid w:val="0023263C"/>
    <w:rsid w:val="00232718"/>
    <w:rsid w:val="00232F45"/>
    <w:rsid w:val="002333A2"/>
    <w:rsid w:val="00233625"/>
    <w:rsid w:val="00233F1B"/>
    <w:rsid w:val="0023434A"/>
    <w:rsid w:val="002344CC"/>
    <w:rsid w:val="00235096"/>
    <w:rsid w:val="0023526E"/>
    <w:rsid w:val="002352FC"/>
    <w:rsid w:val="002354ED"/>
    <w:rsid w:val="002360ED"/>
    <w:rsid w:val="00236134"/>
    <w:rsid w:val="00236339"/>
    <w:rsid w:val="00236395"/>
    <w:rsid w:val="00236417"/>
    <w:rsid w:val="0023674E"/>
    <w:rsid w:val="00236B88"/>
    <w:rsid w:val="00236C3C"/>
    <w:rsid w:val="00236C6B"/>
    <w:rsid w:val="00236D19"/>
    <w:rsid w:val="00236F67"/>
    <w:rsid w:val="0023767C"/>
    <w:rsid w:val="0024033F"/>
    <w:rsid w:val="002404CE"/>
    <w:rsid w:val="002407E7"/>
    <w:rsid w:val="002413BD"/>
    <w:rsid w:val="00241B3B"/>
    <w:rsid w:val="00241BF8"/>
    <w:rsid w:val="002423E4"/>
    <w:rsid w:val="00242974"/>
    <w:rsid w:val="00242B37"/>
    <w:rsid w:val="002431FC"/>
    <w:rsid w:val="002436F8"/>
    <w:rsid w:val="002437B4"/>
    <w:rsid w:val="00243A3C"/>
    <w:rsid w:val="00243AD4"/>
    <w:rsid w:val="002455F3"/>
    <w:rsid w:val="00245A7D"/>
    <w:rsid w:val="002460A3"/>
    <w:rsid w:val="00246132"/>
    <w:rsid w:val="0024624E"/>
    <w:rsid w:val="00246611"/>
    <w:rsid w:val="00246B70"/>
    <w:rsid w:val="00246B93"/>
    <w:rsid w:val="002472DD"/>
    <w:rsid w:val="00247706"/>
    <w:rsid w:val="002506A4"/>
    <w:rsid w:val="0025135E"/>
    <w:rsid w:val="002514E0"/>
    <w:rsid w:val="00251CA1"/>
    <w:rsid w:val="00251FD0"/>
    <w:rsid w:val="002520B4"/>
    <w:rsid w:val="0025317D"/>
    <w:rsid w:val="002538C5"/>
    <w:rsid w:val="0025396F"/>
    <w:rsid w:val="0025559B"/>
    <w:rsid w:val="00255E38"/>
    <w:rsid w:val="00256232"/>
    <w:rsid w:val="002565CC"/>
    <w:rsid w:val="00256A9A"/>
    <w:rsid w:val="00256D60"/>
    <w:rsid w:val="00256DAC"/>
    <w:rsid w:val="002571AD"/>
    <w:rsid w:val="00257372"/>
    <w:rsid w:val="00257AF2"/>
    <w:rsid w:val="00257BD0"/>
    <w:rsid w:val="002603A7"/>
    <w:rsid w:val="0026057C"/>
    <w:rsid w:val="00260707"/>
    <w:rsid w:val="002607A9"/>
    <w:rsid w:val="00260A35"/>
    <w:rsid w:val="00260A7E"/>
    <w:rsid w:val="00260AB5"/>
    <w:rsid w:val="0026121B"/>
    <w:rsid w:val="002619EC"/>
    <w:rsid w:val="00261D77"/>
    <w:rsid w:val="00262898"/>
    <w:rsid w:val="00262A2F"/>
    <w:rsid w:val="00263074"/>
    <w:rsid w:val="0026325B"/>
    <w:rsid w:val="002639C5"/>
    <w:rsid w:val="00263DB5"/>
    <w:rsid w:val="00263ED5"/>
    <w:rsid w:val="0026440F"/>
    <w:rsid w:val="0026465B"/>
    <w:rsid w:val="0026471C"/>
    <w:rsid w:val="00264744"/>
    <w:rsid w:val="00265577"/>
    <w:rsid w:val="0026599D"/>
    <w:rsid w:val="002665F6"/>
    <w:rsid w:val="0026678E"/>
    <w:rsid w:val="00266951"/>
    <w:rsid w:val="00266E3E"/>
    <w:rsid w:val="002674DC"/>
    <w:rsid w:val="00267BD4"/>
    <w:rsid w:val="00267D7F"/>
    <w:rsid w:val="002701FC"/>
    <w:rsid w:val="0027043B"/>
    <w:rsid w:val="0027062F"/>
    <w:rsid w:val="00270633"/>
    <w:rsid w:val="0027073B"/>
    <w:rsid w:val="00270BA6"/>
    <w:rsid w:val="00270FD2"/>
    <w:rsid w:val="00271261"/>
    <w:rsid w:val="00271AC0"/>
    <w:rsid w:val="00271EBF"/>
    <w:rsid w:val="00272000"/>
    <w:rsid w:val="00272D7B"/>
    <w:rsid w:val="00273894"/>
    <w:rsid w:val="00274771"/>
    <w:rsid w:val="00274AB0"/>
    <w:rsid w:val="00274B6C"/>
    <w:rsid w:val="00274C88"/>
    <w:rsid w:val="00275014"/>
    <w:rsid w:val="00275848"/>
    <w:rsid w:val="002759C8"/>
    <w:rsid w:val="00275AF0"/>
    <w:rsid w:val="00276377"/>
    <w:rsid w:val="002765F2"/>
    <w:rsid w:val="00276F3C"/>
    <w:rsid w:val="00277A5C"/>
    <w:rsid w:val="00277CE0"/>
    <w:rsid w:val="002800EE"/>
    <w:rsid w:val="002801A4"/>
    <w:rsid w:val="00280272"/>
    <w:rsid w:val="002806C3"/>
    <w:rsid w:val="00280B54"/>
    <w:rsid w:val="0028104F"/>
    <w:rsid w:val="00281232"/>
    <w:rsid w:val="0028154C"/>
    <w:rsid w:val="00281FDC"/>
    <w:rsid w:val="0028226F"/>
    <w:rsid w:val="0028229B"/>
    <w:rsid w:val="002823AC"/>
    <w:rsid w:val="0028359B"/>
    <w:rsid w:val="00283773"/>
    <w:rsid w:val="00283E52"/>
    <w:rsid w:val="002842BD"/>
    <w:rsid w:val="0028477F"/>
    <w:rsid w:val="00284973"/>
    <w:rsid w:val="00284F53"/>
    <w:rsid w:val="0028517E"/>
    <w:rsid w:val="0028571C"/>
    <w:rsid w:val="00285C79"/>
    <w:rsid w:val="00285D9B"/>
    <w:rsid w:val="002860B4"/>
    <w:rsid w:val="00286284"/>
    <w:rsid w:val="00286369"/>
    <w:rsid w:val="002878BA"/>
    <w:rsid w:val="00287CAA"/>
    <w:rsid w:val="00287CDD"/>
    <w:rsid w:val="00287E90"/>
    <w:rsid w:val="00287EE3"/>
    <w:rsid w:val="002901F9"/>
    <w:rsid w:val="00290E75"/>
    <w:rsid w:val="0029166B"/>
    <w:rsid w:val="002917B2"/>
    <w:rsid w:val="00291B84"/>
    <w:rsid w:val="00291B86"/>
    <w:rsid w:val="00291BE5"/>
    <w:rsid w:val="002929AD"/>
    <w:rsid w:val="00292F40"/>
    <w:rsid w:val="0029334B"/>
    <w:rsid w:val="002933E8"/>
    <w:rsid w:val="00293DF0"/>
    <w:rsid w:val="002942AC"/>
    <w:rsid w:val="002942AE"/>
    <w:rsid w:val="00294922"/>
    <w:rsid w:val="00294B62"/>
    <w:rsid w:val="002950F4"/>
    <w:rsid w:val="0029540A"/>
    <w:rsid w:val="00295D9D"/>
    <w:rsid w:val="002A000E"/>
    <w:rsid w:val="002A0179"/>
    <w:rsid w:val="002A01AA"/>
    <w:rsid w:val="002A064D"/>
    <w:rsid w:val="002A0E7D"/>
    <w:rsid w:val="002A1033"/>
    <w:rsid w:val="002A11D0"/>
    <w:rsid w:val="002A16F1"/>
    <w:rsid w:val="002A18CA"/>
    <w:rsid w:val="002A1AD7"/>
    <w:rsid w:val="002A2369"/>
    <w:rsid w:val="002A356B"/>
    <w:rsid w:val="002A37B8"/>
    <w:rsid w:val="002A3FE3"/>
    <w:rsid w:val="002A408E"/>
    <w:rsid w:val="002A41EC"/>
    <w:rsid w:val="002A42C0"/>
    <w:rsid w:val="002A47AB"/>
    <w:rsid w:val="002A49F5"/>
    <w:rsid w:val="002A4A15"/>
    <w:rsid w:val="002A4E74"/>
    <w:rsid w:val="002A4F3C"/>
    <w:rsid w:val="002A5BEF"/>
    <w:rsid w:val="002A5CFD"/>
    <w:rsid w:val="002A6539"/>
    <w:rsid w:val="002A69F6"/>
    <w:rsid w:val="002A6FF9"/>
    <w:rsid w:val="002A74ED"/>
    <w:rsid w:val="002A77F6"/>
    <w:rsid w:val="002A7A7E"/>
    <w:rsid w:val="002B02CC"/>
    <w:rsid w:val="002B0585"/>
    <w:rsid w:val="002B0843"/>
    <w:rsid w:val="002B1913"/>
    <w:rsid w:val="002B1B65"/>
    <w:rsid w:val="002B294B"/>
    <w:rsid w:val="002B2D46"/>
    <w:rsid w:val="002B2EC9"/>
    <w:rsid w:val="002B3575"/>
    <w:rsid w:val="002B3D0E"/>
    <w:rsid w:val="002B3FA3"/>
    <w:rsid w:val="002B42A1"/>
    <w:rsid w:val="002B4856"/>
    <w:rsid w:val="002B49E3"/>
    <w:rsid w:val="002B4B33"/>
    <w:rsid w:val="002B4F9A"/>
    <w:rsid w:val="002B4FA5"/>
    <w:rsid w:val="002B55CE"/>
    <w:rsid w:val="002B57CE"/>
    <w:rsid w:val="002B5E95"/>
    <w:rsid w:val="002B5F99"/>
    <w:rsid w:val="002B6347"/>
    <w:rsid w:val="002B674E"/>
    <w:rsid w:val="002B6A87"/>
    <w:rsid w:val="002B6D32"/>
    <w:rsid w:val="002C03BD"/>
    <w:rsid w:val="002C061D"/>
    <w:rsid w:val="002C09F3"/>
    <w:rsid w:val="002C1504"/>
    <w:rsid w:val="002C16A9"/>
    <w:rsid w:val="002C1746"/>
    <w:rsid w:val="002C218F"/>
    <w:rsid w:val="002C2260"/>
    <w:rsid w:val="002C24E3"/>
    <w:rsid w:val="002C2B6A"/>
    <w:rsid w:val="002C2C2B"/>
    <w:rsid w:val="002C3159"/>
    <w:rsid w:val="002C3389"/>
    <w:rsid w:val="002C40DE"/>
    <w:rsid w:val="002C43F4"/>
    <w:rsid w:val="002C440C"/>
    <w:rsid w:val="002C4905"/>
    <w:rsid w:val="002C4D99"/>
    <w:rsid w:val="002C56B2"/>
    <w:rsid w:val="002C5D74"/>
    <w:rsid w:val="002C61F7"/>
    <w:rsid w:val="002C6FB6"/>
    <w:rsid w:val="002C7C6D"/>
    <w:rsid w:val="002D0186"/>
    <w:rsid w:val="002D037B"/>
    <w:rsid w:val="002D037F"/>
    <w:rsid w:val="002D051C"/>
    <w:rsid w:val="002D0625"/>
    <w:rsid w:val="002D06A3"/>
    <w:rsid w:val="002D0C52"/>
    <w:rsid w:val="002D12A3"/>
    <w:rsid w:val="002D1544"/>
    <w:rsid w:val="002D1941"/>
    <w:rsid w:val="002D1A37"/>
    <w:rsid w:val="002D1B78"/>
    <w:rsid w:val="002D2783"/>
    <w:rsid w:val="002D2A16"/>
    <w:rsid w:val="002D2C86"/>
    <w:rsid w:val="002D2D45"/>
    <w:rsid w:val="002D2ED5"/>
    <w:rsid w:val="002D316D"/>
    <w:rsid w:val="002D3610"/>
    <w:rsid w:val="002D39EC"/>
    <w:rsid w:val="002D3C7B"/>
    <w:rsid w:val="002D3E68"/>
    <w:rsid w:val="002D4EC3"/>
    <w:rsid w:val="002D5740"/>
    <w:rsid w:val="002D57E3"/>
    <w:rsid w:val="002D5893"/>
    <w:rsid w:val="002D5977"/>
    <w:rsid w:val="002D6628"/>
    <w:rsid w:val="002D6874"/>
    <w:rsid w:val="002D6C2B"/>
    <w:rsid w:val="002D6D6C"/>
    <w:rsid w:val="002D6DF3"/>
    <w:rsid w:val="002E01E2"/>
    <w:rsid w:val="002E0B09"/>
    <w:rsid w:val="002E14D7"/>
    <w:rsid w:val="002E157D"/>
    <w:rsid w:val="002E1EE5"/>
    <w:rsid w:val="002E30E1"/>
    <w:rsid w:val="002E32A9"/>
    <w:rsid w:val="002E361D"/>
    <w:rsid w:val="002E3E73"/>
    <w:rsid w:val="002E4698"/>
    <w:rsid w:val="002E5218"/>
    <w:rsid w:val="002E5496"/>
    <w:rsid w:val="002E5A7E"/>
    <w:rsid w:val="002E6065"/>
    <w:rsid w:val="002E63D4"/>
    <w:rsid w:val="002E6A19"/>
    <w:rsid w:val="002E6DF6"/>
    <w:rsid w:val="002E7151"/>
    <w:rsid w:val="002E7165"/>
    <w:rsid w:val="002E752B"/>
    <w:rsid w:val="002E77AE"/>
    <w:rsid w:val="002F04EA"/>
    <w:rsid w:val="002F052D"/>
    <w:rsid w:val="002F0797"/>
    <w:rsid w:val="002F0890"/>
    <w:rsid w:val="002F08BC"/>
    <w:rsid w:val="002F0CA5"/>
    <w:rsid w:val="002F0DC6"/>
    <w:rsid w:val="002F1024"/>
    <w:rsid w:val="002F10E9"/>
    <w:rsid w:val="002F143C"/>
    <w:rsid w:val="002F239B"/>
    <w:rsid w:val="002F24AE"/>
    <w:rsid w:val="002F27B2"/>
    <w:rsid w:val="002F298B"/>
    <w:rsid w:val="002F2B08"/>
    <w:rsid w:val="002F2B3E"/>
    <w:rsid w:val="002F3040"/>
    <w:rsid w:val="002F32FA"/>
    <w:rsid w:val="002F3713"/>
    <w:rsid w:val="002F377F"/>
    <w:rsid w:val="002F38EC"/>
    <w:rsid w:val="002F3F5D"/>
    <w:rsid w:val="002F439B"/>
    <w:rsid w:val="002F477F"/>
    <w:rsid w:val="002F47A9"/>
    <w:rsid w:val="002F50BF"/>
    <w:rsid w:val="002F5949"/>
    <w:rsid w:val="002F5CFA"/>
    <w:rsid w:val="002F6647"/>
    <w:rsid w:val="002F6B42"/>
    <w:rsid w:val="002F72CA"/>
    <w:rsid w:val="002F7963"/>
    <w:rsid w:val="002F7F2D"/>
    <w:rsid w:val="0030031B"/>
    <w:rsid w:val="00300911"/>
    <w:rsid w:val="003010E0"/>
    <w:rsid w:val="0030134B"/>
    <w:rsid w:val="003017C0"/>
    <w:rsid w:val="00301D6F"/>
    <w:rsid w:val="00301E3B"/>
    <w:rsid w:val="00301F34"/>
    <w:rsid w:val="00302159"/>
    <w:rsid w:val="00302214"/>
    <w:rsid w:val="0030251F"/>
    <w:rsid w:val="00302D30"/>
    <w:rsid w:val="00303417"/>
    <w:rsid w:val="0030416A"/>
    <w:rsid w:val="003041A0"/>
    <w:rsid w:val="00304774"/>
    <w:rsid w:val="00304D2A"/>
    <w:rsid w:val="00305061"/>
    <w:rsid w:val="0030506A"/>
    <w:rsid w:val="00305111"/>
    <w:rsid w:val="0030538C"/>
    <w:rsid w:val="003055F4"/>
    <w:rsid w:val="00305CAB"/>
    <w:rsid w:val="00306094"/>
    <w:rsid w:val="003064A3"/>
    <w:rsid w:val="00306B1B"/>
    <w:rsid w:val="00306CE2"/>
    <w:rsid w:val="00307315"/>
    <w:rsid w:val="00307413"/>
    <w:rsid w:val="00307611"/>
    <w:rsid w:val="003076C2"/>
    <w:rsid w:val="00307B90"/>
    <w:rsid w:val="003107B4"/>
    <w:rsid w:val="00310D25"/>
    <w:rsid w:val="00310D60"/>
    <w:rsid w:val="0031145E"/>
    <w:rsid w:val="003120AD"/>
    <w:rsid w:val="003122BF"/>
    <w:rsid w:val="0031286A"/>
    <w:rsid w:val="0031345A"/>
    <w:rsid w:val="003136DC"/>
    <w:rsid w:val="00313DB0"/>
    <w:rsid w:val="00313F7E"/>
    <w:rsid w:val="003144D3"/>
    <w:rsid w:val="0031450B"/>
    <w:rsid w:val="00314742"/>
    <w:rsid w:val="003151B7"/>
    <w:rsid w:val="00315645"/>
    <w:rsid w:val="00315846"/>
    <w:rsid w:val="00315B79"/>
    <w:rsid w:val="00315BA0"/>
    <w:rsid w:val="00315D23"/>
    <w:rsid w:val="00315E4E"/>
    <w:rsid w:val="00315E63"/>
    <w:rsid w:val="00316030"/>
    <w:rsid w:val="00316487"/>
    <w:rsid w:val="003164AA"/>
    <w:rsid w:val="00316D36"/>
    <w:rsid w:val="0031703D"/>
    <w:rsid w:val="00317200"/>
    <w:rsid w:val="00317285"/>
    <w:rsid w:val="003175FD"/>
    <w:rsid w:val="00317693"/>
    <w:rsid w:val="003177DA"/>
    <w:rsid w:val="00321165"/>
    <w:rsid w:val="00321810"/>
    <w:rsid w:val="00321BCE"/>
    <w:rsid w:val="00322125"/>
    <w:rsid w:val="0032254F"/>
    <w:rsid w:val="00323398"/>
    <w:rsid w:val="003237BE"/>
    <w:rsid w:val="003237D8"/>
    <w:rsid w:val="00323F43"/>
    <w:rsid w:val="003245F1"/>
    <w:rsid w:val="003246A2"/>
    <w:rsid w:val="00324EEE"/>
    <w:rsid w:val="003251DB"/>
    <w:rsid w:val="00325CFF"/>
    <w:rsid w:val="00326BF7"/>
    <w:rsid w:val="00326C8F"/>
    <w:rsid w:val="00327562"/>
    <w:rsid w:val="00327AD5"/>
    <w:rsid w:val="00331498"/>
    <w:rsid w:val="00332549"/>
    <w:rsid w:val="00332854"/>
    <w:rsid w:val="00332E75"/>
    <w:rsid w:val="00333990"/>
    <w:rsid w:val="00333FFF"/>
    <w:rsid w:val="00334055"/>
    <w:rsid w:val="00334206"/>
    <w:rsid w:val="003343A9"/>
    <w:rsid w:val="0033452E"/>
    <w:rsid w:val="003345D6"/>
    <w:rsid w:val="003346CD"/>
    <w:rsid w:val="00334D6A"/>
    <w:rsid w:val="003350BE"/>
    <w:rsid w:val="0033554A"/>
    <w:rsid w:val="003365FC"/>
    <w:rsid w:val="00336AB0"/>
    <w:rsid w:val="00336BA7"/>
    <w:rsid w:val="00336CDF"/>
    <w:rsid w:val="00336F0C"/>
    <w:rsid w:val="0034132C"/>
    <w:rsid w:val="00341B0A"/>
    <w:rsid w:val="00341CA3"/>
    <w:rsid w:val="003427D9"/>
    <w:rsid w:val="0034281A"/>
    <w:rsid w:val="0034305C"/>
    <w:rsid w:val="00343750"/>
    <w:rsid w:val="003437FA"/>
    <w:rsid w:val="00343A86"/>
    <w:rsid w:val="00343E20"/>
    <w:rsid w:val="0034406A"/>
    <w:rsid w:val="003444B5"/>
    <w:rsid w:val="003446CC"/>
    <w:rsid w:val="003448BB"/>
    <w:rsid w:val="0034490C"/>
    <w:rsid w:val="00345004"/>
    <w:rsid w:val="0034501A"/>
    <w:rsid w:val="00345271"/>
    <w:rsid w:val="00345350"/>
    <w:rsid w:val="003454BC"/>
    <w:rsid w:val="003457A3"/>
    <w:rsid w:val="00346276"/>
    <w:rsid w:val="00346583"/>
    <w:rsid w:val="003468CB"/>
    <w:rsid w:val="00347605"/>
    <w:rsid w:val="003478F6"/>
    <w:rsid w:val="00347F8D"/>
    <w:rsid w:val="00350498"/>
    <w:rsid w:val="003513C4"/>
    <w:rsid w:val="00351618"/>
    <w:rsid w:val="00351ED6"/>
    <w:rsid w:val="00352382"/>
    <w:rsid w:val="0035319F"/>
    <w:rsid w:val="003540B4"/>
    <w:rsid w:val="003545C6"/>
    <w:rsid w:val="00354AE0"/>
    <w:rsid w:val="00354FB5"/>
    <w:rsid w:val="00354FC1"/>
    <w:rsid w:val="00355A4A"/>
    <w:rsid w:val="00356341"/>
    <w:rsid w:val="003564D0"/>
    <w:rsid w:val="00356A15"/>
    <w:rsid w:val="00356EC2"/>
    <w:rsid w:val="00357169"/>
    <w:rsid w:val="003573D9"/>
    <w:rsid w:val="0035784D"/>
    <w:rsid w:val="00357B59"/>
    <w:rsid w:val="00357FCB"/>
    <w:rsid w:val="0036047C"/>
    <w:rsid w:val="003608B9"/>
    <w:rsid w:val="0036091E"/>
    <w:rsid w:val="00360C0C"/>
    <w:rsid w:val="00360D15"/>
    <w:rsid w:val="00360F16"/>
    <w:rsid w:val="00360FC4"/>
    <w:rsid w:val="003613D2"/>
    <w:rsid w:val="003615EE"/>
    <w:rsid w:val="00361C43"/>
    <w:rsid w:val="00361FAB"/>
    <w:rsid w:val="0036235D"/>
    <w:rsid w:val="00362F9D"/>
    <w:rsid w:val="003632F0"/>
    <w:rsid w:val="00363C89"/>
    <w:rsid w:val="00364087"/>
    <w:rsid w:val="00364183"/>
    <w:rsid w:val="003642B0"/>
    <w:rsid w:val="00364412"/>
    <w:rsid w:val="0036551B"/>
    <w:rsid w:val="003655F9"/>
    <w:rsid w:val="00365EEE"/>
    <w:rsid w:val="00366095"/>
    <w:rsid w:val="00366323"/>
    <w:rsid w:val="00366B36"/>
    <w:rsid w:val="00366B4B"/>
    <w:rsid w:val="003676F1"/>
    <w:rsid w:val="00367C50"/>
    <w:rsid w:val="0037007C"/>
    <w:rsid w:val="003703ED"/>
    <w:rsid w:val="003711AD"/>
    <w:rsid w:val="00371424"/>
    <w:rsid w:val="003722D6"/>
    <w:rsid w:val="00372507"/>
    <w:rsid w:val="003726C3"/>
    <w:rsid w:val="00373392"/>
    <w:rsid w:val="00373A7E"/>
    <w:rsid w:val="00373FD4"/>
    <w:rsid w:val="003740F4"/>
    <w:rsid w:val="00374643"/>
    <w:rsid w:val="00374C55"/>
    <w:rsid w:val="003757CD"/>
    <w:rsid w:val="00375B2A"/>
    <w:rsid w:val="003762E5"/>
    <w:rsid w:val="00376DF9"/>
    <w:rsid w:val="0037708E"/>
    <w:rsid w:val="003778AD"/>
    <w:rsid w:val="003802A5"/>
    <w:rsid w:val="00380837"/>
    <w:rsid w:val="003809B9"/>
    <w:rsid w:val="00380C1B"/>
    <w:rsid w:val="00380C62"/>
    <w:rsid w:val="00381337"/>
    <w:rsid w:val="003817CA"/>
    <w:rsid w:val="003818DC"/>
    <w:rsid w:val="00381CEB"/>
    <w:rsid w:val="003821F7"/>
    <w:rsid w:val="003826BC"/>
    <w:rsid w:val="00382D62"/>
    <w:rsid w:val="00382D92"/>
    <w:rsid w:val="003831F3"/>
    <w:rsid w:val="003833AC"/>
    <w:rsid w:val="00383726"/>
    <w:rsid w:val="00384423"/>
    <w:rsid w:val="00384624"/>
    <w:rsid w:val="00384AB4"/>
    <w:rsid w:val="0038524B"/>
    <w:rsid w:val="00385CE9"/>
    <w:rsid w:val="00386034"/>
    <w:rsid w:val="0038646D"/>
    <w:rsid w:val="003865D5"/>
    <w:rsid w:val="003866FC"/>
    <w:rsid w:val="00386CE3"/>
    <w:rsid w:val="00386DB9"/>
    <w:rsid w:val="0038739C"/>
    <w:rsid w:val="003873A3"/>
    <w:rsid w:val="00390B3D"/>
    <w:rsid w:val="00390D9E"/>
    <w:rsid w:val="00391191"/>
    <w:rsid w:val="00391335"/>
    <w:rsid w:val="003915C0"/>
    <w:rsid w:val="00391C0D"/>
    <w:rsid w:val="0039245D"/>
    <w:rsid w:val="00392555"/>
    <w:rsid w:val="00392825"/>
    <w:rsid w:val="00393171"/>
    <w:rsid w:val="00393974"/>
    <w:rsid w:val="00393BEC"/>
    <w:rsid w:val="00393EB4"/>
    <w:rsid w:val="003945E4"/>
    <w:rsid w:val="00394C2C"/>
    <w:rsid w:val="00394C62"/>
    <w:rsid w:val="00395D85"/>
    <w:rsid w:val="00395D8A"/>
    <w:rsid w:val="00396107"/>
    <w:rsid w:val="00396666"/>
    <w:rsid w:val="00396FFD"/>
    <w:rsid w:val="003976FC"/>
    <w:rsid w:val="00397D56"/>
    <w:rsid w:val="00397DCE"/>
    <w:rsid w:val="003A0636"/>
    <w:rsid w:val="003A080A"/>
    <w:rsid w:val="003A0BBF"/>
    <w:rsid w:val="003A15D3"/>
    <w:rsid w:val="003A1B97"/>
    <w:rsid w:val="003A1C48"/>
    <w:rsid w:val="003A2053"/>
    <w:rsid w:val="003A4A49"/>
    <w:rsid w:val="003A4D76"/>
    <w:rsid w:val="003A5168"/>
    <w:rsid w:val="003A555C"/>
    <w:rsid w:val="003A5780"/>
    <w:rsid w:val="003A59B3"/>
    <w:rsid w:val="003A5C9A"/>
    <w:rsid w:val="003A5CE8"/>
    <w:rsid w:val="003A5D1D"/>
    <w:rsid w:val="003A5D44"/>
    <w:rsid w:val="003A63AE"/>
    <w:rsid w:val="003A677B"/>
    <w:rsid w:val="003A67BA"/>
    <w:rsid w:val="003A68E1"/>
    <w:rsid w:val="003A7506"/>
    <w:rsid w:val="003A7899"/>
    <w:rsid w:val="003A7A89"/>
    <w:rsid w:val="003B0296"/>
    <w:rsid w:val="003B07C1"/>
    <w:rsid w:val="003B0881"/>
    <w:rsid w:val="003B0A52"/>
    <w:rsid w:val="003B13AB"/>
    <w:rsid w:val="003B1E65"/>
    <w:rsid w:val="003B215A"/>
    <w:rsid w:val="003B239B"/>
    <w:rsid w:val="003B2918"/>
    <w:rsid w:val="003B2FE1"/>
    <w:rsid w:val="003B3207"/>
    <w:rsid w:val="003B332F"/>
    <w:rsid w:val="003B3697"/>
    <w:rsid w:val="003B3C40"/>
    <w:rsid w:val="003B3F83"/>
    <w:rsid w:val="003B4A1D"/>
    <w:rsid w:val="003B4BC1"/>
    <w:rsid w:val="003B4D54"/>
    <w:rsid w:val="003B5447"/>
    <w:rsid w:val="003B5A62"/>
    <w:rsid w:val="003B5B36"/>
    <w:rsid w:val="003B5EE8"/>
    <w:rsid w:val="003B6A91"/>
    <w:rsid w:val="003B6B5E"/>
    <w:rsid w:val="003B7128"/>
    <w:rsid w:val="003B736E"/>
    <w:rsid w:val="003B77BE"/>
    <w:rsid w:val="003B77E3"/>
    <w:rsid w:val="003B7A95"/>
    <w:rsid w:val="003B7E01"/>
    <w:rsid w:val="003C050C"/>
    <w:rsid w:val="003C06E2"/>
    <w:rsid w:val="003C10BD"/>
    <w:rsid w:val="003C1267"/>
    <w:rsid w:val="003C1B40"/>
    <w:rsid w:val="003C1ED8"/>
    <w:rsid w:val="003C250A"/>
    <w:rsid w:val="003C3669"/>
    <w:rsid w:val="003C3730"/>
    <w:rsid w:val="003C3733"/>
    <w:rsid w:val="003C38D7"/>
    <w:rsid w:val="003C3E94"/>
    <w:rsid w:val="003C45DC"/>
    <w:rsid w:val="003C53F2"/>
    <w:rsid w:val="003C55AA"/>
    <w:rsid w:val="003C56DD"/>
    <w:rsid w:val="003C59E3"/>
    <w:rsid w:val="003C5A71"/>
    <w:rsid w:val="003C6420"/>
    <w:rsid w:val="003C6D72"/>
    <w:rsid w:val="003C735C"/>
    <w:rsid w:val="003C7429"/>
    <w:rsid w:val="003C7A26"/>
    <w:rsid w:val="003C7A83"/>
    <w:rsid w:val="003C7DB5"/>
    <w:rsid w:val="003D0671"/>
    <w:rsid w:val="003D0AF9"/>
    <w:rsid w:val="003D1053"/>
    <w:rsid w:val="003D1228"/>
    <w:rsid w:val="003D12BE"/>
    <w:rsid w:val="003D1D1B"/>
    <w:rsid w:val="003D2409"/>
    <w:rsid w:val="003D2519"/>
    <w:rsid w:val="003D2696"/>
    <w:rsid w:val="003D3A5B"/>
    <w:rsid w:val="003D40A7"/>
    <w:rsid w:val="003D42AE"/>
    <w:rsid w:val="003D4CD0"/>
    <w:rsid w:val="003D4E00"/>
    <w:rsid w:val="003D4F6D"/>
    <w:rsid w:val="003D60AD"/>
    <w:rsid w:val="003D616A"/>
    <w:rsid w:val="003D6C0C"/>
    <w:rsid w:val="003D6FDD"/>
    <w:rsid w:val="003D70BD"/>
    <w:rsid w:val="003D722D"/>
    <w:rsid w:val="003D7963"/>
    <w:rsid w:val="003D7A96"/>
    <w:rsid w:val="003D7FAD"/>
    <w:rsid w:val="003E0968"/>
    <w:rsid w:val="003E119D"/>
    <w:rsid w:val="003E1420"/>
    <w:rsid w:val="003E1458"/>
    <w:rsid w:val="003E26EA"/>
    <w:rsid w:val="003E2AC0"/>
    <w:rsid w:val="003E2F42"/>
    <w:rsid w:val="003E3394"/>
    <w:rsid w:val="003E3BF5"/>
    <w:rsid w:val="003E4324"/>
    <w:rsid w:val="003E4D33"/>
    <w:rsid w:val="003E4F8F"/>
    <w:rsid w:val="003E52ED"/>
    <w:rsid w:val="003E684B"/>
    <w:rsid w:val="003E6D6D"/>
    <w:rsid w:val="003E7070"/>
    <w:rsid w:val="003E70FB"/>
    <w:rsid w:val="003E7280"/>
    <w:rsid w:val="003E72A8"/>
    <w:rsid w:val="003E75E4"/>
    <w:rsid w:val="003E79BF"/>
    <w:rsid w:val="003F0809"/>
    <w:rsid w:val="003F14D4"/>
    <w:rsid w:val="003F1665"/>
    <w:rsid w:val="003F1A0E"/>
    <w:rsid w:val="003F1BAC"/>
    <w:rsid w:val="003F2B3B"/>
    <w:rsid w:val="003F2BED"/>
    <w:rsid w:val="003F2EC8"/>
    <w:rsid w:val="003F3177"/>
    <w:rsid w:val="003F3DE1"/>
    <w:rsid w:val="003F4352"/>
    <w:rsid w:val="003F4773"/>
    <w:rsid w:val="003F4BE9"/>
    <w:rsid w:val="003F4CFD"/>
    <w:rsid w:val="003F4E97"/>
    <w:rsid w:val="003F5683"/>
    <w:rsid w:val="003F5B4D"/>
    <w:rsid w:val="003F5B76"/>
    <w:rsid w:val="003F77A6"/>
    <w:rsid w:val="00400295"/>
    <w:rsid w:val="00400C7D"/>
    <w:rsid w:val="004011A3"/>
    <w:rsid w:val="004019FE"/>
    <w:rsid w:val="00401B9A"/>
    <w:rsid w:val="00401EA5"/>
    <w:rsid w:val="00402019"/>
    <w:rsid w:val="00402471"/>
    <w:rsid w:val="004028FB"/>
    <w:rsid w:val="00403495"/>
    <w:rsid w:val="00403832"/>
    <w:rsid w:val="00403BA8"/>
    <w:rsid w:val="00403E0C"/>
    <w:rsid w:val="004048C0"/>
    <w:rsid w:val="00404B22"/>
    <w:rsid w:val="00404C0E"/>
    <w:rsid w:val="004054C3"/>
    <w:rsid w:val="00406230"/>
    <w:rsid w:val="004064DA"/>
    <w:rsid w:val="0040744E"/>
    <w:rsid w:val="00407505"/>
    <w:rsid w:val="00407597"/>
    <w:rsid w:val="00407C5C"/>
    <w:rsid w:val="00410250"/>
    <w:rsid w:val="004102B1"/>
    <w:rsid w:val="00410B27"/>
    <w:rsid w:val="0041185E"/>
    <w:rsid w:val="004124D3"/>
    <w:rsid w:val="004132A2"/>
    <w:rsid w:val="0041341D"/>
    <w:rsid w:val="0041388E"/>
    <w:rsid w:val="00414064"/>
    <w:rsid w:val="004141F8"/>
    <w:rsid w:val="0041452F"/>
    <w:rsid w:val="004148DF"/>
    <w:rsid w:val="00414AAA"/>
    <w:rsid w:val="00415F25"/>
    <w:rsid w:val="004162EC"/>
    <w:rsid w:val="00417034"/>
    <w:rsid w:val="004172E9"/>
    <w:rsid w:val="00417A19"/>
    <w:rsid w:val="00417B69"/>
    <w:rsid w:val="004201BC"/>
    <w:rsid w:val="0042089D"/>
    <w:rsid w:val="00420985"/>
    <w:rsid w:val="00420A75"/>
    <w:rsid w:val="004211CC"/>
    <w:rsid w:val="004211FC"/>
    <w:rsid w:val="00421A82"/>
    <w:rsid w:val="00421B40"/>
    <w:rsid w:val="00421D9F"/>
    <w:rsid w:val="00421E90"/>
    <w:rsid w:val="00422038"/>
    <w:rsid w:val="004221FD"/>
    <w:rsid w:val="004225B1"/>
    <w:rsid w:val="0042293B"/>
    <w:rsid w:val="00423066"/>
    <w:rsid w:val="0042375D"/>
    <w:rsid w:val="00423FA0"/>
    <w:rsid w:val="0042446E"/>
    <w:rsid w:val="004258F1"/>
    <w:rsid w:val="00425C7F"/>
    <w:rsid w:val="00426104"/>
    <w:rsid w:val="00426460"/>
    <w:rsid w:val="00426880"/>
    <w:rsid w:val="00426BF9"/>
    <w:rsid w:val="00426DC8"/>
    <w:rsid w:val="004272D2"/>
    <w:rsid w:val="004278A3"/>
    <w:rsid w:val="00427B12"/>
    <w:rsid w:val="00430917"/>
    <w:rsid w:val="00431236"/>
    <w:rsid w:val="00431CF1"/>
    <w:rsid w:val="00431E47"/>
    <w:rsid w:val="0043348B"/>
    <w:rsid w:val="00433642"/>
    <w:rsid w:val="004338B1"/>
    <w:rsid w:val="00433B00"/>
    <w:rsid w:val="004343BF"/>
    <w:rsid w:val="004346DA"/>
    <w:rsid w:val="00434716"/>
    <w:rsid w:val="004349AB"/>
    <w:rsid w:val="00435183"/>
    <w:rsid w:val="0043551B"/>
    <w:rsid w:val="00435886"/>
    <w:rsid w:val="00435ADD"/>
    <w:rsid w:val="00435C26"/>
    <w:rsid w:val="0043633D"/>
    <w:rsid w:val="00436772"/>
    <w:rsid w:val="00436DDF"/>
    <w:rsid w:val="004371B1"/>
    <w:rsid w:val="004371D5"/>
    <w:rsid w:val="004373AE"/>
    <w:rsid w:val="004378FA"/>
    <w:rsid w:val="00437A5A"/>
    <w:rsid w:val="00437AD7"/>
    <w:rsid w:val="00437FED"/>
    <w:rsid w:val="00437FF6"/>
    <w:rsid w:val="004400E3"/>
    <w:rsid w:val="0044087E"/>
    <w:rsid w:val="0044115B"/>
    <w:rsid w:val="00441254"/>
    <w:rsid w:val="00441595"/>
    <w:rsid w:val="00442303"/>
    <w:rsid w:val="00442539"/>
    <w:rsid w:val="0044425F"/>
    <w:rsid w:val="00445191"/>
    <w:rsid w:val="00445968"/>
    <w:rsid w:val="004467A2"/>
    <w:rsid w:val="004469B2"/>
    <w:rsid w:val="004473C2"/>
    <w:rsid w:val="00447751"/>
    <w:rsid w:val="00450121"/>
    <w:rsid w:val="004502A0"/>
    <w:rsid w:val="004502F4"/>
    <w:rsid w:val="00451241"/>
    <w:rsid w:val="00452838"/>
    <w:rsid w:val="004528A7"/>
    <w:rsid w:val="00452EDB"/>
    <w:rsid w:val="004532E4"/>
    <w:rsid w:val="00453D79"/>
    <w:rsid w:val="00453E2F"/>
    <w:rsid w:val="00454013"/>
    <w:rsid w:val="00454550"/>
    <w:rsid w:val="00454994"/>
    <w:rsid w:val="004549EA"/>
    <w:rsid w:val="00454ABC"/>
    <w:rsid w:val="004555D1"/>
    <w:rsid w:val="004556B5"/>
    <w:rsid w:val="004556BD"/>
    <w:rsid w:val="00455853"/>
    <w:rsid w:val="004563C2"/>
    <w:rsid w:val="00456400"/>
    <w:rsid w:val="00456404"/>
    <w:rsid w:val="004564BA"/>
    <w:rsid w:val="004567FF"/>
    <w:rsid w:val="00456BEE"/>
    <w:rsid w:val="00456CBD"/>
    <w:rsid w:val="00456D3D"/>
    <w:rsid w:val="00456E1F"/>
    <w:rsid w:val="00456E79"/>
    <w:rsid w:val="00456EC7"/>
    <w:rsid w:val="004570F1"/>
    <w:rsid w:val="0045732E"/>
    <w:rsid w:val="00457E42"/>
    <w:rsid w:val="00460597"/>
    <w:rsid w:val="00461390"/>
    <w:rsid w:val="00461441"/>
    <w:rsid w:val="004620C4"/>
    <w:rsid w:val="0046218F"/>
    <w:rsid w:val="00462542"/>
    <w:rsid w:val="00462CB9"/>
    <w:rsid w:val="00462FCF"/>
    <w:rsid w:val="00462FEA"/>
    <w:rsid w:val="00463654"/>
    <w:rsid w:val="004636D7"/>
    <w:rsid w:val="00463B69"/>
    <w:rsid w:val="00464292"/>
    <w:rsid w:val="004644FA"/>
    <w:rsid w:val="004647C6"/>
    <w:rsid w:val="0046486C"/>
    <w:rsid w:val="00464A16"/>
    <w:rsid w:val="00464B65"/>
    <w:rsid w:val="00464C54"/>
    <w:rsid w:val="00464CA1"/>
    <w:rsid w:val="004654AF"/>
    <w:rsid w:val="0046587D"/>
    <w:rsid w:val="00465E7A"/>
    <w:rsid w:val="004661BD"/>
    <w:rsid w:val="004661D5"/>
    <w:rsid w:val="004665B4"/>
    <w:rsid w:val="00466BE7"/>
    <w:rsid w:val="00466E94"/>
    <w:rsid w:val="00466EAC"/>
    <w:rsid w:val="00466F5D"/>
    <w:rsid w:val="00467208"/>
    <w:rsid w:val="00467386"/>
    <w:rsid w:val="0046799C"/>
    <w:rsid w:val="00467B13"/>
    <w:rsid w:val="00467C4C"/>
    <w:rsid w:val="00467FC8"/>
    <w:rsid w:val="0047021A"/>
    <w:rsid w:val="004703D2"/>
    <w:rsid w:val="00470405"/>
    <w:rsid w:val="004705FD"/>
    <w:rsid w:val="00471B91"/>
    <w:rsid w:val="00471BD0"/>
    <w:rsid w:val="0047205B"/>
    <w:rsid w:val="0047212C"/>
    <w:rsid w:val="004722A6"/>
    <w:rsid w:val="00472303"/>
    <w:rsid w:val="00472F5D"/>
    <w:rsid w:val="00472FCC"/>
    <w:rsid w:val="004736D4"/>
    <w:rsid w:val="00473BC2"/>
    <w:rsid w:val="00473D2C"/>
    <w:rsid w:val="00473E02"/>
    <w:rsid w:val="004752F9"/>
    <w:rsid w:val="00475CEB"/>
    <w:rsid w:val="00475F4F"/>
    <w:rsid w:val="00475FDD"/>
    <w:rsid w:val="0047713F"/>
    <w:rsid w:val="0047717B"/>
    <w:rsid w:val="00477206"/>
    <w:rsid w:val="004778EE"/>
    <w:rsid w:val="00477981"/>
    <w:rsid w:val="00477D84"/>
    <w:rsid w:val="00480336"/>
    <w:rsid w:val="00480491"/>
    <w:rsid w:val="0048073C"/>
    <w:rsid w:val="00480857"/>
    <w:rsid w:val="00480873"/>
    <w:rsid w:val="00480B0C"/>
    <w:rsid w:val="00481AB0"/>
    <w:rsid w:val="004820DD"/>
    <w:rsid w:val="00482952"/>
    <w:rsid w:val="00482CCA"/>
    <w:rsid w:val="00482CF5"/>
    <w:rsid w:val="00483065"/>
    <w:rsid w:val="00483967"/>
    <w:rsid w:val="004845EB"/>
    <w:rsid w:val="00485566"/>
    <w:rsid w:val="004856E9"/>
    <w:rsid w:val="004859A5"/>
    <w:rsid w:val="00485BBE"/>
    <w:rsid w:val="00485E14"/>
    <w:rsid w:val="00486079"/>
    <w:rsid w:val="004869BB"/>
    <w:rsid w:val="004869C8"/>
    <w:rsid w:val="00486CC3"/>
    <w:rsid w:val="00487EBA"/>
    <w:rsid w:val="004904D2"/>
    <w:rsid w:val="004906E8"/>
    <w:rsid w:val="00490A8A"/>
    <w:rsid w:val="00491157"/>
    <w:rsid w:val="004913C9"/>
    <w:rsid w:val="0049167B"/>
    <w:rsid w:val="00491749"/>
    <w:rsid w:val="00491811"/>
    <w:rsid w:val="00491F42"/>
    <w:rsid w:val="00492B63"/>
    <w:rsid w:val="00493091"/>
    <w:rsid w:val="004932F6"/>
    <w:rsid w:val="004942F1"/>
    <w:rsid w:val="00494D7F"/>
    <w:rsid w:val="004952D8"/>
    <w:rsid w:val="00495771"/>
    <w:rsid w:val="0049624B"/>
    <w:rsid w:val="004974CF"/>
    <w:rsid w:val="00497677"/>
    <w:rsid w:val="004978C4"/>
    <w:rsid w:val="00497E98"/>
    <w:rsid w:val="004A01C6"/>
    <w:rsid w:val="004A0623"/>
    <w:rsid w:val="004A07F1"/>
    <w:rsid w:val="004A0A74"/>
    <w:rsid w:val="004A10B6"/>
    <w:rsid w:val="004A10DC"/>
    <w:rsid w:val="004A1F35"/>
    <w:rsid w:val="004A2574"/>
    <w:rsid w:val="004A2A2C"/>
    <w:rsid w:val="004A2C17"/>
    <w:rsid w:val="004A2CD9"/>
    <w:rsid w:val="004A3037"/>
    <w:rsid w:val="004A3BB4"/>
    <w:rsid w:val="004A3D38"/>
    <w:rsid w:val="004A42FB"/>
    <w:rsid w:val="004A432B"/>
    <w:rsid w:val="004A44CC"/>
    <w:rsid w:val="004A51DE"/>
    <w:rsid w:val="004A56B7"/>
    <w:rsid w:val="004A571A"/>
    <w:rsid w:val="004A6452"/>
    <w:rsid w:val="004A6791"/>
    <w:rsid w:val="004A689A"/>
    <w:rsid w:val="004A69AA"/>
    <w:rsid w:val="004A6C39"/>
    <w:rsid w:val="004A713B"/>
    <w:rsid w:val="004A75F1"/>
    <w:rsid w:val="004B0CF9"/>
    <w:rsid w:val="004B0F65"/>
    <w:rsid w:val="004B1286"/>
    <w:rsid w:val="004B1810"/>
    <w:rsid w:val="004B1F8C"/>
    <w:rsid w:val="004B2074"/>
    <w:rsid w:val="004B21FE"/>
    <w:rsid w:val="004B244B"/>
    <w:rsid w:val="004B2A01"/>
    <w:rsid w:val="004B2A27"/>
    <w:rsid w:val="004B3121"/>
    <w:rsid w:val="004B3144"/>
    <w:rsid w:val="004B363E"/>
    <w:rsid w:val="004B3983"/>
    <w:rsid w:val="004B3CC9"/>
    <w:rsid w:val="004B3E04"/>
    <w:rsid w:val="004B3F59"/>
    <w:rsid w:val="004B41C6"/>
    <w:rsid w:val="004B4252"/>
    <w:rsid w:val="004B43FB"/>
    <w:rsid w:val="004B446C"/>
    <w:rsid w:val="004B4A74"/>
    <w:rsid w:val="004B4D4F"/>
    <w:rsid w:val="004B4DCF"/>
    <w:rsid w:val="004B4E41"/>
    <w:rsid w:val="004B4EF7"/>
    <w:rsid w:val="004B51CF"/>
    <w:rsid w:val="004B605D"/>
    <w:rsid w:val="004B631E"/>
    <w:rsid w:val="004B6789"/>
    <w:rsid w:val="004B6EFE"/>
    <w:rsid w:val="004B7273"/>
    <w:rsid w:val="004B7617"/>
    <w:rsid w:val="004C0151"/>
    <w:rsid w:val="004C08F8"/>
    <w:rsid w:val="004C0A45"/>
    <w:rsid w:val="004C0E26"/>
    <w:rsid w:val="004C1620"/>
    <w:rsid w:val="004C18AA"/>
    <w:rsid w:val="004C19D9"/>
    <w:rsid w:val="004C265D"/>
    <w:rsid w:val="004C274E"/>
    <w:rsid w:val="004C282F"/>
    <w:rsid w:val="004C28B3"/>
    <w:rsid w:val="004C2A41"/>
    <w:rsid w:val="004C2A4E"/>
    <w:rsid w:val="004C2C90"/>
    <w:rsid w:val="004C2F34"/>
    <w:rsid w:val="004C2F99"/>
    <w:rsid w:val="004C36BA"/>
    <w:rsid w:val="004C38DF"/>
    <w:rsid w:val="004C428E"/>
    <w:rsid w:val="004C43A9"/>
    <w:rsid w:val="004C4D46"/>
    <w:rsid w:val="004C4F34"/>
    <w:rsid w:val="004C5405"/>
    <w:rsid w:val="004C5844"/>
    <w:rsid w:val="004C5E07"/>
    <w:rsid w:val="004C5F07"/>
    <w:rsid w:val="004C6536"/>
    <w:rsid w:val="004C6B18"/>
    <w:rsid w:val="004C6E71"/>
    <w:rsid w:val="004C7176"/>
    <w:rsid w:val="004C74AF"/>
    <w:rsid w:val="004C7716"/>
    <w:rsid w:val="004C77FA"/>
    <w:rsid w:val="004C782E"/>
    <w:rsid w:val="004C7B5D"/>
    <w:rsid w:val="004D00C8"/>
    <w:rsid w:val="004D0D3F"/>
    <w:rsid w:val="004D1015"/>
    <w:rsid w:val="004D1928"/>
    <w:rsid w:val="004D2243"/>
    <w:rsid w:val="004D3CED"/>
    <w:rsid w:val="004D40CF"/>
    <w:rsid w:val="004D4926"/>
    <w:rsid w:val="004D49D2"/>
    <w:rsid w:val="004D4B23"/>
    <w:rsid w:val="004D4BFE"/>
    <w:rsid w:val="004D4D7A"/>
    <w:rsid w:val="004D4F6C"/>
    <w:rsid w:val="004D5846"/>
    <w:rsid w:val="004D5FE6"/>
    <w:rsid w:val="004D60A2"/>
    <w:rsid w:val="004D635F"/>
    <w:rsid w:val="004D677D"/>
    <w:rsid w:val="004D7125"/>
    <w:rsid w:val="004D7356"/>
    <w:rsid w:val="004D79BF"/>
    <w:rsid w:val="004D7EA6"/>
    <w:rsid w:val="004E02BF"/>
    <w:rsid w:val="004E0641"/>
    <w:rsid w:val="004E090B"/>
    <w:rsid w:val="004E09CD"/>
    <w:rsid w:val="004E0C2C"/>
    <w:rsid w:val="004E0D72"/>
    <w:rsid w:val="004E11C9"/>
    <w:rsid w:val="004E16EE"/>
    <w:rsid w:val="004E1F19"/>
    <w:rsid w:val="004E2321"/>
    <w:rsid w:val="004E2774"/>
    <w:rsid w:val="004E29C4"/>
    <w:rsid w:val="004E2BEB"/>
    <w:rsid w:val="004E3B84"/>
    <w:rsid w:val="004E3D2A"/>
    <w:rsid w:val="004E3F7C"/>
    <w:rsid w:val="004E3FE9"/>
    <w:rsid w:val="004E451D"/>
    <w:rsid w:val="004E4BFF"/>
    <w:rsid w:val="004E50BF"/>
    <w:rsid w:val="004E550E"/>
    <w:rsid w:val="004E7021"/>
    <w:rsid w:val="004E76EC"/>
    <w:rsid w:val="004E7876"/>
    <w:rsid w:val="004E7965"/>
    <w:rsid w:val="004F08E8"/>
    <w:rsid w:val="004F0974"/>
    <w:rsid w:val="004F2015"/>
    <w:rsid w:val="004F20FC"/>
    <w:rsid w:val="004F27DC"/>
    <w:rsid w:val="004F2869"/>
    <w:rsid w:val="004F2FCC"/>
    <w:rsid w:val="004F30F9"/>
    <w:rsid w:val="004F32F5"/>
    <w:rsid w:val="004F3531"/>
    <w:rsid w:val="004F3CF0"/>
    <w:rsid w:val="004F3ED4"/>
    <w:rsid w:val="004F4525"/>
    <w:rsid w:val="004F5166"/>
    <w:rsid w:val="004F5173"/>
    <w:rsid w:val="004F58ED"/>
    <w:rsid w:val="004F6145"/>
    <w:rsid w:val="004F66CB"/>
    <w:rsid w:val="004F6B39"/>
    <w:rsid w:val="004F6E80"/>
    <w:rsid w:val="004F6FD5"/>
    <w:rsid w:val="004F75A6"/>
    <w:rsid w:val="004F7E94"/>
    <w:rsid w:val="0050084C"/>
    <w:rsid w:val="00500886"/>
    <w:rsid w:val="005008C2"/>
    <w:rsid w:val="00500BF0"/>
    <w:rsid w:val="005013AC"/>
    <w:rsid w:val="00501B04"/>
    <w:rsid w:val="00501C7D"/>
    <w:rsid w:val="0050340D"/>
    <w:rsid w:val="005037B4"/>
    <w:rsid w:val="00503925"/>
    <w:rsid w:val="00503DCA"/>
    <w:rsid w:val="00503E0A"/>
    <w:rsid w:val="005041FC"/>
    <w:rsid w:val="005046EB"/>
    <w:rsid w:val="00504D05"/>
    <w:rsid w:val="0050521F"/>
    <w:rsid w:val="005053E3"/>
    <w:rsid w:val="005058A1"/>
    <w:rsid w:val="0050613A"/>
    <w:rsid w:val="00506226"/>
    <w:rsid w:val="00506798"/>
    <w:rsid w:val="005079A8"/>
    <w:rsid w:val="005103B6"/>
    <w:rsid w:val="00510D24"/>
    <w:rsid w:val="00510D63"/>
    <w:rsid w:val="0051131F"/>
    <w:rsid w:val="00511DEE"/>
    <w:rsid w:val="005120F1"/>
    <w:rsid w:val="005129B4"/>
    <w:rsid w:val="005138F6"/>
    <w:rsid w:val="0051441F"/>
    <w:rsid w:val="00514569"/>
    <w:rsid w:val="0051475C"/>
    <w:rsid w:val="005147D9"/>
    <w:rsid w:val="00514AF4"/>
    <w:rsid w:val="00514FD6"/>
    <w:rsid w:val="00515DC7"/>
    <w:rsid w:val="005170FA"/>
    <w:rsid w:val="00517D8D"/>
    <w:rsid w:val="00517E7A"/>
    <w:rsid w:val="0052019B"/>
    <w:rsid w:val="0052055A"/>
    <w:rsid w:val="005205BF"/>
    <w:rsid w:val="005206E7"/>
    <w:rsid w:val="00520B46"/>
    <w:rsid w:val="00520C95"/>
    <w:rsid w:val="00521072"/>
    <w:rsid w:val="00521ACC"/>
    <w:rsid w:val="005220DC"/>
    <w:rsid w:val="00522555"/>
    <w:rsid w:val="00522633"/>
    <w:rsid w:val="005226E6"/>
    <w:rsid w:val="00522CA8"/>
    <w:rsid w:val="00522DC3"/>
    <w:rsid w:val="00522FE3"/>
    <w:rsid w:val="00523407"/>
    <w:rsid w:val="00523955"/>
    <w:rsid w:val="00524F74"/>
    <w:rsid w:val="005251B2"/>
    <w:rsid w:val="0052531B"/>
    <w:rsid w:val="005253D1"/>
    <w:rsid w:val="0052585A"/>
    <w:rsid w:val="00525AB7"/>
    <w:rsid w:val="00525B44"/>
    <w:rsid w:val="005276A3"/>
    <w:rsid w:val="00527D8A"/>
    <w:rsid w:val="005305FA"/>
    <w:rsid w:val="00530850"/>
    <w:rsid w:val="00530A25"/>
    <w:rsid w:val="00530A78"/>
    <w:rsid w:val="005311C2"/>
    <w:rsid w:val="0053132B"/>
    <w:rsid w:val="00531A26"/>
    <w:rsid w:val="00531E8A"/>
    <w:rsid w:val="00532283"/>
    <w:rsid w:val="0053237D"/>
    <w:rsid w:val="005326BE"/>
    <w:rsid w:val="00532DF8"/>
    <w:rsid w:val="00533236"/>
    <w:rsid w:val="005332BB"/>
    <w:rsid w:val="005334F3"/>
    <w:rsid w:val="00533D30"/>
    <w:rsid w:val="00533E5D"/>
    <w:rsid w:val="00533E88"/>
    <w:rsid w:val="005345C6"/>
    <w:rsid w:val="00534A15"/>
    <w:rsid w:val="00535921"/>
    <w:rsid w:val="005359AE"/>
    <w:rsid w:val="00536286"/>
    <w:rsid w:val="00536E12"/>
    <w:rsid w:val="00537335"/>
    <w:rsid w:val="0053734D"/>
    <w:rsid w:val="00537C10"/>
    <w:rsid w:val="00540AF6"/>
    <w:rsid w:val="00540DB6"/>
    <w:rsid w:val="00540FB9"/>
    <w:rsid w:val="0054170F"/>
    <w:rsid w:val="00541A7C"/>
    <w:rsid w:val="00541AC5"/>
    <w:rsid w:val="00541E56"/>
    <w:rsid w:val="00542067"/>
    <w:rsid w:val="005422AE"/>
    <w:rsid w:val="005428AC"/>
    <w:rsid w:val="00542D6B"/>
    <w:rsid w:val="00542F91"/>
    <w:rsid w:val="00543133"/>
    <w:rsid w:val="005433F9"/>
    <w:rsid w:val="00543B20"/>
    <w:rsid w:val="00543DCA"/>
    <w:rsid w:val="005440C2"/>
    <w:rsid w:val="005442C8"/>
    <w:rsid w:val="0054454C"/>
    <w:rsid w:val="0054491D"/>
    <w:rsid w:val="005455DE"/>
    <w:rsid w:val="00545C79"/>
    <w:rsid w:val="0054650F"/>
    <w:rsid w:val="00546957"/>
    <w:rsid w:val="00546A99"/>
    <w:rsid w:val="0054715B"/>
    <w:rsid w:val="0054718A"/>
    <w:rsid w:val="00547748"/>
    <w:rsid w:val="00547CE9"/>
    <w:rsid w:val="00547DE6"/>
    <w:rsid w:val="00547E9E"/>
    <w:rsid w:val="00550231"/>
    <w:rsid w:val="00550752"/>
    <w:rsid w:val="00550808"/>
    <w:rsid w:val="00550811"/>
    <w:rsid w:val="00550AB4"/>
    <w:rsid w:val="00550BCD"/>
    <w:rsid w:val="00550DF7"/>
    <w:rsid w:val="00551793"/>
    <w:rsid w:val="00551AA3"/>
    <w:rsid w:val="00551B56"/>
    <w:rsid w:val="0055224D"/>
    <w:rsid w:val="0055231A"/>
    <w:rsid w:val="005525FC"/>
    <w:rsid w:val="00552BA6"/>
    <w:rsid w:val="0055308F"/>
    <w:rsid w:val="00553503"/>
    <w:rsid w:val="00553767"/>
    <w:rsid w:val="00553A0C"/>
    <w:rsid w:val="00553DBA"/>
    <w:rsid w:val="00553FF0"/>
    <w:rsid w:val="005542DA"/>
    <w:rsid w:val="00554460"/>
    <w:rsid w:val="00554C3D"/>
    <w:rsid w:val="0055693F"/>
    <w:rsid w:val="00556CB3"/>
    <w:rsid w:val="00557264"/>
    <w:rsid w:val="005572C0"/>
    <w:rsid w:val="00557B13"/>
    <w:rsid w:val="00557FA4"/>
    <w:rsid w:val="00560063"/>
    <w:rsid w:val="00560161"/>
    <w:rsid w:val="00560267"/>
    <w:rsid w:val="005602C9"/>
    <w:rsid w:val="0056087D"/>
    <w:rsid w:val="00560B5A"/>
    <w:rsid w:val="00560B6A"/>
    <w:rsid w:val="00560DE6"/>
    <w:rsid w:val="0056120A"/>
    <w:rsid w:val="00561338"/>
    <w:rsid w:val="00561608"/>
    <w:rsid w:val="0056161A"/>
    <w:rsid w:val="00561636"/>
    <w:rsid w:val="00561B89"/>
    <w:rsid w:val="00561EBB"/>
    <w:rsid w:val="005620C0"/>
    <w:rsid w:val="00562245"/>
    <w:rsid w:val="005625C3"/>
    <w:rsid w:val="0056297C"/>
    <w:rsid w:val="00562C45"/>
    <w:rsid w:val="00562C50"/>
    <w:rsid w:val="00562E7E"/>
    <w:rsid w:val="00563C33"/>
    <w:rsid w:val="005649CC"/>
    <w:rsid w:val="00564F2B"/>
    <w:rsid w:val="00565794"/>
    <w:rsid w:val="005658BF"/>
    <w:rsid w:val="00565A87"/>
    <w:rsid w:val="00565AE2"/>
    <w:rsid w:val="00566237"/>
    <w:rsid w:val="00566254"/>
    <w:rsid w:val="0056655B"/>
    <w:rsid w:val="005665DE"/>
    <w:rsid w:val="00567420"/>
    <w:rsid w:val="00570A47"/>
    <w:rsid w:val="00570C4D"/>
    <w:rsid w:val="005719E5"/>
    <w:rsid w:val="00571A6E"/>
    <w:rsid w:val="00571A95"/>
    <w:rsid w:val="00572227"/>
    <w:rsid w:val="005731B3"/>
    <w:rsid w:val="00573AB0"/>
    <w:rsid w:val="00574500"/>
    <w:rsid w:val="00574FA1"/>
    <w:rsid w:val="005763EB"/>
    <w:rsid w:val="00576466"/>
    <w:rsid w:val="005764F8"/>
    <w:rsid w:val="00576AF5"/>
    <w:rsid w:val="00576B4D"/>
    <w:rsid w:val="005779A1"/>
    <w:rsid w:val="00577BB3"/>
    <w:rsid w:val="00577F9E"/>
    <w:rsid w:val="005806D3"/>
    <w:rsid w:val="00580956"/>
    <w:rsid w:val="00580A10"/>
    <w:rsid w:val="00580D30"/>
    <w:rsid w:val="00582561"/>
    <w:rsid w:val="005825D5"/>
    <w:rsid w:val="00582AEA"/>
    <w:rsid w:val="00582D08"/>
    <w:rsid w:val="00582FE8"/>
    <w:rsid w:val="00583903"/>
    <w:rsid w:val="00583ACB"/>
    <w:rsid w:val="0058446E"/>
    <w:rsid w:val="00584970"/>
    <w:rsid w:val="00584B12"/>
    <w:rsid w:val="00584BC2"/>
    <w:rsid w:val="00585447"/>
    <w:rsid w:val="005858B4"/>
    <w:rsid w:val="00586149"/>
    <w:rsid w:val="00586788"/>
    <w:rsid w:val="005867F5"/>
    <w:rsid w:val="00586EA7"/>
    <w:rsid w:val="00587406"/>
    <w:rsid w:val="005877B2"/>
    <w:rsid w:val="00587E86"/>
    <w:rsid w:val="005900B8"/>
    <w:rsid w:val="005906A5"/>
    <w:rsid w:val="00590C57"/>
    <w:rsid w:val="00590C83"/>
    <w:rsid w:val="00590E1E"/>
    <w:rsid w:val="00591923"/>
    <w:rsid w:val="00591D85"/>
    <w:rsid w:val="00591FD5"/>
    <w:rsid w:val="005926D0"/>
    <w:rsid w:val="00592D5A"/>
    <w:rsid w:val="00592ED3"/>
    <w:rsid w:val="005937CB"/>
    <w:rsid w:val="00593D1B"/>
    <w:rsid w:val="00593F66"/>
    <w:rsid w:val="00594D21"/>
    <w:rsid w:val="00594E50"/>
    <w:rsid w:val="005954F3"/>
    <w:rsid w:val="005955F7"/>
    <w:rsid w:val="00595830"/>
    <w:rsid w:val="00596427"/>
    <w:rsid w:val="00597135"/>
    <w:rsid w:val="005A0008"/>
    <w:rsid w:val="005A100F"/>
    <w:rsid w:val="005A148D"/>
    <w:rsid w:val="005A155E"/>
    <w:rsid w:val="005A1B6C"/>
    <w:rsid w:val="005A1E2D"/>
    <w:rsid w:val="005A224D"/>
    <w:rsid w:val="005A22ED"/>
    <w:rsid w:val="005A2317"/>
    <w:rsid w:val="005A2CD1"/>
    <w:rsid w:val="005A325F"/>
    <w:rsid w:val="005A3A70"/>
    <w:rsid w:val="005A3BB2"/>
    <w:rsid w:val="005A3CAD"/>
    <w:rsid w:val="005A402E"/>
    <w:rsid w:val="005A40F3"/>
    <w:rsid w:val="005A41A6"/>
    <w:rsid w:val="005A4243"/>
    <w:rsid w:val="005A4965"/>
    <w:rsid w:val="005A505B"/>
    <w:rsid w:val="005A562E"/>
    <w:rsid w:val="005A5742"/>
    <w:rsid w:val="005A5A3A"/>
    <w:rsid w:val="005A629E"/>
    <w:rsid w:val="005A63DA"/>
    <w:rsid w:val="005A6538"/>
    <w:rsid w:val="005A7280"/>
    <w:rsid w:val="005A728B"/>
    <w:rsid w:val="005A72A4"/>
    <w:rsid w:val="005A7840"/>
    <w:rsid w:val="005A7A66"/>
    <w:rsid w:val="005A7F70"/>
    <w:rsid w:val="005A7F78"/>
    <w:rsid w:val="005B00B5"/>
    <w:rsid w:val="005B07B1"/>
    <w:rsid w:val="005B11E7"/>
    <w:rsid w:val="005B12A2"/>
    <w:rsid w:val="005B138C"/>
    <w:rsid w:val="005B16D4"/>
    <w:rsid w:val="005B1E12"/>
    <w:rsid w:val="005B2AB0"/>
    <w:rsid w:val="005B2DCA"/>
    <w:rsid w:val="005B3124"/>
    <w:rsid w:val="005B3317"/>
    <w:rsid w:val="005B3992"/>
    <w:rsid w:val="005B39D2"/>
    <w:rsid w:val="005B3E6A"/>
    <w:rsid w:val="005B4289"/>
    <w:rsid w:val="005B42BF"/>
    <w:rsid w:val="005B4DBA"/>
    <w:rsid w:val="005B5369"/>
    <w:rsid w:val="005B53AC"/>
    <w:rsid w:val="005B703F"/>
    <w:rsid w:val="005B76FA"/>
    <w:rsid w:val="005B7BCE"/>
    <w:rsid w:val="005C0409"/>
    <w:rsid w:val="005C0826"/>
    <w:rsid w:val="005C0AB3"/>
    <w:rsid w:val="005C0FF7"/>
    <w:rsid w:val="005C16C2"/>
    <w:rsid w:val="005C2590"/>
    <w:rsid w:val="005C296F"/>
    <w:rsid w:val="005C2D37"/>
    <w:rsid w:val="005C2D80"/>
    <w:rsid w:val="005C3011"/>
    <w:rsid w:val="005C33B4"/>
    <w:rsid w:val="005C35B0"/>
    <w:rsid w:val="005C3C04"/>
    <w:rsid w:val="005C4623"/>
    <w:rsid w:val="005C53DB"/>
    <w:rsid w:val="005C59F0"/>
    <w:rsid w:val="005C6482"/>
    <w:rsid w:val="005C65D2"/>
    <w:rsid w:val="005C6B56"/>
    <w:rsid w:val="005C6B92"/>
    <w:rsid w:val="005C6FEA"/>
    <w:rsid w:val="005C7AF4"/>
    <w:rsid w:val="005C7FE6"/>
    <w:rsid w:val="005C7FE8"/>
    <w:rsid w:val="005D0649"/>
    <w:rsid w:val="005D099E"/>
    <w:rsid w:val="005D0A7F"/>
    <w:rsid w:val="005D0A81"/>
    <w:rsid w:val="005D0DC7"/>
    <w:rsid w:val="005D1183"/>
    <w:rsid w:val="005D15E8"/>
    <w:rsid w:val="005D1AFB"/>
    <w:rsid w:val="005D1BDD"/>
    <w:rsid w:val="005D2150"/>
    <w:rsid w:val="005D24F6"/>
    <w:rsid w:val="005D26C5"/>
    <w:rsid w:val="005D30A0"/>
    <w:rsid w:val="005D30AB"/>
    <w:rsid w:val="005D31E1"/>
    <w:rsid w:val="005D3476"/>
    <w:rsid w:val="005D3DBE"/>
    <w:rsid w:val="005D3E75"/>
    <w:rsid w:val="005D3F2D"/>
    <w:rsid w:val="005D3F4E"/>
    <w:rsid w:val="005D3F87"/>
    <w:rsid w:val="005D41DA"/>
    <w:rsid w:val="005D4D9B"/>
    <w:rsid w:val="005D4E9A"/>
    <w:rsid w:val="005D565F"/>
    <w:rsid w:val="005D589C"/>
    <w:rsid w:val="005D6074"/>
    <w:rsid w:val="005D628E"/>
    <w:rsid w:val="005D6C5C"/>
    <w:rsid w:val="005D70A7"/>
    <w:rsid w:val="005D761A"/>
    <w:rsid w:val="005D7653"/>
    <w:rsid w:val="005D7D43"/>
    <w:rsid w:val="005D7EA5"/>
    <w:rsid w:val="005D7F1D"/>
    <w:rsid w:val="005E12FC"/>
    <w:rsid w:val="005E2E9C"/>
    <w:rsid w:val="005E2F1B"/>
    <w:rsid w:val="005E335B"/>
    <w:rsid w:val="005E38AF"/>
    <w:rsid w:val="005E40BE"/>
    <w:rsid w:val="005E43CC"/>
    <w:rsid w:val="005E4DBD"/>
    <w:rsid w:val="005E6213"/>
    <w:rsid w:val="005E66D6"/>
    <w:rsid w:val="005E6AD9"/>
    <w:rsid w:val="005E6E04"/>
    <w:rsid w:val="005E71A5"/>
    <w:rsid w:val="005E7466"/>
    <w:rsid w:val="005E7754"/>
    <w:rsid w:val="005E7E67"/>
    <w:rsid w:val="005E7E7E"/>
    <w:rsid w:val="005F018D"/>
    <w:rsid w:val="005F12AC"/>
    <w:rsid w:val="005F188F"/>
    <w:rsid w:val="005F1A63"/>
    <w:rsid w:val="005F1EF0"/>
    <w:rsid w:val="005F255A"/>
    <w:rsid w:val="005F27BB"/>
    <w:rsid w:val="005F2D77"/>
    <w:rsid w:val="005F307D"/>
    <w:rsid w:val="005F343F"/>
    <w:rsid w:val="005F36F2"/>
    <w:rsid w:val="005F44AA"/>
    <w:rsid w:val="005F475F"/>
    <w:rsid w:val="005F4C6E"/>
    <w:rsid w:val="005F4DB9"/>
    <w:rsid w:val="005F50F5"/>
    <w:rsid w:val="005F52BD"/>
    <w:rsid w:val="005F587F"/>
    <w:rsid w:val="005F5D49"/>
    <w:rsid w:val="005F5DBA"/>
    <w:rsid w:val="005F5FB9"/>
    <w:rsid w:val="005F6D29"/>
    <w:rsid w:val="005F6FF1"/>
    <w:rsid w:val="005F71C2"/>
    <w:rsid w:val="005F7351"/>
    <w:rsid w:val="005F7634"/>
    <w:rsid w:val="005F781B"/>
    <w:rsid w:val="005F79E9"/>
    <w:rsid w:val="005F7E4C"/>
    <w:rsid w:val="00600A39"/>
    <w:rsid w:val="00600A9D"/>
    <w:rsid w:val="00600EA7"/>
    <w:rsid w:val="00601037"/>
    <w:rsid w:val="0060128C"/>
    <w:rsid w:val="00601415"/>
    <w:rsid w:val="006018E8"/>
    <w:rsid w:val="006021B7"/>
    <w:rsid w:val="0060223E"/>
    <w:rsid w:val="006027E9"/>
    <w:rsid w:val="00602B86"/>
    <w:rsid w:val="006031DA"/>
    <w:rsid w:val="00603AE8"/>
    <w:rsid w:val="0060409C"/>
    <w:rsid w:val="006041F2"/>
    <w:rsid w:val="006042DA"/>
    <w:rsid w:val="00604519"/>
    <w:rsid w:val="0060498F"/>
    <w:rsid w:val="00604C30"/>
    <w:rsid w:val="00604FF4"/>
    <w:rsid w:val="00605096"/>
    <w:rsid w:val="00605211"/>
    <w:rsid w:val="00605DF5"/>
    <w:rsid w:val="00606651"/>
    <w:rsid w:val="006070A1"/>
    <w:rsid w:val="006072D3"/>
    <w:rsid w:val="006072F7"/>
    <w:rsid w:val="006075CA"/>
    <w:rsid w:val="00607EEE"/>
    <w:rsid w:val="00607FDC"/>
    <w:rsid w:val="006102AF"/>
    <w:rsid w:val="006109C8"/>
    <w:rsid w:val="00610C4A"/>
    <w:rsid w:val="006114B9"/>
    <w:rsid w:val="0061195A"/>
    <w:rsid w:val="00611C5A"/>
    <w:rsid w:val="00611DF4"/>
    <w:rsid w:val="00612785"/>
    <w:rsid w:val="00612B69"/>
    <w:rsid w:val="00612CC3"/>
    <w:rsid w:val="00612CFC"/>
    <w:rsid w:val="006136D4"/>
    <w:rsid w:val="00613D92"/>
    <w:rsid w:val="00613FA7"/>
    <w:rsid w:val="00614050"/>
    <w:rsid w:val="0061438C"/>
    <w:rsid w:val="00614811"/>
    <w:rsid w:val="0061491B"/>
    <w:rsid w:val="00614E90"/>
    <w:rsid w:val="00615398"/>
    <w:rsid w:val="00615628"/>
    <w:rsid w:val="006156C4"/>
    <w:rsid w:val="00615CB3"/>
    <w:rsid w:val="00615E73"/>
    <w:rsid w:val="00616069"/>
    <w:rsid w:val="006164B6"/>
    <w:rsid w:val="0061692E"/>
    <w:rsid w:val="00616B38"/>
    <w:rsid w:val="00617346"/>
    <w:rsid w:val="006178B2"/>
    <w:rsid w:val="00617AA3"/>
    <w:rsid w:val="00617CA4"/>
    <w:rsid w:val="006200F2"/>
    <w:rsid w:val="006202BF"/>
    <w:rsid w:val="00620762"/>
    <w:rsid w:val="00620807"/>
    <w:rsid w:val="00620811"/>
    <w:rsid w:val="00620871"/>
    <w:rsid w:val="0062121D"/>
    <w:rsid w:val="00621C92"/>
    <w:rsid w:val="00621E83"/>
    <w:rsid w:val="00622144"/>
    <w:rsid w:val="0062265B"/>
    <w:rsid w:val="006226AE"/>
    <w:rsid w:val="00622833"/>
    <w:rsid w:val="00622979"/>
    <w:rsid w:val="00622A13"/>
    <w:rsid w:val="00622BF0"/>
    <w:rsid w:val="00622D60"/>
    <w:rsid w:val="006230AB"/>
    <w:rsid w:val="00624227"/>
    <w:rsid w:val="00624274"/>
    <w:rsid w:val="00624351"/>
    <w:rsid w:val="00624450"/>
    <w:rsid w:val="00624887"/>
    <w:rsid w:val="006249D3"/>
    <w:rsid w:val="00624C55"/>
    <w:rsid w:val="0062580C"/>
    <w:rsid w:val="006258F3"/>
    <w:rsid w:val="00625BF5"/>
    <w:rsid w:val="006262AD"/>
    <w:rsid w:val="00627602"/>
    <w:rsid w:val="0062776E"/>
    <w:rsid w:val="00627C5E"/>
    <w:rsid w:val="006305D0"/>
    <w:rsid w:val="006307EA"/>
    <w:rsid w:val="0063095B"/>
    <w:rsid w:val="00630B85"/>
    <w:rsid w:val="00630F20"/>
    <w:rsid w:val="00630F79"/>
    <w:rsid w:val="006311B6"/>
    <w:rsid w:val="00631BA6"/>
    <w:rsid w:val="00631BC3"/>
    <w:rsid w:val="00632353"/>
    <w:rsid w:val="006323F9"/>
    <w:rsid w:val="00633E7C"/>
    <w:rsid w:val="00633EE0"/>
    <w:rsid w:val="00634187"/>
    <w:rsid w:val="00634665"/>
    <w:rsid w:val="006348EE"/>
    <w:rsid w:val="00634BFA"/>
    <w:rsid w:val="00634C39"/>
    <w:rsid w:val="0063537E"/>
    <w:rsid w:val="006353E1"/>
    <w:rsid w:val="006365BD"/>
    <w:rsid w:val="00636CFB"/>
    <w:rsid w:val="0063700B"/>
    <w:rsid w:val="00637396"/>
    <w:rsid w:val="0063758D"/>
    <w:rsid w:val="0063777A"/>
    <w:rsid w:val="00637DD5"/>
    <w:rsid w:val="00641201"/>
    <w:rsid w:val="00641486"/>
    <w:rsid w:val="006414AE"/>
    <w:rsid w:val="006417E5"/>
    <w:rsid w:val="0064188B"/>
    <w:rsid w:val="00641A92"/>
    <w:rsid w:val="00641FDA"/>
    <w:rsid w:val="0064212C"/>
    <w:rsid w:val="00642501"/>
    <w:rsid w:val="00642B58"/>
    <w:rsid w:val="00643C1B"/>
    <w:rsid w:val="0064421C"/>
    <w:rsid w:val="006446E2"/>
    <w:rsid w:val="00644AA7"/>
    <w:rsid w:val="00644E43"/>
    <w:rsid w:val="006454C6"/>
    <w:rsid w:val="00645F7F"/>
    <w:rsid w:val="0064606A"/>
    <w:rsid w:val="00647547"/>
    <w:rsid w:val="00647C9A"/>
    <w:rsid w:val="006504D3"/>
    <w:rsid w:val="00650AFA"/>
    <w:rsid w:val="00650F78"/>
    <w:rsid w:val="00651115"/>
    <w:rsid w:val="0065144E"/>
    <w:rsid w:val="0065150A"/>
    <w:rsid w:val="00651BE3"/>
    <w:rsid w:val="00651DDE"/>
    <w:rsid w:val="006533C7"/>
    <w:rsid w:val="006536FB"/>
    <w:rsid w:val="00653C02"/>
    <w:rsid w:val="00653EDC"/>
    <w:rsid w:val="0065440C"/>
    <w:rsid w:val="00654ECE"/>
    <w:rsid w:val="00654F44"/>
    <w:rsid w:val="006553A6"/>
    <w:rsid w:val="00655D10"/>
    <w:rsid w:val="00655DBD"/>
    <w:rsid w:val="00655E0B"/>
    <w:rsid w:val="00655F1F"/>
    <w:rsid w:val="006561A0"/>
    <w:rsid w:val="006569AE"/>
    <w:rsid w:val="00656A03"/>
    <w:rsid w:val="00656C5F"/>
    <w:rsid w:val="00656FC0"/>
    <w:rsid w:val="006577C1"/>
    <w:rsid w:val="00657ADB"/>
    <w:rsid w:val="00657BA0"/>
    <w:rsid w:val="00657DDD"/>
    <w:rsid w:val="00660927"/>
    <w:rsid w:val="00660B89"/>
    <w:rsid w:val="0066114B"/>
    <w:rsid w:val="0066142C"/>
    <w:rsid w:val="0066152E"/>
    <w:rsid w:val="0066159B"/>
    <w:rsid w:val="00661AF9"/>
    <w:rsid w:val="0066256A"/>
    <w:rsid w:val="00662799"/>
    <w:rsid w:val="00662A7C"/>
    <w:rsid w:val="00662E9E"/>
    <w:rsid w:val="00662ED9"/>
    <w:rsid w:val="00663EDE"/>
    <w:rsid w:val="00663F76"/>
    <w:rsid w:val="00664C82"/>
    <w:rsid w:val="00665890"/>
    <w:rsid w:val="00665FDE"/>
    <w:rsid w:val="00667BE5"/>
    <w:rsid w:val="00667CFA"/>
    <w:rsid w:val="0067014E"/>
    <w:rsid w:val="00670C78"/>
    <w:rsid w:val="0067146F"/>
    <w:rsid w:val="00671559"/>
    <w:rsid w:val="006717CF"/>
    <w:rsid w:val="00671A1A"/>
    <w:rsid w:val="00672291"/>
    <w:rsid w:val="00672965"/>
    <w:rsid w:val="00672A32"/>
    <w:rsid w:val="006732EF"/>
    <w:rsid w:val="006735B6"/>
    <w:rsid w:val="0067505D"/>
    <w:rsid w:val="00675451"/>
    <w:rsid w:val="00675490"/>
    <w:rsid w:val="006755CF"/>
    <w:rsid w:val="00675820"/>
    <w:rsid w:val="00675C04"/>
    <w:rsid w:val="00675EDE"/>
    <w:rsid w:val="0067601C"/>
    <w:rsid w:val="006766F6"/>
    <w:rsid w:val="006769D1"/>
    <w:rsid w:val="006770E5"/>
    <w:rsid w:val="00680522"/>
    <w:rsid w:val="00680CEC"/>
    <w:rsid w:val="00680DE7"/>
    <w:rsid w:val="00681473"/>
    <w:rsid w:val="00681517"/>
    <w:rsid w:val="0068227F"/>
    <w:rsid w:val="00682285"/>
    <w:rsid w:val="00682D7C"/>
    <w:rsid w:val="006838C6"/>
    <w:rsid w:val="006839FF"/>
    <w:rsid w:val="00683F02"/>
    <w:rsid w:val="00684108"/>
    <w:rsid w:val="006841FF"/>
    <w:rsid w:val="0068464B"/>
    <w:rsid w:val="0068472A"/>
    <w:rsid w:val="0068485E"/>
    <w:rsid w:val="006849B6"/>
    <w:rsid w:val="00684ED5"/>
    <w:rsid w:val="00685412"/>
    <w:rsid w:val="0068567E"/>
    <w:rsid w:val="006859CD"/>
    <w:rsid w:val="00685A49"/>
    <w:rsid w:val="00685ECA"/>
    <w:rsid w:val="00686CFB"/>
    <w:rsid w:val="00687CA0"/>
    <w:rsid w:val="00687EAC"/>
    <w:rsid w:val="00690456"/>
    <w:rsid w:val="006904DD"/>
    <w:rsid w:val="00690BD2"/>
    <w:rsid w:val="00690D40"/>
    <w:rsid w:val="0069158D"/>
    <w:rsid w:val="00692221"/>
    <w:rsid w:val="00692480"/>
    <w:rsid w:val="006925BC"/>
    <w:rsid w:val="00692B3C"/>
    <w:rsid w:val="00693583"/>
    <w:rsid w:val="00693D0E"/>
    <w:rsid w:val="00693F19"/>
    <w:rsid w:val="006940EF"/>
    <w:rsid w:val="006942B9"/>
    <w:rsid w:val="006946FD"/>
    <w:rsid w:val="00694E51"/>
    <w:rsid w:val="00694EB7"/>
    <w:rsid w:val="006950F6"/>
    <w:rsid w:val="00695195"/>
    <w:rsid w:val="006960CB"/>
    <w:rsid w:val="0069630B"/>
    <w:rsid w:val="0069674C"/>
    <w:rsid w:val="00696C81"/>
    <w:rsid w:val="00696D8F"/>
    <w:rsid w:val="006970C4"/>
    <w:rsid w:val="006971B3"/>
    <w:rsid w:val="00697380"/>
    <w:rsid w:val="006977F0"/>
    <w:rsid w:val="006A0B3D"/>
    <w:rsid w:val="006A0E0B"/>
    <w:rsid w:val="006A0EB4"/>
    <w:rsid w:val="006A1A81"/>
    <w:rsid w:val="006A1B16"/>
    <w:rsid w:val="006A1B5C"/>
    <w:rsid w:val="006A1BB4"/>
    <w:rsid w:val="006A1C63"/>
    <w:rsid w:val="006A2574"/>
    <w:rsid w:val="006A257B"/>
    <w:rsid w:val="006A26D6"/>
    <w:rsid w:val="006A43BC"/>
    <w:rsid w:val="006A4500"/>
    <w:rsid w:val="006A48DA"/>
    <w:rsid w:val="006A4ADE"/>
    <w:rsid w:val="006A4E09"/>
    <w:rsid w:val="006A4F49"/>
    <w:rsid w:val="006A5A38"/>
    <w:rsid w:val="006A5E15"/>
    <w:rsid w:val="006A6109"/>
    <w:rsid w:val="006A62D1"/>
    <w:rsid w:val="006A7546"/>
    <w:rsid w:val="006A7651"/>
    <w:rsid w:val="006A7909"/>
    <w:rsid w:val="006A7E5E"/>
    <w:rsid w:val="006B03C2"/>
    <w:rsid w:val="006B0FC1"/>
    <w:rsid w:val="006B11EC"/>
    <w:rsid w:val="006B1A30"/>
    <w:rsid w:val="006B29A8"/>
    <w:rsid w:val="006B2A10"/>
    <w:rsid w:val="006B2D1D"/>
    <w:rsid w:val="006B2F1E"/>
    <w:rsid w:val="006B44C9"/>
    <w:rsid w:val="006B4A87"/>
    <w:rsid w:val="006B5411"/>
    <w:rsid w:val="006B544F"/>
    <w:rsid w:val="006B5E84"/>
    <w:rsid w:val="006B64EA"/>
    <w:rsid w:val="006B6F0C"/>
    <w:rsid w:val="006B719D"/>
    <w:rsid w:val="006B727C"/>
    <w:rsid w:val="006B7C48"/>
    <w:rsid w:val="006B7F39"/>
    <w:rsid w:val="006C015E"/>
    <w:rsid w:val="006C02EC"/>
    <w:rsid w:val="006C0E4B"/>
    <w:rsid w:val="006C11DF"/>
    <w:rsid w:val="006C1401"/>
    <w:rsid w:val="006C17FF"/>
    <w:rsid w:val="006C1B47"/>
    <w:rsid w:val="006C1B6C"/>
    <w:rsid w:val="006C1EC2"/>
    <w:rsid w:val="006C2572"/>
    <w:rsid w:val="006C282C"/>
    <w:rsid w:val="006C2B55"/>
    <w:rsid w:val="006C38C5"/>
    <w:rsid w:val="006C421F"/>
    <w:rsid w:val="006C4325"/>
    <w:rsid w:val="006C43F5"/>
    <w:rsid w:val="006C46BB"/>
    <w:rsid w:val="006C4931"/>
    <w:rsid w:val="006C499D"/>
    <w:rsid w:val="006C49B8"/>
    <w:rsid w:val="006C4A22"/>
    <w:rsid w:val="006C4EE8"/>
    <w:rsid w:val="006C5103"/>
    <w:rsid w:val="006C5118"/>
    <w:rsid w:val="006C545B"/>
    <w:rsid w:val="006C56A7"/>
    <w:rsid w:val="006C5BAF"/>
    <w:rsid w:val="006C60B9"/>
    <w:rsid w:val="006C7233"/>
    <w:rsid w:val="006C763B"/>
    <w:rsid w:val="006C7C73"/>
    <w:rsid w:val="006C7CAE"/>
    <w:rsid w:val="006C7CBF"/>
    <w:rsid w:val="006C7E12"/>
    <w:rsid w:val="006D039D"/>
    <w:rsid w:val="006D0B92"/>
    <w:rsid w:val="006D0C67"/>
    <w:rsid w:val="006D0C99"/>
    <w:rsid w:val="006D1371"/>
    <w:rsid w:val="006D1A7D"/>
    <w:rsid w:val="006D1CE3"/>
    <w:rsid w:val="006D1D05"/>
    <w:rsid w:val="006D24DD"/>
    <w:rsid w:val="006D31F1"/>
    <w:rsid w:val="006D3373"/>
    <w:rsid w:val="006D3A77"/>
    <w:rsid w:val="006D3C37"/>
    <w:rsid w:val="006D4076"/>
    <w:rsid w:val="006D4722"/>
    <w:rsid w:val="006D4C07"/>
    <w:rsid w:val="006D4CC4"/>
    <w:rsid w:val="006D5568"/>
    <w:rsid w:val="006D55EA"/>
    <w:rsid w:val="006D5733"/>
    <w:rsid w:val="006D5948"/>
    <w:rsid w:val="006D5F92"/>
    <w:rsid w:val="006D6AFB"/>
    <w:rsid w:val="006D6B58"/>
    <w:rsid w:val="006D70C2"/>
    <w:rsid w:val="006D7159"/>
    <w:rsid w:val="006D7DE7"/>
    <w:rsid w:val="006D7E0B"/>
    <w:rsid w:val="006E0099"/>
    <w:rsid w:val="006E01D1"/>
    <w:rsid w:val="006E04C3"/>
    <w:rsid w:val="006E0A8C"/>
    <w:rsid w:val="006E1978"/>
    <w:rsid w:val="006E1A6C"/>
    <w:rsid w:val="006E1B06"/>
    <w:rsid w:val="006E216F"/>
    <w:rsid w:val="006E21B1"/>
    <w:rsid w:val="006E234A"/>
    <w:rsid w:val="006E2C28"/>
    <w:rsid w:val="006E3336"/>
    <w:rsid w:val="006E3443"/>
    <w:rsid w:val="006E473B"/>
    <w:rsid w:val="006E4B34"/>
    <w:rsid w:val="006E5675"/>
    <w:rsid w:val="006E57F6"/>
    <w:rsid w:val="006E5873"/>
    <w:rsid w:val="006E59FC"/>
    <w:rsid w:val="006E5E60"/>
    <w:rsid w:val="006E745D"/>
    <w:rsid w:val="006E75C5"/>
    <w:rsid w:val="006F02DA"/>
    <w:rsid w:val="006F0FE0"/>
    <w:rsid w:val="006F1605"/>
    <w:rsid w:val="006F177F"/>
    <w:rsid w:val="006F24D7"/>
    <w:rsid w:val="006F2778"/>
    <w:rsid w:val="006F279F"/>
    <w:rsid w:val="006F29CF"/>
    <w:rsid w:val="006F2D8A"/>
    <w:rsid w:val="006F2F22"/>
    <w:rsid w:val="006F32A7"/>
    <w:rsid w:val="006F3534"/>
    <w:rsid w:val="006F36FD"/>
    <w:rsid w:val="006F3E3B"/>
    <w:rsid w:val="006F3EF7"/>
    <w:rsid w:val="006F472F"/>
    <w:rsid w:val="006F48FD"/>
    <w:rsid w:val="006F4CA8"/>
    <w:rsid w:val="006F4F1F"/>
    <w:rsid w:val="006F5128"/>
    <w:rsid w:val="006F5538"/>
    <w:rsid w:val="006F5829"/>
    <w:rsid w:val="006F5AA5"/>
    <w:rsid w:val="006F60B8"/>
    <w:rsid w:val="006F6263"/>
    <w:rsid w:val="006F64BD"/>
    <w:rsid w:val="006F6837"/>
    <w:rsid w:val="006F6DD4"/>
    <w:rsid w:val="006F7332"/>
    <w:rsid w:val="006F797E"/>
    <w:rsid w:val="006F7EBF"/>
    <w:rsid w:val="007001A9"/>
    <w:rsid w:val="00701190"/>
    <w:rsid w:val="007016F4"/>
    <w:rsid w:val="0070223C"/>
    <w:rsid w:val="0070238B"/>
    <w:rsid w:val="00702DAB"/>
    <w:rsid w:val="007030AA"/>
    <w:rsid w:val="00704035"/>
    <w:rsid w:val="00704333"/>
    <w:rsid w:val="00704C15"/>
    <w:rsid w:val="00704C1D"/>
    <w:rsid w:val="007052D8"/>
    <w:rsid w:val="0070533E"/>
    <w:rsid w:val="007058B5"/>
    <w:rsid w:val="00706551"/>
    <w:rsid w:val="00707168"/>
    <w:rsid w:val="007072B5"/>
    <w:rsid w:val="007076DA"/>
    <w:rsid w:val="00707759"/>
    <w:rsid w:val="007079C4"/>
    <w:rsid w:val="00707A12"/>
    <w:rsid w:val="00710688"/>
    <w:rsid w:val="00710D5B"/>
    <w:rsid w:val="00711883"/>
    <w:rsid w:val="00711B4B"/>
    <w:rsid w:val="007123EF"/>
    <w:rsid w:val="00712528"/>
    <w:rsid w:val="00712E59"/>
    <w:rsid w:val="00712F89"/>
    <w:rsid w:val="00713A17"/>
    <w:rsid w:val="00713A7B"/>
    <w:rsid w:val="00713FB5"/>
    <w:rsid w:val="007143CF"/>
    <w:rsid w:val="007153FD"/>
    <w:rsid w:val="00715689"/>
    <w:rsid w:val="00715EB0"/>
    <w:rsid w:val="00716514"/>
    <w:rsid w:val="007170C6"/>
    <w:rsid w:val="007171D6"/>
    <w:rsid w:val="007179DA"/>
    <w:rsid w:val="00717DC8"/>
    <w:rsid w:val="00720007"/>
    <w:rsid w:val="007205AC"/>
    <w:rsid w:val="0072136D"/>
    <w:rsid w:val="00721446"/>
    <w:rsid w:val="00721554"/>
    <w:rsid w:val="007223C5"/>
    <w:rsid w:val="0072247E"/>
    <w:rsid w:val="00722543"/>
    <w:rsid w:val="0072265C"/>
    <w:rsid w:val="0072271E"/>
    <w:rsid w:val="00722C2E"/>
    <w:rsid w:val="00723373"/>
    <w:rsid w:val="00723441"/>
    <w:rsid w:val="007235ED"/>
    <w:rsid w:val="00723D53"/>
    <w:rsid w:val="00723D79"/>
    <w:rsid w:val="00723D92"/>
    <w:rsid w:val="00723E35"/>
    <w:rsid w:val="00724204"/>
    <w:rsid w:val="007243DF"/>
    <w:rsid w:val="007245CE"/>
    <w:rsid w:val="00724967"/>
    <w:rsid w:val="00724DDD"/>
    <w:rsid w:val="0072507F"/>
    <w:rsid w:val="00725081"/>
    <w:rsid w:val="007254D4"/>
    <w:rsid w:val="007257D6"/>
    <w:rsid w:val="0072642A"/>
    <w:rsid w:val="0072678F"/>
    <w:rsid w:val="007268A4"/>
    <w:rsid w:val="00727219"/>
    <w:rsid w:val="00727C84"/>
    <w:rsid w:val="00730541"/>
    <w:rsid w:val="00730740"/>
    <w:rsid w:val="0073093E"/>
    <w:rsid w:val="00731954"/>
    <w:rsid w:val="00731B81"/>
    <w:rsid w:val="00732102"/>
    <w:rsid w:val="007322E7"/>
    <w:rsid w:val="0073232C"/>
    <w:rsid w:val="00732491"/>
    <w:rsid w:val="00732666"/>
    <w:rsid w:val="00733139"/>
    <w:rsid w:val="00733C0C"/>
    <w:rsid w:val="00733EC6"/>
    <w:rsid w:val="0073418C"/>
    <w:rsid w:val="00734FE7"/>
    <w:rsid w:val="00735150"/>
    <w:rsid w:val="00735A70"/>
    <w:rsid w:val="00736008"/>
    <w:rsid w:val="00736623"/>
    <w:rsid w:val="0073669D"/>
    <w:rsid w:val="0073673F"/>
    <w:rsid w:val="00736D68"/>
    <w:rsid w:val="00736FED"/>
    <w:rsid w:val="00737C45"/>
    <w:rsid w:val="00737F2A"/>
    <w:rsid w:val="00740A03"/>
    <w:rsid w:val="0074116C"/>
    <w:rsid w:val="007415F9"/>
    <w:rsid w:val="007416B1"/>
    <w:rsid w:val="00742518"/>
    <w:rsid w:val="007427E3"/>
    <w:rsid w:val="00742B0E"/>
    <w:rsid w:val="007433C4"/>
    <w:rsid w:val="00743607"/>
    <w:rsid w:val="007446FF"/>
    <w:rsid w:val="00744A9B"/>
    <w:rsid w:val="007450CF"/>
    <w:rsid w:val="007459FE"/>
    <w:rsid w:val="00745DED"/>
    <w:rsid w:val="007462DD"/>
    <w:rsid w:val="0074643E"/>
    <w:rsid w:val="00746691"/>
    <w:rsid w:val="00746BF7"/>
    <w:rsid w:val="00747E6E"/>
    <w:rsid w:val="00747F7F"/>
    <w:rsid w:val="00750067"/>
    <w:rsid w:val="00750328"/>
    <w:rsid w:val="00750577"/>
    <w:rsid w:val="007506ED"/>
    <w:rsid w:val="0075129E"/>
    <w:rsid w:val="007513E0"/>
    <w:rsid w:val="007515F0"/>
    <w:rsid w:val="00751C4B"/>
    <w:rsid w:val="00751C71"/>
    <w:rsid w:val="00751E70"/>
    <w:rsid w:val="00751EA7"/>
    <w:rsid w:val="00751ED1"/>
    <w:rsid w:val="0075215F"/>
    <w:rsid w:val="007525AE"/>
    <w:rsid w:val="00752763"/>
    <w:rsid w:val="00752921"/>
    <w:rsid w:val="007529DD"/>
    <w:rsid w:val="00752C51"/>
    <w:rsid w:val="0075324C"/>
    <w:rsid w:val="007532EE"/>
    <w:rsid w:val="00753447"/>
    <w:rsid w:val="00753CB3"/>
    <w:rsid w:val="00754057"/>
    <w:rsid w:val="00754B7E"/>
    <w:rsid w:val="0075506A"/>
    <w:rsid w:val="00755719"/>
    <w:rsid w:val="00755C78"/>
    <w:rsid w:val="00755E6B"/>
    <w:rsid w:val="00756717"/>
    <w:rsid w:val="00756CD1"/>
    <w:rsid w:val="00756D92"/>
    <w:rsid w:val="00757708"/>
    <w:rsid w:val="00757F2F"/>
    <w:rsid w:val="0076025E"/>
    <w:rsid w:val="00760307"/>
    <w:rsid w:val="00760373"/>
    <w:rsid w:val="0076068C"/>
    <w:rsid w:val="00760AB1"/>
    <w:rsid w:val="00760ED5"/>
    <w:rsid w:val="007611D2"/>
    <w:rsid w:val="0076129F"/>
    <w:rsid w:val="00761469"/>
    <w:rsid w:val="00761C33"/>
    <w:rsid w:val="00761D3D"/>
    <w:rsid w:val="0076234D"/>
    <w:rsid w:val="00762F59"/>
    <w:rsid w:val="007633BF"/>
    <w:rsid w:val="0076370B"/>
    <w:rsid w:val="00763825"/>
    <w:rsid w:val="00764262"/>
    <w:rsid w:val="00764D27"/>
    <w:rsid w:val="00764D4B"/>
    <w:rsid w:val="00765252"/>
    <w:rsid w:val="00765376"/>
    <w:rsid w:val="00765DEE"/>
    <w:rsid w:val="00765FBD"/>
    <w:rsid w:val="00766596"/>
    <w:rsid w:val="00766712"/>
    <w:rsid w:val="00766E32"/>
    <w:rsid w:val="007678FC"/>
    <w:rsid w:val="007704E8"/>
    <w:rsid w:val="0077070D"/>
    <w:rsid w:val="00770B72"/>
    <w:rsid w:val="00771431"/>
    <w:rsid w:val="007716F3"/>
    <w:rsid w:val="00771B01"/>
    <w:rsid w:val="00771D77"/>
    <w:rsid w:val="00772572"/>
    <w:rsid w:val="00772DCE"/>
    <w:rsid w:val="00772EA6"/>
    <w:rsid w:val="00773484"/>
    <w:rsid w:val="00773714"/>
    <w:rsid w:val="00773DCF"/>
    <w:rsid w:val="00773E46"/>
    <w:rsid w:val="00773EF4"/>
    <w:rsid w:val="00774331"/>
    <w:rsid w:val="00774AE9"/>
    <w:rsid w:val="007751C8"/>
    <w:rsid w:val="007754E5"/>
    <w:rsid w:val="007755D1"/>
    <w:rsid w:val="00776077"/>
    <w:rsid w:val="00776662"/>
    <w:rsid w:val="0077672F"/>
    <w:rsid w:val="007768A2"/>
    <w:rsid w:val="00776C7A"/>
    <w:rsid w:val="00777056"/>
    <w:rsid w:val="0077710D"/>
    <w:rsid w:val="00777799"/>
    <w:rsid w:val="007779B1"/>
    <w:rsid w:val="00777EA7"/>
    <w:rsid w:val="00777F51"/>
    <w:rsid w:val="00780E04"/>
    <w:rsid w:val="0078103E"/>
    <w:rsid w:val="00781386"/>
    <w:rsid w:val="0078176F"/>
    <w:rsid w:val="00781E2D"/>
    <w:rsid w:val="00782204"/>
    <w:rsid w:val="00782284"/>
    <w:rsid w:val="00782466"/>
    <w:rsid w:val="00782627"/>
    <w:rsid w:val="00783353"/>
    <w:rsid w:val="0078371D"/>
    <w:rsid w:val="00784246"/>
    <w:rsid w:val="00784326"/>
    <w:rsid w:val="0078449A"/>
    <w:rsid w:val="00784E1E"/>
    <w:rsid w:val="0078521C"/>
    <w:rsid w:val="00785561"/>
    <w:rsid w:val="00785D35"/>
    <w:rsid w:val="007864DA"/>
    <w:rsid w:val="00786B8C"/>
    <w:rsid w:val="0078709A"/>
    <w:rsid w:val="00787380"/>
    <w:rsid w:val="00790100"/>
    <w:rsid w:val="00790274"/>
    <w:rsid w:val="007911A6"/>
    <w:rsid w:val="00791266"/>
    <w:rsid w:val="00791401"/>
    <w:rsid w:val="00791872"/>
    <w:rsid w:val="00791F71"/>
    <w:rsid w:val="007922E6"/>
    <w:rsid w:val="00792CB9"/>
    <w:rsid w:val="00792DF3"/>
    <w:rsid w:val="00792F13"/>
    <w:rsid w:val="00793427"/>
    <w:rsid w:val="00793514"/>
    <w:rsid w:val="007937A4"/>
    <w:rsid w:val="007938CC"/>
    <w:rsid w:val="00794361"/>
    <w:rsid w:val="00794817"/>
    <w:rsid w:val="007952E9"/>
    <w:rsid w:val="00795776"/>
    <w:rsid w:val="00795AA7"/>
    <w:rsid w:val="00795D63"/>
    <w:rsid w:val="007960E7"/>
    <w:rsid w:val="00796122"/>
    <w:rsid w:val="007962D9"/>
    <w:rsid w:val="007964AD"/>
    <w:rsid w:val="0079660F"/>
    <w:rsid w:val="00797162"/>
    <w:rsid w:val="007973FC"/>
    <w:rsid w:val="00797B78"/>
    <w:rsid w:val="00797C30"/>
    <w:rsid w:val="00797F3E"/>
    <w:rsid w:val="007A0153"/>
    <w:rsid w:val="007A0665"/>
    <w:rsid w:val="007A0A6C"/>
    <w:rsid w:val="007A145D"/>
    <w:rsid w:val="007A17A6"/>
    <w:rsid w:val="007A1C5F"/>
    <w:rsid w:val="007A1E85"/>
    <w:rsid w:val="007A1FAA"/>
    <w:rsid w:val="007A25F0"/>
    <w:rsid w:val="007A26AC"/>
    <w:rsid w:val="007A2C50"/>
    <w:rsid w:val="007A2F1F"/>
    <w:rsid w:val="007A4093"/>
    <w:rsid w:val="007A4252"/>
    <w:rsid w:val="007A460B"/>
    <w:rsid w:val="007A47D5"/>
    <w:rsid w:val="007A5E59"/>
    <w:rsid w:val="007A677F"/>
    <w:rsid w:val="007A6C0A"/>
    <w:rsid w:val="007A70F8"/>
    <w:rsid w:val="007A721E"/>
    <w:rsid w:val="007A7271"/>
    <w:rsid w:val="007A7C49"/>
    <w:rsid w:val="007B0115"/>
    <w:rsid w:val="007B11D2"/>
    <w:rsid w:val="007B1BED"/>
    <w:rsid w:val="007B20C8"/>
    <w:rsid w:val="007B2935"/>
    <w:rsid w:val="007B29FB"/>
    <w:rsid w:val="007B3C99"/>
    <w:rsid w:val="007B3CE8"/>
    <w:rsid w:val="007B3D0D"/>
    <w:rsid w:val="007B3E48"/>
    <w:rsid w:val="007B3F45"/>
    <w:rsid w:val="007B4B84"/>
    <w:rsid w:val="007B601A"/>
    <w:rsid w:val="007B60C0"/>
    <w:rsid w:val="007B6539"/>
    <w:rsid w:val="007B674C"/>
    <w:rsid w:val="007B6A0F"/>
    <w:rsid w:val="007B6AFA"/>
    <w:rsid w:val="007B6B4D"/>
    <w:rsid w:val="007B6C6C"/>
    <w:rsid w:val="007B761D"/>
    <w:rsid w:val="007B7916"/>
    <w:rsid w:val="007B7F0D"/>
    <w:rsid w:val="007C0029"/>
    <w:rsid w:val="007C0525"/>
    <w:rsid w:val="007C07B0"/>
    <w:rsid w:val="007C2649"/>
    <w:rsid w:val="007C265E"/>
    <w:rsid w:val="007C2A13"/>
    <w:rsid w:val="007C3539"/>
    <w:rsid w:val="007C36A1"/>
    <w:rsid w:val="007C3FCA"/>
    <w:rsid w:val="007C479E"/>
    <w:rsid w:val="007C5248"/>
    <w:rsid w:val="007C550C"/>
    <w:rsid w:val="007C566A"/>
    <w:rsid w:val="007C5DBA"/>
    <w:rsid w:val="007C5F01"/>
    <w:rsid w:val="007C5F64"/>
    <w:rsid w:val="007C62E9"/>
    <w:rsid w:val="007C6387"/>
    <w:rsid w:val="007C642D"/>
    <w:rsid w:val="007C6584"/>
    <w:rsid w:val="007C67D1"/>
    <w:rsid w:val="007C6E3A"/>
    <w:rsid w:val="007C76FF"/>
    <w:rsid w:val="007C7E5E"/>
    <w:rsid w:val="007D039A"/>
    <w:rsid w:val="007D0919"/>
    <w:rsid w:val="007D0A35"/>
    <w:rsid w:val="007D1296"/>
    <w:rsid w:val="007D13AA"/>
    <w:rsid w:val="007D18BA"/>
    <w:rsid w:val="007D1C95"/>
    <w:rsid w:val="007D22E2"/>
    <w:rsid w:val="007D2629"/>
    <w:rsid w:val="007D375A"/>
    <w:rsid w:val="007D3C67"/>
    <w:rsid w:val="007D4CE5"/>
    <w:rsid w:val="007D520E"/>
    <w:rsid w:val="007D55EE"/>
    <w:rsid w:val="007D5AE4"/>
    <w:rsid w:val="007D5F41"/>
    <w:rsid w:val="007D5F61"/>
    <w:rsid w:val="007D63CD"/>
    <w:rsid w:val="007D66B2"/>
    <w:rsid w:val="007D6B54"/>
    <w:rsid w:val="007D79F2"/>
    <w:rsid w:val="007D79F3"/>
    <w:rsid w:val="007D7B42"/>
    <w:rsid w:val="007D7C13"/>
    <w:rsid w:val="007D7FD6"/>
    <w:rsid w:val="007E0ABA"/>
    <w:rsid w:val="007E0C8A"/>
    <w:rsid w:val="007E0E2C"/>
    <w:rsid w:val="007E1451"/>
    <w:rsid w:val="007E1A27"/>
    <w:rsid w:val="007E1C3B"/>
    <w:rsid w:val="007E1E63"/>
    <w:rsid w:val="007E2871"/>
    <w:rsid w:val="007E2A07"/>
    <w:rsid w:val="007E2AF2"/>
    <w:rsid w:val="007E33F8"/>
    <w:rsid w:val="007E348C"/>
    <w:rsid w:val="007E3A16"/>
    <w:rsid w:val="007E41D7"/>
    <w:rsid w:val="007E42F7"/>
    <w:rsid w:val="007E4352"/>
    <w:rsid w:val="007E48F3"/>
    <w:rsid w:val="007E4C0C"/>
    <w:rsid w:val="007E4D6A"/>
    <w:rsid w:val="007E5344"/>
    <w:rsid w:val="007E5751"/>
    <w:rsid w:val="007E57E0"/>
    <w:rsid w:val="007E6654"/>
    <w:rsid w:val="007E68D9"/>
    <w:rsid w:val="007E6931"/>
    <w:rsid w:val="007E6A81"/>
    <w:rsid w:val="007E6D65"/>
    <w:rsid w:val="007E6E5A"/>
    <w:rsid w:val="007E70CE"/>
    <w:rsid w:val="007E7314"/>
    <w:rsid w:val="007E7441"/>
    <w:rsid w:val="007E7A16"/>
    <w:rsid w:val="007E7D7A"/>
    <w:rsid w:val="007F0CDA"/>
    <w:rsid w:val="007F0DCE"/>
    <w:rsid w:val="007F0E0F"/>
    <w:rsid w:val="007F10A5"/>
    <w:rsid w:val="007F1242"/>
    <w:rsid w:val="007F13F1"/>
    <w:rsid w:val="007F18A8"/>
    <w:rsid w:val="007F1B62"/>
    <w:rsid w:val="007F1F0B"/>
    <w:rsid w:val="007F1FF8"/>
    <w:rsid w:val="007F21A7"/>
    <w:rsid w:val="007F227A"/>
    <w:rsid w:val="007F24A1"/>
    <w:rsid w:val="007F34FE"/>
    <w:rsid w:val="007F35E0"/>
    <w:rsid w:val="007F379F"/>
    <w:rsid w:val="007F3C49"/>
    <w:rsid w:val="007F3F5F"/>
    <w:rsid w:val="007F48B3"/>
    <w:rsid w:val="007F56BA"/>
    <w:rsid w:val="007F5FAD"/>
    <w:rsid w:val="007F668A"/>
    <w:rsid w:val="007F7A99"/>
    <w:rsid w:val="00800330"/>
    <w:rsid w:val="00801C07"/>
    <w:rsid w:val="00801F6C"/>
    <w:rsid w:val="008021DD"/>
    <w:rsid w:val="008025D7"/>
    <w:rsid w:val="00802D42"/>
    <w:rsid w:val="0080317A"/>
    <w:rsid w:val="00803483"/>
    <w:rsid w:val="008034A0"/>
    <w:rsid w:val="00804048"/>
    <w:rsid w:val="00804310"/>
    <w:rsid w:val="008043E5"/>
    <w:rsid w:val="008045D3"/>
    <w:rsid w:val="00804733"/>
    <w:rsid w:val="00804CC8"/>
    <w:rsid w:val="00804F49"/>
    <w:rsid w:val="00805007"/>
    <w:rsid w:val="008053D7"/>
    <w:rsid w:val="008058A2"/>
    <w:rsid w:val="00805E2C"/>
    <w:rsid w:val="0080617B"/>
    <w:rsid w:val="00806943"/>
    <w:rsid w:val="00806A04"/>
    <w:rsid w:val="00806B1B"/>
    <w:rsid w:val="008073FE"/>
    <w:rsid w:val="00807452"/>
    <w:rsid w:val="008079BF"/>
    <w:rsid w:val="00807EAB"/>
    <w:rsid w:val="00810F51"/>
    <w:rsid w:val="00811B15"/>
    <w:rsid w:val="00811B92"/>
    <w:rsid w:val="00811BEB"/>
    <w:rsid w:val="008121D6"/>
    <w:rsid w:val="0081268A"/>
    <w:rsid w:val="00812A53"/>
    <w:rsid w:val="0081312C"/>
    <w:rsid w:val="00813471"/>
    <w:rsid w:val="008134E4"/>
    <w:rsid w:val="00814083"/>
    <w:rsid w:val="0081442C"/>
    <w:rsid w:val="00814BFC"/>
    <w:rsid w:val="00814E71"/>
    <w:rsid w:val="00814FE7"/>
    <w:rsid w:val="00815672"/>
    <w:rsid w:val="0081596E"/>
    <w:rsid w:val="0081600C"/>
    <w:rsid w:val="0081633F"/>
    <w:rsid w:val="00816BC6"/>
    <w:rsid w:val="008173E9"/>
    <w:rsid w:val="00817825"/>
    <w:rsid w:val="008179EB"/>
    <w:rsid w:val="00817A4A"/>
    <w:rsid w:val="00817ADC"/>
    <w:rsid w:val="00817AE6"/>
    <w:rsid w:val="00820E23"/>
    <w:rsid w:val="008217AE"/>
    <w:rsid w:val="00821A23"/>
    <w:rsid w:val="0082226C"/>
    <w:rsid w:val="0082260F"/>
    <w:rsid w:val="0082278A"/>
    <w:rsid w:val="008238E9"/>
    <w:rsid w:val="00823B71"/>
    <w:rsid w:val="008243FB"/>
    <w:rsid w:val="00825251"/>
    <w:rsid w:val="00825632"/>
    <w:rsid w:val="00825DEC"/>
    <w:rsid w:val="008264C4"/>
    <w:rsid w:val="00826CC2"/>
    <w:rsid w:val="00827274"/>
    <w:rsid w:val="008272FD"/>
    <w:rsid w:val="0082757C"/>
    <w:rsid w:val="0082770F"/>
    <w:rsid w:val="00827916"/>
    <w:rsid w:val="00827937"/>
    <w:rsid w:val="008279A8"/>
    <w:rsid w:val="00827B62"/>
    <w:rsid w:val="00827DBC"/>
    <w:rsid w:val="008300B4"/>
    <w:rsid w:val="00830216"/>
    <w:rsid w:val="0083078C"/>
    <w:rsid w:val="008308A7"/>
    <w:rsid w:val="0083093B"/>
    <w:rsid w:val="00830C6B"/>
    <w:rsid w:val="00831154"/>
    <w:rsid w:val="00832007"/>
    <w:rsid w:val="0083318A"/>
    <w:rsid w:val="008333D7"/>
    <w:rsid w:val="00833802"/>
    <w:rsid w:val="00833FF7"/>
    <w:rsid w:val="008356F0"/>
    <w:rsid w:val="00835C28"/>
    <w:rsid w:val="008366CC"/>
    <w:rsid w:val="00836C33"/>
    <w:rsid w:val="00836C4F"/>
    <w:rsid w:val="00836F5D"/>
    <w:rsid w:val="008377D4"/>
    <w:rsid w:val="0083781A"/>
    <w:rsid w:val="00837B59"/>
    <w:rsid w:val="00837BEA"/>
    <w:rsid w:val="00840639"/>
    <w:rsid w:val="00840695"/>
    <w:rsid w:val="00840FAC"/>
    <w:rsid w:val="008416F2"/>
    <w:rsid w:val="00841868"/>
    <w:rsid w:val="00841890"/>
    <w:rsid w:val="00841F4E"/>
    <w:rsid w:val="008431AC"/>
    <w:rsid w:val="0084323D"/>
    <w:rsid w:val="00843C28"/>
    <w:rsid w:val="0084439C"/>
    <w:rsid w:val="0084489C"/>
    <w:rsid w:val="008450AE"/>
    <w:rsid w:val="008457C7"/>
    <w:rsid w:val="008459A2"/>
    <w:rsid w:val="00845AC4"/>
    <w:rsid w:val="00845CD6"/>
    <w:rsid w:val="00846AA6"/>
    <w:rsid w:val="00846B3E"/>
    <w:rsid w:val="00846D67"/>
    <w:rsid w:val="008470AE"/>
    <w:rsid w:val="0084750D"/>
    <w:rsid w:val="008475E5"/>
    <w:rsid w:val="008476EB"/>
    <w:rsid w:val="0084774B"/>
    <w:rsid w:val="008478FC"/>
    <w:rsid w:val="00847959"/>
    <w:rsid w:val="00847979"/>
    <w:rsid w:val="00847E58"/>
    <w:rsid w:val="008505B3"/>
    <w:rsid w:val="00850950"/>
    <w:rsid w:val="0085102C"/>
    <w:rsid w:val="00851095"/>
    <w:rsid w:val="00851849"/>
    <w:rsid w:val="00851B0B"/>
    <w:rsid w:val="00851CD1"/>
    <w:rsid w:val="00852148"/>
    <w:rsid w:val="00852149"/>
    <w:rsid w:val="0085226F"/>
    <w:rsid w:val="0085261B"/>
    <w:rsid w:val="00852645"/>
    <w:rsid w:val="00852E17"/>
    <w:rsid w:val="00853790"/>
    <w:rsid w:val="008538AF"/>
    <w:rsid w:val="00853ACD"/>
    <w:rsid w:val="0085438C"/>
    <w:rsid w:val="00854D31"/>
    <w:rsid w:val="00854D34"/>
    <w:rsid w:val="00854EC8"/>
    <w:rsid w:val="0085521C"/>
    <w:rsid w:val="0085544C"/>
    <w:rsid w:val="00855742"/>
    <w:rsid w:val="00855A2C"/>
    <w:rsid w:val="00855B3A"/>
    <w:rsid w:val="008561BA"/>
    <w:rsid w:val="0085635A"/>
    <w:rsid w:val="00856858"/>
    <w:rsid w:val="00857597"/>
    <w:rsid w:val="008575F7"/>
    <w:rsid w:val="00857A8F"/>
    <w:rsid w:val="00857E0D"/>
    <w:rsid w:val="00857FB4"/>
    <w:rsid w:val="00860029"/>
    <w:rsid w:val="0086036A"/>
    <w:rsid w:val="0086063D"/>
    <w:rsid w:val="00860F0C"/>
    <w:rsid w:val="0086148C"/>
    <w:rsid w:val="00861585"/>
    <w:rsid w:val="008628B4"/>
    <w:rsid w:val="00862B5F"/>
    <w:rsid w:val="00862CF9"/>
    <w:rsid w:val="00862D1A"/>
    <w:rsid w:val="00863544"/>
    <w:rsid w:val="008638CA"/>
    <w:rsid w:val="00863F41"/>
    <w:rsid w:val="00863F7B"/>
    <w:rsid w:val="008643B7"/>
    <w:rsid w:val="008652CB"/>
    <w:rsid w:val="00865657"/>
    <w:rsid w:val="008662E0"/>
    <w:rsid w:val="00866D9A"/>
    <w:rsid w:val="00867432"/>
    <w:rsid w:val="00867FFD"/>
    <w:rsid w:val="008704A7"/>
    <w:rsid w:val="00870796"/>
    <w:rsid w:val="00871373"/>
    <w:rsid w:val="008713B7"/>
    <w:rsid w:val="00871F9C"/>
    <w:rsid w:val="008722D4"/>
    <w:rsid w:val="00872BFC"/>
    <w:rsid w:val="00872DBD"/>
    <w:rsid w:val="00872E76"/>
    <w:rsid w:val="008730D4"/>
    <w:rsid w:val="00873142"/>
    <w:rsid w:val="00873CE9"/>
    <w:rsid w:val="00873F72"/>
    <w:rsid w:val="00874551"/>
    <w:rsid w:val="008745EB"/>
    <w:rsid w:val="00874B1C"/>
    <w:rsid w:val="0087518D"/>
    <w:rsid w:val="008752E8"/>
    <w:rsid w:val="00875B7F"/>
    <w:rsid w:val="00876078"/>
    <w:rsid w:val="0087640B"/>
    <w:rsid w:val="00876E01"/>
    <w:rsid w:val="00877197"/>
    <w:rsid w:val="00877418"/>
    <w:rsid w:val="00877A03"/>
    <w:rsid w:val="00877A0B"/>
    <w:rsid w:val="008801BC"/>
    <w:rsid w:val="00880437"/>
    <w:rsid w:val="008808CA"/>
    <w:rsid w:val="00880901"/>
    <w:rsid w:val="008809E8"/>
    <w:rsid w:val="00880AC0"/>
    <w:rsid w:val="00880B12"/>
    <w:rsid w:val="00880D5F"/>
    <w:rsid w:val="00880F4E"/>
    <w:rsid w:val="00881182"/>
    <w:rsid w:val="00881443"/>
    <w:rsid w:val="00881F78"/>
    <w:rsid w:val="00881FC8"/>
    <w:rsid w:val="0088209C"/>
    <w:rsid w:val="00882BFA"/>
    <w:rsid w:val="008832A3"/>
    <w:rsid w:val="008839B6"/>
    <w:rsid w:val="00884866"/>
    <w:rsid w:val="00884A1A"/>
    <w:rsid w:val="00884E2F"/>
    <w:rsid w:val="00885019"/>
    <w:rsid w:val="008850ED"/>
    <w:rsid w:val="00885344"/>
    <w:rsid w:val="00885724"/>
    <w:rsid w:val="00885C67"/>
    <w:rsid w:val="0088609E"/>
    <w:rsid w:val="008866CB"/>
    <w:rsid w:val="00886AE9"/>
    <w:rsid w:val="00890652"/>
    <w:rsid w:val="00891040"/>
    <w:rsid w:val="00891527"/>
    <w:rsid w:val="00891974"/>
    <w:rsid w:val="00891F5C"/>
    <w:rsid w:val="00892185"/>
    <w:rsid w:val="00892A29"/>
    <w:rsid w:val="00892A4F"/>
    <w:rsid w:val="00893B55"/>
    <w:rsid w:val="00893DBD"/>
    <w:rsid w:val="00893FD6"/>
    <w:rsid w:val="00893FDC"/>
    <w:rsid w:val="00894250"/>
    <w:rsid w:val="00894B61"/>
    <w:rsid w:val="00894F40"/>
    <w:rsid w:val="00895527"/>
    <w:rsid w:val="00895BDD"/>
    <w:rsid w:val="00895C60"/>
    <w:rsid w:val="00896394"/>
    <w:rsid w:val="0089642D"/>
    <w:rsid w:val="00896F83"/>
    <w:rsid w:val="00897133"/>
    <w:rsid w:val="00897592"/>
    <w:rsid w:val="00897804"/>
    <w:rsid w:val="00897C05"/>
    <w:rsid w:val="00897F95"/>
    <w:rsid w:val="008A0332"/>
    <w:rsid w:val="008A06FC"/>
    <w:rsid w:val="008A0B30"/>
    <w:rsid w:val="008A1544"/>
    <w:rsid w:val="008A1737"/>
    <w:rsid w:val="008A2862"/>
    <w:rsid w:val="008A3042"/>
    <w:rsid w:val="008A332D"/>
    <w:rsid w:val="008A3A0B"/>
    <w:rsid w:val="008A3CF1"/>
    <w:rsid w:val="008A3DEC"/>
    <w:rsid w:val="008A3E86"/>
    <w:rsid w:val="008A446F"/>
    <w:rsid w:val="008A52F2"/>
    <w:rsid w:val="008A557B"/>
    <w:rsid w:val="008A57A4"/>
    <w:rsid w:val="008A593C"/>
    <w:rsid w:val="008A5A85"/>
    <w:rsid w:val="008A5EFC"/>
    <w:rsid w:val="008A6266"/>
    <w:rsid w:val="008A62E7"/>
    <w:rsid w:val="008A64B1"/>
    <w:rsid w:val="008A688F"/>
    <w:rsid w:val="008A6B78"/>
    <w:rsid w:val="008A6DF3"/>
    <w:rsid w:val="008A7166"/>
    <w:rsid w:val="008A76C4"/>
    <w:rsid w:val="008A7955"/>
    <w:rsid w:val="008A7FDD"/>
    <w:rsid w:val="008B04E2"/>
    <w:rsid w:val="008B0915"/>
    <w:rsid w:val="008B0E6B"/>
    <w:rsid w:val="008B0F12"/>
    <w:rsid w:val="008B0F29"/>
    <w:rsid w:val="008B1587"/>
    <w:rsid w:val="008B27D1"/>
    <w:rsid w:val="008B2A37"/>
    <w:rsid w:val="008B33E9"/>
    <w:rsid w:val="008B43F7"/>
    <w:rsid w:val="008B45F5"/>
    <w:rsid w:val="008B51E6"/>
    <w:rsid w:val="008B58DB"/>
    <w:rsid w:val="008B5E3B"/>
    <w:rsid w:val="008B5FCC"/>
    <w:rsid w:val="008B6553"/>
    <w:rsid w:val="008B6B0F"/>
    <w:rsid w:val="008B6E46"/>
    <w:rsid w:val="008B7B09"/>
    <w:rsid w:val="008B7E36"/>
    <w:rsid w:val="008C00FC"/>
    <w:rsid w:val="008C0725"/>
    <w:rsid w:val="008C1495"/>
    <w:rsid w:val="008C3AA6"/>
    <w:rsid w:val="008C3E1F"/>
    <w:rsid w:val="008C4AB9"/>
    <w:rsid w:val="008C502E"/>
    <w:rsid w:val="008C50CF"/>
    <w:rsid w:val="008C5126"/>
    <w:rsid w:val="008C515E"/>
    <w:rsid w:val="008C53D1"/>
    <w:rsid w:val="008C5491"/>
    <w:rsid w:val="008C64D8"/>
    <w:rsid w:val="008C68D4"/>
    <w:rsid w:val="008C7350"/>
    <w:rsid w:val="008C7AAC"/>
    <w:rsid w:val="008C7AEA"/>
    <w:rsid w:val="008C7E65"/>
    <w:rsid w:val="008D03D0"/>
    <w:rsid w:val="008D062D"/>
    <w:rsid w:val="008D0F35"/>
    <w:rsid w:val="008D1AED"/>
    <w:rsid w:val="008D2051"/>
    <w:rsid w:val="008D223F"/>
    <w:rsid w:val="008D225E"/>
    <w:rsid w:val="008D25C6"/>
    <w:rsid w:val="008D2775"/>
    <w:rsid w:val="008D2808"/>
    <w:rsid w:val="008D2A3E"/>
    <w:rsid w:val="008D2BEA"/>
    <w:rsid w:val="008D2C01"/>
    <w:rsid w:val="008D32B5"/>
    <w:rsid w:val="008D3D78"/>
    <w:rsid w:val="008D3EFD"/>
    <w:rsid w:val="008D450B"/>
    <w:rsid w:val="008D4555"/>
    <w:rsid w:val="008D473B"/>
    <w:rsid w:val="008D4E99"/>
    <w:rsid w:val="008D556F"/>
    <w:rsid w:val="008D5882"/>
    <w:rsid w:val="008D5D05"/>
    <w:rsid w:val="008D641A"/>
    <w:rsid w:val="008D7B05"/>
    <w:rsid w:val="008E1073"/>
    <w:rsid w:val="008E1B34"/>
    <w:rsid w:val="008E1BB5"/>
    <w:rsid w:val="008E1E49"/>
    <w:rsid w:val="008E22D6"/>
    <w:rsid w:val="008E259F"/>
    <w:rsid w:val="008E2B71"/>
    <w:rsid w:val="008E2E4A"/>
    <w:rsid w:val="008E3C96"/>
    <w:rsid w:val="008E3D18"/>
    <w:rsid w:val="008E42BD"/>
    <w:rsid w:val="008E5BC3"/>
    <w:rsid w:val="008E5F50"/>
    <w:rsid w:val="008E60CD"/>
    <w:rsid w:val="008E622A"/>
    <w:rsid w:val="008E6780"/>
    <w:rsid w:val="008E6C65"/>
    <w:rsid w:val="008E6F35"/>
    <w:rsid w:val="008E76A9"/>
    <w:rsid w:val="008F0E7C"/>
    <w:rsid w:val="008F1281"/>
    <w:rsid w:val="008F15EB"/>
    <w:rsid w:val="008F1867"/>
    <w:rsid w:val="008F1A8C"/>
    <w:rsid w:val="008F1BA4"/>
    <w:rsid w:val="008F223B"/>
    <w:rsid w:val="008F245E"/>
    <w:rsid w:val="008F2613"/>
    <w:rsid w:val="008F2942"/>
    <w:rsid w:val="008F34A5"/>
    <w:rsid w:val="008F4217"/>
    <w:rsid w:val="008F4AEA"/>
    <w:rsid w:val="008F4C4E"/>
    <w:rsid w:val="008F4F80"/>
    <w:rsid w:val="008F4FA0"/>
    <w:rsid w:val="008F633A"/>
    <w:rsid w:val="008F6403"/>
    <w:rsid w:val="008F67A8"/>
    <w:rsid w:val="008F69DF"/>
    <w:rsid w:val="008F749B"/>
    <w:rsid w:val="008F7702"/>
    <w:rsid w:val="008F7B33"/>
    <w:rsid w:val="008F7B42"/>
    <w:rsid w:val="00900096"/>
    <w:rsid w:val="00900728"/>
    <w:rsid w:val="00900799"/>
    <w:rsid w:val="00900B09"/>
    <w:rsid w:val="00900B71"/>
    <w:rsid w:val="00901517"/>
    <w:rsid w:val="00901C41"/>
    <w:rsid w:val="00902512"/>
    <w:rsid w:val="0090276C"/>
    <w:rsid w:val="00902E77"/>
    <w:rsid w:val="009030D4"/>
    <w:rsid w:val="0090316C"/>
    <w:rsid w:val="009040A8"/>
    <w:rsid w:val="0090458E"/>
    <w:rsid w:val="009053BB"/>
    <w:rsid w:val="00905786"/>
    <w:rsid w:val="009058EA"/>
    <w:rsid w:val="00906247"/>
    <w:rsid w:val="009063E0"/>
    <w:rsid w:val="0090669A"/>
    <w:rsid w:val="00906F72"/>
    <w:rsid w:val="00907BBF"/>
    <w:rsid w:val="00910D9A"/>
    <w:rsid w:val="00910F75"/>
    <w:rsid w:val="00911211"/>
    <w:rsid w:val="00911684"/>
    <w:rsid w:val="009117BC"/>
    <w:rsid w:val="0091180D"/>
    <w:rsid w:val="00911857"/>
    <w:rsid w:val="0091185D"/>
    <w:rsid w:val="00911F42"/>
    <w:rsid w:val="0091200B"/>
    <w:rsid w:val="00912032"/>
    <w:rsid w:val="00912483"/>
    <w:rsid w:val="0091251F"/>
    <w:rsid w:val="00912BE2"/>
    <w:rsid w:val="00912DE9"/>
    <w:rsid w:val="00913E5C"/>
    <w:rsid w:val="009141AB"/>
    <w:rsid w:val="009142B8"/>
    <w:rsid w:val="00915000"/>
    <w:rsid w:val="0091503D"/>
    <w:rsid w:val="0091512B"/>
    <w:rsid w:val="009154D0"/>
    <w:rsid w:val="00915631"/>
    <w:rsid w:val="0091576D"/>
    <w:rsid w:val="00915E6C"/>
    <w:rsid w:val="00916037"/>
    <w:rsid w:val="009160BF"/>
    <w:rsid w:val="009168A2"/>
    <w:rsid w:val="009168B4"/>
    <w:rsid w:val="00916BED"/>
    <w:rsid w:val="00917890"/>
    <w:rsid w:val="009200D3"/>
    <w:rsid w:val="009202CF"/>
    <w:rsid w:val="009205E5"/>
    <w:rsid w:val="00920A02"/>
    <w:rsid w:val="00920E8D"/>
    <w:rsid w:val="00920EEC"/>
    <w:rsid w:val="00921159"/>
    <w:rsid w:val="00921564"/>
    <w:rsid w:val="00921810"/>
    <w:rsid w:val="00921DE2"/>
    <w:rsid w:val="00921F5B"/>
    <w:rsid w:val="0092222C"/>
    <w:rsid w:val="0092222E"/>
    <w:rsid w:val="00922BAC"/>
    <w:rsid w:val="009246BA"/>
    <w:rsid w:val="009246FC"/>
    <w:rsid w:val="009252B7"/>
    <w:rsid w:val="009261C7"/>
    <w:rsid w:val="00926927"/>
    <w:rsid w:val="00926C2D"/>
    <w:rsid w:val="009273AB"/>
    <w:rsid w:val="0092763F"/>
    <w:rsid w:val="00930368"/>
    <w:rsid w:val="00930A90"/>
    <w:rsid w:val="0093122B"/>
    <w:rsid w:val="0093138E"/>
    <w:rsid w:val="009314D0"/>
    <w:rsid w:val="0093172D"/>
    <w:rsid w:val="0093197D"/>
    <w:rsid w:val="00931B99"/>
    <w:rsid w:val="00931D48"/>
    <w:rsid w:val="00932AE2"/>
    <w:rsid w:val="009335E3"/>
    <w:rsid w:val="0093362D"/>
    <w:rsid w:val="00933790"/>
    <w:rsid w:val="00933D96"/>
    <w:rsid w:val="009343D7"/>
    <w:rsid w:val="009344ED"/>
    <w:rsid w:val="009345CE"/>
    <w:rsid w:val="00934868"/>
    <w:rsid w:val="00934F7F"/>
    <w:rsid w:val="00934FCD"/>
    <w:rsid w:val="00936675"/>
    <w:rsid w:val="0093693F"/>
    <w:rsid w:val="00936A5F"/>
    <w:rsid w:val="00936B54"/>
    <w:rsid w:val="00936F88"/>
    <w:rsid w:val="009370E8"/>
    <w:rsid w:val="0093732F"/>
    <w:rsid w:val="009378BC"/>
    <w:rsid w:val="00940099"/>
    <w:rsid w:val="009409AF"/>
    <w:rsid w:val="00940DE7"/>
    <w:rsid w:val="0094182A"/>
    <w:rsid w:val="00941A7A"/>
    <w:rsid w:val="00942637"/>
    <w:rsid w:val="00942784"/>
    <w:rsid w:val="009427F7"/>
    <w:rsid w:val="00942ED6"/>
    <w:rsid w:val="00942F80"/>
    <w:rsid w:val="0094300E"/>
    <w:rsid w:val="0094357F"/>
    <w:rsid w:val="0094393A"/>
    <w:rsid w:val="00943EBC"/>
    <w:rsid w:val="009440E4"/>
    <w:rsid w:val="0094437F"/>
    <w:rsid w:val="0094445E"/>
    <w:rsid w:val="00944FC4"/>
    <w:rsid w:val="009459AE"/>
    <w:rsid w:val="00945D62"/>
    <w:rsid w:val="00945FEB"/>
    <w:rsid w:val="00946494"/>
    <w:rsid w:val="009468A7"/>
    <w:rsid w:val="00946A17"/>
    <w:rsid w:val="00946F74"/>
    <w:rsid w:val="0094704B"/>
    <w:rsid w:val="00947951"/>
    <w:rsid w:val="0095033E"/>
    <w:rsid w:val="00951136"/>
    <w:rsid w:val="009515FA"/>
    <w:rsid w:val="00951C2E"/>
    <w:rsid w:val="00951EF6"/>
    <w:rsid w:val="0095413B"/>
    <w:rsid w:val="00954CCF"/>
    <w:rsid w:val="009558B1"/>
    <w:rsid w:val="00955C2D"/>
    <w:rsid w:val="0095629D"/>
    <w:rsid w:val="00956B84"/>
    <w:rsid w:val="00956C8F"/>
    <w:rsid w:val="00956D47"/>
    <w:rsid w:val="00957154"/>
    <w:rsid w:val="00957697"/>
    <w:rsid w:val="0096025F"/>
    <w:rsid w:val="00960B2A"/>
    <w:rsid w:val="00960B53"/>
    <w:rsid w:val="00960BE4"/>
    <w:rsid w:val="00961B03"/>
    <w:rsid w:val="00961BCE"/>
    <w:rsid w:val="009621DF"/>
    <w:rsid w:val="00962520"/>
    <w:rsid w:val="0096284E"/>
    <w:rsid w:val="00962973"/>
    <w:rsid w:val="009630C4"/>
    <w:rsid w:val="0096394C"/>
    <w:rsid w:val="009652C5"/>
    <w:rsid w:val="009655A2"/>
    <w:rsid w:val="00965A1D"/>
    <w:rsid w:val="0096638E"/>
    <w:rsid w:val="00966533"/>
    <w:rsid w:val="00966679"/>
    <w:rsid w:val="00966740"/>
    <w:rsid w:val="00966B49"/>
    <w:rsid w:val="00967910"/>
    <w:rsid w:val="00967F4A"/>
    <w:rsid w:val="009701F5"/>
    <w:rsid w:val="00970496"/>
    <w:rsid w:val="00970660"/>
    <w:rsid w:val="00970829"/>
    <w:rsid w:val="00970E93"/>
    <w:rsid w:val="00971490"/>
    <w:rsid w:val="00971583"/>
    <w:rsid w:val="009717AA"/>
    <w:rsid w:val="0097302B"/>
    <w:rsid w:val="0097328D"/>
    <w:rsid w:val="00973422"/>
    <w:rsid w:val="0097369F"/>
    <w:rsid w:val="009737F5"/>
    <w:rsid w:val="00973EDC"/>
    <w:rsid w:val="009740CA"/>
    <w:rsid w:val="00974366"/>
    <w:rsid w:val="00974D25"/>
    <w:rsid w:val="009752C5"/>
    <w:rsid w:val="00975FD7"/>
    <w:rsid w:val="0097643B"/>
    <w:rsid w:val="00976477"/>
    <w:rsid w:val="009767ED"/>
    <w:rsid w:val="009769EA"/>
    <w:rsid w:val="0097734E"/>
    <w:rsid w:val="00977367"/>
    <w:rsid w:val="00977D3B"/>
    <w:rsid w:val="009803C6"/>
    <w:rsid w:val="00981476"/>
    <w:rsid w:val="00981881"/>
    <w:rsid w:val="00981C96"/>
    <w:rsid w:val="00981E10"/>
    <w:rsid w:val="00982079"/>
    <w:rsid w:val="00982098"/>
    <w:rsid w:val="009821CC"/>
    <w:rsid w:val="00982785"/>
    <w:rsid w:val="00982A82"/>
    <w:rsid w:val="00982B66"/>
    <w:rsid w:val="00982C11"/>
    <w:rsid w:val="00984027"/>
    <w:rsid w:val="00984EA1"/>
    <w:rsid w:val="00984F05"/>
    <w:rsid w:val="00985006"/>
    <w:rsid w:val="00985751"/>
    <w:rsid w:val="00985759"/>
    <w:rsid w:val="009857CA"/>
    <w:rsid w:val="00987078"/>
    <w:rsid w:val="00987285"/>
    <w:rsid w:val="00987783"/>
    <w:rsid w:val="00987CFB"/>
    <w:rsid w:val="009909A3"/>
    <w:rsid w:val="00990C77"/>
    <w:rsid w:val="00990D67"/>
    <w:rsid w:val="009912EF"/>
    <w:rsid w:val="009918E1"/>
    <w:rsid w:val="00991DEF"/>
    <w:rsid w:val="00991FB4"/>
    <w:rsid w:val="0099238A"/>
    <w:rsid w:val="00992AD5"/>
    <w:rsid w:val="009930E0"/>
    <w:rsid w:val="0099439D"/>
    <w:rsid w:val="009944E6"/>
    <w:rsid w:val="0099496E"/>
    <w:rsid w:val="00994AB6"/>
    <w:rsid w:val="00994AD7"/>
    <w:rsid w:val="009955B2"/>
    <w:rsid w:val="009956C4"/>
    <w:rsid w:val="009961AA"/>
    <w:rsid w:val="0099645E"/>
    <w:rsid w:val="00996B9E"/>
    <w:rsid w:val="00997563"/>
    <w:rsid w:val="009975B9"/>
    <w:rsid w:val="009976E8"/>
    <w:rsid w:val="00997A4F"/>
    <w:rsid w:val="00997D86"/>
    <w:rsid w:val="009A0408"/>
    <w:rsid w:val="009A1276"/>
    <w:rsid w:val="009A1311"/>
    <w:rsid w:val="009A14F1"/>
    <w:rsid w:val="009A21B1"/>
    <w:rsid w:val="009A2EDE"/>
    <w:rsid w:val="009A2F37"/>
    <w:rsid w:val="009A3277"/>
    <w:rsid w:val="009A33C0"/>
    <w:rsid w:val="009A4090"/>
    <w:rsid w:val="009A4994"/>
    <w:rsid w:val="009A4A3C"/>
    <w:rsid w:val="009A4BD1"/>
    <w:rsid w:val="009A4D85"/>
    <w:rsid w:val="009A5114"/>
    <w:rsid w:val="009A531C"/>
    <w:rsid w:val="009A6362"/>
    <w:rsid w:val="009A642A"/>
    <w:rsid w:val="009A6765"/>
    <w:rsid w:val="009A7121"/>
    <w:rsid w:val="009A7CA4"/>
    <w:rsid w:val="009B0151"/>
    <w:rsid w:val="009B05D5"/>
    <w:rsid w:val="009B06AB"/>
    <w:rsid w:val="009B2754"/>
    <w:rsid w:val="009B283B"/>
    <w:rsid w:val="009B2E61"/>
    <w:rsid w:val="009B3062"/>
    <w:rsid w:val="009B3503"/>
    <w:rsid w:val="009B3704"/>
    <w:rsid w:val="009B48B5"/>
    <w:rsid w:val="009B4DF4"/>
    <w:rsid w:val="009B52B0"/>
    <w:rsid w:val="009B54CE"/>
    <w:rsid w:val="009B5B88"/>
    <w:rsid w:val="009B6417"/>
    <w:rsid w:val="009B662F"/>
    <w:rsid w:val="009B66C6"/>
    <w:rsid w:val="009B66EE"/>
    <w:rsid w:val="009B6997"/>
    <w:rsid w:val="009B6A0D"/>
    <w:rsid w:val="009B6C14"/>
    <w:rsid w:val="009B7361"/>
    <w:rsid w:val="009B756F"/>
    <w:rsid w:val="009B75B5"/>
    <w:rsid w:val="009B7A29"/>
    <w:rsid w:val="009B7D99"/>
    <w:rsid w:val="009C0261"/>
    <w:rsid w:val="009C06B2"/>
    <w:rsid w:val="009C0B19"/>
    <w:rsid w:val="009C0B65"/>
    <w:rsid w:val="009C1B76"/>
    <w:rsid w:val="009C20A4"/>
    <w:rsid w:val="009C2646"/>
    <w:rsid w:val="009C274F"/>
    <w:rsid w:val="009C2B21"/>
    <w:rsid w:val="009C3564"/>
    <w:rsid w:val="009C376F"/>
    <w:rsid w:val="009C3BD8"/>
    <w:rsid w:val="009C464B"/>
    <w:rsid w:val="009C4D3B"/>
    <w:rsid w:val="009C4EC9"/>
    <w:rsid w:val="009C5373"/>
    <w:rsid w:val="009C588F"/>
    <w:rsid w:val="009C5A38"/>
    <w:rsid w:val="009C5ACA"/>
    <w:rsid w:val="009C5E23"/>
    <w:rsid w:val="009C618F"/>
    <w:rsid w:val="009C711F"/>
    <w:rsid w:val="009C72AD"/>
    <w:rsid w:val="009C737A"/>
    <w:rsid w:val="009D067C"/>
    <w:rsid w:val="009D0EBA"/>
    <w:rsid w:val="009D1A0E"/>
    <w:rsid w:val="009D1A85"/>
    <w:rsid w:val="009D3A7C"/>
    <w:rsid w:val="009D4536"/>
    <w:rsid w:val="009D48CD"/>
    <w:rsid w:val="009D5669"/>
    <w:rsid w:val="009D578C"/>
    <w:rsid w:val="009D6652"/>
    <w:rsid w:val="009D6B87"/>
    <w:rsid w:val="009D7409"/>
    <w:rsid w:val="009D7513"/>
    <w:rsid w:val="009D79AA"/>
    <w:rsid w:val="009E0037"/>
    <w:rsid w:val="009E027B"/>
    <w:rsid w:val="009E06DD"/>
    <w:rsid w:val="009E08BB"/>
    <w:rsid w:val="009E0EA8"/>
    <w:rsid w:val="009E12C3"/>
    <w:rsid w:val="009E134F"/>
    <w:rsid w:val="009E16C6"/>
    <w:rsid w:val="009E1CEA"/>
    <w:rsid w:val="009E1E34"/>
    <w:rsid w:val="009E1EC5"/>
    <w:rsid w:val="009E3187"/>
    <w:rsid w:val="009E438D"/>
    <w:rsid w:val="009E43ED"/>
    <w:rsid w:val="009E45BF"/>
    <w:rsid w:val="009E4BF8"/>
    <w:rsid w:val="009E4FC1"/>
    <w:rsid w:val="009E50C3"/>
    <w:rsid w:val="009E51DF"/>
    <w:rsid w:val="009E54FB"/>
    <w:rsid w:val="009E55FF"/>
    <w:rsid w:val="009E56F3"/>
    <w:rsid w:val="009E57B2"/>
    <w:rsid w:val="009E5D66"/>
    <w:rsid w:val="009E5F0C"/>
    <w:rsid w:val="009E6475"/>
    <w:rsid w:val="009E651A"/>
    <w:rsid w:val="009E6580"/>
    <w:rsid w:val="009E6714"/>
    <w:rsid w:val="009E6C68"/>
    <w:rsid w:val="009E6D83"/>
    <w:rsid w:val="009F02BE"/>
    <w:rsid w:val="009F08B7"/>
    <w:rsid w:val="009F1408"/>
    <w:rsid w:val="009F18BB"/>
    <w:rsid w:val="009F1A83"/>
    <w:rsid w:val="009F23CE"/>
    <w:rsid w:val="009F29B9"/>
    <w:rsid w:val="009F37C6"/>
    <w:rsid w:val="009F3B4C"/>
    <w:rsid w:val="009F42E1"/>
    <w:rsid w:val="009F44BC"/>
    <w:rsid w:val="009F47AA"/>
    <w:rsid w:val="009F49EC"/>
    <w:rsid w:val="009F5586"/>
    <w:rsid w:val="009F5E94"/>
    <w:rsid w:val="009F60FB"/>
    <w:rsid w:val="009F626E"/>
    <w:rsid w:val="009F6352"/>
    <w:rsid w:val="009F63DE"/>
    <w:rsid w:val="009F65A6"/>
    <w:rsid w:val="009F670D"/>
    <w:rsid w:val="009F6B40"/>
    <w:rsid w:val="009F7107"/>
    <w:rsid w:val="009F71C1"/>
    <w:rsid w:val="009F75D0"/>
    <w:rsid w:val="009F7B5C"/>
    <w:rsid w:val="009F7B61"/>
    <w:rsid w:val="009F7C63"/>
    <w:rsid w:val="00A00144"/>
    <w:rsid w:val="00A0014D"/>
    <w:rsid w:val="00A009EC"/>
    <w:rsid w:val="00A00A6D"/>
    <w:rsid w:val="00A00AE6"/>
    <w:rsid w:val="00A00C74"/>
    <w:rsid w:val="00A0145A"/>
    <w:rsid w:val="00A01682"/>
    <w:rsid w:val="00A01A26"/>
    <w:rsid w:val="00A01D99"/>
    <w:rsid w:val="00A02379"/>
    <w:rsid w:val="00A02F71"/>
    <w:rsid w:val="00A0392E"/>
    <w:rsid w:val="00A03982"/>
    <w:rsid w:val="00A04ACC"/>
    <w:rsid w:val="00A04CA4"/>
    <w:rsid w:val="00A051D0"/>
    <w:rsid w:val="00A05309"/>
    <w:rsid w:val="00A05617"/>
    <w:rsid w:val="00A062B8"/>
    <w:rsid w:val="00A06B98"/>
    <w:rsid w:val="00A07398"/>
    <w:rsid w:val="00A07A65"/>
    <w:rsid w:val="00A07CFD"/>
    <w:rsid w:val="00A106DB"/>
    <w:rsid w:val="00A106FA"/>
    <w:rsid w:val="00A10841"/>
    <w:rsid w:val="00A11819"/>
    <w:rsid w:val="00A11EF2"/>
    <w:rsid w:val="00A122AE"/>
    <w:rsid w:val="00A124D6"/>
    <w:rsid w:val="00A1260F"/>
    <w:rsid w:val="00A12714"/>
    <w:rsid w:val="00A12E12"/>
    <w:rsid w:val="00A130C5"/>
    <w:rsid w:val="00A13476"/>
    <w:rsid w:val="00A13F8E"/>
    <w:rsid w:val="00A142E1"/>
    <w:rsid w:val="00A1434B"/>
    <w:rsid w:val="00A14722"/>
    <w:rsid w:val="00A149DD"/>
    <w:rsid w:val="00A14A00"/>
    <w:rsid w:val="00A14AFA"/>
    <w:rsid w:val="00A15D9D"/>
    <w:rsid w:val="00A160B1"/>
    <w:rsid w:val="00A16814"/>
    <w:rsid w:val="00A169AD"/>
    <w:rsid w:val="00A16BB1"/>
    <w:rsid w:val="00A171B9"/>
    <w:rsid w:val="00A17655"/>
    <w:rsid w:val="00A179EA"/>
    <w:rsid w:val="00A17BE3"/>
    <w:rsid w:val="00A17E47"/>
    <w:rsid w:val="00A2001C"/>
    <w:rsid w:val="00A20A13"/>
    <w:rsid w:val="00A20E02"/>
    <w:rsid w:val="00A21112"/>
    <w:rsid w:val="00A21144"/>
    <w:rsid w:val="00A2121A"/>
    <w:rsid w:val="00A21271"/>
    <w:rsid w:val="00A2139F"/>
    <w:rsid w:val="00A21F7A"/>
    <w:rsid w:val="00A22940"/>
    <w:rsid w:val="00A2296A"/>
    <w:rsid w:val="00A22A92"/>
    <w:rsid w:val="00A22E8A"/>
    <w:rsid w:val="00A23236"/>
    <w:rsid w:val="00A23B04"/>
    <w:rsid w:val="00A23B22"/>
    <w:rsid w:val="00A2422D"/>
    <w:rsid w:val="00A24509"/>
    <w:rsid w:val="00A248A1"/>
    <w:rsid w:val="00A24E51"/>
    <w:rsid w:val="00A25307"/>
    <w:rsid w:val="00A25C29"/>
    <w:rsid w:val="00A25D7E"/>
    <w:rsid w:val="00A25F3A"/>
    <w:rsid w:val="00A2608C"/>
    <w:rsid w:val="00A2624D"/>
    <w:rsid w:val="00A267A3"/>
    <w:rsid w:val="00A270FB"/>
    <w:rsid w:val="00A2716E"/>
    <w:rsid w:val="00A274A6"/>
    <w:rsid w:val="00A27523"/>
    <w:rsid w:val="00A276E2"/>
    <w:rsid w:val="00A3036E"/>
    <w:rsid w:val="00A3089B"/>
    <w:rsid w:val="00A308A1"/>
    <w:rsid w:val="00A31047"/>
    <w:rsid w:val="00A31155"/>
    <w:rsid w:val="00A31387"/>
    <w:rsid w:val="00A315D0"/>
    <w:rsid w:val="00A32367"/>
    <w:rsid w:val="00A3245C"/>
    <w:rsid w:val="00A32CA5"/>
    <w:rsid w:val="00A32F47"/>
    <w:rsid w:val="00A33654"/>
    <w:rsid w:val="00A33CA3"/>
    <w:rsid w:val="00A34D74"/>
    <w:rsid w:val="00A35089"/>
    <w:rsid w:val="00A35501"/>
    <w:rsid w:val="00A35E3A"/>
    <w:rsid w:val="00A35E3C"/>
    <w:rsid w:val="00A3611D"/>
    <w:rsid w:val="00A3653B"/>
    <w:rsid w:val="00A36579"/>
    <w:rsid w:val="00A366C2"/>
    <w:rsid w:val="00A366CD"/>
    <w:rsid w:val="00A36812"/>
    <w:rsid w:val="00A36907"/>
    <w:rsid w:val="00A375F0"/>
    <w:rsid w:val="00A40470"/>
    <w:rsid w:val="00A40581"/>
    <w:rsid w:val="00A414BC"/>
    <w:rsid w:val="00A418BA"/>
    <w:rsid w:val="00A41B1E"/>
    <w:rsid w:val="00A42057"/>
    <w:rsid w:val="00A42103"/>
    <w:rsid w:val="00A422C6"/>
    <w:rsid w:val="00A422D8"/>
    <w:rsid w:val="00A425D0"/>
    <w:rsid w:val="00A42B98"/>
    <w:rsid w:val="00A42C34"/>
    <w:rsid w:val="00A43377"/>
    <w:rsid w:val="00A43A4D"/>
    <w:rsid w:val="00A44151"/>
    <w:rsid w:val="00A4482D"/>
    <w:rsid w:val="00A456DD"/>
    <w:rsid w:val="00A45C2B"/>
    <w:rsid w:val="00A45CCC"/>
    <w:rsid w:val="00A45D92"/>
    <w:rsid w:val="00A45FAF"/>
    <w:rsid w:val="00A45FE0"/>
    <w:rsid w:val="00A46380"/>
    <w:rsid w:val="00A464A2"/>
    <w:rsid w:val="00A464D9"/>
    <w:rsid w:val="00A46914"/>
    <w:rsid w:val="00A46EE2"/>
    <w:rsid w:val="00A50C78"/>
    <w:rsid w:val="00A511C3"/>
    <w:rsid w:val="00A51395"/>
    <w:rsid w:val="00A519DC"/>
    <w:rsid w:val="00A529A7"/>
    <w:rsid w:val="00A52AF1"/>
    <w:rsid w:val="00A52EC7"/>
    <w:rsid w:val="00A5346E"/>
    <w:rsid w:val="00A539D9"/>
    <w:rsid w:val="00A53EAE"/>
    <w:rsid w:val="00A53FD9"/>
    <w:rsid w:val="00A5450D"/>
    <w:rsid w:val="00A54D42"/>
    <w:rsid w:val="00A54D67"/>
    <w:rsid w:val="00A55533"/>
    <w:rsid w:val="00A557F4"/>
    <w:rsid w:val="00A558B6"/>
    <w:rsid w:val="00A559BD"/>
    <w:rsid w:val="00A55CA2"/>
    <w:rsid w:val="00A56115"/>
    <w:rsid w:val="00A5647B"/>
    <w:rsid w:val="00A56EE4"/>
    <w:rsid w:val="00A5708C"/>
    <w:rsid w:val="00A572DF"/>
    <w:rsid w:val="00A5772E"/>
    <w:rsid w:val="00A6083C"/>
    <w:rsid w:val="00A61111"/>
    <w:rsid w:val="00A6131E"/>
    <w:rsid w:val="00A6213C"/>
    <w:rsid w:val="00A621A9"/>
    <w:rsid w:val="00A626FA"/>
    <w:rsid w:val="00A6350F"/>
    <w:rsid w:val="00A63980"/>
    <w:rsid w:val="00A63C7A"/>
    <w:rsid w:val="00A63CD0"/>
    <w:rsid w:val="00A63E28"/>
    <w:rsid w:val="00A6428E"/>
    <w:rsid w:val="00A64557"/>
    <w:rsid w:val="00A64991"/>
    <w:rsid w:val="00A65A3D"/>
    <w:rsid w:val="00A65CB6"/>
    <w:rsid w:val="00A66286"/>
    <w:rsid w:val="00A663F2"/>
    <w:rsid w:val="00A66AFC"/>
    <w:rsid w:val="00A66D9B"/>
    <w:rsid w:val="00A66FB7"/>
    <w:rsid w:val="00A676DB"/>
    <w:rsid w:val="00A67DB4"/>
    <w:rsid w:val="00A7011A"/>
    <w:rsid w:val="00A70215"/>
    <w:rsid w:val="00A706CB"/>
    <w:rsid w:val="00A70A64"/>
    <w:rsid w:val="00A70F6E"/>
    <w:rsid w:val="00A70F77"/>
    <w:rsid w:val="00A71472"/>
    <w:rsid w:val="00A71951"/>
    <w:rsid w:val="00A71AAB"/>
    <w:rsid w:val="00A721C0"/>
    <w:rsid w:val="00A7272A"/>
    <w:rsid w:val="00A72972"/>
    <w:rsid w:val="00A72C59"/>
    <w:rsid w:val="00A72DAA"/>
    <w:rsid w:val="00A73DC8"/>
    <w:rsid w:val="00A741D1"/>
    <w:rsid w:val="00A751F0"/>
    <w:rsid w:val="00A756A1"/>
    <w:rsid w:val="00A75780"/>
    <w:rsid w:val="00A76217"/>
    <w:rsid w:val="00A76AC1"/>
    <w:rsid w:val="00A76EDC"/>
    <w:rsid w:val="00A774DF"/>
    <w:rsid w:val="00A7755D"/>
    <w:rsid w:val="00A7766B"/>
    <w:rsid w:val="00A7770B"/>
    <w:rsid w:val="00A802FF"/>
    <w:rsid w:val="00A8122B"/>
    <w:rsid w:val="00A82193"/>
    <w:rsid w:val="00A823EF"/>
    <w:rsid w:val="00A826E4"/>
    <w:rsid w:val="00A82D10"/>
    <w:rsid w:val="00A82D86"/>
    <w:rsid w:val="00A82F83"/>
    <w:rsid w:val="00A830AF"/>
    <w:rsid w:val="00A83462"/>
    <w:rsid w:val="00A83B34"/>
    <w:rsid w:val="00A841BD"/>
    <w:rsid w:val="00A841E7"/>
    <w:rsid w:val="00A8424D"/>
    <w:rsid w:val="00A843CE"/>
    <w:rsid w:val="00A84A58"/>
    <w:rsid w:val="00A84F94"/>
    <w:rsid w:val="00A85885"/>
    <w:rsid w:val="00A85CC1"/>
    <w:rsid w:val="00A86588"/>
    <w:rsid w:val="00A869C7"/>
    <w:rsid w:val="00A86F1B"/>
    <w:rsid w:val="00A8713A"/>
    <w:rsid w:val="00A8722A"/>
    <w:rsid w:val="00A87782"/>
    <w:rsid w:val="00A87829"/>
    <w:rsid w:val="00A878D4"/>
    <w:rsid w:val="00A87E97"/>
    <w:rsid w:val="00A904BF"/>
    <w:rsid w:val="00A90D77"/>
    <w:rsid w:val="00A911AF"/>
    <w:rsid w:val="00A91A6E"/>
    <w:rsid w:val="00A91CC2"/>
    <w:rsid w:val="00A92267"/>
    <w:rsid w:val="00A92589"/>
    <w:rsid w:val="00A925EE"/>
    <w:rsid w:val="00A932BD"/>
    <w:rsid w:val="00A9433C"/>
    <w:rsid w:val="00A94469"/>
    <w:rsid w:val="00A94579"/>
    <w:rsid w:val="00A9541A"/>
    <w:rsid w:val="00A9556D"/>
    <w:rsid w:val="00A95BA3"/>
    <w:rsid w:val="00A962B0"/>
    <w:rsid w:val="00A97290"/>
    <w:rsid w:val="00A972B9"/>
    <w:rsid w:val="00A97335"/>
    <w:rsid w:val="00A97543"/>
    <w:rsid w:val="00A97559"/>
    <w:rsid w:val="00AA0252"/>
    <w:rsid w:val="00AA0CEC"/>
    <w:rsid w:val="00AA11C7"/>
    <w:rsid w:val="00AA1229"/>
    <w:rsid w:val="00AA158B"/>
    <w:rsid w:val="00AA187A"/>
    <w:rsid w:val="00AA18F1"/>
    <w:rsid w:val="00AA1B05"/>
    <w:rsid w:val="00AA30A5"/>
    <w:rsid w:val="00AA38E4"/>
    <w:rsid w:val="00AA3B6F"/>
    <w:rsid w:val="00AA3CB4"/>
    <w:rsid w:val="00AA3CBB"/>
    <w:rsid w:val="00AA41C6"/>
    <w:rsid w:val="00AA48A6"/>
    <w:rsid w:val="00AA4B35"/>
    <w:rsid w:val="00AA4BDF"/>
    <w:rsid w:val="00AA4D8D"/>
    <w:rsid w:val="00AA5051"/>
    <w:rsid w:val="00AA57D0"/>
    <w:rsid w:val="00AA5DC7"/>
    <w:rsid w:val="00AA6610"/>
    <w:rsid w:val="00AA6925"/>
    <w:rsid w:val="00AA69DC"/>
    <w:rsid w:val="00AA69F8"/>
    <w:rsid w:val="00AA6F21"/>
    <w:rsid w:val="00AA794A"/>
    <w:rsid w:val="00AB0142"/>
    <w:rsid w:val="00AB02A0"/>
    <w:rsid w:val="00AB0362"/>
    <w:rsid w:val="00AB081C"/>
    <w:rsid w:val="00AB0DFB"/>
    <w:rsid w:val="00AB10D3"/>
    <w:rsid w:val="00AB1400"/>
    <w:rsid w:val="00AB16B1"/>
    <w:rsid w:val="00AB1818"/>
    <w:rsid w:val="00AB21B7"/>
    <w:rsid w:val="00AB2A5F"/>
    <w:rsid w:val="00AB34EE"/>
    <w:rsid w:val="00AB3B13"/>
    <w:rsid w:val="00AB3F29"/>
    <w:rsid w:val="00AB4162"/>
    <w:rsid w:val="00AB42E7"/>
    <w:rsid w:val="00AB46E8"/>
    <w:rsid w:val="00AB49EA"/>
    <w:rsid w:val="00AB4BAA"/>
    <w:rsid w:val="00AB4C03"/>
    <w:rsid w:val="00AB5219"/>
    <w:rsid w:val="00AB5F69"/>
    <w:rsid w:val="00AB6058"/>
    <w:rsid w:val="00AB7046"/>
    <w:rsid w:val="00AB73B1"/>
    <w:rsid w:val="00AC154E"/>
    <w:rsid w:val="00AC1747"/>
    <w:rsid w:val="00AC1779"/>
    <w:rsid w:val="00AC24D8"/>
    <w:rsid w:val="00AC312D"/>
    <w:rsid w:val="00AC3265"/>
    <w:rsid w:val="00AC3336"/>
    <w:rsid w:val="00AC3444"/>
    <w:rsid w:val="00AC349D"/>
    <w:rsid w:val="00AC34B8"/>
    <w:rsid w:val="00AC35AC"/>
    <w:rsid w:val="00AC36B6"/>
    <w:rsid w:val="00AC3734"/>
    <w:rsid w:val="00AC3AC0"/>
    <w:rsid w:val="00AC3BEF"/>
    <w:rsid w:val="00AC3FBD"/>
    <w:rsid w:val="00AC41C7"/>
    <w:rsid w:val="00AC49D1"/>
    <w:rsid w:val="00AC5059"/>
    <w:rsid w:val="00AC572E"/>
    <w:rsid w:val="00AC595D"/>
    <w:rsid w:val="00AC59D0"/>
    <w:rsid w:val="00AC5FF6"/>
    <w:rsid w:val="00AC6DE4"/>
    <w:rsid w:val="00AC7428"/>
    <w:rsid w:val="00AC75D0"/>
    <w:rsid w:val="00AC789C"/>
    <w:rsid w:val="00AC7E96"/>
    <w:rsid w:val="00AD0121"/>
    <w:rsid w:val="00AD0172"/>
    <w:rsid w:val="00AD02EA"/>
    <w:rsid w:val="00AD0722"/>
    <w:rsid w:val="00AD0A7E"/>
    <w:rsid w:val="00AD0FAC"/>
    <w:rsid w:val="00AD1ABA"/>
    <w:rsid w:val="00AD21DD"/>
    <w:rsid w:val="00AD26FE"/>
    <w:rsid w:val="00AD28F1"/>
    <w:rsid w:val="00AD294C"/>
    <w:rsid w:val="00AD2ABF"/>
    <w:rsid w:val="00AD32C2"/>
    <w:rsid w:val="00AD364B"/>
    <w:rsid w:val="00AD397A"/>
    <w:rsid w:val="00AD3C0F"/>
    <w:rsid w:val="00AD4320"/>
    <w:rsid w:val="00AD453A"/>
    <w:rsid w:val="00AD4800"/>
    <w:rsid w:val="00AD4CDE"/>
    <w:rsid w:val="00AD4F0A"/>
    <w:rsid w:val="00AD7062"/>
    <w:rsid w:val="00AD7338"/>
    <w:rsid w:val="00AD73FA"/>
    <w:rsid w:val="00AD77A1"/>
    <w:rsid w:val="00AD7EE5"/>
    <w:rsid w:val="00AE042D"/>
    <w:rsid w:val="00AE07BD"/>
    <w:rsid w:val="00AE09EE"/>
    <w:rsid w:val="00AE0BFE"/>
    <w:rsid w:val="00AE0CEE"/>
    <w:rsid w:val="00AE0F32"/>
    <w:rsid w:val="00AE1403"/>
    <w:rsid w:val="00AE1543"/>
    <w:rsid w:val="00AE1735"/>
    <w:rsid w:val="00AE1B7B"/>
    <w:rsid w:val="00AE1DBB"/>
    <w:rsid w:val="00AE2168"/>
    <w:rsid w:val="00AE23D1"/>
    <w:rsid w:val="00AE2715"/>
    <w:rsid w:val="00AE2A17"/>
    <w:rsid w:val="00AE339F"/>
    <w:rsid w:val="00AE35F1"/>
    <w:rsid w:val="00AE369A"/>
    <w:rsid w:val="00AE37E4"/>
    <w:rsid w:val="00AE3F63"/>
    <w:rsid w:val="00AE4045"/>
    <w:rsid w:val="00AE46CF"/>
    <w:rsid w:val="00AE470F"/>
    <w:rsid w:val="00AE4A05"/>
    <w:rsid w:val="00AE5080"/>
    <w:rsid w:val="00AE5396"/>
    <w:rsid w:val="00AE571E"/>
    <w:rsid w:val="00AE5C0F"/>
    <w:rsid w:val="00AE66D0"/>
    <w:rsid w:val="00AE6984"/>
    <w:rsid w:val="00AE6D6A"/>
    <w:rsid w:val="00AE6DD7"/>
    <w:rsid w:val="00AE6DF0"/>
    <w:rsid w:val="00AE7746"/>
    <w:rsid w:val="00AE77F3"/>
    <w:rsid w:val="00AE7860"/>
    <w:rsid w:val="00AE7F83"/>
    <w:rsid w:val="00AF0048"/>
    <w:rsid w:val="00AF0252"/>
    <w:rsid w:val="00AF13CA"/>
    <w:rsid w:val="00AF1837"/>
    <w:rsid w:val="00AF2209"/>
    <w:rsid w:val="00AF2646"/>
    <w:rsid w:val="00AF27DB"/>
    <w:rsid w:val="00AF289A"/>
    <w:rsid w:val="00AF2DBF"/>
    <w:rsid w:val="00AF308E"/>
    <w:rsid w:val="00AF3B86"/>
    <w:rsid w:val="00AF3C30"/>
    <w:rsid w:val="00AF3C47"/>
    <w:rsid w:val="00AF3DB9"/>
    <w:rsid w:val="00AF3FE5"/>
    <w:rsid w:val="00AF402A"/>
    <w:rsid w:val="00AF40EF"/>
    <w:rsid w:val="00AF4A3D"/>
    <w:rsid w:val="00AF4C93"/>
    <w:rsid w:val="00AF53C9"/>
    <w:rsid w:val="00AF5878"/>
    <w:rsid w:val="00AF674E"/>
    <w:rsid w:val="00AF7618"/>
    <w:rsid w:val="00AF7642"/>
    <w:rsid w:val="00B00014"/>
    <w:rsid w:val="00B00B74"/>
    <w:rsid w:val="00B015F0"/>
    <w:rsid w:val="00B017FE"/>
    <w:rsid w:val="00B01D06"/>
    <w:rsid w:val="00B0258F"/>
    <w:rsid w:val="00B02A9D"/>
    <w:rsid w:val="00B02B02"/>
    <w:rsid w:val="00B0309F"/>
    <w:rsid w:val="00B03248"/>
    <w:rsid w:val="00B035DE"/>
    <w:rsid w:val="00B037E2"/>
    <w:rsid w:val="00B042B3"/>
    <w:rsid w:val="00B04549"/>
    <w:rsid w:val="00B04D59"/>
    <w:rsid w:val="00B0532C"/>
    <w:rsid w:val="00B05346"/>
    <w:rsid w:val="00B05723"/>
    <w:rsid w:val="00B05D5E"/>
    <w:rsid w:val="00B063E9"/>
    <w:rsid w:val="00B06742"/>
    <w:rsid w:val="00B07328"/>
    <w:rsid w:val="00B10150"/>
    <w:rsid w:val="00B1160E"/>
    <w:rsid w:val="00B117F4"/>
    <w:rsid w:val="00B11821"/>
    <w:rsid w:val="00B12E4D"/>
    <w:rsid w:val="00B1301D"/>
    <w:rsid w:val="00B1313E"/>
    <w:rsid w:val="00B133BE"/>
    <w:rsid w:val="00B13A98"/>
    <w:rsid w:val="00B13C7A"/>
    <w:rsid w:val="00B13E9A"/>
    <w:rsid w:val="00B148CE"/>
    <w:rsid w:val="00B148F2"/>
    <w:rsid w:val="00B14A46"/>
    <w:rsid w:val="00B14EAD"/>
    <w:rsid w:val="00B14FD6"/>
    <w:rsid w:val="00B157C3"/>
    <w:rsid w:val="00B15903"/>
    <w:rsid w:val="00B15DF3"/>
    <w:rsid w:val="00B163B5"/>
    <w:rsid w:val="00B167F4"/>
    <w:rsid w:val="00B1686C"/>
    <w:rsid w:val="00B16B2E"/>
    <w:rsid w:val="00B17211"/>
    <w:rsid w:val="00B1741C"/>
    <w:rsid w:val="00B178ED"/>
    <w:rsid w:val="00B17DDD"/>
    <w:rsid w:val="00B17E18"/>
    <w:rsid w:val="00B20E6A"/>
    <w:rsid w:val="00B21606"/>
    <w:rsid w:val="00B216AE"/>
    <w:rsid w:val="00B21741"/>
    <w:rsid w:val="00B217D2"/>
    <w:rsid w:val="00B21D4C"/>
    <w:rsid w:val="00B2289E"/>
    <w:rsid w:val="00B22E32"/>
    <w:rsid w:val="00B231F5"/>
    <w:rsid w:val="00B23A6A"/>
    <w:rsid w:val="00B24228"/>
    <w:rsid w:val="00B24524"/>
    <w:rsid w:val="00B247E4"/>
    <w:rsid w:val="00B248F3"/>
    <w:rsid w:val="00B24DEA"/>
    <w:rsid w:val="00B24FDF"/>
    <w:rsid w:val="00B255E8"/>
    <w:rsid w:val="00B257D6"/>
    <w:rsid w:val="00B25962"/>
    <w:rsid w:val="00B25B07"/>
    <w:rsid w:val="00B25BA0"/>
    <w:rsid w:val="00B25DAF"/>
    <w:rsid w:val="00B2669F"/>
    <w:rsid w:val="00B26967"/>
    <w:rsid w:val="00B2778E"/>
    <w:rsid w:val="00B2784E"/>
    <w:rsid w:val="00B27DE4"/>
    <w:rsid w:val="00B30BFA"/>
    <w:rsid w:val="00B30D90"/>
    <w:rsid w:val="00B30E41"/>
    <w:rsid w:val="00B30F54"/>
    <w:rsid w:val="00B31AA2"/>
    <w:rsid w:val="00B31E24"/>
    <w:rsid w:val="00B3295D"/>
    <w:rsid w:val="00B3295F"/>
    <w:rsid w:val="00B32A82"/>
    <w:rsid w:val="00B32E64"/>
    <w:rsid w:val="00B33093"/>
    <w:rsid w:val="00B3388C"/>
    <w:rsid w:val="00B33CF2"/>
    <w:rsid w:val="00B33EA0"/>
    <w:rsid w:val="00B33F82"/>
    <w:rsid w:val="00B33FA6"/>
    <w:rsid w:val="00B3404C"/>
    <w:rsid w:val="00B34C75"/>
    <w:rsid w:val="00B34ED2"/>
    <w:rsid w:val="00B34FC9"/>
    <w:rsid w:val="00B350F7"/>
    <w:rsid w:val="00B357B1"/>
    <w:rsid w:val="00B3585B"/>
    <w:rsid w:val="00B359A5"/>
    <w:rsid w:val="00B35AEE"/>
    <w:rsid w:val="00B35E62"/>
    <w:rsid w:val="00B35FE3"/>
    <w:rsid w:val="00B36089"/>
    <w:rsid w:val="00B36B64"/>
    <w:rsid w:val="00B36CF1"/>
    <w:rsid w:val="00B36DC1"/>
    <w:rsid w:val="00B403CA"/>
    <w:rsid w:val="00B40454"/>
    <w:rsid w:val="00B40AFB"/>
    <w:rsid w:val="00B40BE8"/>
    <w:rsid w:val="00B40D8D"/>
    <w:rsid w:val="00B41080"/>
    <w:rsid w:val="00B41B5F"/>
    <w:rsid w:val="00B41BE0"/>
    <w:rsid w:val="00B42084"/>
    <w:rsid w:val="00B42726"/>
    <w:rsid w:val="00B42B2B"/>
    <w:rsid w:val="00B42F9C"/>
    <w:rsid w:val="00B42FC5"/>
    <w:rsid w:val="00B439BF"/>
    <w:rsid w:val="00B43F9B"/>
    <w:rsid w:val="00B44041"/>
    <w:rsid w:val="00B44510"/>
    <w:rsid w:val="00B44D8A"/>
    <w:rsid w:val="00B45592"/>
    <w:rsid w:val="00B4563E"/>
    <w:rsid w:val="00B45D4B"/>
    <w:rsid w:val="00B45DC4"/>
    <w:rsid w:val="00B45E46"/>
    <w:rsid w:val="00B45F49"/>
    <w:rsid w:val="00B469E0"/>
    <w:rsid w:val="00B46AD3"/>
    <w:rsid w:val="00B47430"/>
    <w:rsid w:val="00B475DC"/>
    <w:rsid w:val="00B47657"/>
    <w:rsid w:val="00B502BB"/>
    <w:rsid w:val="00B50416"/>
    <w:rsid w:val="00B50479"/>
    <w:rsid w:val="00B504C7"/>
    <w:rsid w:val="00B50DF0"/>
    <w:rsid w:val="00B50ED6"/>
    <w:rsid w:val="00B5134E"/>
    <w:rsid w:val="00B51721"/>
    <w:rsid w:val="00B5191C"/>
    <w:rsid w:val="00B522BD"/>
    <w:rsid w:val="00B524D1"/>
    <w:rsid w:val="00B52507"/>
    <w:rsid w:val="00B52DEE"/>
    <w:rsid w:val="00B52E83"/>
    <w:rsid w:val="00B536F7"/>
    <w:rsid w:val="00B53A8E"/>
    <w:rsid w:val="00B54017"/>
    <w:rsid w:val="00B54176"/>
    <w:rsid w:val="00B542A2"/>
    <w:rsid w:val="00B54A65"/>
    <w:rsid w:val="00B54F3B"/>
    <w:rsid w:val="00B54F70"/>
    <w:rsid w:val="00B551BE"/>
    <w:rsid w:val="00B55408"/>
    <w:rsid w:val="00B55892"/>
    <w:rsid w:val="00B559A5"/>
    <w:rsid w:val="00B55A64"/>
    <w:rsid w:val="00B56789"/>
    <w:rsid w:val="00B56CE3"/>
    <w:rsid w:val="00B5710F"/>
    <w:rsid w:val="00B57CE5"/>
    <w:rsid w:val="00B603EB"/>
    <w:rsid w:val="00B605FF"/>
    <w:rsid w:val="00B615A5"/>
    <w:rsid w:val="00B61898"/>
    <w:rsid w:val="00B61967"/>
    <w:rsid w:val="00B62360"/>
    <w:rsid w:val="00B62785"/>
    <w:rsid w:val="00B62A86"/>
    <w:rsid w:val="00B62C95"/>
    <w:rsid w:val="00B62EA6"/>
    <w:rsid w:val="00B632F5"/>
    <w:rsid w:val="00B63A68"/>
    <w:rsid w:val="00B63B76"/>
    <w:rsid w:val="00B64A4C"/>
    <w:rsid w:val="00B65A46"/>
    <w:rsid w:val="00B65AC7"/>
    <w:rsid w:val="00B65B8D"/>
    <w:rsid w:val="00B65F5B"/>
    <w:rsid w:val="00B661E6"/>
    <w:rsid w:val="00B66933"/>
    <w:rsid w:val="00B66993"/>
    <w:rsid w:val="00B669CD"/>
    <w:rsid w:val="00B66AA1"/>
    <w:rsid w:val="00B66F0D"/>
    <w:rsid w:val="00B66FC1"/>
    <w:rsid w:val="00B671F3"/>
    <w:rsid w:val="00B67A5A"/>
    <w:rsid w:val="00B67A6A"/>
    <w:rsid w:val="00B67BD5"/>
    <w:rsid w:val="00B7004D"/>
    <w:rsid w:val="00B70F05"/>
    <w:rsid w:val="00B72224"/>
    <w:rsid w:val="00B72411"/>
    <w:rsid w:val="00B728C0"/>
    <w:rsid w:val="00B734C9"/>
    <w:rsid w:val="00B73C99"/>
    <w:rsid w:val="00B7431C"/>
    <w:rsid w:val="00B7466B"/>
    <w:rsid w:val="00B74E76"/>
    <w:rsid w:val="00B76DE0"/>
    <w:rsid w:val="00B7772E"/>
    <w:rsid w:val="00B779DA"/>
    <w:rsid w:val="00B779EC"/>
    <w:rsid w:val="00B77D9D"/>
    <w:rsid w:val="00B801DE"/>
    <w:rsid w:val="00B80364"/>
    <w:rsid w:val="00B81097"/>
    <w:rsid w:val="00B8127D"/>
    <w:rsid w:val="00B81C44"/>
    <w:rsid w:val="00B81CAA"/>
    <w:rsid w:val="00B822D8"/>
    <w:rsid w:val="00B82A51"/>
    <w:rsid w:val="00B8351D"/>
    <w:rsid w:val="00B839D4"/>
    <w:rsid w:val="00B83B6E"/>
    <w:rsid w:val="00B843FF"/>
    <w:rsid w:val="00B84438"/>
    <w:rsid w:val="00B84E1F"/>
    <w:rsid w:val="00B85824"/>
    <w:rsid w:val="00B85F0C"/>
    <w:rsid w:val="00B868C0"/>
    <w:rsid w:val="00B870B5"/>
    <w:rsid w:val="00B9078A"/>
    <w:rsid w:val="00B90A53"/>
    <w:rsid w:val="00B914CA"/>
    <w:rsid w:val="00B91716"/>
    <w:rsid w:val="00B9172F"/>
    <w:rsid w:val="00B91B16"/>
    <w:rsid w:val="00B91C07"/>
    <w:rsid w:val="00B91E55"/>
    <w:rsid w:val="00B91F67"/>
    <w:rsid w:val="00B92195"/>
    <w:rsid w:val="00B92856"/>
    <w:rsid w:val="00B92B1F"/>
    <w:rsid w:val="00B92C7F"/>
    <w:rsid w:val="00B9302F"/>
    <w:rsid w:val="00B93078"/>
    <w:rsid w:val="00B943AE"/>
    <w:rsid w:val="00B94492"/>
    <w:rsid w:val="00B947A5"/>
    <w:rsid w:val="00B94920"/>
    <w:rsid w:val="00B94D22"/>
    <w:rsid w:val="00B94E57"/>
    <w:rsid w:val="00B9550D"/>
    <w:rsid w:val="00B955EB"/>
    <w:rsid w:val="00B95742"/>
    <w:rsid w:val="00B95C42"/>
    <w:rsid w:val="00B95F9F"/>
    <w:rsid w:val="00B96855"/>
    <w:rsid w:val="00B96CB5"/>
    <w:rsid w:val="00B96E57"/>
    <w:rsid w:val="00B970F0"/>
    <w:rsid w:val="00B975CA"/>
    <w:rsid w:val="00B97818"/>
    <w:rsid w:val="00B97CC8"/>
    <w:rsid w:val="00BA0349"/>
    <w:rsid w:val="00BA0B59"/>
    <w:rsid w:val="00BA0CF1"/>
    <w:rsid w:val="00BA0F45"/>
    <w:rsid w:val="00BA1217"/>
    <w:rsid w:val="00BA122A"/>
    <w:rsid w:val="00BA123A"/>
    <w:rsid w:val="00BA19CB"/>
    <w:rsid w:val="00BA1C9E"/>
    <w:rsid w:val="00BA1CCA"/>
    <w:rsid w:val="00BA1D0C"/>
    <w:rsid w:val="00BA1E6A"/>
    <w:rsid w:val="00BA1F76"/>
    <w:rsid w:val="00BA1FFB"/>
    <w:rsid w:val="00BA238F"/>
    <w:rsid w:val="00BA2909"/>
    <w:rsid w:val="00BA2C62"/>
    <w:rsid w:val="00BA3019"/>
    <w:rsid w:val="00BA376D"/>
    <w:rsid w:val="00BA3BDE"/>
    <w:rsid w:val="00BA3E2B"/>
    <w:rsid w:val="00BA3F2C"/>
    <w:rsid w:val="00BA4363"/>
    <w:rsid w:val="00BA4559"/>
    <w:rsid w:val="00BA50AF"/>
    <w:rsid w:val="00BA518F"/>
    <w:rsid w:val="00BA5236"/>
    <w:rsid w:val="00BA53ED"/>
    <w:rsid w:val="00BA57F4"/>
    <w:rsid w:val="00BA65F4"/>
    <w:rsid w:val="00BA6F84"/>
    <w:rsid w:val="00BA7794"/>
    <w:rsid w:val="00BA7EC7"/>
    <w:rsid w:val="00BA7F24"/>
    <w:rsid w:val="00BB08FB"/>
    <w:rsid w:val="00BB10EB"/>
    <w:rsid w:val="00BB1FC5"/>
    <w:rsid w:val="00BB21AF"/>
    <w:rsid w:val="00BB21B6"/>
    <w:rsid w:val="00BB24C7"/>
    <w:rsid w:val="00BB275C"/>
    <w:rsid w:val="00BB2D98"/>
    <w:rsid w:val="00BB30F5"/>
    <w:rsid w:val="00BB3565"/>
    <w:rsid w:val="00BB3AAB"/>
    <w:rsid w:val="00BB3CEA"/>
    <w:rsid w:val="00BB40C1"/>
    <w:rsid w:val="00BB40EC"/>
    <w:rsid w:val="00BB55C3"/>
    <w:rsid w:val="00BB56DD"/>
    <w:rsid w:val="00BB5AFC"/>
    <w:rsid w:val="00BB6FB4"/>
    <w:rsid w:val="00BB7072"/>
    <w:rsid w:val="00BB717B"/>
    <w:rsid w:val="00BB773D"/>
    <w:rsid w:val="00BC07E4"/>
    <w:rsid w:val="00BC0AE9"/>
    <w:rsid w:val="00BC10FE"/>
    <w:rsid w:val="00BC1665"/>
    <w:rsid w:val="00BC1757"/>
    <w:rsid w:val="00BC22A1"/>
    <w:rsid w:val="00BC27DD"/>
    <w:rsid w:val="00BC3415"/>
    <w:rsid w:val="00BC3A8F"/>
    <w:rsid w:val="00BC3AE2"/>
    <w:rsid w:val="00BC3AFC"/>
    <w:rsid w:val="00BC4072"/>
    <w:rsid w:val="00BC52BB"/>
    <w:rsid w:val="00BC6349"/>
    <w:rsid w:val="00BC6A31"/>
    <w:rsid w:val="00BC6CE7"/>
    <w:rsid w:val="00BC752E"/>
    <w:rsid w:val="00BC75EC"/>
    <w:rsid w:val="00BD0615"/>
    <w:rsid w:val="00BD07CA"/>
    <w:rsid w:val="00BD0B98"/>
    <w:rsid w:val="00BD1495"/>
    <w:rsid w:val="00BD161F"/>
    <w:rsid w:val="00BD17D4"/>
    <w:rsid w:val="00BD1800"/>
    <w:rsid w:val="00BD1E63"/>
    <w:rsid w:val="00BD1F4B"/>
    <w:rsid w:val="00BD4094"/>
    <w:rsid w:val="00BD40EA"/>
    <w:rsid w:val="00BD562E"/>
    <w:rsid w:val="00BD635A"/>
    <w:rsid w:val="00BD6F67"/>
    <w:rsid w:val="00BD74FF"/>
    <w:rsid w:val="00BD790B"/>
    <w:rsid w:val="00BE0020"/>
    <w:rsid w:val="00BE0848"/>
    <w:rsid w:val="00BE0CA5"/>
    <w:rsid w:val="00BE1087"/>
    <w:rsid w:val="00BE14F6"/>
    <w:rsid w:val="00BE17F6"/>
    <w:rsid w:val="00BE1A21"/>
    <w:rsid w:val="00BE1B3D"/>
    <w:rsid w:val="00BE1C20"/>
    <w:rsid w:val="00BE1E8B"/>
    <w:rsid w:val="00BE2F2E"/>
    <w:rsid w:val="00BE303B"/>
    <w:rsid w:val="00BE333D"/>
    <w:rsid w:val="00BE35FD"/>
    <w:rsid w:val="00BE368A"/>
    <w:rsid w:val="00BE3EC8"/>
    <w:rsid w:val="00BE41E2"/>
    <w:rsid w:val="00BE42D2"/>
    <w:rsid w:val="00BE5206"/>
    <w:rsid w:val="00BE5932"/>
    <w:rsid w:val="00BE59DE"/>
    <w:rsid w:val="00BE5DEF"/>
    <w:rsid w:val="00BE5E7D"/>
    <w:rsid w:val="00BE6433"/>
    <w:rsid w:val="00BE6602"/>
    <w:rsid w:val="00BE6851"/>
    <w:rsid w:val="00BE6FC7"/>
    <w:rsid w:val="00BE700F"/>
    <w:rsid w:val="00BE706E"/>
    <w:rsid w:val="00BE7B13"/>
    <w:rsid w:val="00BF004F"/>
    <w:rsid w:val="00BF00E1"/>
    <w:rsid w:val="00BF0811"/>
    <w:rsid w:val="00BF0989"/>
    <w:rsid w:val="00BF13C8"/>
    <w:rsid w:val="00BF154F"/>
    <w:rsid w:val="00BF1601"/>
    <w:rsid w:val="00BF1893"/>
    <w:rsid w:val="00BF18EC"/>
    <w:rsid w:val="00BF1B31"/>
    <w:rsid w:val="00BF1E9D"/>
    <w:rsid w:val="00BF27E1"/>
    <w:rsid w:val="00BF2E0E"/>
    <w:rsid w:val="00BF32AF"/>
    <w:rsid w:val="00BF366C"/>
    <w:rsid w:val="00BF37F3"/>
    <w:rsid w:val="00BF4BC7"/>
    <w:rsid w:val="00BF4DEB"/>
    <w:rsid w:val="00BF512F"/>
    <w:rsid w:val="00BF5505"/>
    <w:rsid w:val="00BF6197"/>
    <w:rsid w:val="00BF6367"/>
    <w:rsid w:val="00BF645F"/>
    <w:rsid w:val="00BF6704"/>
    <w:rsid w:val="00BF6A53"/>
    <w:rsid w:val="00BF6B82"/>
    <w:rsid w:val="00BF6EB1"/>
    <w:rsid w:val="00BF74F0"/>
    <w:rsid w:val="00C00009"/>
    <w:rsid w:val="00C000F4"/>
    <w:rsid w:val="00C00B87"/>
    <w:rsid w:val="00C00F5C"/>
    <w:rsid w:val="00C0136F"/>
    <w:rsid w:val="00C029EF"/>
    <w:rsid w:val="00C02A28"/>
    <w:rsid w:val="00C03F42"/>
    <w:rsid w:val="00C03F44"/>
    <w:rsid w:val="00C03FC5"/>
    <w:rsid w:val="00C04210"/>
    <w:rsid w:val="00C0431F"/>
    <w:rsid w:val="00C04DBB"/>
    <w:rsid w:val="00C0500A"/>
    <w:rsid w:val="00C05741"/>
    <w:rsid w:val="00C05F21"/>
    <w:rsid w:val="00C06366"/>
    <w:rsid w:val="00C06A56"/>
    <w:rsid w:val="00C0727C"/>
    <w:rsid w:val="00C075BD"/>
    <w:rsid w:val="00C07E6B"/>
    <w:rsid w:val="00C10052"/>
    <w:rsid w:val="00C10081"/>
    <w:rsid w:val="00C107C4"/>
    <w:rsid w:val="00C107E4"/>
    <w:rsid w:val="00C10B34"/>
    <w:rsid w:val="00C10E9F"/>
    <w:rsid w:val="00C1164E"/>
    <w:rsid w:val="00C118EA"/>
    <w:rsid w:val="00C1191A"/>
    <w:rsid w:val="00C12459"/>
    <w:rsid w:val="00C12476"/>
    <w:rsid w:val="00C124BF"/>
    <w:rsid w:val="00C12598"/>
    <w:rsid w:val="00C1283F"/>
    <w:rsid w:val="00C12EBE"/>
    <w:rsid w:val="00C13478"/>
    <w:rsid w:val="00C13A66"/>
    <w:rsid w:val="00C13ADC"/>
    <w:rsid w:val="00C1407E"/>
    <w:rsid w:val="00C143C5"/>
    <w:rsid w:val="00C14555"/>
    <w:rsid w:val="00C1480E"/>
    <w:rsid w:val="00C14B2C"/>
    <w:rsid w:val="00C15604"/>
    <w:rsid w:val="00C15754"/>
    <w:rsid w:val="00C1579F"/>
    <w:rsid w:val="00C162F4"/>
    <w:rsid w:val="00C1693D"/>
    <w:rsid w:val="00C1704F"/>
    <w:rsid w:val="00C17690"/>
    <w:rsid w:val="00C1772E"/>
    <w:rsid w:val="00C17AA5"/>
    <w:rsid w:val="00C20161"/>
    <w:rsid w:val="00C201BD"/>
    <w:rsid w:val="00C203D7"/>
    <w:rsid w:val="00C208B4"/>
    <w:rsid w:val="00C20E85"/>
    <w:rsid w:val="00C2173D"/>
    <w:rsid w:val="00C21B28"/>
    <w:rsid w:val="00C22888"/>
    <w:rsid w:val="00C22A6C"/>
    <w:rsid w:val="00C23139"/>
    <w:rsid w:val="00C235BA"/>
    <w:rsid w:val="00C23D71"/>
    <w:rsid w:val="00C24F8E"/>
    <w:rsid w:val="00C25180"/>
    <w:rsid w:val="00C25276"/>
    <w:rsid w:val="00C254E9"/>
    <w:rsid w:val="00C25FCD"/>
    <w:rsid w:val="00C260FC"/>
    <w:rsid w:val="00C26A47"/>
    <w:rsid w:val="00C26E54"/>
    <w:rsid w:val="00C26F85"/>
    <w:rsid w:val="00C30288"/>
    <w:rsid w:val="00C30EFE"/>
    <w:rsid w:val="00C3143E"/>
    <w:rsid w:val="00C317F6"/>
    <w:rsid w:val="00C31EED"/>
    <w:rsid w:val="00C3203B"/>
    <w:rsid w:val="00C32111"/>
    <w:rsid w:val="00C327DB"/>
    <w:rsid w:val="00C32917"/>
    <w:rsid w:val="00C3296F"/>
    <w:rsid w:val="00C32B9E"/>
    <w:rsid w:val="00C32BC8"/>
    <w:rsid w:val="00C32D49"/>
    <w:rsid w:val="00C33571"/>
    <w:rsid w:val="00C33686"/>
    <w:rsid w:val="00C339A4"/>
    <w:rsid w:val="00C33D50"/>
    <w:rsid w:val="00C3474D"/>
    <w:rsid w:val="00C348E8"/>
    <w:rsid w:val="00C34D2A"/>
    <w:rsid w:val="00C35216"/>
    <w:rsid w:val="00C35715"/>
    <w:rsid w:val="00C35827"/>
    <w:rsid w:val="00C3587D"/>
    <w:rsid w:val="00C35C51"/>
    <w:rsid w:val="00C360F7"/>
    <w:rsid w:val="00C363C5"/>
    <w:rsid w:val="00C36D03"/>
    <w:rsid w:val="00C406F0"/>
    <w:rsid w:val="00C40925"/>
    <w:rsid w:val="00C41166"/>
    <w:rsid w:val="00C4150B"/>
    <w:rsid w:val="00C41557"/>
    <w:rsid w:val="00C420F3"/>
    <w:rsid w:val="00C42200"/>
    <w:rsid w:val="00C429ED"/>
    <w:rsid w:val="00C42E90"/>
    <w:rsid w:val="00C4325F"/>
    <w:rsid w:val="00C440B3"/>
    <w:rsid w:val="00C440F6"/>
    <w:rsid w:val="00C44298"/>
    <w:rsid w:val="00C452DC"/>
    <w:rsid w:val="00C458A4"/>
    <w:rsid w:val="00C46350"/>
    <w:rsid w:val="00C464F2"/>
    <w:rsid w:val="00C465FD"/>
    <w:rsid w:val="00C475F2"/>
    <w:rsid w:val="00C47B78"/>
    <w:rsid w:val="00C47F69"/>
    <w:rsid w:val="00C508A3"/>
    <w:rsid w:val="00C5121A"/>
    <w:rsid w:val="00C51535"/>
    <w:rsid w:val="00C5168F"/>
    <w:rsid w:val="00C51876"/>
    <w:rsid w:val="00C51A95"/>
    <w:rsid w:val="00C51BE1"/>
    <w:rsid w:val="00C5204A"/>
    <w:rsid w:val="00C52EFD"/>
    <w:rsid w:val="00C5304C"/>
    <w:rsid w:val="00C53215"/>
    <w:rsid w:val="00C532E5"/>
    <w:rsid w:val="00C539D5"/>
    <w:rsid w:val="00C53FD2"/>
    <w:rsid w:val="00C5474B"/>
    <w:rsid w:val="00C55904"/>
    <w:rsid w:val="00C55E22"/>
    <w:rsid w:val="00C55E97"/>
    <w:rsid w:val="00C55EDD"/>
    <w:rsid w:val="00C56628"/>
    <w:rsid w:val="00C56757"/>
    <w:rsid w:val="00C56B0B"/>
    <w:rsid w:val="00C5738C"/>
    <w:rsid w:val="00C579F0"/>
    <w:rsid w:val="00C57BD9"/>
    <w:rsid w:val="00C6031C"/>
    <w:rsid w:val="00C605CA"/>
    <w:rsid w:val="00C606D2"/>
    <w:rsid w:val="00C606FA"/>
    <w:rsid w:val="00C607E7"/>
    <w:rsid w:val="00C60D8D"/>
    <w:rsid w:val="00C616C3"/>
    <w:rsid w:val="00C6172D"/>
    <w:rsid w:val="00C61CC1"/>
    <w:rsid w:val="00C61CF5"/>
    <w:rsid w:val="00C61E1B"/>
    <w:rsid w:val="00C625A6"/>
    <w:rsid w:val="00C62AD0"/>
    <w:rsid w:val="00C62AED"/>
    <w:rsid w:val="00C62C80"/>
    <w:rsid w:val="00C62D79"/>
    <w:rsid w:val="00C634EF"/>
    <w:rsid w:val="00C636B1"/>
    <w:rsid w:val="00C63752"/>
    <w:rsid w:val="00C63BD7"/>
    <w:rsid w:val="00C63E02"/>
    <w:rsid w:val="00C647DA"/>
    <w:rsid w:val="00C65148"/>
    <w:rsid w:val="00C653BC"/>
    <w:rsid w:val="00C6552C"/>
    <w:rsid w:val="00C6576C"/>
    <w:rsid w:val="00C6613A"/>
    <w:rsid w:val="00C66B39"/>
    <w:rsid w:val="00C67355"/>
    <w:rsid w:val="00C678CE"/>
    <w:rsid w:val="00C67A90"/>
    <w:rsid w:val="00C67A91"/>
    <w:rsid w:val="00C702FE"/>
    <w:rsid w:val="00C70339"/>
    <w:rsid w:val="00C70F7D"/>
    <w:rsid w:val="00C71156"/>
    <w:rsid w:val="00C71768"/>
    <w:rsid w:val="00C71E46"/>
    <w:rsid w:val="00C72171"/>
    <w:rsid w:val="00C72C7C"/>
    <w:rsid w:val="00C72E61"/>
    <w:rsid w:val="00C73224"/>
    <w:rsid w:val="00C735C4"/>
    <w:rsid w:val="00C73A83"/>
    <w:rsid w:val="00C73F83"/>
    <w:rsid w:val="00C74633"/>
    <w:rsid w:val="00C74812"/>
    <w:rsid w:val="00C74823"/>
    <w:rsid w:val="00C74C24"/>
    <w:rsid w:val="00C753D9"/>
    <w:rsid w:val="00C75525"/>
    <w:rsid w:val="00C759D7"/>
    <w:rsid w:val="00C75A23"/>
    <w:rsid w:val="00C75FC3"/>
    <w:rsid w:val="00C765F6"/>
    <w:rsid w:val="00C771B3"/>
    <w:rsid w:val="00C7742E"/>
    <w:rsid w:val="00C77923"/>
    <w:rsid w:val="00C77A72"/>
    <w:rsid w:val="00C77AE8"/>
    <w:rsid w:val="00C81066"/>
    <w:rsid w:val="00C81551"/>
    <w:rsid w:val="00C821BE"/>
    <w:rsid w:val="00C82279"/>
    <w:rsid w:val="00C82283"/>
    <w:rsid w:val="00C833AF"/>
    <w:rsid w:val="00C842ED"/>
    <w:rsid w:val="00C84421"/>
    <w:rsid w:val="00C84C1B"/>
    <w:rsid w:val="00C84E50"/>
    <w:rsid w:val="00C85789"/>
    <w:rsid w:val="00C860F1"/>
    <w:rsid w:val="00C861C1"/>
    <w:rsid w:val="00C8633F"/>
    <w:rsid w:val="00C8635B"/>
    <w:rsid w:val="00C864AB"/>
    <w:rsid w:val="00C86D26"/>
    <w:rsid w:val="00C86F3B"/>
    <w:rsid w:val="00C87529"/>
    <w:rsid w:val="00C87879"/>
    <w:rsid w:val="00C903AE"/>
    <w:rsid w:val="00C90528"/>
    <w:rsid w:val="00C90779"/>
    <w:rsid w:val="00C9095F"/>
    <w:rsid w:val="00C90960"/>
    <w:rsid w:val="00C90E82"/>
    <w:rsid w:val="00C90EC2"/>
    <w:rsid w:val="00C9113B"/>
    <w:rsid w:val="00C91C2E"/>
    <w:rsid w:val="00C92003"/>
    <w:rsid w:val="00C9223A"/>
    <w:rsid w:val="00C928F5"/>
    <w:rsid w:val="00C929E1"/>
    <w:rsid w:val="00C92D27"/>
    <w:rsid w:val="00C93052"/>
    <w:rsid w:val="00C9365D"/>
    <w:rsid w:val="00C937E9"/>
    <w:rsid w:val="00C93C25"/>
    <w:rsid w:val="00C94324"/>
    <w:rsid w:val="00C944F8"/>
    <w:rsid w:val="00C94A91"/>
    <w:rsid w:val="00C94AB9"/>
    <w:rsid w:val="00C954EA"/>
    <w:rsid w:val="00C95C38"/>
    <w:rsid w:val="00C95CBF"/>
    <w:rsid w:val="00C95DD9"/>
    <w:rsid w:val="00C96233"/>
    <w:rsid w:val="00C96390"/>
    <w:rsid w:val="00C9643E"/>
    <w:rsid w:val="00C964FB"/>
    <w:rsid w:val="00C97079"/>
    <w:rsid w:val="00CA027A"/>
    <w:rsid w:val="00CA06B6"/>
    <w:rsid w:val="00CA07F7"/>
    <w:rsid w:val="00CA0BA5"/>
    <w:rsid w:val="00CA27FA"/>
    <w:rsid w:val="00CA27FB"/>
    <w:rsid w:val="00CA3301"/>
    <w:rsid w:val="00CA34E5"/>
    <w:rsid w:val="00CA34EF"/>
    <w:rsid w:val="00CA3B9E"/>
    <w:rsid w:val="00CA3E7F"/>
    <w:rsid w:val="00CA4279"/>
    <w:rsid w:val="00CA5383"/>
    <w:rsid w:val="00CA5422"/>
    <w:rsid w:val="00CA5905"/>
    <w:rsid w:val="00CA5D97"/>
    <w:rsid w:val="00CA5E2E"/>
    <w:rsid w:val="00CA6196"/>
    <w:rsid w:val="00CA659B"/>
    <w:rsid w:val="00CA6789"/>
    <w:rsid w:val="00CA69F4"/>
    <w:rsid w:val="00CA746C"/>
    <w:rsid w:val="00CA7A65"/>
    <w:rsid w:val="00CA7F6F"/>
    <w:rsid w:val="00CA7F83"/>
    <w:rsid w:val="00CB006B"/>
    <w:rsid w:val="00CB0763"/>
    <w:rsid w:val="00CB0990"/>
    <w:rsid w:val="00CB09B0"/>
    <w:rsid w:val="00CB0D2C"/>
    <w:rsid w:val="00CB16F6"/>
    <w:rsid w:val="00CB1A09"/>
    <w:rsid w:val="00CB1AE5"/>
    <w:rsid w:val="00CB1DA6"/>
    <w:rsid w:val="00CB21D2"/>
    <w:rsid w:val="00CB25DF"/>
    <w:rsid w:val="00CB2F24"/>
    <w:rsid w:val="00CB3474"/>
    <w:rsid w:val="00CB347B"/>
    <w:rsid w:val="00CB37BC"/>
    <w:rsid w:val="00CB3CDA"/>
    <w:rsid w:val="00CB3D54"/>
    <w:rsid w:val="00CB3EB7"/>
    <w:rsid w:val="00CB3F03"/>
    <w:rsid w:val="00CB4301"/>
    <w:rsid w:val="00CB4319"/>
    <w:rsid w:val="00CB4CEF"/>
    <w:rsid w:val="00CB50FB"/>
    <w:rsid w:val="00CB5480"/>
    <w:rsid w:val="00CB59B8"/>
    <w:rsid w:val="00CB6A22"/>
    <w:rsid w:val="00CB6D51"/>
    <w:rsid w:val="00CB6E71"/>
    <w:rsid w:val="00CB6F9E"/>
    <w:rsid w:val="00CB70E2"/>
    <w:rsid w:val="00CB7511"/>
    <w:rsid w:val="00CB76AF"/>
    <w:rsid w:val="00CB7C4F"/>
    <w:rsid w:val="00CB7F3D"/>
    <w:rsid w:val="00CC014C"/>
    <w:rsid w:val="00CC02E9"/>
    <w:rsid w:val="00CC09A7"/>
    <w:rsid w:val="00CC0E38"/>
    <w:rsid w:val="00CC0E58"/>
    <w:rsid w:val="00CC1AAC"/>
    <w:rsid w:val="00CC21F0"/>
    <w:rsid w:val="00CC274F"/>
    <w:rsid w:val="00CC28BC"/>
    <w:rsid w:val="00CC3124"/>
    <w:rsid w:val="00CC320E"/>
    <w:rsid w:val="00CC3245"/>
    <w:rsid w:val="00CC324B"/>
    <w:rsid w:val="00CC3691"/>
    <w:rsid w:val="00CC36E7"/>
    <w:rsid w:val="00CC3F6E"/>
    <w:rsid w:val="00CC4525"/>
    <w:rsid w:val="00CC4933"/>
    <w:rsid w:val="00CC5F41"/>
    <w:rsid w:val="00CC6A25"/>
    <w:rsid w:val="00CC6CD2"/>
    <w:rsid w:val="00CC76C2"/>
    <w:rsid w:val="00CC7B0F"/>
    <w:rsid w:val="00CC7D02"/>
    <w:rsid w:val="00CD01DB"/>
    <w:rsid w:val="00CD094C"/>
    <w:rsid w:val="00CD0B40"/>
    <w:rsid w:val="00CD0B60"/>
    <w:rsid w:val="00CD1004"/>
    <w:rsid w:val="00CD12E5"/>
    <w:rsid w:val="00CD134C"/>
    <w:rsid w:val="00CD19ED"/>
    <w:rsid w:val="00CD1B01"/>
    <w:rsid w:val="00CD1CEA"/>
    <w:rsid w:val="00CD1DE3"/>
    <w:rsid w:val="00CD1EFB"/>
    <w:rsid w:val="00CD1F8F"/>
    <w:rsid w:val="00CD2403"/>
    <w:rsid w:val="00CD2E05"/>
    <w:rsid w:val="00CD313B"/>
    <w:rsid w:val="00CD33C9"/>
    <w:rsid w:val="00CD3A32"/>
    <w:rsid w:val="00CD3A9F"/>
    <w:rsid w:val="00CD3BE7"/>
    <w:rsid w:val="00CD3F15"/>
    <w:rsid w:val="00CD445B"/>
    <w:rsid w:val="00CD4B54"/>
    <w:rsid w:val="00CD4C92"/>
    <w:rsid w:val="00CD5143"/>
    <w:rsid w:val="00CD52B5"/>
    <w:rsid w:val="00CD5DD3"/>
    <w:rsid w:val="00CD6209"/>
    <w:rsid w:val="00CD65E7"/>
    <w:rsid w:val="00CD682C"/>
    <w:rsid w:val="00CD6833"/>
    <w:rsid w:val="00CD6D00"/>
    <w:rsid w:val="00CD711D"/>
    <w:rsid w:val="00CD718B"/>
    <w:rsid w:val="00CD71E3"/>
    <w:rsid w:val="00CE030F"/>
    <w:rsid w:val="00CE0473"/>
    <w:rsid w:val="00CE0591"/>
    <w:rsid w:val="00CE05A9"/>
    <w:rsid w:val="00CE064D"/>
    <w:rsid w:val="00CE0943"/>
    <w:rsid w:val="00CE0EC7"/>
    <w:rsid w:val="00CE128F"/>
    <w:rsid w:val="00CE2FB2"/>
    <w:rsid w:val="00CE3F2A"/>
    <w:rsid w:val="00CE4A9E"/>
    <w:rsid w:val="00CE4D7C"/>
    <w:rsid w:val="00CE5010"/>
    <w:rsid w:val="00CE50D0"/>
    <w:rsid w:val="00CE5F0A"/>
    <w:rsid w:val="00CE614D"/>
    <w:rsid w:val="00CE61A3"/>
    <w:rsid w:val="00CE61D1"/>
    <w:rsid w:val="00CE66A4"/>
    <w:rsid w:val="00CE6BD5"/>
    <w:rsid w:val="00CE6BDE"/>
    <w:rsid w:val="00CE6D0D"/>
    <w:rsid w:val="00CE7416"/>
    <w:rsid w:val="00CE7471"/>
    <w:rsid w:val="00CE762B"/>
    <w:rsid w:val="00CE76B4"/>
    <w:rsid w:val="00CE79F3"/>
    <w:rsid w:val="00CE7AAA"/>
    <w:rsid w:val="00CF0CAE"/>
    <w:rsid w:val="00CF2320"/>
    <w:rsid w:val="00CF25D6"/>
    <w:rsid w:val="00CF38C2"/>
    <w:rsid w:val="00CF404B"/>
    <w:rsid w:val="00CF5074"/>
    <w:rsid w:val="00CF5CEB"/>
    <w:rsid w:val="00CF65DF"/>
    <w:rsid w:val="00CF6822"/>
    <w:rsid w:val="00CF6A32"/>
    <w:rsid w:val="00CF6EA0"/>
    <w:rsid w:val="00CF7266"/>
    <w:rsid w:val="00CF799A"/>
    <w:rsid w:val="00CF7B19"/>
    <w:rsid w:val="00CF7EB4"/>
    <w:rsid w:val="00D00533"/>
    <w:rsid w:val="00D00D80"/>
    <w:rsid w:val="00D0103C"/>
    <w:rsid w:val="00D013A5"/>
    <w:rsid w:val="00D01659"/>
    <w:rsid w:val="00D0167A"/>
    <w:rsid w:val="00D019BD"/>
    <w:rsid w:val="00D01C0A"/>
    <w:rsid w:val="00D01E95"/>
    <w:rsid w:val="00D02288"/>
    <w:rsid w:val="00D025A0"/>
    <w:rsid w:val="00D028C3"/>
    <w:rsid w:val="00D0294C"/>
    <w:rsid w:val="00D02FFE"/>
    <w:rsid w:val="00D0371E"/>
    <w:rsid w:val="00D038FF"/>
    <w:rsid w:val="00D03BA3"/>
    <w:rsid w:val="00D03CB6"/>
    <w:rsid w:val="00D03D9B"/>
    <w:rsid w:val="00D03F95"/>
    <w:rsid w:val="00D04975"/>
    <w:rsid w:val="00D050C3"/>
    <w:rsid w:val="00D05172"/>
    <w:rsid w:val="00D05359"/>
    <w:rsid w:val="00D062E5"/>
    <w:rsid w:val="00D064C3"/>
    <w:rsid w:val="00D06E01"/>
    <w:rsid w:val="00D0706F"/>
    <w:rsid w:val="00D10504"/>
    <w:rsid w:val="00D10E5C"/>
    <w:rsid w:val="00D115AD"/>
    <w:rsid w:val="00D11A00"/>
    <w:rsid w:val="00D11AC7"/>
    <w:rsid w:val="00D11BB9"/>
    <w:rsid w:val="00D1267A"/>
    <w:rsid w:val="00D12755"/>
    <w:rsid w:val="00D12B44"/>
    <w:rsid w:val="00D12DB4"/>
    <w:rsid w:val="00D1395A"/>
    <w:rsid w:val="00D13E1E"/>
    <w:rsid w:val="00D13E6F"/>
    <w:rsid w:val="00D13F92"/>
    <w:rsid w:val="00D144E7"/>
    <w:rsid w:val="00D1482F"/>
    <w:rsid w:val="00D14C82"/>
    <w:rsid w:val="00D151B0"/>
    <w:rsid w:val="00D1562D"/>
    <w:rsid w:val="00D15896"/>
    <w:rsid w:val="00D15CCB"/>
    <w:rsid w:val="00D16109"/>
    <w:rsid w:val="00D1636C"/>
    <w:rsid w:val="00D16572"/>
    <w:rsid w:val="00D169FC"/>
    <w:rsid w:val="00D16A68"/>
    <w:rsid w:val="00D16B5F"/>
    <w:rsid w:val="00D16C3A"/>
    <w:rsid w:val="00D17AFF"/>
    <w:rsid w:val="00D20318"/>
    <w:rsid w:val="00D20887"/>
    <w:rsid w:val="00D20D79"/>
    <w:rsid w:val="00D20DBD"/>
    <w:rsid w:val="00D20E1F"/>
    <w:rsid w:val="00D21085"/>
    <w:rsid w:val="00D21614"/>
    <w:rsid w:val="00D21E13"/>
    <w:rsid w:val="00D2334C"/>
    <w:rsid w:val="00D23414"/>
    <w:rsid w:val="00D23561"/>
    <w:rsid w:val="00D23B74"/>
    <w:rsid w:val="00D23C77"/>
    <w:rsid w:val="00D24409"/>
    <w:rsid w:val="00D250CB"/>
    <w:rsid w:val="00D25683"/>
    <w:rsid w:val="00D25D20"/>
    <w:rsid w:val="00D25EFE"/>
    <w:rsid w:val="00D261CC"/>
    <w:rsid w:val="00D263EB"/>
    <w:rsid w:val="00D2683B"/>
    <w:rsid w:val="00D27470"/>
    <w:rsid w:val="00D27CA8"/>
    <w:rsid w:val="00D30524"/>
    <w:rsid w:val="00D30D50"/>
    <w:rsid w:val="00D31012"/>
    <w:rsid w:val="00D31CF5"/>
    <w:rsid w:val="00D31EC4"/>
    <w:rsid w:val="00D31F4F"/>
    <w:rsid w:val="00D321A4"/>
    <w:rsid w:val="00D326BB"/>
    <w:rsid w:val="00D32CB7"/>
    <w:rsid w:val="00D33906"/>
    <w:rsid w:val="00D33944"/>
    <w:rsid w:val="00D33A50"/>
    <w:rsid w:val="00D33DB1"/>
    <w:rsid w:val="00D348E3"/>
    <w:rsid w:val="00D34925"/>
    <w:rsid w:val="00D34D7F"/>
    <w:rsid w:val="00D34F27"/>
    <w:rsid w:val="00D34FA3"/>
    <w:rsid w:val="00D35062"/>
    <w:rsid w:val="00D355C6"/>
    <w:rsid w:val="00D35E8D"/>
    <w:rsid w:val="00D36297"/>
    <w:rsid w:val="00D36504"/>
    <w:rsid w:val="00D36845"/>
    <w:rsid w:val="00D36CFC"/>
    <w:rsid w:val="00D378E4"/>
    <w:rsid w:val="00D40837"/>
    <w:rsid w:val="00D4152D"/>
    <w:rsid w:val="00D418C5"/>
    <w:rsid w:val="00D42C49"/>
    <w:rsid w:val="00D431D7"/>
    <w:rsid w:val="00D431E0"/>
    <w:rsid w:val="00D436E2"/>
    <w:rsid w:val="00D43CE4"/>
    <w:rsid w:val="00D44478"/>
    <w:rsid w:val="00D44930"/>
    <w:rsid w:val="00D44C45"/>
    <w:rsid w:val="00D44DAC"/>
    <w:rsid w:val="00D44DCA"/>
    <w:rsid w:val="00D4549F"/>
    <w:rsid w:val="00D45BF5"/>
    <w:rsid w:val="00D45FEA"/>
    <w:rsid w:val="00D467E9"/>
    <w:rsid w:val="00D47217"/>
    <w:rsid w:val="00D474B3"/>
    <w:rsid w:val="00D47E59"/>
    <w:rsid w:val="00D47F18"/>
    <w:rsid w:val="00D50379"/>
    <w:rsid w:val="00D508CF"/>
    <w:rsid w:val="00D50CAD"/>
    <w:rsid w:val="00D51367"/>
    <w:rsid w:val="00D514BE"/>
    <w:rsid w:val="00D5237D"/>
    <w:rsid w:val="00D525EF"/>
    <w:rsid w:val="00D530AE"/>
    <w:rsid w:val="00D534A8"/>
    <w:rsid w:val="00D5368B"/>
    <w:rsid w:val="00D536C2"/>
    <w:rsid w:val="00D5489A"/>
    <w:rsid w:val="00D54A38"/>
    <w:rsid w:val="00D54A6B"/>
    <w:rsid w:val="00D54DCE"/>
    <w:rsid w:val="00D55110"/>
    <w:rsid w:val="00D555CE"/>
    <w:rsid w:val="00D559DA"/>
    <w:rsid w:val="00D55A94"/>
    <w:rsid w:val="00D55ABF"/>
    <w:rsid w:val="00D5604F"/>
    <w:rsid w:val="00D5610B"/>
    <w:rsid w:val="00D562A2"/>
    <w:rsid w:val="00D56547"/>
    <w:rsid w:val="00D570E6"/>
    <w:rsid w:val="00D5722C"/>
    <w:rsid w:val="00D57276"/>
    <w:rsid w:val="00D57898"/>
    <w:rsid w:val="00D579CD"/>
    <w:rsid w:val="00D605B2"/>
    <w:rsid w:val="00D60898"/>
    <w:rsid w:val="00D60A16"/>
    <w:rsid w:val="00D60FDD"/>
    <w:rsid w:val="00D61A70"/>
    <w:rsid w:val="00D61B39"/>
    <w:rsid w:val="00D61BC4"/>
    <w:rsid w:val="00D61E76"/>
    <w:rsid w:val="00D62037"/>
    <w:rsid w:val="00D62089"/>
    <w:rsid w:val="00D6247C"/>
    <w:rsid w:val="00D62ACB"/>
    <w:rsid w:val="00D62EB6"/>
    <w:rsid w:val="00D645E1"/>
    <w:rsid w:val="00D646F8"/>
    <w:rsid w:val="00D64B8D"/>
    <w:rsid w:val="00D663B8"/>
    <w:rsid w:val="00D673E5"/>
    <w:rsid w:val="00D67506"/>
    <w:rsid w:val="00D67CFB"/>
    <w:rsid w:val="00D67F23"/>
    <w:rsid w:val="00D709B9"/>
    <w:rsid w:val="00D70A96"/>
    <w:rsid w:val="00D70B33"/>
    <w:rsid w:val="00D70BE2"/>
    <w:rsid w:val="00D712D0"/>
    <w:rsid w:val="00D716EB"/>
    <w:rsid w:val="00D71DEF"/>
    <w:rsid w:val="00D7230F"/>
    <w:rsid w:val="00D726F2"/>
    <w:rsid w:val="00D72CFE"/>
    <w:rsid w:val="00D72D66"/>
    <w:rsid w:val="00D738AD"/>
    <w:rsid w:val="00D73C93"/>
    <w:rsid w:val="00D742B8"/>
    <w:rsid w:val="00D749D7"/>
    <w:rsid w:val="00D75035"/>
    <w:rsid w:val="00D750B2"/>
    <w:rsid w:val="00D754E0"/>
    <w:rsid w:val="00D7572D"/>
    <w:rsid w:val="00D76130"/>
    <w:rsid w:val="00D76263"/>
    <w:rsid w:val="00D77B0D"/>
    <w:rsid w:val="00D77D4F"/>
    <w:rsid w:val="00D801AD"/>
    <w:rsid w:val="00D805F0"/>
    <w:rsid w:val="00D80A1A"/>
    <w:rsid w:val="00D80EA4"/>
    <w:rsid w:val="00D81063"/>
    <w:rsid w:val="00D814F3"/>
    <w:rsid w:val="00D81E7B"/>
    <w:rsid w:val="00D81EC3"/>
    <w:rsid w:val="00D82385"/>
    <w:rsid w:val="00D8248D"/>
    <w:rsid w:val="00D82780"/>
    <w:rsid w:val="00D82B6A"/>
    <w:rsid w:val="00D82D51"/>
    <w:rsid w:val="00D839A0"/>
    <w:rsid w:val="00D83FC5"/>
    <w:rsid w:val="00D849CC"/>
    <w:rsid w:val="00D84A1C"/>
    <w:rsid w:val="00D84D00"/>
    <w:rsid w:val="00D853A5"/>
    <w:rsid w:val="00D85572"/>
    <w:rsid w:val="00D8585F"/>
    <w:rsid w:val="00D8604B"/>
    <w:rsid w:val="00D86491"/>
    <w:rsid w:val="00D869B2"/>
    <w:rsid w:val="00D870A8"/>
    <w:rsid w:val="00D87234"/>
    <w:rsid w:val="00D87D9A"/>
    <w:rsid w:val="00D87E49"/>
    <w:rsid w:val="00D90118"/>
    <w:rsid w:val="00D90BB1"/>
    <w:rsid w:val="00D912AE"/>
    <w:rsid w:val="00D914F3"/>
    <w:rsid w:val="00D915F0"/>
    <w:rsid w:val="00D91823"/>
    <w:rsid w:val="00D92205"/>
    <w:rsid w:val="00D92210"/>
    <w:rsid w:val="00D927CF"/>
    <w:rsid w:val="00D92FB1"/>
    <w:rsid w:val="00D936BE"/>
    <w:rsid w:val="00D94ED0"/>
    <w:rsid w:val="00D95247"/>
    <w:rsid w:val="00D955C7"/>
    <w:rsid w:val="00D95977"/>
    <w:rsid w:val="00D95B2A"/>
    <w:rsid w:val="00D95CF2"/>
    <w:rsid w:val="00D95DDF"/>
    <w:rsid w:val="00D96541"/>
    <w:rsid w:val="00D969A4"/>
    <w:rsid w:val="00D96EBD"/>
    <w:rsid w:val="00D97E48"/>
    <w:rsid w:val="00DA00BF"/>
    <w:rsid w:val="00DA0652"/>
    <w:rsid w:val="00DA0E22"/>
    <w:rsid w:val="00DA1701"/>
    <w:rsid w:val="00DA1A44"/>
    <w:rsid w:val="00DA1A82"/>
    <w:rsid w:val="00DA1B75"/>
    <w:rsid w:val="00DA22C1"/>
    <w:rsid w:val="00DA2340"/>
    <w:rsid w:val="00DA270E"/>
    <w:rsid w:val="00DA297E"/>
    <w:rsid w:val="00DA39F5"/>
    <w:rsid w:val="00DA3AEE"/>
    <w:rsid w:val="00DA3D2D"/>
    <w:rsid w:val="00DA412E"/>
    <w:rsid w:val="00DA44FF"/>
    <w:rsid w:val="00DA47F0"/>
    <w:rsid w:val="00DA5A1A"/>
    <w:rsid w:val="00DA5A37"/>
    <w:rsid w:val="00DA5FDB"/>
    <w:rsid w:val="00DA6151"/>
    <w:rsid w:val="00DA6224"/>
    <w:rsid w:val="00DA6710"/>
    <w:rsid w:val="00DA6B0A"/>
    <w:rsid w:val="00DA6D5D"/>
    <w:rsid w:val="00DA6F8B"/>
    <w:rsid w:val="00DA70B0"/>
    <w:rsid w:val="00DA7CB8"/>
    <w:rsid w:val="00DA7D94"/>
    <w:rsid w:val="00DB0376"/>
    <w:rsid w:val="00DB04F5"/>
    <w:rsid w:val="00DB0514"/>
    <w:rsid w:val="00DB0612"/>
    <w:rsid w:val="00DB06BA"/>
    <w:rsid w:val="00DB0951"/>
    <w:rsid w:val="00DB0A49"/>
    <w:rsid w:val="00DB0D44"/>
    <w:rsid w:val="00DB0F68"/>
    <w:rsid w:val="00DB1F1B"/>
    <w:rsid w:val="00DB22D4"/>
    <w:rsid w:val="00DB253E"/>
    <w:rsid w:val="00DB2B10"/>
    <w:rsid w:val="00DB2FFF"/>
    <w:rsid w:val="00DB3378"/>
    <w:rsid w:val="00DB3FF8"/>
    <w:rsid w:val="00DB402B"/>
    <w:rsid w:val="00DB6B2C"/>
    <w:rsid w:val="00DB6FF0"/>
    <w:rsid w:val="00DB70E2"/>
    <w:rsid w:val="00DB7254"/>
    <w:rsid w:val="00DB7B4E"/>
    <w:rsid w:val="00DB7E5A"/>
    <w:rsid w:val="00DC000D"/>
    <w:rsid w:val="00DC0299"/>
    <w:rsid w:val="00DC04C2"/>
    <w:rsid w:val="00DC0763"/>
    <w:rsid w:val="00DC07E4"/>
    <w:rsid w:val="00DC09FE"/>
    <w:rsid w:val="00DC0A71"/>
    <w:rsid w:val="00DC0BC6"/>
    <w:rsid w:val="00DC1148"/>
    <w:rsid w:val="00DC1353"/>
    <w:rsid w:val="00DC1BFE"/>
    <w:rsid w:val="00DC20A5"/>
    <w:rsid w:val="00DC25B8"/>
    <w:rsid w:val="00DC272E"/>
    <w:rsid w:val="00DC27F1"/>
    <w:rsid w:val="00DC281C"/>
    <w:rsid w:val="00DC284C"/>
    <w:rsid w:val="00DC29A8"/>
    <w:rsid w:val="00DC2EA8"/>
    <w:rsid w:val="00DC2F1B"/>
    <w:rsid w:val="00DC2F6B"/>
    <w:rsid w:val="00DC3103"/>
    <w:rsid w:val="00DC33C8"/>
    <w:rsid w:val="00DC3A62"/>
    <w:rsid w:val="00DC4021"/>
    <w:rsid w:val="00DC4198"/>
    <w:rsid w:val="00DC437A"/>
    <w:rsid w:val="00DC4403"/>
    <w:rsid w:val="00DC4E8A"/>
    <w:rsid w:val="00DC4E97"/>
    <w:rsid w:val="00DC512C"/>
    <w:rsid w:val="00DC51E8"/>
    <w:rsid w:val="00DC5695"/>
    <w:rsid w:val="00DC597B"/>
    <w:rsid w:val="00DC5AEE"/>
    <w:rsid w:val="00DC5FD6"/>
    <w:rsid w:val="00DC60B5"/>
    <w:rsid w:val="00DC6523"/>
    <w:rsid w:val="00DC6548"/>
    <w:rsid w:val="00DC6CDF"/>
    <w:rsid w:val="00DC6F56"/>
    <w:rsid w:val="00DC78CB"/>
    <w:rsid w:val="00DC7BA4"/>
    <w:rsid w:val="00DC7CEA"/>
    <w:rsid w:val="00DD03EE"/>
    <w:rsid w:val="00DD04DD"/>
    <w:rsid w:val="00DD0914"/>
    <w:rsid w:val="00DD0AC0"/>
    <w:rsid w:val="00DD0F69"/>
    <w:rsid w:val="00DD107F"/>
    <w:rsid w:val="00DD1179"/>
    <w:rsid w:val="00DD158B"/>
    <w:rsid w:val="00DD1A3C"/>
    <w:rsid w:val="00DD23AE"/>
    <w:rsid w:val="00DD25E6"/>
    <w:rsid w:val="00DD2F4C"/>
    <w:rsid w:val="00DD34E2"/>
    <w:rsid w:val="00DD3923"/>
    <w:rsid w:val="00DD423C"/>
    <w:rsid w:val="00DD49E4"/>
    <w:rsid w:val="00DD4B65"/>
    <w:rsid w:val="00DD4C81"/>
    <w:rsid w:val="00DD4D6C"/>
    <w:rsid w:val="00DD59A1"/>
    <w:rsid w:val="00DD6457"/>
    <w:rsid w:val="00DD6761"/>
    <w:rsid w:val="00DD6B48"/>
    <w:rsid w:val="00DD6D62"/>
    <w:rsid w:val="00DD6FFF"/>
    <w:rsid w:val="00DD76CC"/>
    <w:rsid w:val="00DD7990"/>
    <w:rsid w:val="00DD79A6"/>
    <w:rsid w:val="00DE0960"/>
    <w:rsid w:val="00DE0FEC"/>
    <w:rsid w:val="00DE16B2"/>
    <w:rsid w:val="00DE1C88"/>
    <w:rsid w:val="00DE1FB4"/>
    <w:rsid w:val="00DE25E0"/>
    <w:rsid w:val="00DE31D7"/>
    <w:rsid w:val="00DE3242"/>
    <w:rsid w:val="00DE357C"/>
    <w:rsid w:val="00DE379F"/>
    <w:rsid w:val="00DE3F8D"/>
    <w:rsid w:val="00DE4134"/>
    <w:rsid w:val="00DE444B"/>
    <w:rsid w:val="00DE45EC"/>
    <w:rsid w:val="00DE49BE"/>
    <w:rsid w:val="00DE4BAA"/>
    <w:rsid w:val="00DE511A"/>
    <w:rsid w:val="00DE5195"/>
    <w:rsid w:val="00DE5C18"/>
    <w:rsid w:val="00DE6142"/>
    <w:rsid w:val="00DE63F8"/>
    <w:rsid w:val="00DE6B56"/>
    <w:rsid w:val="00DE7516"/>
    <w:rsid w:val="00DE76D5"/>
    <w:rsid w:val="00DE7DD9"/>
    <w:rsid w:val="00DF0690"/>
    <w:rsid w:val="00DF072C"/>
    <w:rsid w:val="00DF09F1"/>
    <w:rsid w:val="00DF0AC6"/>
    <w:rsid w:val="00DF1392"/>
    <w:rsid w:val="00DF210B"/>
    <w:rsid w:val="00DF210F"/>
    <w:rsid w:val="00DF238B"/>
    <w:rsid w:val="00DF23EE"/>
    <w:rsid w:val="00DF2943"/>
    <w:rsid w:val="00DF2F9A"/>
    <w:rsid w:val="00DF312F"/>
    <w:rsid w:val="00DF3841"/>
    <w:rsid w:val="00DF38B4"/>
    <w:rsid w:val="00DF3E29"/>
    <w:rsid w:val="00DF416F"/>
    <w:rsid w:val="00DF5802"/>
    <w:rsid w:val="00DF601C"/>
    <w:rsid w:val="00DF6182"/>
    <w:rsid w:val="00DF66BD"/>
    <w:rsid w:val="00DF68ED"/>
    <w:rsid w:val="00DF7504"/>
    <w:rsid w:val="00DF7EA8"/>
    <w:rsid w:val="00E00942"/>
    <w:rsid w:val="00E00C06"/>
    <w:rsid w:val="00E01807"/>
    <w:rsid w:val="00E019F9"/>
    <w:rsid w:val="00E01F73"/>
    <w:rsid w:val="00E020E8"/>
    <w:rsid w:val="00E0239A"/>
    <w:rsid w:val="00E02867"/>
    <w:rsid w:val="00E028A5"/>
    <w:rsid w:val="00E028AB"/>
    <w:rsid w:val="00E02918"/>
    <w:rsid w:val="00E02D74"/>
    <w:rsid w:val="00E038EF"/>
    <w:rsid w:val="00E039BE"/>
    <w:rsid w:val="00E04325"/>
    <w:rsid w:val="00E046F9"/>
    <w:rsid w:val="00E0537C"/>
    <w:rsid w:val="00E0551F"/>
    <w:rsid w:val="00E0657C"/>
    <w:rsid w:val="00E07269"/>
    <w:rsid w:val="00E0743B"/>
    <w:rsid w:val="00E076D7"/>
    <w:rsid w:val="00E10703"/>
    <w:rsid w:val="00E10965"/>
    <w:rsid w:val="00E113BC"/>
    <w:rsid w:val="00E119B3"/>
    <w:rsid w:val="00E11B3A"/>
    <w:rsid w:val="00E12BCA"/>
    <w:rsid w:val="00E12E64"/>
    <w:rsid w:val="00E12F74"/>
    <w:rsid w:val="00E1353B"/>
    <w:rsid w:val="00E140F4"/>
    <w:rsid w:val="00E141E8"/>
    <w:rsid w:val="00E148BD"/>
    <w:rsid w:val="00E15713"/>
    <w:rsid w:val="00E157C1"/>
    <w:rsid w:val="00E15AF3"/>
    <w:rsid w:val="00E15E08"/>
    <w:rsid w:val="00E15E27"/>
    <w:rsid w:val="00E163AE"/>
    <w:rsid w:val="00E16D0A"/>
    <w:rsid w:val="00E16E64"/>
    <w:rsid w:val="00E17256"/>
    <w:rsid w:val="00E17463"/>
    <w:rsid w:val="00E1783B"/>
    <w:rsid w:val="00E17F61"/>
    <w:rsid w:val="00E17FED"/>
    <w:rsid w:val="00E20556"/>
    <w:rsid w:val="00E214DF"/>
    <w:rsid w:val="00E21C8D"/>
    <w:rsid w:val="00E21CB2"/>
    <w:rsid w:val="00E21F6F"/>
    <w:rsid w:val="00E222CC"/>
    <w:rsid w:val="00E23636"/>
    <w:rsid w:val="00E23683"/>
    <w:rsid w:val="00E236C3"/>
    <w:rsid w:val="00E236F6"/>
    <w:rsid w:val="00E23828"/>
    <w:rsid w:val="00E23AEC"/>
    <w:rsid w:val="00E23EA8"/>
    <w:rsid w:val="00E243A4"/>
    <w:rsid w:val="00E245F2"/>
    <w:rsid w:val="00E24839"/>
    <w:rsid w:val="00E25DC0"/>
    <w:rsid w:val="00E26105"/>
    <w:rsid w:val="00E265A5"/>
    <w:rsid w:val="00E26862"/>
    <w:rsid w:val="00E26C9F"/>
    <w:rsid w:val="00E27941"/>
    <w:rsid w:val="00E27F58"/>
    <w:rsid w:val="00E300AB"/>
    <w:rsid w:val="00E30559"/>
    <w:rsid w:val="00E307C0"/>
    <w:rsid w:val="00E30BEA"/>
    <w:rsid w:val="00E311B9"/>
    <w:rsid w:val="00E316B1"/>
    <w:rsid w:val="00E31D8D"/>
    <w:rsid w:val="00E32050"/>
    <w:rsid w:val="00E3231D"/>
    <w:rsid w:val="00E3395F"/>
    <w:rsid w:val="00E3399D"/>
    <w:rsid w:val="00E34686"/>
    <w:rsid w:val="00E34FC4"/>
    <w:rsid w:val="00E35710"/>
    <w:rsid w:val="00E358C1"/>
    <w:rsid w:val="00E35E60"/>
    <w:rsid w:val="00E35FFD"/>
    <w:rsid w:val="00E366BE"/>
    <w:rsid w:val="00E37289"/>
    <w:rsid w:val="00E37C55"/>
    <w:rsid w:val="00E40157"/>
    <w:rsid w:val="00E4031A"/>
    <w:rsid w:val="00E40432"/>
    <w:rsid w:val="00E40F67"/>
    <w:rsid w:val="00E41117"/>
    <w:rsid w:val="00E41256"/>
    <w:rsid w:val="00E415AA"/>
    <w:rsid w:val="00E42743"/>
    <w:rsid w:val="00E4298A"/>
    <w:rsid w:val="00E429D7"/>
    <w:rsid w:val="00E429E2"/>
    <w:rsid w:val="00E42FE9"/>
    <w:rsid w:val="00E42FEF"/>
    <w:rsid w:val="00E43C00"/>
    <w:rsid w:val="00E43FA6"/>
    <w:rsid w:val="00E449AE"/>
    <w:rsid w:val="00E464B2"/>
    <w:rsid w:val="00E4685F"/>
    <w:rsid w:val="00E47521"/>
    <w:rsid w:val="00E47A48"/>
    <w:rsid w:val="00E47B5C"/>
    <w:rsid w:val="00E47E7D"/>
    <w:rsid w:val="00E5002F"/>
    <w:rsid w:val="00E50C6B"/>
    <w:rsid w:val="00E50E93"/>
    <w:rsid w:val="00E51079"/>
    <w:rsid w:val="00E51193"/>
    <w:rsid w:val="00E518CA"/>
    <w:rsid w:val="00E5194B"/>
    <w:rsid w:val="00E51D00"/>
    <w:rsid w:val="00E5264C"/>
    <w:rsid w:val="00E5371E"/>
    <w:rsid w:val="00E53F86"/>
    <w:rsid w:val="00E540B1"/>
    <w:rsid w:val="00E54114"/>
    <w:rsid w:val="00E547D1"/>
    <w:rsid w:val="00E54B47"/>
    <w:rsid w:val="00E54BB5"/>
    <w:rsid w:val="00E54E7F"/>
    <w:rsid w:val="00E55B1B"/>
    <w:rsid w:val="00E55D27"/>
    <w:rsid w:val="00E567D5"/>
    <w:rsid w:val="00E56CD2"/>
    <w:rsid w:val="00E56EEB"/>
    <w:rsid w:val="00E579DB"/>
    <w:rsid w:val="00E60962"/>
    <w:rsid w:val="00E60991"/>
    <w:rsid w:val="00E60A7E"/>
    <w:rsid w:val="00E60B0A"/>
    <w:rsid w:val="00E61406"/>
    <w:rsid w:val="00E6180E"/>
    <w:rsid w:val="00E61AA6"/>
    <w:rsid w:val="00E61CC3"/>
    <w:rsid w:val="00E626EC"/>
    <w:rsid w:val="00E633EB"/>
    <w:rsid w:val="00E6343A"/>
    <w:rsid w:val="00E63633"/>
    <w:rsid w:val="00E64220"/>
    <w:rsid w:val="00E646D1"/>
    <w:rsid w:val="00E64866"/>
    <w:rsid w:val="00E653E1"/>
    <w:rsid w:val="00E65ABB"/>
    <w:rsid w:val="00E65FEE"/>
    <w:rsid w:val="00E663CA"/>
    <w:rsid w:val="00E66799"/>
    <w:rsid w:val="00E67775"/>
    <w:rsid w:val="00E67A04"/>
    <w:rsid w:val="00E67B9C"/>
    <w:rsid w:val="00E67DC7"/>
    <w:rsid w:val="00E67FEE"/>
    <w:rsid w:val="00E702F7"/>
    <w:rsid w:val="00E704CB"/>
    <w:rsid w:val="00E7075E"/>
    <w:rsid w:val="00E70A22"/>
    <w:rsid w:val="00E70F74"/>
    <w:rsid w:val="00E710EC"/>
    <w:rsid w:val="00E71370"/>
    <w:rsid w:val="00E71E9E"/>
    <w:rsid w:val="00E72565"/>
    <w:rsid w:val="00E72A33"/>
    <w:rsid w:val="00E7325A"/>
    <w:rsid w:val="00E73C43"/>
    <w:rsid w:val="00E754F4"/>
    <w:rsid w:val="00E7696F"/>
    <w:rsid w:val="00E76B06"/>
    <w:rsid w:val="00E76D07"/>
    <w:rsid w:val="00E77252"/>
    <w:rsid w:val="00E77999"/>
    <w:rsid w:val="00E77E65"/>
    <w:rsid w:val="00E801D2"/>
    <w:rsid w:val="00E80678"/>
    <w:rsid w:val="00E809B3"/>
    <w:rsid w:val="00E818D1"/>
    <w:rsid w:val="00E81D34"/>
    <w:rsid w:val="00E81F7F"/>
    <w:rsid w:val="00E82357"/>
    <w:rsid w:val="00E83341"/>
    <w:rsid w:val="00E839D3"/>
    <w:rsid w:val="00E83C80"/>
    <w:rsid w:val="00E83E0F"/>
    <w:rsid w:val="00E83EE3"/>
    <w:rsid w:val="00E8437F"/>
    <w:rsid w:val="00E84BC4"/>
    <w:rsid w:val="00E8581E"/>
    <w:rsid w:val="00E85F84"/>
    <w:rsid w:val="00E861D1"/>
    <w:rsid w:val="00E86397"/>
    <w:rsid w:val="00E867D0"/>
    <w:rsid w:val="00E86D59"/>
    <w:rsid w:val="00E873CC"/>
    <w:rsid w:val="00E87EF5"/>
    <w:rsid w:val="00E910EB"/>
    <w:rsid w:val="00E91626"/>
    <w:rsid w:val="00E9239E"/>
    <w:rsid w:val="00E92AA0"/>
    <w:rsid w:val="00E92D03"/>
    <w:rsid w:val="00E931CD"/>
    <w:rsid w:val="00E932FB"/>
    <w:rsid w:val="00E93996"/>
    <w:rsid w:val="00E939C8"/>
    <w:rsid w:val="00E93AF7"/>
    <w:rsid w:val="00E944D5"/>
    <w:rsid w:val="00E946A6"/>
    <w:rsid w:val="00E955B8"/>
    <w:rsid w:val="00E959FE"/>
    <w:rsid w:val="00E95AF8"/>
    <w:rsid w:val="00E9656F"/>
    <w:rsid w:val="00E96599"/>
    <w:rsid w:val="00E966EB"/>
    <w:rsid w:val="00E9681F"/>
    <w:rsid w:val="00E96B08"/>
    <w:rsid w:val="00E979DE"/>
    <w:rsid w:val="00E97E56"/>
    <w:rsid w:val="00EA03FD"/>
    <w:rsid w:val="00EA058D"/>
    <w:rsid w:val="00EA093F"/>
    <w:rsid w:val="00EA0A6D"/>
    <w:rsid w:val="00EA0F4E"/>
    <w:rsid w:val="00EA0FE6"/>
    <w:rsid w:val="00EA1068"/>
    <w:rsid w:val="00EA13C6"/>
    <w:rsid w:val="00EA188F"/>
    <w:rsid w:val="00EA258C"/>
    <w:rsid w:val="00EA2746"/>
    <w:rsid w:val="00EA2A4E"/>
    <w:rsid w:val="00EA334E"/>
    <w:rsid w:val="00EA3357"/>
    <w:rsid w:val="00EA3C9F"/>
    <w:rsid w:val="00EA403E"/>
    <w:rsid w:val="00EA4E84"/>
    <w:rsid w:val="00EA5828"/>
    <w:rsid w:val="00EA5ECC"/>
    <w:rsid w:val="00EA648F"/>
    <w:rsid w:val="00EA710E"/>
    <w:rsid w:val="00EA737E"/>
    <w:rsid w:val="00EA7D31"/>
    <w:rsid w:val="00EA7F71"/>
    <w:rsid w:val="00EB0238"/>
    <w:rsid w:val="00EB023E"/>
    <w:rsid w:val="00EB0313"/>
    <w:rsid w:val="00EB04E3"/>
    <w:rsid w:val="00EB0687"/>
    <w:rsid w:val="00EB0E0A"/>
    <w:rsid w:val="00EB1255"/>
    <w:rsid w:val="00EB1300"/>
    <w:rsid w:val="00EB1373"/>
    <w:rsid w:val="00EB1821"/>
    <w:rsid w:val="00EB1F4C"/>
    <w:rsid w:val="00EB23D9"/>
    <w:rsid w:val="00EB2485"/>
    <w:rsid w:val="00EB2F2C"/>
    <w:rsid w:val="00EB2F6D"/>
    <w:rsid w:val="00EB30C9"/>
    <w:rsid w:val="00EB359E"/>
    <w:rsid w:val="00EB383C"/>
    <w:rsid w:val="00EB3C7E"/>
    <w:rsid w:val="00EB3D39"/>
    <w:rsid w:val="00EB3EB3"/>
    <w:rsid w:val="00EB41E5"/>
    <w:rsid w:val="00EB4427"/>
    <w:rsid w:val="00EB47BE"/>
    <w:rsid w:val="00EB48AB"/>
    <w:rsid w:val="00EB495E"/>
    <w:rsid w:val="00EB4FDA"/>
    <w:rsid w:val="00EB5625"/>
    <w:rsid w:val="00EB5AA3"/>
    <w:rsid w:val="00EB5C50"/>
    <w:rsid w:val="00EB5E03"/>
    <w:rsid w:val="00EB5F71"/>
    <w:rsid w:val="00EB60B2"/>
    <w:rsid w:val="00EB631E"/>
    <w:rsid w:val="00EB6943"/>
    <w:rsid w:val="00EB701B"/>
    <w:rsid w:val="00EB7CDC"/>
    <w:rsid w:val="00EB7EC2"/>
    <w:rsid w:val="00EC06EA"/>
    <w:rsid w:val="00EC0985"/>
    <w:rsid w:val="00EC0A3F"/>
    <w:rsid w:val="00EC13A3"/>
    <w:rsid w:val="00EC2351"/>
    <w:rsid w:val="00EC28C1"/>
    <w:rsid w:val="00EC2A0C"/>
    <w:rsid w:val="00EC3186"/>
    <w:rsid w:val="00EC31D9"/>
    <w:rsid w:val="00EC3573"/>
    <w:rsid w:val="00EC367A"/>
    <w:rsid w:val="00EC37EE"/>
    <w:rsid w:val="00EC3C04"/>
    <w:rsid w:val="00EC4780"/>
    <w:rsid w:val="00EC49DB"/>
    <w:rsid w:val="00EC4CBC"/>
    <w:rsid w:val="00EC4F70"/>
    <w:rsid w:val="00EC4F82"/>
    <w:rsid w:val="00EC5115"/>
    <w:rsid w:val="00EC5AB2"/>
    <w:rsid w:val="00EC5CBB"/>
    <w:rsid w:val="00EC65A2"/>
    <w:rsid w:val="00EC6C24"/>
    <w:rsid w:val="00EC6D9A"/>
    <w:rsid w:val="00EC720D"/>
    <w:rsid w:val="00EC7983"/>
    <w:rsid w:val="00EC7BE2"/>
    <w:rsid w:val="00ED0075"/>
    <w:rsid w:val="00ED020C"/>
    <w:rsid w:val="00ED111C"/>
    <w:rsid w:val="00ED1130"/>
    <w:rsid w:val="00ED1642"/>
    <w:rsid w:val="00ED1898"/>
    <w:rsid w:val="00ED1BAA"/>
    <w:rsid w:val="00ED1D28"/>
    <w:rsid w:val="00ED249E"/>
    <w:rsid w:val="00ED2B59"/>
    <w:rsid w:val="00ED31D3"/>
    <w:rsid w:val="00ED33F7"/>
    <w:rsid w:val="00ED3CB3"/>
    <w:rsid w:val="00ED3F3C"/>
    <w:rsid w:val="00ED4236"/>
    <w:rsid w:val="00ED42C9"/>
    <w:rsid w:val="00ED488A"/>
    <w:rsid w:val="00ED4D58"/>
    <w:rsid w:val="00ED4E3B"/>
    <w:rsid w:val="00ED54C1"/>
    <w:rsid w:val="00ED56E2"/>
    <w:rsid w:val="00ED5F17"/>
    <w:rsid w:val="00ED5F38"/>
    <w:rsid w:val="00ED6D43"/>
    <w:rsid w:val="00ED6D4F"/>
    <w:rsid w:val="00ED7CEA"/>
    <w:rsid w:val="00EE036E"/>
    <w:rsid w:val="00EE04F6"/>
    <w:rsid w:val="00EE0E54"/>
    <w:rsid w:val="00EE17C6"/>
    <w:rsid w:val="00EE1909"/>
    <w:rsid w:val="00EE24B1"/>
    <w:rsid w:val="00EE270D"/>
    <w:rsid w:val="00EE2A71"/>
    <w:rsid w:val="00EE2EE3"/>
    <w:rsid w:val="00EE35DC"/>
    <w:rsid w:val="00EE4835"/>
    <w:rsid w:val="00EE486B"/>
    <w:rsid w:val="00EE489C"/>
    <w:rsid w:val="00EE51E4"/>
    <w:rsid w:val="00EE530F"/>
    <w:rsid w:val="00EE5348"/>
    <w:rsid w:val="00EE5384"/>
    <w:rsid w:val="00EE53C0"/>
    <w:rsid w:val="00EE5424"/>
    <w:rsid w:val="00EE56BE"/>
    <w:rsid w:val="00EE5AA8"/>
    <w:rsid w:val="00EE5CF1"/>
    <w:rsid w:val="00EE6059"/>
    <w:rsid w:val="00EE6B5B"/>
    <w:rsid w:val="00EE6C9B"/>
    <w:rsid w:val="00EE7100"/>
    <w:rsid w:val="00EF06DA"/>
    <w:rsid w:val="00EF0B0B"/>
    <w:rsid w:val="00EF1210"/>
    <w:rsid w:val="00EF13CE"/>
    <w:rsid w:val="00EF145F"/>
    <w:rsid w:val="00EF1683"/>
    <w:rsid w:val="00EF1830"/>
    <w:rsid w:val="00EF1D59"/>
    <w:rsid w:val="00EF1E69"/>
    <w:rsid w:val="00EF1ECB"/>
    <w:rsid w:val="00EF2064"/>
    <w:rsid w:val="00EF228A"/>
    <w:rsid w:val="00EF2BA6"/>
    <w:rsid w:val="00EF3851"/>
    <w:rsid w:val="00EF4163"/>
    <w:rsid w:val="00EF41B4"/>
    <w:rsid w:val="00EF4333"/>
    <w:rsid w:val="00EF4849"/>
    <w:rsid w:val="00EF48A0"/>
    <w:rsid w:val="00EF4B6D"/>
    <w:rsid w:val="00EF506C"/>
    <w:rsid w:val="00EF5C65"/>
    <w:rsid w:val="00EF5DB6"/>
    <w:rsid w:val="00EF62E5"/>
    <w:rsid w:val="00EF68E4"/>
    <w:rsid w:val="00EF6D07"/>
    <w:rsid w:val="00EF7256"/>
    <w:rsid w:val="00EF7545"/>
    <w:rsid w:val="00EF75DD"/>
    <w:rsid w:val="00F0079B"/>
    <w:rsid w:val="00F007F6"/>
    <w:rsid w:val="00F007F7"/>
    <w:rsid w:val="00F008CA"/>
    <w:rsid w:val="00F00E16"/>
    <w:rsid w:val="00F00F90"/>
    <w:rsid w:val="00F014EA"/>
    <w:rsid w:val="00F0203D"/>
    <w:rsid w:val="00F021C9"/>
    <w:rsid w:val="00F02412"/>
    <w:rsid w:val="00F02FCF"/>
    <w:rsid w:val="00F0388D"/>
    <w:rsid w:val="00F04429"/>
    <w:rsid w:val="00F04FAB"/>
    <w:rsid w:val="00F06599"/>
    <w:rsid w:val="00F0670B"/>
    <w:rsid w:val="00F067F2"/>
    <w:rsid w:val="00F06AC0"/>
    <w:rsid w:val="00F06B94"/>
    <w:rsid w:val="00F070BE"/>
    <w:rsid w:val="00F07632"/>
    <w:rsid w:val="00F076DC"/>
    <w:rsid w:val="00F10023"/>
    <w:rsid w:val="00F10276"/>
    <w:rsid w:val="00F10B9B"/>
    <w:rsid w:val="00F10F2A"/>
    <w:rsid w:val="00F11B5B"/>
    <w:rsid w:val="00F11BA7"/>
    <w:rsid w:val="00F11C12"/>
    <w:rsid w:val="00F11F38"/>
    <w:rsid w:val="00F121B7"/>
    <w:rsid w:val="00F1238D"/>
    <w:rsid w:val="00F1266B"/>
    <w:rsid w:val="00F132C6"/>
    <w:rsid w:val="00F13520"/>
    <w:rsid w:val="00F13842"/>
    <w:rsid w:val="00F13E5B"/>
    <w:rsid w:val="00F13F65"/>
    <w:rsid w:val="00F14121"/>
    <w:rsid w:val="00F14216"/>
    <w:rsid w:val="00F145A2"/>
    <w:rsid w:val="00F145C0"/>
    <w:rsid w:val="00F1463F"/>
    <w:rsid w:val="00F14FEB"/>
    <w:rsid w:val="00F157A9"/>
    <w:rsid w:val="00F15BDB"/>
    <w:rsid w:val="00F15ED7"/>
    <w:rsid w:val="00F15FD9"/>
    <w:rsid w:val="00F1603F"/>
    <w:rsid w:val="00F16343"/>
    <w:rsid w:val="00F1663E"/>
    <w:rsid w:val="00F16986"/>
    <w:rsid w:val="00F16C7D"/>
    <w:rsid w:val="00F1715A"/>
    <w:rsid w:val="00F1750D"/>
    <w:rsid w:val="00F17535"/>
    <w:rsid w:val="00F17609"/>
    <w:rsid w:val="00F2071B"/>
    <w:rsid w:val="00F20FAE"/>
    <w:rsid w:val="00F212DB"/>
    <w:rsid w:val="00F21310"/>
    <w:rsid w:val="00F21D16"/>
    <w:rsid w:val="00F21F2E"/>
    <w:rsid w:val="00F22119"/>
    <w:rsid w:val="00F222C0"/>
    <w:rsid w:val="00F228C6"/>
    <w:rsid w:val="00F22B56"/>
    <w:rsid w:val="00F239CA"/>
    <w:rsid w:val="00F23C59"/>
    <w:rsid w:val="00F23E6D"/>
    <w:rsid w:val="00F24ABA"/>
    <w:rsid w:val="00F24B47"/>
    <w:rsid w:val="00F24B4F"/>
    <w:rsid w:val="00F24D65"/>
    <w:rsid w:val="00F25C1A"/>
    <w:rsid w:val="00F25EFF"/>
    <w:rsid w:val="00F26118"/>
    <w:rsid w:val="00F261D5"/>
    <w:rsid w:val="00F26775"/>
    <w:rsid w:val="00F268C3"/>
    <w:rsid w:val="00F27020"/>
    <w:rsid w:val="00F27677"/>
    <w:rsid w:val="00F27B57"/>
    <w:rsid w:val="00F27F34"/>
    <w:rsid w:val="00F30405"/>
    <w:rsid w:val="00F30875"/>
    <w:rsid w:val="00F31019"/>
    <w:rsid w:val="00F313C3"/>
    <w:rsid w:val="00F315E0"/>
    <w:rsid w:val="00F31BE1"/>
    <w:rsid w:val="00F32581"/>
    <w:rsid w:val="00F339DF"/>
    <w:rsid w:val="00F340CB"/>
    <w:rsid w:val="00F35373"/>
    <w:rsid w:val="00F35639"/>
    <w:rsid w:val="00F358B7"/>
    <w:rsid w:val="00F35CB5"/>
    <w:rsid w:val="00F363B1"/>
    <w:rsid w:val="00F36581"/>
    <w:rsid w:val="00F368D0"/>
    <w:rsid w:val="00F36B46"/>
    <w:rsid w:val="00F37629"/>
    <w:rsid w:val="00F37799"/>
    <w:rsid w:val="00F37CB9"/>
    <w:rsid w:val="00F40A0F"/>
    <w:rsid w:val="00F40A73"/>
    <w:rsid w:val="00F40BF6"/>
    <w:rsid w:val="00F40C9E"/>
    <w:rsid w:val="00F411B8"/>
    <w:rsid w:val="00F4167B"/>
    <w:rsid w:val="00F41964"/>
    <w:rsid w:val="00F41CE1"/>
    <w:rsid w:val="00F4263D"/>
    <w:rsid w:val="00F42DD3"/>
    <w:rsid w:val="00F42F7A"/>
    <w:rsid w:val="00F4368D"/>
    <w:rsid w:val="00F4390C"/>
    <w:rsid w:val="00F43DDD"/>
    <w:rsid w:val="00F440ED"/>
    <w:rsid w:val="00F44131"/>
    <w:rsid w:val="00F4433F"/>
    <w:rsid w:val="00F4480E"/>
    <w:rsid w:val="00F44844"/>
    <w:rsid w:val="00F44DEC"/>
    <w:rsid w:val="00F45087"/>
    <w:rsid w:val="00F4529A"/>
    <w:rsid w:val="00F453A3"/>
    <w:rsid w:val="00F45D1B"/>
    <w:rsid w:val="00F45F50"/>
    <w:rsid w:val="00F461C7"/>
    <w:rsid w:val="00F465D4"/>
    <w:rsid w:val="00F46ABD"/>
    <w:rsid w:val="00F47444"/>
    <w:rsid w:val="00F47E7E"/>
    <w:rsid w:val="00F47F69"/>
    <w:rsid w:val="00F503A4"/>
    <w:rsid w:val="00F50B07"/>
    <w:rsid w:val="00F50FEC"/>
    <w:rsid w:val="00F51131"/>
    <w:rsid w:val="00F51247"/>
    <w:rsid w:val="00F5221B"/>
    <w:rsid w:val="00F5253B"/>
    <w:rsid w:val="00F52923"/>
    <w:rsid w:val="00F53BA6"/>
    <w:rsid w:val="00F53C96"/>
    <w:rsid w:val="00F53D75"/>
    <w:rsid w:val="00F53DFA"/>
    <w:rsid w:val="00F54256"/>
    <w:rsid w:val="00F54425"/>
    <w:rsid w:val="00F54586"/>
    <w:rsid w:val="00F54963"/>
    <w:rsid w:val="00F55501"/>
    <w:rsid w:val="00F5567D"/>
    <w:rsid w:val="00F55BC1"/>
    <w:rsid w:val="00F55F80"/>
    <w:rsid w:val="00F56C26"/>
    <w:rsid w:val="00F57F46"/>
    <w:rsid w:val="00F61169"/>
    <w:rsid w:val="00F612F8"/>
    <w:rsid w:val="00F6193B"/>
    <w:rsid w:val="00F61E2A"/>
    <w:rsid w:val="00F6240C"/>
    <w:rsid w:val="00F62A4E"/>
    <w:rsid w:val="00F63FEE"/>
    <w:rsid w:val="00F640D0"/>
    <w:rsid w:val="00F6422B"/>
    <w:rsid w:val="00F64750"/>
    <w:rsid w:val="00F64C46"/>
    <w:rsid w:val="00F64F54"/>
    <w:rsid w:val="00F65095"/>
    <w:rsid w:val="00F65244"/>
    <w:rsid w:val="00F656A6"/>
    <w:rsid w:val="00F65C77"/>
    <w:rsid w:val="00F66332"/>
    <w:rsid w:val="00F664E1"/>
    <w:rsid w:val="00F66C2C"/>
    <w:rsid w:val="00F670C5"/>
    <w:rsid w:val="00F67107"/>
    <w:rsid w:val="00F67255"/>
    <w:rsid w:val="00F679AB"/>
    <w:rsid w:val="00F7042E"/>
    <w:rsid w:val="00F704F6"/>
    <w:rsid w:val="00F70527"/>
    <w:rsid w:val="00F712BD"/>
    <w:rsid w:val="00F72049"/>
    <w:rsid w:val="00F72103"/>
    <w:rsid w:val="00F7212D"/>
    <w:rsid w:val="00F7240C"/>
    <w:rsid w:val="00F726D3"/>
    <w:rsid w:val="00F727D3"/>
    <w:rsid w:val="00F7300E"/>
    <w:rsid w:val="00F7349C"/>
    <w:rsid w:val="00F73C5A"/>
    <w:rsid w:val="00F74208"/>
    <w:rsid w:val="00F743F0"/>
    <w:rsid w:val="00F74958"/>
    <w:rsid w:val="00F74A50"/>
    <w:rsid w:val="00F74A72"/>
    <w:rsid w:val="00F74BA1"/>
    <w:rsid w:val="00F74CF2"/>
    <w:rsid w:val="00F756E4"/>
    <w:rsid w:val="00F760B7"/>
    <w:rsid w:val="00F76128"/>
    <w:rsid w:val="00F769D2"/>
    <w:rsid w:val="00F772CC"/>
    <w:rsid w:val="00F776B4"/>
    <w:rsid w:val="00F77A9B"/>
    <w:rsid w:val="00F8028B"/>
    <w:rsid w:val="00F80D7C"/>
    <w:rsid w:val="00F81499"/>
    <w:rsid w:val="00F814B1"/>
    <w:rsid w:val="00F81596"/>
    <w:rsid w:val="00F81E08"/>
    <w:rsid w:val="00F8220C"/>
    <w:rsid w:val="00F8294E"/>
    <w:rsid w:val="00F8296E"/>
    <w:rsid w:val="00F82DB6"/>
    <w:rsid w:val="00F83202"/>
    <w:rsid w:val="00F83ED3"/>
    <w:rsid w:val="00F842C1"/>
    <w:rsid w:val="00F8541C"/>
    <w:rsid w:val="00F85796"/>
    <w:rsid w:val="00F86549"/>
    <w:rsid w:val="00F865E2"/>
    <w:rsid w:val="00F865E8"/>
    <w:rsid w:val="00F8703E"/>
    <w:rsid w:val="00F87C45"/>
    <w:rsid w:val="00F90111"/>
    <w:rsid w:val="00F9156A"/>
    <w:rsid w:val="00F9210F"/>
    <w:rsid w:val="00F92188"/>
    <w:rsid w:val="00F924A3"/>
    <w:rsid w:val="00F924EE"/>
    <w:rsid w:val="00F92B5C"/>
    <w:rsid w:val="00F92F43"/>
    <w:rsid w:val="00F93045"/>
    <w:rsid w:val="00F93544"/>
    <w:rsid w:val="00F935F8"/>
    <w:rsid w:val="00F93AA6"/>
    <w:rsid w:val="00F93AEC"/>
    <w:rsid w:val="00F93E1F"/>
    <w:rsid w:val="00F940D4"/>
    <w:rsid w:val="00F94373"/>
    <w:rsid w:val="00F943F1"/>
    <w:rsid w:val="00F96289"/>
    <w:rsid w:val="00F96394"/>
    <w:rsid w:val="00F96CBD"/>
    <w:rsid w:val="00F96FE5"/>
    <w:rsid w:val="00F976D0"/>
    <w:rsid w:val="00F97E72"/>
    <w:rsid w:val="00FA07C6"/>
    <w:rsid w:val="00FA0D31"/>
    <w:rsid w:val="00FA110F"/>
    <w:rsid w:val="00FA130C"/>
    <w:rsid w:val="00FA1350"/>
    <w:rsid w:val="00FA19E4"/>
    <w:rsid w:val="00FA1C0D"/>
    <w:rsid w:val="00FA1D72"/>
    <w:rsid w:val="00FA263A"/>
    <w:rsid w:val="00FA3880"/>
    <w:rsid w:val="00FA3B9D"/>
    <w:rsid w:val="00FA4604"/>
    <w:rsid w:val="00FA478A"/>
    <w:rsid w:val="00FA4903"/>
    <w:rsid w:val="00FA4F3A"/>
    <w:rsid w:val="00FA5187"/>
    <w:rsid w:val="00FA5385"/>
    <w:rsid w:val="00FA538C"/>
    <w:rsid w:val="00FA5575"/>
    <w:rsid w:val="00FA570E"/>
    <w:rsid w:val="00FA5AF0"/>
    <w:rsid w:val="00FA5CD1"/>
    <w:rsid w:val="00FA6DBB"/>
    <w:rsid w:val="00FA6E3B"/>
    <w:rsid w:val="00FA7249"/>
    <w:rsid w:val="00FA7461"/>
    <w:rsid w:val="00FA7963"/>
    <w:rsid w:val="00FB006A"/>
    <w:rsid w:val="00FB00D0"/>
    <w:rsid w:val="00FB088F"/>
    <w:rsid w:val="00FB0B6C"/>
    <w:rsid w:val="00FB0FCC"/>
    <w:rsid w:val="00FB17ED"/>
    <w:rsid w:val="00FB1829"/>
    <w:rsid w:val="00FB1A78"/>
    <w:rsid w:val="00FB1AE6"/>
    <w:rsid w:val="00FB1E0D"/>
    <w:rsid w:val="00FB1F66"/>
    <w:rsid w:val="00FB2366"/>
    <w:rsid w:val="00FB2B37"/>
    <w:rsid w:val="00FB341F"/>
    <w:rsid w:val="00FB4759"/>
    <w:rsid w:val="00FB4876"/>
    <w:rsid w:val="00FB4C97"/>
    <w:rsid w:val="00FB4E2A"/>
    <w:rsid w:val="00FB6108"/>
    <w:rsid w:val="00FB6724"/>
    <w:rsid w:val="00FB68CD"/>
    <w:rsid w:val="00FB7433"/>
    <w:rsid w:val="00FB76DE"/>
    <w:rsid w:val="00FC0276"/>
    <w:rsid w:val="00FC08C2"/>
    <w:rsid w:val="00FC1634"/>
    <w:rsid w:val="00FC1B4D"/>
    <w:rsid w:val="00FC1B62"/>
    <w:rsid w:val="00FC24DC"/>
    <w:rsid w:val="00FC2A90"/>
    <w:rsid w:val="00FC2ACE"/>
    <w:rsid w:val="00FC3107"/>
    <w:rsid w:val="00FC357D"/>
    <w:rsid w:val="00FC372A"/>
    <w:rsid w:val="00FC402B"/>
    <w:rsid w:val="00FC40C0"/>
    <w:rsid w:val="00FC4A37"/>
    <w:rsid w:val="00FC5D6B"/>
    <w:rsid w:val="00FC69E8"/>
    <w:rsid w:val="00FC6D3B"/>
    <w:rsid w:val="00FC7008"/>
    <w:rsid w:val="00FC7049"/>
    <w:rsid w:val="00FC7C24"/>
    <w:rsid w:val="00FC7F07"/>
    <w:rsid w:val="00FD07AE"/>
    <w:rsid w:val="00FD0815"/>
    <w:rsid w:val="00FD092F"/>
    <w:rsid w:val="00FD1111"/>
    <w:rsid w:val="00FD1F50"/>
    <w:rsid w:val="00FD2563"/>
    <w:rsid w:val="00FD2C3B"/>
    <w:rsid w:val="00FD3309"/>
    <w:rsid w:val="00FD3F89"/>
    <w:rsid w:val="00FD40CC"/>
    <w:rsid w:val="00FD46A8"/>
    <w:rsid w:val="00FD498A"/>
    <w:rsid w:val="00FD4A44"/>
    <w:rsid w:val="00FD4DCA"/>
    <w:rsid w:val="00FD4E6A"/>
    <w:rsid w:val="00FD5B97"/>
    <w:rsid w:val="00FD630E"/>
    <w:rsid w:val="00FD6DC8"/>
    <w:rsid w:val="00FD6DEB"/>
    <w:rsid w:val="00FD70ED"/>
    <w:rsid w:val="00FD78DF"/>
    <w:rsid w:val="00FD79DB"/>
    <w:rsid w:val="00FE068C"/>
    <w:rsid w:val="00FE084C"/>
    <w:rsid w:val="00FE092B"/>
    <w:rsid w:val="00FE0CAD"/>
    <w:rsid w:val="00FE0DEE"/>
    <w:rsid w:val="00FE1048"/>
    <w:rsid w:val="00FE122E"/>
    <w:rsid w:val="00FE12EB"/>
    <w:rsid w:val="00FE1875"/>
    <w:rsid w:val="00FE2089"/>
    <w:rsid w:val="00FE213A"/>
    <w:rsid w:val="00FE222C"/>
    <w:rsid w:val="00FE23BA"/>
    <w:rsid w:val="00FE23D4"/>
    <w:rsid w:val="00FE2661"/>
    <w:rsid w:val="00FE2746"/>
    <w:rsid w:val="00FE279D"/>
    <w:rsid w:val="00FE3033"/>
    <w:rsid w:val="00FE3050"/>
    <w:rsid w:val="00FE371A"/>
    <w:rsid w:val="00FE3A6F"/>
    <w:rsid w:val="00FE3C59"/>
    <w:rsid w:val="00FE3D02"/>
    <w:rsid w:val="00FE3FB3"/>
    <w:rsid w:val="00FE4201"/>
    <w:rsid w:val="00FE45F4"/>
    <w:rsid w:val="00FE466A"/>
    <w:rsid w:val="00FE4E77"/>
    <w:rsid w:val="00FE5265"/>
    <w:rsid w:val="00FE57B4"/>
    <w:rsid w:val="00FE59DF"/>
    <w:rsid w:val="00FE5A0E"/>
    <w:rsid w:val="00FE5F06"/>
    <w:rsid w:val="00FE65C5"/>
    <w:rsid w:val="00FE6616"/>
    <w:rsid w:val="00FE7529"/>
    <w:rsid w:val="00FE7935"/>
    <w:rsid w:val="00FE7D83"/>
    <w:rsid w:val="00FF0791"/>
    <w:rsid w:val="00FF08DF"/>
    <w:rsid w:val="00FF0B20"/>
    <w:rsid w:val="00FF0C6E"/>
    <w:rsid w:val="00FF1A08"/>
    <w:rsid w:val="00FF1B6F"/>
    <w:rsid w:val="00FF1EFE"/>
    <w:rsid w:val="00FF201F"/>
    <w:rsid w:val="00FF2EAA"/>
    <w:rsid w:val="00FF312A"/>
    <w:rsid w:val="00FF3722"/>
    <w:rsid w:val="00FF3B00"/>
    <w:rsid w:val="00FF3B8C"/>
    <w:rsid w:val="00FF3DF4"/>
    <w:rsid w:val="00FF3DFA"/>
    <w:rsid w:val="00FF4550"/>
    <w:rsid w:val="00FF4E36"/>
    <w:rsid w:val="00FF5522"/>
    <w:rsid w:val="00FF55EB"/>
    <w:rsid w:val="00FF5C96"/>
    <w:rsid w:val="00FF632F"/>
    <w:rsid w:val="00FF6FA0"/>
    <w:rsid w:val="00FF70FF"/>
    <w:rsid w:val="00FF7205"/>
    <w:rsid w:val="00FF7FE0"/>
    <w:rsid w:val="011D0A86"/>
    <w:rsid w:val="01214365"/>
    <w:rsid w:val="0123584C"/>
    <w:rsid w:val="01401F5A"/>
    <w:rsid w:val="016508BC"/>
    <w:rsid w:val="01791910"/>
    <w:rsid w:val="01A11310"/>
    <w:rsid w:val="01AF1A9C"/>
    <w:rsid w:val="01C37798"/>
    <w:rsid w:val="01C50F7C"/>
    <w:rsid w:val="01D6466C"/>
    <w:rsid w:val="01FD3964"/>
    <w:rsid w:val="02021029"/>
    <w:rsid w:val="021F6ED0"/>
    <w:rsid w:val="023C11A8"/>
    <w:rsid w:val="026A0669"/>
    <w:rsid w:val="02BC247D"/>
    <w:rsid w:val="02D432A2"/>
    <w:rsid w:val="02DA783B"/>
    <w:rsid w:val="030C79BF"/>
    <w:rsid w:val="032521BD"/>
    <w:rsid w:val="03305FFE"/>
    <w:rsid w:val="03311390"/>
    <w:rsid w:val="034123BB"/>
    <w:rsid w:val="03467369"/>
    <w:rsid w:val="036D616A"/>
    <w:rsid w:val="03831373"/>
    <w:rsid w:val="03935A6A"/>
    <w:rsid w:val="039B0B09"/>
    <w:rsid w:val="03B80CBC"/>
    <w:rsid w:val="03E07218"/>
    <w:rsid w:val="03F31506"/>
    <w:rsid w:val="03F83A17"/>
    <w:rsid w:val="03FB336C"/>
    <w:rsid w:val="04221A0D"/>
    <w:rsid w:val="04376843"/>
    <w:rsid w:val="04637F4D"/>
    <w:rsid w:val="046C3066"/>
    <w:rsid w:val="047B51B5"/>
    <w:rsid w:val="048030E8"/>
    <w:rsid w:val="048C54B6"/>
    <w:rsid w:val="04D712A6"/>
    <w:rsid w:val="04F16E8F"/>
    <w:rsid w:val="05227E31"/>
    <w:rsid w:val="053729A2"/>
    <w:rsid w:val="053B1757"/>
    <w:rsid w:val="05453754"/>
    <w:rsid w:val="05605E35"/>
    <w:rsid w:val="057A02B5"/>
    <w:rsid w:val="0586370B"/>
    <w:rsid w:val="058C0616"/>
    <w:rsid w:val="05A351AD"/>
    <w:rsid w:val="05C97A35"/>
    <w:rsid w:val="06274119"/>
    <w:rsid w:val="064B43B6"/>
    <w:rsid w:val="06571077"/>
    <w:rsid w:val="067B00DB"/>
    <w:rsid w:val="068943A3"/>
    <w:rsid w:val="069845E6"/>
    <w:rsid w:val="06B53343"/>
    <w:rsid w:val="06E93A59"/>
    <w:rsid w:val="06F57B28"/>
    <w:rsid w:val="06FF4665"/>
    <w:rsid w:val="070600AB"/>
    <w:rsid w:val="070F5664"/>
    <w:rsid w:val="071D23BF"/>
    <w:rsid w:val="075443A4"/>
    <w:rsid w:val="076444C8"/>
    <w:rsid w:val="077C2B80"/>
    <w:rsid w:val="07951889"/>
    <w:rsid w:val="07A2403A"/>
    <w:rsid w:val="07BA75CC"/>
    <w:rsid w:val="07C81BD2"/>
    <w:rsid w:val="07E4488E"/>
    <w:rsid w:val="081455E7"/>
    <w:rsid w:val="083C590F"/>
    <w:rsid w:val="0850658F"/>
    <w:rsid w:val="08747A4E"/>
    <w:rsid w:val="087F7D52"/>
    <w:rsid w:val="08840441"/>
    <w:rsid w:val="088E5CA1"/>
    <w:rsid w:val="08A74FB5"/>
    <w:rsid w:val="08CD42C3"/>
    <w:rsid w:val="08F54AD4"/>
    <w:rsid w:val="08FB79D5"/>
    <w:rsid w:val="09323D1A"/>
    <w:rsid w:val="0943163C"/>
    <w:rsid w:val="09450EF5"/>
    <w:rsid w:val="094F030E"/>
    <w:rsid w:val="096B668A"/>
    <w:rsid w:val="098F2582"/>
    <w:rsid w:val="09982F06"/>
    <w:rsid w:val="09D92F4C"/>
    <w:rsid w:val="09FC086D"/>
    <w:rsid w:val="0A066AE7"/>
    <w:rsid w:val="0A1E0C2A"/>
    <w:rsid w:val="0A1E2CD7"/>
    <w:rsid w:val="0A1E38DB"/>
    <w:rsid w:val="0A345099"/>
    <w:rsid w:val="0A3E54A5"/>
    <w:rsid w:val="0A822708"/>
    <w:rsid w:val="0AA74DF8"/>
    <w:rsid w:val="0AB062DE"/>
    <w:rsid w:val="0AB16AEB"/>
    <w:rsid w:val="0ADB4E00"/>
    <w:rsid w:val="0AF14BE1"/>
    <w:rsid w:val="0B035CFD"/>
    <w:rsid w:val="0B330193"/>
    <w:rsid w:val="0B367B81"/>
    <w:rsid w:val="0B4D2041"/>
    <w:rsid w:val="0B4F350C"/>
    <w:rsid w:val="0B810178"/>
    <w:rsid w:val="0B864C21"/>
    <w:rsid w:val="0B8C613C"/>
    <w:rsid w:val="0BA42DF8"/>
    <w:rsid w:val="0BE95E9A"/>
    <w:rsid w:val="0BFE1449"/>
    <w:rsid w:val="0C022D96"/>
    <w:rsid w:val="0C0B4096"/>
    <w:rsid w:val="0C330BF4"/>
    <w:rsid w:val="0C330ECE"/>
    <w:rsid w:val="0C5839FC"/>
    <w:rsid w:val="0C647279"/>
    <w:rsid w:val="0C6640B0"/>
    <w:rsid w:val="0C7F7B85"/>
    <w:rsid w:val="0CA830A9"/>
    <w:rsid w:val="0CB67574"/>
    <w:rsid w:val="0CBF7400"/>
    <w:rsid w:val="0CC042C5"/>
    <w:rsid w:val="0CC55A09"/>
    <w:rsid w:val="0CD17946"/>
    <w:rsid w:val="0CEB3C55"/>
    <w:rsid w:val="0D134413"/>
    <w:rsid w:val="0D192D09"/>
    <w:rsid w:val="0D34395D"/>
    <w:rsid w:val="0D39562C"/>
    <w:rsid w:val="0D4A5AE4"/>
    <w:rsid w:val="0D4A69C4"/>
    <w:rsid w:val="0D572DA5"/>
    <w:rsid w:val="0D6B774E"/>
    <w:rsid w:val="0D6D759B"/>
    <w:rsid w:val="0D894317"/>
    <w:rsid w:val="0D894552"/>
    <w:rsid w:val="0D8E0749"/>
    <w:rsid w:val="0D974A81"/>
    <w:rsid w:val="0D9A6E96"/>
    <w:rsid w:val="0DAC1464"/>
    <w:rsid w:val="0DAF34F7"/>
    <w:rsid w:val="0DD435CE"/>
    <w:rsid w:val="0DD64FD6"/>
    <w:rsid w:val="0DFF72BF"/>
    <w:rsid w:val="0E0C3FEA"/>
    <w:rsid w:val="0E1A2764"/>
    <w:rsid w:val="0E2D3511"/>
    <w:rsid w:val="0E3015A8"/>
    <w:rsid w:val="0E457DA4"/>
    <w:rsid w:val="0EB64271"/>
    <w:rsid w:val="0EBD639E"/>
    <w:rsid w:val="0EC06F8B"/>
    <w:rsid w:val="0ED07684"/>
    <w:rsid w:val="0ED71A24"/>
    <w:rsid w:val="0F176605"/>
    <w:rsid w:val="0F18595C"/>
    <w:rsid w:val="0F1936C6"/>
    <w:rsid w:val="0F2F5BC8"/>
    <w:rsid w:val="0F4D46E4"/>
    <w:rsid w:val="0F586E8B"/>
    <w:rsid w:val="0F764DAA"/>
    <w:rsid w:val="0F7A0352"/>
    <w:rsid w:val="0FB21661"/>
    <w:rsid w:val="0FBA737B"/>
    <w:rsid w:val="0FBE3FDF"/>
    <w:rsid w:val="0FC13BA4"/>
    <w:rsid w:val="0FF5674C"/>
    <w:rsid w:val="100665E7"/>
    <w:rsid w:val="10234F21"/>
    <w:rsid w:val="10321608"/>
    <w:rsid w:val="10374E70"/>
    <w:rsid w:val="10BC4D9C"/>
    <w:rsid w:val="10D26947"/>
    <w:rsid w:val="10E63D07"/>
    <w:rsid w:val="10EA0B48"/>
    <w:rsid w:val="10EE7A36"/>
    <w:rsid w:val="112569BD"/>
    <w:rsid w:val="112C793F"/>
    <w:rsid w:val="112F3FEE"/>
    <w:rsid w:val="113978C1"/>
    <w:rsid w:val="11432923"/>
    <w:rsid w:val="1165096A"/>
    <w:rsid w:val="117355CD"/>
    <w:rsid w:val="117B6FDE"/>
    <w:rsid w:val="11813F2D"/>
    <w:rsid w:val="11C27D8D"/>
    <w:rsid w:val="12144FC0"/>
    <w:rsid w:val="12596AAD"/>
    <w:rsid w:val="12684E18"/>
    <w:rsid w:val="12901B64"/>
    <w:rsid w:val="12940358"/>
    <w:rsid w:val="129853FE"/>
    <w:rsid w:val="12A62601"/>
    <w:rsid w:val="12BC7A08"/>
    <w:rsid w:val="12EB77BA"/>
    <w:rsid w:val="130848A2"/>
    <w:rsid w:val="1315735E"/>
    <w:rsid w:val="13175458"/>
    <w:rsid w:val="13427309"/>
    <w:rsid w:val="13451652"/>
    <w:rsid w:val="134674CA"/>
    <w:rsid w:val="13481E1B"/>
    <w:rsid w:val="134D58B5"/>
    <w:rsid w:val="13610F31"/>
    <w:rsid w:val="13814851"/>
    <w:rsid w:val="13983A06"/>
    <w:rsid w:val="13C8403A"/>
    <w:rsid w:val="13EC5F71"/>
    <w:rsid w:val="14276FAA"/>
    <w:rsid w:val="1428676E"/>
    <w:rsid w:val="14942891"/>
    <w:rsid w:val="14A32AD4"/>
    <w:rsid w:val="14B81621"/>
    <w:rsid w:val="14B9438E"/>
    <w:rsid w:val="14CD67D8"/>
    <w:rsid w:val="14DE0E97"/>
    <w:rsid w:val="15010A1F"/>
    <w:rsid w:val="152E1A46"/>
    <w:rsid w:val="15310F27"/>
    <w:rsid w:val="15311B63"/>
    <w:rsid w:val="156D4E90"/>
    <w:rsid w:val="15820DF5"/>
    <w:rsid w:val="15836FE5"/>
    <w:rsid w:val="158C17BA"/>
    <w:rsid w:val="159D5775"/>
    <w:rsid w:val="159E329B"/>
    <w:rsid w:val="15AF49FD"/>
    <w:rsid w:val="15B75686"/>
    <w:rsid w:val="15D40898"/>
    <w:rsid w:val="15E80E89"/>
    <w:rsid w:val="162478EF"/>
    <w:rsid w:val="162B58E5"/>
    <w:rsid w:val="164370B9"/>
    <w:rsid w:val="16437564"/>
    <w:rsid w:val="165241DD"/>
    <w:rsid w:val="1669533A"/>
    <w:rsid w:val="16721235"/>
    <w:rsid w:val="168258D3"/>
    <w:rsid w:val="168406E3"/>
    <w:rsid w:val="16A0147D"/>
    <w:rsid w:val="16D619CF"/>
    <w:rsid w:val="16DF591A"/>
    <w:rsid w:val="16EB52A0"/>
    <w:rsid w:val="171E4694"/>
    <w:rsid w:val="172B37CA"/>
    <w:rsid w:val="175763E9"/>
    <w:rsid w:val="17667DE9"/>
    <w:rsid w:val="177236B1"/>
    <w:rsid w:val="177421CC"/>
    <w:rsid w:val="178D1819"/>
    <w:rsid w:val="179A3525"/>
    <w:rsid w:val="17D729AD"/>
    <w:rsid w:val="17D975F9"/>
    <w:rsid w:val="17EA2613"/>
    <w:rsid w:val="17F04282"/>
    <w:rsid w:val="180C06FF"/>
    <w:rsid w:val="186645D9"/>
    <w:rsid w:val="186A5E5F"/>
    <w:rsid w:val="18D11D43"/>
    <w:rsid w:val="18E62F75"/>
    <w:rsid w:val="18F25CAE"/>
    <w:rsid w:val="19052F7D"/>
    <w:rsid w:val="190F460C"/>
    <w:rsid w:val="191B572E"/>
    <w:rsid w:val="19426902"/>
    <w:rsid w:val="194955AD"/>
    <w:rsid w:val="194A350E"/>
    <w:rsid w:val="197C38F4"/>
    <w:rsid w:val="197F4E01"/>
    <w:rsid w:val="19831A11"/>
    <w:rsid w:val="19833953"/>
    <w:rsid w:val="19941D18"/>
    <w:rsid w:val="199F0C93"/>
    <w:rsid w:val="19ED5937"/>
    <w:rsid w:val="1A1F2B77"/>
    <w:rsid w:val="1A2E2E40"/>
    <w:rsid w:val="1A306C6C"/>
    <w:rsid w:val="1A3420A1"/>
    <w:rsid w:val="1A4F01C3"/>
    <w:rsid w:val="1A605254"/>
    <w:rsid w:val="1A710F9A"/>
    <w:rsid w:val="1A793136"/>
    <w:rsid w:val="1A7B3BAB"/>
    <w:rsid w:val="1AAE7A56"/>
    <w:rsid w:val="1ADA4D76"/>
    <w:rsid w:val="1AF83EF2"/>
    <w:rsid w:val="1AFC3CEE"/>
    <w:rsid w:val="1B04361C"/>
    <w:rsid w:val="1B065B6B"/>
    <w:rsid w:val="1B34540E"/>
    <w:rsid w:val="1B59735D"/>
    <w:rsid w:val="1B5F6589"/>
    <w:rsid w:val="1B6B624B"/>
    <w:rsid w:val="1B867E2B"/>
    <w:rsid w:val="1B8C0FD7"/>
    <w:rsid w:val="1B8F790E"/>
    <w:rsid w:val="1BFF71F2"/>
    <w:rsid w:val="1C2638BB"/>
    <w:rsid w:val="1C880752"/>
    <w:rsid w:val="1CBB1806"/>
    <w:rsid w:val="1CD70A8D"/>
    <w:rsid w:val="1CEA0B3E"/>
    <w:rsid w:val="1CFF05A2"/>
    <w:rsid w:val="1D142D0A"/>
    <w:rsid w:val="1D41732E"/>
    <w:rsid w:val="1D4C1E48"/>
    <w:rsid w:val="1D4D722F"/>
    <w:rsid w:val="1D555DBB"/>
    <w:rsid w:val="1D943AC4"/>
    <w:rsid w:val="1DBF4B8A"/>
    <w:rsid w:val="1DC713F1"/>
    <w:rsid w:val="1DE062F7"/>
    <w:rsid w:val="1DE1592A"/>
    <w:rsid w:val="1DEA1605"/>
    <w:rsid w:val="1E0B5246"/>
    <w:rsid w:val="1E14234D"/>
    <w:rsid w:val="1E467139"/>
    <w:rsid w:val="1E59183C"/>
    <w:rsid w:val="1E5A2DCB"/>
    <w:rsid w:val="1E6A4217"/>
    <w:rsid w:val="1EBC3475"/>
    <w:rsid w:val="1EC309F6"/>
    <w:rsid w:val="1ED80E47"/>
    <w:rsid w:val="1EEA2418"/>
    <w:rsid w:val="1F1254F4"/>
    <w:rsid w:val="1F291141"/>
    <w:rsid w:val="1F371FED"/>
    <w:rsid w:val="1F664E2A"/>
    <w:rsid w:val="1F906557"/>
    <w:rsid w:val="1FA01FA3"/>
    <w:rsid w:val="1FBA5871"/>
    <w:rsid w:val="1FFA436F"/>
    <w:rsid w:val="2023605D"/>
    <w:rsid w:val="2039775F"/>
    <w:rsid w:val="206C2914"/>
    <w:rsid w:val="207259FF"/>
    <w:rsid w:val="208F03B0"/>
    <w:rsid w:val="20B322F1"/>
    <w:rsid w:val="20E912AD"/>
    <w:rsid w:val="20E97AC1"/>
    <w:rsid w:val="210743EB"/>
    <w:rsid w:val="211A2001"/>
    <w:rsid w:val="21204F6E"/>
    <w:rsid w:val="212F1E92"/>
    <w:rsid w:val="213B1D40"/>
    <w:rsid w:val="213C07FD"/>
    <w:rsid w:val="21436995"/>
    <w:rsid w:val="21511C6B"/>
    <w:rsid w:val="21570680"/>
    <w:rsid w:val="216D50BB"/>
    <w:rsid w:val="217904AE"/>
    <w:rsid w:val="21B005DE"/>
    <w:rsid w:val="21C85928"/>
    <w:rsid w:val="21CF38C1"/>
    <w:rsid w:val="21FF50C2"/>
    <w:rsid w:val="221110A3"/>
    <w:rsid w:val="22112225"/>
    <w:rsid w:val="2221328A"/>
    <w:rsid w:val="22377D87"/>
    <w:rsid w:val="223F1EBC"/>
    <w:rsid w:val="2241472B"/>
    <w:rsid w:val="22573022"/>
    <w:rsid w:val="225752E2"/>
    <w:rsid w:val="22611985"/>
    <w:rsid w:val="227930C6"/>
    <w:rsid w:val="22B12D55"/>
    <w:rsid w:val="22BB5CD9"/>
    <w:rsid w:val="22BD2FEC"/>
    <w:rsid w:val="22D754B7"/>
    <w:rsid w:val="22F556ED"/>
    <w:rsid w:val="23052768"/>
    <w:rsid w:val="230B7D43"/>
    <w:rsid w:val="23235A35"/>
    <w:rsid w:val="2342582F"/>
    <w:rsid w:val="234A0DE6"/>
    <w:rsid w:val="236A2FB3"/>
    <w:rsid w:val="239857CE"/>
    <w:rsid w:val="24300E1A"/>
    <w:rsid w:val="2432461A"/>
    <w:rsid w:val="24493596"/>
    <w:rsid w:val="24A01530"/>
    <w:rsid w:val="2508146F"/>
    <w:rsid w:val="25094DF1"/>
    <w:rsid w:val="250B47D5"/>
    <w:rsid w:val="250D1709"/>
    <w:rsid w:val="251B16DB"/>
    <w:rsid w:val="253416C3"/>
    <w:rsid w:val="256516E0"/>
    <w:rsid w:val="25775800"/>
    <w:rsid w:val="257A29E1"/>
    <w:rsid w:val="25826736"/>
    <w:rsid w:val="25B52667"/>
    <w:rsid w:val="25BE4930"/>
    <w:rsid w:val="25DC3FD5"/>
    <w:rsid w:val="25DC58CF"/>
    <w:rsid w:val="25DC6A54"/>
    <w:rsid w:val="25ED3C47"/>
    <w:rsid w:val="260D79C5"/>
    <w:rsid w:val="265579DE"/>
    <w:rsid w:val="26571970"/>
    <w:rsid w:val="26747C27"/>
    <w:rsid w:val="26753E72"/>
    <w:rsid w:val="267912AC"/>
    <w:rsid w:val="26925354"/>
    <w:rsid w:val="26A64EB5"/>
    <w:rsid w:val="26B7240F"/>
    <w:rsid w:val="26BE36E4"/>
    <w:rsid w:val="26EF04C4"/>
    <w:rsid w:val="2710174D"/>
    <w:rsid w:val="271E248E"/>
    <w:rsid w:val="27243473"/>
    <w:rsid w:val="2731039C"/>
    <w:rsid w:val="273768CB"/>
    <w:rsid w:val="27545409"/>
    <w:rsid w:val="2781595E"/>
    <w:rsid w:val="27855A03"/>
    <w:rsid w:val="2787548C"/>
    <w:rsid w:val="27B6351B"/>
    <w:rsid w:val="27BA2AFC"/>
    <w:rsid w:val="27BF1E49"/>
    <w:rsid w:val="27D843EB"/>
    <w:rsid w:val="27FA6A57"/>
    <w:rsid w:val="27FD412F"/>
    <w:rsid w:val="2832197B"/>
    <w:rsid w:val="28371A20"/>
    <w:rsid w:val="2858675A"/>
    <w:rsid w:val="28752806"/>
    <w:rsid w:val="287965F1"/>
    <w:rsid w:val="2895052E"/>
    <w:rsid w:val="28C16AFD"/>
    <w:rsid w:val="28D36E69"/>
    <w:rsid w:val="28D91000"/>
    <w:rsid w:val="28DD75F1"/>
    <w:rsid w:val="28E079FB"/>
    <w:rsid w:val="294729C4"/>
    <w:rsid w:val="29475665"/>
    <w:rsid w:val="29527F41"/>
    <w:rsid w:val="29656152"/>
    <w:rsid w:val="2966796A"/>
    <w:rsid w:val="296708AB"/>
    <w:rsid w:val="2971739F"/>
    <w:rsid w:val="29757990"/>
    <w:rsid w:val="29A34B64"/>
    <w:rsid w:val="29B82726"/>
    <w:rsid w:val="29CA20EB"/>
    <w:rsid w:val="29EF6F2B"/>
    <w:rsid w:val="29F12595"/>
    <w:rsid w:val="29F23E8A"/>
    <w:rsid w:val="29F556BC"/>
    <w:rsid w:val="2A131A16"/>
    <w:rsid w:val="2A346998"/>
    <w:rsid w:val="2A524929"/>
    <w:rsid w:val="2A850B83"/>
    <w:rsid w:val="2A860A4D"/>
    <w:rsid w:val="2A9B2ABC"/>
    <w:rsid w:val="2A9D13E6"/>
    <w:rsid w:val="2AA809EC"/>
    <w:rsid w:val="2ADA34F8"/>
    <w:rsid w:val="2ADC043E"/>
    <w:rsid w:val="2B1D4438"/>
    <w:rsid w:val="2B2636BF"/>
    <w:rsid w:val="2B6234F9"/>
    <w:rsid w:val="2B660AC0"/>
    <w:rsid w:val="2B666BBA"/>
    <w:rsid w:val="2B69017C"/>
    <w:rsid w:val="2BB60149"/>
    <w:rsid w:val="2BDF65F0"/>
    <w:rsid w:val="2BF066EE"/>
    <w:rsid w:val="2C385DA0"/>
    <w:rsid w:val="2C763285"/>
    <w:rsid w:val="2C792640"/>
    <w:rsid w:val="2CA174A1"/>
    <w:rsid w:val="2CE675AA"/>
    <w:rsid w:val="2D240D94"/>
    <w:rsid w:val="2D350A38"/>
    <w:rsid w:val="2D52784C"/>
    <w:rsid w:val="2D574004"/>
    <w:rsid w:val="2D7E030B"/>
    <w:rsid w:val="2D874707"/>
    <w:rsid w:val="2D9B5F5C"/>
    <w:rsid w:val="2DA67467"/>
    <w:rsid w:val="2DAD4D8C"/>
    <w:rsid w:val="2DD41AF8"/>
    <w:rsid w:val="2DF56343"/>
    <w:rsid w:val="2E146C61"/>
    <w:rsid w:val="2E2024F4"/>
    <w:rsid w:val="2E50117F"/>
    <w:rsid w:val="2E521F8C"/>
    <w:rsid w:val="2E89343E"/>
    <w:rsid w:val="2EC07B78"/>
    <w:rsid w:val="2ED51684"/>
    <w:rsid w:val="2ED8324F"/>
    <w:rsid w:val="2EDC786C"/>
    <w:rsid w:val="2F1D576D"/>
    <w:rsid w:val="2F651D57"/>
    <w:rsid w:val="2F8635D9"/>
    <w:rsid w:val="2F8B61E7"/>
    <w:rsid w:val="2F9B467C"/>
    <w:rsid w:val="2FA21DD2"/>
    <w:rsid w:val="2FAE47F3"/>
    <w:rsid w:val="2FB7230F"/>
    <w:rsid w:val="2FE211F5"/>
    <w:rsid w:val="301F71B6"/>
    <w:rsid w:val="30462597"/>
    <w:rsid w:val="305A4537"/>
    <w:rsid w:val="30773223"/>
    <w:rsid w:val="307F5D4C"/>
    <w:rsid w:val="30A77352"/>
    <w:rsid w:val="30D31E1D"/>
    <w:rsid w:val="30D749CE"/>
    <w:rsid w:val="30E718B8"/>
    <w:rsid w:val="30FB5378"/>
    <w:rsid w:val="30FD4EC2"/>
    <w:rsid w:val="31031A98"/>
    <w:rsid w:val="310456F9"/>
    <w:rsid w:val="31065E0B"/>
    <w:rsid w:val="31146C33"/>
    <w:rsid w:val="31216A4B"/>
    <w:rsid w:val="312608BD"/>
    <w:rsid w:val="313219C7"/>
    <w:rsid w:val="315415C0"/>
    <w:rsid w:val="315F7FF4"/>
    <w:rsid w:val="317A3B38"/>
    <w:rsid w:val="317E224F"/>
    <w:rsid w:val="318C34D6"/>
    <w:rsid w:val="319465D3"/>
    <w:rsid w:val="31A84CA4"/>
    <w:rsid w:val="31D35C0F"/>
    <w:rsid w:val="31D97580"/>
    <w:rsid w:val="31E50F27"/>
    <w:rsid w:val="3214172E"/>
    <w:rsid w:val="321E7D45"/>
    <w:rsid w:val="32204376"/>
    <w:rsid w:val="323D1CB7"/>
    <w:rsid w:val="32524842"/>
    <w:rsid w:val="32956620"/>
    <w:rsid w:val="32B614DA"/>
    <w:rsid w:val="32FA790B"/>
    <w:rsid w:val="332442D6"/>
    <w:rsid w:val="332C406F"/>
    <w:rsid w:val="33344883"/>
    <w:rsid w:val="336A54B0"/>
    <w:rsid w:val="337B160B"/>
    <w:rsid w:val="33987D41"/>
    <w:rsid w:val="33A15FD9"/>
    <w:rsid w:val="33A202EE"/>
    <w:rsid w:val="340C492A"/>
    <w:rsid w:val="34113733"/>
    <w:rsid w:val="3421711A"/>
    <w:rsid w:val="3428494C"/>
    <w:rsid w:val="343A5AC9"/>
    <w:rsid w:val="345427A3"/>
    <w:rsid w:val="34853DA1"/>
    <w:rsid w:val="349E7719"/>
    <w:rsid w:val="34D27F17"/>
    <w:rsid w:val="34F84CA4"/>
    <w:rsid w:val="35024ABA"/>
    <w:rsid w:val="350C1B78"/>
    <w:rsid w:val="35111E45"/>
    <w:rsid w:val="35201D4B"/>
    <w:rsid w:val="355E6877"/>
    <w:rsid w:val="356E1876"/>
    <w:rsid w:val="35991A63"/>
    <w:rsid w:val="35AB1391"/>
    <w:rsid w:val="35F53198"/>
    <w:rsid w:val="35F566E2"/>
    <w:rsid w:val="35FE604C"/>
    <w:rsid w:val="36084F79"/>
    <w:rsid w:val="361221A9"/>
    <w:rsid w:val="362C3918"/>
    <w:rsid w:val="364B1250"/>
    <w:rsid w:val="367E6CA2"/>
    <w:rsid w:val="368112E6"/>
    <w:rsid w:val="36892355"/>
    <w:rsid w:val="36913CE5"/>
    <w:rsid w:val="36B14D07"/>
    <w:rsid w:val="36B50719"/>
    <w:rsid w:val="36C941C4"/>
    <w:rsid w:val="36D72F9F"/>
    <w:rsid w:val="36E7464B"/>
    <w:rsid w:val="37055B53"/>
    <w:rsid w:val="370D6A0B"/>
    <w:rsid w:val="3716753C"/>
    <w:rsid w:val="37623835"/>
    <w:rsid w:val="37905DDE"/>
    <w:rsid w:val="379147AF"/>
    <w:rsid w:val="37975EEE"/>
    <w:rsid w:val="37B3452D"/>
    <w:rsid w:val="37DB647A"/>
    <w:rsid w:val="37DC3558"/>
    <w:rsid w:val="37EB016A"/>
    <w:rsid w:val="38066D52"/>
    <w:rsid w:val="380D3FB3"/>
    <w:rsid w:val="383655F0"/>
    <w:rsid w:val="38406FA0"/>
    <w:rsid w:val="38454CBB"/>
    <w:rsid w:val="384A0CC9"/>
    <w:rsid w:val="38527190"/>
    <w:rsid w:val="38575800"/>
    <w:rsid w:val="387E2D8D"/>
    <w:rsid w:val="38820906"/>
    <w:rsid w:val="38A04AB1"/>
    <w:rsid w:val="38B75191"/>
    <w:rsid w:val="38C522B1"/>
    <w:rsid w:val="38CF0F38"/>
    <w:rsid w:val="38DB1144"/>
    <w:rsid w:val="38FA2AE8"/>
    <w:rsid w:val="391C382C"/>
    <w:rsid w:val="391F1AD6"/>
    <w:rsid w:val="39205BF2"/>
    <w:rsid w:val="392950DA"/>
    <w:rsid w:val="39316051"/>
    <w:rsid w:val="39413981"/>
    <w:rsid w:val="39433D7D"/>
    <w:rsid w:val="395B4E7C"/>
    <w:rsid w:val="395F68DB"/>
    <w:rsid w:val="3964595B"/>
    <w:rsid w:val="3965545D"/>
    <w:rsid w:val="397F4F63"/>
    <w:rsid w:val="398A3227"/>
    <w:rsid w:val="39AD27A5"/>
    <w:rsid w:val="39AE31AA"/>
    <w:rsid w:val="39B822CE"/>
    <w:rsid w:val="39C21A0A"/>
    <w:rsid w:val="39C56CF2"/>
    <w:rsid w:val="39EF043F"/>
    <w:rsid w:val="3A013C4A"/>
    <w:rsid w:val="3A14753F"/>
    <w:rsid w:val="3A2063A9"/>
    <w:rsid w:val="3A2F07E2"/>
    <w:rsid w:val="3A3660E1"/>
    <w:rsid w:val="3A506899"/>
    <w:rsid w:val="3A581C40"/>
    <w:rsid w:val="3A7D7538"/>
    <w:rsid w:val="3A816B64"/>
    <w:rsid w:val="3AA91952"/>
    <w:rsid w:val="3ABC2526"/>
    <w:rsid w:val="3AE41E37"/>
    <w:rsid w:val="3AF772EE"/>
    <w:rsid w:val="3AF966A0"/>
    <w:rsid w:val="3B157562"/>
    <w:rsid w:val="3B1E43B3"/>
    <w:rsid w:val="3B383304"/>
    <w:rsid w:val="3B3E35BF"/>
    <w:rsid w:val="3B413B9B"/>
    <w:rsid w:val="3B6402E9"/>
    <w:rsid w:val="3B82290E"/>
    <w:rsid w:val="3B954675"/>
    <w:rsid w:val="3BA1126C"/>
    <w:rsid w:val="3BF336F9"/>
    <w:rsid w:val="3BF37A01"/>
    <w:rsid w:val="3C126A55"/>
    <w:rsid w:val="3C261771"/>
    <w:rsid w:val="3C4B0F1D"/>
    <w:rsid w:val="3C836BC3"/>
    <w:rsid w:val="3C8C784A"/>
    <w:rsid w:val="3CA700D8"/>
    <w:rsid w:val="3CE86E81"/>
    <w:rsid w:val="3D1A3AF9"/>
    <w:rsid w:val="3D232155"/>
    <w:rsid w:val="3D2C65C4"/>
    <w:rsid w:val="3D317E96"/>
    <w:rsid w:val="3D3659E4"/>
    <w:rsid w:val="3D4C3459"/>
    <w:rsid w:val="3D5A7726"/>
    <w:rsid w:val="3D5B1C38"/>
    <w:rsid w:val="3D5D604E"/>
    <w:rsid w:val="3D6C5DBA"/>
    <w:rsid w:val="3DCB32B8"/>
    <w:rsid w:val="3DD575F5"/>
    <w:rsid w:val="3E270C30"/>
    <w:rsid w:val="3E304B29"/>
    <w:rsid w:val="3E3150C4"/>
    <w:rsid w:val="3E35213F"/>
    <w:rsid w:val="3E375AC1"/>
    <w:rsid w:val="3E6D57E8"/>
    <w:rsid w:val="3E7201E0"/>
    <w:rsid w:val="3E9C50F3"/>
    <w:rsid w:val="3EB62267"/>
    <w:rsid w:val="3EC62D97"/>
    <w:rsid w:val="3EDC6612"/>
    <w:rsid w:val="3EE849A4"/>
    <w:rsid w:val="3EEE0400"/>
    <w:rsid w:val="3F16473F"/>
    <w:rsid w:val="3F174BBC"/>
    <w:rsid w:val="3F2E349A"/>
    <w:rsid w:val="3F6846EC"/>
    <w:rsid w:val="3FA550A3"/>
    <w:rsid w:val="3FBA2007"/>
    <w:rsid w:val="3FD1586E"/>
    <w:rsid w:val="40112738"/>
    <w:rsid w:val="40240ADB"/>
    <w:rsid w:val="402A0777"/>
    <w:rsid w:val="402F0251"/>
    <w:rsid w:val="40436567"/>
    <w:rsid w:val="40594887"/>
    <w:rsid w:val="407556D1"/>
    <w:rsid w:val="408C4A92"/>
    <w:rsid w:val="40AE695B"/>
    <w:rsid w:val="40AF61D9"/>
    <w:rsid w:val="41016B68"/>
    <w:rsid w:val="41052399"/>
    <w:rsid w:val="4108722C"/>
    <w:rsid w:val="41162E6C"/>
    <w:rsid w:val="411F7F8E"/>
    <w:rsid w:val="41222C0F"/>
    <w:rsid w:val="415E7BFF"/>
    <w:rsid w:val="418B0316"/>
    <w:rsid w:val="41B75EC0"/>
    <w:rsid w:val="41D216D8"/>
    <w:rsid w:val="41E552A8"/>
    <w:rsid w:val="41F65E1B"/>
    <w:rsid w:val="420C1409"/>
    <w:rsid w:val="42332B8B"/>
    <w:rsid w:val="42440B97"/>
    <w:rsid w:val="42444752"/>
    <w:rsid w:val="4280659A"/>
    <w:rsid w:val="4295517F"/>
    <w:rsid w:val="42A17DA3"/>
    <w:rsid w:val="42DB23BC"/>
    <w:rsid w:val="42DF267A"/>
    <w:rsid w:val="43000A22"/>
    <w:rsid w:val="43052C44"/>
    <w:rsid w:val="4315253F"/>
    <w:rsid w:val="43367E14"/>
    <w:rsid w:val="433913A3"/>
    <w:rsid w:val="43592C8A"/>
    <w:rsid w:val="43855B75"/>
    <w:rsid w:val="43A12B25"/>
    <w:rsid w:val="43C52F58"/>
    <w:rsid w:val="43F44D65"/>
    <w:rsid w:val="4431246F"/>
    <w:rsid w:val="446A761A"/>
    <w:rsid w:val="4470274E"/>
    <w:rsid w:val="4475798E"/>
    <w:rsid w:val="44816B44"/>
    <w:rsid w:val="44AD24DB"/>
    <w:rsid w:val="44AE67A8"/>
    <w:rsid w:val="44EA206C"/>
    <w:rsid w:val="44F53188"/>
    <w:rsid w:val="45050ABD"/>
    <w:rsid w:val="453809C1"/>
    <w:rsid w:val="45573949"/>
    <w:rsid w:val="45693D2E"/>
    <w:rsid w:val="45897440"/>
    <w:rsid w:val="45997458"/>
    <w:rsid w:val="45C0799E"/>
    <w:rsid w:val="45D65E54"/>
    <w:rsid w:val="45F3021D"/>
    <w:rsid w:val="460C0E7F"/>
    <w:rsid w:val="4651027F"/>
    <w:rsid w:val="46991366"/>
    <w:rsid w:val="46A71F6C"/>
    <w:rsid w:val="46CC1F59"/>
    <w:rsid w:val="46EC722E"/>
    <w:rsid w:val="46EF38B3"/>
    <w:rsid w:val="46FB43C1"/>
    <w:rsid w:val="47196ACD"/>
    <w:rsid w:val="47631957"/>
    <w:rsid w:val="47655843"/>
    <w:rsid w:val="47923C35"/>
    <w:rsid w:val="479A1BA0"/>
    <w:rsid w:val="47A838A3"/>
    <w:rsid w:val="47C31B76"/>
    <w:rsid w:val="47CA52C7"/>
    <w:rsid w:val="47D47673"/>
    <w:rsid w:val="47D868BC"/>
    <w:rsid w:val="47DC027C"/>
    <w:rsid w:val="47EA5D49"/>
    <w:rsid w:val="481421FE"/>
    <w:rsid w:val="4823125B"/>
    <w:rsid w:val="48350DC1"/>
    <w:rsid w:val="484F3E1E"/>
    <w:rsid w:val="48501B3F"/>
    <w:rsid w:val="487E0D7E"/>
    <w:rsid w:val="487F599F"/>
    <w:rsid w:val="487F7F9C"/>
    <w:rsid w:val="488432D6"/>
    <w:rsid w:val="48D82928"/>
    <w:rsid w:val="48DE70DB"/>
    <w:rsid w:val="49263D3E"/>
    <w:rsid w:val="4981114E"/>
    <w:rsid w:val="498D72D3"/>
    <w:rsid w:val="49964EBD"/>
    <w:rsid w:val="49D47052"/>
    <w:rsid w:val="49DA1730"/>
    <w:rsid w:val="49F26FD9"/>
    <w:rsid w:val="49F34767"/>
    <w:rsid w:val="4A022010"/>
    <w:rsid w:val="4A0D21C2"/>
    <w:rsid w:val="4A0F3823"/>
    <w:rsid w:val="4A1054A1"/>
    <w:rsid w:val="4A153830"/>
    <w:rsid w:val="4A190B67"/>
    <w:rsid w:val="4A2E604D"/>
    <w:rsid w:val="4A4847FA"/>
    <w:rsid w:val="4A5D1FEF"/>
    <w:rsid w:val="4A657109"/>
    <w:rsid w:val="4A8221E7"/>
    <w:rsid w:val="4A8E6E5F"/>
    <w:rsid w:val="4A9B332A"/>
    <w:rsid w:val="4AA51929"/>
    <w:rsid w:val="4AAD435D"/>
    <w:rsid w:val="4AAE75A3"/>
    <w:rsid w:val="4AAF0A7D"/>
    <w:rsid w:val="4ABA1BC3"/>
    <w:rsid w:val="4ABB1C1E"/>
    <w:rsid w:val="4ADA0DA6"/>
    <w:rsid w:val="4AE63B19"/>
    <w:rsid w:val="4AE64923"/>
    <w:rsid w:val="4B1C6783"/>
    <w:rsid w:val="4B266FED"/>
    <w:rsid w:val="4B320132"/>
    <w:rsid w:val="4B4E7DF9"/>
    <w:rsid w:val="4BAC1536"/>
    <w:rsid w:val="4BDD62E4"/>
    <w:rsid w:val="4BDF2047"/>
    <w:rsid w:val="4BED4059"/>
    <w:rsid w:val="4C102570"/>
    <w:rsid w:val="4C151C04"/>
    <w:rsid w:val="4C2338B2"/>
    <w:rsid w:val="4C3268E4"/>
    <w:rsid w:val="4C6640F8"/>
    <w:rsid w:val="4CB41768"/>
    <w:rsid w:val="4CD3679A"/>
    <w:rsid w:val="4CE71F81"/>
    <w:rsid w:val="4CF04E3A"/>
    <w:rsid w:val="4D3A3BC0"/>
    <w:rsid w:val="4D4D7280"/>
    <w:rsid w:val="4D5C27F9"/>
    <w:rsid w:val="4D7A5AB3"/>
    <w:rsid w:val="4D86137C"/>
    <w:rsid w:val="4D9F54AF"/>
    <w:rsid w:val="4DAE68B0"/>
    <w:rsid w:val="4DC06635"/>
    <w:rsid w:val="4DC93FA3"/>
    <w:rsid w:val="4DCE1994"/>
    <w:rsid w:val="4DD454D1"/>
    <w:rsid w:val="4DD60B09"/>
    <w:rsid w:val="4DD70B1E"/>
    <w:rsid w:val="4DE35714"/>
    <w:rsid w:val="4E1753BE"/>
    <w:rsid w:val="4E1A6C5C"/>
    <w:rsid w:val="4E3B72FE"/>
    <w:rsid w:val="4E6A16E7"/>
    <w:rsid w:val="4E71191F"/>
    <w:rsid w:val="4E9B2C6E"/>
    <w:rsid w:val="4E9D3807"/>
    <w:rsid w:val="4EA07161"/>
    <w:rsid w:val="4ECB20FF"/>
    <w:rsid w:val="4EE518F2"/>
    <w:rsid w:val="4EED4970"/>
    <w:rsid w:val="4EF20E6C"/>
    <w:rsid w:val="4F1E63CD"/>
    <w:rsid w:val="4F214299"/>
    <w:rsid w:val="4F3007F7"/>
    <w:rsid w:val="4F560BB4"/>
    <w:rsid w:val="4F5A68A9"/>
    <w:rsid w:val="4F5E7E33"/>
    <w:rsid w:val="4F9C6C66"/>
    <w:rsid w:val="4FAB400F"/>
    <w:rsid w:val="4FB44881"/>
    <w:rsid w:val="4FD42959"/>
    <w:rsid w:val="4FE85264"/>
    <w:rsid w:val="4FEA5788"/>
    <w:rsid w:val="4FF5558B"/>
    <w:rsid w:val="501E1398"/>
    <w:rsid w:val="501F2099"/>
    <w:rsid w:val="502F5187"/>
    <w:rsid w:val="504C78B8"/>
    <w:rsid w:val="50593A6B"/>
    <w:rsid w:val="507D09FC"/>
    <w:rsid w:val="50940112"/>
    <w:rsid w:val="50C524F7"/>
    <w:rsid w:val="50DB0924"/>
    <w:rsid w:val="50EA68CF"/>
    <w:rsid w:val="51077FED"/>
    <w:rsid w:val="51280932"/>
    <w:rsid w:val="517010BB"/>
    <w:rsid w:val="517A05D1"/>
    <w:rsid w:val="51873267"/>
    <w:rsid w:val="51B02091"/>
    <w:rsid w:val="51C3718C"/>
    <w:rsid w:val="51F85506"/>
    <w:rsid w:val="5200022C"/>
    <w:rsid w:val="521560B8"/>
    <w:rsid w:val="52206824"/>
    <w:rsid w:val="52224331"/>
    <w:rsid w:val="522E2410"/>
    <w:rsid w:val="526E0CD3"/>
    <w:rsid w:val="526F21C3"/>
    <w:rsid w:val="52747CBB"/>
    <w:rsid w:val="52830462"/>
    <w:rsid w:val="52945EB6"/>
    <w:rsid w:val="52970A52"/>
    <w:rsid w:val="52AB5C1E"/>
    <w:rsid w:val="52C57EEA"/>
    <w:rsid w:val="52CB6777"/>
    <w:rsid w:val="52CE0DD3"/>
    <w:rsid w:val="53016A22"/>
    <w:rsid w:val="5308541C"/>
    <w:rsid w:val="535B7AFB"/>
    <w:rsid w:val="53807A36"/>
    <w:rsid w:val="538F3C48"/>
    <w:rsid w:val="539A65B3"/>
    <w:rsid w:val="53AE0572"/>
    <w:rsid w:val="53B62947"/>
    <w:rsid w:val="53CB2ED2"/>
    <w:rsid w:val="5411544B"/>
    <w:rsid w:val="5412470A"/>
    <w:rsid w:val="54263B36"/>
    <w:rsid w:val="543F7D97"/>
    <w:rsid w:val="54423376"/>
    <w:rsid w:val="5445475E"/>
    <w:rsid w:val="546A05FE"/>
    <w:rsid w:val="54754BEC"/>
    <w:rsid w:val="547E6196"/>
    <w:rsid w:val="548A5658"/>
    <w:rsid w:val="5499458D"/>
    <w:rsid w:val="54A53CDC"/>
    <w:rsid w:val="54A70954"/>
    <w:rsid w:val="54AF4AA2"/>
    <w:rsid w:val="54D10A01"/>
    <w:rsid w:val="54E16E72"/>
    <w:rsid w:val="54EC6BC8"/>
    <w:rsid w:val="54F63F7F"/>
    <w:rsid w:val="55087419"/>
    <w:rsid w:val="551663CF"/>
    <w:rsid w:val="552F7094"/>
    <w:rsid w:val="55423A9A"/>
    <w:rsid w:val="555F5120"/>
    <w:rsid w:val="556935BA"/>
    <w:rsid w:val="556D100F"/>
    <w:rsid w:val="55CA3D0E"/>
    <w:rsid w:val="55D122F6"/>
    <w:rsid w:val="56165022"/>
    <w:rsid w:val="563B3C13"/>
    <w:rsid w:val="56517FD1"/>
    <w:rsid w:val="568C72A1"/>
    <w:rsid w:val="568F468B"/>
    <w:rsid w:val="56BB705A"/>
    <w:rsid w:val="56DF4B61"/>
    <w:rsid w:val="56E51BE2"/>
    <w:rsid w:val="56EA529E"/>
    <w:rsid w:val="56FD4B5F"/>
    <w:rsid w:val="57447EB8"/>
    <w:rsid w:val="57533282"/>
    <w:rsid w:val="575D6863"/>
    <w:rsid w:val="577E64AD"/>
    <w:rsid w:val="577F2CDD"/>
    <w:rsid w:val="57956048"/>
    <w:rsid w:val="57956782"/>
    <w:rsid w:val="57B037D9"/>
    <w:rsid w:val="57B56460"/>
    <w:rsid w:val="57BC6C97"/>
    <w:rsid w:val="57BE36B7"/>
    <w:rsid w:val="57C054CB"/>
    <w:rsid w:val="57C8039F"/>
    <w:rsid w:val="582F1556"/>
    <w:rsid w:val="584C723F"/>
    <w:rsid w:val="58515910"/>
    <w:rsid w:val="58584120"/>
    <w:rsid w:val="585B4D73"/>
    <w:rsid w:val="58641763"/>
    <w:rsid w:val="586647F7"/>
    <w:rsid w:val="58664F09"/>
    <w:rsid w:val="58735E74"/>
    <w:rsid w:val="58892E17"/>
    <w:rsid w:val="588C4F7F"/>
    <w:rsid w:val="58A35306"/>
    <w:rsid w:val="58BF589F"/>
    <w:rsid w:val="58DB180B"/>
    <w:rsid w:val="58E92BF8"/>
    <w:rsid w:val="58FC310E"/>
    <w:rsid w:val="58FC3B2E"/>
    <w:rsid w:val="58FC79DE"/>
    <w:rsid w:val="59044881"/>
    <w:rsid w:val="59080725"/>
    <w:rsid w:val="591551A9"/>
    <w:rsid w:val="591E1CF4"/>
    <w:rsid w:val="592159A6"/>
    <w:rsid w:val="593C00D6"/>
    <w:rsid w:val="59665C2E"/>
    <w:rsid w:val="5976568E"/>
    <w:rsid w:val="598F6750"/>
    <w:rsid w:val="59C653D9"/>
    <w:rsid w:val="59DC0CC3"/>
    <w:rsid w:val="5A075CDA"/>
    <w:rsid w:val="5A1548B3"/>
    <w:rsid w:val="5A181E02"/>
    <w:rsid w:val="5A360C29"/>
    <w:rsid w:val="5A5752A8"/>
    <w:rsid w:val="5A5B33BB"/>
    <w:rsid w:val="5A647C61"/>
    <w:rsid w:val="5A7B3695"/>
    <w:rsid w:val="5A8854A9"/>
    <w:rsid w:val="5AE62611"/>
    <w:rsid w:val="5AF95C18"/>
    <w:rsid w:val="5B137B84"/>
    <w:rsid w:val="5B2B24A8"/>
    <w:rsid w:val="5BA94F78"/>
    <w:rsid w:val="5BBB0310"/>
    <w:rsid w:val="5BE522FA"/>
    <w:rsid w:val="5BEC3853"/>
    <w:rsid w:val="5BFF0CBA"/>
    <w:rsid w:val="5C043EF3"/>
    <w:rsid w:val="5C062149"/>
    <w:rsid w:val="5C3C7568"/>
    <w:rsid w:val="5C464523"/>
    <w:rsid w:val="5C50666A"/>
    <w:rsid w:val="5C531CB7"/>
    <w:rsid w:val="5C61531C"/>
    <w:rsid w:val="5C6305A3"/>
    <w:rsid w:val="5CA036E1"/>
    <w:rsid w:val="5CA906F2"/>
    <w:rsid w:val="5CAF3653"/>
    <w:rsid w:val="5CC2673B"/>
    <w:rsid w:val="5CD96260"/>
    <w:rsid w:val="5CF14A3B"/>
    <w:rsid w:val="5D026815"/>
    <w:rsid w:val="5D4B6245"/>
    <w:rsid w:val="5D683540"/>
    <w:rsid w:val="5D7F70DB"/>
    <w:rsid w:val="5DA02743"/>
    <w:rsid w:val="5DC104BC"/>
    <w:rsid w:val="5DCD0F95"/>
    <w:rsid w:val="5DD638E2"/>
    <w:rsid w:val="5E083F1F"/>
    <w:rsid w:val="5E246750"/>
    <w:rsid w:val="5E5913B9"/>
    <w:rsid w:val="5E5C79A5"/>
    <w:rsid w:val="5E5E4943"/>
    <w:rsid w:val="5E710B1A"/>
    <w:rsid w:val="5E796E16"/>
    <w:rsid w:val="5E865E21"/>
    <w:rsid w:val="5E9418B3"/>
    <w:rsid w:val="5EA67D41"/>
    <w:rsid w:val="5EA909E6"/>
    <w:rsid w:val="5EB50A07"/>
    <w:rsid w:val="5EC21376"/>
    <w:rsid w:val="5ED653BF"/>
    <w:rsid w:val="5EDF3AE5"/>
    <w:rsid w:val="5EE1759A"/>
    <w:rsid w:val="5EF7245F"/>
    <w:rsid w:val="5EFB04C3"/>
    <w:rsid w:val="5EFD0826"/>
    <w:rsid w:val="5F0F151B"/>
    <w:rsid w:val="5F1D0619"/>
    <w:rsid w:val="5F1F5B51"/>
    <w:rsid w:val="5F203F68"/>
    <w:rsid w:val="5F3D7E31"/>
    <w:rsid w:val="5F47044E"/>
    <w:rsid w:val="5F4C2237"/>
    <w:rsid w:val="5F4C543D"/>
    <w:rsid w:val="5F644337"/>
    <w:rsid w:val="5F654690"/>
    <w:rsid w:val="5F754DBD"/>
    <w:rsid w:val="5F97176C"/>
    <w:rsid w:val="5FAF541F"/>
    <w:rsid w:val="5FC4147E"/>
    <w:rsid w:val="5FC865C2"/>
    <w:rsid w:val="5FF46430"/>
    <w:rsid w:val="6015606F"/>
    <w:rsid w:val="601F0B00"/>
    <w:rsid w:val="603F0C8E"/>
    <w:rsid w:val="605B74DF"/>
    <w:rsid w:val="605D1356"/>
    <w:rsid w:val="606861B6"/>
    <w:rsid w:val="608770F4"/>
    <w:rsid w:val="60922F20"/>
    <w:rsid w:val="60996106"/>
    <w:rsid w:val="60B62814"/>
    <w:rsid w:val="60C81F99"/>
    <w:rsid w:val="60F849D4"/>
    <w:rsid w:val="6112090E"/>
    <w:rsid w:val="611700C2"/>
    <w:rsid w:val="611B079E"/>
    <w:rsid w:val="613C4296"/>
    <w:rsid w:val="61C64F13"/>
    <w:rsid w:val="61C72DD0"/>
    <w:rsid w:val="61D257D4"/>
    <w:rsid w:val="61F25ACE"/>
    <w:rsid w:val="61FA35E4"/>
    <w:rsid w:val="61FE790C"/>
    <w:rsid w:val="620F5454"/>
    <w:rsid w:val="62161EAE"/>
    <w:rsid w:val="62502AB3"/>
    <w:rsid w:val="62822C00"/>
    <w:rsid w:val="628801E0"/>
    <w:rsid w:val="629C158C"/>
    <w:rsid w:val="62B9113F"/>
    <w:rsid w:val="62CF3560"/>
    <w:rsid w:val="62DD4FD0"/>
    <w:rsid w:val="63283A59"/>
    <w:rsid w:val="63304B00"/>
    <w:rsid w:val="633741A7"/>
    <w:rsid w:val="634467FD"/>
    <w:rsid w:val="63A67E4C"/>
    <w:rsid w:val="63C13B90"/>
    <w:rsid w:val="63CD28EE"/>
    <w:rsid w:val="63EC2662"/>
    <w:rsid w:val="641D434E"/>
    <w:rsid w:val="6421739C"/>
    <w:rsid w:val="642541CA"/>
    <w:rsid w:val="64301A55"/>
    <w:rsid w:val="64333BB5"/>
    <w:rsid w:val="64411EFF"/>
    <w:rsid w:val="64414A7D"/>
    <w:rsid w:val="644F1C8C"/>
    <w:rsid w:val="645312C9"/>
    <w:rsid w:val="645B4190"/>
    <w:rsid w:val="647873B0"/>
    <w:rsid w:val="649C5009"/>
    <w:rsid w:val="64BB4816"/>
    <w:rsid w:val="64D81563"/>
    <w:rsid w:val="653C0D36"/>
    <w:rsid w:val="6548459E"/>
    <w:rsid w:val="6556522A"/>
    <w:rsid w:val="65BA64D5"/>
    <w:rsid w:val="65BE0617"/>
    <w:rsid w:val="66135703"/>
    <w:rsid w:val="66215F5D"/>
    <w:rsid w:val="663F18EE"/>
    <w:rsid w:val="66401F7E"/>
    <w:rsid w:val="664572DC"/>
    <w:rsid w:val="66594E7C"/>
    <w:rsid w:val="66634050"/>
    <w:rsid w:val="66671102"/>
    <w:rsid w:val="66A45371"/>
    <w:rsid w:val="66CE465B"/>
    <w:rsid w:val="66FF1D1F"/>
    <w:rsid w:val="67065B78"/>
    <w:rsid w:val="673A7D2E"/>
    <w:rsid w:val="67746F85"/>
    <w:rsid w:val="677B47B7"/>
    <w:rsid w:val="6784541A"/>
    <w:rsid w:val="678A67A9"/>
    <w:rsid w:val="67B30841"/>
    <w:rsid w:val="67B86A83"/>
    <w:rsid w:val="67BB380C"/>
    <w:rsid w:val="67C521FA"/>
    <w:rsid w:val="67E660D5"/>
    <w:rsid w:val="68442DFB"/>
    <w:rsid w:val="684B0112"/>
    <w:rsid w:val="68541CA5"/>
    <w:rsid w:val="68571AE7"/>
    <w:rsid w:val="68605065"/>
    <w:rsid w:val="687471BF"/>
    <w:rsid w:val="68B5181E"/>
    <w:rsid w:val="68DE6DAC"/>
    <w:rsid w:val="690F14C9"/>
    <w:rsid w:val="692F4357"/>
    <w:rsid w:val="693D1D24"/>
    <w:rsid w:val="695D26A8"/>
    <w:rsid w:val="695D2FE6"/>
    <w:rsid w:val="695D4E2E"/>
    <w:rsid w:val="697778D2"/>
    <w:rsid w:val="69A67729"/>
    <w:rsid w:val="69B0699A"/>
    <w:rsid w:val="69E0543F"/>
    <w:rsid w:val="6A09046B"/>
    <w:rsid w:val="6A0C7394"/>
    <w:rsid w:val="6A263051"/>
    <w:rsid w:val="6A3B28B7"/>
    <w:rsid w:val="6A464C09"/>
    <w:rsid w:val="6A485E46"/>
    <w:rsid w:val="6A4D243B"/>
    <w:rsid w:val="6A4D33B9"/>
    <w:rsid w:val="6A696B49"/>
    <w:rsid w:val="6A7F6C6E"/>
    <w:rsid w:val="6A896D77"/>
    <w:rsid w:val="6A8E0EAB"/>
    <w:rsid w:val="6AC91EBE"/>
    <w:rsid w:val="6AFC003E"/>
    <w:rsid w:val="6B09157D"/>
    <w:rsid w:val="6B0F5943"/>
    <w:rsid w:val="6B2A62D8"/>
    <w:rsid w:val="6B364C7D"/>
    <w:rsid w:val="6B59096C"/>
    <w:rsid w:val="6B5B46E4"/>
    <w:rsid w:val="6B795DC3"/>
    <w:rsid w:val="6B7F67E4"/>
    <w:rsid w:val="6BB43DF4"/>
    <w:rsid w:val="6BDD159D"/>
    <w:rsid w:val="6BEF1DAD"/>
    <w:rsid w:val="6C005149"/>
    <w:rsid w:val="6C105E57"/>
    <w:rsid w:val="6C19336A"/>
    <w:rsid w:val="6C1B6E53"/>
    <w:rsid w:val="6C365542"/>
    <w:rsid w:val="6C36603C"/>
    <w:rsid w:val="6C626D37"/>
    <w:rsid w:val="6C6C4AED"/>
    <w:rsid w:val="6C766A5A"/>
    <w:rsid w:val="6C7C7502"/>
    <w:rsid w:val="6C953C26"/>
    <w:rsid w:val="6C972257"/>
    <w:rsid w:val="6C9B0852"/>
    <w:rsid w:val="6CA14324"/>
    <w:rsid w:val="6CA80604"/>
    <w:rsid w:val="6CA80759"/>
    <w:rsid w:val="6D19237D"/>
    <w:rsid w:val="6D1D702F"/>
    <w:rsid w:val="6D226D26"/>
    <w:rsid w:val="6D276701"/>
    <w:rsid w:val="6D313A84"/>
    <w:rsid w:val="6D3B2FF6"/>
    <w:rsid w:val="6D450549"/>
    <w:rsid w:val="6D8C5655"/>
    <w:rsid w:val="6D8E1B76"/>
    <w:rsid w:val="6DD469CF"/>
    <w:rsid w:val="6DE24C37"/>
    <w:rsid w:val="6DF57803"/>
    <w:rsid w:val="6E113780"/>
    <w:rsid w:val="6E201C15"/>
    <w:rsid w:val="6E274256"/>
    <w:rsid w:val="6E405250"/>
    <w:rsid w:val="6E66084E"/>
    <w:rsid w:val="6E860962"/>
    <w:rsid w:val="6EAE6B68"/>
    <w:rsid w:val="6EBC16AC"/>
    <w:rsid w:val="6ED106D2"/>
    <w:rsid w:val="6F050962"/>
    <w:rsid w:val="6F09639B"/>
    <w:rsid w:val="6F196431"/>
    <w:rsid w:val="6F1F6E65"/>
    <w:rsid w:val="6F570DBD"/>
    <w:rsid w:val="6F9E7295"/>
    <w:rsid w:val="6FA85602"/>
    <w:rsid w:val="6FAF14A2"/>
    <w:rsid w:val="6FD44A65"/>
    <w:rsid w:val="6FE4739E"/>
    <w:rsid w:val="6FFB3228"/>
    <w:rsid w:val="700C165D"/>
    <w:rsid w:val="70131A31"/>
    <w:rsid w:val="703E5FDE"/>
    <w:rsid w:val="703E6CF5"/>
    <w:rsid w:val="70487AF9"/>
    <w:rsid w:val="704E2A69"/>
    <w:rsid w:val="70650A1A"/>
    <w:rsid w:val="70877D29"/>
    <w:rsid w:val="70C35EB3"/>
    <w:rsid w:val="70DB7F7E"/>
    <w:rsid w:val="70DE203F"/>
    <w:rsid w:val="70E21BF9"/>
    <w:rsid w:val="70E9294B"/>
    <w:rsid w:val="70FE5F25"/>
    <w:rsid w:val="710429FA"/>
    <w:rsid w:val="710D32A0"/>
    <w:rsid w:val="712E1E5A"/>
    <w:rsid w:val="71353C29"/>
    <w:rsid w:val="7148570A"/>
    <w:rsid w:val="7157594D"/>
    <w:rsid w:val="715E4EF3"/>
    <w:rsid w:val="716167CC"/>
    <w:rsid w:val="716D5171"/>
    <w:rsid w:val="71783B5E"/>
    <w:rsid w:val="71995F66"/>
    <w:rsid w:val="71C42ADE"/>
    <w:rsid w:val="71C60761"/>
    <w:rsid w:val="71CC4671"/>
    <w:rsid w:val="71E50374"/>
    <w:rsid w:val="71F118FE"/>
    <w:rsid w:val="722E1923"/>
    <w:rsid w:val="72480F9D"/>
    <w:rsid w:val="72731A96"/>
    <w:rsid w:val="72833742"/>
    <w:rsid w:val="72AC42C5"/>
    <w:rsid w:val="72C61C9A"/>
    <w:rsid w:val="730F4E75"/>
    <w:rsid w:val="733F017D"/>
    <w:rsid w:val="73460941"/>
    <w:rsid w:val="735D2FC3"/>
    <w:rsid w:val="73784A7A"/>
    <w:rsid w:val="73813156"/>
    <w:rsid w:val="73A5137E"/>
    <w:rsid w:val="73A52066"/>
    <w:rsid w:val="73B77723"/>
    <w:rsid w:val="73DF3F7C"/>
    <w:rsid w:val="74184804"/>
    <w:rsid w:val="744D3038"/>
    <w:rsid w:val="744E11F2"/>
    <w:rsid w:val="745C192B"/>
    <w:rsid w:val="74777EE8"/>
    <w:rsid w:val="749F65FA"/>
    <w:rsid w:val="74A05D67"/>
    <w:rsid w:val="74BC0B3B"/>
    <w:rsid w:val="74C15C2B"/>
    <w:rsid w:val="74E456F9"/>
    <w:rsid w:val="74F57957"/>
    <w:rsid w:val="752718BC"/>
    <w:rsid w:val="7530013C"/>
    <w:rsid w:val="754E350B"/>
    <w:rsid w:val="757A3B9B"/>
    <w:rsid w:val="75920D9E"/>
    <w:rsid w:val="75992FD9"/>
    <w:rsid w:val="75A84C9D"/>
    <w:rsid w:val="75AC2CC8"/>
    <w:rsid w:val="75CB674E"/>
    <w:rsid w:val="75D155BD"/>
    <w:rsid w:val="75E76B37"/>
    <w:rsid w:val="76044647"/>
    <w:rsid w:val="76174B94"/>
    <w:rsid w:val="76212A0B"/>
    <w:rsid w:val="76341D7D"/>
    <w:rsid w:val="763A7432"/>
    <w:rsid w:val="76426276"/>
    <w:rsid w:val="767304AD"/>
    <w:rsid w:val="76791CCF"/>
    <w:rsid w:val="768A0294"/>
    <w:rsid w:val="76B70727"/>
    <w:rsid w:val="76D101FA"/>
    <w:rsid w:val="76D56E66"/>
    <w:rsid w:val="76E51B3D"/>
    <w:rsid w:val="771C4F16"/>
    <w:rsid w:val="772E6280"/>
    <w:rsid w:val="774E3D05"/>
    <w:rsid w:val="77650BE1"/>
    <w:rsid w:val="776802BA"/>
    <w:rsid w:val="77A03423"/>
    <w:rsid w:val="77C37209"/>
    <w:rsid w:val="77DB2D74"/>
    <w:rsid w:val="77F23A58"/>
    <w:rsid w:val="77F959B0"/>
    <w:rsid w:val="77FD31EB"/>
    <w:rsid w:val="781E6993"/>
    <w:rsid w:val="782521DE"/>
    <w:rsid w:val="78296732"/>
    <w:rsid w:val="78400D2A"/>
    <w:rsid w:val="784B74B9"/>
    <w:rsid w:val="78543A79"/>
    <w:rsid w:val="788563B9"/>
    <w:rsid w:val="788923CC"/>
    <w:rsid w:val="789E1DBB"/>
    <w:rsid w:val="78B07A2A"/>
    <w:rsid w:val="78C37D6C"/>
    <w:rsid w:val="78EA52F9"/>
    <w:rsid w:val="79053EE1"/>
    <w:rsid w:val="790C34C1"/>
    <w:rsid w:val="790C7ABB"/>
    <w:rsid w:val="790E49B4"/>
    <w:rsid w:val="79114CC7"/>
    <w:rsid w:val="791725BB"/>
    <w:rsid w:val="792739C2"/>
    <w:rsid w:val="7930196F"/>
    <w:rsid w:val="793842B6"/>
    <w:rsid w:val="796F7C4B"/>
    <w:rsid w:val="797639EB"/>
    <w:rsid w:val="797B4877"/>
    <w:rsid w:val="799F60E4"/>
    <w:rsid w:val="79A01735"/>
    <w:rsid w:val="79A507FC"/>
    <w:rsid w:val="79B16059"/>
    <w:rsid w:val="79C11F1C"/>
    <w:rsid w:val="79D1107F"/>
    <w:rsid w:val="79D1504B"/>
    <w:rsid w:val="79D96644"/>
    <w:rsid w:val="79E34675"/>
    <w:rsid w:val="7A020420"/>
    <w:rsid w:val="7A80638A"/>
    <w:rsid w:val="7A9D0993"/>
    <w:rsid w:val="7AA962C3"/>
    <w:rsid w:val="7AAF23D1"/>
    <w:rsid w:val="7ACF4134"/>
    <w:rsid w:val="7AD1676C"/>
    <w:rsid w:val="7AD7609E"/>
    <w:rsid w:val="7AE70243"/>
    <w:rsid w:val="7B015DE4"/>
    <w:rsid w:val="7B02145B"/>
    <w:rsid w:val="7B157F4F"/>
    <w:rsid w:val="7B3B7AA1"/>
    <w:rsid w:val="7B463B65"/>
    <w:rsid w:val="7B5A78F1"/>
    <w:rsid w:val="7B602F50"/>
    <w:rsid w:val="7B70418D"/>
    <w:rsid w:val="7B73485E"/>
    <w:rsid w:val="7B761B3A"/>
    <w:rsid w:val="7B9A6520"/>
    <w:rsid w:val="7BA3799C"/>
    <w:rsid w:val="7BB83709"/>
    <w:rsid w:val="7BC21AAE"/>
    <w:rsid w:val="7BCF1967"/>
    <w:rsid w:val="7BEA273E"/>
    <w:rsid w:val="7C4154FC"/>
    <w:rsid w:val="7C49047D"/>
    <w:rsid w:val="7C72264E"/>
    <w:rsid w:val="7C8166D6"/>
    <w:rsid w:val="7C8F5EED"/>
    <w:rsid w:val="7C905B5F"/>
    <w:rsid w:val="7CAD745E"/>
    <w:rsid w:val="7CC32428"/>
    <w:rsid w:val="7CD3540E"/>
    <w:rsid w:val="7CD561B0"/>
    <w:rsid w:val="7CD7388A"/>
    <w:rsid w:val="7CEC1640"/>
    <w:rsid w:val="7CEC328F"/>
    <w:rsid w:val="7D24584E"/>
    <w:rsid w:val="7D284642"/>
    <w:rsid w:val="7D696557"/>
    <w:rsid w:val="7D871368"/>
    <w:rsid w:val="7D886181"/>
    <w:rsid w:val="7D9550D2"/>
    <w:rsid w:val="7D992BC9"/>
    <w:rsid w:val="7DB96E13"/>
    <w:rsid w:val="7DCE15CD"/>
    <w:rsid w:val="7DD15C5F"/>
    <w:rsid w:val="7DD810A0"/>
    <w:rsid w:val="7DED1EE6"/>
    <w:rsid w:val="7DFD28CF"/>
    <w:rsid w:val="7E2C5F0E"/>
    <w:rsid w:val="7E327BF6"/>
    <w:rsid w:val="7E3C65F7"/>
    <w:rsid w:val="7E4C0D1D"/>
    <w:rsid w:val="7E6D4A02"/>
    <w:rsid w:val="7EA05DA4"/>
    <w:rsid w:val="7EB16548"/>
    <w:rsid w:val="7EB16AF4"/>
    <w:rsid w:val="7ECA6CA8"/>
    <w:rsid w:val="7F16521A"/>
    <w:rsid w:val="7F256EBE"/>
    <w:rsid w:val="7F2A2F61"/>
    <w:rsid w:val="7F3F6025"/>
    <w:rsid w:val="7F630CC2"/>
    <w:rsid w:val="7F822458"/>
    <w:rsid w:val="7F8F18BA"/>
    <w:rsid w:val="7F9C6261"/>
    <w:rsid w:val="7FC86C9E"/>
    <w:rsid w:val="7FD812B9"/>
    <w:rsid w:val="7FE951B8"/>
    <w:rsid w:val="7FEC5DFB"/>
    <w:rsid w:val="7FF71B8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iPriority="0" w:semiHidden="0"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0"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0" w:semiHidden="0" w:name="HTML Preformatted"/>
    <w:lsdException w:qFormat="1" w:uiPriority="0" w:semiHidden="0" w:name="HTML Sample"/>
    <w:lsdException w:uiPriority="99" w:name="HTML Typewriter"/>
    <w:lsdException w:qFormat="1"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adjustRightInd w:val="0"/>
    </w:pPr>
    <w:rPr>
      <w:rFonts w:ascii="等线 Light" w:hAnsi="Times New Roman" w:eastAsia="宋体" w:cs="Times New Roman"/>
      <w:sz w:val="24"/>
      <w:szCs w:val="24"/>
      <w:lang w:val="en-US" w:eastAsia="zh-CN" w:bidi="ar-SA"/>
    </w:rPr>
  </w:style>
  <w:style w:type="paragraph" w:styleId="4">
    <w:name w:val="heading 1"/>
    <w:basedOn w:val="1"/>
    <w:next w:val="1"/>
    <w:link w:val="74"/>
    <w:autoRedefine/>
    <w:qFormat/>
    <w:uiPriority w:val="0"/>
    <w:pPr>
      <w:outlineLvl w:val="0"/>
    </w:pPr>
    <w:rPr>
      <w:rFonts w:hAnsi="幼圆" w:eastAsia="等线 Light"/>
    </w:rPr>
  </w:style>
  <w:style w:type="paragraph" w:styleId="5">
    <w:name w:val="heading 2"/>
    <w:basedOn w:val="1"/>
    <w:next w:val="1"/>
    <w:link w:val="75"/>
    <w:autoRedefine/>
    <w:qFormat/>
    <w:uiPriority w:val="0"/>
    <w:pPr>
      <w:outlineLvl w:val="1"/>
    </w:pPr>
    <w:rPr>
      <w:rFonts w:hAnsi="幼圆" w:eastAsia="等线 Light"/>
    </w:rPr>
  </w:style>
  <w:style w:type="paragraph" w:styleId="6">
    <w:name w:val="heading 3"/>
    <w:basedOn w:val="1"/>
    <w:next w:val="1"/>
    <w:link w:val="76"/>
    <w:autoRedefine/>
    <w:qFormat/>
    <w:uiPriority w:val="0"/>
    <w:pPr>
      <w:outlineLvl w:val="2"/>
    </w:pPr>
    <w:rPr>
      <w:rFonts w:hAnsi="幼圆" w:eastAsia="等线 Light"/>
    </w:rPr>
  </w:style>
  <w:style w:type="paragraph" w:styleId="7">
    <w:name w:val="heading 4"/>
    <w:basedOn w:val="1"/>
    <w:next w:val="1"/>
    <w:link w:val="77"/>
    <w:autoRedefine/>
    <w:qFormat/>
    <w:uiPriority w:val="0"/>
    <w:pPr>
      <w:keepNext/>
      <w:keepLines/>
      <w:spacing w:before="280" w:after="290" w:line="376" w:lineRule="auto"/>
      <w:outlineLvl w:val="3"/>
    </w:pPr>
    <w:rPr>
      <w:rFonts w:ascii="楷体_GB2312" w:hAnsi="楷体_GB2312" w:eastAsia="PMingLiU"/>
      <w:b/>
      <w:bCs/>
      <w:sz w:val="28"/>
      <w:szCs w:val="28"/>
    </w:rPr>
  </w:style>
  <w:style w:type="paragraph" w:styleId="8">
    <w:name w:val="heading 5"/>
    <w:basedOn w:val="1"/>
    <w:next w:val="1"/>
    <w:link w:val="78"/>
    <w:autoRedefine/>
    <w:qFormat/>
    <w:uiPriority w:val="9"/>
    <w:pPr>
      <w:keepNext/>
      <w:keepLines/>
      <w:spacing w:before="280" w:after="290" w:line="376" w:lineRule="auto"/>
      <w:outlineLvl w:val="4"/>
    </w:pPr>
    <w:rPr>
      <w:b/>
      <w:bCs/>
      <w:sz w:val="28"/>
      <w:szCs w:val="28"/>
    </w:rPr>
  </w:style>
  <w:style w:type="paragraph" w:styleId="9">
    <w:name w:val="heading 6"/>
    <w:basedOn w:val="1"/>
    <w:next w:val="10"/>
    <w:link w:val="79"/>
    <w:autoRedefine/>
    <w:qFormat/>
    <w:uiPriority w:val="9"/>
    <w:pPr>
      <w:keepLines/>
      <w:tabs>
        <w:tab w:val="left" w:pos="1152"/>
      </w:tabs>
      <w:autoSpaceDE/>
      <w:autoSpaceDN/>
      <w:snapToGrid w:val="0"/>
      <w:spacing w:beforeLines="50" w:line="360" w:lineRule="auto"/>
      <w:ind w:left="1152" w:hanging="1152"/>
      <w:textAlignment w:val="baseline"/>
      <w:outlineLvl w:val="5"/>
    </w:pPr>
    <w:rPr>
      <w:rFonts w:ascii="Times New Roman" w:eastAsia="PMingLiU"/>
      <w:b/>
      <w:bCs/>
      <w:sz w:val="28"/>
    </w:rPr>
  </w:style>
  <w:style w:type="paragraph" w:styleId="11">
    <w:name w:val="heading 7"/>
    <w:basedOn w:val="1"/>
    <w:next w:val="10"/>
    <w:link w:val="81"/>
    <w:autoRedefine/>
    <w:qFormat/>
    <w:uiPriority w:val="0"/>
    <w:pPr>
      <w:keepNext/>
      <w:keepLines/>
      <w:tabs>
        <w:tab w:val="left" w:pos="1296"/>
      </w:tabs>
      <w:autoSpaceDE/>
      <w:autoSpaceDN/>
      <w:snapToGrid w:val="0"/>
      <w:spacing w:before="240" w:after="120"/>
      <w:ind w:left="1296" w:hanging="1296"/>
      <w:jc w:val="both"/>
      <w:textAlignment w:val="baseline"/>
      <w:outlineLvl w:val="6"/>
    </w:pPr>
    <w:rPr>
      <w:rFonts w:ascii="Times New Roman" w:eastAsia="PMingLiU"/>
      <w:b/>
      <w:bCs/>
      <w:sz w:val="28"/>
    </w:rPr>
  </w:style>
  <w:style w:type="paragraph" w:styleId="12">
    <w:name w:val="heading 8"/>
    <w:basedOn w:val="1"/>
    <w:next w:val="10"/>
    <w:link w:val="82"/>
    <w:autoRedefine/>
    <w:qFormat/>
    <w:uiPriority w:val="0"/>
    <w:pPr>
      <w:keepNext/>
      <w:keepLines/>
      <w:tabs>
        <w:tab w:val="left" w:pos="1440"/>
      </w:tabs>
      <w:autoSpaceDE/>
      <w:autoSpaceDN/>
      <w:adjustRightInd/>
      <w:snapToGrid w:val="0"/>
      <w:spacing w:before="240" w:after="120"/>
      <w:ind w:left="1440" w:hanging="1440"/>
      <w:jc w:val="both"/>
      <w:outlineLvl w:val="7"/>
    </w:pPr>
    <w:rPr>
      <w:rFonts w:ascii="Times New Roman" w:eastAsia="PMingLiU"/>
      <w:b/>
      <w:sz w:val="28"/>
    </w:rPr>
  </w:style>
  <w:style w:type="paragraph" w:styleId="13">
    <w:name w:val="heading 9"/>
    <w:basedOn w:val="1"/>
    <w:next w:val="10"/>
    <w:link w:val="83"/>
    <w:autoRedefine/>
    <w:qFormat/>
    <w:uiPriority w:val="0"/>
    <w:pPr>
      <w:keepNext/>
      <w:keepLines/>
      <w:tabs>
        <w:tab w:val="left" w:pos="1584"/>
      </w:tabs>
      <w:autoSpaceDE/>
      <w:autoSpaceDN/>
      <w:adjustRightInd/>
      <w:snapToGrid w:val="0"/>
      <w:spacing w:before="240" w:after="120"/>
      <w:ind w:left="1584" w:hanging="1584"/>
      <w:jc w:val="both"/>
      <w:outlineLvl w:val="8"/>
    </w:pPr>
    <w:rPr>
      <w:rFonts w:ascii="Times New Roman" w:eastAsia="PMingLiU"/>
      <w:b/>
      <w:sz w:val="28"/>
    </w:rPr>
  </w:style>
  <w:style w:type="character" w:default="1" w:styleId="57">
    <w:name w:val="Default Paragraph Font"/>
    <w:autoRedefine/>
    <w:unhideWhenUsed/>
    <w:qFormat/>
    <w:uiPriority w:val="1"/>
  </w:style>
  <w:style w:type="table" w:default="1" w:styleId="55">
    <w:name w:val="Normal Table"/>
    <w:autoRedefine/>
    <w:unhideWhenUsed/>
    <w:qFormat/>
    <w:uiPriority w:val="99"/>
    <w:pPr>
      <w:keepNext w:val="0"/>
      <w:keepLines w:val="0"/>
      <w:widowControl/>
      <w:suppressLineNumbers w:val="0"/>
      <w:spacing w:before="0" w:beforeAutospacing="0" w:after="0" w:afterAutospacing="0"/>
      <w:ind w:left="0" w:right="0"/>
    </w:pPr>
    <w:rPr>
      <w:rFonts w:hint="default" w:ascii="幼圆" w:hAnsi="幼圆" w:cs="幼圆"/>
      <w:sz w:val="20"/>
      <w:szCs w:val="20"/>
    </w:rPr>
    <w:tblPr>
      <w:tblCellMar>
        <w:top w:w="0" w:type="dxa"/>
        <w:left w:w="108" w:type="dxa"/>
        <w:bottom w:w="0" w:type="dxa"/>
        <w:right w:w="108" w:type="dxa"/>
      </w:tblCellMar>
    </w:tblPr>
  </w:style>
  <w:style w:type="paragraph" w:styleId="2">
    <w:name w:val="Body Text"/>
    <w:basedOn w:val="1"/>
    <w:next w:val="3"/>
    <w:link w:val="89"/>
    <w:autoRedefine/>
    <w:qFormat/>
    <w:uiPriority w:val="1"/>
    <w:pPr>
      <w:ind w:right="-26"/>
      <w:jc w:val="center"/>
    </w:pPr>
    <w:rPr>
      <w:rFonts w:eastAsia="等线 Light"/>
      <w:b/>
      <w:bCs/>
      <w:sz w:val="84"/>
      <w:szCs w:val="84"/>
      <w:lang w:val="zh-CN"/>
    </w:rPr>
  </w:style>
  <w:style w:type="paragraph" w:styleId="3">
    <w:name w:val="Body Text First Indent"/>
    <w:basedOn w:val="2"/>
    <w:link w:val="106"/>
    <w:autoRedefine/>
    <w:unhideWhenUsed/>
    <w:qFormat/>
    <w:uiPriority w:val="99"/>
    <w:pPr>
      <w:ind w:firstLine="420" w:firstLineChars="100"/>
    </w:pPr>
    <w:rPr>
      <w:rFonts w:eastAsia="宋体"/>
    </w:rPr>
  </w:style>
  <w:style w:type="paragraph" w:customStyle="1" w:styleId="10">
    <w:name w:val="模板正文"/>
    <w:basedOn w:val="1"/>
    <w:link w:val="80"/>
    <w:autoRedefine/>
    <w:qFormat/>
    <w:uiPriority w:val="0"/>
    <w:pPr>
      <w:wordWrap w:val="0"/>
      <w:spacing w:beforeLines="50" w:line="360" w:lineRule="auto"/>
      <w:ind w:firstLine="200" w:firstLineChars="200"/>
    </w:pPr>
    <w:rPr>
      <w:rFonts w:eastAsia="font-weight : 400"/>
      <w:szCs w:val="21"/>
    </w:rPr>
  </w:style>
  <w:style w:type="paragraph" w:styleId="14">
    <w:name w:val="toc 7"/>
    <w:basedOn w:val="1"/>
    <w:next w:val="1"/>
    <w:autoRedefine/>
    <w:unhideWhenUsed/>
    <w:qFormat/>
    <w:uiPriority w:val="39"/>
    <w:pPr>
      <w:ind w:left="1440"/>
    </w:pPr>
    <w:rPr>
      <w:rFonts w:ascii="Arial Unicode MS" w:hAnsi="Arial Unicode MS" w:cs="Arial Unicode MS"/>
      <w:sz w:val="18"/>
      <w:szCs w:val="18"/>
    </w:rPr>
  </w:style>
  <w:style w:type="paragraph" w:styleId="15">
    <w:name w:val="List Bullet 4"/>
    <w:basedOn w:val="1"/>
    <w:autoRedefine/>
    <w:qFormat/>
    <w:uiPriority w:val="0"/>
    <w:pPr>
      <w:tabs>
        <w:tab w:val="left" w:pos="720"/>
      </w:tabs>
      <w:autoSpaceDE/>
      <w:autoSpaceDN/>
      <w:adjustRightInd/>
      <w:ind w:left="425" w:hanging="425"/>
      <w:jc w:val="both"/>
    </w:pPr>
    <w:rPr>
      <w:rFonts w:ascii="Arial Unicode MS" w:hAnsi="Arial Unicode MS"/>
      <w:kern w:val="2"/>
      <w:sz w:val="21"/>
      <w:szCs w:val="21"/>
    </w:rPr>
  </w:style>
  <w:style w:type="paragraph" w:styleId="16">
    <w:name w:val="Normal Indent"/>
    <w:basedOn w:val="1"/>
    <w:link w:val="84"/>
    <w:autoRedefine/>
    <w:qFormat/>
    <w:uiPriority w:val="0"/>
    <w:pPr>
      <w:widowControl/>
      <w:autoSpaceDE/>
      <w:autoSpaceDN/>
      <w:adjustRightInd/>
      <w:ind w:firstLine="420" w:firstLineChars="200"/>
    </w:pPr>
    <w:rPr>
      <w:rFonts w:ascii="幼圆"/>
      <w:sz w:val="20"/>
      <w:szCs w:val="20"/>
    </w:rPr>
  </w:style>
  <w:style w:type="paragraph" w:styleId="17">
    <w:name w:val="caption"/>
    <w:basedOn w:val="1"/>
    <w:next w:val="1"/>
    <w:link w:val="85"/>
    <w:autoRedefine/>
    <w:qFormat/>
    <w:uiPriority w:val="0"/>
    <w:pPr>
      <w:spacing w:before="152" w:after="160"/>
    </w:pPr>
    <w:rPr>
      <w:rFonts w:ascii="楷体_GB2312" w:hAnsi="楷体_GB2312" w:eastAsia="PMingLiU"/>
      <w:sz w:val="20"/>
      <w:szCs w:val="20"/>
    </w:rPr>
  </w:style>
  <w:style w:type="paragraph" w:styleId="18">
    <w:name w:val="List Bullet"/>
    <w:basedOn w:val="1"/>
    <w:autoRedefine/>
    <w:qFormat/>
    <w:uiPriority w:val="0"/>
    <w:pPr>
      <w:numPr>
        <w:ilvl w:val="0"/>
        <w:numId w:val="1"/>
      </w:numPr>
      <w:tabs>
        <w:tab w:val="left" w:pos="360"/>
      </w:tabs>
      <w:autoSpaceDE/>
      <w:autoSpaceDN/>
      <w:adjustRightInd/>
      <w:jc w:val="both"/>
    </w:pPr>
    <w:rPr>
      <w:rFonts w:ascii="Arial Unicode MS" w:hAnsi="Arial Unicode MS"/>
      <w:kern w:val="2"/>
      <w:sz w:val="21"/>
      <w:szCs w:val="21"/>
    </w:rPr>
  </w:style>
  <w:style w:type="paragraph" w:styleId="19">
    <w:name w:val="Document Map"/>
    <w:basedOn w:val="1"/>
    <w:link w:val="86"/>
    <w:autoRedefine/>
    <w:qFormat/>
    <w:uiPriority w:val="0"/>
    <w:pPr>
      <w:shd w:val="clear" w:color="auto" w:fill="000080"/>
    </w:pPr>
    <w:rPr>
      <w:rFonts w:hAnsi="幼圆" w:eastAsia="等线 Light"/>
    </w:rPr>
  </w:style>
  <w:style w:type="paragraph" w:styleId="20">
    <w:name w:val="toa heading"/>
    <w:basedOn w:val="1"/>
    <w:next w:val="1"/>
    <w:autoRedefine/>
    <w:qFormat/>
    <w:uiPriority w:val="0"/>
    <w:pPr>
      <w:snapToGrid w:val="0"/>
      <w:spacing w:before="120" w:line="360" w:lineRule="auto"/>
      <w:jc w:val="both"/>
    </w:pPr>
    <w:rPr>
      <w:rFonts w:ascii="楷体_GB2312" w:hAnsi="楷体_GB2312"/>
      <w:snapToGrid w:val="0"/>
      <w:color w:val="000000"/>
      <w:sz w:val="21"/>
      <w:szCs w:val="20"/>
    </w:rPr>
  </w:style>
  <w:style w:type="paragraph" w:styleId="21">
    <w:name w:val="annotation text"/>
    <w:basedOn w:val="1"/>
    <w:link w:val="87"/>
    <w:autoRedefine/>
    <w:unhideWhenUsed/>
    <w:qFormat/>
    <w:uiPriority w:val="0"/>
    <w:rPr>
      <w:rFonts w:hAnsi="幼圆" w:eastAsia="等线 Light"/>
    </w:rPr>
  </w:style>
  <w:style w:type="paragraph" w:styleId="22">
    <w:name w:val="Body Text 3"/>
    <w:basedOn w:val="1"/>
    <w:link w:val="88"/>
    <w:autoRedefine/>
    <w:qFormat/>
    <w:uiPriority w:val="0"/>
    <w:pPr>
      <w:ind w:right="-26"/>
      <w:jc w:val="center"/>
    </w:pPr>
    <w:rPr>
      <w:rFonts w:hAnsi="幼圆" w:eastAsia="等线 Light"/>
      <w:b/>
      <w:bCs/>
      <w:color w:val="3366FF"/>
      <w:sz w:val="52"/>
      <w:szCs w:val="52"/>
      <w:lang w:val="zh-CN"/>
    </w:rPr>
  </w:style>
  <w:style w:type="paragraph" w:styleId="23">
    <w:name w:val="List Bullet 3"/>
    <w:basedOn w:val="1"/>
    <w:autoRedefine/>
    <w:qFormat/>
    <w:uiPriority w:val="0"/>
    <w:pPr>
      <w:tabs>
        <w:tab w:val="left" w:pos="426"/>
      </w:tabs>
      <w:autoSpaceDE/>
      <w:autoSpaceDN/>
      <w:adjustRightInd/>
      <w:ind w:left="426" w:hanging="425"/>
      <w:jc w:val="both"/>
    </w:pPr>
    <w:rPr>
      <w:rFonts w:ascii="Arial Unicode MS" w:hAnsi="Arial Unicode MS"/>
      <w:kern w:val="2"/>
      <w:sz w:val="21"/>
      <w:szCs w:val="21"/>
    </w:rPr>
  </w:style>
  <w:style w:type="paragraph" w:styleId="24">
    <w:name w:val="Body Text Indent"/>
    <w:basedOn w:val="1"/>
    <w:next w:val="2"/>
    <w:link w:val="90"/>
    <w:autoRedefine/>
    <w:qFormat/>
    <w:uiPriority w:val="0"/>
    <w:pPr>
      <w:autoSpaceDE/>
      <w:autoSpaceDN/>
      <w:adjustRightInd/>
      <w:ind w:left="567" w:leftChars="270"/>
      <w:jc w:val="both"/>
    </w:pPr>
    <w:rPr>
      <w:rFonts w:ascii="幼圆" w:hAnsi="幼圆" w:eastAsia="等线 Light"/>
      <w:sz w:val="20"/>
      <w:szCs w:val="20"/>
    </w:rPr>
  </w:style>
  <w:style w:type="paragraph" w:styleId="25">
    <w:name w:val="List 2"/>
    <w:basedOn w:val="26"/>
    <w:autoRedefine/>
    <w:qFormat/>
    <w:uiPriority w:val="0"/>
    <w:pPr>
      <w:autoSpaceDE/>
      <w:autoSpaceDN/>
      <w:adjustRightInd/>
      <w:snapToGrid w:val="0"/>
      <w:spacing w:before="120" w:after="220" w:line="220" w:lineRule="atLeast"/>
      <w:ind w:left="1800" w:hanging="360" w:firstLineChars="0"/>
      <w:jc w:val="both"/>
    </w:pPr>
    <w:rPr>
      <w:rFonts w:ascii="monospace" w:hAnsi="Arial Unicode MS" w:eastAsia="monospace"/>
      <w:sz w:val="22"/>
      <w:szCs w:val="20"/>
    </w:rPr>
  </w:style>
  <w:style w:type="paragraph" w:styleId="26">
    <w:name w:val="List"/>
    <w:basedOn w:val="1"/>
    <w:autoRedefine/>
    <w:unhideWhenUsed/>
    <w:qFormat/>
    <w:uiPriority w:val="0"/>
    <w:pPr>
      <w:ind w:left="200" w:hanging="200" w:hangingChars="200"/>
      <w:contextualSpacing/>
    </w:pPr>
  </w:style>
  <w:style w:type="paragraph" w:styleId="27">
    <w:name w:val="Block Text"/>
    <w:basedOn w:val="1"/>
    <w:autoRedefine/>
    <w:qFormat/>
    <w:uiPriority w:val="0"/>
    <w:pPr>
      <w:autoSpaceDE/>
      <w:autoSpaceDN/>
      <w:adjustRightInd/>
      <w:spacing w:after="120"/>
      <w:ind w:left="1440" w:leftChars="700" w:right="1440" w:rightChars="700"/>
      <w:jc w:val="both"/>
    </w:pPr>
    <w:rPr>
      <w:rFonts w:ascii="Arial Unicode MS" w:hAnsi="Arial Unicode MS"/>
      <w:kern w:val="2"/>
      <w:sz w:val="21"/>
    </w:rPr>
  </w:style>
  <w:style w:type="paragraph" w:styleId="28">
    <w:name w:val="List Bullet 2"/>
    <w:basedOn w:val="1"/>
    <w:autoRedefine/>
    <w:qFormat/>
    <w:uiPriority w:val="0"/>
    <w:pPr>
      <w:numPr>
        <w:ilvl w:val="0"/>
        <w:numId w:val="2"/>
      </w:numPr>
      <w:tabs>
        <w:tab w:val="left" w:pos="780"/>
      </w:tabs>
      <w:autoSpaceDE/>
      <w:autoSpaceDN/>
      <w:adjustRightInd/>
      <w:ind w:left="780" w:leftChars="200"/>
      <w:jc w:val="both"/>
    </w:pPr>
    <w:rPr>
      <w:rFonts w:ascii="Arial Unicode MS" w:hAnsi="Arial Unicode MS"/>
      <w:kern w:val="2"/>
      <w:sz w:val="21"/>
      <w:szCs w:val="21"/>
    </w:rPr>
  </w:style>
  <w:style w:type="paragraph" w:styleId="29">
    <w:name w:val="index 4"/>
    <w:basedOn w:val="1"/>
    <w:next w:val="1"/>
    <w:autoRedefine/>
    <w:qFormat/>
    <w:uiPriority w:val="0"/>
    <w:pPr>
      <w:autoSpaceDE/>
      <w:autoSpaceDN/>
      <w:adjustRightInd/>
      <w:ind w:left="600" w:leftChars="600"/>
      <w:jc w:val="both"/>
    </w:pPr>
    <w:rPr>
      <w:rFonts w:ascii="Arial Unicode MS" w:hAnsi="Arial Unicode MS"/>
      <w:kern w:val="2"/>
      <w:sz w:val="21"/>
      <w:szCs w:val="20"/>
    </w:rPr>
  </w:style>
  <w:style w:type="paragraph" w:styleId="30">
    <w:name w:val="toc 5"/>
    <w:basedOn w:val="1"/>
    <w:next w:val="1"/>
    <w:autoRedefine/>
    <w:unhideWhenUsed/>
    <w:qFormat/>
    <w:uiPriority w:val="39"/>
    <w:pPr>
      <w:ind w:left="960"/>
    </w:pPr>
    <w:rPr>
      <w:rFonts w:ascii="Arial Unicode MS" w:hAnsi="Arial Unicode MS" w:cs="Arial Unicode MS"/>
      <w:sz w:val="18"/>
      <w:szCs w:val="18"/>
    </w:rPr>
  </w:style>
  <w:style w:type="paragraph" w:styleId="31">
    <w:name w:val="toc 3"/>
    <w:basedOn w:val="1"/>
    <w:next w:val="1"/>
    <w:autoRedefine/>
    <w:qFormat/>
    <w:uiPriority w:val="39"/>
    <w:pPr>
      <w:ind w:left="480"/>
    </w:pPr>
    <w:rPr>
      <w:rFonts w:ascii="Arial Unicode MS" w:hAnsi="Arial Unicode MS" w:cs="Arial Unicode MS"/>
      <w:i/>
      <w:iCs/>
      <w:sz w:val="20"/>
      <w:szCs w:val="20"/>
    </w:rPr>
  </w:style>
  <w:style w:type="paragraph" w:styleId="32">
    <w:name w:val="Plain Text"/>
    <w:basedOn w:val="1"/>
    <w:link w:val="91"/>
    <w:autoRedefine/>
    <w:qFormat/>
    <w:uiPriority w:val="0"/>
    <w:pPr>
      <w:autoSpaceDE/>
      <w:autoSpaceDN/>
      <w:adjustRightInd/>
      <w:jc w:val="both"/>
    </w:pPr>
    <w:rPr>
      <w:rFonts w:hAnsi="Helv" w:eastAsia="等线 Light"/>
      <w:sz w:val="20"/>
      <w:szCs w:val="20"/>
    </w:rPr>
  </w:style>
  <w:style w:type="paragraph" w:styleId="33">
    <w:name w:val="List Bullet 5"/>
    <w:basedOn w:val="1"/>
    <w:autoRedefine/>
    <w:qFormat/>
    <w:uiPriority w:val="0"/>
    <w:pPr>
      <w:tabs>
        <w:tab w:val="left" w:pos="840"/>
      </w:tabs>
      <w:autoSpaceDE/>
      <w:autoSpaceDN/>
      <w:adjustRightInd/>
      <w:ind w:left="840" w:hanging="420"/>
      <w:jc w:val="both"/>
    </w:pPr>
    <w:rPr>
      <w:rFonts w:ascii="Arial Unicode MS" w:hAnsi="Arial Unicode MS"/>
      <w:kern w:val="2"/>
      <w:sz w:val="21"/>
      <w:szCs w:val="21"/>
    </w:rPr>
  </w:style>
  <w:style w:type="paragraph" w:styleId="34">
    <w:name w:val="toc 8"/>
    <w:basedOn w:val="1"/>
    <w:next w:val="1"/>
    <w:autoRedefine/>
    <w:unhideWhenUsed/>
    <w:qFormat/>
    <w:uiPriority w:val="39"/>
    <w:pPr>
      <w:ind w:left="1680"/>
    </w:pPr>
    <w:rPr>
      <w:rFonts w:ascii="Arial Unicode MS" w:hAnsi="Arial Unicode MS" w:cs="Arial Unicode MS"/>
      <w:sz w:val="18"/>
      <w:szCs w:val="18"/>
    </w:rPr>
  </w:style>
  <w:style w:type="paragraph" w:styleId="35">
    <w:name w:val="Date"/>
    <w:basedOn w:val="1"/>
    <w:next w:val="1"/>
    <w:link w:val="92"/>
    <w:autoRedefine/>
    <w:qFormat/>
    <w:uiPriority w:val="0"/>
    <w:pPr>
      <w:ind w:left="100" w:leftChars="2500"/>
    </w:pPr>
    <w:rPr>
      <w:rFonts w:hAnsi="幼圆" w:eastAsia="等线 Light"/>
      <w:b/>
      <w:bCs/>
      <w:sz w:val="20"/>
      <w:szCs w:val="21"/>
      <w:lang w:val="zh-CN"/>
    </w:rPr>
  </w:style>
  <w:style w:type="paragraph" w:styleId="36">
    <w:name w:val="Body Text Indent 2"/>
    <w:basedOn w:val="1"/>
    <w:link w:val="93"/>
    <w:autoRedefine/>
    <w:qFormat/>
    <w:uiPriority w:val="0"/>
    <w:pPr>
      <w:tabs>
        <w:tab w:val="left" w:pos="8640"/>
      </w:tabs>
      <w:autoSpaceDE/>
      <w:autoSpaceDN/>
      <w:adjustRightInd/>
      <w:ind w:left="1260"/>
      <w:jc w:val="both"/>
    </w:pPr>
    <w:rPr>
      <w:rFonts w:hAnsi="幼圆" w:eastAsia="等线 Light"/>
      <w:sz w:val="20"/>
      <w:szCs w:val="20"/>
    </w:rPr>
  </w:style>
  <w:style w:type="paragraph" w:styleId="37">
    <w:name w:val="endnote text"/>
    <w:basedOn w:val="1"/>
    <w:link w:val="94"/>
    <w:autoRedefine/>
    <w:qFormat/>
    <w:uiPriority w:val="0"/>
    <w:pPr>
      <w:autoSpaceDE/>
      <w:autoSpaceDN/>
      <w:adjustRightInd/>
      <w:snapToGrid w:val="0"/>
    </w:pPr>
    <w:rPr>
      <w:rFonts w:ascii="Times New Roman"/>
      <w:kern w:val="2"/>
      <w:sz w:val="21"/>
    </w:rPr>
  </w:style>
  <w:style w:type="paragraph" w:styleId="38">
    <w:name w:val="Balloon Text"/>
    <w:basedOn w:val="1"/>
    <w:link w:val="95"/>
    <w:autoRedefine/>
    <w:qFormat/>
    <w:uiPriority w:val="0"/>
    <w:pPr>
      <w:autoSpaceDE/>
      <w:autoSpaceDN/>
      <w:adjustRightInd/>
      <w:jc w:val="both"/>
    </w:pPr>
    <w:rPr>
      <w:rFonts w:ascii="幼圆" w:hAnsi="幼圆" w:eastAsia="等线 Light"/>
      <w:sz w:val="18"/>
      <w:szCs w:val="18"/>
    </w:rPr>
  </w:style>
  <w:style w:type="paragraph" w:styleId="39">
    <w:name w:val="footer"/>
    <w:basedOn w:val="1"/>
    <w:link w:val="96"/>
    <w:autoRedefine/>
    <w:qFormat/>
    <w:uiPriority w:val="99"/>
    <w:pPr>
      <w:tabs>
        <w:tab w:val="center" w:pos="4153"/>
        <w:tab w:val="right" w:pos="8306"/>
      </w:tabs>
      <w:snapToGrid w:val="0"/>
    </w:pPr>
    <w:rPr>
      <w:rFonts w:eastAsia="等线 Light"/>
      <w:sz w:val="18"/>
      <w:szCs w:val="18"/>
    </w:rPr>
  </w:style>
  <w:style w:type="paragraph" w:styleId="40">
    <w:name w:val="header"/>
    <w:basedOn w:val="1"/>
    <w:link w:val="97"/>
    <w:autoRedefine/>
    <w:qFormat/>
    <w:uiPriority w:val="0"/>
    <w:pPr>
      <w:pBdr>
        <w:bottom w:val="single" w:color="auto" w:sz="6" w:space="1"/>
      </w:pBdr>
      <w:tabs>
        <w:tab w:val="center" w:pos="4153"/>
        <w:tab w:val="right" w:pos="8306"/>
      </w:tabs>
      <w:snapToGrid w:val="0"/>
      <w:jc w:val="center"/>
    </w:pPr>
    <w:rPr>
      <w:rFonts w:eastAsia="等线 Light"/>
      <w:sz w:val="18"/>
      <w:szCs w:val="18"/>
    </w:rPr>
  </w:style>
  <w:style w:type="paragraph" w:styleId="41">
    <w:name w:val="Signature"/>
    <w:basedOn w:val="2"/>
    <w:link w:val="98"/>
    <w:autoRedefine/>
    <w:qFormat/>
    <w:uiPriority w:val="0"/>
    <w:pPr>
      <w:keepNext/>
      <w:keepLines/>
      <w:widowControl/>
      <w:autoSpaceDE/>
      <w:autoSpaceDN/>
      <w:adjustRightInd/>
      <w:spacing w:before="660" w:line="240" w:lineRule="atLeast"/>
      <w:ind w:right="0"/>
      <w:jc w:val="both"/>
    </w:pPr>
    <w:rPr>
      <w:rFonts w:ascii="仿宋_GB2312" w:hAnsi="仿宋_GB2312" w:eastAsia="宋体"/>
      <w:b w:val="0"/>
      <w:bCs w:val="0"/>
      <w:spacing w:val="-5"/>
      <w:kern w:val="2"/>
      <w:sz w:val="24"/>
      <w:szCs w:val="24"/>
    </w:rPr>
  </w:style>
  <w:style w:type="paragraph" w:styleId="42">
    <w:name w:val="toc 1"/>
    <w:basedOn w:val="1"/>
    <w:next w:val="1"/>
    <w:autoRedefine/>
    <w:qFormat/>
    <w:uiPriority w:val="39"/>
    <w:pPr>
      <w:spacing w:before="120" w:after="120"/>
    </w:pPr>
    <w:rPr>
      <w:rFonts w:ascii="Arial Unicode MS" w:hAnsi="Arial Unicode MS" w:cs="Arial Unicode MS"/>
      <w:b/>
      <w:bCs/>
      <w:caps/>
      <w:sz w:val="20"/>
      <w:szCs w:val="20"/>
    </w:rPr>
  </w:style>
  <w:style w:type="paragraph" w:styleId="43">
    <w:name w:val="toc 4"/>
    <w:basedOn w:val="1"/>
    <w:next w:val="1"/>
    <w:autoRedefine/>
    <w:unhideWhenUsed/>
    <w:qFormat/>
    <w:uiPriority w:val="39"/>
    <w:pPr>
      <w:ind w:left="720"/>
    </w:pPr>
    <w:rPr>
      <w:rFonts w:ascii="Arial Unicode MS" w:hAnsi="Arial Unicode MS" w:cs="Arial Unicode MS"/>
      <w:sz w:val="18"/>
      <w:szCs w:val="18"/>
    </w:rPr>
  </w:style>
  <w:style w:type="paragraph" w:styleId="44">
    <w:name w:val="footnote text"/>
    <w:basedOn w:val="1"/>
    <w:link w:val="99"/>
    <w:autoRedefine/>
    <w:qFormat/>
    <w:uiPriority w:val="0"/>
    <w:pPr>
      <w:autoSpaceDE/>
      <w:autoSpaceDN/>
      <w:adjustRightInd/>
      <w:snapToGrid w:val="0"/>
    </w:pPr>
    <w:rPr>
      <w:rFonts w:ascii="Times New Roman"/>
      <w:kern w:val="2"/>
      <w:sz w:val="18"/>
      <w:szCs w:val="18"/>
    </w:rPr>
  </w:style>
  <w:style w:type="paragraph" w:styleId="45">
    <w:name w:val="toc 6"/>
    <w:basedOn w:val="1"/>
    <w:next w:val="1"/>
    <w:autoRedefine/>
    <w:unhideWhenUsed/>
    <w:qFormat/>
    <w:uiPriority w:val="39"/>
    <w:pPr>
      <w:ind w:left="1200"/>
    </w:pPr>
    <w:rPr>
      <w:rFonts w:ascii="Arial Unicode MS" w:hAnsi="Arial Unicode MS" w:cs="Arial Unicode MS"/>
      <w:sz w:val="18"/>
      <w:szCs w:val="18"/>
    </w:rPr>
  </w:style>
  <w:style w:type="paragraph" w:styleId="46">
    <w:name w:val="Body Text Indent 3"/>
    <w:basedOn w:val="1"/>
    <w:link w:val="100"/>
    <w:autoRedefine/>
    <w:qFormat/>
    <w:uiPriority w:val="0"/>
    <w:pPr>
      <w:spacing w:line="360" w:lineRule="auto"/>
      <w:ind w:firstLine="480" w:firstLineChars="200"/>
    </w:pPr>
    <w:rPr>
      <w:rFonts w:hAnsi="幼圆" w:eastAsia="等线 Light"/>
    </w:rPr>
  </w:style>
  <w:style w:type="paragraph" w:styleId="47">
    <w:name w:val="toc 2"/>
    <w:basedOn w:val="1"/>
    <w:next w:val="1"/>
    <w:autoRedefine/>
    <w:unhideWhenUsed/>
    <w:qFormat/>
    <w:uiPriority w:val="39"/>
    <w:pPr>
      <w:ind w:left="240"/>
    </w:pPr>
    <w:rPr>
      <w:rFonts w:ascii="Arial Unicode MS" w:hAnsi="Arial Unicode MS" w:cs="Arial Unicode MS"/>
      <w:smallCaps/>
      <w:sz w:val="20"/>
      <w:szCs w:val="20"/>
    </w:rPr>
  </w:style>
  <w:style w:type="paragraph" w:styleId="48">
    <w:name w:val="toc 9"/>
    <w:basedOn w:val="1"/>
    <w:next w:val="1"/>
    <w:autoRedefine/>
    <w:unhideWhenUsed/>
    <w:qFormat/>
    <w:uiPriority w:val="39"/>
    <w:pPr>
      <w:ind w:left="1920"/>
    </w:pPr>
    <w:rPr>
      <w:rFonts w:ascii="Arial Unicode MS" w:hAnsi="Arial Unicode MS" w:cs="Arial Unicode MS"/>
      <w:sz w:val="18"/>
      <w:szCs w:val="18"/>
    </w:rPr>
  </w:style>
  <w:style w:type="paragraph" w:styleId="49">
    <w:name w:val="Body Text 2"/>
    <w:basedOn w:val="1"/>
    <w:link w:val="101"/>
    <w:autoRedefine/>
    <w:qFormat/>
    <w:uiPriority w:val="0"/>
    <w:pPr>
      <w:tabs>
        <w:tab w:val="left" w:pos="0"/>
      </w:tabs>
      <w:autoSpaceDE/>
      <w:autoSpaceDN/>
      <w:adjustRightInd/>
      <w:spacing w:line="400" w:lineRule="atLeast"/>
      <w:jc w:val="both"/>
    </w:pPr>
    <w:rPr>
      <w:rFonts w:ascii="楷体_GB2312" w:hAnsi="楷体_GB2312" w:eastAsia="等线 Light"/>
      <w:color w:val="000000"/>
      <w:sz w:val="20"/>
    </w:rPr>
  </w:style>
  <w:style w:type="paragraph" w:styleId="50">
    <w:name w:val="HTML Preformatted"/>
    <w:basedOn w:val="1"/>
    <w:link w:val="102"/>
    <w:autoRedefine/>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30" w:lineRule="atLeast"/>
    </w:pPr>
    <w:rPr>
      <w:rFonts w:ascii="楷体_GB2312" w:hAnsi="楷体_GB2312" w:eastAsia="等线 Light"/>
      <w:sz w:val="20"/>
      <w:szCs w:val="21"/>
    </w:rPr>
  </w:style>
  <w:style w:type="paragraph" w:styleId="51">
    <w:name w:val="Normal (Web)"/>
    <w:basedOn w:val="1"/>
    <w:link w:val="103"/>
    <w:autoRedefine/>
    <w:qFormat/>
    <w:uiPriority w:val="99"/>
    <w:pPr>
      <w:widowControl/>
      <w:autoSpaceDE/>
      <w:autoSpaceDN/>
      <w:adjustRightInd/>
      <w:spacing w:before="100" w:beforeAutospacing="1" w:after="100" w:afterAutospacing="1"/>
    </w:pPr>
    <w:rPr>
      <w:rFonts w:hAnsi="等线 Light"/>
      <w:sz w:val="15"/>
      <w:szCs w:val="15"/>
    </w:rPr>
  </w:style>
  <w:style w:type="paragraph" w:styleId="52">
    <w:name w:val="index 1"/>
    <w:basedOn w:val="1"/>
    <w:next w:val="1"/>
    <w:autoRedefine/>
    <w:qFormat/>
    <w:uiPriority w:val="99"/>
    <w:pPr>
      <w:autoSpaceDE/>
      <w:autoSpaceDN/>
      <w:adjustRightInd/>
      <w:jc w:val="center"/>
    </w:pPr>
    <w:rPr>
      <w:rFonts w:ascii="Arial Unicode MS" w:hAnsi="Arial Unicode MS"/>
      <w:kern w:val="2"/>
      <w:sz w:val="21"/>
    </w:rPr>
  </w:style>
  <w:style w:type="paragraph" w:styleId="53">
    <w:name w:val="Title"/>
    <w:basedOn w:val="1"/>
    <w:next w:val="1"/>
    <w:link w:val="104"/>
    <w:autoRedefine/>
    <w:qFormat/>
    <w:uiPriority w:val="10"/>
    <w:pPr>
      <w:spacing w:before="240" w:after="60"/>
      <w:jc w:val="center"/>
      <w:outlineLvl w:val="0"/>
    </w:pPr>
    <w:rPr>
      <w:rFonts w:ascii="Roman" w:hAnsi="Roman"/>
      <w:b/>
      <w:bCs/>
      <w:sz w:val="32"/>
      <w:szCs w:val="32"/>
    </w:rPr>
  </w:style>
  <w:style w:type="paragraph" w:styleId="54">
    <w:name w:val="annotation subject"/>
    <w:basedOn w:val="21"/>
    <w:next w:val="21"/>
    <w:link w:val="105"/>
    <w:autoRedefine/>
    <w:qFormat/>
    <w:uiPriority w:val="0"/>
    <w:rPr>
      <w:b/>
      <w:bCs/>
    </w:rPr>
  </w:style>
  <w:style w:type="table" w:styleId="56">
    <w:name w:val="Table Grid"/>
    <w:basedOn w:val="5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Strong"/>
    <w:autoRedefine/>
    <w:qFormat/>
    <w:uiPriority w:val="0"/>
    <w:rPr>
      <w:b/>
      <w:bCs/>
    </w:rPr>
  </w:style>
  <w:style w:type="character" w:styleId="59">
    <w:name w:val="endnote reference"/>
    <w:autoRedefine/>
    <w:qFormat/>
    <w:uiPriority w:val="0"/>
    <w:rPr>
      <w:vertAlign w:val="superscript"/>
    </w:rPr>
  </w:style>
  <w:style w:type="character" w:styleId="60">
    <w:name w:val="page number"/>
    <w:basedOn w:val="57"/>
    <w:autoRedefine/>
    <w:qFormat/>
    <w:uiPriority w:val="0"/>
  </w:style>
  <w:style w:type="character" w:styleId="61">
    <w:name w:val="FollowedHyperlink"/>
    <w:autoRedefine/>
    <w:qFormat/>
    <w:uiPriority w:val="99"/>
    <w:rPr>
      <w:rFonts w:ascii="楷体_GB2312" w:hAnsi="楷体_GB2312" w:cs="楷体_GB2312"/>
      <w:color w:val="000000"/>
      <w:sz w:val="20"/>
      <w:szCs w:val="20"/>
      <w:u w:val="none"/>
    </w:rPr>
  </w:style>
  <w:style w:type="character" w:styleId="62">
    <w:name w:val="Emphasis"/>
    <w:autoRedefine/>
    <w:qFormat/>
    <w:uiPriority w:val="0"/>
    <w:rPr>
      <w:i/>
      <w:iCs/>
    </w:rPr>
  </w:style>
  <w:style w:type="character" w:styleId="63">
    <w:name w:val="line number"/>
    <w:autoRedefine/>
    <w:qFormat/>
    <w:uiPriority w:val="0"/>
  </w:style>
  <w:style w:type="character" w:styleId="64">
    <w:name w:val="HTML Definition"/>
    <w:autoRedefine/>
    <w:unhideWhenUsed/>
    <w:qFormat/>
    <w:uiPriority w:val="0"/>
  </w:style>
  <w:style w:type="character" w:styleId="65">
    <w:name w:val="HTML Variable"/>
    <w:autoRedefine/>
    <w:unhideWhenUsed/>
    <w:qFormat/>
    <w:uiPriority w:val="0"/>
  </w:style>
  <w:style w:type="character" w:styleId="66">
    <w:name w:val="Hyperlink"/>
    <w:autoRedefine/>
    <w:qFormat/>
    <w:uiPriority w:val="99"/>
    <w:rPr>
      <w:rFonts w:hint="default" w:ascii="楷体_GB2312" w:hAnsi="楷体_GB2312" w:cs="楷体_GB2312"/>
      <w:color w:val="000000"/>
      <w:sz w:val="20"/>
      <w:szCs w:val="20"/>
      <w:u w:val="none"/>
    </w:rPr>
  </w:style>
  <w:style w:type="character" w:styleId="67">
    <w:name w:val="HTML Code"/>
    <w:autoRedefine/>
    <w:unhideWhenUsed/>
    <w:qFormat/>
    <w:uiPriority w:val="0"/>
    <w:rPr>
      <w:rFonts w:hint="default" w:ascii="Tahoma" w:hAnsi="Tahoma" w:eastAsia="Tahoma" w:cs="Tahoma"/>
      <w:sz w:val="21"/>
      <w:szCs w:val="21"/>
    </w:rPr>
  </w:style>
  <w:style w:type="character" w:styleId="68">
    <w:name w:val="annotation reference"/>
    <w:autoRedefine/>
    <w:qFormat/>
    <w:uiPriority w:val="99"/>
    <w:rPr>
      <w:sz w:val="21"/>
      <w:szCs w:val="21"/>
    </w:rPr>
  </w:style>
  <w:style w:type="character" w:styleId="69">
    <w:name w:val="HTML Cite"/>
    <w:autoRedefine/>
    <w:unhideWhenUsed/>
    <w:qFormat/>
    <w:uiPriority w:val="0"/>
  </w:style>
  <w:style w:type="character" w:styleId="70">
    <w:name w:val="footnote reference"/>
    <w:autoRedefine/>
    <w:qFormat/>
    <w:uiPriority w:val="0"/>
    <w:rPr>
      <w:vertAlign w:val="superscript"/>
    </w:rPr>
  </w:style>
  <w:style w:type="character" w:styleId="71">
    <w:name w:val="HTML Keyboard"/>
    <w:autoRedefine/>
    <w:unhideWhenUsed/>
    <w:qFormat/>
    <w:uiPriority w:val="0"/>
    <w:rPr>
      <w:rFonts w:ascii="Tahoma" w:hAnsi="Tahoma" w:eastAsia="Tahoma" w:cs="Tahoma"/>
      <w:sz w:val="21"/>
      <w:szCs w:val="21"/>
    </w:rPr>
  </w:style>
  <w:style w:type="character" w:styleId="72">
    <w:name w:val="HTML Sample"/>
    <w:autoRedefine/>
    <w:unhideWhenUsed/>
    <w:qFormat/>
    <w:uiPriority w:val="0"/>
    <w:rPr>
      <w:rFonts w:hint="default" w:ascii="Tahoma" w:hAnsi="Tahoma" w:eastAsia="Tahoma" w:cs="Tahoma"/>
      <w:sz w:val="21"/>
      <w:szCs w:val="21"/>
    </w:rPr>
  </w:style>
  <w:style w:type="paragraph" w:customStyle="1" w:styleId="73">
    <w:name w:val="样式 宋体 行距: 1.5 倍行距"/>
    <w:basedOn w:val="1"/>
    <w:autoRedefine/>
    <w:qFormat/>
    <w:uiPriority w:val="0"/>
    <w:pPr>
      <w:jc w:val="center"/>
    </w:pPr>
    <w:rPr>
      <w:rFonts w:ascii="Times New Roman" w:hAnsi="Times New Roman"/>
      <w:b/>
    </w:rPr>
  </w:style>
  <w:style w:type="character" w:customStyle="1" w:styleId="74">
    <w:name w:val="标题 1 字符"/>
    <w:link w:val="4"/>
    <w:autoRedefine/>
    <w:qFormat/>
    <w:uiPriority w:val="0"/>
    <w:rPr>
      <w:rFonts w:ascii="等线 Light" w:hAnsi="幼圆" w:eastAsia="等线 Light" w:cs="幼圆"/>
      <w:kern w:val="0"/>
      <w:sz w:val="24"/>
      <w:szCs w:val="24"/>
    </w:rPr>
  </w:style>
  <w:style w:type="character" w:customStyle="1" w:styleId="75">
    <w:name w:val="标题 2 字符"/>
    <w:link w:val="5"/>
    <w:autoRedefine/>
    <w:qFormat/>
    <w:uiPriority w:val="0"/>
    <w:rPr>
      <w:rFonts w:ascii="等线 Light" w:hAnsi="幼圆" w:eastAsia="等线 Light" w:cs="幼圆"/>
      <w:kern w:val="0"/>
      <w:sz w:val="24"/>
      <w:szCs w:val="24"/>
    </w:rPr>
  </w:style>
  <w:style w:type="character" w:customStyle="1" w:styleId="76">
    <w:name w:val="标题 3 字符"/>
    <w:link w:val="6"/>
    <w:autoRedefine/>
    <w:qFormat/>
    <w:uiPriority w:val="0"/>
    <w:rPr>
      <w:rFonts w:ascii="等线 Light" w:hAnsi="幼圆" w:eastAsia="等线 Light" w:cs="幼圆"/>
      <w:kern w:val="0"/>
      <w:sz w:val="24"/>
      <w:szCs w:val="24"/>
    </w:rPr>
  </w:style>
  <w:style w:type="character" w:customStyle="1" w:styleId="77">
    <w:name w:val="标题 4 字符"/>
    <w:link w:val="7"/>
    <w:autoRedefine/>
    <w:qFormat/>
    <w:uiPriority w:val="0"/>
    <w:rPr>
      <w:rFonts w:ascii="楷体_GB2312" w:hAnsi="楷体_GB2312" w:eastAsia="PMingLiU" w:cs="幼圆"/>
      <w:b/>
      <w:bCs/>
      <w:kern w:val="0"/>
      <w:sz w:val="28"/>
      <w:szCs w:val="28"/>
    </w:rPr>
  </w:style>
  <w:style w:type="character" w:customStyle="1" w:styleId="78">
    <w:name w:val="标题 5 字符1"/>
    <w:link w:val="8"/>
    <w:autoRedefine/>
    <w:qFormat/>
    <w:uiPriority w:val="9"/>
    <w:rPr>
      <w:rFonts w:ascii="等线 Light"/>
      <w:b/>
      <w:bCs/>
      <w:sz w:val="28"/>
      <w:szCs w:val="28"/>
    </w:rPr>
  </w:style>
  <w:style w:type="character" w:customStyle="1" w:styleId="79">
    <w:name w:val="标题 6 字符1"/>
    <w:link w:val="9"/>
    <w:autoRedefine/>
    <w:qFormat/>
    <w:uiPriority w:val="9"/>
    <w:rPr>
      <w:rFonts w:eastAsia="PMingLiU"/>
      <w:b/>
      <w:bCs/>
      <w:sz w:val="28"/>
      <w:szCs w:val="24"/>
    </w:rPr>
  </w:style>
  <w:style w:type="character" w:customStyle="1" w:styleId="80">
    <w:name w:val="模板正文 Char"/>
    <w:link w:val="10"/>
    <w:autoRedefine/>
    <w:qFormat/>
    <w:uiPriority w:val="0"/>
    <w:rPr>
      <w:rFonts w:ascii="等线 Light" w:eastAsia="font-weight : 400"/>
      <w:sz w:val="24"/>
      <w:szCs w:val="21"/>
    </w:rPr>
  </w:style>
  <w:style w:type="character" w:customStyle="1" w:styleId="81">
    <w:name w:val="标题 7 字符"/>
    <w:link w:val="11"/>
    <w:autoRedefine/>
    <w:qFormat/>
    <w:uiPriority w:val="0"/>
    <w:rPr>
      <w:rFonts w:eastAsia="PMingLiU"/>
      <w:b/>
      <w:bCs/>
      <w:sz w:val="28"/>
      <w:szCs w:val="24"/>
    </w:rPr>
  </w:style>
  <w:style w:type="character" w:customStyle="1" w:styleId="82">
    <w:name w:val="标题 8 字符"/>
    <w:link w:val="12"/>
    <w:autoRedefine/>
    <w:qFormat/>
    <w:uiPriority w:val="0"/>
    <w:rPr>
      <w:rFonts w:eastAsia="PMingLiU"/>
      <w:b/>
      <w:sz w:val="28"/>
      <w:szCs w:val="24"/>
    </w:rPr>
  </w:style>
  <w:style w:type="character" w:customStyle="1" w:styleId="83">
    <w:name w:val="标题 9 字符"/>
    <w:link w:val="13"/>
    <w:autoRedefine/>
    <w:qFormat/>
    <w:uiPriority w:val="0"/>
    <w:rPr>
      <w:rFonts w:eastAsia="PMingLiU"/>
      <w:b/>
      <w:sz w:val="28"/>
      <w:szCs w:val="24"/>
    </w:rPr>
  </w:style>
  <w:style w:type="character" w:customStyle="1" w:styleId="84">
    <w:name w:val="正文缩进 字符1"/>
    <w:link w:val="16"/>
    <w:autoRedefine/>
    <w:qFormat/>
    <w:uiPriority w:val="0"/>
  </w:style>
  <w:style w:type="character" w:customStyle="1" w:styleId="85">
    <w:name w:val="题注 字符1"/>
    <w:link w:val="17"/>
    <w:autoRedefine/>
    <w:qFormat/>
    <w:uiPriority w:val="0"/>
    <w:rPr>
      <w:rFonts w:ascii="楷体_GB2312" w:hAnsi="楷体_GB2312" w:eastAsia="PMingLiU" w:cs="楷体_GB2312"/>
    </w:rPr>
  </w:style>
  <w:style w:type="character" w:customStyle="1" w:styleId="86">
    <w:name w:val="文档结构图 字符"/>
    <w:link w:val="19"/>
    <w:autoRedefine/>
    <w:qFormat/>
    <w:uiPriority w:val="0"/>
    <w:rPr>
      <w:rFonts w:ascii="等线 Light" w:hAnsi="幼圆" w:eastAsia="等线 Light" w:cs="幼圆"/>
      <w:kern w:val="0"/>
      <w:sz w:val="24"/>
      <w:szCs w:val="24"/>
      <w:shd w:val="clear" w:color="auto" w:fill="000080"/>
    </w:rPr>
  </w:style>
  <w:style w:type="character" w:customStyle="1" w:styleId="87">
    <w:name w:val="批注文字 字符1"/>
    <w:link w:val="21"/>
    <w:autoRedefine/>
    <w:qFormat/>
    <w:uiPriority w:val="0"/>
    <w:rPr>
      <w:rFonts w:ascii="等线 Light" w:hAnsi="幼圆" w:eastAsia="等线 Light" w:cs="幼圆"/>
      <w:kern w:val="0"/>
      <w:sz w:val="24"/>
      <w:szCs w:val="24"/>
    </w:rPr>
  </w:style>
  <w:style w:type="character" w:customStyle="1" w:styleId="88">
    <w:name w:val="正文文本 3 字符"/>
    <w:link w:val="22"/>
    <w:autoRedefine/>
    <w:qFormat/>
    <w:uiPriority w:val="0"/>
    <w:rPr>
      <w:rFonts w:ascii="等线 Light" w:hAnsi="幼圆" w:eastAsia="等线 Light" w:cs="幼圆"/>
      <w:b/>
      <w:bCs/>
      <w:color w:val="3366FF"/>
      <w:sz w:val="52"/>
      <w:szCs w:val="52"/>
      <w:lang w:val="zh-CN"/>
    </w:rPr>
  </w:style>
  <w:style w:type="character" w:customStyle="1" w:styleId="89">
    <w:name w:val="正文文本 字符"/>
    <w:link w:val="2"/>
    <w:autoRedefine/>
    <w:qFormat/>
    <w:uiPriority w:val="1"/>
    <w:rPr>
      <w:rFonts w:ascii="等线 Light" w:eastAsia="等线 Light"/>
      <w:b/>
      <w:bCs/>
      <w:sz w:val="84"/>
      <w:szCs w:val="84"/>
      <w:lang w:val="zh-CN"/>
    </w:rPr>
  </w:style>
  <w:style w:type="character" w:customStyle="1" w:styleId="90">
    <w:name w:val="正文文本缩进 字符"/>
    <w:link w:val="24"/>
    <w:autoRedefine/>
    <w:qFormat/>
    <w:uiPriority w:val="0"/>
    <w:rPr>
      <w:rFonts w:ascii="幼圆" w:hAnsi="幼圆" w:eastAsia="等线 Light" w:cs="幼圆"/>
      <w:szCs w:val="20"/>
    </w:rPr>
  </w:style>
  <w:style w:type="character" w:customStyle="1" w:styleId="91">
    <w:name w:val="纯文本 字符"/>
    <w:link w:val="32"/>
    <w:autoRedefine/>
    <w:qFormat/>
    <w:uiPriority w:val="0"/>
    <w:rPr>
      <w:rFonts w:ascii="等线 Light" w:hAnsi="Helv" w:eastAsia="等线 Light"/>
    </w:rPr>
  </w:style>
  <w:style w:type="character" w:customStyle="1" w:styleId="92">
    <w:name w:val="日期 字符"/>
    <w:link w:val="35"/>
    <w:autoRedefine/>
    <w:qFormat/>
    <w:uiPriority w:val="0"/>
    <w:rPr>
      <w:rFonts w:ascii="等线 Light" w:hAnsi="幼圆" w:eastAsia="等线 Light" w:cs="幼圆"/>
      <w:b/>
      <w:bCs/>
      <w:szCs w:val="21"/>
      <w:lang w:val="zh-CN"/>
    </w:rPr>
  </w:style>
  <w:style w:type="character" w:customStyle="1" w:styleId="93">
    <w:name w:val="正文文本缩进 2 字符"/>
    <w:link w:val="36"/>
    <w:autoRedefine/>
    <w:qFormat/>
    <w:uiPriority w:val="0"/>
    <w:rPr>
      <w:rFonts w:ascii="等线 Light" w:hAnsi="幼圆" w:eastAsia="等线 Light" w:cs="幼圆"/>
      <w:szCs w:val="20"/>
    </w:rPr>
  </w:style>
  <w:style w:type="character" w:customStyle="1" w:styleId="94">
    <w:name w:val="尾注文本 字符1"/>
    <w:link w:val="37"/>
    <w:autoRedefine/>
    <w:qFormat/>
    <w:uiPriority w:val="0"/>
    <w:rPr>
      <w:kern w:val="2"/>
      <w:sz w:val="21"/>
      <w:szCs w:val="24"/>
    </w:rPr>
  </w:style>
  <w:style w:type="character" w:customStyle="1" w:styleId="95">
    <w:name w:val="批注框文本 字符"/>
    <w:link w:val="38"/>
    <w:autoRedefine/>
    <w:qFormat/>
    <w:uiPriority w:val="0"/>
    <w:rPr>
      <w:rFonts w:ascii="幼圆" w:hAnsi="幼圆" w:eastAsia="等线 Light" w:cs="幼圆"/>
      <w:sz w:val="18"/>
      <w:szCs w:val="18"/>
    </w:rPr>
  </w:style>
  <w:style w:type="character" w:customStyle="1" w:styleId="96">
    <w:name w:val="页脚 字符"/>
    <w:link w:val="39"/>
    <w:autoRedefine/>
    <w:qFormat/>
    <w:uiPriority w:val="99"/>
    <w:rPr>
      <w:rFonts w:ascii="等线 Light" w:eastAsia="等线 Light"/>
      <w:sz w:val="18"/>
      <w:szCs w:val="18"/>
    </w:rPr>
  </w:style>
  <w:style w:type="character" w:customStyle="1" w:styleId="97">
    <w:name w:val="页眉 字符"/>
    <w:link w:val="40"/>
    <w:autoRedefine/>
    <w:qFormat/>
    <w:uiPriority w:val="0"/>
    <w:rPr>
      <w:rFonts w:ascii="等线 Light" w:eastAsia="等线 Light"/>
      <w:sz w:val="18"/>
      <w:szCs w:val="18"/>
    </w:rPr>
  </w:style>
  <w:style w:type="character" w:customStyle="1" w:styleId="98">
    <w:name w:val="签名 字符"/>
    <w:link w:val="41"/>
    <w:autoRedefine/>
    <w:qFormat/>
    <w:uiPriority w:val="0"/>
    <w:rPr>
      <w:rFonts w:ascii="仿宋_GB2312" w:hAnsi="仿宋_GB2312"/>
      <w:spacing w:val="-5"/>
      <w:kern w:val="2"/>
      <w:sz w:val="24"/>
      <w:szCs w:val="24"/>
    </w:rPr>
  </w:style>
  <w:style w:type="character" w:customStyle="1" w:styleId="99">
    <w:name w:val="脚注文本 字符1"/>
    <w:link w:val="44"/>
    <w:autoRedefine/>
    <w:qFormat/>
    <w:uiPriority w:val="0"/>
    <w:rPr>
      <w:kern w:val="2"/>
      <w:sz w:val="18"/>
      <w:szCs w:val="18"/>
    </w:rPr>
  </w:style>
  <w:style w:type="character" w:customStyle="1" w:styleId="100">
    <w:name w:val="正文文本缩进 3 字符"/>
    <w:link w:val="46"/>
    <w:autoRedefine/>
    <w:qFormat/>
    <w:uiPriority w:val="0"/>
    <w:rPr>
      <w:rFonts w:ascii="等线 Light" w:hAnsi="幼圆" w:eastAsia="等线 Light" w:cs="幼圆"/>
      <w:kern w:val="0"/>
      <w:sz w:val="24"/>
      <w:szCs w:val="24"/>
    </w:rPr>
  </w:style>
  <w:style w:type="character" w:customStyle="1" w:styleId="101">
    <w:name w:val="正文文本 2 字符"/>
    <w:link w:val="49"/>
    <w:autoRedefine/>
    <w:qFormat/>
    <w:uiPriority w:val="0"/>
    <w:rPr>
      <w:rFonts w:ascii="楷体_GB2312" w:hAnsi="楷体_GB2312" w:eastAsia="等线 Light" w:cs="幼圆"/>
      <w:color w:val="000000"/>
      <w:szCs w:val="24"/>
    </w:rPr>
  </w:style>
  <w:style w:type="character" w:customStyle="1" w:styleId="102">
    <w:name w:val="HTML 预设格式 字符"/>
    <w:link w:val="50"/>
    <w:autoRedefine/>
    <w:qFormat/>
    <w:uiPriority w:val="0"/>
    <w:rPr>
      <w:rFonts w:ascii="楷体_GB2312" w:hAnsi="楷体_GB2312" w:eastAsia="等线 Light" w:cs="楷体_GB2312"/>
      <w:szCs w:val="21"/>
    </w:rPr>
  </w:style>
  <w:style w:type="character" w:customStyle="1" w:styleId="103">
    <w:name w:val="普通(网站) 字符"/>
    <w:link w:val="51"/>
    <w:autoRedefine/>
    <w:qFormat/>
    <w:locked/>
    <w:uiPriority w:val="99"/>
    <w:rPr>
      <w:rFonts w:ascii="等线 Light" w:hAnsi="等线 Light"/>
      <w:sz w:val="15"/>
      <w:szCs w:val="15"/>
    </w:rPr>
  </w:style>
  <w:style w:type="character" w:customStyle="1" w:styleId="104">
    <w:name w:val="标题 字符"/>
    <w:link w:val="53"/>
    <w:autoRedefine/>
    <w:qFormat/>
    <w:uiPriority w:val="10"/>
    <w:rPr>
      <w:rFonts w:ascii="Roman" w:hAnsi="Roman"/>
      <w:b/>
      <w:bCs/>
      <w:sz w:val="32"/>
      <w:szCs w:val="32"/>
    </w:rPr>
  </w:style>
  <w:style w:type="character" w:customStyle="1" w:styleId="105">
    <w:name w:val="批注主题 字符"/>
    <w:link w:val="54"/>
    <w:autoRedefine/>
    <w:qFormat/>
    <w:uiPriority w:val="0"/>
    <w:rPr>
      <w:rFonts w:ascii="等线 Light" w:hAnsi="幼圆" w:eastAsia="等线 Light" w:cs="幼圆"/>
      <w:b/>
      <w:bCs/>
      <w:kern w:val="0"/>
      <w:sz w:val="24"/>
      <w:szCs w:val="24"/>
    </w:rPr>
  </w:style>
  <w:style w:type="character" w:customStyle="1" w:styleId="106">
    <w:name w:val="正文首行缩进 字符1"/>
    <w:link w:val="3"/>
    <w:autoRedefine/>
    <w:qFormat/>
    <w:uiPriority w:val="99"/>
    <w:rPr>
      <w:rFonts w:ascii="等线 Light"/>
      <w:b/>
      <w:bCs/>
      <w:sz w:val="84"/>
      <w:szCs w:val="84"/>
      <w:lang w:val="zh-CN"/>
    </w:rPr>
  </w:style>
  <w:style w:type="paragraph" w:customStyle="1" w:styleId="107">
    <w:name w:val="文档正文"/>
    <w:basedOn w:val="1"/>
    <w:autoRedefine/>
    <w:qFormat/>
    <w:uiPriority w:val="0"/>
    <w:pPr>
      <w:spacing w:line="360" w:lineRule="auto"/>
    </w:pPr>
    <w:rPr>
      <w:rFonts w:cs="Arial"/>
      <w:bCs/>
    </w:rPr>
  </w:style>
  <w:style w:type="character" w:customStyle="1" w:styleId="108">
    <w:name w:val="themebody1"/>
    <w:autoRedefine/>
    <w:qFormat/>
    <w:uiPriority w:val="0"/>
    <w:rPr>
      <w:color w:val="FFFFFF"/>
    </w:rPr>
  </w:style>
  <w:style w:type="character" w:customStyle="1" w:styleId="109">
    <w:name w:val="小 Char"/>
    <w:autoRedefine/>
    <w:qFormat/>
    <w:uiPriority w:val="0"/>
    <w:rPr>
      <w:rFonts w:ascii="等线 Light" w:hAnsi="Helv" w:eastAsia="等线 Light"/>
      <w:kern w:val="2"/>
      <w:sz w:val="21"/>
      <w:lang w:val="en-US" w:eastAsia="zh-CN" w:bidi="ar-SA"/>
    </w:rPr>
  </w:style>
  <w:style w:type="character" w:customStyle="1" w:styleId="110">
    <w:name w:val="HTML 预设格式 Char"/>
    <w:autoRedefine/>
    <w:qFormat/>
    <w:uiPriority w:val="99"/>
    <w:rPr>
      <w:rFonts w:ascii="PMingLiU" w:hAnsi="Helv" w:eastAsia="PMingLiU" w:cs="Helv"/>
      <w:kern w:val="2"/>
      <w:sz w:val="24"/>
      <w:szCs w:val="24"/>
      <w:lang w:val="en-US" w:eastAsia="zh-CN" w:bidi="ar-SA"/>
    </w:rPr>
  </w:style>
  <w:style w:type="character" w:customStyle="1" w:styleId="111">
    <w:name w:val="批注框文本 Char1"/>
    <w:autoRedefine/>
    <w:semiHidden/>
    <w:qFormat/>
    <w:uiPriority w:val="99"/>
    <w:rPr>
      <w:rFonts w:ascii="宋体"/>
      <w:sz w:val="18"/>
      <w:szCs w:val="18"/>
    </w:rPr>
  </w:style>
  <w:style w:type="character" w:customStyle="1" w:styleId="112">
    <w:name w:val="标题 4 Char"/>
    <w:autoRedefine/>
    <w:qFormat/>
    <w:uiPriority w:val="0"/>
    <w:rPr>
      <w:rFonts w:ascii="楷体_GB2312" w:hAnsi="楷体_GB2312" w:eastAsia="PMingLiU" w:cs="幼圆"/>
      <w:b/>
      <w:bCs/>
      <w:kern w:val="2"/>
      <w:sz w:val="28"/>
      <w:szCs w:val="28"/>
      <w:lang w:val="en-US" w:eastAsia="zh-CN" w:bidi="ar-SA"/>
    </w:rPr>
  </w:style>
  <w:style w:type="character" w:customStyle="1" w:styleId="113">
    <w:name w:val="icontext12"/>
    <w:basedOn w:val="57"/>
    <w:autoRedefine/>
    <w:qFormat/>
    <w:uiPriority w:val="0"/>
  </w:style>
  <w:style w:type="character" w:customStyle="1" w:styleId="114">
    <w:name w:val="批注主题 Char"/>
    <w:autoRedefine/>
    <w:qFormat/>
    <w:uiPriority w:val="99"/>
    <w:rPr>
      <w:rFonts w:ascii="幼圆" w:hAnsi="幼圆" w:eastAsia="等线 Light" w:cs="幼圆"/>
      <w:b/>
      <w:bCs/>
      <w:kern w:val="2"/>
      <w:sz w:val="24"/>
      <w:szCs w:val="24"/>
      <w:lang w:val="en-US" w:eastAsia="zh-CN" w:bidi="ar-SA"/>
    </w:rPr>
  </w:style>
  <w:style w:type="character" w:customStyle="1" w:styleId="115">
    <w:name w:val="icon-code-weixin"/>
    <w:autoRedefine/>
    <w:qFormat/>
    <w:uiPriority w:val="0"/>
  </w:style>
  <w:style w:type="character" w:customStyle="1" w:styleId="116">
    <w:name w:val="正文文本缩进 2 Char"/>
    <w:autoRedefine/>
    <w:qFormat/>
    <w:uiPriority w:val="0"/>
    <w:rPr>
      <w:rFonts w:ascii="幼圆" w:hAnsi="幼圆" w:eastAsia="等线 Light" w:cs="幼圆"/>
      <w:kern w:val="2"/>
      <w:sz w:val="24"/>
      <w:szCs w:val="24"/>
      <w:lang w:val="en-US" w:eastAsia="zh-CN" w:bidi="ar-SA"/>
    </w:rPr>
  </w:style>
  <w:style w:type="character" w:customStyle="1" w:styleId="117">
    <w:name w:val="icontext2"/>
    <w:basedOn w:val="57"/>
    <w:autoRedefine/>
    <w:qFormat/>
    <w:uiPriority w:val="0"/>
  </w:style>
  <w:style w:type="character" w:customStyle="1" w:styleId="118">
    <w:name w:val="日期 Char"/>
    <w:autoRedefine/>
    <w:qFormat/>
    <w:uiPriority w:val="0"/>
    <w:rPr>
      <w:rFonts w:ascii="幼圆" w:hAnsi="幼圆" w:eastAsia="等线 Light" w:cs="幼圆"/>
      <w:kern w:val="2"/>
      <w:sz w:val="24"/>
      <w:szCs w:val="20"/>
      <w:lang w:val="en-US" w:eastAsia="zh-CN" w:bidi="ar-SA"/>
    </w:rPr>
  </w:style>
  <w:style w:type="character" w:customStyle="1" w:styleId="119">
    <w:name w:val="正文文本缩进 3 Char1"/>
    <w:autoRedefine/>
    <w:semiHidden/>
    <w:qFormat/>
    <w:uiPriority w:val="0"/>
    <w:rPr>
      <w:rFonts w:ascii="宋体"/>
      <w:sz w:val="16"/>
      <w:szCs w:val="16"/>
    </w:rPr>
  </w:style>
  <w:style w:type="character" w:customStyle="1" w:styleId="120">
    <w:name w:val="尾注文本 字符2"/>
    <w:autoRedefine/>
    <w:semiHidden/>
    <w:qFormat/>
    <w:uiPriority w:val="99"/>
    <w:rPr>
      <w:rFonts w:ascii="等线 Light"/>
      <w:sz w:val="24"/>
      <w:szCs w:val="24"/>
    </w:rPr>
  </w:style>
  <w:style w:type="character" w:customStyle="1" w:styleId="121">
    <w:name w:val="img8"/>
    <w:basedOn w:val="57"/>
    <w:autoRedefine/>
    <w:qFormat/>
    <w:uiPriority w:val="0"/>
  </w:style>
  <w:style w:type="character" w:customStyle="1" w:styleId="122">
    <w:name w:val="highlight1"/>
    <w:autoRedefine/>
    <w:qFormat/>
    <w:uiPriority w:val="0"/>
    <w:rPr>
      <w:sz w:val="21"/>
      <w:szCs w:val="21"/>
    </w:rPr>
  </w:style>
  <w:style w:type="character" w:customStyle="1" w:styleId="123">
    <w:name w:val="批注框文本 Char"/>
    <w:autoRedefine/>
    <w:qFormat/>
    <w:uiPriority w:val="99"/>
    <w:rPr>
      <w:rFonts w:ascii="幼圆" w:hAnsi="幼圆" w:eastAsia="等线 Light" w:cs="幼圆"/>
      <w:kern w:val="2"/>
      <w:sz w:val="18"/>
      <w:szCs w:val="18"/>
      <w:lang w:val="en-US" w:eastAsia="zh-CN" w:bidi="ar-SA"/>
    </w:rPr>
  </w:style>
  <w:style w:type="character" w:customStyle="1" w:styleId="124">
    <w:name w:val="标题 9 Char1"/>
    <w:autoRedefine/>
    <w:qFormat/>
    <w:uiPriority w:val="0"/>
    <w:rPr>
      <w:rFonts w:ascii="楷体_GB2312" w:hAnsi="楷体_GB2312" w:eastAsia="等线 Light"/>
      <w:color w:val="000000"/>
      <w:kern w:val="2"/>
      <w:sz w:val="32"/>
      <w:szCs w:val="21"/>
      <w:lang w:val="en-US" w:eastAsia="zh-CN" w:bidi="ar-SA"/>
    </w:rPr>
  </w:style>
  <w:style w:type="character" w:customStyle="1" w:styleId="125">
    <w:name w:val="正文文本 Char"/>
    <w:autoRedefine/>
    <w:qFormat/>
    <w:uiPriority w:val="99"/>
    <w:rPr>
      <w:rFonts w:ascii="等线 Light" w:eastAsia="等线 Light"/>
      <w:b/>
      <w:bCs/>
      <w:sz w:val="84"/>
      <w:szCs w:val="84"/>
      <w:lang w:val="zh-CN"/>
    </w:rPr>
  </w:style>
  <w:style w:type="character" w:customStyle="1" w:styleId="126">
    <w:name w:val="首航缩进 Char Char"/>
    <w:autoRedefine/>
    <w:qFormat/>
    <w:uiPriority w:val="0"/>
    <w:rPr>
      <w:rFonts w:eastAsia="微软雅黑"/>
      <w:color w:val="000000"/>
      <w:kern w:val="2"/>
      <w:sz w:val="24"/>
      <w:szCs w:val="24"/>
      <w:lang w:val="en-US" w:eastAsia="zh-CN" w:bidi="ar-SA"/>
    </w:rPr>
  </w:style>
  <w:style w:type="character" w:customStyle="1" w:styleId="127">
    <w:name w:val="尾注文本 Char"/>
    <w:autoRedefine/>
    <w:qFormat/>
    <w:uiPriority w:val="0"/>
    <w:rPr>
      <w:rFonts w:ascii="幼圆" w:hAnsi="幼圆" w:eastAsia="等线 Light" w:cs="幼圆"/>
      <w:kern w:val="2"/>
      <w:sz w:val="24"/>
      <w:szCs w:val="24"/>
      <w:lang w:bidi="ar-SA"/>
    </w:rPr>
  </w:style>
  <w:style w:type="character" w:customStyle="1" w:styleId="128">
    <w:name w:val="正文文本 3 Char1"/>
    <w:autoRedefine/>
    <w:semiHidden/>
    <w:qFormat/>
    <w:uiPriority w:val="0"/>
    <w:rPr>
      <w:rFonts w:ascii="宋体"/>
      <w:sz w:val="16"/>
      <w:szCs w:val="16"/>
    </w:rPr>
  </w:style>
  <w:style w:type="character" w:customStyle="1" w:styleId="129">
    <w:name w:val="文档结构图 Char3"/>
    <w:autoRedefine/>
    <w:qFormat/>
    <w:uiPriority w:val="0"/>
    <w:rPr>
      <w:rFonts w:eastAsia="等线 Light"/>
      <w:kern w:val="2"/>
      <w:sz w:val="21"/>
      <w:szCs w:val="24"/>
      <w:shd w:val="clear" w:color="auto" w:fill="000080"/>
      <w:lang w:val="en-US" w:eastAsia="zh-CN" w:bidi="ar-SA"/>
    </w:rPr>
  </w:style>
  <w:style w:type="character" w:customStyle="1" w:styleId="130">
    <w:name w:val="cy"/>
    <w:basedOn w:val="57"/>
    <w:autoRedefine/>
    <w:qFormat/>
    <w:uiPriority w:val="0"/>
  </w:style>
  <w:style w:type="character" w:customStyle="1" w:styleId="131">
    <w:name w:val="icontext3"/>
    <w:basedOn w:val="57"/>
    <w:autoRedefine/>
    <w:qFormat/>
    <w:uiPriority w:val="0"/>
  </w:style>
  <w:style w:type="character" w:customStyle="1" w:styleId="132">
    <w:name w:val="unnamed1"/>
    <w:autoRedefine/>
    <w:qFormat/>
    <w:uiPriority w:val="0"/>
    <w:rPr>
      <w:rFonts w:eastAsia="等线 Light"/>
      <w:kern w:val="2"/>
      <w:sz w:val="24"/>
      <w:szCs w:val="24"/>
      <w:lang w:val="en-US" w:eastAsia="zh-CN" w:bidi="ar-SA"/>
    </w:rPr>
  </w:style>
  <w:style w:type="character" w:customStyle="1" w:styleId="133">
    <w:name w:val="批注文字 字符"/>
    <w:autoRedefine/>
    <w:qFormat/>
    <w:uiPriority w:val="0"/>
    <w:rPr>
      <w:rFonts w:ascii="等线 Light" w:hAnsi="幼圆" w:eastAsia="等线 Light" w:cs="幼圆"/>
      <w:kern w:val="0"/>
      <w:sz w:val="24"/>
      <w:szCs w:val="24"/>
    </w:rPr>
  </w:style>
  <w:style w:type="character" w:customStyle="1" w:styleId="134">
    <w:name w:val="iconline2"/>
    <w:basedOn w:val="57"/>
    <w:autoRedefine/>
    <w:qFormat/>
    <w:uiPriority w:val="0"/>
  </w:style>
  <w:style w:type="character" w:customStyle="1" w:styleId="135">
    <w:name w:val="ca-41"/>
    <w:autoRedefine/>
    <w:qFormat/>
    <w:uiPriority w:val="0"/>
    <w:rPr>
      <w:rFonts w:hint="eastAsia" w:ascii="微软雅黑" w:eastAsia="微软雅黑"/>
      <w:color w:val="FF0000"/>
      <w:kern w:val="2"/>
      <w:sz w:val="32"/>
      <w:szCs w:val="32"/>
      <w:lang w:val="en-US" w:eastAsia="zh-CN" w:bidi="ar-SA"/>
    </w:rPr>
  </w:style>
  <w:style w:type="character" w:customStyle="1" w:styleId="136">
    <w:name w:val="表格文字 Char"/>
    <w:link w:val="137"/>
    <w:autoRedefine/>
    <w:qFormat/>
    <w:uiPriority w:val="0"/>
    <w:rPr>
      <w:rFonts w:eastAsia="微软雅黑"/>
      <w:sz w:val="28"/>
      <w:szCs w:val="24"/>
    </w:rPr>
  </w:style>
  <w:style w:type="paragraph" w:customStyle="1" w:styleId="137">
    <w:name w:val="表格文字"/>
    <w:basedOn w:val="1"/>
    <w:link w:val="136"/>
    <w:autoRedefine/>
    <w:qFormat/>
    <w:uiPriority w:val="0"/>
    <w:pPr>
      <w:autoSpaceDE/>
      <w:autoSpaceDN/>
      <w:adjustRightInd/>
      <w:jc w:val="both"/>
    </w:pPr>
    <w:rPr>
      <w:rFonts w:ascii="Times New Roman" w:eastAsia="微软雅黑"/>
      <w:sz w:val="28"/>
    </w:rPr>
  </w:style>
  <w:style w:type="character" w:customStyle="1" w:styleId="138">
    <w:name w:val="keyfeatures1"/>
    <w:autoRedefine/>
    <w:qFormat/>
    <w:uiPriority w:val="0"/>
    <w:rPr>
      <w:rFonts w:hint="default" w:ascii="楷体_GB2312" w:hAnsi="楷体_GB2312" w:cs="楷体_GB2312"/>
      <w:color w:val="003366"/>
      <w:sz w:val="17"/>
      <w:szCs w:val="17"/>
      <w:u w:val="none"/>
    </w:rPr>
  </w:style>
  <w:style w:type="character" w:customStyle="1" w:styleId="139">
    <w:name w:val="标题 6 字符"/>
    <w:autoRedefine/>
    <w:qFormat/>
    <w:uiPriority w:val="0"/>
    <w:rPr>
      <w:rFonts w:ascii="FrutigerNext LT Light" w:hAnsi="FrutigerNext LT Light" w:eastAsia="FrutigerNext LT Light" w:cs="幼圆"/>
      <w:b/>
      <w:bCs/>
      <w:sz w:val="24"/>
      <w:szCs w:val="24"/>
    </w:rPr>
  </w:style>
  <w:style w:type="character" w:customStyle="1" w:styleId="140">
    <w:name w:val="font21"/>
    <w:basedOn w:val="57"/>
    <w:autoRedefine/>
    <w:qFormat/>
    <w:uiPriority w:val="0"/>
    <w:rPr>
      <w:rFonts w:hint="eastAsia" w:ascii="等线 Light" w:hAnsi="等线 Light" w:eastAsia="等线 Light" w:cs="等线 Light"/>
      <w:color w:val="000000"/>
      <w:sz w:val="20"/>
      <w:szCs w:val="20"/>
      <w:u w:val="none"/>
    </w:rPr>
  </w:style>
  <w:style w:type="character" w:customStyle="1" w:styleId="141">
    <w:name w:val="标题 6 Char1"/>
    <w:autoRedefine/>
    <w:qFormat/>
    <w:uiPriority w:val="0"/>
    <w:rPr>
      <w:rFonts w:ascii="楷体_GB2312" w:hAnsi="楷体_GB2312" w:eastAsia="PMingLiU"/>
      <w:b/>
      <w:bCs/>
      <w:kern w:val="2"/>
      <w:sz w:val="24"/>
      <w:szCs w:val="24"/>
      <w:lang w:val="en-US" w:eastAsia="zh-CN" w:bidi="ar-SA"/>
    </w:rPr>
  </w:style>
  <w:style w:type="character" w:customStyle="1" w:styleId="142">
    <w:name w:val="批注文字 Char2"/>
    <w:autoRedefine/>
    <w:qFormat/>
    <w:uiPriority w:val="99"/>
  </w:style>
  <w:style w:type="character" w:customStyle="1" w:styleId="143">
    <w:name w:val="Char Char8"/>
    <w:autoRedefine/>
    <w:qFormat/>
    <w:uiPriority w:val="0"/>
    <w:rPr>
      <w:kern w:val="2"/>
      <w:sz w:val="18"/>
      <w:szCs w:val="18"/>
    </w:rPr>
  </w:style>
  <w:style w:type="character" w:customStyle="1" w:styleId="144">
    <w:name w:val="l-btn-text36"/>
    <w:autoRedefine/>
    <w:qFormat/>
    <w:uiPriority w:val="0"/>
  </w:style>
  <w:style w:type="character" w:customStyle="1" w:styleId="145">
    <w:name w:val="cdropleft"/>
    <w:basedOn w:val="57"/>
    <w:autoRedefine/>
    <w:qFormat/>
    <w:uiPriority w:val="0"/>
  </w:style>
  <w:style w:type="character" w:customStyle="1" w:styleId="146">
    <w:name w:val="标书正文格式 Char Char"/>
    <w:link w:val="147"/>
    <w:autoRedefine/>
    <w:qFormat/>
    <w:uiPriority w:val="0"/>
    <w:rPr>
      <w:rFonts w:eastAsia="Cambria Math"/>
      <w:kern w:val="2"/>
      <w:sz w:val="24"/>
      <w:lang w:val="en-US" w:eastAsia="zh-CN" w:bidi="ar-SA"/>
    </w:rPr>
  </w:style>
  <w:style w:type="paragraph" w:customStyle="1" w:styleId="147">
    <w:name w:val="标书正文格式"/>
    <w:link w:val="146"/>
    <w:autoRedefine/>
    <w:qFormat/>
    <w:uiPriority w:val="0"/>
    <w:pPr>
      <w:spacing w:line="360" w:lineRule="auto"/>
      <w:ind w:firstLine="200" w:firstLineChars="200"/>
    </w:pPr>
    <w:rPr>
      <w:rFonts w:ascii="Times New Roman" w:hAnsi="Times New Roman" w:eastAsia="Cambria Math" w:cs="Times New Roman"/>
      <w:kern w:val="2"/>
      <w:sz w:val="24"/>
      <w:lang w:val="en-US" w:eastAsia="zh-CN" w:bidi="ar-SA"/>
    </w:rPr>
  </w:style>
  <w:style w:type="character" w:customStyle="1" w:styleId="148">
    <w:name w:val="简述正文"/>
    <w:autoRedefine/>
    <w:qFormat/>
    <w:uiPriority w:val="0"/>
    <w:rPr>
      <w:sz w:val="23"/>
    </w:rPr>
  </w:style>
  <w:style w:type="character" w:customStyle="1" w:styleId="149">
    <w:name w:val="apple-style-span"/>
    <w:autoRedefine/>
    <w:qFormat/>
    <w:uiPriority w:val="0"/>
  </w:style>
  <w:style w:type="character" w:customStyle="1" w:styleId="150">
    <w:name w:val="font81"/>
    <w:autoRedefine/>
    <w:qFormat/>
    <w:uiPriority w:val="0"/>
    <w:rPr>
      <w:rFonts w:hint="default" w:ascii="幼圆" w:hAnsi="幼圆" w:cs="幼圆"/>
      <w:color w:val="000000"/>
      <w:sz w:val="20"/>
      <w:szCs w:val="20"/>
      <w:u w:val="none"/>
    </w:rPr>
  </w:style>
  <w:style w:type="character" w:customStyle="1" w:styleId="151">
    <w:name w:val="postbody"/>
    <w:autoRedefine/>
    <w:qFormat/>
    <w:uiPriority w:val="0"/>
  </w:style>
  <w:style w:type="character" w:customStyle="1" w:styleId="152">
    <w:name w:val="标题 4 Char1"/>
    <w:autoRedefine/>
    <w:qFormat/>
    <w:uiPriority w:val="9"/>
    <w:rPr>
      <w:rFonts w:ascii="楷体_GB2312" w:hAnsi="楷体_GB2312" w:eastAsia="等线 Light" w:cs="幼圆"/>
      <w:b/>
      <w:bCs/>
      <w:szCs w:val="28"/>
    </w:rPr>
  </w:style>
  <w:style w:type="character" w:customStyle="1" w:styleId="153">
    <w:name w:val="正文文本缩进 Char"/>
    <w:autoRedefine/>
    <w:qFormat/>
    <w:uiPriority w:val="0"/>
    <w:rPr>
      <w:rFonts w:ascii="幼圆" w:hAnsi="幼圆" w:eastAsia="等线 Light" w:cs="幼圆"/>
      <w:szCs w:val="20"/>
      <w:lang w:val="en-US" w:eastAsia="zh-CN"/>
    </w:rPr>
  </w:style>
  <w:style w:type="character" w:customStyle="1" w:styleId="154">
    <w:name w:val=" Char Char3"/>
    <w:autoRedefine/>
    <w:qFormat/>
    <w:uiPriority w:val="0"/>
    <w:rPr>
      <w:rFonts w:eastAsia="等线 Light"/>
      <w:kern w:val="2"/>
      <w:sz w:val="28"/>
      <w:szCs w:val="24"/>
      <w:lang w:val="en-US" w:eastAsia="zh-CN" w:bidi="ar-SA"/>
    </w:rPr>
  </w:style>
  <w:style w:type="character" w:customStyle="1" w:styleId="155">
    <w:name w:val="彩色列表 - 强调文字颜色 1 Char"/>
    <w:link w:val="156"/>
    <w:autoRedefine/>
    <w:qFormat/>
    <w:uiPriority w:val="0"/>
    <w:rPr>
      <w:rFonts w:ascii="等线 Light"/>
      <w:sz w:val="24"/>
      <w:szCs w:val="24"/>
    </w:rPr>
  </w:style>
  <w:style w:type="paragraph" w:customStyle="1" w:styleId="156">
    <w:name w:val="彩色列表 - 强调文字颜色 11"/>
    <w:basedOn w:val="1"/>
    <w:link w:val="155"/>
    <w:autoRedefine/>
    <w:qFormat/>
    <w:uiPriority w:val="0"/>
    <w:pPr>
      <w:ind w:firstLine="420" w:firstLineChars="200"/>
    </w:pPr>
  </w:style>
  <w:style w:type="character" w:customStyle="1" w:styleId="157">
    <w:name w:val="标题 字符1"/>
    <w:autoRedefine/>
    <w:qFormat/>
    <w:uiPriority w:val="10"/>
    <w:rPr>
      <w:rFonts w:ascii="FrutigerNext LT Light" w:hAnsi="FrutigerNext LT Light" w:eastAsia="font-weight : 400"/>
      <w:b/>
      <w:bCs/>
      <w:kern w:val="2"/>
      <w:sz w:val="28"/>
      <w:szCs w:val="32"/>
    </w:rPr>
  </w:style>
  <w:style w:type="character" w:customStyle="1" w:styleId="158">
    <w:name w:val="页脚 Char"/>
    <w:autoRedefine/>
    <w:qFormat/>
    <w:uiPriority w:val="99"/>
    <w:rPr>
      <w:rFonts w:eastAsia="Arial Unicode MS"/>
      <w:sz w:val="21"/>
    </w:rPr>
  </w:style>
  <w:style w:type="character" w:customStyle="1" w:styleId="159">
    <w:name w:val="签名 Char1"/>
    <w:autoRedefine/>
    <w:qFormat/>
    <w:uiPriority w:val="0"/>
    <w:rPr>
      <w:rFonts w:eastAsia="等线 Light"/>
      <w:kern w:val="2"/>
      <w:sz w:val="21"/>
      <w:szCs w:val="24"/>
      <w:lang w:val="en-US" w:eastAsia="zh-CN" w:bidi="ar-SA"/>
    </w:rPr>
  </w:style>
  <w:style w:type="character" w:customStyle="1" w:styleId="160">
    <w:name w:val="正文文本 2 Char1"/>
    <w:autoRedefine/>
    <w:qFormat/>
    <w:uiPriority w:val="0"/>
    <w:rPr>
      <w:rFonts w:ascii="等线 Light" w:hAnsi="等线 Light" w:eastAsia="等线 Light"/>
      <w:kern w:val="2"/>
      <w:sz w:val="24"/>
      <w:szCs w:val="24"/>
      <w:lang w:val="en-US" w:eastAsia="zh-CN" w:bidi="ar-SA"/>
    </w:rPr>
  </w:style>
  <w:style w:type="character" w:customStyle="1" w:styleId="161">
    <w:name w:val="正文文本 Char3"/>
    <w:autoRedefine/>
    <w:qFormat/>
    <w:uiPriority w:val="0"/>
    <w:rPr>
      <w:rFonts w:eastAsia="等线 Light"/>
      <w:kern w:val="2"/>
      <w:sz w:val="21"/>
      <w:szCs w:val="24"/>
      <w:lang w:val="en-US" w:eastAsia="zh-CN" w:bidi="ar-SA"/>
    </w:rPr>
  </w:style>
  <w:style w:type="character" w:customStyle="1" w:styleId="162">
    <w:name w:val="正文文本 3 Char2"/>
    <w:autoRedefine/>
    <w:qFormat/>
    <w:uiPriority w:val="0"/>
    <w:rPr>
      <w:rFonts w:ascii="等线 Light" w:hAnsi="等线 Light" w:eastAsia="等线 Light"/>
      <w:kern w:val="2"/>
      <w:sz w:val="28"/>
      <w:szCs w:val="24"/>
      <w:lang w:val="en-US" w:eastAsia="zh-CN" w:bidi="ar-SA"/>
    </w:rPr>
  </w:style>
  <w:style w:type="character" w:customStyle="1" w:styleId="163">
    <w:name w:val="ca-0"/>
    <w:autoRedefine/>
    <w:qFormat/>
    <w:uiPriority w:val="0"/>
  </w:style>
  <w:style w:type="character" w:customStyle="1" w:styleId="164">
    <w:name w:val="hilite6"/>
    <w:autoRedefine/>
    <w:qFormat/>
    <w:uiPriority w:val="0"/>
    <w:rPr>
      <w:color w:val="FFFFFF"/>
      <w:shd w:val="clear" w:color="auto" w:fill="666666"/>
    </w:rPr>
  </w:style>
  <w:style w:type="character" w:customStyle="1" w:styleId="165">
    <w:name w:val="Char Char3"/>
    <w:autoRedefine/>
    <w:qFormat/>
    <w:uiPriority w:val="0"/>
    <w:rPr>
      <w:rFonts w:ascii="Cambria Math" w:eastAsia="Cambria Math"/>
      <w:sz w:val="18"/>
      <w:szCs w:val="18"/>
    </w:rPr>
  </w:style>
  <w:style w:type="character" w:customStyle="1" w:styleId="166">
    <w:name w:val="纯文本 Char2"/>
    <w:autoRedefine/>
    <w:qFormat/>
    <w:uiPriority w:val="0"/>
    <w:rPr>
      <w:rFonts w:ascii="等线 Light" w:hAnsi="Helv" w:eastAsia="等线 Light"/>
    </w:rPr>
  </w:style>
  <w:style w:type="character" w:customStyle="1" w:styleId="167">
    <w:name w:val="签名 Char"/>
    <w:autoRedefine/>
    <w:qFormat/>
    <w:uiPriority w:val="0"/>
    <w:rPr>
      <w:rFonts w:eastAsia="等线 Light"/>
      <w:kern w:val="2"/>
      <w:sz w:val="21"/>
      <w:szCs w:val="24"/>
      <w:lang w:val="en-US" w:eastAsia="zh-CN" w:bidi="ar-SA"/>
    </w:rPr>
  </w:style>
  <w:style w:type="character" w:customStyle="1" w:styleId="168">
    <w:name w:val="正文文本 Char2"/>
    <w:autoRedefine/>
    <w:qFormat/>
    <w:uiPriority w:val="0"/>
  </w:style>
  <w:style w:type="character" w:customStyle="1" w:styleId="169">
    <w:name w:val="彩色列表 - 着色 1 字符"/>
    <w:link w:val="170"/>
    <w:autoRedefine/>
    <w:qFormat/>
    <w:uiPriority w:val="0"/>
    <w:rPr>
      <w:rFonts w:ascii="Arial Unicode MS" w:hAnsi="Arial Unicode MS"/>
      <w:kern w:val="2"/>
      <w:sz w:val="21"/>
      <w:szCs w:val="22"/>
    </w:rPr>
  </w:style>
  <w:style w:type="paragraph" w:customStyle="1" w:styleId="170">
    <w:name w:val="彩色列表 - 着色 11"/>
    <w:basedOn w:val="1"/>
    <w:link w:val="169"/>
    <w:autoRedefine/>
    <w:qFormat/>
    <w:uiPriority w:val="0"/>
    <w:pPr>
      <w:autoSpaceDE/>
      <w:autoSpaceDN/>
      <w:adjustRightInd/>
      <w:ind w:firstLine="420" w:firstLineChars="200"/>
      <w:jc w:val="both"/>
    </w:pPr>
    <w:rPr>
      <w:rFonts w:ascii="Arial Unicode MS" w:hAnsi="Arial Unicode MS"/>
      <w:kern w:val="2"/>
      <w:sz w:val="21"/>
      <w:szCs w:val="22"/>
    </w:rPr>
  </w:style>
  <w:style w:type="character" w:customStyle="1" w:styleId="171">
    <w:name w:val="正文首行缩进 Char1"/>
    <w:autoRedefine/>
    <w:qFormat/>
    <w:uiPriority w:val="99"/>
  </w:style>
  <w:style w:type="character" w:customStyle="1" w:styleId="172">
    <w:name w:val="标题 1 Char"/>
    <w:autoRedefine/>
    <w:qFormat/>
    <w:uiPriority w:val="9"/>
    <w:rPr>
      <w:rFonts w:ascii="幼圆" w:hAnsi="幼圆" w:eastAsia="等线 Light" w:cs="幼圆"/>
      <w:b/>
      <w:bCs/>
      <w:kern w:val="44"/>
      <w:sz w:val="44"/>
      <w:szCs w:val="44"/>
      <w:lang w:val="en-US" w:eastAsia="zh-CN" w:bidi="ar-SA"/>
    </w:rPr>
  </w:style>
  <w:style w:type="character" w:customStyle="1" w:styleId="173">
    <w:name w:val="尾注文本 Char2"/>
    <w:autoRedefine/>
    <w:semiHidden/>
    <w:qFormat/>
    <w:uiPriority w:val="99"/>
    <w:rPr>
      <w:rFonts w:ascii="等线 Light"/>
      <w:sz w:val="24"/>
      <w:szCs w:val="24"/>
    </w:rPr>
  </w:style>
  <w:style w:type="character" w:customStyle="1" w:styleId="174">
    <w:name w:val="访问过的超链接1"/>
    <w:autoRedefine/>
    <w:qFormat/>
    <w:uiPriority w:val="0"/>
    <w:rPr>
      <w:rFonts w:ascii="楷体_GB2312" w:hAnsi="楷体_GB2312" w:cs="楷体_GB2312"/>
      <w:color w:val="000000"/>
      <w:sz w:val="20"/>
      <w:szCs w:val="20"/>
      <w:u w:val="none"/>
    </w:rPr>
  </w:style>
  <w:style w:type="character" w:customStyle="1" w:styleId="175">
    <w:name w:val="font11"/>
    <w:autoRedefine/>
    <w:qFormat/>
    <w:uiPriority w:val="0"/>
    <w:rPr>
      <w:rFonts w:hint="eastAsia" w:ascii="等线 Light" w:hAnsi="等线 Light" w:eastAsia="等线 Light" w:cs="等线 Light"/>
      <w:color w:val="000000"/>
      <w:sz w:val="21"/>
      <w:szCs w:val="21"/>
      <w:u w:val="none"/>
    </w:rPr>
  </w:style>
  <w:style w:type="character" w:customStyle="1" w:styleId="176">
    <w:name w:val="正文首行缩进 Char3"/>
    <w:autoRedefine/>
    <w:semiHidden/>
    <w:qFormat/>
    <w:uiPriority w:val="99"/>
    <w:rPr>
      <w:rFonts w:ascii="等线 Light" w:eastAsia="等线 Light"/>
      <w:b/>
      <w:bCs/>
      <w:sz w:val="24"/>
      <w:szCs w:val="24"/>
      <w:lang w:val="zh-CN"/>
    </w:rPr>
  </w:style>
  <w:style w:type="character" w:customStyle="1" w:styleId="177">
    <w:name w:val="批注框文本 Char3"/>
    <w:autoRedefine/>
    <w:qFormat/>
    <w:uiPriority w:val="99"/>
    <w:rPr>
      <w:rFonts w:eastAsia="等线 Light"/>
      <w:kern w:val="2"/>
      <w:sz w:val="18"/>
      <w:szCs w:val="18"/>
      <w:lang w:val="en-US" w:eastAsia="zh-CN" w:bidi="ar-SA"/>
    </w:rPr>
  </w:style>
  <w:style w:type="character" w:customStyle="1" w:styleId="178">
    <w:name w:val="脚注文本 Char"/>
    <w:autoRedefine/>
    <w:qFormat/>
    <w:uiPriority w:val="99"/>
    <w:rPr>
      <w:rFonts w:ascii="幼圆" w:hAnsi="幼圆" w:eastAsia="等线 Light" w:cs="幼圆"/>
      <w:kern w:val="2"/>
      <w:sz w:val="18"/>
      <w:szCs w:val="18"/>
      <w:lang w:bidi="ar-SA"/>
    </w:rPr>
  </w:style>
  <w:style w:type="character" w:customStyle="1" w:styleId="179">
    <w:name w:val="fontstrikethrough"/>
    <w:autoRedefine/>
    <w:qFormat/>
    <w:uiPriority w:val="0"/>
    <w:rPr>
      <w:strike/>
    </w:rPr>
  </w:style>
  <w:style w:type="character" w:customStyle="1" w:styleId="180">
    <w:name w:val="font101"/>
    <w:autoRedefine/>
    <w:qFormat/>
    <w:uiPriority w:val="0"/>
    <w:rPr>
      <w:rFonts w:hint="default" w:ascii="幼圆" w:hAnsi="幼圆" w:cs="幼圆"/>
      <w:color w:val="000000"/>
      <w:sz w:val="21"/>
      <w:szCs w:val="21"/>
      <w:u w:val="none"/>
    </w:rPr>
  </w:style>
  <w:style w:type="character" w:customStyle="1" w:styleId="181">
    <w:name w:val="spantable1"/>
    <w:autoRedefine/>
    <w:qFormat/>
    <w:uiPriority w:val="0"/>
    <w:rPr>
      <w:rFonts w:hint="default" w:eastAsia="等线 Light"/>
      <w:spacing w:val="360"/>
      <w:kern w:val="2"/>
      <w:sz w:val="18"/>
      <w:szCs w:val="18"/>
      <w:lang w:val="en-US" w:eastAsia="zh-CN" w:bidi="ar-SA"/>
    </w:rPr>
  </w:style>
  <w:style w:type="character" w:customStyle="1" w:styleId="182">
    <w:name w:val="disabled"/>
    <w:autoRedefine/>
    <w:qFormat/>
    <w:uiPriority w:val="0"/>
    <w:rPr>
      <w:rFonts w:eastAsia="等线 Light"/>
      <w:color w:val="DFDFDF"/>
      <w:kern w:val="2"/>
      <w:sz w:val="24"/>
      <w:szCs w:val="24"/>
      <w:bdr w:val="single" w:color="DFDFDF" w:sz="6" w:space="0"/>
      <w:shd w:val="clear" w:color="auto" w:fill="FFFFFF"/>
      <w:lang w:val="en-US" w:eastAsia="zh-CN" w:bidi="ar-SA"/>
    </w:rPr>
  </w:style>
  <w:style w:type="character" w:customStyle="1" w:styleId="183">
    <w:name w:val="font61"/>
    <w:autoRedefine/>
    <w:qFormat/>
    <w:uiPriority w:val="0"/>
    <w:rPr>
      <w:rFonts w:hint="eastAsia" w:ascii="等线 Light" w:hAnsi="等线 Light" w:eastAsia="等线 Light" w:cs="等线 Light"/>
      <w:color w:val="000000"/>
      <w:sz w:val="21"/>
      <w:szCs w:val="21"/>
      <w:u w:val="none"/>
    </w:rPr>
  </w:style>
  <w:style w:type="character" w:customStyle="1" w:styleId="184">
    <w:name w:val=" Char Char6"/>
    <w:autoRedefine/>
    <w:qFormat/>
    <w:uiPriority w:val="0"/>
    <w:rPr>
      <w:rFonts w:ascii="等线 Light" w:hAnsi="Helv" w:eastAsia="等线 Light"/>
      <w:szCs w:val="24"/>
    </w:rPr>
  </w:style>
  <w:style w:type="character" w:customStyle="1" w:styleId="185">
    <w:name w:val="正文无缩进 Char"/>
    <w:link w:val="186"/>
    <w:autoRedefine/>
    <w:qFormat/>
    <w:locked/>
    <w:uiPriority w:val="0"/>
    <w:rPr>
      <w:rFonts w:ascii="微软雅黑" w:hAnsi="等线 Light" w:eastAsia="微软雅黑"/>
      <w:kern w:val="2"/>
      <w:sz w:val="31"/>
      <w:szCs w:val="28"/>
    </w:rPr>
  </w:style>
  <w:style w:type="paragraph" w:customStyle="1" w:styleId="186">
    <w:name w:val="正文无缩进"/>
    <w:basedOn w:val="187"/>
    <w:link w:val="185"/>
    <w:autoRedefine/>
    <w:qFormat/>
    <w:uiPriority w:val="0"/>
    <w:pPr>
      <w:ind w:firstLine="0" w:firstLineChars="0"/>
    </w:pPr>
    <w:rPr>
      <w:kern w:val="2"/>
    </w:rPr>
  </w:style>
  <w:style w:type="paragraph" w:customStyle="1" w:styleId="187">
    <w:name w:val="正文缩进2格"/>
    <w:basedOn w:val="1"/>
    <w:next w:val="1"/>
    <w:link w:val="188"/>
    <w:autoRedefine/>
    <w:qFormat/>
    <w:uiPriority w:val="0"/>
    <w:pPr>
      <w:autoSpaceDE/>
      <w:autoSpaceDN/>
      <w:adjustRightInd/>
      <w:spacing w:line="600" w:lineRule="exact"/>
      <w:ind w:firstLine="639" w:firstLineChars="206"/>
      <w:jc w:val="both"/>
    </w:pPr>
    <w:rPr>
      <w:rFonts w:ascii="微软雅黑" w:hAnsi="等线 Light" w:eastAsia="微软雅黑"/>
      <w:sz w:val="31"/>
      <w:szCs w:val="28"/>
    </w:rPr>
  </w:style>
  <w:style w:type="character" w:customStyle="1" w:styleId="188">
    <w:name w:val="正文缩进2格 Char"/>
    <w:link w:val="187"/>
    <w:autoRedefine/>
    <w:qFormat/>
    <w:uiPriority w:val="0"/>
    <w:rPr>
      <w:rFonts w:ascii="微软雅黑" w:hAnsi="等线 Light" w:eastAsia="微软雅黑"/>
      <w:sz w:val="31"/>
      <w:szCs w:val="28"/>
    </w:rPr>
  </w:style>
  <w:style w:type="character" w:customStyle="1" w:styleId="189">
    <w:name w:val="font91"/>
    <w:autoRedefine/>
    <w:qFormat/>
    <w:uiPriority w:val="0"/>
    <w:rPr>
      <w:rFonts w:hint="default" w:ascii="幼圆" w:hAnsi="幼圆" w:cs="幼圆"/>
      <w:color w:val="000000"/>
      <w:sz w:val="21"/>
      <w:szCs w:val="21"/>
      <w:u w:val="none"/>
      <w:vertAlign w:val="subscript"/>
    </w:rPr>
  </w:style>
  <w:style w:type="character" w:customStyle="1" w:styleId="190">
    <w:name w:val="页脚 Char1"/>
    <w:autoRedefine/>
    <w:semiHidden/>
    <w:qFormat/>
    <w:uiPriority w:val="99"/>
    <w:rPr>
      <w:rFonts w:ascii="等线 Light" w:hAnsi="幼圆" w:eastAsia="等线 Light" w:cs="幼圆"/>
      <w:kern w:val="0"/>
      <w:sz w:val="18"/>
      <w:szCs w:val="18"/>
    </w:rPr>
  </w:style>
  <w:style w:type="character" w:customStyle="1" w:styleId="191">
    <w:name w:val="+正文 Char4"/>
    <w:link w:val="192"/>
    <w:autoRedefine/>
    <w:qFormat/>
    <w:uiPriority w:val="0"/>
    <w:rPr>
      <w:kern w:val="2"/>
      <w:sz w:val="24"/>
      <w:szCs w:val="28"/>
    </w:rPr>
  </w:style>
  <w:style w:type="paragraph" w:customStyle="1" w:styleId="192">
    <w:name w:val="+正文"/>
    <w:basedOn w:val="1"/>
    <w:link w:val="191"/>
    <w:autoRedefine/>
    <w:qFormat/>
    <w:uiPriority w:val="0"/>
    <w:pPr>
      <w:autoSpaceDE/>
      <w:autoSpaceDN/>
      <w:adjustRightInd/>
      <w:spacing w:line="360" w:lineRule="auto"/>
      <w:ind w:firstLine="200" w:firstLineChars="200"/>
      <w:jc w:val="both"/>
    </w:pPr>
    <w:rPr>
      <w:rFonts w:ascii="Times New Roman"/>
      <w:kern w:val="2"/>
      <w:szCs w:val="28"/>
    </w:rPr>
  </w:style>
  <w:style w:type="character" w:customStyle="1" w:styleId="193">
    <w:name w:val="表头文字 Char"/>
    <w:link w:val="194"/>
    <w:autoRedefine/>
    <w:qFormat/>
    <w:uiPriority w:val="0"/>
    <w:rPr>
      <w:rFonts w:eastAsia="微软雅黑"/>
      <w:b/>
      <w:sz w:val="28"/>
      <w:szCs w:val="21"/>
    </w:rPr>
  </w:style>
  <w:style w:type="paragraph" w:customStyle="1" w:styleId="194">
    <w:name w:val="表头文字"/>
    <w:basedOn w:val="1"/>
    <w:link w:val="193"/>
    <w:autoRedefine/>
    <w:qFormat/>
    <w:uiPriority w:val="0"/>
    <w:pPr>
      <w:autoSpaceDE/>
      <w:autoSpaceDN/>
      <w:snapToGrid w:val="0"/>
      <w:spacing w:before="120" w:line="360" w:lineRule="auto"/>
      <w:jc w:val="center"/>
      <w:textAlignment w:val="baseline"/>
    </w:pPr>
    <w:rPr>
      <w:rFonts w:ascii="Times New Roman" w:eastAsia="微软雅黑"/>
      <w:b/>
      <w:sz w:val="28"/>
      <w:szCs w:val="21"/>
    </w:rPr>
  </w:style>
  <w:style w:type="character" w:customStyle="1" w:styleId="195">
    <w:name w:val="日期 Char1"/>
    <w:autoRedefine/>
    <w:semiHidden/>
    <w:qFormat/>
    <w:uiPriority w:val="0"/>
    <w:rPr>
      <w:rFonts w:ascii="宋体"/>
      <w:sz w:val="24"/>
      <w:szCs w:val="24"/>
    </w:rPr>
  </w:style>
  <w:style w:type="character" w:customStyle="1" w:styleId="196">
    <w:name w:val="标题 3.1 Char"/>
    <w:link w:val="197"/>
    <w:autoRedefine/>
    <w:qFormat/>
    <w:uiPriority w:val="0"/>
    <w:rPr>
      <w:rFonts w:ascii="等线 Light" w:hAnsi="等线 Light"/>
      <w:b/>
      <w:bCs/>
      <w:sz w:val="32"/>
      <w:szCs w:val="32"/>
    </w:rPr>
  </w:style>
  <w:style w:type="paragraph" w:customStyle="1" w:styleId="197">
    <w:name w:val="标题 3.1"/>
    <w:basedOn w:val="6"/>
    <w:link w:val="196"/>
    <w:autoRedefine/>
    <w:qFormat/>
    <w:uiPriority w:val="0"/>
    <w:pPr>
      <w:keepNext/>
      <w:keepLines/>
      <w:pageBreakBefore/>
      <w:tabs>
        <w:tab w:val="left" w:pos="1440"/>
        <w:tab w:val="left" w:pos="1620"/>
      </w:tabs>
      <w:autoSpaceDE/>
      <w:autoSpaceDN/>
      <w:adjustRightInd/>
      <w:spacing w:before="260" w:after="260" w:line="600" w:lineRule="exact"/>
      <w:jc w:val="both"/>
    </w:pPr>
    <w:rPr>
      <w:rFonts w:hAnsi="等线 Light" w:eastAsia="宋体"/>
      <w:b/>
      <w:bCs/>
      <w:sz w:val="32"/>
      <w:szCs w:val="32"/>
    </w:rPr>
  </w:style>
  <w:style w:type="character" w:customStyle="1" w:styleId="198">
    <w:name w:val="批注文字 Char3"/>
    <w:autoRedefine/>
    <w:qFormat/>
    <w:uiPriority w:val="0"/>
    <w:rPr>
      <w:rFonts w:eastAsia="等线 Light"/>
      <w:kern w:val="2"/>
      <w:sz w:val="24"/>
      <w:szCs w:val="24"/>
      <w:lang w:val="en-US" w:eastAsia="zh-CN" w:bidi="ar-SA"/>
    </w:rPr>
  </w:style>
  <w:style w:type="character" w:customStyle="1" w:styleId="199">
    <w:name w:val="标题 2 字符2"/>
    <w:autoRedefine/>
    <w:qFormat/>
    <w:uiPriority w:val="0"/>
    <w:rPr>
      <w:rFonts w:ascii="楷体_GB2312" w:hAnsi="楷体_GB2312" w:eastAsia="PMingLiU"/>
      <w:b/>
      <w:bCs/>
      <w:kern w:val="2"/>
      <w:sz w:val="32"/>
      <w:szCs w:val="32"/>
      <w:lang w:val="en-US" w:eastAsia="zh-CN" w:bidi="ar-SA"/>
    </w:rPr>
  </w:style>
  <w:style w:type="character" w:customStyle="1" w:styleId="200">
    <w:name w:val="img9"/>
    <w:basedOn w:val="57"/>
    <w:autoRedefine/>
    <w:qFormat/>
    <w:uiPriority w:val="0"/>
  </w:style>
  <w:style w:type="character" w:customStyle="1" w:styleId="201">
    <w:name w:val="fontborder"/>
    <w:autoRedefine/>
    <w:qFormat/>
    <w:uiPriority w:val="0"/>
    <w:rPr>
      <w:bdr w:val="single" w:color="000000" w:sz="6" w:space="0"/>
    </w:rPr>
  </w:style>
  <w:style w:type="character" w:customStyle="1" w:styleId="202">
    <w:name w:val="标题 7 Char"/>
    <w:autoRedefine/>
    <w:qFormat/>
    <w:uiPriority w:val="0"/>
    <w:rPr>
      <w:rFonts w:ascii="幼圆" w:hAnsi="幼圆" w:eastAsia="等线 Light" w:cs="幼圆"/>
      <w:bCs/>
      <w:color w:val="000000"/>
      <w:kern w:val="2"/>
      <w:sz w:val="32"/>
      <w:szCs w:val="21"/>
      <w:lang w:val="en-US" w:eastAsia="zh-CN" w:bidi="ar-SA"/>
    </w:rPr>
  </w:style>
  <w:style w:type="character" w:customStyle="1" w:styleId="203">
    <w:name w:val="active7"/>
    <w:autoRedefine/>
    <w:qFormat/>
    <w:uiPriority w:val="0"/>
    <w:rPr>
      <w:color w:val="00FF00"/>
      <w:shd w:val="clear" w:color="auto" w:fill="111111"/>
    </w:rPr>
  </w:style>
  <w:style w:type="character" w:customStyle="1" w:styleId="204">
    <w:name w:val="curr"/>
    <w:autoRedefine/>
    <w:qFormat/>
    <w:uiPriority w:val="0"/>
    <w:rPr>
      <w:rFonts w:eastAsia="等线 Light"/>
      <w:color w:val="FF6600"/>
      <w:kern w:val="2"/>
      <w:sz w:val="24"/>
      <w:szCs w:val="24"/>
      <w:bdr w:val="single" w:color="FF6600" w:sz="6" w:space="0"/>
      <w:shd w:val="clear" w:color="auto" w:fill="FFEEE5"/>
      <w:lang w:val="en-US" w:eastAsia="zh-CN" w:bidi="ar-SA"/>
    </w:rPr>
  </w:style>
  <w:style w:type="character" w:customStyle="1" w:styleId="205">
    <w:name w:val="正文缩进2格 Char Char"/>
    <w:autoRedefine/>
    <w:qFormat/>
    <w:uiPriority w:val="0"/>
    <w:rPr>
      <w:rFonts w:ascii="微软雅黑" w:hAnsi="等线 Light" w:eastAsia="微软雅黑"/>
      <w:kern w:val="2"/>
      <w:sz w:val="31"/>
      <w:szCs w:val="28"/>
      <w:lang w:val="en-US" w:eastAsia="zh-CN" w:bidi="ar-SA"/>
    </w:rPr>
  </w:style>
  <w:style w:type="character" w:customStyle="1" w:styleId="206">
    <w:name w:val="font01"/>
    <w:autoRedefine/>
    <w:qFormat/>
    <w:uiPriority w:val="0"/>
    <w:rPr>
      <w:rFonts w:hint="eastAsia" w:ascii="等线 Light" w:hAnsi="等线 Light" w:eastAsia="等线 Light" w:cs="等线 Light"/>
      <w:color w:val="000000"/>
      <w:sz w:val="28"/>
      <w:szCs w:val="28"/>
      <w:u w:val="none"/>
    </w:rPr>
  </w:style>
  <w:style w:type="character" w:customStyle="1" w:styleId="207">
    <w:name w:val="show"/>
    <w:autoRedefine/>
    <w:qFormat/>
    <w:uiPriority w:val="0"/>
  </w:style>
  <w:style w:type="character" w:customStyle="1" w:styleId="208">
    <w:name w:val="批注文字 Char"/>
    <w:autoRedefine/>
    <w:qFormat/>
    <w:uiPriority w:val="99"/>
    <w:rPr>
      <w:rFonts w:ascii="幼圆" w:hAnsi="幼圆" w:eastAsia="等线 Light" w:cs="幼圆"/>
      <w:kern w:val="2"/>
      <w:sz w:val="24"/>
      <w:szCs w:val="24"/>
      <w:lang w:val="en-US" w:eastAsia="zh-CN" w:bidi="ar-SA"/>
    </w:rPr>
  </w:style>
  <w:style w:type="character" w:customStyle="1" w:styleId="209">
    <w:name w:val="ziti"/>
    <w:autoRedefine/>
    <w:qFormat/>
    <w:uiPriority w:val="0"/>
    <w:rPr>
      <w:rFonts w:hint="default" w:ascii="楷体_GB2312" w:hAnsi="楷体_GB2312" w:cs="楷体_GB2312"/>
      <w:sz w:val="16"/>
      <w:szCs w:val="16"/>
    </w:rPr>
  </w:style>
  <w:style w:type="character" w:customStyle="1" w:styleId="210">
    <w:name w:val="脚注文本 字符2"/>
    <w:autoRedefine/>
    <w:semiHidden/>
    <w:qFormat/>
    <w:uiPriority w:val="99"/>
    <w:rPr>
      <w:rFonts w:ascii="等线 Light"/>
      <w:sz w:val="18"/>
      <w:szCs w:val="18"/>
    </w:rPr>
  </w:style>
  <w:style w:type="character" w:customStyle="1" w:styleId="211">
    <w:name w:val="标题 Char"/>
    <w:autoRedefine/>
    <w:qFormat/>
    <w:uiPriority w:val="10"/>
    <w:rPr>
      <w:rFonts w:ascii="Cambria" w:hAnsi="Cambria"/>
      <w:b/>
      <w:bCs/>
      <w:sz w:val="32"/>
      <w:szCs w:val="32"/>
    </w:rPr>
  </w:style>
  <w:style w:type="character" w:customStyle="1" w:styleId="212">
    <w:name w:val="正文缩进 Char"/>
    <w:autoRedefine/>
    <w:qFormat/>
    <w:uiPriority w:val="0"/>
    <w:rPr>
      <w:rFonts w:ascii="幼圆" w:hAnsi="幼圆" w:eastAsia="等线 Light" w:cs="幼圆"/>
      <w:kern w:val="0"/>
      <w:sz w:val="20"/>
      <w:szCs w:val="20"/>
    </w:rPr>
  </w:style>
  <w:style w:type="character" w:customStyle="1" w:styleId="213">
    <w:name w:val="hover23"/>
    <w:autoRedefine/>
    <w:qFormat/>
    <w:uiPriority w:val="0"/>
    <w:rPr>
      <w:color w:val="D52222"/>
    </w:rPr>
  </w:style>
  <w:style w:type="character" w:customStyle="1" w:styleId="214">
    <w:name w:val="标题 3 字符1"/>
    <w:autoRedefine/>
    <w:qFormat/>
    <w:uiPriority w:val="0"/>
    <w:rPr>
      <w:rFonts w:ascii="等线 Light" w:hAnsi="幼圆" w:eastAsia="等线 Light" w:cs="幼圆"/>
      <w:kern w:val="0"/>
      <w:sz w:val="24"/>
      <w:szCs w:val="24"/>
    </w:rPr>
  </w:style>
  <w:style w:type="character" w:customStyle="1" w:styleId="215">
    <w:name w:val="ico1656"/>
    <w:basedOn w:val="57"/>
    <w:autoRedefine/>
    <w:qFormat/>
    <w:uiPriority w:val="0"/>
  </w:style>
  <w:style w:type="character" w:customStyle="1" w:styleId="216">
    <w:name w:val="中等深浅网格 2 字符"/>
    <w:link w:val="217"/>
    <w:autoRedefine/>
    <w:qFormat/>
    <w:uiPriority w:val="1"/>
    <w:rPr>
      <w:kern w:val="2"/>
      <w:sz w:val="21"/>
      <w:szCs w:val="22"/>
      <w:lang w:val="en-US" w:eastAsia="zh-CN" w:bidi="ar-SA"/>
    </w:rPr>
  </w:style>
  <w:style w:type="paragraph" w:customStyle="1" w:styleId="217">
    <w:name w:val="中等深浅网格 21"/>
    <w:link w:val="216"/>
    <w:autoRedefine/>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218">
    <w:name w:val="font41"/>
    <w:autoRedefine/>
    <w:qFormat/>
    <w:uiPriority w:val="0"/>
    <w:rPr>
      <w:rFonts w:hint="default" w:ascii="幼圆" w:hAnsi="幼圆" w:cs="幼圆"/>
      <w:color w:val="000000"/>
      <w:sz w:val="21"/>
      <w:szCs w:val="21"/>
      <w:u w:val="none"/>
    </w:rPr>
  </w:style>
  <w:style w:type="character" w:customStyle="1" w:styleId="219">
    <w:name w:val="正文首行缩进 字符"/>
    <w:basedOn w:val="161"/>
    <w:autoRedefine/>
    <w:qFormat/>
    <w:uiPriority w:val="0"/>
  </w:style>
  <w:style w:type="character" w:customStyle="1" w:styleId="220">
    <w:name w:val="标题 9 Char"/>
    <w:autoRedefine/>
    <w:qFormat/>
    <w:uiPriority w:val="0"/>
    <w:rPr>
      <w:rFonts w:ascii="楷体_GB2312" w:hAnsi="楷体_GB2312" w:eastAsia="等线 Light" w:cs="幼圆"/>
      <w:color w:val="000000"/>
      <w:kern w:val="2"/>
      <w:sz w:val="32"/>
      <w:szCs w:val="21"/>
      <w:lang w:val="en-US" w:eastAsia="zh-CN" w:bidi="ar-SA"/>
    </w:rPr>
  </w:style>
  <w:style w:type="character" w:customStyle="1" w:styleId="221">
    <w:name w:val="标书正文格式 Char"/>
    <w:autoRedefine/>
    <w:qFormat/>
    <w:uiPriority w:val="0"/>
    <w:rPr>
      <w:rFonts w:eastAsia="Cambria Math"/>
      <w:kern w:val="2"/>
      <w:sz w:val="24"/>
      <w:lang w:val="en-US" w:eastAsia="zh-CN" w:bidi="ar-SA"/>
    </w:rPr>
  </w:style>
  <w:style w:type="character" w:customStyle="1" w:styleId="222">
    <w:name w:val="layui-layer-tabnow"/>
    <w:autoRedefine/>
    <w:qFormat/>
    <w:uiPriority w:val="0"/>
    <w:rPr>
      <w:rFonts w:eastAsia="等线 Light"/>
      <w:kern w:val="2"/>
      <w:sz w:val="24"/>
      <w:szCs w:val="24"/>
      <w:bdr w:val="single" w:color="CCCCCC" w:sz="6" w:space="0"/>
      <w:shd w:val="clear" w:color="auto" w:fill="FFFFFF"/>
      <w:lang w:val="en-US" w:eastAsia="zh-CN" w:bidi="ar-SA"/>
    </w:rPr>
  </w:style>
  <w:style w:type="character" w:customStyle="1" w:styleId="223">
    <w:name w:val="Char Char6"/>
    <w:autoRedefine/>
    <w:qFormat/>
    <w:uiPriority w:val="0"/>
    <w:rPr>
      <w:rFonts w:ascii="_x001A_" w:eastAsia="_x001A_"/>
      <w:b/>
      <w:sz w:val="28"/>
    </w:rPr>
  </w:style>
  <w:style w:type="character" w:customStyle="1" w:styleId="224">
    <w:name w:val="hover64"/>
    <w:autoRedefine/>
    <w:qFormat/>
    <w:uiPriority w:val="0"/>
    <w:rPr>
      <w:rFonts w:eastAsia="等线 Light"/>
      <w:color w:val="D52222"/>
      <w:kern w:val="2"/>
      <w:sz w:val="24"/>
      <w:szCs w:val="24"/>
      <w:lang w:val="en-US" w:eastAsia="zh-CN" w:bidi="ar-SA"/>
    </w:rPr>
  </w:style>
  <w:style w:type="character" w:customStyle="1" w:styleId="225">
    <w:name w:val="正文文本缩进 Char1"/>
    <w:autoRedefine/>
    <w:semiHidden/>
    <w:qFormat/>
    <w:uiPriority w:val="99"/>
    <w:rPr>
      <w:rFonts w:ascii="宋体"/>
      <w:sz w:val="24"/>
      <w:szCs w:val="24"/>
    </w:rPr>
  </w:style>
  <w:style w:type="character" w:customStyle="1" w:styleId="226">
    <w:name w:val="标题 2 Char"/>
    <w:autoRedefine/>
    <w:qFormat/>
    <w:uiPriority w:val="0"/>
    <w:rPr>
      <w:rFonts w:ascii="楷体_GB2312" w:hAnsi="楷体_GB2312" w:eastAsia="PMingLiU" w:cs="幼圆"/>
      <w:b/>
      <w:bCs/>
      <w:kern w:val="2"/>
      <w:sz w:val="32"/>
      <w:szCs w:val="32"/>
      <w:lang w:val="en-US" w:eastAsia="zh-CN" w:bidi="ar-SA"/>
    </w:rPr>
  </w:style>
  <w:style w:type="character" w:customStyle="1" w:styleId="227">
    <w:name w:val="icon-pd-bbs"/>
    <w:autoRedefine/>
    <w:qFormat/>
    <w:uiPriority w:val="0"/>
  </w:style>
  <w:style w:type="character" w:customStyle="1" w:styleId="228">
    <w:name w:val="正文文本 3 Char"/>
    <w:autoRedefine/>
    <w:qFormat/>
    <w:uiPriority w:val="0"/>
    <w:rPr>
      <w:rFonts w:ascii="等线 Light" w:hAnsi="等线 Light" w:eastAsia="等线 Light" w:cs="幼圆"/>
      <w:kern w:val="2"/>
      <w:sz w:val="28"/>
      <w:szCs w:val="24"/>
      <w:lang w:val="en-US" w:eastAsia="zh-CN" w:bidi="ar-SA"/>
    </w:rPr>
  </w:style>
  <w:style w:type="character" w:customStyle="1" w:styleId="229">
    <w:name w:val="icontext11"/>
    <w:basedOn w:val="57"/>
    <w:autoRedefine/>
    <w:qFormat/>
    <w:uiPriority w:val="0"/>
  </w:style>
  <w:style w:type="character" w:customStyle="1" w:styleId="230">
    <w:name w:val="associateddata"/>
    <w:autoRedefine/>
    <w:qFormat/>
    <w:uiPriority w:val="0"/>
    <w:rPr>
      <w:shd w:val="clear" w:color="auto" w:fill="50A6F9"/>
    </w:rPr>
  </w:style>
  <w:style w:type="character" w:customStyle="1" w:styleId="231">
    <w:name w:val="bigfont1"/>
    <w:autoRedefine/>
    <w:qFormat/>
    <w:uiPriority w:val="0"/>
    <w:rPr>
      <w:rFonts w:hint="default" w:ascii="MS Sans Serif" w:hAnsi="MS Sans Serif"/>
      <w:color w:val="000000"/>
      <w:sz w:val="24"/>
      <w:szCs w:val="24"/>
      <w:u w:val="none"/>
    </w:rPr>
  </w:style>
  <w:style w:type="character" w:customStyle="1" w:styleId="232">
    <w:name w:val="正文文本缩进 2 Char1"/>
    <w:autoRedefine/>
    <w:qFormat/>
    <w:uiPriority w:val="0"/>
    <w:rPr>
      <w:rFonts w:eastAsia="等线 Light"/>
      <w:kern w:val="2"/>
      <w:sz w:val="21"/>
      <w:szCs w:val="24"/>
      <w:lang w:val="en-US" w:eastAsia="zh-CN" w:bidi="ar-SA"/>
    </w:rPr>
  </w:style>
  <w:style w:type="character" w:customStyle="1" w:styleId="233">
    <w:name w:val="正文文本缩进 3 Char"/>
    <w:autoRedefine/>
    <w:qFormat/>
    <w:uiPriority w:val="0"/>
    <w:rPr>
      <w:rFonts w:ascii="幼圆" w:hAnsi="幼圆" w:eastAsia="等线 Light" w:cs="幼圆"/>
      <w:kern w:val="2"/>
      <w:sz w:val="24"/>
      <w:szCs w:val="21"/>
      <w:lang w:val="en-US" w:eastAsia="zh-CN" w:bidi="ar-SA"/>
    </w:rPr>
  </w:style>
  <w:style w:type="character" w:customStyle="1" w:styleId="234">
    <w:name w:val="DAS正文 Char"/>
    <w:autoRedefine/>
    <w:qFormat/>
    <w:uiPriority w:val="0"/>
    <w:rPr>
      <w:rFonts w:ascii="Lucida Grande" w:hAnsi="Lucida Grande" w:eastAsia="等线 Light"/>
      <w:kern w:val="2"/>
      <w:sz w:val="21"/>
      <w:szCs w:val="21"/>
      <w:lang w:val="en-US" w:eastAsia="zh-CN" w:bidi="ar-SA"/>
    </w:rPr>
  </w:style>
  <w:style w:type="character" w:customStyle="1" w:styleId="235">
    <w:name w:val="iconline21"/>
    <w:basedOn w:val="57"/>
    <w:autoRedefine/>
    <w:qFormat/>
    <w:uiPriority w:val="0"/>
  </w:style>
  <w:style w:type="character" w:customStyle="1" w:styleId="236">
    <w:name w:val="cdropright"/>
    <w:basedOn w:val="57"/>
    <w:autoRedefine/>
    <w:qFormat/>
    <w:uiPriority w:val="0"/>
  </w:style>
  <w:style w:type="character" w:customStyle="1" w:styleId="237">
    <w:name w:val="drapbtn"/>
    <w:basedOn w:val="57"/>
    <w:autoRedefine/>
    <w:qFormat/>
    <w:uiPriority w:val="0"/>
  </w:style>
  <w:style w:type="character" w:customStyle="1" w:styleId="238">
    <w:name w:val="HTML Markup"/>
    <w:autoRedefine/>
    <w:qFormat/>
    <w:uiPriority w:val="0"/>
    <w:rPr>
      <w:vanish/>
      <w:color w:val="FF0000"/>
    </w:rPr>
  </w:style>
  <w:style w:type="character" w:customStyle="1" w:styleId="239">
    <w:name w:val="first-child"/>
    <w:autoRedefine/>
    <w:qFormat/>
    <w:uiPriority w:val="0"/>
  </w:style>
  <w:style w:type="character" w:customStyle="1" w:styleId="240">
    <w:name w:val="标题 1 Char1"/>
    <w:autoRedefine/>
    <w:qFormat/>
    <w:uiPriority w:val="0"/>
    <w:rPr>
      <w:rFonts w:eastAsia="等线 Light"/>
      <w:b/>
      <w:bCs/>
      <w:kern w:val="44"/>
      <w:sz w:val="44"/>
      <w:szCs w:val="44"/>
      <w:lang w:val="en-US" w:eastAsia="zh-CN" w:bidi="ar-SA"/>
    </w:rPr>
  </w:style>
  <w:style w:type="character" w:customStyle="1" w:styleId="241">
    <w:name w:val="普通(网站) Char"/>
    <w:autoRedefine/>
    <w:qFormat/>
    <w:uiPriority w:val="99"/>
    <w:rPr>
      <w:rFonts w:ascii="等线 Light" w:hAnsi="等线 Light"/>
      <w:sz w:val="15"/>
      <w:szCs w:val="15"/>
    </w:rPr>
  </w:style>
  <w:style w:type="character" w:customStyle="1" w:styleId="242">
    <w:name w:val="style61"/>
    <w:autoRedefine/>
    <w:qFormat/>
    <w:uiPriority w:val="0"/>
    <w:rPr>
      <w:b/>
      <w:bCs/>
    </w:rPr>
  </w:style>
  <w:style w:type="character" w:customStyle="1" w:styleId="243">
    <w:name w:val="font51"/>
    <w:autoRedefine/>
    <w:qFormat/>
    <w:uiPriority w:val="0"/>
    <w:rPr>
      <w:rFonts w:hint="default" w:ascii="幼圆" w:hAnsi="幼圆" w:cs="幼圆"/>
      <w:color w:val="000000"/>
      <w:sz w:val="20"/>
      <w:szCs w:val="20"/>
      <w:u w:val="none"/>
    </w:rPr>
  </w:style>
  <w:style w:type="character" w:customStyle="1" w:styleId="244">
    <w:name w:val="Char Char Char Char Char Char Char1 Char"/>
    <w:autoRedefine/>
    <w:qFormat/>
    <w:uiPriority w:val="0"/>
    <w:rPr>
      <w:rFonts w:ascii="PMingLiU" w:hAnsi="Lucida Grande" w:eastAsia="PMingLiU"/>
      <w:sz w:val="32"/>
      <w:szCs w:val="32"/>
      <w:lang w:eastAsia="en-US"/>
    </w:rPr>
  </w:style>
  <w:style w:type="character" w:customStyle="1" w:styleId="245">
    <w:name w:val="Char Char2"/>
    <w:autoRedefine/>
    <w:qFormat/>
    <w:uiPriority w:val="0"/>
    <w:rPr>
      <w:kern w:val="2"/>
      <w:sz w:val="21"/>
      <w:szCs w:val="24"/>
    </w:rPr>
  </w:style>
  <w:style w:type="character" w:customStyle="1" w:styleId="246">
    <w:name w:val="标题 8 Char"/>
    <w:autoRedefine/>
    <w:qFormat/>
    <w:uiPriority w:val="0"/>
    <w:rPr>
      <w:rFonts w:ascii="楷体_GB2312" w:hAnsi="楷体_GB2312" w:eastAsia="等线 Light" w:cs="幼圆"/>
      <w:color w:val="000000"/>
      <w:kern w:val="2"/>
      <w:sz w:val="32"/>
      <w:szCs w:val="21"/>
      <w:lang w:val="en-US" w:eastAsia="zh-CN" w:bidi="ar-SA"/>
    </w:rPr>
  </w:style>
  <w:style w:type="character" w:customStyle="1" w:styleId="247">
    <w:name w:val="样式 样式 标准正文 + 宋体 + 黑色 Char Char"/>
    <w:link w:val="248"/>
    <w:autoRedefine/>
    <w:qFormat/>
    <w:uiPriority w:val="0"/>
    <w:rPr>
      <w:rFonts w:ascii="等线 Light" w:hAnsi="等线 Light"/>
      <w:color w:val="000000"/>
      <w:kern w:val="2"/>
      <w:sz w:val="24"/>
    </w:rPr>
  </w:style>
  <w:style w:type="paragraph" w:customStyle="1" w:styleId="248">
    <w:name w:val="样式 样式 标准正文 + 宋体 + 黑色"/>
    <w:basedOn w:val="1"/>
    <w:link w:val="247"/>
    <w:autoRedefine/>
    <w:qFormat/>
    <w:uiPriority w:val="0"/>
    <w:pPr>
      <w:autoSpaceDE/>
      <w:autoSpaceDN/>
      <w:adjustRightInd/>
      <w:spacing w:before="60" w:after="60" w:line="360" w:lineRule="auto"/>
      <w:ind w:firstLine="482"/>
      <w:jc w:val="both"/>
    </w:pPr>
    <w:rPr>
      <w:rFonts w:hAnsi="等线 Light"/>
      <w:color w:val="000000"/>
      <w:kern w:val="2"/>
      <w:szCs w:val="20"/>
    </w:rPr>
  </w:style>
  <w:style w:type="character" w:customStyle="1" w:styleId="249">
    <w:name w:val="尾注文本 字符"/>
    <w:autoRedefine/>
    <w:qFormat/>
    <w:uiPriority w:val="0"/>
    <w:rPr>
      <w:rFonts w:ascii="幼圆" w:hAnsi="幼圆" w:eastAsia="等线 Light" w:cs="幼圆"/>
      <w:kern w:val="2"/>
      <w:sz w:val="24"/>
      <w:szCs w:val="24"/>
      <w:lang w:bidi="ar-SA"/>
    </w:rPr>
  </w:style>
  <w:style w:type="character" w:customStyle="1" w:styleId="250">
    <w:name w:val="article1"/>
    <w:autoRedefine/>
    <w:qFormat/>
    <w:uiPriority w:val="0"/>
    <w:rPr>
      <w:sz w:val="30"/>
      <w:szCs w:val="30"/>
    </w:rPr>
  </w:style>
  <w:style w:type="character" w:customStyle="1" w:styleId="251">
    <w:name w:val="apple-converted-space"/>
    <w:autoRedefine/>
    <w:qFormat/>
    <w:uiPriority w:val="0"/>
  </w:style>
  <w:style w:type="character" w:customStyle="1" w:styleId="252">
    <w:name w:val="纯文本 Char1"/>
    <w:autoRedefine/>
    <w:qFormat/>
    <w:uiPriority w:val="0"/>
    <w:rPr>
      <w:rFonts w:ascii="等线 Light" w:hAnsi="Helv" w:eastAsia="等线 Light" w:cs="Helv"/>
      <w:kern w:val="0"/>
      <w:szCs w:val="21"/>
    </w:rPr>
  </w:style>
  <w:style w:type="character" w:customStyle="1" w:styleId="253">
    <w:name w:val="文档结构图 Char1"/>
    <w:autoRedefine/>
    <w:semiHidden/>
    <w:qFormat/>
    <w:uiPriority w:val="99"/>
    <w:rPr>
      <w:rFonts w:ascii="Microsoft YaHei UI" w:eastAsia="Microsoft YaHei UI"/>
      <w:sz w:val="18"/>
      <w:szCs w:val="18"/>
    </w:rPr>
  </w:style>
  <w:style w:type="character" w:customStyle="1" w:styleId="254">
    <w:name w:val="l-btn-text35"/>
    <w:autoRedefine/>
    <w:qFormat/>
    <w:uiPriority w:val="0"/>
  </w:style>
  <w:style w:type="character" w:customStyle="1" w:styleId="255">
    <w:name w:val=" Char Char Char Char Char Char Char1 Char Char"/>
    <w:link w:val="256"/>
    <w:autoRedefine/>
    <w:qFormat/>
    <w:uiPriority w:val="0"/>
    <w:rPr>
      <w:rFonts w:ascii="PMingLiU" w:hAnsi="Lucida Grande" w:eastAsia="PMingLiU"/>
      <w:sz w:val="32"/>
      <w:szCs w:val="32"/>
      <w:lang w:eastAsia="en-US"/>
    </w:rPr>
  </w:style>
  <w:style w:type="paragraph" w:customStyle="1" w:styleId="256">
    <w:name w:val=" Char Char Char Char Char Char Char1"/>
    <w:basedOn w:val="1"/>
    <w:link w:val="255"/>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character" w:customStyle="1" w:styleId="257">
    <w:name w:val="hover41"/>
    <w:autoRedefine/>
    <w:qFormat/>
    <w:uiPriority w:val="0"/>
    <w:rPr>
      <w:color w:val="2490F8"/>
    </w:rPr>
  </w:style>
  <w:style w:type="character" w:customStyle="1" w:styleId="258">
    <w:name w:val="font71"/>
    <w:autoRedefine/>
    <w:qFormat/>
    <w:uiPriority w:val="0"/>
    <w:rPr>
      <w:rFonts w:hint="eastAsia" w:ascii="等线 Light" w:hAnsi="等线 Light" w:eastAsia="等线 Light" w:cs="等线 Light"/>
      <w:color w:val="000000"/>
      <w:sz w:val="20"/>
      <w:szCs w:val="20"/>
      <w:u w:val="none"/>
    </w:rPr>
  </w:style>
  <w:style w:type="character" w:customStyle="1" w:styleId="259">
    <w:name w:val="页眉 Char2"/>
    <w:autoRedefine/>
    <w:qFormat/>
    <w:uiPriority w:val="0"/>
    <w:rPr>
      <w:rFonts w:eastAsia="等线 Light"/>
      <w:kern w:val="2"/>
      <w:sz w:val="18"/>
      <w:szCs w:val="18"/>
      <w:lang w:val="en-US" w:eastAsia="zh-CN" w:bidi="ar-SA"/>
    </w:rPr>
  </w:style>
  <w:style w:type="character" w:customStyle="1" w:styleId="260">
    <w:name w:val="首航所进 Char"/>
    <w:autoRedefine/>
    <w:qFormat/>
    <w:uiPriority w:val="0"/>
    <w:rPr>
      <w:rFonts w:eastAsia="等线 Light"/>
      <w:kern w:val="2"/>
      <w:sz w:val="24"/>
      <w:szCs w:val="24"/>
      <w:lang w:val="en-US" w:eastAsia="zh-CN" w:bidi="ar-SA"/>
    </w:rPr>
  </w:style>
  <w:style w:type="character" w:customStyle="1" w:styleId="261">
    <w:name w:val="样式 样式 标准正文 + 宋体 + 黑色 Char"/>
    <w:autoRedefine/>
    <w:qFormat/>
    <w:uiPriority w:val="0"/>
    <w:rPr>
      <w:rFonts w:ascii="等线 Light" w:hAnsi="等线 Light" w:eastAsia="等线 Light"/>
      <w:color w:val="000000"/>
      <w:kern w:val="2"/>
      <w:sz w:val="24"/>
      <w:lang w:val="en-US" w:eastAsia="zh-CN" w:bidi="ar-SA"/>
    </w:rPr>
  </w:style>
  <w:style w:type="character" w:customStyle="1" w:styleId="262">
    <w:name w:val="Char Char Char Char Char Char Char1 Char Char"/>
    <w:link w:val="263"/>
    <w:autoRedefine/>
    <w:qFormat/>
    <w:uiPriority w:val="0"/>
    <w:rPr>
      <w:rFonts w:ascii="PMingLiU" w:hAnsi="Lucida Grande" w:eastAsia="PMingLiU"/>
      <w:sz w:val="32"/>
      <w:szCs w:val="32"/>
      <w:lang w:eastAsia="en-US"/>
    </w:rPr>
  </w:style>
  <w:style w:type="paragraph" w:customStyle="1" w:styleId="263">
    <w:name w:val="Char Char Char Char Char Char Char1"/>
    <w:basedOn w:val="1"/>
    <w:link w:val="262"/>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character" w:customStyle="1" w:styleId="264">
    <w:name w:val="ca-31"/>
    <w:autoRedefine/>
    <w:qFormat/>
    <w:uiPriority w:val="0"/>
    <w:rPr>
      <w:rFonts w:hint="eastAsia" w:ascii="微软雅黑" w:eastAsia="微软雅黑"/>
      <w:kern w:val="2"/>
      <w:sz w:val="32"/>
      <w:szCs w:val="32"/>
      <w:lang w:val="en-US" w:eastAsia="zh-CN" w:bidi="ar-SA"/>
    </w:rPr>
  </w:style>
  <w:style w:type="character" w:customStyle="1" w:styleId="265">
    <w:name w:val="hover63"/>
    <w:autoRedefine/>
    <w:qFormat/>
    <w:uiPriority w:val="0"/>
    <w:rPr>
      <w:rFonts w:eastAsia="等线 Light"/>
      <w:color w:val="2B84B5"/>
      <w:kern w:val="2"/>
      <w:sz w:val="24"/>
      <w:szCs w:val="24"/>
      <w:lang w:val="en-US" w:eastAsia="zh-CN" w:bidi="ar-SA"/>
    </w:rPr>
  </w:style>
  <w:style w:type="character" w:customStyle="1" w:styleId="266">
    <w:name w:val="标题 2 字符1"/>
    <w:autoRedefine/>
    <w:qFormat/>
    <w:uiPriority w:val="0"/>
    <w:rPr>
      <w:rFonts w:ascii="楷体_GB2312" w:hAnsi="楷体_GB2312" w:eastAsia="PMingLiU"/>
      <w:b/>
      <w:bCs/>
      <w:kern w:val="2"/>
      <w:sz w:val="32"/>
      <w:szCs w:val="32"/>
      <w:lang w:val="en-US" w:eastAsia="zh-CN" w:bidi="ar-SA"/>
    </w:rPr>
  </w:style>
  <w:style w:type="character" w:customStyle="1" w:styleId="267">
    <w:name w:val="页眉 Char"/>
    <w:autoRedefine/>
    <w:qFormat/>
    <w:uiPriority w:val="99"/>
    <w:rPr>
      <w:rFonts w:eastAsia="等线 Light"/>
      <w:kern w:val="2"/>
      <w:sz w:val="18"/>
      <w:szCs w:val="18"/>
      <w:lang w:val="en-US" w:eastAsia="zh-CN" w:bidi="ar-SA"/>
    </w:rPr>
  </w:style>
  <w:style w:type="character" w:customStyle="1" w:styleId="268">
    <w:name w:val="after"/>
    <w:autoRedefine/>
    <w:qFormat/>
    <w:uiPriority w:val="0"/>
    <w:rPr>
      <w:sz w:val="16"/>
      <w:szCs w:val="0"/>
    </w:rPr>
  </w:style>
  <w:style w:type="character" w:customStyle="1" w:styleId="269">
    <w:name w:val="pagechatarealistclose_box1"/>
    <w:basedOn w:val="57"/>
    <w:autoRedefine/>
    <w:qFormat/>
    <w:uiPriority w:val="0"/>
  </w:style>
  <w:style w:type="character" w:customStyle="1" w:styleId="270">
    <w:name w:val="批注主题 Char2"/>
    <w:autoRedefine/>
    <w:qFormat/>
    <w:uiPriority w:val="99"/>
    <w:rPr>
      <w:rFonts w:eastAsia="等线 Light"/>
      <w:b/>
      <w:bCs/>
      <w:kern w:val="2"/>
      <w:sz w:val="21"/>
      <w:szCs w:val="24"/>
      <w:lang w:val="en-US" w:eastAsia="zh-CN" w:bidi="ar-SA"/>
    </w:rPr>
  </w:style>
  <w:style w:type="character" w:customStyle="1" w:styleId="271">
    <w:name w:val="标题 7 Char1"/>
    <w:autoRedefine/>
    <w:qFormat/>
    <w:uiPriority w:val="0"/>
    <w:rPr>
      <w:rFonts w:eastAsia="等线 Light"/>
      <w:bCs/>
      <w:color w:val="000000"/>
      <w:kern w:val="2"/>
      <w:sz w:val="32"/>
      <w:szCs w:val="21"/>
      <w:lang w:val="en-US" w:eastAsia="zh-CN" w:bidi="ar-SA"/>
    </w:rPr>
  </w:style>
  <w:style w:type="character" w:customStyle="1" w:styleId="272">
    <w:name w:val="tmpztreemove_arrow"/>
    <w:basedOn w:val="57"/>
    <w:autoRedefine/>
    <w:qFormat/>
    <w:uiPriority w:val="0"/>
  </w:style>
  <w:style w:type="character" w:customStyle="1" w:styleId="273">
    <w:name w:val="页脚 Char2"/>
    <w:autoRedefine/>
    <w:qFormat/>
    <w:uiPriority w:val="99"/>
    <w:rPr>
      <w:rFonts w:eastAsia="等线 Light"/>
      <w:kern w:val="2"/>
      <w:sz w:val="18"/>
      <w:szCs w:val="18"/>
      <w:lang w:val="en-US" w:eastAsia="zh-CN" w:bidi="ar-SA"/>
    </w:rPr>
  </w:style>
  <w:style w:type="character" w:customStyle="1" w:styleId="274">
    <w:name w:val="button"/>
    <w:basedOn w:val="57"/>
    <w:autoRedefine/>
    <w:qFormat/>
    <w:uiPriority w:val="0"/>
  </w:style>
  <w:style w:type="character" w:customStyle="1" w:styleId="275">
    <w:name w:val="标题 5 字符"/>
    <w:autoRedefine/>
    <w:qFormat/>
    <w:uiPriority w:val="0"/>
    <w:rPr>
      <w:rFonts w:ascii="等线 Light"/>
      <w:b/>
      <w:bCs/>
      <w:sz w:val="28"/>
      <w:szCs w:val="28"/>
    </w:rPr>
  </w:style>
  <w:style w:type="character" w:customStyle="1" w:styleId="276">
    <w:name w:val="icontext1"/>
    <w:basedOn w:val="57"/>
    <w:autoRedefine/>
    <w:qFormat/>
    <w:uiPriority w:val="0"/>
  </w:style>
  <w:style w:type="character" w:customStyle="1" w:styleId="277">
    <w:name w:val="标题 Char1"/>
    <w:autoRedefine/>
    <w:qFormat/>
    <w:uiPriority w:val="10"/>
    <w:rPr>
      <w:rFonts w:ascii="Calibri Light" w:hAnsi="Calibri Light" w:cs="Times New Roman"/>
      <w:b/>
      <w:bCs/>
      <w:sz w:val="32"/>
      <w:szCs w:val="32"/>
    </w:rPr>
  </w:style>
  <w:style w:type="character" w:customStyle="1" w:styleId="278">
    <w:name w:val="吉奥正文 Char"/>
    <w:link w:val="279"/>
    <w:autoRedefine/>
    <w:qFormat/>
    <w:locked/>
    <w:uiPriority w:val="0"/>
    <w:rPr>
      <w:rFonts w:eastAsia="微软雅黑"/>
      <w:kern w:val="2"/>
      <w:sz w:val="28"/>
    </w:rPr>
  </w:style>
  <w:style w:type="paragraph" w:customStyle="1" w:styleId="279">
    <w:name w:val="吉奥正文"/>
    <w:basedOn w:val="1"/>
    <w:link w:val="278"/>
    <w:autoRedefine/>
    <w:qFormat/>
    <w:uiPriority w:val="0"/>
    <w:pPr>
      <w:autoSpaceDE/>
      <w:autoSpaceDN/>
      <w:snapToGrid w:val="0"/>
      <w:spacing w:before="120" w:line="360" w:lineRule="auto"/>
      <w:ind w:firstLine="200" w:firstLineChars="200"/>
      <w:jc w:val="both"/>
      <w:textAlignment w:val="baseline"/>
    </w:pPr>
    <w:rPr>
      <w:rFonts w:ascii="Times New Roman" w:eastAsia="微软雅黑"/>
      <w:kern w:val="2"/>
      <w:sz w:val="28"/>
      <w:szCs w:val="20"/>
    </w:rPr>
  </w:style>
  <w:style w:type="character" w:customStyle="1" w:styleId="280">
    <w:name w:val="纯文本 字符2"/>
    <w:autoRedefine/>
    <w:qFormat/>
    <w:uiPriority w:val="0"/>
    <w:rPr>
      <w:rFonts w:ascii="等线 Light" w:hAnsi="Helv" w:eastAsia="等线 Light"/>
    </w:rPr>
  </w:style>
  <w:style w:type="character" w:customStyle="1" w:styleId="281">
    <w:name w:val="ico1654"/>
    <w:basedOn w:val="57"/>
    <w:autoRedefine/>
    <w:qFormat/>
    <w:uiPriority w:val="0"/>
  </w:style>
  <w:style w:type="character" w:customStyle="1" w:styleId="282">
    <w:name w:val="批注文字 字符2"/>
    <w:autoRedefine/>
    <w:qFormat/>
    <w:uiPriority w:val="99"/>
    <w:rPr>
      <w:rFonts w:ascii="等线 Light" w:hAnsi="幼圆" w:eastAsia="等线 Light" w:cs="幼圆"/>
      <w:kern w:val="0"/>
      <w:sz w:val="24"/>
      <w:szCs w:val="24"/>
    </w:rPr>
  </w:style>
  <w:style w:type="character" w:customStyle="1" w:styleId="283">
    <w:name w:val="icon-help-center"/>
    <w:autoRedefine/>
    <w:qFormat/>
    <w:uiPriority w:val="0"/>
  </w:style>
  <w:style w:type="character" w:customStyle="1" w:styleId="284">
    <w:name w:val="批注文字 Char1"/>
    <w:autoRedefine/>
    <w:qFormat/>
    <w:uiPriority w:val="99"/>
    <w:rPr>
      <w:rFonts w:ascii="幼圆" w:hAnsi="幼圆" w:eastAsia="Cambria Math" w:cs="幼圆"/>
      <w:spacing w:val="-20"/>
      <w:sz w:val="32"/>
      <w:szCs w:val="20"/>
    </w:rPr>
  </w:style>
  <w:style w:type="character" w:customStyle="1" w:styleId="285">
    <w:name w:val="HTML 预设格式 Char1"/>
    <w:autoRedefine/>
    <w:qFormat/>
    <w:uiPriority w:val="99"/>
    <w:rPr>
      <w:rFonts w:ascii="Helv" w:hAnsi="Helv" w:eastAsia="等线 Light" w:cs="Helv"/>
      <w:kern w:val="0"/>
      <w:sz w:val="20"/>
      <w:szCs w:val="20"/>
    </w:rPr>
  </w:style>
  <w:style w:type="character" w:customStyle="1" w:styleId="286">
    <w:name w:val="标题 3 Char"/>
    <w:autoRedefine/>
    <w:qFormat/>
    <w:uiPriority w:val="0"/>
    <w:rPr>
      <w:rFonts w:ascii="幼圆" w:hAnsi="幼圆" w:eastAsia="等线 Light" w:cs="幼圆"/>
      <w:b/>
      <w:bCs/>
      <w:kern w:val="2"/>
      <w:sz w:val="32"/>
      <w:szCs w:val="32"/>
      <w:lang w:val="en-US" w:eastAsia="zh-CN" w:bidi="ar-SA"/>
    </w:rPr>
  </w:style>
  <w:style w:type="character" w:customStyle="1" w:styleId="287">
    <w:name w:val="正文文本缩进 字符1"/>
    <w:autoRedefine/>
    <w:qFormat/>
    <w:uiPriority w:val="0"/>
    <w:rPr>
      <w:rFonts w:ascii="幼圆" w:hAnsi="幼圆" w:eastAsia="等线 Light" w:cs="幼圆"/>
      <w:szCs w:val="20"/>
    </w:rPr>
  </w:style>
  <w:style w:type="character" w:customStyle="1" w:styleId="288">
    <w:name w:val=" Char Char2"/>
    <w:autoRedefine/>
    <w:qFormat/>
    <w:uiPriority w:val="0"/>
    <w:rPr>
      <w:rFonts w:ascii="等线 Light" w:hAnsi="Helv" w:eastAsia="等线 Light"/>
      <w:kern w:val="2"/>
      <w:sz w:val="21"/>
      <w:lang w:val="en-US" w:eastAsia="zh-CN" w:bidi="ar-SA"/>
    </w:rPr>
  </w:style>
  <w:style w:type="character" w:customStyle="1" w:styleId="289">
    <w:name w:val="标题 3 Char1"/>
    <w:autoRedefine/>
    <w:qFormat/>
    <w:uiPriority w:val="0"/>
    <w:rPr>
      <w:rFonts w:eastAsia="等线 Light"/>
      <w:b/>
      <w:bCs/>
      <w:kern w:val="2"/>
      <w:sz w:val="32"/>
      <w:szCs w:val="32"/>
      <w:lang w:val="en-US" w:eastAsia="zh-CN" w:bidi="ar-SA"/>
    </w:rPr>
  </w:style>
  <w:style w:type="character" w:customStyle="1" w:styleId="290">
    <w:name w:val="copytolefthover"/>
    <w:autoRedefine/>
    <w:qFormat/>
    <w:uiPriority w:val="0"/>
    <w:rPr>
      <w:vanish/>
    </w:rPr>
  </w:style>
  <w:style w:type="character" w:customStyle="1" w:styleId="291">
    <w:name w:val="w32"/>
    <w:basedOn w:val="57"/>
    <w:autoRedefine/>
    <w:qFormat/>
    <w:uiPriority w:val="0"/>
  </w:style>
  <w:style w:type="character" w:customStyle="1" w:styleId="292">
    <w:name w:val="纯文本 Char"/>
    <w:autoRedefine/>
    <w:qFormat/>
    <w:uiPriority w:val="0"/>
    <w:rPr>
      <w:rFonts w:ascii="等线 Light" w:hAnsi="Helv" w:eastAsia="等线 Light" w:cs="幼圆"/>
      <w:szCs w:val="20"/>
    </w:rPr>
  </w:style>
  <w:style w:type="character" w:customStyle="1" w:styleId="293">
    <w:name w:val="标题 2 Char2"/>
    <w:autoRedefine/>
    <w:qFormat/>
    <w:uiPriority w:val="0"/>
    <w:rPr>
      <w:rFonts w:ascii="楷体_GB2312" w:hAnsi="楷体_GB2312" w:eastAsia="PMingLiU"/>
      <w:b/>
      <w:bCs/>
      <w:kern w:val="2"/>
      <w:sz w:val="32"/>
      <w:szCs w:val="32"/>
      <w:lang w:val="en-US" w:eastAsia="zh-CN" w:bidi="ar-SA"/>
    </w:rPr>
  </w:style>
  <w:style w:type="character" w:customStyle="1" w:styleId="294">
    <w:name w:val="eschoolnr"/>
    <w:autoRedefine/>
    <w:qFormat/>
    <w:uiPriority w:val="0"/>
    <w:rPr>
      <w:sz w:val="23"/>
      <w:szCs w:val="23"/>
    </w:rPr>
  </w:style>
  <w:style w:type="character" w:customStyle="1" w:styleId="295">
    <w:name w:val="题注 字符"/>
    <w:autoRedefine/>
    <w:qFormat/>
    <w:uiPriority w:val="0"/>
    <w:rPr>
      <w:rFonts w:ascii="等线 Light" w:hAnsi="等线 Light" w:eastAsia="PMingLiU" w:cs="幼圆"/>
      <w:b/>
      <w:szCs w:val="21"/>
    </w:rPr>
  </w:style>
  <w:style w:type="character" w:customStyle="1" w:styleId="296">
    <w:name w:val="List Paragraph Char"/>
    <w:link w:val="297"/>
    <w:autoRedefine/>
    <w:qFormat/>
    <w:uiPriority w:val="34"/>
    <w:rPr>
      <w:rFonts w:ascii="Arial Unicode MS" w:hAnsi="Arial Unicode MS"/>
      <w:kern w:val="2"/>
      <w:sz w:val="21"/>
      <w:szCs w:val="22"/>
    </w:rPr>
  </w:style>
  <w:style w:type="paragraph" w:customStyle="1" w:styleId="297">
    <w:name w:val="列出段落1"/>
    <w:basedOn w:val="1"/>
    <w:link w:val="296"/>
    <w:autoRedefine/>
    <w:qFormat/>
    <w:uiPriority w:val="34"/>
    <w:pPr>
      <w:autoSpaceDE/>
      <w:autoSpaceDN/>
      <w:adjustRightInd/>
      <w:ind w:firstLine="420" w:firstLineChars="200"/>
      <w:jc w:val="both"/>
    </w:pPr>
    <w:rPr>
      <w:rFonts w:ascii="Arial Unicode MS" w:hAnsi="Arial Unicode MS"/>
      <w:kern w:val="2"/>
      <w:sz w:val="21"/>
      <w:szCs w:val="22"/>
    </w:rPr>
  </w:style>
  <w:style w:type="character" w:customStyle="1" w:styleId="298">
    <w:name w:val="网格表 1 浅色1"/>
    <w:autoRedefine/>
    <w:qFormat/>
    <w:uiPriority w:val="33"/>
    <w:rPr>
      <w:rFonts w:eastAsia="等线 Light"/>
      <w:b/>
      <w:bCs/>
      <w:smallCaps/>
      <w:spacing w:val="5"/>
      <w:kern w:val="2"/>
      <w:sz w:val="24"/>
      <w:szCs w:val="24"/>
      <w:lang w:val="en-US" w:eastAsia="zh-CN" w:bidi="ar-SA"/>
    </w:rPr>
  </w:style>
  <w:style w:type="character" w:customStyle="1" w:styleId="299">
    <w:name w:val="标题 2 Char1"/>
    <w:autoRedefine/>
    <w:qFormat/>
    <w:uiPriority w:val="0"/>
    <w:rPr>
      <w:rFonts w:ascii="楷体_GB2312" w:hAnsi="楷体_GB2312" w:eastAsia="PMingLiU" w:cs="幼圆"/>
      <w:b/>
      <w:kern w:val="0"/>
      <w:sz w:val="32"/>
      <w:szCs w:val="20"/>
    </w:rPr>
  </w:style>
  <w:style w:type="character" w:customStyle="1" w:styleId="300">
    <w:name w:val="日期 Char2"/>
    <w:autoRedefine/>
    <w:qFormat/>
    <w:uiPriority w:val="0"/>
    <w:rPr>
      <w:rFonts w:eastAsia="等线 Light"/>
      <w:kern w:val="2"/>
      <w:sz w:val="24"/>
      <w:szCs w:val="24"/>
      <w:lang w:val="en-US" w:eastAsia="zh-CN" w:bidi="ar-SA"/>
    </w:rPr>
  </w:style>
  <w:style w:type="character" w:customStyle="1" w:styleId="301">
    <w:name w:val="页眉 Char1"/>
    <w:autoRedefine/>
    <w:semiHidden/>
    <w:qFormat/>
    <w:uiPriority w:val="99"/>
    <w:rPr>
      <w:rFonts w:ascii="等线 Light" w:hAnsi="幼圆" w:eastAsia="等线 Light" w:cs="幼圆"/>
      <w:kern w:val="0"/>
      <w:sz w:val="18"/>
      <w:szCs w:val="18"/>
    </w:rPr>
  </w:style>
  <w:style w:type="character" w:customStyle="1" w:styleId="302">
    <w:name w:val="para"/>
    <w:autoRedefine/>
    <w:qFormat/>
    <w:uiPriority w:val="0"/>
    <w:rPr>
      <w:rFonts w:eastAsia="等线 Light"/>
      <w:kern w:val="2"/>
      <w:sz w:val="24"/>
      <w:szCs w:val="24"/>
      <w:lang w:val="en-US" w:eastAsia="zh-CN" w:bidi="ar-SA"/>
    </w:rPr>
  </w:style>
  <w:style w:type="character" w:customStyle="1" w:styleId="303">
    <w:name w:val="标题 4 Char2"/>
    <w:autoRedefine/>
    <w:qFormat/>
    <w:uiPriority w:val="0"/>
    <w:rPr>
      <w:rFonts w:ascii="楷体_GB2312" w:hAnsi="楷体_GB2312" w:eastAsia="PMingLiU"/>
      <w:b/>
      <w:bCs/>
      <w:kern w:val="2"/>
      <w:sz w:val="28"/>
      <w:szCs w:val="28"/>
      <w:lang w:val="en-US" w:eastAsia="zh-CN" w:bidi="ar-SA"/>
    </w:rPr>
  </w:style>
  <w:style w:type="character" w:customStyle="1" w:styleId="304">
    <w:name w:val="正文缩进 字符"/>
    <w:autoRedefine/>
    <w:qFormat/>
    <w:uiPriority w:val="0"/>
    <w:rPr>
      <w:rFonts w:ascii="幼圆" w:hAnsi="幼圆" w:eastAsia="等线 Light" w:cs="幼圆"/>
      <w:kern w:val="0"/>
      <w:sz w:val="20"/>
      <w:szCs w:val="20"/>
    </w:rPr>
  </w:style>
  <w:style w:type="character" w:customStyle="1" w:styleId="305">
    <w:name w:val="批注主题 Char1"/>
    <w:autoRedefine/>
    <w:semiHidden/>
    <w:qFormat/>
    <w:uiPriority w:val="99"/>
    <w:rPr>
      <w:rFonts w:ascii="宋体" w:hAnsi="幼圆" w:eastAsia="等线 Light" w:cs="幼圆"/>
      <w:b/>
      <w:bCs/>
      <w:kern w:val="2"/>
      <w:sz w:val="24"/>
      <w:szCs w:val="24"/>
      <w:lang w:val="en-US" w:eastAsia="zh-CN" w:bidi="ar-SA"/>
    </w:rPr>
  </w:style>
  <w:style w:type="character" w:customStyle="1" w:styleId="306">
    <w:name w:val="纯文本 字符1"/>
    <w:autoRedefine/>
    <w:qFormat/>
    <w:uiPriority w:val="0"/>
    <w:rPr>
      <w:rFonts w:ascii="等线 Light" w:hAnsi="Helv" w:eastAsia="等线 Light"/>
      <w:kern w:val="2"/>
      <w:sz w:val="21"/>
      <w:szCs w:val="24"/>
      <w:lang w:val="en-US" w:eastAsia="zh-CN" w:bidi="ar-SA"/>
    </w:rPr>
  </w:style>
  <w:style w:type="character" w:customStyle="1" w:styleId="307">
    <w:name w:val="正文文本 Char1"/>
    <w:autoRedefine/>
    <w:qFormat/>
    <w:uiPriority w:val="99"/>
    <w:rPr>
      <w:rFonts w:ascii="等线 Light" w:hAnsi="幼圆" w:eastAsia="等线 Light" w:cs="幼圆"/>
      <w:kern w:val="0"/>
      <w:sz w:val="24"/>
      <w:szCs w:val="24"/>
    </w:rPr>
  </w:style>
  <w:style w:type="character" w:customStyle="1" w:styleId="308">
    <w:name w:val="Char Char9"/>
    <w:autoRedefine/>
    <w:qFormat/>
    <w:uiPriority w:val="0"/>
    <w:rPr>
      <w:kern w:val="2"/>
      <w:sz w:val="18"/>
      <w:szCs w:val="18"/>
    </w:rPr>
  </w:style>
  <w:style w:type="character" w:customStyle="1" w:styleId="309">
    <w:name w:val="d Char"/>
    <w:autoRedefine/>
    <w:qFormat/>
    <w:uiPriority w:val="0"/>
    <w:rPr>
      <w:rFonts w:ascii="等线 Light" w:hAnsi="等线 Light" w:eastAsia="等线 Light" w:cs="楷体_GB2312"/>
      <w:snapToGrid w:val="0"/>
      <w:kern w:val="2"/>
      <w:sz w:val="21"/>
      <w:szCs w:val="21"/>
      <w:lang w:val="en-US" w:eastAsia="zh-CN" w:bidi="ar-SA"/>
    </w:rPr>
  </w:style>
  <w:style w:type="character" w:customStyle="1" w:styleId="310">
    <w:name w:val="标题 3 Char1 Char"/>
    <w:autoRedefine/>
    <w:qFormat/>
    <w:uiPriority w:val="0"/>
    <w:rPr>
      <w:rFonts w:eastAsia="等线 Light"/>
      <w:b/>
      <w:bCs/>
      <w:kern w:val="2"/>
      <w:sz w:val="32"/>
      <w:szCs w:val="32"/>
      <w:lang w:val="en-US" w:eastAsia="zh-CN" w:bidi="ar-SA"/>
    </w:rPr>
  </w:style>
  <w:style w:type="character" w:customStyle="1" w:styleId="311">
    <w:name w:val="标题 6 Char"/>
    <w:autoRedefine/>
    <w:qFormat/>
    <w:uiPriority w:val="0"/>
    <w:rPr>
      <w:rFonts w:ascii="楷体_GB2312" w:hAnsi="楷体_GB2312" w:eastAsia="PMingLiU" w:cs="幼圆"/>
      <w:b/>
      <w:bCs/>
      <w:kern w:val="2"/>
      <w:sz w:val="24"/>
      <w:szCs w:val="24"/>
      <w:lang w:val="en-US" w:eastAsia="zh-CN" w:bidi="ar-SA"/>
    </w:rPr>
  </w:style>
  <w:style w:type="character" w:customStyle="1" w:styleId="312">
    <w:name w:val="脚注文本 字符"/>
    <w:autoRedefine/>
    <w:qFormat/>
    <w:uiPriority w:val="0"/>
    <w:rPr>
      <w:rFonts w:ascii="幼圆" w:hAnsi="幼圆" w:eastAsia="等线 Light" w:cs="幼圆"/>
      <w:kern w:val="2"/>
      <w:sz w:val="18"/>
      <w:szCs w:val="18"/>
      <w:lang w:bidi="ar-SA"/>
    </w:rPr>
  </w:style>
  <w:style w:type="character" w:customStyle="1" w:styleId="313">
    <w:name w:val="正文文本缩进 Char2"/>
    <w:autoRedefine/>
    <w:qFormat/>
    <w:uiPriority w:val="0"/>
    <w:rPr>
      <w:rFonts w:eastAsia="等线 Light"/>
      <w:kern w:val="2"/>
      <w:sz w:val="28"/>
      <w:szCs w:val="24"/>
      <w:lang w:val="en-US" w:eastAsia="zh-CN" w:bidi="ar-SA"/>
    </w:rPr>
  </w:style>
  <w:style w:type="character" w:customStyle="1" w:styleId="314">
    <w:name w:val="标题 5 Char"/>
    <w:autoRedefine/>
    <w:qFormat/>
    <w:uiPriority w:val="0"/>
    <w:rPr>
      <w:rFonts w:ascii="幼圆" w:hAnsi="幼圆" w:eastAsia="等线 Light" w:cs="幼圆"/>
      <w:b/>
      <w:bCs/>
      <w:kern w:val="2"/>
      <w:sz w:val="28"/>
      <w:szCs w:val="28"/>
      <w:lang w:val="en-US" w:eastAsia="zh-CN" w:bidi="ar-SA"/>
    </w:rPr>
  </w:style>
  <w:style w:type="character" w:customStyle="1" w:styleId="315">
    <w:name w:val="正文首行缩进 Char"/>
    <w:autoRedefine/>
    <w:qFormat/>
    <w:uiPriority w:val="0"/>
    <w:rPr>
      <w:rFonts w:eastAsia="等线 Light"/>
      <w:kern w:val="2"/>
      <w:sz w:val="21"/>
      <w:szCs w:val="24"/>
      <w:lang w:val="en-US" w:eastAsia="zh-CN" w:bidi="ar-SA"/>
    </w:rPr>
  </w:style>
  <w:style w:type="character" w:customStyle="1" w:styleId="316">
    <w:name w:val="black11"/>
    <w:autoRedefine/>
    <w:qFormat/>
    <w:uiPriority w:val="0"/>
    <w:rPr>
      <w:color w:val="000000"/>
      <w:sz w:val="18"/>
      <w:szCs w:val="18"/>
    </w:rPr>
  </w:style>
  <w:style w:type="character" w:customStyle="1" w:styleId="317">
    <w:name w:val="hover22"/>
    <w:autoRedefine/>
    <w:qFormat/>
    <w:uiPriority w:val="0"/>
    <w:rPr>
      <w:color w:val="2B84B5"/>
    </w:rPr>
  </w:style>
  <w:style w:type="character" w:customStyle="1" w:styleId="318">
    <w:name w:val="正文文本缩进 3 Char2"/>
    <w:autoRedefine/>
    <w:qFormat/>
    <w:uiPriority w:val="0"/>
    <w:rPr>
      <w:rFonts w:eastAsia="等线 Light"/>
      <w:kern w:val="2"/>
      <w:sz w:val="21"/>
      <w:szCs w:val="21"/>
      <w:lang w:val="en-US" w:eastAsia="zh-CN" w:bidi="ar-SA"/>
    </w:rPr>
  </w:style>
  <w:style w:type="character" w:customStyle="1" w:styleId="319">
    <w:name w:val="脚注文本 Char2"/>
    <w:autoRedefine/>
    <w:semiHidden/>
    <w:qFormat/>
    <w:uiPriority w:val="99"/>
    <w:rPr>
      <w:rFonts w:ascii="等线 Light"/>
      <w:sz w:val="18"/>
      <w:szCs w:val="18"/>
    </w:rPr>
  </w:style>
  <w:style w:type="character" w:customStyle="1" w:styleId="320">
    <w:name w:val="ico1655"/>
    <w:basedOn w:val="57"/>
    <w:autoRedefine/>
    <w:qFormat/>
    <w:uiPriority w:val="0"/>
  </w:style>
  <w:style w:type="character" w:customStyle="1" w:styleId="321">
    <w:name w:val="huei12b1"/>
    <w:autoRedefine/>
    <w:qFormat/>
    <w:uiPriority w:val="0"/>
    <w:rPr>
      <w:b/>
      <w:bCs/>
      <w:color w:val="333333"/>
      <w:sz w:val="18"/>
      <w:szCs w:val="18"/>
    </w:rPr>
  </w:style>
  <w:style w:type="character" w:customStyle="1" w:styleId="322">
    <w:name w:val="普通(网站) 字符1"/>
    <w:autoRedefine/>
    <w:qFormat/>
    <w:locked/>
    <w:uiPriority w:val="0"/>
    <w:rPr>
      <w:rFonts w:ascii="等线 Light" w:hAnsi="等线 Light"/>
      <w:sz w:val="15"/>
      <w:szCs w:val="15"/>
    </w:rPr>
  </w:style>
  <w:style w:type="character" w:customStyle="1" w:styleId="323">
    <w:name w:val="ca-51"/>
    <w:autoRedefine/>
    <w:qFormat/>
    <w:uiPriority w:val="0"/>
    <w:rPr>
      <w:rFonts w:hint="eastAsia" w:ascii="微软雅黑" w:eastAsia="微软雅黑"/>
      <w:color w:val="FF00FF"/>
      <w:kern w:val="2"/>
      <w:sz w:val="32"/>
      <w:szCs w:val="32"/>
      <w:lang w:val="en-US" w:eastAsia="zh-CN" w:bidi="ar-SA"/>
    </w:rPr>
  </w:style>
  <w:style w:type="character" w:customStyle="1" w:styleId="324">
    <w:name w:val="_Style 323"/>
    <w:autoRedefine/>
    <w:qFormat/>
    <w:uiPriority w:val="33"/>
    <w:rPr>
      <w:rFonts w:eastAsia="等线 Light"/>
      <w:b/>
      <w:bCs/>
      <w:smallCaps/>
      <w:spacing w:val="5"/>
      <w:kern w:val="2"/>
      <w:sz w:val="24"/>
      <w:szCs w:val="24"/>
      <w:lang w:val="en-US" w:eastAsia="zh-CN" w:bidi="ar-SA"/>
    </w:rPr>
  </w:style>
  <w:style w:type="character" w:customStyle="1" w:styleId="325">
    <w:name w:val="font31"/>
    <w:basedOn w:val="57"/>
    <w:autoRedefine/>
    <w:qFormat/>
    <w:uiPriority w:val="0"/>
    <w:rPr>
      <w:rFonts w:ascii="黑体" w:hAnsi="黑体" w:eastAsia="黑体" w:cs="黑体"/>
      <w:color w:val="000000"/>
      <w:sz w:val="22"/>
      <w:szCs w:val="22"/>
      <w:u w:val="none"/>
    </w:rPr>
  </w:style>
  <w:style w:type="character" w:customStyle="1" w:styleId="326">
    <w:name w:val="ca-1"/>
    <w:autoRedefine/>
    <w:qFormat/>
    <w:uiPriority w:val="0"/>
  </w:style>
  <w:style w:type="character" w:customStyle="1" w:styleId="327">
    <w:name w:val="签名 Char3"/>
    <w:autoRedefine/>
    <w:semiHidden/>
    <w:qFormat/>
    <w:uiPriority w:val="99"/>
    <w:rPr>
      <w:rFonts w:ascii="等线 Light"/>
      <w:sz w:val="24"/>
      <w:szCs w:val="24"/>
    </w:rPr>
  </w:style>
  <w:style w:type="character" w:customStyle="1" w:styleId="328">
    <w:name w:val="pt9-hui-line201"/>
    <w:autoRedefine/>
    <w:qFormat/>
    <w:uiPriority w:val="0"/>
    <w:rPr>
      <w:color w:val="333333"/>
      <w:sz w:val="18"/>
      <w:szCs w:val="18"/>
      <w:u w:val="none"/>
    </w:rPr>
  </w:style>
  <w:style w:type="character" w:customStyle="1" w:styleId="329">
    <w:name w:val="纯文本 Char3"/>
    <w:autoRedefine/>
    <w:qFormat/>
    <w:uiPriority w:val="0"/>
    <w:rPr>
      <w:rFonts w:ascii="等线 Light" w:hAnsi="Helv" w:eastAsia="等线 Light"/>
      <w:kern w:val="2"/>
      <w:sz w:val="21"/>
      <w:szCs w:val="24"/>
      <w:lang w:val="en-US" w:eastAsia="zh-CN" w:bidi="ar-SA"/>
    </w:rPr>
  </w:style>
  <w:style w:type="character" w:customStyle="1" w:styleId="330">
    <w:name w:val="文档结构图 Char"/>
    <w:autoRedefine/>
    <w:qFormat/>
    <w:uiPriority w:val="99"/>
    <w:rPr>
      <w:rFonts w:ascii="幼圆" w:hAnsi="幼圆" w:eastAsia="等线 Light" w:cs="幼圆"/>
      <w:kern w:val="2"/>
      <w:sz w:val="24"/>
      <w:szCs w:val="24"/>
      <w:shd w:val="clear" w:color="auto" w:fill="000080"/>
      <w:lang w:val="en-US" w:eastAsia="zh-CN" w:bidi="ar-SA"/>
    </w:rPr>
  </w:style>
  <w:style w:type="character" w:customStyle="1" w:styleId="331">
    <w:name w:val="标书正文 字符"/>
    <w:link w:val="332"/>
    <w:autoRedefine/>
    <w:qFormat/>
    <w:uiPriority w:val="0"/>
    <w:rPr>
      <w:rFonts w:ascii="Arial Unicode MS" w:hAnsi="Arial Unicode MS" w:eastAsia="font-weight : 400"/>
      <w:kern w:val="2"/>
      <w:sz w:val="24"/>
      <w:szCs w:val="21"/>
    </w:rPr>
  </w:style>
  <w:style w:type="paragraph" w:customStyle="1" w:styleId="332">
    <w:name w:val="标书正文"/>
    <w:basedOn w:val="1"/>
    <w:link w:val="331"/>
    <w:autoRedefine/>
    <w:qFormat/>
    <w:uiPriority w:val="0"/>
    <w:pPr>
      <w:autoSpaceDE/>
      <w:autoSpaceDN/>
      <w:snapToGrid w:val="0"/>
      <w:spacing w:beforeLines="50" w:line="360" w:lineRule="auto"/>
      <w:ind w:firstLine="200" w:firstLineChars="200"/>
      <w:jc w:val="both"/>
    </w:pPr>
    <w:rPr>
      <w:rFonts w:ascii="Arial Unicode MS" w:hAnsi="Arial Unicode MS" w:eastAsia="font-weight : 400"/>
      <w:kern w:val="2"/>
      <w:szCs w:val="21"/>
    </w:rPr>
  </w:style>
  <w:style w:type="character" w:customStyle="1" w:styleId="333">
    <w:name w:val="正文文本 2 Char"/>
    <w:autoRedefine/>
    <w:qFormat/>
    <w:uiPriority w:val="0"/>
    <w:rPr>
      <w:rFonts w:ascii="等线 Light" w:hAnsi="等线 Light" w:eastAsia="等线 Light" w:cs="幼圆"/>
      <w:kern w:val="2"/>
      <w:sz w:val="24"/>
      <w:szCs w:val="24"/>
      <w:lang w:val="en-US" w:eastAsia="zh-CN" w:bidi="ar-SA"/>
    </w:rPr>
  </w:style>
  <w:style w:type="character" w:customStyle="1" w:styleId="334">
    <w:name w:val="t31"/>
    <w:autoRedefine/>
    <w:qFormat/>
    <w:uiPriority w:val="0"/>
    <w:rPr>
      <w:rFonts w:hint="eastAsia" w:ascii="等线 Light" w:hAnsi="等线 Light" w:eastAsia="等线 Light"/>
      <w:color w:val="000060"/>
      <w:sz w:val="28"/>
      <w:szCs w:val="28"/>
    </w:rPr>
  </w:style>
  <w:style w:type="character" w:customStyle="1" w:styleId="335">
    <w:name w:val="正文文本 字符1"/>
    <w:autoRedefine/>
    <w:qFormat/>
    <w:uiPriority w:val="0"/>
    <w:rPr>
      <w:rFonts w:ascii="等线 Light" w:eastAsia="等线 Light"/>
      <w:b/>
      <w:bCs/>
      <w:sz w:val="84"/>
      <w:szCs w:val="84"/>
      <w:lang w:val="zh-CN"/>
    </w:rPr>
  </w:style>
  <w:style w:type="character" w:customStyle="1" w:styleId="336">
    <w:name w:val="pagechatarealistclose_box"/>
    <w:basedOn w:val="57"/>
    <w:autoRedefine/>
    <w:qFormat/>
    <w:uiPriority w:val="0"/>
  </w:style>
  <w:style w:type="character" w:customStyle="1" w:styleId="337">
    <w:name w:val="签名 字符1"/>
    <w:autoRedefine/>
    <w:semiHidden/>
    <w:qFormat/>
    <w:uiPriority w:val="99"/>
    <w:rPr>
      <w:rFonts w:ascii="等线 Light"/>
      <w:sz w:val="24"/>
      <w:szCs w:val="24"/>
    </w:rPr>
  </w:style>
  <w:style w:type="character" w:customStyle="1" w:styleId="338">
    <w:name w:val="neir1"/>
    <w:autoRedefine/>
    <w:qFormat/>
    <w:uiPriority w:val="0"/>
    <w:rPr>
      <w:rFonts w:hint="default" w:ascii="等线" w:hAnsi="等线"/>
      <w:color w:val="333333"/>
      <w:sz w:val="21"/>
      <w:szCs w:val="21"/>
      <w:u w:val="none"/>
    </w:rPr>
  </w:style>
  <w:style w:type="character" w:customStyle="1" w:styleId="339">
    <w:name w:val="icon-weibo"/>
    <w:autoRedefine/>
    <w:qFormat/>
    <w:uiPriority w:val="0"/>
  </w:style>
  <w:style w:type="character" w:customStyle="1" w:styleId="340">
    <w:name w:val="标题 8 Char1"/>
    <w:autoRedefine/>
    <w:qFormat/>
    <w:uiPriority w:val="0"/>
    <w:rPr>
      <w:rFonts w:ascii="楷体_GB2312" w:hAnsi="楷体_GB2312" w:eastAsia="等线 Light"/>
      <w:color w:val="000000"/>
      <w:kern w:val="2"/>
      <w:sz w:val="32"/>
      <w:szCs w:val="21"/>
      <w:lang w:val="en-US" w:eastAsia="zh-CN" w:bidi="ar-SA"/>
    </w:rPr>
  </w:style>
  <w:style w:type="character" w:customStyle="1" w:styleId="341">
    <w:name w:val=" Char Char Char Char Char Char Char1 Char"/>
    <w:autoRedefine/>
    <w:qFormat/>
    <w:uiPriority w:val="0"/>
    <w:rPr>
      <w:rFonts w:ascii="PMingLiU" w:hAnsi="Lucida Grande" w:eastAsia="PMingLiU"/>
      <w:sz w:val="32"/>
      <w:szCs w:val="32"/>
      <w:lang w:val="en-US" w:eastAsia="en-US" w:bidi="ar-SA"/>
    </w:rPr>
  </w:style>
  <w:style w:type="character" w:customStyle="1" w:styleId="342">
    <w:name w:val="标题 31"/>
    <w:autoRedefine/>
    <w:qFormat/>
    <w:uiPriority w:val="0"/>
    <w:rPr>
      <w:rFonts w:eastAsia="等线 Light"/>
      <w:b/>
      <w:bCs/>
      <w:kern w:val="2"/>
      <w:sz w:val="32"/>
      <w:szCs w:val="32"/>
      <w:lang w:val="en-US" w:eastAsia="zh-CN" w:bidi="ar-SA"/>
    </w:rPr>
  </w:style>
  <w:style w:type="character" w:customStyle="1" w:styleId="343">
    <w:name w:val="标题 5 Char1"/>
    <w:autoRedefine/>
    <w:qFormat/>
    <w:uiPriority w:val="0"/>
    <w:rPr>
      <w:rFonts w:eastAsia="等线 Light"/>
      <w:b/>
      <w:bCs/>
      <w:kern w:val="2"/>
      <w:sz w:val="28"/>
      <w:szCs w:val="28"/>
      <w:lang w:val="en-US" w:eastAsia="zh-CN" w:bidi="ar-SA"/>
    </w:rPr>
  </w:style>
  <w:style w:type="paragraph" w:customStyle="1" w:styleId="344">
    <w:name w:val="xl38"/>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等线 Light"/>
    </w:rPr>
  </w:style>
  <w:style w:type="paragraph" w:customStyle="1" w:styleId="345">
    <w:name w:val="sma."/>
    <w:basedOn w:val="1"/>
    <w:autoRedefine/>
    <w:qFormat/>
    <w:uiPriority w:val="0"/>
    <w:pPr>
      <w:widowControl/>
      <w:tabs>
        <w:tab w:val="left" w:pos="1588"/>
      </w:tabs>
      <w:autoSpaceDE/>
      <w:autoSpaceDN/>
      <w:adjustRightInd/>
      <w:spacing w:before="240" w:line="240" w:lineRule="atLeast"/>
      <w:ind w:left="1588" w:hanging="454"/>
      <w:jc w:val="both"/>
    </w:pPr>
    <w:rPr>
      <w:rFonts w:ascii="Arial Unicode MS" w:hAnsi="Arial Unicode MS"/>
      <w:kern w:val="2"/>
    </w:rPr>
  </w:style>
  <w:style w:type="paragraph" w:customStyle="1" w:styleId="346">
    <w:name w:val="CM16"/>
    <w:basedOn w:val="347"/>
    <w:next w:val="347"/>
    <w:autoRedefine/>
    <w:qFormat/>
    <w:uiPriority w:val="99"/>
    <w:rPr>
      <w:rFonts w:ascii="等线 Light" w:hAnsi="Arial Unicode MS" w:eastAsia="等线 Light" w:cs="幼圆"/>
      <w:color w:val="auto"/>
    </w:rPr>
  </w:style>
  <w:style w:type="paragraph" w:customStyle="1" w:styleId="347">
    <w:name w:val="Default"/>
    <w:autoRedefine/>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348">
    <w:name w:val="块引用"/>
    <w:basedOn w:val="1"/>
    <w:autoRedefine/>
    <w:qFormat/>
    <w:uiPriority w:val="0"/>
    <w:pPr>
      <w:keepLines/>
      <w:autoSpaceDE/>
      <w:autoSpaceDN/>
      <w:adjustRightInd/>
      <w:ind w:left="360" w:right="360"/>
      <w:jc w:val="center"/>
    </w:pPr>
    <w:rPr>
      <w:rFonts w:ascii="Arial Unicode MS" w:hAnsi="Arial Unicode MS"/>
      <w:i/>
      <w:kern w:val="2"/>
      <w:sz w:val="21"/>
    </w:rPr>
  </w:style>
  <w:style w:type="paragraph" w:customStyle="1" w:styleId="349">
    <w:name w:val="样式 加粗 段前: 7.8 磅 段后: 7.8 磅 行距: 固定值 20 磅"/>
    <w:basedOn w:val="1"/>
    <w:autoRedefine/>
    <w:qFormat/>
    <w:uiPriority w:val="0"/>
    <w:pPr>
      <w:autoSpaceDE/>
      <w:autoSpaceDN/>
      <w:adjustRightInd/>
      <w:spacing w:before="60" w:after="60" w:line="360" w:lineRule="exact"/>
      <w:jc w:val="both"/>
    </w:pPr>
    <w:rPr>
      <w:rFonts w:ascii="Arial Unicode MS" w:hAnsi="Arial Unicode MS" w:cs="等线 Light"/>
      <w:b/>
      <w:bCs/>
      <w:spacing w:val="-2"/>
      <w:kern w:val="2"/>
      <w:szCs w:val="20"/>
    </w:rPr>
  </w:style>
  <w:style w:type="paragraph" w:customStyle="1" w:styleId="350">
    <w:name w:val="14"/>
    <w:basedOn w:val="1"/>
    <w:autoRedefine/>
    <w:qFormat/>
    <w:uiPriority w:val="0"/>
    <w:pPr>
      <w:widowControl/>
      <w:autoSpaceDE/>
      <w:autoSpaceDN/>
      <w:adjustRightInd/>
      <w:spacing w:after="160" w:line="240" w:lineRule="exact"/>
    </w:pPr>
    <w:rPr>
      <w:rFonts w:ascii="Arial Unicode MS" w:hAnsi="Arial Unicode MS"/>
      <w:kern w:val="2"/>
      <w:sz w:val="21"/>
      <w:szCs w:val="20"/>
    </w:rPr>
  </w:style>
  <w:style w:type="paragraph" w:customStyle="1" w:styleId="351">
    <w:name w:val=" Char Char Char Char"/>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352">
    <w:name w:val="space"/>
    <w:autoRedefine/>
    <w:qFormat/>
    <w:uiPriority w:val="0"/>
    <w:rPr>
      <w:rFonts w:ascii="Arial Unicode MS" w:hAnsi="Arial Unicode MS" w:eastAsia="宋体" w:cs="Times New Roman"/>
      <w:caps/>
      <w:lang w:val="en-US" w:eastAsia="zh-CN" w:bidi="ar-SA"/>
    </w:rPr>
  </w:style>
  <w:style w:type="paragraph" w:customStyle="1" w:styleId="353">
    <w:name w:val="Pa8"/>
    <w:basedOn w:val="1"/>
    <w:next w:val="1"/>
    <w:autoRedefine/>
    <w:qFormat/>
    <w:uiPriority w:val="99"/>
    <w:pPr>
      <w:spacing w:line="181" w:lineRule="atLeast"/>
    </w:pPr>
    <w:rPr>
      <w:rFonts w:ascii="font-weight : 400" w:hAnsi="Arial Unicode MS" w:eastAsia="font-weight : 400"/>
    </w:rPr>
  </w:style>
  <w:style w:type="paragraph" w:customStyle="1" w:styleId="354">
    <w:name w:val=" Char"/>
    <w:basedOn w:val="19"/>
    <w:autoRedefine/>
    <w:qFormat/>
    <w:uiPriority w:val="0"/>
    <w:pPr>
      <w:autoSpaceDE/>
      <w:autoSpaceDN/>
      <w:spacing w:line="436" w:lineRule="exact"/>
      <w:ind w:left="357"/>
      <w:outlineLvl w:val="3"/>
    </w:pPr>
    <w:rPr>
      <w:rFonts w:ascii="Calibri" w:hAnsi="Calibri"/>
      <w:b/>
      <w:kern w:val="2"/>
    </w:rPr>
  </w:style>
  <w:style w:type="paragraph" w:customStyle="1" w:styleId="355">
    <w:name w:val="xl39"/>
    <w:basedOn w:val="1"/>
    <w:autoRedefine/>
    <w:qFormat/>
    <w:uiPriority w:val="0"/>
    <w:pPr>
      <w:widowControl/>
      <w:autoSpaceDE/>
      <w:autoSpaceDN/>
      <w:adjustRightInd/>
      <w:spacing w:before="100" w:beforeAutospacing="1" w:after="100" w:afterAutospacing="1"/>
      <w:jc w:val="center"/>
    </w:pPr>
    <w:rPr>
      <w:rFonts w:hAnsi="等线 Light"/>
    </w:rPr>
  </w:style>
  <w:style w:type="paragraph" w:customStyle="1" w:styleId="356">
    <w:name w:val="font9"/>
    <w:basedOn w:val="1"/>
    <w:autoRedefine/>
    <w:qFormat/>
    <w:uiPriority w:val="0"/>
    <w:pPr>
      <w:widowControl/>
      <w:autoSpaceDE/>
      <w:autoSpaceDN/>
      <w:adjustRightInd/>
      <w:spacing w:before="100" w:beforeAutospacing="1" w:after="100" w:afterAutospacing="1"/>
    </w:pPr>
    <w:rPr>
      <w:rFonts w:ascii="Arial Unicode MS" w:hAnsi="Arial Unicode MS"/>
    </w:rPr>
  </w:style>
  <w:style w:type="paragraph" w:customStyle="1" w:styleId="357">
    <w:name w:val="xl49"/>
    <w:basedOn w:val="1"/>
    <w:autoRedefine/>
    <w:qFormat/>
    <w:uiPriority w:val="0"/>
    <w:pPr>
      <w:widowControl/>
      <w:pBdr>
        <w:bottom w:val="single" w:color="auto" w:sz="4" w:space="0"/>
      </w:pBdr>
      <w:autoSpaceDE/>
      <w:autoSpaceDN/>
      <w:adjustRightInd/>
      <w:spacing w:before="100" w:beforeAutospacing="1" w:after="100" w:afterAutospacing="1"/>
    </w:pPr>
    <w:rPr>
      <w:rFonts w:hAnsi="等线 Light" w:cs="等线 Light"/>
    </w:rPr>
  </w:style>
  <w:style w:type="paragraph" w:customStyle="1" w:styleId="358">
    <w:name w:val="YB表格五号宋体"/>
    <w:basedOn w:val="1"/>
    <w:autoRedefine/>
    <w:qFormat/>
    <w:uiPriority w:val="0"/>
    <w:pPr>
      <w:autoSpaceDE/>
      <w:autoSpaceDN/>
      <w:snapToGrid w:val="0"/>
      <w:jc w:val="center"/>
    </w:pPr>
    <w:rPr>
      <w:rFonts w:ascii="Times New Roman" w:hAnsi="Times New Roman" w:eastAsia="宋体" w:cs="Times New Roman"/>
      <w:sz w:val="21"/>
      <w:szCs w:val="20"/>
    </w:rPr>
  </w:style>
  <w:style w:type="paragraph" w:customStyle="1" w:styleId="359">
    <w:name w:val="二级条标题"/>
    <w:basedOn w:val="360"/>
    <w:next w:val="362"/>
    <w:autoRedefine/>
    <w:qFormat/>
    <w:uiPriority w:val="0"/>
    <w:pPr>
      <w:numPr>
        <w:ilvl w:val="3"/>
        <w:numId w:val="3"/>
      </w:numPr>
      <w:tabs>
        <w:tab w:val="left" w:pos="360"/>
        <w:tab w:val="left" w:pos="840"/>
        <w:tab w:val="left" w:pos="1260"/>
        <w:tab w:val="left" w:pos="1680"/>
      </w:tabs>
      <w:outlineLvl w:val="3"/>
    </w:pPr>
  </w:style>
  <w:style w:type="paragraph" w:customStyle="1" w:styleId="360">
    <w:name w:val="一级条标题"/>
    <w:basedOn w:val="361"/>
    <w:next w:val="362"/>
    <w:autoRedefine/>
    <w:qFormat/>
    <w:uiPriority w:val="0"/>
    <w:pPr>
      <w:numPr>
        <w:ilvl w:val="2"/>
        <w:numId w:val="3"/>
      </w:numPr>
      <w:tabs>
        <w:tab w:val="left" w:pos="360"/>
        <w:tab w:val="left" w:pos="840"/>
        <w:tab w:val="left" w:pos="1260"/>
      </w:tabs>
      <w:spacing w:beforeLines="0" w:afterLines="0"/>
      <w:outlineLvl w:val="2"/>
    </w:pPr>
  </w:style>
  <w:style w:type="paragraph" w:customStyle="1" w:styleId="361">
    <w:name w:val="章标题"/>
    <w:next w:val="362"/>
    <w:autoRedefine/>
    <w:qFormat/>
    <w:uiPriority w:val="0"/>
    <w:pPr>
      <w:numPr>
        <w:ilvl w:val="1"/>
        <w:numId w:val="3"/>
      </w:numPr>
      <w:tabs>
        <w:tab w:val="left" w:pos="840"/>
      </w:tabs>
      <w:spacing w:beforeLines="50" w:afterLines="50"/>
      <w:jc w:val="both"/>
      <w:outlineLvl w:val="1"/>
    </w:pPr>
    <w:rPr>
      <w:rFonts w:ascii="PMingLiU" w:hAnsi="Arial Unicode MS" w:eastAsia="PMingLiU" w:cs="Times New Roman"/>
      <w:sz w:val="21"/>
      <w:lang w:val="en-US" w:eastAsia="zh-CN" w:bidi="ar-SA"/>
    </w:rPr>
  </w:style>
  <w:style w:type="paragraph" w:customStyle="1" w:styleId="362">
    <w:name w:val="段"/>
    <w:autoRedefine/>
    <w:qFormat/>
    <w:uiPriority w:val="0"/>
    <w:pPr>
      <w:autoSpaceDE w:val="0"/>
      <w:autoSpaceDN w:val="0"/>
      <w:ind w:firstLine="200" w:firstLineChars="200"/>
      <w:jc w:val="both"/>
    </w:pPr>
    <w:rPr>
      <w:rFonts w:ascii="等线 Light" w:hAnsi="Arial Unicode MS" w:eastAsia="宋体" w:cs="Times New Roman"/>
      <w:sz w:val="21"/>
      <w:lang w:val="en-US" w:eastAsia="zh-CN" w:bidi="ar-SA"/>
    </w:rPr>
  </w:style>
  <w:style w:type="paragraph" w:customStyle="1" w:styleId="363">
    <w:name w:val="List Paragraph1"/>
    <w:basedOn w:val="1"/>
    <w:autoRedefine/>
    <w:qFormat/>
    <w:uiPriority w:val="0"/>
    <w:pPr>
      <w:autoSpaceDE/>
      <w:autoSpaceDN/>
      <w:adjustRightInd/>
      <w:ind w:firstLine="420" w:firstLineChars="200"/>
      <w:jc w:val="both"/>
    </w:pPr>
    <w:rPr>
      <w:rFonts w:ascii="Arial Unicode MS" w:hAnsi="Arial Unicode MS"/>
      <w:kern w:val="2"/>
      <w:sz w:val="21"/>
      <w:szCs w:val="20"/>
    </w:rPr>
  </w:style>
  <w:style w:type="paragraph" w:customStyle="1" w:styleId="364">
    <w:name w:val="d"/>
    <w:basedOn w:val="1"/>
    <w:autoRedefine/>
    <w:qFormat/>
    <w:uiPriority w:val="0"/>
    <w:pPr>
      <w:overflowPunct w:val="0"/>
      <w:snapToGrid w:val="0"/>
      <w:spacing w:line="360" w:lineRule="auto"/>
      <w:ind w:left="709"/>
      <w:jc w:val="both"/>
    </w:pPr>
    <w:rPr>
      <w:rFonts w:ascii="Arial Unicode MS" w:hAnsi="Arial Unicode MS"/>
      <w:b/>
      <w:snapToGrid w:val="0"/>
      <w:sz w:val="21"/>
      <w:szCs w:val="21"/>
    </w:rPr>
  </w:style>
  <w:style w:type="paragraph" w:customStyle="1" w:styleId="365">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366">
    <w:name w:val="三级条标题"/>
    <w:basedOn w:val="359"/>
    <w:next w:val="362"/>
    <w:autoRedefine/>
    <w:qFormat/>
    <w:uiPriority w:val="0"/>
    <w:pPr>
      <w:numPr>
        <w:ilvl w:val="4"/>
        <w:numId w:val="3"/>
      </w:numPr>
      <w:tabs>
        <w:tab w:val="left" w:pos="2100"/>
      </w:tabs>
      <w:outlineLvl w:val="4"/>
    </w:pPr>
  </w:style>
  <w:style w:type="paragraph" w:customStyle="1" w:styleId="367">
    <w:name w:val="样式 四号 行距: 1.5 倍行距"/>
    <w:basedOn w:val="1"/>
    <w:autoRedefine/>
    <w:qFormat/>
    <w:uiPriority w:val="0"/>
    <w:pPr>
      <w:autoSpaceDE/>
      <w:autoSpaceDN/>
      <w:snapToGrid w:val="0"/>
      <w:ind w:firstLine="420" w:firstLineChars="200"/>
      <w:jc w:val="both"/>
    </w:pPr>
    <w:rPr>
      <w:rFonts w:ascii="Arial Unicode MS" w:hAnsi="Arial Unicode MS" w:cs="等线 Light"/>
      <w:kern w:val="2"/>
      <w:sz w:val="21"/>
      <w:szCs w:val="21"/>
    </w:rPr>
  </w:style>
  <w:style w:type="paragraph" w:customStyle="1" w:styleId="368">
    <w:name w:val="xl45"/>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int="eastAsia" w:ascii="PMingLiU" w:hAnsi="等线 Light" w:eastAsia="PMingLiU"/>
      <w:sz w:val="26"/>
      <w:szCs w:val="26"/>
    </w:rPr>
  </w:style>
  <w:style w:type="paragraph" w:customStyle="1" w:styleId="369">
    <w:name w:val="表头"/>
    <w:basedOn w:val="17"/>
    <w:autoRedefine/>
    <w:qFormat/>
    <w:uiPriority w:val="0"/>
    <w:pPr>
      <w:keepNext/>
      <w:keepLines/>
      <w:widowControl/>
      <w:autoSpaceDE/>
      <w:autoSpaceDN/>
      <w:adjustRightInd/>
      <w:spacing w:before="120" w:after="120" w:line="300" w:lineRule="auto"/>
      <w:jc w:val="center"/>
      <w:textAlignment w:val="baseline"/>
    </w:pPr>
    <w:rPr>
      <w:rFonts w:cs="幼圆"/>
      <w:sz w:val="21"/>
    </w:rPr>
  </w:style>
  <w:style w:type="paragraph" w:customStyle="1" w:styleId="370">
    <w:name w:val="head"/>
    <w:basedOn w:val="1"/>
    <w:autoRedefine/>
    <w:qFormat/>
    <w:uiPriority w:val="0"/>
    <w:pPr>
      <w:widowControl/>
      <w:autoSpaceDE/>
      <w:autoSpaceDN/>
      <w:adjustRightInd/>
      <w:spacing w:before="100" w:beforeAutospacing="1" w:after="100" w:afterAutospacing="1"/>
      <w:jc w:val="center"/>
    </w:pPr>
    <w:rPr>
      <w:rFonts w:hint="eastAsia" w:ascii="PMingLiU" w:hAnsi="等线 Light" w:eastAsia="PMingLiU"/>
      <w:b/>
      <w:bCs/>
      <w:sz w:val="28"/>
      <w:szCs w:val="28"/>
    </w:rPr>
  </w:style>
  <w:style w:type="paragraph" w:customStyle="1" w:styleId="371">
    <w:name w:val="网格表 31"/>
    <w:basedOn w:val="4"/>
    <w:next w:val="1"/>
    <w:autoRedefine/>
    <w:unhideWhenUsed/>
    <w:qFormat/>
    <w:uiPriority w:val="39"/>
    <w:pPr>
      <w:keepNext/>
      <w:keepLines/>
      <w:widowControl/>
      <w:autoSpaceDE/>
      <w:autoSpaceDN/>
      <w:adjustRightInd/>
      <w:spacing w:before="480" w:line="276" w:lineRule="auto"/>
      <w:outlineLvl w:val="9"/>
    </w:pPr>
    <w:rPr>
      <w:rFonts w:ascii="Roman" w:hAnsi="Roman"/>
      <w:b/>
      <w:bCs/>
      <w:color w:val="365F91"/>
      <w:sz w:val="28"/>
      <w:szCs w:val="28"/>
    </w:rPr>
  </w:style>
  <w:style w:type="paragraph" w:customStyle="1" w:styleId="372">
    <w:name w:val="xl24"/>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373">
    <w:name w:val="默认段落字体 Para Char Char Char Char Char Char Char"/>
    <w:basedOn w:val="1"/>
    <w:autoRedefine/>
    <w:qFormat/>
    <w:uiPriority w:val="0"/>
    <w:pPr>
      <w:autoSpaceDE/>
      <w:autoSpaceDN/>
      <w:adjustRightInd/>
      <w:jc w:val="both"/>
    </w:pPr>
    <w:rPr>
      <w:rFonts w:ascii="Arial Unicode MS" w:hAnsi="Arial Unicode MS"/>
      <w:kern w:val="2"/>
      <w:sz w:val="21"/>
      <w:szCs w:val="20"/>
    </w:rPr>
  </w:style>
  <w:style w:type="paragraph" w:customStyle="1" w:styleId="374">
    <w:name w:val="1册标题3"/>
    <w:basedOn w:val="1"/>
    <w:next w:val="1"/>
    <w:autoRedefine/>
    <w:qFormat/>
    <w:uiPriority w:val="0"/>
    <w:pPr>
      <w:keepNext/>
      <w:keepLines/>
      <w:autoSpaceDE/>
      <w:autoSpaceDN/>
      <w:spacing w:before="156" w:beforeLines="50" w:after="156" w:afterLines="50"/>
      <w:jc w:val="both"/>
      <w:textAlignment w:val="baseline"/>
      <w:outlineLvl w:val="2"/>
    </w:pPr>
    <w:rPr>
      <w:rFonts w:ascii="楷体_GB2312" w:hAnsi="楷体_GB2312" w:eastAsia="PMingLiU"/>
      <w:szCs w:val="20"/>
    </w:rPr>
  </w:style>
  <w:style w:type="paragraph" w:customStyle="1" w:styleId="375">
    <w:name w:val="12册标题"/>
    <w:basedOn w:val="1"/>
    <w:next w:val="1"/>
    <w:autoRedefine/>
    <w:qFormat/>
    <w:uiPriority w:val="0"/>
    <w:pPr>
      <w:autoSpaceDE/>
      <w:autoSpaceDN/>
      <w:adjustRightInd/>
      <w:spacing w:before="156" w:beforeLines="50" w:after="156" w:afterLines="50"/>
      <w:jc w:val="center"/>
      <w:outlineLvl w:val="0"/>
    </w:pPr>
    <w:rPr>
      <w:rFonts w:ascii="楷体_GB2312" w:hAnsi="楷体_GB2312" w:eastAsia="PMingLiU"/>
      <w:kern w:val="2"/>
      <w:sz w:val="44"/>
      <w:szCs w:val="20"/>
    </w:rPr>
  </w:style>
  <w:style w:type="paragraph" w:customStyle="1" w:styleId="376">
    <w:name w:val="规正文"/>
    <w:basedOn w:val="1"/>
    <w:autoRedefine/>
    <w:qFormat/>
    <w:uiPriority w:val="0"/>
    <w:pPr>
      <w:autoSpaceDE/>
      <w:autoSpaceDN/>
      <w:adjustRightInd/>
      <w:ind w:firstLine="560" w:firstLineChars="200"/>
      <w:jc w:val="both"/>
    </w:pPr>
    <w:rPr>
      <w:rFonts w:ascii="Arial Unicode MS" w:hAnsi="Arial Unicode MS" w:eastAsia="等线 Light" w:cs="幼圆"/>
      <w:kern w:val="2"/>
      <w:sz w:val="28"/>
      <w:szCs w:val="28"/>
    </w:rPr>
  </w:style>
  <w:style w:type="paragraph" w:customStyle="1" w:styleId="377">
    <w:name w:val=" Char Char Char Char Char Char Char Char Char Char Char Char1 Char Char Char Char"/>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378">
    <w:name w:val="A."/>
    <w:basedOn w:val="1"/>
    <w:autoRedefine/>
    <w:qFormat/>
    <w:uiPriority w:val="0"/>
    <w:pPr>
      <w:widowControl/>
      <w:tabs>
        <w:tab w:val="left" w:pos="859"/>
        <w:tab w:val="left" w:pos="1200"/>
      </w:tabs>
      <w:autoSpaceDE/>
      <w:autoSpaceDN/>
      <w:adjustRightInd/>
      <w:spacing w:before="240" w:line="240" w:lineRule="atLeast"/>
      <w:ind w:left="859" w:hanging="453"/>
      <w:jc w:val="both"/>
    </w:pPr>
    <w:rPr>
      <w:rFonts w:ascii="Arial Unicode MS" w:hAnsi="Arial Unicode MS"/>
      <w:kern w:val="2"/>
    </w:rPr>
  </w:style>
  <w:style w:type="paragraph" w:customStyle="1" w:styleId="379">
    <w:name w:val="图"/>
    <w:basedOn w:val="1"/>
    <w:autoRedefine/>
    <w:qFormat/>
    <w:uiPriority w:val="0"/>
    <w:pPr>
      <w:keepNext/>
      <w:autoSpaceDE/>
      <w:autoSpaceDN/>
      <w:spacing w:before="60" w:after="60" w:line="300" w:lineRule="auto"/>
      <w:jc w:val="center"/>
      <w:textAlignment w:val="center"/>
    </w:pPr>
    <w:rPr>
      <w:rFonts w:ascii="幼圆"/>
      <w:snapToGrid w:val="0"/>
      <w:spacing w:val="20"/>
      <w:szCs w:val="20"/>
    </w:rPr>
  </w:style>
  <w:style w:type="paragraph" w:customStyle="1" w:styleId="380">
    <w:name w:val="正文[858D7CFB-ED40-4347-BF05-701D383B685F][858D7CFB-ED40-4347-BF05-701D383B685F]"/>
    <w:autoRedefine/>
    <w:qFormat/>
    <w:uiPriority w:val="0"/>
    <w:pPr>
      <w:widowControl w:val="0"/>
      <w:spacing w:line="360" w:lineRule="auto"/>
      <w:ind w:firstLine="200"/>
      <w:jc w:val="both"/>
    </w:pPr>
    <w:rPr>
      <w:rFonts w:ascii="_x001A_" w:hAnsi="_x001A_" w:eastAsia="宋体" w:cs="Times New Roman"/>
      <w:color w:val="000000"/>
      <w:kern w:val="2"/>
      <w:sz w:val="24"/>
      <w:lang w:val="en-US" w:eastAsia="zh-CN" w:bidi="ar-SA"/>
    </w:rPr>
  </w:style>
  <w:style w:type="paragraph" w:customStyle="1" w:styleId="381">
    <w:name w:val="Char Char1 Char Char Char Char Char Char Char Char Char Char Char Char Char"/>
    <w:basedOn w:val="1"/>
    <w:autoRedefine/>
    <w:qFormat/>
    <w:uiPriority w:val="0"/>
    <w:pPr>
      <w:widowControl/>
      <w:autoSpaceDE/>
      <w:autoSpaceDN/>
      <w:adjustRightInd/>
      <w:spacing w:after="160" w:line="360" w:lineRule="auto"/>
    </w:pPr>
    <w:rPr>
      <w:rFonts w:ascii="Lucida Grande" w:hAnsi="Lucida Grande"/>
      <w:sz w:val="21"/>
      <w:szCs w:val="20"/>
      <w:lang w:eastAsia="en-US"/>
    </w:rPr>
  </w:style>
  <w:style w:type="paragraph" w:customStyle="1" w:styleId="382">
    <w:name w:val="日期1"/>
    <w:basedOn w:val="1"/>
    <w:next w:val="1"/>
    <w:autoRedefine/>
    <w:qFormat/>
    <w:uiPriority w:val="0"/>
    <w:pPr>
      <w:autoSpaceDE/>
      <w:autoSpaceDN/>
      <w:adjustRightInd/>
      <w:ind w:left="100" w:leftChars="2500"/>
      <w:jc w:val="both"/>
    </w:pPr>
    <w:rPr>
      <w:rFonts w:ascii="Arial Unicode MS" w:hAnsi="Arial Unicode MS" w:eastAsia="ˎ̥"/>
      <w:kern w:val="2"/>
      <w:sz w:val="21"/>
    </w:rPr>
  </w:style>
  <w:style w:type="paragraph" w:customStyle="1" w:styleId="383">
    <w:name w:val="样式 标题 2H2Heading 2 HiddenHeading 2 CCBSh22nd levell2Titre...5"/>
    <w:basedOn w:val="6"/>
    <w:autoRedefine/>
    <w:qFormat/>
    <w:uiPriority w:val="0"/>
    <w:pPr>
      <w:keepLines/>
      <w:widowControl/>
      <w:autoSpaceDE/>
      <w:autoSpaceDN/>
      <w:spacing w:before="260" w:after="260" w:line="416" w:lineRule="auto"/>
      <w:jc w:val="both"/>
    </w:pPr>
    <w:rPr>
      <w:rFonts w:ascii="楷体_GB2312" w:hAnsi="楷体_GB2312" w:cs="等线 Light"/>
      <w:b/>
      <w:bCs/>
      <w:kern w:val="2"/>
      <w:sz w:val="32"/>
      <w:szCs w:val="20"/>
    </w:rPr>
  </w:style>
  <w:style w:type="paragraph" w:customStyle="1" w:styleId="384">
    <w:name w:val="Char1 Char Char Char1 Char Char Char Char Char Char Char Char Char"/>
    <w:basedOn w:val="1"/>
    <w:autoRedefine/>
    <w:qFormat/>
    <w:uiPriority w:val="0"/>
    <w:pPr>
      <w:widowControl/>
      <w:autoSpaceDE/>
      <w:autoSpaceDN/>
      <w:adjustRightInd/>
      <w:spacing w:after="160" w:line="240" w:lineRule="exact"/>
    </w:pPr>
    <w:rPr>
      <w:rFonts w:ascii="Lucida Grande" w:hAnsi="Lucida Grande" w:eastAsia="Cambria Math"/>
      <w:b/>
      <w:i/>
      <w:iCs/>
      <w:color w:val="000000"/>
      <w:sz w:val="20"/>
      <w:szCs w:val="20"/>
      <w:lang w:eastAsia="en-US"/>
    </w:rPr>
  </w:style>
  <w:style w:type="paragraph" w:customStyle="1" w:styleId="385">
    <w:name w:val="xl25"/>
    <w:basedOn w:val="1"/>
    <w:autoRedefine/>
    <w:qFormat/>
    <w:uiPriority w:val="0"/>
    <w:pPr>
      <w:widowControl/>
      <w:pBdr>
        <w:top w:val="single" w:color="auto" w:sz="4" w:space="0"/>
        <w:bottom w:val="single" w:color="auto" w:sz="4" w:space="0"/>
      </w:pBdr>
      <w:autoSpaceDE/>
      <w:autoSpaceDN/>
      <w:adjustRightInd/>
      <w:spacing w:before="100" w:beforeAutospacing="1" w:after="100" w:afterAutospacing="1"/>
      <w:jc w:val="center"/>
    </w:pPr>
    <w:rPr>
      <w:rFonts w:hint="eastAsia" w:hAnsi="等线 Light"/>
      <w:sz w:val="20"/>
      <w:szCs w:val="20"/>
    </w:rPr>
  </w:style>
  <w:style w:type="paragraph" w:customStyle="1" w:styleId="386">
    <w:name w:val="Char Char Char Char Char Char Char"/>
    <w:basedOn w:val="1"/>
    <w:autoRedefine/>
    <w:qFormat/>
    <w:uiPriority w:val="0"/>
    <w:pPr>
      <w:autoSpaceDE/>
      <w:autoSpaceDN/>
      <w:adjustRightInd/>
      <w:spacing w:line="360" w:lineRule="auto"/>
      <w:ind w:left="420" w:firstLine="420"/>
      <w:jc w:val="both"/>
    </w:pPr>
    <w:rPr>
      <w:rFonts w:ascii="Arial Unicode MS" w:hAnsi="Arial Unicode MS"/>
      <w:szCs w:val="21"/>
    </w:rPr>
  </w:style>
  <w:style w:type="paragraph" w:customStyle="1" w:styleId="387">
    <w:name w:val="修订2"/>
    <w:autoRedefine/>
    <w:unhideWhenUsed/>
    <w:qFormat/>
    <w:uiPriority w:val="99"/>
    <w:rPr>
      <w:rFonts w:ascii="Times New Roman" w:hAnsi="Times New Roman" w:eastAsia="宋体" w:cs="Times New Roman"/>
      <w:kern w:val="2"/>
      <w:sz w:val="21"/>
      <w:szCs w:val="22"/>
      <w:lang w:val="en-US" w:eastAsia="zh-CN" w:bidi="ar-SA"/>
    </w:rPr>
  </w:style>
  <w:style w:type="paragraph" w:customStyle="1" w:styleId="388">
    <w:name w:val="zhang"/>
    <w:basedOn w:val="1"/>
    <w:autoRedefine/>
    <w:qFormat/>
    <w:uiPriority w:val="0"/>
    <w:pPr>
      <w:autoSpaceDE/>
      <w:autoSpaceDN/>
      <w:adjustRightInd/>
      <w:ind w:firstLine="200" w:firstLineChars="200"/>
      <w:jc w:val="both"/>
    </w:pPr>
    <w:rPr>
      <w:rFonts w:ascii="Arial Unicode MS" w:hAnsi="Arial Unicode MS" w:eastAsia="微软雅黑"/>
      <w:bCs/>
      <w:kern w:val="2"/>
      <w:sz w:val="28"/>
      <w:szCs w:val="20"/>
    </w:rPr>
  </w:style>
  <w:style w:type="paragraph" w:customStyle="1" w:styleId="389">
    <w:name w:val="样式 标题 3头小节标题Heading 3 - oldh33rd levelH3l3CTLevel 3 Hea..."/>
    <w:basedOn w:val="6"/>
    <w:autoRedefine/>
    <w:qFormat/>
    <w:uiPriority w:val="0"/>
    <w:pPr>
      <w:keepNext/>
      <w:keepLines/>
      <w:tabs>
        <w:tab w:val="left" w:pos="964"/>
      </w:tabs>
      <w:autoSpaceDE/>
      <w:autoSpaceDN/>
      <w:adjustRightInd/>
      <w:spacing w:line="360" w:lineRule="auto"/>
      <w:ind w:firstLine="200" w:firstLineChars="200"/>
      <w:jc w:val="both"/>
    </w:pPr>
    <w:rPr>
      <w:rFonts w:ascii="Arial Unicode MS" w:hAnsi="Arial Unicode MS" w:cs="等线 Light"/>
      <w:kern w:val="2"/>
      <w:szCs w:val="20"/>
    </w:rPr>
  </w:style>
  <w:style w:type="paragraph" w:customStyle="1" w:styleId="390">
    <w:name w:val="Char1"/>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391">
    <w:name w:val="Char2"/>
    <w:basedOn w:val="1"/>
    <w:autoRedefine/>
    <w:qFormat/>
    <w:uiPriority w:val="0"/>
    <w:pPr>
      <w:widowControl/>
      <w:autoSpaceDE/>
      <w:autoSpaceDN/>
      <w:adjustRightInd/>
      <w:spacing w:after="160" w:line="240" w:lineRule="exact"/>
    </w:pPr>
    <w:rPr>
      <w:rFonts w:ascii="Lucida Grande" w:hAnsi="Lucida Grande" w:eastAsia="微软雅黑"/>
      <w:szCs w:val="20"/>
      <w:lang w:eastAsia="en-US"/>
    </w:rPr>
  </w:style>
  <w:style w:type="paragraph" w:customStyle="1" w:styleId="392">
    <w:name w:val=" Char1"/>
    <w:basedOn w:val="1"/>
    <w:autoRedefine/>
    <w:qFormat/>
    <w:uiPriority w:val="0"/>
    <w:pPr>
      <w:tabs>
        <w:tab w:val="left" w:pos="360"/>
      </w:tabs>
      <w:autoSpaceDE/>
      <w:autoSpaceDN/>
      <w:adjustRightInd/>
      <w:jc w:val="both"/>
    </w:pPr>
    <w:rPr>
      <w:rFonts w:ascii="Arial Unicode MS" w:hAnsi="Arial Unicode MS"/>
      <w:kern w:val="2"/>
    </w:rPr>
  </w:style>
  <w:style w:type="paragraph" w:customStyle="1" w:styleId="393">
    <w:name w:val="Char1 Char Char Char1 Char Char Char"/>
    <w:basedOn w:val="1"/>
    <w:autoRedefine/>
    <w:qFormat/>
    <w:uiPriority w:val="0"/>
    <w:pPr>
      <w:autoSpaceDE/>
      <w:autoSpaceDN/>
      <w:adjustRightInd/>
      <w:spacing w:line="360" w:lineRule="auto"/>
    </w:pPr>
    <w:rPr>
      <w:rFonts w:ascii="Arial Unicode MS" w:hAnsi="Arial Unicode MS"/>
      <w:kern w:val="2"/>
      <w:sz w:val="21"/>
    </w:rPr>
  </w:style>
  <w:style w:type="paragraph" w:customStyle="1" w:styleId="394">
    <w:name w:val="样式 样式 小四 首行缩进:  0.85 厘米 + 首行缩进:  2 字符"/>
    <w:basedOn w:val="1"/>
    <w:autoRedefine/>
    <w:qFormat/>
    <w:uiPriority w:val="0"/>
    <w:pPr>
      <w:autoSpaceDE/>
      <w:autoSpaceDN/>
      <w:snapToGrid w:val="0"/>
      <w:spacing w:line="360" w:lineRule="auto"/>
      <w:ind w:firstLine="584" w:firstLineChars="200"/>
      <w:jc w:val="both"/>
    </w:pPr>
    <w:rPr>
      <w:rFonts w:ascii="Arial Unicode MS" w:hAnsi="Arial Unicode MS" w:cs="等线 Light"/>
      <w:snapToGrid w:val="0"/>
      <w:sz w:val="28"/>
      <w:szCs w:val="28"/>
    </w:rPr>
  </w:style>
  <w:style w:type="paragraph" w:customStyle="1" w:styleId="395">
    <w:name w:val="xl40"/>
    <w:basedOn w:val="1"/>
    <w:autoRedefine/>
    <w:qFormat/>
    <w:uiPriority w:val="0"/>
    <w:pPr>
      <w:widowControl/>
      <w:autoSpaceDE/>
      <w:autoSpaceDN/>
      <w:adjustRightInd/>
      <w:spacing w:before="100" w:beforeAutospacing="1" w:after="100" w:afterAutospacing="1"/>
      <w:jc w:val="both"/>
    </w:pPr>
    <w:rPr>
      <w:rFonts w:hAnsi="等线 Light"/>
      <w:b/>
      <w:bCs/>
    </w:rPr>
  </w:style>
  <w:style w:type="paragraph" w:customStyle="1" w:styleId="396">
    <w:name w:val="表格"/>
    <w:basedOn w:val="1"/>
    <w:autoRedefine/>
    <w:qFormat/>
    <w:uiPriority w:val="0"/>
    <w:pPr>
      <w:autoSpaceDE/>
      <w:autoSpaceDN/>
      <w:adjustRightInd/>
      <w:spacing w:line="400" w:lineRule="atLeast"/>
      <w:jc w:val="both"/>
    </w:pPr>
    <w:rPr>
      <w:rFonts w:ascii="Arial Unicode MS" w:hAnsi="Arial Unicode MS"/>
      <w:b/>
      <w:bCs/>
      <w:color w:val="FF00FF"/>
      <w:kern w:val="2"/>
    </w:rPr>
  </w:style>
  <w:style w:type="paragraph" w:customStyle="1" w:styleId="397">
    <w:name w:val="xl31"/>
    <w:basedOn w:val="1"/>
    <w:autoRedefine/>
    <w:qFormat/>
    <w:uiPriority w:val="0"/>
    <w:pPr>
      <w:widowControl/>
      <w:pBdr>
        <w:left w:val="single" w:color="auto" w:sz="4" w:space="0"/>
        <w:bottom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398">
    <w:name w:val="Char3"/>
    <w:basedOn w:val="1"/>
    <w:autoRedefine/>
    <w:qFormat/>
    <w:uiPriority w:val="99"/>
    <w:pPr>
      <w:widowControl/>
      <w:autoSpaceDE/>
      <w:autoSpaceDN/>
      <w:adjustRightInd/>
      <w:spacing w:line="400" w:lineRule="exact"/>
      <w:jc w:val="center"/>
    </w:pPr>
    <w:rPr>
      <w:rFonts w:ascii="Lucida Grande" w:hAnsi="Lucida Grande"/>
      <w:sz w:val="21"/>
      <w:szCs w:val="20"/>
      <w:lang w:eastAsia="en-US"/>
    </w:rPr>
  </w:style>
  <w:style w:type="paragraph" w:customStyle="1" w:styleId="399">
    <w:name w:val="p0"/>
    <w:basedOn w:val="1"/>
    <w:autoRedefine/>
    <w:qFormat/>
    <w:uiPriority w:val="0"/>
    <w:pPr>
      <w:widowControl/>
      <w:autoSpaceDE/>
      <w:autoSpaceDN/>
      <w:adjustRightInd/>
      <w:jc w:val="both"/>
    </w:pPr>
    <w:rPr>
      <w:rFonts w:ascii="Arial Unicode MS" w:hAnsi="Arial Unicode MS"/>
      <w:sz w:val="21"/>
      <w:szCs w:val="20"/>
    </w:rPr>
  </w:style>
  <w:style w:type="paragraph" w:customStyle="1" w:styleId="400">
    <w:name w:val="1)"/>
    <w:basedOn w:val="1"/>
    <w:autoRedefine/>
    <w:qFormat/>
    <w:uiPriority w:val="0"/>
    <w:pPr>
      <w:autoSpaceDE/>
      <w:autoSpaceDN/>
      <w:adjustRightInd/>
      <w:spacing w:line="264" w:lineRule="auto"/>
      <w:jc w:val="both"/>
    </w:pPr>
    <w:rPr>
      <w:rFonts w:ascii="Arial Unicode MS" w:hAnsi="Arial Unicode MS"/>
      <w:kern w:val="2"/>
    </w:rPr>
  </w:style>
  <w:style w:type="paragraph" w:customStyle="1" w:styleId="401">
    <w:name w:val="样式 标题 5五 + 首行缩进:  2 字符"/>
    <w:basedOn w:val="8"/>
    <w:autoRedefine/>
    <w:qFormat/>
    <w:uiPriority w:val="0"/>
    <w:pPr>
      <w:autoSpaceDE/>
      <w:autoSpaceDN/>
      <w:adjustRightInd/>
      <w:snapToGrid w:val="0"/>
      <w:spacing w:before="0" w:after="0" w:line="360" w:lineRule="auto"/>
      <w:ind w:firstLine="500" w:firstLineChars="200"/>
      <w:jc w:val="both"/>
    </w:pPr>
    <w:rPr>
      <w:rFonts w:ascii="Arial Unicode MS" w:hAnsi="Arial Unicode MS" w:cs="等线 Light"/>
      <w:b w:val="0"/>
      <w:bCs w:val="0"/>
      <w:spacing w:val="20"/>
      <w:kern w:val="2"/>
      <w:sz w:val="24"/>
      <w:szCs w:val="20"/>
    </w:rPr>
  </w:style>
  <w:style w:type="paragraph" w:customStyle="1" w:styleId="402">
    <w:name w:val="1册标题2"/>
    <w:basedOn w:val="5"/>
    <w:next w:val="1"/>
    <w:autoRedefine/>
    <w:qFormat/>
    <w:uiPriority w:val="0"/>
    <w:pPr>
      <w:autoSpaceDE/>
      <w:autoSpaceDN/>
      <w:adjustRightInd/>
      <w:jc w:val="both"/>
      <w:outlineLvl w:val="9"/>
    </w:pPr>
    <w:rPr>
      <w:rFonts w:hAnsi="等线 Light"/>
      <w:color w:val="008000"/>
      <w:kern w:val="2"/>
      <w:sz w:val="21"/>
      <w:szCs w:val="21"/>
    </w:rPr>
  </w:style>
  <w:style w:type="paragraph" w:customStyle="1" w:styleId="403">
    <w:name w:val="xl55"/>
    <w:basedOn w:val="1"/>
    <w:autoRedefine/>
    <w:qFormat/>
    <w:uiPriority w:val="0"/>
    <w:pPr>
      <w:widowControl/>
      <w:pBdr>
        <w:top w:val="single" w:color="auto" w:sz="4" w:space="0"/>
        <w:bottom w:val="single" w:color="auto" w:sz="4" w:space="0"/>
      </w:pBdr>
      <w:autoSpaceDE/>
      <w:autoSpaceDN/>
      <w:adjustRightInd/>
      <w:spacing w:before="100" w:beforeAutospacing="1" w:after="100" w:afterAutospacing="1"/>
      <w:jc w:val="center"/>
    </w:pPr>
    <w:rPr>
      <w:rFonts w:hint="eastAsia" w:hAnsi="等线 Light"/>
    </w:rPr>
  </w:style>
  <w:style w:type="paragraph" w:customStyle="1" w:styleId="404">
    <w:name w:val="首航所进"/>
    <w:basedOn w:val="1"/>
    <w:autoRedefine/>
    <w:qFormat/>
    <w:uiPriority w:val="0"/>
    <w:pPr>
      <w:autoSpaceDE/>
      <w:autoSpaceDN/>
      <w:adjustRightInd/>
      <w:spacing w:line="300" w:lineRule="auto"/>
      <w:ind w:firstLine="480" w:firstLineChars="200"/>
      <w:jc w:val="both"/>
    </w:pPr>
    <w:rPr>
      <w:rFonts w:ascii="Arial Unicode MS" w:hAnsi="Arial Unicode MS"/>
      <w:kern w:val="2"/>
    </w:rPr>
  </w:style>
  <w:style w:type="paragraph" w:customStyle="1" w:styleId="405">
    <w:name w:val="xl47"/>
    <w:basedOn w:val="1"/>
    <w:autoRedefine/>
    <w:qFormat/>
    <w:uiPriority w:val="0"/>
    <w:pPr>
      <w:widowControl/>
      <w:pBdr>
        <w:top w:val="single" w:color="auto" w:sz="4" w:space="0"/>
        <w:right w:val="single" w:color="auto" w:sz="4" w:space="0"/>
      </w:pBdr>
      <w:autoSpaceDE/>
      <w:autoSpaceDN/>
      <w:adjustRightInd/>
      <w:spacing w:before="100" w:beforeAutospacing="1" w:after="100" w:afterAutospacing="1"/>
    </w:pPr>
    <w:rPr>
      <w:rFonts w:hAnsi="等线 Light" w:cs="等线 Light"/>
    </w:rPr>
  </w:style>
  <w:style w:type="paragraph" w:customStyle="1" w:styleId="406">
    <w:name w:val="图/图注"/>
    <w:basedOn w:val="10"/>
    <w:autoRedefine/>
    <w:qFormat/>
    <w:uiPriority w:val="0"/>
    <w:pPr>
      <w:wordWrap/>
      <w:autoSpaceDE/>
      <w:autoSpaceDN/>
      <w:adjustRightInd/>
      <w:spacing w:before="50"/>
      <w:ind w:firstLine="0" w:firstLineChars="0"/>
      <w:jc w:val="center"/>
    </w:pPr>
    <w:rPr>
      <w:rFonts w:ascii="幼圆" w:eastAsia="PMingLiU"/>
      <w:b/>
      <w:kern w:val="2"/>
      <w:sz w:val="21"/>
      <w:szCs w:val="22"/>
    </w:rPr>
  </w:style>
  <w:style w:type="paragraph" w:customStyle="1" w:styleId="407">
    <w:name w:val="_Style 1"/>
    <w:basedOn w:val="1"/>
    <w:autoRedefine/>
    <w:qFormat/>
    <w:uiPriority w:val="34"/>
    <w:pPr>
      <w:autoSpaceDE/>
      <w:autoSpaceDN/>
      <w:adjustRightInd/>
      <w:ind w:firstLine="420" w:firstLineChars="200"/>
      <w:jc w:val="both"/>
    </w:pPr>
    <w:rPr>
      <w:rFonts w:ascii="Arial Unicode MS" w:hAnsi="Arial Unicode MS"/>
      <w:kern w:val="2"/>
      <w:sz w:val="21"/>
      <w:szCs w:val="20"/>
    </w:rPr>
  </w:style>
  <w:style w:type="paragraph" w:customStyle="1" w:styleId="408">
    <w:name w:val="font8"/>
    <w:basedOn w:val="1"/>
    <w:autoRedefine/>
    <w:qFormat/>
    <w:uiPriority w:val="0"/>
    <w:pPr>
      <w:widowControl/>
      <w:autoSpaceDE/>
      <w:autoSpaceDN/>
      <w:adjustRightInd/>
      <w:spacing w:before="100" w:beforeAutospacing="1" w:after="100" w:afterAutospacing="1"/>
    </w:pPr>
    <w:rPr>
      <w:rFonts w:hint="eastAsia" w:ascii="微软雅黑" w:hAnsi="等线 Light" w:eastAsia="微软雅黑"/>
    </w:rPr>
  </w:style>
  <w:style w:type="paragraph" w:customStyle="1" w:styleId="409">
    <w:name w:val="列出段落2"/>
    <w:basedOn w:val="1"/>
    <w:autoRedefine/>
    <w:unhideWhenUsed/>
    <w:qFormat/>
    <w:uiPriority w:val="34"/>
    <w:pPr>
      <w:ind w:firstLine="420" w:firstLineChars="200"/>
    </w:pPr>
  </w:style>
  <w:style w:type="paragraph" w:customStyle="1" w:styleId="410">
    <w:name w:val="_Style 26"/>
    <w:autoRedefine/>
    <w:qFormat/>
    <w:uiPriority w:val="0"/>
    <w:pPr>
      <w:widowControl w:val="0"/>
      <w:jc w:val="both"/>
    </w:pPr>
    <w:rPr>
      <w:rFonts w:ascii="Arial Unicode MS" w:hAnsi="Arial Unicode MS" w:eastAsia="宋体" w:cs="Times New Roman"/>
      <w:kern w:val="2"/>
      <w:sz w:val="21"/>
      <w:szCs w:val="24"/>
      <w:lang w:val="en-US" w:eastAsia="zh-CN" w:bidi="ar-SA"/>
    </w:rPr>
  </w:style>
  <w:style w:type="paragraph" w:customStyle="1" w:styleId="411">
    <w:name w:val="head3"/>
    <w:autoRedefine/>
    <w:qFormat/>
    <w:uiPriority w:val="0"/>
    <w:pPr>
      <w:spacing w:before="120" w:after="120"/>
    </w:pPr>
    <w:rPr>
      <w:rFonts w:ascii="等线 Light" w:hAnsi="Arial Unicode MS" w:eastAsia="宋体" w:cs="Times New Roman"/>
      <w:b/>
      <w:sz w:val="24"/>
      <w:lang w:val="en-US" w:eastAsia="zh-CN" w:bidi="ar-SA"/>
    </w:rPr>
  </w:style>
  <w:style w:type="paragraph" w:customStyle="1" w:styleId="412">
    <w:name w:val="_Style 142"/>
    <w:basedOn w:val="19"/>
    <w:autoRedefine/>
    <w:qFormat/>
    <w:uiPriority w:val="0"/>
    <w:pPr>
      <w:autoSpaceDE/>
      <w:autoSpaceDN/>
      <w:adjustRightInd/>
      <w:jc w:val="both"/>
    </w:pPr>
    <w:rPr>
      <w:rFonts w:ascii="Arial Unicode MS" w:hAnsi="Arial Unicode MS"/>
      <w:kern w:val="2"/>
      <w:sz w:val="21"/>
    </w:rPr>
  </w:style>
  <w:style w:type="paragraph" w:customStyle="1" w:styleId="413">
    <w:name w:val="批注框文本1"/>
    <w:basedOn w:val="1"/>
    <w:next w:val="38"/>
    <w:autoRedefine/>
    <w:qFormat/>
    <w:uiPriority w:val="0"/>
    <w:pPr>
      <w:autoSpaceDE/>
      <w:autoSpaceDN/>
      <w:adjustRightInd/>
      <w:jc w:val="both"/>
    </w:pPr>
    <w:rPr>
      <w:rFonts w:ascii="Arial Unicode MS" w:hAnsi="Arial Unicode MS" w:eastAsia="ˎ̥"/>
      <w:kern w:val="2"/>
      <w:sz w:val="18"/>
      <w:szCs w:val="18"/>
    </w:rPr>
  </w:style>
  <w:style w:type="paragraph" w:customStyle="1" w:styleId="414">
    <w:name w:val="无间隔1"/>
    <w:autoRedefine/>
    <w:qFormat/>
    <w:uiPriority w:val="1"/>
    <w:pPr>
      <w:widowControl w:val="0"/>
      <w:ind w:left="198" w:hanging="198"/>
      <w:jc w:val="center"/>
    </w:pPr>
    <w:rPr>
      <w:rFonts w:ascii="Arial Unicode MS" w:hAnsi="Arial Unicode MS" w:eastAsia="宋体" w:cs="Times New Roman"/>
      <w:kern w:val="2"/>
      <w:sz w:val="24"/>
      <w:szCs w:val="22"/>
      <w:lang w:val="en-US" w:eastAsia="zh-CN" w:bidi="ar-SA"/>
    </w:rPr>
  </w:style>
  <w:style w:type="paragraph" w:customStyle="1" w:styleId="415">
    <w:name w:val="Char Char1 Char Char Char Char Char Char Char Char Char Char Char Char Char Char"/>
    <w:basedOn w:val="1"/>
    <w:autoRedefine/>
    <w:qFormat/>
    <w:uiPriority w:val="0"/>
    <w:pPr>
      <w:widowControl/>
      <w:autoSpaceDE/>
      <w:autoSpaceDN/>
      <w:adjustRightInd/>
      <w:spacing w:after="160" w:line="240" w:lineRule="exact"/>
    </w:pPr>
    <w:rPr>
      <w:rFonts w:ascii="Lucida Grande" w:hAnsi="Lucida Grande"/>
      <w:sz w:val="20"/>
      <w:szCs w:val="20"/>
      <w:lang w:eastAsia="en-US"/>
    </w:rPr>
  </w:style>
  <w:style w:type="paragraph" w:customStyle="1" w:styleId="416">
    <w:name w:val="Char Char Char Char Char Char Char Char Char Char Char Char Char Char Char Char"/>
    <w:basedOn w:val="1"/>
    <w:autoRedefine/>
    <w:qFormat/>
    <w:uiPriority w:val="0"/>
    <w:pPr>
      <w:autoSpaceDE/>
      <w:autoSpaceDN/>
      <w:adjustRightInd/>
      <w:spacing w:line="330" w:lineRule="atLeast"/>
      <w:ind w:left="360" w:firstLine="360" w:firstLineChars="150"/>
    </w:pPr>
    <w:rPr>
      <w:rFonts w:ascii="等线" w:hAnsi="等线" w:cs="等线 Light"/>
      <w:color w:val="51585D"/>
      <w:szCs w:val="18"/>
    </w:rPr>
  </w:style>
  <w:style w:type="paragraph" w:customStyle="1" w:styleId="417">
    <w:name w:val="目录文字"/>
    <w:basedOn w:val="1"/>
    <w:autoRedefine/>
    <w:qFormat/>
    <w:uiPriority w:val="0"/>
    <w:pPr>
      <w:widowControl/>
      <w:autoSpaceDE/>
      <w:autoSpaceDN/>
      <w:adjustRightInd/>
      <w:spacing w:line="480" w:lineRule="auto"/>
    </w:pPr>
    <w:rPr>
      <w:rFonts w:hAnsi="等线 Light"/>
      <w:szCs w:val="20"/>
    </w:rPr>
  </w:style>
  <w:style w:type="paragraph" w:customStyle="1" w:styleId="418">
    <w:name w:val="默认段落字体 Para Char Char Char Char Char Char Char Char Char Char Char Char Char Char Char Char Char Char Char"/>
    <w:basedOn w:val="1"/>
    <w:autoRedefine/>
    <w:qFormat/>
    <w:uiPriority w:val="0"/>
    <w:pPr>
      <w:autoSpaceDE/>
      <w:autoSpaceDN/>
      <w:adjustRightInd/>
      <w:jc w:val="both"/>
    </w:pPr>
    <w:rPr>
      <w:rFonts w:ascii="Calibri" w:hAnsi="Calibri"/>
      <w:kern w:val="2"/>
      <w:szCs w:val="20"/>
    </w:rPr>
  </w:style>
  <w:style w:type="paragraph" w:customStyle="1" w:styleId="419">
    <w:name w:val=" Char Char"/>
    <w:basedOn w:val="1"/>
    <w:autoRedefine/>
    <w:qFormat/>
    <w:uiPriority w:val="0"/>
    <w:pPr>
      <w:autoSpaceDE/>
      <w:autoSpaceDN/>
      <w:adjustRightInd/>
      <w:jc w:val="both"/>
    </w:pPr>
    <w:rPr>
      <w:rFonts w:ascii="Calibri" w:hAnsi="Calibri"/>
      <w:kern w:val="2"/>
      <w:szCs w:val="20"/>
    </w:rPr>
  </w:style>
  <w:style w:type="paragraph" w:customStyle="1" w:styleId="420">
    <w:name w:val="xl53"/>
    <w:basedOn w:val="1"/>
    <w:autoRedefine/>
    <w:qFormat/>
    <w:uiPriority w:val="0"/>
    <w:pPr>
      <w:widowControl/>
      <w:pBdr>
        <w:top w:val="single" w:color="auto" w:sz="4" w:space="0"/>
        <w:bottom w:val="single" w:color="auto" w:sz="4" w:space="0"/>
        <w:right w:val="single" w:color="auto" w:sz="4" w:space="0"/>
      </w:pBdr>
      <w:autoSpaceDE/>
      <w:autoSpaceDN/>
      <w:adjustRightInd/>
      <w:spacing w:before="100" w:beforeAutospacing="1" w:after="100" w:afterAutospacing="1"/>
      <w:jc w:val="center"/>
    </w:pPr>
    <w:rPr>
      <w:rFonts w:hint="eastAsia" w:hAnsi="等线 Light"/>
    </w:rPr>
  </w:style>
  <w:style w:type="paragraph" w:customStyle="1" w:styleId="421">
    <w:name w:val="Char Char Char Char"/>
    <w:basedOn w:val="19"/>
    <w:autoRedefine/>
    <w:qFormat/>
    <w:uiPriority w:val="0"/>
    <w:pPr>
      <w:autoSpaceDE/>
      <w:autoSpaceDN/>
      <w:adjustRightInd/>
      <w:jc w:val="both"/>
    </w:pPr>
    <w:rPr>
      <w:rFonts w:ascii="Arial Unicode MS" w:hAnsi="Arial Unicode MS"/>
      <w:kern w:val="2"/>
    </w:rPr>
  </w:style>
  <w:style w:type="paragraph" w:customStyle="1" w:styleId="422">
    <w:name w:val="xl57"/>
    <w:basedOn w:val="1"/>
    <w:autoRedefine/>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jc w:val="center"/>
      <w:textAlignment w:val="center"/>
    </w:pPr>
    <w:rPr>
      <w:rFonts w:hint="eastAsia" w:hAnsi="等线 Light"/>
    </w:rPr>
  </w:style>
  <w:style w:type="paragraph" w:customStyle="1" w:styleId="423">
    <w:name w:val="样式 四号 左 行距: 1.5 倍行距 首行缩进:  2 字符"/>
    <w:basedOn w:val="1"/>
    <w:autoRedefine/>
    <w:qFormat/>
    <w:uiPriority w:val="0"/>
    <w:pPr>
      <w:autoSpaceDE/>
      <w:autoSpaceDN/>
      <w:adjustRightInd/>
      <w:spacing w:line="360" w:lineRule="auto"/>
      <w:ind w:firstLine="560" w:firstLineChars="200"/>
    </w:pPr>
    <w:rPr>
      <w:rFonts w:ascii="Arial Unicode MS" w:hAnsi="Arial Unicode MS" w:cs="等线 Light"/>
      <w:kern w:val="2"/>
      <w:szCs w:val="20"/>
    </w:rPr>
  </w:style>
  <w:style w:type="paragraph" w:customStyle="1" w:styleId="424">
    <w:name w:val="保留正文"/>
    <w:basedOn w:val="2"/>
    <w:autoRedefine/>
    <w:qFormat/>
    <w:uiPriority w:val="0"/>
    <w:pPr>
      <w:keepNext/>
      <w:autoSpaceDE/>
      <w:autoSpaceDN/>
      <w:adjustRightInd/>
      <w:spacing w:after="160"/>
      <w:ind w:right="0"/>
      <w:jc w:val="both"/>
    </w:pPr>
    <w:rPr>
      <w:rFonts w:ascii="幼圆" w:hAnsi="幼圆"/>
      <w:b w:val="0"/>
      <w:bCs w:val="0"/>
      <w:kern w:val="2"/>
      <w:sz w:val="21"/>
      <w:szCs w:val="24"/>
      <w:lang w:val="en-US" w:eastAsia="zh-CN"/>
    </w:rPr>
  </w:style>
  <w:style w:type="paragraph" w:customStyle="1" w:styleId="425">
    <w:name w:val="表格内文字"/>
    <w:basedOn w:val="1"/>
    <w:autoRedefine/>
    <w:qFormat/>
    <w:uiPriority w:val="0"/>
    <w:pPr>
      <w:widowControl/>
      <w:autoSpaceDE/>
      <w:autoSpaceDN/>
      <w:snapToGrid w:val="0"/>
      <w:ind w:left="13" w:hanging="13" w:hangingChars="6"/>
      <w:jc w:val="center"/>
    </w:pPr>
    <w:rPr>
      <w:rFonts w:ascii="Arial Unicode MS" w:hAnsi="等线" w:eastAsia="微软雅黑"/>
      <w:snapToGrid w:val="0"/>
      <w:color w:val="333333"/>
      <w:sz w:val="21"/>
      <w:szCs w:val="21"/>
    </w:rPr>
  </w:style>
  <w:style w:type="paragraph" w:customStyle="1" w:styleId="426">
    <w:name w:val="标题5"/>
    <w:autoRedefine/>
    <w:qFormat/>
    <w:uiPriority w:val="0"/>
    <w:pPr>
      <w:adjustRightInd w:val="0"/>
      <w:spacing w:line="400" w:lineRule="exact"/>
      <w:textAlignment w:val="baseline"/>
    </w:pPr>
    <w:rPr>
      <w:rFonts w:ascii="Arial Unicode MS" w:hAnsi="Arial Unicode MS" w:eastAsia="微软雅黑" w:cs="Times New Roman"/>
      <w:b/>
      <w:sz w:val="24"/>
      <w:lang w:val="en-US" w:eastAsia="zh-CN" w:bidi="ar-SA"/>
    </w:rPr>
  </w:style>
  <w:style w:type="paragraph" w:customStyle="1" w:styleId="427">
    <w:name w:val="xl59"/>
    <w:basedOn w:val="1"/>
    <w:autoRedefine/>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jc w:val="center"/>
      <w:textAlignment w:val="center"/>
    </w:pPr>
    <w:rPr>
      <w:rFonts w:hint="eastAsia" w:hAnsi="等线 Light"/>
    </w:rPr>
  </w:style>
  <w:style w:type="paragraph" w:customStyle="1" w:styleId="428">
    <w:name w:val=" Char Char Char Char Char Char Char"/>
    <w:basedOn w:val="19"/>
    <w:autoRedefine/>
    <w:qFormat/>
    <w:uiPriority w:val="0"/>
    <w:pPr>
      <w:autoSpaceDE/>
      <w:autoSpaceDN/>
      <w:adjustRightInd/>
      <w:jc w:val="both"/>
    </w:pPr>
    <w:rPr>
      <w:rFonts w:ascii="Calibri" w:hAnsi="Calibri"/>
      <w:kern w:val="2"/>
      <w:szCs w:val="20"/>
    </w:rPr>
  </w:style>
  <w:style w:type="paragraph" w:customStyle="1" w:styleId="429">
    <w:name w:val="reader-word-layer"/>
    <w:basedOn w:val="1"/>
    <w:autoRedefine/>
    <w:qFormat/>
    <w:uiPriority w:val="0"/>
    <w:pPr>
      <w:widowControl/>
      <w:autoSpaceDE/>
      <w:autoSpaceDN/>
      <w:adjustRightInd/>
      <w:spacing w:before="100" w:beforeAutospacing="1" w:after="100" w:afterAutospacing="1"/>
    </w:pPr>
    <w:rPr>
      <w:rFonts w:hAnsi="等线 Light" w:cs="等线 Light"/>
    </w:rPr>
  </w:style>
  <w:style w:type="paragraph" w:customStyle="1" w:styleId="430">
    <w:name w:val="正文缩进6格"/>
    <w:basedOn w:val="431"/>
    <w:autoRedefine/>
    <w:qFormat/>
    <w:uiPriority w:val="0"/>
    <w:pPr>
      <w:spacing w:line="600" w:lineRule="exact"/>
      <w:ind w:left="1758" w:leftChars="854" w:firstLine="403" w:firstLineChars="192"/>
      <w:jc w:val="left"/>
    </w:pPr>
    <w:rPr>
      <w:rFonts w:ascii="微软雅黑" w:eastAsia="微软雅黑"/>
      <w:kern w:val="2"/>
      <w:lang w:val="en-US" w:eastAsia="zh-CN"/>
    </w:rPr>
  </w:style>
  <w:style w:type="paragraph" w:customStyle="1" w:styleId="431">
    <w:name w:val="正文缩进4格"/>
    <w:basedOn w:val="187"/>
    <w:autoRedefine/>
    <w:qFormat/>
    <w:uiPriority w:val="0"/>
    <w:pPr>
      <w:spacing w:line="360" w:lineRule="auto"/>
      <w:ind w:left="964" w:leftChars="314" w:hanging="210" w:hangingChars="100"/>
    </w:pPr>
    <w:rPr>
      <w:rFonts w:ascii="等线 Light" w:eastAsia="等线 Light"/>
      <w:sz w:val="21"/>
      <w:szCs w:val="21"/>
      <w:lang w:val="zh-CN"/>
    </w:rPr>
  </w:style>
  <w:style w:type="paragraph" w:customStyle="1" w:styleId="432">
    <w:name w:val="样式 标题 3头小节标题Heading 3 - oldh33rd levelH3l3CTLevel 3 Hea...6"/>
    <w:basedOn w:val="6"/>
    <w:autoRedefine/>
    <w:qFormat/>
    <w:uiPriority w:val="0"/>
    <w:pPr>
      <w:keepNext/>
      <w:keepLines/>
      <w:tabs>
        <w:tab w:val="left" w:pos="964"/>
      </w:tabs>
      <w:autoSpaceDE/>
      <w:autoSpaceDN/>
      <w:adjustRightInd/>
      <w:spacing w:line="360" w:lineRule="auto"/>
      <w:jc w:val="both"/>
    </w:pPr>
    <w:rPr>
      <w:rFonts w:hAnsi="等线 Light"/>
      <w:bCs/>
      <w:szCs w:val="32"/>
    </w:rPr>
  </w:style>
  <w:style w:type="paragraph" w:customStyle="1" w:styleId="433">
    <w:name w:val="_Style 218"/>
    <w:next w:val="1"/>
    <w:autoRedefine/>
    <w:qFormat/>
    <w:uiPriority w:val="0"/>
    <w:pPr>
      <w:widowControl w:val="0"/>
      <w:jc w:val="both"/>
    </w:pPr>
    <w:rPr>
      <w:rFonts w:ascii="Arial Unicode MS" w:hAnsi="Arial Unicode MS" w:eastAsia="宋体" w:cs="Times New Roman"/>
      <w:kern w:val="2"/>
      <w:sz w:val="21"/>
      <w:szCs w:val="24"/>
      <w:lang w:val="en-US" w:eastAsia="zh-CN" w:bidi="ar-SA"/>
    </w:rPr>
  </w:style>
  <w:style w:type="paragraph" w:customStyle="1" w:styleId="434">
    <w:name w:val="af3-TBL-BR-1"/>
    <w:autoRedefine/>
    <w:qFormat/>
    <w:uiPriority w:val="0"/>
    <w:pPr>
      <w:widowControl w:val="0"/>
      <w:ind w:left="100" w:leftChars="2500"/>
      <w:jc w:val="both"/>
    </w:pPr>
    <w:rPr>
      <w:rFonts w:ascii="Arial Unicode MS" w:hAnsi="Arial Unicode MS" w:eastAsia="宋体" w:cs="Times New Roman"/>
      <w:kern w:val="2"/>
      <w:sz w:val="21"/>
      <w:szCs w:val="24"/>
      <w:lang w:val="en-US" w:eastAsia="zh-CN" w:bidi="ar-SA"/>
    </w:rPr>
  </w:style>
  <w:style w:type="paragraph" w:customStyle="1" w:styleId="435">
    <w:name w:val="Char1 Char Char Char"/>
    <w:basedOn w:val="1"/>
    <w:autoRedefine/>
    <w:qFormat/>
    <w:uiPriority w:val="0"/>
    <w:pPr>
      <w:tabs>
        <w:tab w:val="left" w:pos="4301"/>
      </w:tabs>
      <w:autoSpaceDE/>
      <w:autoSpaceDN/>
      <w:adjustRightInd/>
      <w:ind w:left="4301" w:hanging="420"/>
      <w:jc w:val="both"/>
    </w:pPr>
    <w:rPr>
      <w:rFonts w:ascii="Arial Unicode MS" w:hAnsi="Arial Unicode MS"/>
      <w:kern w:val="2"/>
    </w:rPr>
  </w:style>
  <w:style w:type="paragraph" w:customStyle="1" w:styleId="436">
    <w:name w:val="编号列项（三级）"/>
    <w:autoRedefine/>
    <w:qFormat/>
    <w:uiPriority w:val="0"/>
    <w:pPr>
      <w:ind w:left="800" w:leftChars="600" w:hanging="200" w:hangingChars="200"/>
    </w:pPr>
    <w:rPr>
      <w:rFonts w:ascii="等线 Light" w:hAnsi="Arial Unicode MS" w:eastAsia="宋体" w:cs="Times New Roman"/>
      <w:sz w:val="21"/>
      <w:lang w:val="en-US" w:eastAsia="zh-CN" w:bidi="ar-SA"/>
    </w:rPr>
  </w:style>
  <w:style w:type="paragraph" w:customStyle="1" w:styleId="437">
    <w:name w:val="pa-4"/>
    <w:basedOn w:val="1"/>
    <w:autoRedefine/>
    <w:qFormat/>
    <w:uiPriority w:val="0"/>
    <w:pPr>
      <w:widowControl/>
      <w:autoSpaceDE/>
      <w:autoSpaceDN/>
      <w:adjustRightInd/>
      <w:spacing w:line="360" w:lineRule="atLeast"/>
      <w:jc w:val="both"/>
    </w:pPr>
    <w:rPr>
      <w:rFonts w:hAnsi="等线 Light" w:cs="等线 Light"/>
    </w:rPr>
  </w:style>
  <w:style w:type="paragraph" w:customStyle="1" w:styleId="438">
    <w:name w:val="样式 标题 3 + (中文) 黑体 小四 非加粗 段前: 7.8 磅 段后: 0 磅 行距: 固定值 20 磅"/>
    <w:basedOn w:val="6"/>
    <w:autoRedefine/>
    <w:qFormat/>
    <w:uiPriority w:val="0"/>
    <w:pPr>
      <w:keepNext/>
      <w:keepLines/>
      <w:autoSpaceDE/>
      <w:autoSpaceDN/>
      <w:adjustRightInd/>
      <w:spacing w:line="400" w:lineRule="exact"/>
      <w:jc w:val="both"/>
    </w:pPr>
    <w:rPr>
      <w:rFonts w:ascii="Arial Unicode MS" w:hAnsi="Arial Unicode MS" w:eastAsia="PMingLiU" w:cs="等线 Light"/>
      <w:kern w:val="2"/>
      <w:szCs w:val="20"/>
    </w:rPr>
  </w:style>
  <w:style w:type="paragraph" w:customStyle="1" w:styleId="439">
    <w:name w:val="afff0-TBL-BR-1"/>
    <w:autoRedefine/>
    <w:qFormat/>
    <w:uiPriority w:val="0"/>
    <w:pPr>
      <w:spacing w:line="480" w:lineRule="auto"/>
    </w:pPr>
    <w:rPr>
      <w:rFonts w:ascii="等线 Light" w:hAnsi="等线 Light" w:eastAsia="宋体" w:cs="Times New Roman"/>
      <w:sz w:val="24"/>
      <w:lang w:val="en-US" w:eastAsia="zh-CN" w:bidi="ar-SA"/>
    </w:rPr>
  </w:style>
  <w:style w:type="paragraph" w:customStyle="1" w:styleId="440">
    <w:name w:val="0"/>
    <w:basedOn w:val="1"/>
    <w:autoRedefine/>
    <w:qFormat/>
    <w:uiPriority w:val="0"/>
    <w:pPr>
      <w:widowControl/>
      <w:autoSpaceDE/>
      <w:autoSpaceDN/>
      <w:adjustRightInd/>
      <w:spacing w:before="100" w:beforeAutospacing="1" w:after="100" w:afterAutospacing="1"/>
    </w:pPr>
    <w:rPr>
      <w:rFonts w:hAnsi="等线 Light" w:cs="等线 Light"/>
    </w:rPr>
  </w:style>
  <w:style w:type="paragraph" w:customStyle="1" w:styleId="441">
    <w:name w:val="修订3"/>
    <w:autoRedefine/>
    <w:qFormat/>
    <w:uiPriority w:val="99"/>
    <w:pPr>
      <w:tabs>
        <w:tab w:val="left" w:pos="840"/>
      </w:tabs>
    </w:pPr>
    <w:rPr>
      <w:rFonts w:ascii="Arial Unicode MS" w:hAnsi="Arial Unicode MS" w:eastAsia="宋体" w:cs="Times New Roman"/>
      <w:kern w:val="2"/>
      <w:sz w:val="21"/>
      <w:lang w:val="en-US" w:eastAsia="zh-CN" w:bidi="ar-SA"/>
    </w:rPr>
  </w:style>
  <w:style w:type="paragraph" w:customStyle="1" w:styleId="442">
    <w:name w:val="样式 标题 3头小节标题Heading 3 - oldh33rd levelH3l3CTLevel 3 Hea...4"/>
    <w:basedOn w:val="6"/>
    <w:autoRedefine/>
    <w:qFormat/>
    <w:uiPriority w:val="0"/>
    <w:pPr>
      <w:keepNext/>
      <w:keepLines/>
      <w:tabs>
        <w:tab w:val="left" w:pos="964"/>
      </w:tabs>
      <w:autoSpaceDE/>
      <w:autoSpaceDN/>
      <w:adjustRightInd/>
      <w:spacing w:line="360" w:lineRule="auto"/>
      <w:ind w:firstLine="200" w:firstLineChars="200"/>
      <w:jc w:val="both"/>
    </w:pPr>
    <w:rPr>
      <w:rFonts w:hAnsi="等线 Light" w:cs="等线 Light"/>
      <w:kern w:val="2"/>
      <w:szCs w:val="20"/>
    </w:rPr>
  </w:style>
  <w:style w:type="paragraph" w:customStyle="1" w:styleId="443">
    <w:name w:val="xl101"/>
    <w:basedOn w:val="1"/>
    <w:autoRedefine/>
    <w:qFormat/>
    <w:uiPriority w:val="0"/>
    <w:pPr>
      <w:widowControl/>
      <w:autoSpaceDE/>
      <w:autoSpaceDN/>
      <w:adjustRightInd/>
      <w:spacing w:before="100" w:beforeAutospacing="1" w:after="100" w:afterAutospacing="1"/>
      <w:jc w:val="center"/>
    </w:pPr>
    <w:rPr>
      <w:rFonts w:hAnsi="等线 Light" w:cs="等线 Light"/>
      <w:b/>
      <w:bCs/>
      <w:sz w:val="32"/>
      <w:szCs w:val="32"/>
    </w:rPr>
  </w:style>
  <w:style w:type="paragraph" w:customStyle="1" w:styleId="444">
    <w:name w:val="Char Char Char Char Char Char Char Char Char Char Char Char1 Char Char Char Char"/>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445">
    <w:name w:val="Char Char Char Char Char Char Char Char Char Char Char Char Char Char Char Char Char Char Char"/>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446">
    <w:name w:val="2册标题5"/>
    <w:basedOn w:val="447"/>
    <w:next w:val="1"/>
    <w:autoRedefine/>
    <w:qFormat/>
    <w:uiPriority w:val="0"/>
    <w:pPr>
      <w:ind w:left="720" w:leftChars="300"/>
      <w:outlineLvl w:val="4"/>
    </w:pPr>
    <w:rPr>
      <w:rFonts w:eastAsia="Cambria Math" w:cs="楷体_GB2312"/>
      <w:b/>
    </w:rPr>
  </w:style>
  <w:style w:type="paragraph" w:customStyle="1" w:styleId="447">
    <w:name w:val="2册标题4"/>
    <w:basedOn w:val="1"/>
    <w:next w:val="1"/>
    <w:autoRedefine/>
    <w:qFormat/>
    <w:uiPriority w:val="0"/>
    <w:pPr>
      <w:autoSpaceDE/>
      <w:autoSpaceDN/>
      <w:adjustRightInd/>
      <w:spacing w:before="156" w:beforeLines="50" w:after="156" w:afterLines="50"/>
      <w:ind w:left="480" w:leftChars="200"/>
      <w:jc w:val="both"/>
      <w:outlineLvl w:val="3"/>
    </w:pPr>
    <w:rPr>
      <w:rFonts w:ascii="楷体_GB2312" w:hAnsi="楷体_GB2312" w:eastAsia="PMingLiU"/>
      <w:kern w:val="2"/>
    </w:rPr>
  </w:style>
  <w:style w:type="paragraph" w:customStyle="1" w:styleId="448">
    <w:name w:val="È±Ê¡ÎÄ±¾"/>
    <w:basedOn w:val="1"/>
    <w:autoRedefine/>
    <w:qFormat/>
    <w:uiPriority w:val="0"/>
    <w:pPr>
      <w:widowControl/>
      <w:overflowPunct w:val="0"/>
      <w:textAlignment w:val="baseline"/>
    </w:pPr>
    <w:rPr>
      <w:rFonts w:ascii="Arial Unicode MS" w:hAnsi="Arial Unicode MS"/>
      <w:szCs w:val="20"/>
    </w:rPr>
  </w:style>
  <w:style w:type="paragraph" w:customStyle="1" w:styleId="449">
    <w:name w:val="1册标题1"/>
    <w:basedOn w:val="1"/>
    <w:next w:val="1"/>
    <w:autoRedefine/>
    <w:qFormat/>
    <w:uiPriority w:val="0"/>
    <w:pPr>
      <w:autoSpaceDE/>
      <w:autoSpaceDN/>
      <w:adjustRightInd/>
      <w:spacing w:before="156" w:beforeLines="50" w:after="156" w:afterLines="50"/>
      <w:jc w:val="center"/>
      <w:outlineLvl w:val="0"/>
    </w:pPr>
    <w:rPr>
      <w:rFonts w:ascii="楷体_GB2312" w:hAnsi="楷体_GB2312" w:eastAsia="PMingLiU"/>
      <w:b/>
      <w:bCs/>
      <w:kern w:val="2"/>
      <w:sz w:val="48"/>
      <w:szCs w:val="20"/>
    </w:rPr>
  </w:style>
  <w:style w:type="paragraph" w:customStyle="1" w:styleId="450">
    <w:name w:val="xl28"/>
    <w:basedOn w:val="1"/>
    <w:autoRedefine/>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451">
    <w:name w:val="i."/>
    <w:basedOn w:val="1"/>
    <w:autoRedefine/>
    <w:qFormat/>
    <w:uiPriority w:val="0"/>
    <w:pPr>
      <w:tabs>
        <w:tab w:val="left" w:pos="2041"/>
        <w:tab w:val="left" w:pos="2308"/>
      </w:tabs>
      <w:autoSpaceDE/>
      <w:autoSpaceDN/>
      <w:adjustRightInd/>
      <w:spacing w:before="60" w:after="60" w:line="264" w:lineRule="auto"/>
      <w:ind w:left="2041" w:hanging="453"/>
      <w:jc w:val="both"/>
    </w:pPr>
    <w:rPr>
      <w:rFonts w:ascii="Arial Unicode MS" w:hAnsi="Arial Unicode MS"/>
      <w:kern w:val="2"/>
      <w:sz w:val="22"/>
      <w:szCs w:val="22"/>
    </w:rPr>
  </w:style>
  <w:style w:type="paragraph" w:customStyle="1" w:styleId="452">
    <w:name w:val="Body Text(ch)1"/>
    <w:basedOn w:val="1"/>
    <w:next w:val="2"/>
    <w:autoRedefine/>
    <w:qFormat/>
    <w:uiPriority w:val="0"/>
    <w:pPr>
      <w:tabs>
        <w:tab w:val="left" w:pos="562"/>
        <w:tab w:val="left" w:pos="3372"/>
        <w:tab w:val="left" w:pos="3653"/>
      </w:tabs>
      <w:autoSpaceDE/>
      <w:autoSpaceDN/>
      <w:adjustRightInd/>
      <w:jc w:val="both"/>
    </w:pPr>
    <w:rPr>
      <w:rFonts w:ascii="Arial Unicode MS" w:hAnsi="Arial Unicode MS"/>
    </w:rPr>
  </w:style>
  <w:style w:type="paragraph" w:customStyle="1" w:styleId="453">
    <w:name w:val="样式 目录 4 + 首行缩进:  2 字符"/>
    <w:basedOn w:val="43"/>
    <w:autoRedefine/>
    <w:qFormat/>
    <w:uiPriority w:val="0"/>
    <w:pPr>
      <w:autoSpaceDE/>
      <w:autoSpaceDN/>
      <w:snapToGrid w:val="0"/>
      <w:ind w:firstLine="360" w:firstLineChars="400"/>
    </w:pPr>
    <w:rPr>
      <w:rFonts w:cs="等线 Light"/>
      <w:kern w:val="2"/>
      <w:szCs w:val="20"/>
    </w:rPr>
  </w:style>
  <w:style w:type="paragraph" w:customStyle="1" w:styleId="454">
    <w:name w:val="xl26"/>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int="eastAsia" w:hAnsi="等线 Light"/>
      <w:sz w:val="20"/>
      <w:szCs w:val="20"/>
    </w:rPr>
  </w:style>
  <w:style w:type="paragraph" w:customStyle="1" w:styleId="455">
    <w:name w:val="Char Char Char Char Char Char Char Char Char Char Char Char Char"/>
    <w:basedOn w:val="19"/>
    <w:autoRedefine/>
    <w:qFormat/>
    <w:uiPriority w:val="0"/>
    <w:pPr>
      <w:autoSpaceDE/>
      <w:autoSpaceDN/>
      <w:adjustRightInd/>
      <w:jc w:val="both"/>
    </w:pPr>
    <w:rPr>
      <w:rFonts w:ascii="Arial Unicode MS" w:hAnsi="Arial Unicode MS"/>
      <w:kern w:val="2"/>
      <w:sz w:val="21"/>
      <w:szCs w:val="20"/>
    </w:rPr>
  </w:style>
  <w:style w:type="paragraph" w:customStyle="1" w:styleId="456">
    <w:name w:val="样式3"/>
    <w:basedOn w:val="26"/>
    <w:autoRedefine/>
    <w:qFormat/>
    <w:uiPriority w:val="0"/>
    <w:pPr>
      <w:autoSpaceDE/>
      <w:autoSpaceDN/>
      <w:adjustRightInd/>
      <w:spacing w:before="240" w:after="60" w:line="360" w:lineRule="auto"/>
      <w:ind w:left="0" w:firstLine="0" w:firstLineChars="0"/>
      <w:jc w:val="center"/>
    </w:pPr>
    <w:rPr>
      <w:rFonts w:ascii="幼圆" w:hAnsi="Arial Unicode MS" w:eastAsia="PMingLiU"/>
      <w:kern w:val="2"/>
      <w:szCs w:val="20"/>
    </w:rPr>
  </w:style>
  <w:style w:type="paragraph" w:customStyle="1" w:styleId="457">
    <w:name w:val="缺省文本"/>
    <w:basedOn w:val="1"/>
    <w:autoRedefine/>
    <w:qFormat/>
    <w:uiPriority w:val="0"/>
    <w:rPr>
      <w:rFonts w:ascii="Arial Unicode MS" w:hAnsi="Arial Unicode MS"/>
    </w:rPr>
  </w:style>
  <w:style w:type="paragraph" w:customStyle="1" w:styleId="458">
    <w:name w:val="6.3.5.5"/>
    <w:basedOn w:val="1"/>
    <w:autoRedefine/>
    <w:qFormat/>
    <w:uiPriority w:val="0"/>
    <w:pPr>
      <w:tabs>
        <w:tab w:val="left" w:pos="851"/>
      </w:tabs>
      <w:autoSpaceDE/>
      <w:autoSpaceDN/>
      <w:adjustRightInd/>
      <w:spacing w:before="120" w:after="120"/>
      <w:jc w:val="both"/>
    </w:pPr>
    <w:rPr>
      <w:rFonts w:ascii="Arial Unicode MS" w:hAnsi="Arial Unicode MS"/>
      <w:kern w:val="2"/>
      <w:szCs w:val="20"/>
    </w:rPr>
  </w:style>
  <w:style w:type="paragraph" w:customStyle="1" w:styleId="459">
    <w:name w:val="LED标题1"/>
    <w:basedOn w:val="1"/>
    <w:next w:val="1"/>
    <w:autoRedefine/>
    <w:qFormat/>
    <w:uiPriority w:val="0"/>
    <w:pPr>
      <w:autoSpaceDE/>
      <w:autoSpaceDN/>
      <w:adjustRightInd/>
      <w:spacing w:before="156" w:beforeLines="50" w:after="156" w:afterLines="50"/>
      <w:ind w:firstLine="320" w:firstLineChars="100"/>
      <w:jc w:val="center"/>
      <w:outlineLvl w:val="0"/>
    </w:pPr>
    <w:rPr>
      <w:rFonts w:ascii="楷体_GB2312" w:hAnsi="楷体_GB2312" w:eastAsia="PMingLiU"/>
      <w:color w:val="FF0000"/>
      <w:kern w:val="2"/>
      <w:sz w:val="32"/>
      <w:szCs w:val="32"/>
    </w:rPr>
  </w:style>
  <w:style w:type="paragraph" w:customStyle="1" w:styleId="460">
    <w:name w:val="修订1"/>
    <w:autoRedefine/>
    <w:unhideWhenUsed/>
    <w:qFormat/>
    <w:uiPriority w:val="0"/>
    <w:rPr>
      <w:rFonts w:ascii="Times New Roman" w:hAnsi="Times New Roman" w:eastAsia="宋体" w:cs="Times New Roman"/>
      <w:kern w:val="2"/>
      <w:sz w:val="21"/>
      <w:szCs w:val="22"/>
      <w:lang w:val="en-US" w:eastAsia="zh-CN" w:bidi="ar-SA"/>
    </w:rPr>
  </w:style>
  <w:style w:type="paragraph" w:customStyle="1" w:styleId="461">
    <w:name w:val=" Char Char Char Char Char Char Char Char Char Char Char Char Char"/>
    <w:basedOn w:val="19"/>
    <w:autoRedefine/>
    <w:qFormat/>
    <w:uiPriority w:val="0"/>
    <w:pPr>
      <w:autoSpaceDE/>
      <w:autoSpaceDN/>
      <w:adjustRightInd/>
      <w:jc w:val="both"/>
    </w:pPr>
    <w:rPr>
      <w:rFonts w:ascii="Arial Unicode MS" w:hAnsi="Arial Unicode MS"/>
      <w:kern w:val="2"/>
      <w:sz w:val="21"/>
      <w:szCs w:val="20"/>
    </w:rPr>
  </w:style>
  <w:style w:type="paragraph" w:customStyle="1" w:styleId="462">
    <w:name w:val="Graphics"/>
    <w:basedOn w:val="1"/>
    <w:autoRedefine/>
    <w:qFormat/>
    <w:uiPriority w:val="0"/>
    <w:pPr>
      <w:widowControl/>
      <w:autoSpaceDE/>
      <w:autoSpaceDN/>
      <w:adjustRightInd/>
      <w:spacing w:before="120"/>
    </w:pPr>
    <w:rPr>
      <w:rFonts w:ascii="Arial Unicode MS" w:hAnsi="Arial Unicode MS"/>
      <w:color w:val="000000"/>
      <w:sz w:val="20"/>
      <w:szCs w:val="20"/>
      <w:lang w:eastAsia="en-US"/>
    </w:rPr>
  </w:style>
  <w:style w:type="paragraph" w:customStyle="1" w:styleId="463">
    <w:name w:val="xl33"/>
    <w:basedOn w:val="1"/>
    <w:autoRedefine/>
    <w:qFormat/>
    <w:uiPriority w:val="0"/>
    <w:pPr>
      <w:widowControl/>
      <w:autoSpaceDE/>
      <w:autoSpaceDN/>
      <w:adjustRightInd/>
      <w:spacing w:before="100" w:beforeAutospacing="1" w:after="100" w:afterAutospacing="1"/>
    </w:pPr>
    <w:rPr>
      <w:rFonts w:hint="eastAsia" w:hAnsi="等线 Light"/>
      <w:sz w:val="20"/>
      <w:szCs w:val="20"/>
    </w:rPr>
  </w:style>
  <w:style w:type="paragraph" w:customStyle="1" w:styleId="464">
    <w:name w:val="Char Char Char Char Char Char Char Char Char Char Char Char1 Char Char Char Char1"/>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465">
    <w:name w:val="表内文"/>
    <w:autoRedefine/>
    <w:qFormat/>
    <w:uiPriority w:val="0"/>
    <w:rPr>
      <w:rFonts w:ascii="Arial Unicode MS" w:hAnsi="Arial Unicode MS" w:eastAsia="宋体" w:cs="Times New Roman"/>
      <w:kern w:val="2"/>
      <w:sz w:val="21"/>
      <w:szCs w:val="22"/>
      <w:lang w:val="en-US" w:eastAsia="zh-CN" w:bidi="ar-SA"/>
    </w:rPr>
  </w:style>
  <w:style w:type="paragraph" w:customStyle="1" w:styleId="466">
    <w:name w:val="编号1"/>
    <w:basedOn w:val="1"/>
    <w:autoRedefine/>
    <w:qFormat/>
    <w:uiPriority w:val="0"/>
    <w:pPr>
      <w:tabs>
        <w:tab w:val="left" w:pos="425"/>
        <w:tab w:val="left" w:pos="851"/>
      </w:tabs>
      <w:autoSpaceDE/>
      <w:autoSpaceDN/>
      <w:adjustRightInd/>
      <w:spacing w:line="360" w:lineRule="auto"/>
      <w:ind w:left="425" w:hanging="425"/>
    </w:pPr>
    <w:rPr>
      <w:rFonts w:hAnsi="等线 Light"/>
      <w:bCs/>
      <w:kern w:val="2"/>
      <w:szCs w:val="20"/>
    </w:rPr>
  </w:style>
  <w:style w:type="paragraph" w:customStyle="1" w:styleId="467">
    <w:name w:val="彩色底纹 - 着色 11"/>
    <w:autoRedefine/>
    <w:qFormat/>
    <w:uiPriority w:val="0"/>
    <w:rPr>
      <w:rFonts w:ascii="等线 Light" w:hAnsi="Times New Roman" w:eastAsia="宋体" w:cs="Times New Roman"/>
      <w:sz w:val="24"/>
      <w:szCs w:val="24"/>
      <w:lang w:val="en-US" w:eastAsia="zh-CN" w:bidi="ar-SA"/>
    </w:rPr>
  </w:style>
  <w:style w:type="paragraph" w:customStyle="1" w:styleId="468">
    <w:name w:val="默认段落字体 Para Char Char Char Char Char Char Char Char Char1 Char Char Char Char Char Char Char"/>
    <w:basedOn w:val="19"/>
    <w:autoRedefine/>
    <w:qFormat/>
    <w:uiPriority w:val="0"/>
    <w:pPr>
      <w:autoSpaceDE/>
      <w:autoSpaceDN/>
      <w:adjustRightInd/>
      <w:jc w:val="both"/>
    </w:pPr>
    <w:rPr>
      <w:rFonts w:ascii="Calibri" w:hAnsi="Calibri"/>
      <w:kern w:val="2"/>
    </w:rPr>
  </w:style>
  <w:style w:type="paragraph" w:customStyle="1" w:styleId="469">
    <w:name w:val="Char Char Char"/>
    <w:basedOn w:val="1"/>
    <w:autoRedefine/>
    <w:qFormat/>
    <w:uiPriority w:val="0"/>
    <w:pPr>
      <w:autoSpaceDE/>
      <w:autoSpaceDN/>
      <w:adjustRightInd/>
      <w:jc w:val="both"/>
    </w:pPr>
    <w:rPr>
      <w:rFonts w:ascii="Calibri" w:hAnsi="Calibri"/>
      <w:kern w:val="2"/>
      <w:szCs w:val="20"/>
    </w:rPr>
  </w:style>
  <w:style w:type="paragraph" w:customStyle="1" w:styleId="470">
    <w:name w:val="Blockquote"/>
    <w:basedOn w:val="1"/>
    <w:autoRedefine/>
    <w:qFormat/>
    <w:uiPriority w:val="0"/>
    <w:pPr>
      <w:spacing w:before="100" w:after="100"/>
      <w:ind w:left="360" w:right="360"/>
    </w:pPr>
    <w:rPr>
      <w:rFonts w:ascii="Arial Unicode MS" w:hAnsi="Arial Unicode MS"/>
      <w:szCs w:val="20"/>
    </w:rPr>
  </w:style>
  <w:style w:type="paragraph" w:customStyle="1" w:styleId="471">
    <w:name w:val="TOC 标题1"/>
    <w:basedOn w:val="4"/>
    <w:next w:val="1"/>
    <w:autoRedefine/>
    <w:qFormat/>
    <w:uiPriority w:val="39"/>
    <w:pPr>
      <w:keepNext/>
      <w:keepLines/>
      <w:widowControl/>
      <w:autoSpaceDE/>
      <w:autoSpaceDN/>
      <w:adjustRightInd/>
      <w:spacing w:before="480" w:line="276" w:lineRule="auto"/>
      <w:outlineLvl w:val="9"/>
    </w:pPr>
    <w:rPr>
      <w:rFonts w:ascii="Roman" w:hAnsi="Roman"/>
      <w:b/>
      <w:bCs/>
      <w:color w:val="365F91"/>
      <w:sz w:val="28"/>
      <w:szCs w:val="28"/>
    </w:rPr>
  </w:style>
  <w:style w:type="paragraph" w:customStyle="1" w:styleId="472">
    <w:name w:val="xl58"/>
    <w:basedOn w:val="1"/>
    <w:autoRedefine/>
    <w:qFormat/>
    <w:uiPriority w:val="0"/>
    <w:pPr>
      <w:widowControl/>
      <w:pBdr>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等线 Light"/>
    </w:rPr>
  </w:style>
  <w:style w:type="paragraph" w:customStyle="1" w:styleId="473">
    <w:name w:val="_Style 3"/>
    <w:basedOn w:val="1"/>
    <w:autoRedefine/>
    <w:qFormat/>
    <w:uiPriority w:val="34"/>
    <w:pPr>
      <w:ind w:firstLine="420" w:firstLineChars="200"/>
    </w:pPr>
    <w:rPr>
      <w:kern w:val="2"/>
      <w:sz w:val="21"/>
      <w:szCs w:val="24"/>
    </w:rPr>
  </w:style>
  <w:style w:type="paragraph" w:customStyle="1" w:styleId="474">
    <w:name w:val="xl22"/>
    <w:basedOn w:val="1"/>
    <w:autoRedefine/>
    <w:qFormat/>
    <w:uiPriority w:val="0"/>
    <w:pPr>
      <w:widowControl/>
      <w:autoSpaceDE/>
      <w:autoSpaceDN/>
      <w:adjustRightInd/>
      <w:spacing w:before="100" w:beforeAutospacing="1" w:after="100" w:afterAutospacing="1"/>
    </w:pPr>
    <w:rPr>
      <w:rFonts w:ascii="微软雅黑" w:hAnsi="等线 Light" w:eastAsia="微软雅黑" w:cs="等线 Light"/>
    </w:rPr>
  </w:style>
  <w:style w:type="paragraph" w:customStyle="1" w:styleId="475">
    <w:name w:val="附录章标题"/>
    <w:next w:val="362"/>
    <w:autoRedefine/>
    <w:qFormat/>
    <w:uiPriority w:val="0"/>
    <w:pPr>
      <w:numPr>
        <w:ilvl w:val="1"/>
        <w:numId w:val="4"/>
      </w:numPr>
      <w:tabs>
        <w:tab w:val="left" w:pos="1440"/>
      </w:tabs>
      <w:wordWrap w:val="0"/>
      <w:overflowPunct w:val="0"/>
      <w:autoSpaceDE w:val="0"/>
      <w:spacing w:beforeLines="50" w:afterLines="50"/>
      <w:jc w:val="both"/>
      <w:textAlignment w:val="baseline"/>
      <w:outlineLvl w:val="1"/>
    </w:pPr>
    <w:rPr>
      <w:rFonts w:ascii="PMingLiU" w:hAnsi="Arial Unicode MS" w:eastAsia="PMingLiU" w:cs="Times New Roman"/>
      <w:kern w:val="21"/>
      <w:sz w:val="21"/>
      <w:lang w:val="en-US" w:eastAsia="zh-CN" w:bidi="ar-SA"/>
    </w:rPr>
  </w:style>
  <w:style w:type="paragraph" w:customStyle="1" w:styleId="476">
    <w:name w:val=" Char Char Char Char Char Char Char Char Char Char Char Char Char Char Char Char Char Char Char Char Char Char"/>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477">
    <w:name w:val="注×："/>
    <w:autoRedefine/>
    <w:qFormat/>
    <w:uiPriority w:val="0"/>
    <w:pPr>
      <w:widowControl w:val="0"/>
      <w:numPr>
        <w:ilvl w:val="0"/>
        <w:numId w:val="5"/>
      </w:numPr>
      <w:tabs>
        <w:tab w:val="left" w:pos="630"/>
        <w:tab w:val="left" w:pos="3444"/>
      </w:tabs>
      <w:autoSpaceDE w:val="0"/>
      <w:autoSpaceDN w:val="0"/>
      <w:jc w:val="both"/>
    </w:pPr>
    <w:rPr>
      <w:rFonts w:ascii="等线 Light" w:hAnsi="Arial Unicode MS" w:eastAsia="宋体" w:cs="Times New Roman"/>
      <w:sz w:val="18"/>
      <w:lang w:val="en-US" w:eastAsia="zh-CN" w:bidi="ar-SA"/>
    </w:rPr>
  </w:style>
  <w:style w:type="paragraph" w:customStyle="1" w:styleId="478">
    <w:name w:val="Level2Bullet"/>
    <w:basedOn w:val="1"/>
    <w:autoRedefine/>
    <w:qFormat/>
    <w:uiPriority w:val="0"/>
    <w:pPr>
      <w:widowControl/>
      <w:numPr>
        <w:ilvl w:val="8"/>
        <w:numId w:val="6"/>
      </w:numPr>
      <w:tabs>
        <w:tab w:val="left" w:pos="3969"/>
        <w:tab w:val="left" w:pos="5954"/>
        <w:tab w:val="left" w:pos="7938"/>
      </w:tabs>
      <w:autoSpaceDE/>
      <w:autoSpaceDN/>
      <w:adjustRightInd/>
      <w:ind w:left="2268" w:hanging="283"/>
    </w:pPr>
    <w:rPr>
      <w:rFonts w:ascii="Cambria" w:hAnsi="Cambria"/>
      <w:sz w:val="20"/>
      <w:szCs w:val="20"/>
      <w:lang w:val="en-GB"/>
    </w:rPr>
  </w:style>
  <w:style w:type="paragraph" w:customStyle="1" w:styleId="479">
    <w:name w:val="2册标题1"/>
    <w:basedOn w:val="1"/>
    <w:next w:val="1"/>
    <w:autoRedefine/>
    <w:qFormat/>
    <w:uiPriority w:val="0"/>
    <w:pPr>
      <w:autoSpaceDE/>
      <w:autoSpaceDN/>
      <w:adjustRightInd/>
      <w:spacing w:before="156" w:beforeLines="50" w:after="156" w:afterLines="50"/>
      <w:jc w:val="center"/>
      <w:outlineLvl w:val="0"/>
    </w:pPr>
    <w:rPr>
      <w:rFonts w:ascii="楷体_GB2312" w:hAnsi="楷体_GB2312" w:eastAsia="PMingLiU"/>
      <w:kern w:val="2"/>
      <w:sz w:val="32"/>
      <w:szCs w:val="32"/>
    </w:rPr>
  </w:style>
  <w:style w:type="paragraph" w:customStyle="1" w:styleId="480">
    <w:name w:val="Char Char Char Char Char Char Char Char Char Char Char Char Char Char Char Char Char Char Char Char Char Char Char Char Char Char Char Char Char Char Char Char Char"/>
    <w:basedOn w:val="1"/>
    <w:autoRedefine/>
    <w:qFormat/>
    <w:uiPriority w:val="0"/>
    <w:pPr>
      <w:widowControl/>
      <w:autoSpaceDE/>
      <w:autoSpaceDN/>
      <w:adjustRightInd/>
      <w:spacing w:after="160" w:line="240" w:lineRule="exact"/>
    </w:pPr>
    <w:rPr>
      <w:rFonts w:ascii="Arial Unicode MS" w:hAnsi="Arial Unicode MS"/>
      <w:kern w:val="2"/>
    </w:rPr>
  </w:style>
  <w:style w:type="paragraph" w:customStyle="1" w:styleId="481">
    <w:name w:val="批注文字1"/>
    <w:basedOn w:val="1"/>
    <w:next w:val="21"/>
    <w:autoRedefine/>
    <w:qFormat/>
    <w:uiPriority w:val="0"/>
    <w:pPr>
      <w:autoSpaceDE/>
      <w:autoSpaceDN/>
      <w:spacing w:line="360" w:lineRule="atLeast"/>
      <w:ind w:firstLine="480" w:firstLineChars="200"/>
      <w:textAlignment w:val="baseline"/>
    </w:pPr>
    <w:rPr>
      <w:rFonts w:ascii="Arial Unicode MS" w:hAnsi="Arial Unicode MS"/>
      <w:kern w:val="2"/>
      <w:szCs w:val="22"/>
    </w:rPr>
  </w:style>
  <w:style w:type="paragraph" w:customStyle="1" w:styleId="482">
    <w:name w:val="Table Text"/>
    <w:autoRedefine/>
    <w:qFormat/>
    <w:uiPriority w:val="0"/>
    <w:pPr>
      <w:snapToGrid w:val="0"/>
      <w:spacing w:before="80" w:after="80"/>
      <w:ind w:left="51"/>
    </w:pPr>
    <w:rPr>
      <w:rFonts w:ascii="楷体_GB2312" w:hAnsi="楷体_GB2312" w:eastAsia="宋体" w:cs="Times New Roman"/>
      <w:sz w:val="21"/>
      <w:lang w:val="en-US" w:eastAsia="zh-CN" w:bidi="ar-SA"/>
    </w:rPr>
  </w:style>
  <w:style w:type="paragraph" w:customStyle="1" w:styleId="483">
    <w:name w:val="样式 标题 3头小节标题Heading 3 - oldh33rd levelH3l3CTLevel 3 Hea...1"/>
    <w:basedOn w:val="6"/>
    <w:autoRedefine/>
    <w:qFormat/>
    <w:uiPriority w:val="0"/>
    <w:pPr>
      <w:keepNext/>
      <w:keepLines/>
      <w:tabs>
        <w:tab w:val="left" w:pos="964"/>
      </w:tabs>
      <w:autoSpaceDE/>
      <w:autoSpaceDN/>
      <w:adjustRightInd/>
      <w:spacing w:line="360" w:lineRule="auto"/>
      <w:ind w:firstLine="482" w:firstLineChars="200"/>
      <w:jc w:val="both"/>
    </w:pPr>
    <w:rPr>
      <w:rFonts w:hAnsi="等线 Light" w:cs="等线 Light"/>
      <w:bCs/>
      <w:szCs w:val="20"/>
    </w:rPr>
  </w:style>
  <w:style w:type="paragraph" w:customStyle="1" w:styleId="484">
    <w:name w:val="表格文字居中"/>
    <w:basedOn w:val="137"/>
    <w:autoRedefine/>
    <w:qFormat/>
    <w:uiPriority w:val="0"/>
    <w:pPr>
      <w:jc w:val="center"/>
    </w:pPr>
    <w:rPr>
      <w:rFonts w:cs="等线 Light"/>
      <w:szCs w:val="20"/>
    </w:rPr>
  </w:style>
  <w:style w:type="paragraph" w:customStyle="1" w:styleId="485">
    <w:name w:val="xl62"/>
    <w:basedOn w:val="1"/>
    <w:autoRedefine/>
    <w:qFormat/>
    <w:uiPriority w:val="0"/>
    <w:pPr>
      <w:widowControl/>
      <w:pBdr>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等线 Light"/>
    </w:rPr>
  </w:style>
  <w:style w:type="paragraph" w:customStyle="1" w:styleId="486">
    <w:name w:val="TOC 标题2"/>
    <w:basedOn w:val="4"/>
    <w:next w:val="1"/>
    <w:autoRedefine/>
    <w:qFormat/>
    <w:uiPriority w:val="39"/>
    <w:pPr>
      <w:keepNext/>
      <w:keepLines/>
      <w:widowControl/>
      <w:autoSpaceDE/>
      <w:autoSpaceDN/>
      <w:adjustRightInd/>
      <w:spacing w:before="480" w:line="276" w:lineRule="auto"/>
      <w:outlineLvl w:val="9"/>
    </w:pPr>
    <w:rPr>
      <w:rFonts w:ascii="Roman" w:hAnsi="Roman"/>
      <w:b/>
      <w:bCs/>
      <w:color w:val="365F91"/>
      <w:sz w:val="28"/>
      <w:szCs w:val="28"/>
    </w:rPr>
  </w:style>
  <w:style w:type="paragraph" w:customStyle="1" w:styleId="487">
    <w:name w:val="xl35"/>
    <w:basedOn w:val="1"/>
    <w:autoRedefine/>
    <w:qFormat/>
    <w:uiPriority w:val="0"/>
    <w:pPr>
      <w:widowControl/>
      <w:pBdr>
        <w:right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488">
    <w:name w:val="af0-TBL-BR-1-TBL-BR-1"/>
    <w:autoRedefine/>
    <w:qFormat/>
    <w:uiPriority w:val="0"/>
    <w:pPr>
      <w:widowControl w:val="0"/>
      <w:ind w:left="100" w:leftChars="2500"/>
      <w:jc w:val="both"/>
    </w:pPr>
    <w:rPr>
      <w:rFonts w:ascii="Arial Unicode MS" w:hAnsi="Arial Unicode MS" w:eastAsia="Verdana" w:cs="Times New Roman"/>
      <w:kern w:val="2"/>
      <w:sz w:val="21"/>
      <w:szCs w:val="24"/>
      <w:lang w:val="en-US" w:eastAsia="zh-CN" w:bidi="ar-SA"/>
    </w:rPr>
  </w:style>
  <w:style w:type="paragraph" w:customStyle="1" w:styleId="489">
    <w:name w:val="Default Paragraph Font Para Char"/>
    <w:basedOn w:val="1"/>
    <w:autoRedefine/>
    <w:qFormat/>
    <w:uiPriority w:val="0"/>
    <w:pPr>
      <w:widowControl/>
      <w:autoSpaceDE/>
      <w:autoSpaceDN/>
      <w:adjustRightInd/>
      <w:spacing w:after="160" w:line="240" w:lineRule="exact"/>
    </w:pPr>
    <w:rPr>
      <w:rFonts w:ascii="Arial Unicode MS" w:hAnsi="Arial Unicode MS"/>
      <w:kern w:val="2"/>
      <w:sz w:val="21"/>
    </w:rPr>
  </w:style>
  <w:style w:type="paragraph" w:customStyle="1" w:styleId="490">
    <w:name w:val="pa-3"/>
    <w:basedOn w:val="1"/>
    <w:autoRedefine/>
    <w:qFormat/>
    <w:uiPriority w:val="0"/>
    <w:pPr>
      <w:widowControl/>
      <w:autoSpaceDE/>
      <w:autoSpaceDN/>
      <w:adjustRightInd/>
      <w:spacing w:line="360" w:lineRule="atLeast"/>
      <w:ind w:firstLine="640"/>
      <w:jc w:val="both"/>
    </w:pPr>
    <w:rPr>
      <w:rFonts w:hAnsi="等线 Light" w:cs="等线 Light"/>
    </w:rPr>
  </w:style>
  <w:style w:type="paragraph" w:customStyle="1" w:styleId="491">
    <w:name w:val="样式 左侧:  0 厘米 悬挂缩进: 2.5 字符"/>
    <w:basedOn w:val="1"/>
    <w:autoRedefine/>
    <w:qFormat/>
    <w:uiPriority w:val="0"/>
    <w:pPr>
      <w:autoSpaceDE/>
      <w:autoSpaceDN/>
      <w:adjustRightInd/>
      <w:ind w:left="525" w:hanging="525" w:hangingChars="250"/>
      <w:jc w:val="both"/>
    </w:pPr>
    <w:rPr>
      <w:rFonts w:ascii="Arial Unicode MS" w:hAnsi="Arial Unicode MS"/>
      <w:kern w:val="2"/>
      <w:sz w:val="21"/>
      <w:szCs w:val="20"/>
    </w:rPr>
  </w:style>
  <w:style w:type="paragraph" w:customStyle="1" w:styleId="492">
    <w:name w:val="正文 + 仿宋_GB2312"/>
    <w:basedOn w:val="1"/>
    <w:autoRedefine/>
    <w:qFormat/>
    <w:uiPriority w:val="99"/>
    <w:pPr>
      <w:tabs>
        <w:tab w:val="left" w:pos="-720"/>
      </w:tabs>
      <w:spacing w:line="360" w:lineRule="auto"/>
      <w:ind w:firstLine="620"/>
    </w:pPr>
    <w:rPr>
      <w:rFonts w:ascii="微软雅黑" w:hAnsi="等线 Light" w:cs="等线 Light"/>
      <w:bCs/>
      <w:sz w:val="31"/>
      <w:szCs w:val="31"/>
    </w:rPr>
  </w:style>
  <w:style w:type="paragraph" w:customStyle="1" w:styleId="493">
    <w:name w:val="默认段落字体 Para Char Char Char Char"/>
    <w:basedOn w:val="1"/>
    <w:autoRedefine/>
    <w:qFormat/>
    <w:uiPriority w:val="0"/>
    <w:pPr>
      <w:keepNext/>
      <w:tabs>
        <w:tab w:val="left" w:pos="2940"/>
      </w:tabs>
      <w:ind w:hanging="420"/>
    </w:pPr>
    <w:rPr>
      <w:rFonts w:ascii="Arial Unicode MS" w:hAnsi="Arial Unicode MS"/>
      <w:sz w:val="20"/>
      <w:szCs w:val="20"/>
    </w:rPr>
  </w:style>
  <w:style w:type="paragraph" w:customStyle="1" w:styleId="494">
    <w:name w:val="xl56"/>
    <w:basedOn w:val="1"/>
    <w:autoRedefine/>
    <w:qFormat/>
    <w:uiPriority w:val="0"/>
    <w:pPr>
      <w:widowControl/>
      <w:pBdr>
        <w:top w:val="single" w:color="auto" w:sz="4" w:space="0"/>
        <w:bottom w:val="single" w:color="auto" w:sz="4" w:space="0"/>
        <w:right w:val="single" w:color="auto" w:sz="4" w:space="0"/>
      </w:pBdr>
      <w:autoSpaceDE/>
      <w:autoSpaceDN/>
      <w:adjustRightInd/>
      <w:spacing w:before="100" w:beforeAutospacing="1" w:after="100" w:afterAutospacing="1"/>
      <w:jc w:val="center"/>
    </w:pPr>
    <w:rPr>
      <w:rFonts w:hint="eastAsia" w:hAnsi="等线 Light"/>
    </w:rPr>
  </w:style>
  <w:style w:type="paragraph" w:customStyle="1" w:styleId="495">
    <w:name w:val="样式 标题 5 + 非加粗 自动设置"/>
    <w:basedOn w:val="8"/>
    <w:autoRedefine/>
    <w:qFormat/>
    <w:uiPriority w:val="0"/>
    <w:pPr>
      <w:numPr>
        <w:ilvl w:val="4"/>
        <w:numId w:val="3"/>
      </w:numPr>
      <w:tabs>
        <w:tab w:val="left" w:pos="2100"/>
        <w:tab w:val="left" w:pos="2551"/>
      </w:tabs>
      <w:autoSpaceDE/>
      <w:autoSpaceDN/>
      <w:snapToGrid w:val="0"/>
      <w:spacing w:before="0" w:after="0" w:line="360" w:lineRule="auto"/>
      <w:jc w:val="both"/>
      <w:textAlignment w:val="baseline"/>
    </w:pPr>
    <w:rPr>
      <w:rFonts w:hAnsi="Arial Unicode MS"/>
      <w:b w:val="0"/>
      <w:bCs w:val="0"/>
      <w:kern w:val="2"/>
      <w:sz w:val="21"/>
      <w:szCs w:val="21"/>
    </w:rPr>
  </w:style>
  <w:style w:type="paragraph" w:customStyle="1" w:styleId="496">
    <w:name w:val="xl41"/>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ascii="Arial Unicode MS" w:hAnsi="Arial Unicode MS"/>
    </w:rPr>
  </w:style>
  <w:style w:type="paragraph" w:customStyle="1" w:styleId="497">
    <w:name w:val="xl46"/>
    <w:basedOn w:val="1"/>
    <w:autoRedefine/>
    <w:qFormat/>
    <w:uiPriority w:val="0"/>
    <w:pPr>
      <w:widowControl/>
      <w:pBdr>
        <w:left w:val="single" w:color="auto" w:sz="4" w:space="0"/>
        <w:right w:val="single" w:color="auto" w:sz="4" w:space="0"/>
      </w:pBdr>
      <w:autoSpaceDE/>
      <w:autoSpaceDN/>
      <w:adjustRightInd/>
      <w:spacing w:before="100" w:beforeAutospacing="1" w:after="100" w:afterAutospacing="1"/>
      <w:jc w:val="center"/>
      <w:textAlignment w:val="top"/>
    </w:pPr>
    <w:rPr>
      <w:rFonts w:ascii="等线 Light" w:hAnsi="等线 Light" w:eastAsia="等线 Light" w:cs="等线 Light"/>
      <w:sz w:val="20"/>
      <w:szCs w:val="20"/>
    </w:rPr>
  </w:style>
  <w:style w:type="paragraph" w:customStyle="1" w:styleId="498">
    <w:name w:val="方案标题3"/>
    <w:basedOn w:val="1"/>
    <w:next w:val="1"/>
    <w:autoRedefine/>
    <w:qFormat/>
    <w:uiPriority w:val="0"/>
    <w:pPr>
      <w:keepLines/>
      <w:numPr>
        <w:ilvl w:val="2"/>
        <w:numId w:val="7"/>
      </w:numPr>
      <w:tabs>
        <w:tab w:val="left" w:pos="360"/>
        <w:tab w:val="left" w:pos="1200"/>
        <w:tab w:val="left" w:pos="2160"/>
        <w:tab w:val="left" w:pos="3300"/>
      </w:tabs>
      <w:autoSpaceDE/>
      <w:autoSpaceDN/>
      <w:spacing w:before="200" w:after="40"/>
      <w:jc w:val="both"/>
      <w:outlineLvl w:val="2"/>
    </w:pPr>
    <w:rPr>
      <w:rFonts w:ascii="楷体_GB2312" w:hAnsi="楷体_GB2312" w:eastAsia="PMingLiU"/>
      <w:spacing w:val="14"/>
      <w:sz w:val="28"/>
      <w:szCs w:val="20"/>
    </w:rPr>
  </w:style>
  <w:style w:type="paragraph" w:customStyle="1" w:styleId="499">
    <w:name w:val="3"/>
    <w:basedOn w:val="1"/>
    <w:next w:val="500"/>
    <w:autoRedefine/>
    <w:qFormat/>
    <w:uiPriority w:val="34"/>
    <w:pPr>
      <w:autoSpaceDE/>
      <w:autoSpaceDN/>
      <w:adjustRightInd/>
      <w:ind w:firstLine="420" w:firstLineChars="200"/>
      <w:jc w:val="both"/>
    </w:pPr>
    <w:rPr>
      <w:rFonts w:ascii="Arial Unicode MS" w:hAnsi="Arial Unicode MS"/>
      <w:kern w:val="2"/>
      <w:sz w:val="21"/>
      <w:szCs w:val="22"/>
    </w:rPr>
  </w:style>
  <w:style w:type="paragraph" w:styleId="500">
    <w:name w:val="List Paragraph"/>
    <w:basedOn w:val="1"/>
    <w:autoRedefine/>
    <w:qFormat/>
    <w:uiPriority w:val="34"/>
    <w:pPr>
      <w:autoSpaceDE/>
      <w:autoSpaceDN/>
      <w:adjustRightInd/>
      <w:ind w:firstLine="420" w:firstLineChars="200"/>
      <w:jc w:val="both"/>
    </w:pPr>
    <w:rPr>
      <w:rFonts w:ascii="Arial Unicode MS" w:hAnsi="Arial Unicode MS"/>
      <w:kern w:val="2"/>
      <w:sz w:val="21"/>
      <w:szCs w:val="22"/>
    </w:rPr>
  </w:style>
  <w:style w:type="paragraph" w:customStyle="1" w:styleId="501">
    <w:name w:val="Char Char Char Char Char Char1 Char Char Char Char Char Char Char Char Char Char Char Char Char Char Char Char Char Char Char Char Char Char Char Char Char Char Char Char Char Char Char Char Char Char"/>
    <w:basedOn w:val="1"/>
    <w:autoRedefine/>
    <w:qFormat/>
    <w:uiPriority w:val="0"/>
    <w:pPr>
      <w:widowControl/>
      <w:autoSpaceDE/>
      <w:autoSpaceDN/>
      <w:adjustRightInd/>
      <w:spacing w:after="160" w:line="240" w:lineRule="exact"/>
    </w:pPr>
    <w:rPr>
      <w:rFonts w:ascii="Lucida Grande" w:hAnsi="Lucida Grande" w:eastAsia="微软雅黑"/>
      <w:szCs w:val="20"/>
      <w:lang w:eastAsia="en-US"/>
    </w:rPr>
  </w:style>
  <w:style w:type="paragraph" w:customStyle="1" w:styleId="502">
    <w:name w:val="affa-TBL-BR-1"/>
    <w:autoRedefine/>
    <w:qFormat/>
    <w:uiPriority w:val="0"/>
    <w:pPr>
      <w:spacing w:line="480" w:lineRule="auto"/>
    </w:pPr>
    <w:rPr>
      <w:rFonts w:ascii="等线 Light" w:hAnsi="等线 Light" w:eastAsia="Courier New" w:cs="Times New Roman"/>
      <w:sz w:val="24"/>
      <w:lang w:val="en-US" w:eastAsia="zh-CN" w:bidi="ar-SA"/>
    </w:rPr>
  </w:style>
  <w:style w:type="paragraph" w:customStyle="1" w:styleId="503">
    <w:name w:val="样式 四号 红色 行距: 1.5 倍行距"/>
    <w:basedOn w:val="1"/>
    <w:autoRedefine/>
    <w:qFormat/>
    <w:uiPriority w:val="0"/>
    <w:pPr>
      <w:autoSpaceDE/>
      <w:autoSpaceDN/>
      <w:snapToGrid w:val="0"/>
      <w:spacing w:line="360" w:lineRule="auto"/>
      <w:jc w:val="both"/>
    </w:pPr>
    <w:rPr>
      <w:rFonts w:ascii="Arial Unicode MS" w:hAnsi="Arial Unicode MS" w:cs="等线 Light"/>
      <w:color w:val="FF0000"/>
      <w:kern w:val="2"/>
      <w:sz w:val="28"/>
      <w:szCs w:val="20"/>
    </w:rPr>
  </w:style>
  <w:style w:type="paragraph" w:customStyle="1" w:styleId="504">
    <w:name w:val="样式 标题 2节H2Heading 2 HiddenHeading 2 CCBSheading 2h2节名正文二...1"/>
    <w:basedOn w:val="5"/>
    <w:autoRedefine/>
    <w:qFormat/>
    <w:uiPriority w:val="0"/>
    <w:pPr>
      <w:keepNext/>
      <w:keepLines/>
      <w:autoSpaceDE/>
      <w:autoSpaceDN/>
      <w:adjustRightInd/>
      <w:spacing w:line="360" w:lineRule="auto"/>
      <w:jc w:val="both"/>
    </w:pPr>
    <w:rPr>
      <w:rFonts w:hAnsi="等线 Light"/>
      <w:bCs/>
      <w:caps/>
      <w:kern w:val="2"/>
      <w:szCs w:val="32"/>
    </w:rPr>
  </w:style>
  <w:style w:type="paragraph" w:customStyle="1" w:styleId="505">
    <w:name w:val="样式 目录 2 + 首行缩进:  2 字符"/>
    <w:basedOn w:val="47"/>
    <w:autoRedefine/>
    <w:qFormat/>
    <w:uiPriority w:val="0"/>
    <w:pPr>
      <w:tabs>
        <w:tab w:val="right" w:leader="dot" w:pos="9072"/>
      </w:tabs>
      <w:autoSpaceDE/>
      <w:autoSpaceDN/>
      <w:snapToGrid w:val="0"/>
      <w:spacing w:line="360" w:lineRule="auto"/>
      <w:ind w:left="238" w:right="281" w:rightChars="134" w:firstLine="200" w:firstLineChars="200"/>
    </w:pPr>
    <w:rPr>
      <w:rFonts w:cs="等线 Light"/>
      <w:kern w:val="2"/>
    </w:rPr>
  </w:style>
  <w:style w:type="paragraph" w:customStyle="1" w:styleId="506">
    <w:name w:val="Char"/>
    <w:basedOn w:val="1"/>
    <w:autoRedefine/>
    <w:qFormat/>
    <w:uiPriority w:val="0"/>
    <w:pPr>
      <w:widowControl/>
      <w:autoSpaceDE/>
      <w:autoSpaceDN/>
      <w:adjustRightInd/>
      <w:spacing w:after="160" w:line="240" w:lineRule="exact"/>
    </w:pPr>
    <w:rPr>
      <w:rFonts w:ascii="Lucida Grande" w:hAnsi="Lucida Grande" w:eastAsia="微软雅黑"/>
      <w:szCs w:val="20"/>
      <w:lang w:eastAsia="en-US"/>
    </w:rPr>
  </w:style>
  <w:style w:type="paragraph" w:customStyle="1" w:styleId="507">
    <w:name w:val="xl42"/>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int="eastAsia" w:ascii="微软雅黑" w:hAnsi="等线 Light" w:eastAsia="微软雅黑"/>
      <w:sz w:val="32"/>
      <w:szCs w:val="32"/>
    </w:rPr>
  </w:style>
  <w:style w:type="paragraph" w:customStyle="1" w:styleId="508">
    <w:name w:val="基准标题"/>
    <w:basedOn w:val="2"/>
    <w:next w:val="2"/>
    <w:autoRedefine/>
    <w:qFormat/>
    <w:uiPriority w:val="0"/>
    <w:pPr>
      <w:keepNext/>
      <w:keepLines/>
      <w:widowControl/>
      <w:autoSpaceDE/>
      <w:autoSpaceDN/>
      <w:adjustRightInd/>
      <w:spacing w:line="240" w:lineRule="atLeast"/>
      <w:ind w:right="0"/>
      <w:jc w:val="left"/>
    </w:pPr>
    <w:rPr>
      <w:rFonts w:ascii="仿宋_GB2312" w:hAnsi="仿宋_GB2312"/>
      <w:b w:val="0"/>
      <w:bCs w:val="0"/>
      <w:spacing w:val="-5"/>
      <w:kern w:val="20"/>
      <w:sz w:val="24"/>
      <w:szCs w:val="20"/>
      <w:lang w:val="en-US"/>
    </w:rPr>
  </w:style>
  <w:style w:type="paragraph" w:customStyle="1" w:styleId="509">
    <w:name w:val="a)"/>
    <w:basedOn w:val="1"/>
    <w:autoRedefine/>
    <w:qFormat/>
    <w:uiPriority w:val="0"/>
    <w:pPr>
      <w:autoSpaceDE/>
      <w:autoSpaceDN/>
      <w:adjustRightInd/>
      <w:spacing w:line="264" w:lineRule="auto"/>
      <w:jc w:val="both"/>
    </w:pPr>
    <w:rPr>
      <w:rFonts w:ascii="Arial Unicode MS" w:hAnsi="Arial Unicode MS"/>
      <w:kern w:val="2"/>
    </w:rPr>
  </w:style>
  <w:style w:type="paragraph" w:customStyle="1" w:styleId="510">
    <w:name w:val="版本说明标题"/>
    <w:basedOn w:val="1"/>
    <w:autoRedefine/>
    <w:qFormat/>
    <w:uiPriority w:val="0"/>
    <w:pPr>
      <w:autoSpaceDE/>
      <w:autoSpaceDN/>
      <w:snapToGrid w:val="0"/>
      <w:spacing w:beforeLines="50" w:afterLines="50"/>
      <w:ind w:firstLine="560"/>
      <w:jc w:val="center"/>
      <w:textAlignment w:val="baseline"/>
    </w:pPr>
    <w:rPr>
      <w:rFonts w:ascii="幼圆" w:eastAsia="微软雅黑"/>
      <w:b/>
      <w:color w:val="000000"/>
      <w:kern w:val="2"/>
      <w:sz w:val="28"/>
      <w:szCs w:val="28"/>
    </w:rPr>
  </w:style>
  <w:style w:type="paragraph" w:customStyle="1" w:styleId="511">
    <w:name w:val="1."/>
    <w:basedOn w:val="1"/>
    <w:autoRedefine/>
    <w:qFormat/>
    <w:uiPriority w:val="0"/>
    <w:pPr>
      <w:widowControl/>
      <w:tabs>
        <w:tab w:val="left" w:pos="1134"/>
      </w:tabs>
      <w:autoSpaceDE/>
      <w:autoSpaceDN/>
      <w:adjustRightInd/>
      <w:spacing w:before="240" w:line="240" w:lineRule="atLeast"/>
      <w:ind w:left="1134" w:hanging="454"/>
      <w:jc w:val="both"/>
    </w:pPr>
    <w:rPr>
      <w:rFonts w:ascii="Arial Unicode MS" w:hAnsi="Arial Unicode MS"/>
      <w:kern w:val="2"/>
    </w:rPr>
  </w:style>
  <w:style w:type="paragraph" w:customStyle="1" w:styleId="512">
    <w:name w:val="样式 标题 2节H2Heading 2 HiddenHeading 2 CCBSheading 2h2节名正文二..."/>
    <w:basedOn w:val="5"/>
    <w:autoRedefine/>
    <w:qFormat/>
    <w:uiPriority w:val="0"/>
    <w:pPr>
      <w:keepNext/>
      <w:keepLines/>
      <w:autoSpaceDE/>
      <w:autoSpaceDN/>
      <w:adjustRightInd/>
      <w:spacing w:line="360" w:lineRule="auto"/>
      <w:ind w:firstLine="200" w:firstLineChars="200"/>
      <w:jc w:val="both"/>
    </w:pPr>
    <w:rPr>
      <w:rFonts w:ascii="幼圆" w:cs="等线 Light"/>
      <w:bCs/>
      <w:caps/>
      <w:kern w:val="2"/>
      <w:sz w:val="28"/>
      <w:szCs w:val="20"/>
    </w:rPr>
  </w:style>
  <w:style w:type="paragraph" w:customStyle="1" w:styleId="513">
    <w:name w:val="xl51"/>
    <w:basedOn w:val="1"/>
    <w:autoRedefine/>
    <w:qFormat/>
    <w:uiPriority w:val="0"/>
    <w:pPr>
      <w:widowControl/>
      <w:pBdr>
        <w:bottom w:val="single" w:color="auto" w:sz="4" w:space="0"/>
        <w:right w:val="single" w:color="auto" w:sz="4" w:space="0"/>
      </w:pBdr>
      <w:autoSpaceDE/>
      <w:autoSpaceDN/>
      <w:adjustRightInd/>
      <w:spacing w:before="100" w:beforeAutospacing="1" w:after="100" w:afterAutospacing="1"/>
      <w:jc w:val="both"/>
      <w:textAlignment w:val="center"/>
    </w:pPr>
    <w:rPr>
      <w:rFonts w:ascii="楷体_GB2312" w:hAnsi="楷体_GB2312" w:eastAsia="等线 Light" w:cs="楷体_GB2312"/>
      <w:sz w:val="21"/>
      <w:szCs w:val="21"/>
    </w:rPr>
  </w:style>
  <w:style w:type="paragraph" w:customStyle="1" w:styleId="514">
    <w:name w:val="样式 标题 3H3l3CTh33rd levelLevel 3 HeadHeading 3 - oldISO2..."/>
    <w:basedOn w:val="6"/>
    <w:autoRedefine/>
    <w:qFormat/>
    <w:uiPriority w:val="0"/>
    <w:pPr>
      <w:autoSpaceDE/>
      <w:autoSpaceDN/>
      <w:adjustRightInd/>
      <w:spacing w:line="360" w:lineRule="auto"/>
      <w:ind w:left="737" w:hanging="539"/>
      <w:jc w:val="both"/>
    </w:pPr>
    <w:rPr>
      <w:rFonts w:hAnsi="等线 Light"/>
      <w:b/>
      <w:kern w:val="2"/>
      <w:szCs w:val="20"/>
    </w:rPr>
  </w:style>
  <w:style w:type="paragraph" w:customStyle="1" w:styleId="515">
    <w:name w:val="需求书2"/>
    <w:basedOn w:val="1"/>
    <w:autoRedefine/>
    <w:qFormat/>
    <w:uiPriority w:val="0"/>
    <w:pPr>
      <w:tabs>
        <w:tab w:val="left" w:pos="630"/>
      </w:tabs>
      <w:autoSpaceDE/>
      <w:autoSpaceDN/>
      <w:adjustRightInd/>
      <w:spacing w:line="360" w:lineRule="auto"/>
      <w:jc w:val="both"/>
    </w:pPr>
    <w:rPr>
      <w:rFonts w:hAnsi="Arial Unicode MS"/>
      <w:b/>
      <w:kern w:val="2"/>
    </w:rPr>
  </w:style>
  <w:style w:type="paragraph" w:customStyle="1" w:styleId="516">
    <w:name w:val="r3"/>
    <w:basedOn w:val="1"/>
    <w:autoRedefine/>
    <w:qFormat/>
    <w:uiPriority w:val="0"/>
    <w:pPr>
      <w:autoSpaceDE/>
      <w:autoSpaceDN/>
      <w:spacing w:line="360" w:lineRule="atLeast"/>
      <w:jc w:val="both"/>
      <w:textAlignment w:val="baseline"/>
    </w:pPr>
    <w:rPr>
      <w:rFonts w:hAnsi="楷体_GB2312"/>
      <w:sz w:val="28"/>
      <w:szCs w:val="20"/>
    </w:rPr>
  </w:style>
  <w:style w:type="paragraph" w:customStyle="1" w:styleId="517">
    <w:name w:val="ÆÕÍ¨"/>
    <w:basedOn w:val="1"/>
    <w:autoRedefine/>
    <w:qFormat/>
    <w:uiPriority w:val="0"/>
    <w:pPr>
      <w:widowControl/>
      <w:tabs>
        <w:tab w:val="left" w:pos="1276"/>
      </w:tabs>
      <w:overflowPunct w:val="0"/>
      <w:ind w:left="851"/>
      <w:textAlignment w:val="baseline"/>
    </w:pPr>
    <w:rPr>
      <w:rFonts w:ascii="楷体_GB2312" w:hAnsi="楷体_GB2312"/>
      <w:b/>
      <w:kern w:val="16"/>
      <w:sz w:val="20"/>
      <w:szCs w:val="20"/>
      <w:lang w:val="fr-FR"/>
    </w:rPr>
  </w:style>
  <w:style w:type="paragraph" w:customStyle="1" w:styleId="518">
    <w:name w:val="Normal1"/>
    <w:autoRedefine/>
    <w:qFormat/>
    <w:uiPriority w:val="0"/>
    <w:pPr>
      <w:widowControl w:val="0"/>
      <w:adjustRightInd w:val="0"/>
      <w:spacing w:line="315" w:lineRule="atLeast"/>
      <w:jc w:val="both"/>
      <w:textAlignment w:val="baseline"/>
    </w:pPr>
    <w:rPr>
      <w:rFonts w:ascii="等线 Light" w:hAnsi="Arial Unicode MS" w:eastAsia="宋体" w:cs="Times New Roman"/>
      <w:sz w:val="21"/>
      <w:lang w:val="en-US" w:eastAsia="zh-CN" w:bidi="ar-SA"/>
    </w:rPr>
  </w:style>
  <w:style w:type="paragraph" w:customStyle="1" w:styleId="519">
    <w:name w:val="样式 首行缩进:  1.02 厘米"/>
    <w:basedOn w:val="1"/>
    <w:autoRedefine/>
    <w:qFormat/>
    <w:uiPriority w:val="0"/>
    <w:pPr>
      <w:autoSpaceDE/>
      <w:autoSpaceDN/>
      <w:snapToGrid w:val="0"/>
      <w:spacing w:line="360" w:lineRule="auto"/>
      <w:ind w:firstLine="576"/>
    </w:pPr>
    <w:rPr>
      <w:rFonts w:ascii="Arial Unicode MS" w:hAnsi="Arial Unicode MS" w:cs="等线 Light"/>
      <w:szCs w:val="20"/>
    </w:rPr>
  </w:style>
  <w:style w:type="paragraph" w:customStyle="1" w:styleId="520">
    <w:name w:val="m1"/>
    <w:basedOn w:val="1"/>
    <w:autoRedefine/>
    <w:qFormat/>
    <w:uiPriority w:val="0"/>
    <w:pPr>
      <w:autoSpaceDE/>
      <w:autoSpaceDN/>
      <w:snapToGrid w:val="0"/>
      <w:spacing w:line="320" w:lineRule="atLeast"/>
      <w:textAlignment w:val="bottom"/>
    </w:pPr>
    <w:rPr>
      <w:rFonts w:ascii="Arial Unicode MS" w:hAnsi="Arial Unicode MS" w:eastAsia="_x001A_"/>
      <w:sz w:val="28"/>
      <w:szCs w:val="20"/>
    </w:rPr>
  </w:style>
  <w:style w:type="paragraph" w:customStyle="1" w:styleId="521">
    <w:name w:val="xl61"/>
    <w:basedOn w:val="1"/>
    <w:autoRedefine/>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jc w:val="center"/>
      <w:textAlignment w:val="center"/>
    </w:pPr>
    <w:rPr>
      <w:rFonts w:hint="eastAsia" w:hAnsi="等线 Light"/>
    </w:rPr>
  </w:style>
  <w:style w:type="paragraph" w:customStyle="1" w:styleId="522">
    <w:name w:val="正文(一卡通)"/>
    <w:autoRedefine/>
    <w:qFormat/>
    <w:uiPriority w:val="0"/>
    <w:pPr>
      <w:spacing w:line="360" w:lineRule="auto"/>
      <w:ind w:left="108" w:firstLine="482"/>
      <w:jc w:val="both"/>
    </w:pPr>
    <w:rPr>
      <w:rFonts w:ascii="Arial Unicode MS" w:hAnsi="Arial Unicode MS" w:eastAsia="宋体" w:cs="Times New Roman"/>
      <w:kern w:val="2"/>
      <w:sz w:val="24"/>
      <w:lang w:val="en-US" w:eastAsia="zh-CN" w:bidi="ar-SA"/>
    </w:rPr>
  </w:style>
  <w:style w:type="paragraph" w:customStyle="1" w:styleId="523">
    <w:name w:val="规2"/>
    <w:basedOn w:val="1"/>
    <w:autoRedefine/>
    <w:qFormat/>
    <w:uiPriority w:val="0"/>
    <w:pPr>
      <w:autoSpaceDE/>
      <w:autoSpaceDN/>
      <w:adjustRightInd/>
      <w:jc w:val="both"/>
      <w:outlineLvl w:val="1"/>
    </w:pPr>
    <w:rPr>
      <w:rFonts w:ascii="Arial Unicode MS" w:hAnsi="Arial Unicode MS" w:eastAsia="PMingLiU" w:cs="幼圆"/>
      <w:kern w:val="2"/>
      <w:sz w:val="28"/>
      <w:szCs w:val="28"/>
    </w:rPr>
  </w:style>
  <w:style w:type="paragraph" w:customStyle="1" w:styleId="524">
    <w:name w:val="招标文件－表格用正文"/>
    <w:basedOn w:val="1"/>
    <w:autoRedefine/>
    <w:qFormat/>
    <w:uiPriority w:val="0"/>
    <w:pPr>
      <w:autoSpaceDE/>
      <w:autoSpaceDN/>
      <w:adjustRightInd/>
      <w:spacing w:before="156" w:beforeLines="50" w:after="156" w:afterLines="50"/>
      <w:jc w:val="both"/>
    </w:pPr>
    <w:rPr>
      <w:rFonts w:hAnsi="Helv"/>
      <w:snapToGrid w:val="0"/>
      <w:color w:val="000000"/>
      <w:kern w:val="2"/>
      <w:szCs w:val="20"/>
    </w:rPr>
  </w:style>
  <w:style w:type="paragraph" w:customStyle="1" w:styleId="525">
    <w:name w:val="项目编号1"/>
    <w:basedOn w:val="16"/>
    <w:autoRedefine/>
    <w:qFormat/>
    <w:uiPriority w:val="0"/>
    <w:pPr>
      <w:widowControl w:val="0"/>
      <w:numPr>
        <w:ilvl w:val="0"/>
        <w:numId w:val="8"/>
      </w:numPr>
      <w:tabs>
        <w:tab w:val="left" w:pos="851"/>
        <w:tab w:val="left" w:pos="964"/>
      </w:tabs>
      <w:spacing w:line="360" w:lineRule="auto"/>
      <w:ind w:firstLine="0" w:firstLineChars="0"/>
    </w:pPr>
    <w:rPr>
      <w:rFonts w:ascii="Arial Unicode MS" w:hAnsi="Arial Unicode MS"/>
      <w:snapToGrid w:val="0"/>
      <w:kern w:val="21"/>
      <w:sz w:val="21"/>
      <w:szCs w:val="21"/>
    </w:rPr>
  </w:style>
  <w:style w:type="paragraph" w:customStyle="1" w:styleId="526">
    <w:name w:val="偶数页篇眉"/>
    <w:basedOn w:val="40"/>
    <w:autoRedefine/>
    <w:qFormat/>
    <w:uiPriority w:val="0"/>
    <w:pPr>
      <w:keepLines/>
      <w:pBdr>
        <w:bottom w:val="none" w:color="auto" w:sz="0" w:space="0"/>
      </w:pBdr>
      <w:tabs>
        <w:tab w:val="right" w:pos="0"/>
        <w:tab w:val="center" w:pos="7200"/>
        <w:tab w:val="right" w:pos="14400"/>
        <w:tab w:val="clear" w:pos="4153"/>
        <w:tab w:val="clear" w:pos="8306"/>
      </w:tabs>
      <w:autoSpaceDE/>
      <w:autoSpaceDN/>
      <w:adjustRightInd/>
      <w:snapToGrid/>
      <w:jc w:val="right"/>
    </w:pPr>
    <w:rPr>
      <w:rFonts w:ascii="Arial Unicode MS" w:hAnsi="Arial Unicode MS"/>
      <w:spacing w:val="80"/>
      <w:kern w:val="2"/>
      <w:sz w:val="21"/>
      <w:szCs w:val="24"/>
    </w:rPr>
  </w:style>
  <w:style w:type="paragraph" w:customStyle="1" w:styleId="527">
    <w:name w:val="样式 正文缩进 + 首行缩进:  2 字符"/>
    <w:basedOn w:val="16"/>
    <w:autoRedefine/>
    <w:qFormat/>
    <w:uiPriority w:val="0"/>
    <w:pPr>
      <w:widowControl w:val="0"/>
      <w:spacing w:line="360" w:lineRule="auto"/>
      <w:ind w:firstLine="480"/>
      <w:jc w:val="both"/>
    </w:pPr>
    <w:rPr>
      <w:rFonts w:ascii="Arial Unicode MS" w:hAnsi="Arial Unicode MS"/>
      <w:kern w:val="2"/>
      <w:sz w:val="24"/>
    </w:rPr>
  </w:style>
  <w:style w:type="paragraph" w:customStyle="1" w:styleId="528">
    <w:name w:val="Char Char Char Char Char Char Char Char Char Char Char Char Char Char Char Char Char Char Char Char Char Char"/>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529">
    <w:name w:val="普通(Web)111"/>
    <w:basedOn w:val="1"/>
    <w:next w:val="51"/>
    <w:autoRedefine/>
    <w:qFormat/>
    <w:uiPriority w:val="0"/>
    <w:pPr>
      <w:autoSpaceDE/>
      <w:autoSpaceDN/>
      <w:adjustRightInd/>
      <w:jc w:val="both"/>
    </w:pPr>
    <w:rPr>
      <w:rFonts w:ascii="Arial Unicode MS" w:hAnsi="Arial Unicode MS"/>
      <w:kern w:val="2"/>
    </w:rPr>
  </w:style>
  <w:style w:type="paragraph" w:customStyle="1" w:styleId="530">
    <w:name w:val="A- Arial.9 Normal"/>
    <w:autoRedefine/>
    <w:qFormat/>
    <w:uiPriority w:val="0"/>
    <w:pPr>
      <w:widowControl w:val="0"/>
      <w:spacing w:line="220" w:lineRule="exact"/>
      <w:ind w:left="3572"/>
    </w:pPr>
    <w:rPr>
      <w:rFonts w:ascii="楷体_GB2312" w:hAnsi="楷体_GB2312" w:eastAsia="宋体" w:cs="Times New Roman"/>
      <w:color w:val="000000"/>
      <w:sz w:val="18"/>
      <w:lang w:val="fr-FR" w:eastAsia="zh-CN" w:bidi="ar-SA"/>
    </w:rPr>
  </w:style>
  <w:style w:type="paragraph" w:customStyle="1" w:styleId="531">
    <w:name w:val="Char Char"/>
    <w:basedOn w:val="1"/>
    <w:autoRedefine/>
    <w:qFormat/>
    <w:uiPriority w:val="0"/>
    <w:pPr>
      <w:autoSpaceDE/>
      <w:autoSpaceDN/>
      <w:adjustRightInd/>
      <w:jc w:val="both"/>
    </w:pPr>
    <w:rPr>
      <w:rFonts w:ascii="Calibri" w:hAnsi="Calibri"/>
      <w:kern w:val="2"/>
      <w:szCs w:val="20"/>
    </w:rPr>
  </w:style>
  <w:style w:type="paragraph" w:customStyle="1" w:styleId="532">
    <w:name w:val="(1)"/>
    <w:basedOn w:val="1"/>
    <w:autoRedefine/>
    <w:qFormat/>
    <w:uiPriority w:val="0"/>
    <w:pPr>
      <w:widowControl/>
      <w:tabs>
        <w:tab w:val="left" w:pos="2608"/>
      </w:tabs>
      <w:overflowPunct w:val="0"/>
      <w:spacing w:before="120" w:after="120" w:line="264" w:lineRule="auto"/>
      <w:ind w:left="2608" w:hanging="567"/>
      <w:jc w:val="both"/>
      <w:textAlignment w:val="baseline"/>
    </w:pPr>
    <w:rPr>
      <w:rFonts w:ascii="Arial Unicode MS" w:hAnsi="Arial Unicode MS"/>
      <w:sz w:val="22"/>
      <w:szCs w:val="22"/>
    </w:rPr>
  </w:style>
  <w:style w:type="paragraph" w:customStyle="1" w:styleId="533">
    <w:name w:val="2册标题2"/>
    <w:basedOn w:val="1"/>
    <w:next w:val="1"/>
    <w:autoRedefine/>
    <w:qFormat/>
    <w:uiPriority w:val="0"/>
    <w:pPr>
      <w:tabs>
        <w:tab w:val="left" w:pos="900"/>
        <w:tab w:val="left" w:pos="1410"/>
      </w:tabs>
      <w:autoSpaceDE/>
      <w:autoSpaceDN/>
      <w:adjustRightInd/>
      <w:spacing w:before="156" w:beforeLines="50" w:after="156" w:afterLines="50"/>
      <w:ind w:left="1410" w:hanging="510"/>
      <w:jc w:val="both"/>
      <w:outlineLvl w:val="1"/>
    </w:pPr>
    <w:rPr>
      <w:rFonts w:ascii="楷体_GB2312" w:hAnsi="楷体_GB2312" w:eastAsia="PMingLiU"/>
      <w:kern w:val="2"/>
      <w:sz w:val="30"/>
      <w:szCs w:val="30"/>
    </w:rPr>
  </w:style>
  <w:style w:type="paragraph" w:customStyle="1" w:styleId="534">
    <w:name w:val="WPSOffice手动目录 1"/>
    <w:autoRedefine/>
    <w:qFormat/>
    <w:uiPriority w:val="0"/>
    <w:rPr>
      <w:rFonts w:ascii="Times New Roman" w:hAnsi="Times New Roman" w:eastAsia="宋体" w:cs="Times New Roman"/>
      <w:lang w:val="en-US" w:eastAsia="zh-CN" w:bidi="ar-SA"/>
    </w:rPr>
  </w:style>
  <w:style w:type="paragraph" w:customStyle="1" w:styleId="535">
    <w:name w:val="_Style 349"/>
    <w:next w:val="1"/>
    <w:autoRedefine/>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customStyle="1" w:styleId="536">
    <w:name w:val="F00"/>
    <w:basedOn w:val="1"/>
    <w:autoRedefine/>
    <w:qFormat/>
    <w:uiPriority w:val="0"/>
    <w:pPr>
      <w:autoSpaceDE/>
      <w:autoSpaceDN/>
      <w:adjustRightInd/>
      <w:spacing w:before="50" w:after="50" w:line="0" w:lineRule="atLeast"/>
      <w:ind w:firstLine="200"/>
      <w:jc w:val="both"/>
    </w:pPr>
    <w:rPr>
      <w:rFonts w:ascii="Arial Unicode MS" w:hAnsi="Arial Unicode MS" w:eastAsia="微软雅黑"/>
      <w:kern w:val="24"/>
      <w:sz w:val="28"/>
    </w:rPr>
  </w:style>
  <w:style w:type="paragraph" w:customStyle="1" w:styleId="537">
    <w:name w:val="默认段落字体 Para Char Char Char Char Char Char Char Char Char Char"/>
    <w:basedOn w:val="1"/>
    <w:autoRedefine/>
    <w:qFormat/>
    <w:uiPriority w:val="0"/>
    <w:pPr>
      <w:autoSpaceDE/>
      <w:autoSpaceDN/>
      <w:adjustRightInd/>
      <w:jc w:val="both"/>
    </w:pPr>
    <w:rPr>
      <w:rFonts w:ascii="Calibri" w:hAnsi="Calibri"/>
      <w:kern w:val="2"/>
      <w:szCs w:val="20"/>
    </w:rPr>
  </w:style>
  <w:style w:type="paragraph" w:customStyle="1" w:styleId="538">
    <w:name w:val="font5"/>
    <w:basedOn w:val="1"/>
    <w:autoRedefine/>
    <w:qFormat/>
    <w:uiPriority w:val="0"/>
    <w:pPr>
      <w:widowControl/>
      <w:autoSpaceDE/>
      <w:autoSpaceDN/>
      <w:adjustRightInd/>
      <w:spacing w:before="100" w:beforeAutospacing="1" w:after="100" w:afterAutospacing="1"/>
    </w:pPr>
    <w:rPr>
      <w:rFonts w:hint="eastAsia" w:hAnsi="等线 Light"/>
      <w:sz w:val="18"/>
      <w:szCs w:val="18"/>
    </w:rPr>
  </w:style>
  <w:style w:type="paragraph" w:customStyle="1" w:styleId="539">
    <w:name w:val="xl32"/>
    <w:basedOn w:val="1"/>
    <w:autoRedefine/>
    <w:qFormat/>
    <w:uiPriority w:val="0"/>
    <w:pPr>
      <w:widowControl/>
      <w:pBdr>
        <w:left w:val="single" w:color="auto" w:sz="4" w:space="0"/>
        <w:bottom w:val="single" w:color="auto" w:sz="4" w:space="0"/>
        <w:right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540">
    <w:name w:val="font0"/>
    <w:basedOn w:val="1"/>
    <w:autoRedefine/>
    <w:qFormat/>
    <w:uiPriority w:val="0"/>
    <w:pPr>
      <w:widowControl/>
      <w:autoSpaceDE/>
      <w:autoSpaceDN/>
      <w:adjustRightInd/>
      <w:spacing w:before="100" w:beforeAutospacing="1" w:after="100" w:afterAutospacing="1"/>
    </w:pPr>
    <w:rPr>
      <w:rFonts w:hint="eastAsia" w:hAnsi="等线 Light"/>
    </w:rPr>
  </w:style>
  <w:style w:type="paragraph" w:customStyle="1" w:styleId="541">
    <w:name w:val="l_text"/>
    <w:basedOn w:val="1"/>
    <w:autoRedefine/>
    <w:qFormat/>
    <w:uiPriority w:val="0"/>
    <w:pPr>
      <w:widowControl/>
      <w:overflowPunct w:val="0"/>
      <w:spacing w:before="120" w:after="120" w:line="360" w:lineRule="auto"/>
      <w:ind w:firstLine="561"/>
      <w:jc w:val="both"/>
      <w:textAlignment w:val="baseline"/>
    </w:pPr>
    <w:rPr>
      <w:rFonts w:ascii="Arial Unicode MS" w:hAnsi="Arial Unicode MS"/>
      <w:kern w:val="28"/>
      <w:sz w:val="28"/>
    </w:rPr>
  </w:style>
  <w:style w:type="paragraph" w:customStyle="1" w:styleId="542">
    <w:name w:val="xl44"/>
    <w:basedOn w:val="1"/>
    <w:autoRedefine/>
    <w:qFormat/>
    <w:uiPriority w:val="0"/>
    <w:pPr>
      <w:widowControl/>
      <w:pBdr>
        <w:left w:val="single" w:color="auto" w:sz="4" w:space="0"/>
        <w:right w:val="single" w:color="auto" w:sz="4" w:space="0"/>
      </w:pBdr>
      <w:spacing w:before="100" w:beforeLines="0" w:beforeAutospacing="1" w:after="100" w:afterLines="0" w:afterAutospacing="1"/>
      <w:jc w:val="center"/>
    </w:pPr>
    <w:rPr>
      <w:rFonts w:hint="eastAsia" w:ascii="等线 Light" w:hAnsi="等线 Light"/>
      <w:kern w:val="0"/>
      <w:sz w:val="24"/>
    </w:rPr>
  </w:style>
  <w:style w:type="paragraph" w:customStyle="1" w:styleId="543">
    <w:name w:val="af0-TBL-BR-1"/>
    <w:autoRedefine/>
    <w:qFormat/>
    <w:uiPriority w:val="0"/>
    <w:pPr>
      <w:widowControl w:val="0"/>
      <w:ind w:left="100" w:leftChars="2500"/>
      <w:jc w:val="both"/>
    </w:pPr>
    <w:rPr>
      <w:rFonts w:ascii="Arial Unicode MS" w:hAnsi="Arial Unicode MS" w:eastAsia="Courier New" w:cs="Times New Roman"/>
      <w:kern w:val="2"/>
      <w:sz w:val="21"/>
      <w:szCs w:val="24"/>
      <w:lang w:val="en-US" w:eastAsia="zh-CN" w:bidi="ar-SA"/>
    </w:rPr>
  </w:style>
  <w:style w:type="paragraph" w:customStyle="1" w:styleId="544">
    <w:name w:val="首航缩进 Char"/>
    <w:basedOn w:val="1"/>
    <w:autoRedefine/>
    <w:qFormat/>
    <w:uiPriority w:val="0"/>
    <w:pPr>
      <w:autoSpaceDE/>
      <w:autoSpaceDN/>
      <w:adjustRightInd/>
      <w:spacing w:line="300" w:lineRule="auto"/>
      <w:ind w:firstLine="480" w:firstLineChars="200"/>
      <w:jc w:val="both"/>
    </w:pPr>
    <w:rPr>
      <w:rFonts w:ascii="Arial Unicode MS" w:hAnsi="Arial Unicode MS" w:eastAsia="微软雅黑"/>
      <w:color w:val="000000"/>
      <w:kern w:val="2"/>
    </w:rPr>
  </w:style>
  <w:style w:type="paragraph" w:customStyle="1" w:styleId="545">
    <w:name w:val="xl102"/>
    <w:basedOn w:val="1"/>
    <w:autoRedefine/>
    <w:qFormat/>
    <w:uiPriority w:val="0"/>
    <w:pPr>
      <w:widowControl/>
      <w:autoSpaceDE/>
      <w:autoSpaceDN/>
      <w:adjustRightInd/>
      <w:spacing w:before="100" w:beforeAutospacing="1" w:after="100" w:afterAutospacing="1"/>
      <w:jc w:val="center"/>
    </w:pPr>
    <w:rPr>
      <w:rFonts w:hAnsi="等线 Light" w:cs="等线 Light"/>
      <w:b/>
      <w:bCs/>
      <w:sz w:val="32"/>
      <w:szCs w:val="32"/>
    </w:rPr>
  </w:style>
  <w:style w:type="paragraph" w:customStyle="1" w:styleId="546">
    <w:name w:val="正文文本缩进1"/>
    <w:basedOn w:val="1"/>
    <w:next w:val="24"/>
    <w:autoRedefine/>
    <w:qFormat/>
    <w:uiPriority w:val="0"/>
    <w:pPr>
      <w:autoSpaceDE/>
      <w:autoSpaceDN/>
      <w:adjustRightInd/>
      <w:spacing w:line="400" w:lineRule="atLeast"/>
      <w:ind w:firstLine="432"/>
      <w:jc w:val="both"/>
    </w:pPr>
    <w:rPr>
      <w:rFonts w:ascii="Arial Unicode MS" w:hAnsi="Arial Unicode MS" w:eastAsia="ˎ̥"/>
      <w:kern w:val="2"/>
    </w:rPr>
  </w:style>
  <w:style w:type="paragraph" w:styleId="547">
    <w:name w:val="No Spacing"/>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48">
    <w:name w:val="通用2"/>
    <w:basedOn w:val="1"/>
    <w:autoRedefine/>
    <w:qFormat/>
    <w:uiPriority w:val="0"/>
    <w:pPr>
      <w:tabs>
        <w:tab w:val="left" w:pos="1391"/>
      </w:tabs>
      <w:autoSpaceDE/>
      <w:autoSpaceDN/>
      <w:adjustRightInd/>
      <w:spacing w:beforeLines="50" w:line="360" w:lineRule="auto"/>
      <w:ind w:left="1391" w:hanging="851"/>
      <w:jc w:val="both"/>
    </w:pPr>
    <w:rPr>
      <w:rFonts w:hAnsi="Arial Unicode MS"/>
      <w:kern w:val="2"/>
      <w:sz w:val="21"/>
      <w:szCs w:val="20"/>
    </w:rPr>
  </w:style>
  <w:style w:type="paragraph" w:customStyle="1" w:styleId="549">
    <w:name w:val="xl37"/>
    <w:basedOn w:val="1"/>
    <w:autoRedefine/>
    <w:qFormat/>
    <w:uiPriority w:val="0"/>
    <w:pPr>
      <w:widowControl/>
      <w:autoSpaceDE/>
      <w:autoSpaceDN/>
      <w:adjustRightInd/>
      <w:spacing w:before="100" w:beforeAutospacing="1" w:after="100" w:afterAutospacing="1"/>
      <w:jc w:val="center"/>
    </w:pPr>
    <w:rPr>
      <w:rFonts w:hint="eastAsia" w:ascii="微软雅黑" w:hAnsi="等线 Light" w:eastAsia="微软雅黑"/>
    </w:rPr>
  </w:style>
  <w:style w:type="paragraph" w:customStyle="1" w:styleId="550">
    <w:name w:val="列表段落1"/>
    <w:basedOn w:val="1"/>
    <w:autoRedefine/>
    <w:qFormat/>
    <w:uiPriority w:val="0"/>
    <w:pPr>
      <w:autoSpaceDE/>
      <w:autoSpaceDN/>
      <w:adjustRightInd/>
      <w:ind w:firstLine="420" w:firstLineChars="200"/>
      <w:jc w:val="both"/>
    </w:pPr>
    <w:rPr>
      <w:rFonts w:ascii="Arial Unicode MS" w:hAnsi="Arial Unicode MS"/>
      <w:kern w:val="2"/>
      <w:sz w:val="21"/>
      <w:szCs w:val="20"/>
    </w:rPr>
  </w:style>
  <w:style w:type="paragraph" w:customStyle="1" w:styleId="551">
    <w:name w:val="样式1"/>
    <w:basedOn w:val="1"/>
    <w:autoRedefine/>
    <w:qFormat/>
    <w:uiPriority w:val="0"/>
    <w:pPr>
      <w:autoSpaceDE/>
      <w:autoSpaceDN/>
      <w:adjustRightInd/>
      <w:spacing w:before="120" w:after="120" w:line="300" w:lineRule="auto"/>
      <w:jc w:val="both"/>
    </w:pPr>
    <w:rPr>
      <w:rFonts w:hAnsi="等线 Light"/>
      <w:b/>
      <w:kern w:val="2"/>
      <w:szCs w:val="20"/>
    </w:rPr>
  </w:style>
  <w:style w:type="paragraph" w:customStyle="1" w:styleId="552">
    <w:name w:val="a0-TBL-BR-1"/>
    <w:autoRedefine/>
    <w:qFormat/>
    <w:uiPriority w:val="0"/>
    <w:pPr>
      <w:widowControl w:val="0"/>
      <w:jc w:val="both"/>
    </w:pPr>
    <w:rPr>
      <w:rFonts w:ascii="Arial Unicode MS" w:hAnsi="Arial Unicode MS" w:eastAsia="Verdana" w:cs="Times New Roman"/>
      <w:kern w:val="2"/>
      <w:sz w:val="21"/>
      <w:szCs w:val="24"/>
      <w:lang w:val="en-US" w:eastAsia="zh-CN" w:bidi="ar-SA"/>
    </w:rPr>
  </w:style>
  <w:style w:type="paragraph" w:customStyle="1" w:styleId="553">
    <w:name w:val="6.4.2"/>
    <w:basedOn w:val="6"/>
    <w:autoRedefine/>
    <w:qFormat/>
    <w:uiPriority w:val="0"/>
    <w:pPr>
      <w:tabs>
        <w:tab w:val="left" w:pos="425"/>
        <w:tab w:val="left" w:pos="960"/>
        <w:tab w:val="left" w:pos="1440"/>
        <w:tab w:val="left" w:leader="dot" w:pos="8160"/>
      </w:tabs>
      <w:overflowPunct w:val="0"/>
      <w:adjustRightInd/>
      <w:spacing w:before="260" w:beforeLines="60"/>
      <w:ind w:left="425" w:hanging="425" w:firstLineChars="196"/>
      <w:jc w:val="both"/>
      <w:outlineLvl w:val="9"/>
    </w:pPr>
    <w:rPr>
      <w:rFonts w:hAnsi="等线 Light"/>
      <w:bCs/>
      <w:snapToGrid w:val="0"/>
      <w:sz w:val="28"/>
      <w:szCs w:val="28"/>
    </w:rPr>
  </w:style>
  <w:style w:type="paragraph" w:customStyle="1" w:styleId="554">
    <w:name w:val="SINOPEC-0"/>
    <w:basedOn w:val="1"/>
    <w:autoRedefine/>
    <w:qFormat/>
    <w:uiPriority w:val="0"/>
    <w:pPr>
      <w:autoSpaceDE/>
      <w:autoSpaceDN/>
      <w:adjustRightInd/>
      <w:spacing w:line="360" w:lineRule="auto"/>
      <w:ind w:firstLine="480" w:firstLineChars="200"/>
      <w:jc w:val="both"/>
    </w:pPr>
    <w:rPr>
      <w:rFonts w:ascii="楷体_GB2312" w:hAnsi="楷体_GB2312"/>
      <w:color w:val="0000FF"/>
      <w:kern w:val="2"/>
      <w:szCs w:val="20"/>
    </w:rPr>
  </w:style>
  <w:style w:type="paragraph" w:customStyle="1" w:styleId="555">
    <w:name w:val="xl54"/>
    <w:basedOn w:val="1"/>
    <w:autoRedefine/>
    <w:qFormat/>
    <w:uiPriority w:val="0"/>
    <w:pPr>
      <w:widowControl/>
      <w:pBdr>
        <w:top w:val="single" w:color="auto" w:sz="4" w:space="0"/>
        <w:left w:val="single" w:color="auto" w:sz="4" w:space="0"/>
        <w:bottom w:val="single" w:color="auto" w:sz="4" w:space="0"/>
      </w:pBdr>
      <w:autoSpaceDE/>
      <w:autoSpaceDN/>
      <w:adjustRightInd/>
      <w:spacing w:before="100" w:beforeAutospacing="1" w:after="100" w:afterAutospacing="1"/>
      <w:jc w:val="center"/>
    </w:pPr>
    <w:rPr>
      <w:rFonts w:hint="eastAsia" w:hAnsi="等线 Light"/>
    </w:rPr>
  </w:style>
  <w:style w:type="paragraph" w:customStyle="1" w:styleId="556">
    <w:name w:val="yyn"/>
    <w:basedOn w:val="1"/>
    <w:autoRedefine/>
    <w:qFormat/>
    <w:uiPriority w:val="0"/>
    <w:pPr>
      <w:keepNext/>
      <w:widowControl/>
      <w:overflowPunct w:val="0"/>
      <w:spacing w:line="360" w:lineRule="auto"/>
      <w:ind w:right="562" w:firstLine="576"/>
      <w:jc w:val="both"/>
      <w:textAlignment w:val="baseline"/>
    </w:pPr>
    <w:rPr>
      <w:rFonts w:hAnsi="Arial Unicode MS"/>
      <w:kern w:val="16"/>
      <w:sz w:val="28"/>
      <w:szCs w:val="20"/>
    </w:rPr>
  </w:style>
  <w:style w:type="paragraph" w:customStyle="1" w:styleId="557">
    <w:name w:val="_Style 6"/>
    <w:basedOn w:val="1"/>
    <w:autoRedefine/>
    <w:qFormat/>
    <w:uiPriority w:val="34"/>
    <w:pPr>
      <w:autoSpaceDE/>
      <w:autoSpaceDN/>
      <w:adjustRightInd/>
      <w:ind w:firstLine="420" w:firstLineChars="200"/>
      <w:jc w:val="both"/>
    </w:pPr>
    <w:rPr>
      <w:rFonts w:ascii="Arial Unicode MS" w:hAnsi="Arial Unicode MS"/>
      <w:kern w:val="2"/>
      <w:sz w:val="21"/>
      <w:szCs w:val="22"/>
    </w:rPr>
  </w:style>
  <w:style w:type="paragraph" w:customStyle="1" w:styleId="558">
    <w:name w:val="正文2"/>
    <w:basedOn w:val="1"/>
    <w:autoRedefine/>
    <w:qFormat/>
    <w:uiPriority w:val="0"/>
    <w:pPr>
      <w:widowControl/>
      <w:autoSpaceDE/>
      <w:autoSpaceDN/>
      <w:adjustRightInd/>
      <w:spacing w:after="160"/>
      <w:ind w:left="-85" w:firstLine="420" w:firstLineChars="200"/>
      <w:jc w:val="center"/>
    </w:pPr>
    <w:rPr>
      <w:rFonts w:ascii="Lucida Grande" w:hAnsi="Lucida Grande" w:eastAsia="PMingLiU"/>
      <w:sz w:val="21"/>
      <w:szCs w:val="21"/>
    </w:rPr>
  </w:style>
  <w:style w:type="paragraph" w:customStyle="1" w:styleId="559">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560">
    <w:name w:val="xl60"/>
    <w:basedOn w:val="1"/>
    <w:autoRedefine/>
    <w:qFormat/>
    <w:uiPriority w:val="0"/>
    <w:pPr>
      <w:widowControl/>
      <w:pBdr>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等线 Light"/>
    </w:rPr>
  </w:style>
  <w:style w:type="paragraph" w:customStyle="1" w:styleId="561">
    <w:name w:val="样式 标题 3头小节标题Heading 3 - oldh33rd levelH3l3CTLevel 3 Hea...2"/>
    <w:basedOn w:val="6"/>
    <w:autoRedefine/>
    <w:qFormat/>
    <w:uiPriority w:val="0"/>
    <w:pPr>
      <w:keepNext/>
      <w:keepLines/>
      <w:tabs>
        <w:tab w:val="left" w:pos="964"/>
      </w:tabs>
      <w:autoSpaceDE/>
      <w:autoSpaceDN/>
      <w:adjustRightInd/>
      <w:spacing w:line="360" w:lineRule="auto"/>
      <w:ind w:firstLine="482" w:firstLineChars="200"/>
      <w:jc w:val="both"/>
    </w:pPr>
    <w:rPr>
      <w:rFonts w:hAnsi="等线 Light" w:cs="等线 Light"/>
      <w:bCs/>
      <w:kern w:val="2"/>
      <w:szCs w:val="20"/>
    </w:rPr>
  </w:style>
  <w:style w:type="paragraph" w:customStyle="1" w:styleId="562">
    <w:name w:val="xl30"/>
    <w:basedOn w:val="1"/>
    <w:autoRedefine/>
    <w:qFormat/>
    <w:uiPriority w:val="0"/>
    <w:pPr>
      <w:widowControl/>
      <w:pBdr>
        <w:left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563">
    <w:name w:val="表内容"/>
    <w:basedOn w:val="1"/>
    <w:autoRedefine/>
    <w:qFormat/>
    <w:uiPriority w:val="0"/>
    <w:pPr>
      <w:spacing w:before="60" w:after="60" w:line="288" w:lineRule="auto"/>
      <w:jc w:val="center"/>
      <w:textAlignment w:val="baseline"/>
    </w:pPr>
    <w:rPr>
      <w:rFonts w:ascii="楷体_GB2312" w:hAnsi="楷体_GB2312"/>
      <w:sz w:val="21"/>
      <w:szCs w:val="20"/>
    </w:rPr>
  </w:style>
  <w:style w:type="paragraph" w:customStyle="1" w:styleId="564">
    <w:name w:val="xl23"/>
    <w:basedOn w:val="1"/>
    <w:autoRedefine/>
    <w:qFormat/>
    <w:uiPriority w:val="0"/>
    <w:pPr>
      <w:widowControl/>
      <w:autoSpaceDE/>
      <w:autoSpaceDN/>
      <w:adjustRightInd/>
      <w:spacing w:before="100" w:beforeAutospacing="1" w:after="100" w:afterAutospacing="1"/>
      <w:jc w:val="center"/>
    </w:pPr>
    <w:rPr>
      <w:rFonts w:ascii="微软雅黑" w:hAnsi="等线 Light" w:eastAsia="微软雅黑" w:cs="等线 Light"/>
    </w:rPr>
  </w:style>
  <w:style w:type="paragraph" w:customStyle="1" w:styleId="565">
    <w:name w:val="样式2"/>
    <w:basedOn w:val="8"/>
    <w:autoRedefine/>
    <w:qFormat/>
    <w:uiPriority w:val="0"/>
    <w:pPr>
      <w:tabs>
        <w:tab w:val="left" w:pos="360"/>
        <w:tab w:val="left" w:pos="1931"/>
      </w:tabs>
      <w:autoSpaceDE/>
      <w:autoSpaceDN/>
      <w:snapToGrid w:val="0"/>
      <w:spacing w:before="240" w:after="120" w:line="300" w:lineRule="auto"/>
      <w:ind w:left="360" w:hanging="360" w:hangingChars="200"/>
      <w:jc w:val="both"/>
    </w:pPr>
    <w:rPr>
      <w:rFonts w:ascii="楷体_GB2312" w:hAnsi="楷体_GB2312"/>
      <w:bCs w:val="0"/>
      <w:kern w:val="2"/>
      <w:sz w:val="24"/>
      <w:szCs w:val="20"/>
    </w:rPr>
  </w:style>
  <w:style w:type="paragraph" w:customStyle="1" w:styleId="566">
    <w:name w:val="第12册用标题"/>
    <w:basedOn w:val="1"/>
    <w:next w:val="1"/>
    <w:autoRedefine/>
    <w:qFormat/>
    <w:uiPriority w:val="0"/>
    <w:pPr>
      <w:autoSpaceDE/>
      <w:autoSpaceDN/>
      <w:adjustRightInd/>
      <w:spacing w:before="156" w:beforeLines="50" w:after="156" w:afterLines="50"/>
      <w:jc w:val="center"/>
      <w:outlineLvl w:val="0"/>
    </w:pPr>
    <w:rPr>
      <w:rFonts w:ascii="楷体_GB2312" w:hAnsi="楷体_GB2312" w:eastAsia="PMingLiU"/>
      <w:kern w:val="2"/>
      <w:sz w:val="44"/>
      <w:szCs w:val="20"/>
    </w:rPr>
  </w:style>
  <w:style w:type="paragraph" w:customStyle="1" w:styleId="567">
    <w:name w:val="正文段"/>
    <w:basedOn w:val="1"/>
    <w:autoRedefine/>
    <w:qFormat/>
    <w:uiPriority w:val="0"/>
    <w:pPr>
      <w:widowControl/>
      <w:autoSpaceDE/>
      <w:autoSpaceDN/>
      <w:spacing w:after="240" w:line="360" w:lineRule="atLeast"/>
      <w:ind w:firstLine="454"/>
      <w:jc w:val="both"/>
      <w:textAlignment w:val="bottom"/>
    </w:pPr>
    <w:rPr>
      <w:rFonts w:hAnsi="Arial Unicode MS"/>
      <w:szCs w:val="20"/>
    </w:rPr>
  </w:style>
  <w:style w:type="paragraph" w:customStyle="1" w:styleId="568">
    <w:name w:val="xl36"/>
    <w:basedOn w:val="1"/>
    <w:autoRedefine/>
    <w:qFormat/>
    <w:uiPriority w:val="0"/>
    <w:pPr>
      <w:widowControl/>
      <w:pBdr>
        <w:bottom w:val="single" w:color="auto" w:sz="4" w:space="0"/>
        <w:right w:val="single" w:color="auto" w:sz="4" w:space="0"/>
      </w:pBdr>
      <w:autoSpaceDE/>
      <w:autoSpaceDN/>
      <w:adjustRightInd/>
      <w:spacing w:before="100" w:beforeAutospacing="1" w:after="100" w:afterAutospacing="1"/>
      <w:jc w:val="center"/>
    </w:pPr>
    <w:rPr>
      <w:rFonts w:hint="eastAsia" w:hAnsi="等线 Light"/>
      <w:sz w:val="20"/>
      <w:szCs w:val="20"/>
    </w:rPr>
  </w:style>
  <w:style w:type="paragraph" w:customStyle="1" w:styleId="569">
    <w:name w:val="_Style 568"/>
    <w:basedOn w:val="4"/>
    <w:next w:val="1"/>
    <w:autoRedefine/>
    <w:qFormat/>
    <w:uiPriority w:val="39"/>
    <w:pPr>
      <w:keepNext/>
      <w:keepLines/>
      <w:widowControl/>
      <w:autoSpaceDE/>
      <w:autoSpaceDN/>
      <w:adjustRightInd/>
      <w:spacing w:before="480" w:line="276" w:lineRule="auto"/>
      <w:outlineLvl w:val="9"/>
    </w:pPr>
    <w:rPr>
      <w:rFonts w:ascii="Roman" w:hAnsi="Roman"/>
      <w:b/>
      <w:bCs/>
      <w:color w:val="365F91"/>
      <w:sz w:val="28"/>
      <w:szCs w:val="28"/>
    </w:rPr>
  </w:style>
  <w:style w:type="paragraph" w:customStyle="1" w:styleId="570">
    <w:name w:val="black1"/>
    <w:basedOn w:val="1"/>
    <w:autoRedefine/>
    <w:qFormat/>
    <w:uiPriority w:val="0"/>
    <w:pPr>
      <w:widowControl/>
      <w:autoSpaceDE/>
      <w:autoSpaceDN/>
      <w:adjustRightInd/>
      <w:spacing w:before="100" w:beforeAutospacing="1" w:after="100" w:afterAutospacing="1" w:line="280" w:lineRule="atLeast"/>
    </w:pPr>
    <w:rPr>
      <w:rFonts w:ascii="Arial Unicode MS" w:hAnsi="Arial Unicode MS"/>
      <w:color w:val="000000"/>
      <w:sz w:val="18"/>
      <w:szCs w:val="18"/>
    </w:rPr>
  </w:style>
  <w:style w:type="paragraph" w:customStyle="1" w:styleId="571">
    <w:name w:val="_Style 2"/>
    <w:basedOn w:val="1"/>
    <w:autoRedefine/>
    <w:qFormat/>
    <w:uiPriority w:val="34"/>
    <w:pPr>
      <w:autoSpaceDE/>
      <w:autoSpaceDN/>
      <w:adjustRightInd/>
      <w:ind w:firstLine="420" w:firstLineChars="200"/>
      <w:jc w:val="both"/>
    </w:pPr>
    <w:rPr>
      <w:rFonts w:ascii="Arial Unicode MS" w:hAnsi="Arial Unicode MS"/>
      <w:kern w:val="2"/>
      <w:sz w:val="21"/>
      <w:szCs w:val="22"/>
    </w:rPr>
  </w:style>
  <w:style w:type="paragraph" w:customStyle="1" w:styleId="572">
    <w:name w:val="+标题1"/>
    <w:basedOn w:val="4"/>
    <w:autoRedefine/>
    <w:qFormat/>
    <w:uiPriority w:val="0"/>
    <w:pPr>
      <w:keepNext/>
      <w:keepLines/>
      <w:pageBreakBefore/>
      <w:numPr>
        <w:ilvl w:val="0"/>
        <w:numId w:val="9"/>
      </w:numPr>
      <w:autoSpaceDE/>
      <w:autoSpaceDN/>
      <w:adjustRightInd/>
      <w:spacing w:before="240" w:after="240" w:line="360" w:lineRule="auto"/>
      <w:jc w:val="both"/>
    </w:pPr>
    <w:rPr>
      <w:rFonts w:ascii="Arial Unicode MS" w:hAnsi="Arial Unicode MS" w:eastAsia="PMingLiU"/>
      <w:b/>
      <w:bCs/>
      <w:kern w:val="32"/>
      <w:sz w:val="28"/>
      <w:szCs w:val="28"/>
    </w:rPr>
  </w:style>
  <w:style w:type="paragraph" w:customStyle="1" w:styleId="573">
    <w:name w:val="目录"/>
    <w:basedOn w:val="1"/>
    <w:autoRedefine/>
    <w:qFormat/>
    <w:uiPriority w:val="0"/>
    <w:pPr>
      <w:widowControl/>
      <w:autoSpaceDE/>
      <w:autoSpaceDN/>
      <w:adjustRightInd/>
      <w:jc w:val="center"/>
    </w:pPr>
    <w:rPr>
      <w:rFonts w:hAnsi="Arial Unicode MS"/>
      <w:b/>
      <w:sz w:val="36"/>
      <w:szCs w:val="20"/>
    </w:rPr>
  </w:style>
  <w:style w:type="paragraph" w:customStyle="1" w:styleId="574">
    <w:name w:val="纯文本1"/>
    <w:basedOn w:val="1"/>
    <w:autoRedefine/>
    <w:qFormat/>
    <w:uiPriority w:val="0"/>
    <w:pPr>
      <w:autoSpaceDE/>
      <w:autoSpaceDN/>
      <w:jc w:val="both"/>
      <w:textAlignment w:val="baseline"/>
    </w:pPr>
    <w:rPr>
      <w:rFonts w:hAnsi="Helv" w:eastAsia="Cambria Math"/>
      <w:kern w:val="2"/>
      <w:sz w:val="26"/>
      <w:szCs w:val="20"/>
    </w:rPr>
  </w:style>
  <w:style w:type="paragraph" w:customStyle="1" w:styleId="575">
    <w:name w:val="彩色底纹 - 强调文字颜色 11"/>
    <w:autoRedefine/>
    <w:semiHidden/>
    <w:qFormat/>
    <w:uiPriority w:val="99"/>
    <w:rPr>
      <w:rFonts w:ascii="等线 Light" w:hAnsi="Times New Roman" w:eastAsia="宋体" w:cs="Times New Roman"/>
      <w:sz w:val="24"/>
      <w:szCs w:val="24"/>
      <w:lang w:val="en-US" w:eastAsia="zh-CN" w:bidi="ar-SA"/>
    </w:rPr>
  </w:style>
  <w:style w:type="paragraph" w:customStyle="1" w:styleId="576">
    <w:name w:val="列出段落11"/>
    <w:basedOn w:val="1"/>
    <w:autoRedefine/>
    <w:qFormat/>
    <w:uiPriority w:val="34"/>
    <w:pPr>
      <w:ind w:firstLine="420" w:firstLineChars="200"/>
    </w:pPr>
  </w:style>
  <w:style w:type="paragraph" w:customStyle="1" w:styleId="577">
    <w:name w:val="_Style 166"/>
    <w:next w:val="1"/>
    <w:autoRedefine/>
    <w:qFormat/>
    <w:uiPriority w:val="0"/>
    <w:pPr>
      <w:widowControl w:val="0"/>
      <w:jc w:val="both"/>
    </w:pPr>
    <w:rPr>
      <w:rFonts w:ascii="Arial Unicode MS" w:hAnsi="Arial Unicode MS" w:eastAsia="宋体" w:cs="Times New Roman"/>
      <w:kern w:val="2"/>
      <w:sz w:val="21"/>
      <w:szCs w:val="24"/>
      <w:lang w:val="en-US" w:eastAsia="zh-CN" w:bidi="ar-SA"/>
    </w:rPr>
  </w:style>
  <w:style w:type="paragraph" w:customStyle="1" w:styleId="578">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Helv" w:hAnsi="Helv"/>
      <w:sz w:val="20"/>
      <w:szCs w:val="20"/>
    </w:rPr>
  </w:style>
  <w:style w:type="paragraph" w:customStyle="1" w:styleId="579">
    <w:name w:val="网格表 32"/>
    <w:basedOn w:val="4"/>
    <w:next w:val="1"/>
    <w:autoRedefine/>
    <w:qFormat/>
    <w:uiPriority w:val="39"/>
    <w:pPr>
      <w:keepNext/>
      <w:keepLines/>
      <w:widowControl/>
      <w:autoSpaceDE/>
      <w:autoSpaceDN/>
      <w:adjustRightInd/>
      <w:spacing w:before="480" w:line="276" w:lineRule="auto"/>
      <w:outlineLvl w:val="9"/>
    </w:pPr>
    <w:rPr>
      <w:rFonts w:ascii="Roman" w:hAnsi="Roman"/>
      <w:b/>
      <w:bCs/>
      <w:color w:val="365F91"/>
      <w:sz w:val="28"/>
      <w:szCs w:val="28"/>
    </w:rPr>
  </w:style>
  <w:style w:type="paragraph" w:customStyle="1" w:styleId="580">
    <w:name w:val=" Char1 Char Char Char"/>
    <w:basedOn w:val="1"/>
    <w:autoRedefine/>
    <w:qFormat/>
    <w:uiPriority w:val="0"/>
    <w:pPr>
      <w:autoSpaceDE/>
      <w:autoSpaceDN/>
      <w:adjustRightInd/>
      <w:jc w:val="both"/>
    </w:pPr>
    <w:rPr>
      <w:rFonts w:ascii="Arial Unicode MS" w:hAnsi="Arial Unicode MS"/>
      <w:kern w:val="2"/>
      <w:sz w:val="21"/>
    </w:rPr>
  </w:style>
  <w:style w:type="paragraph" w:customStyle="1" w:styleId="581">
    <w:name w:val="+标题3"/>
    <w:basedOn w:val="6"/>
    <w:autoRedefine/>
    <w:qFormat/>
    <w:uiPriority w:val="0"/>
    <w:pPr>
      <w:autoSpaceDE/>
      <w:autoSpaceDN/>
      <w:snapToGrid w:val="0"/>
      <w:spacing w:line="360" w:lineRule="auto"/>
      <w:ind w:left="-2" w:leftChars="-1" w:firstLine="420"/>
      <w:jc w:val="both"/>
    </w:pPr>
    <w:rPr>
      <w:rFonts w:hAnsi="等线 Light"/>
      <w:b/>
      <w:sz w:val="32"/>
      <w:szCs w:val="21"/>
    </w:rPr>
  </w:style>
  <w:style w:type="paragraph" w:customStyle="1" w:styleId="582">
    <w:name w:val="2"/>
    <w:basedOn w:val="1"/>
    <w:next w:val="32"/>
    <w:autoRedefine/>
    <w:qFormat/>
    <w:uiPriority w:val="0"/>
    <w:pPr>
      <w:autoSpaceDE/>
      <w:autoSpaceDN/>
      <w:adjustRightInd/>
      <w:jc w:val="both"/>
    </w:pPr>
    <w:rPr>
      <w:rFonts w:hAnsi="Helv"/>
      <w:kern w:val="2"/>
      <w:sz w:val="21"/>
      <w:szCs w:val="20"/>
    </w:rPr>
  </w:style>
  <w:style w:type="paragraph" w:customStyle="1" w:styleId="583">
    <w:name w:val="_Style 582"/>
    <w:autoRedefine/>
    <w:qFormat/>
    <w:uiPriority w:val="99"/>
    <w:rPr>
      <w:rFonts w:ascii="等线 Light" w:hAnsi="Times New Roman" w:eastAsia="宋体" w:cs="Times New Roman"/>
      <w:sz w:val="24"/>
      <w:szCs w:val="24"/>
      <w:lang w:val="en-US" w:eastAsia="zh-CN" w:bidi="ar-SA"/>
    </w:rPr>
  </w:style>
  <w:style w:type="paragraph" w:customStyle="1" w:styleId="584">
    <w:name w:val="编号"/>
    <w:basedOn w:val="1"/>
    <w:autoRedefine/>
    <w:qFormat/>
    <w:uiPriority w:val="0"/>
    <w:pPr>
      <w:numPr>
        <w:ilvl w:val="0"/>
        <w:numId w:val="10"/>
      </w:numPr>
      <w:autoSpaceDE/>
      <w:autoSpaceDN/>
      <w:adjustRightInd/>
      <w:snapToGrid w:val="0"/>
      <w:spacing w:line="300" w:lineRule="auto"/>
      <w:jc w:val="both"/>
    </w:pPr>
    <w:rPr>
      <w:rFonts w:hAnsi="等线 Light"/>
      <w:color w:val="000000"/>
      <w:kern w:val="2"/>
    </w:rPr>
  </w:style>
  <w:style w:type="paragraph" w:customStyle="1" w:styleId="585">
    <w:name w:val="a0-TBL-BR-1-TBL-BR-1"/>
    <w:autoRedefine/>
    <w:qFormat/>
    <w:uiPriority w:val="0"/>
    <w:pPr>
      <w:widowControl w:val="0"/>
      <w:jc w:val="both"/>
    </w:pPr>
    <w:rPr>
      <w:rFonts w:ascii="Arial Unicode MS" w:hAnsi="Arial Unicode MS" w:eastAsia="Verdana" w:cs="Times New Roman"/>
      <w:kern w:val="2"/>
      <w:sz w:val="21"/>
      <w:szCs w:val="24"/>
      <w:lang w:val="en-US" w:eastAsia="zh-CN" w:bidi="ar-SA"/>
    </w:rPr>
  </w:style>
  <w:style w:type="paragraph" w:customStyle="1" w:styleId="586">
    <w:name w:val="head4"/>
    <w:basedOn w:val="411"/>
    <w:autoRedefine/>
    <w:qFormat/>
    <w:uiPriority w:val="0"/>
    <w:pPr>
      <w:jc w:val="both"/>
    </w:pPr>
    <w:rPr>
      <w:b w:val="0"/>
    </w:rPr>
  </w:style>
  <w:style w:type="paragraph" w:customStyle="1" w:styleId="587">
    <w:name w:val="xl34"/>
    <w:basedOn w:val="1"/>
    <w:autoRedefine/>
    <w:qFormat/>
    <w:uiPriority w:val="0"/>
    <w:pPr>
      <w:widowControl/>
      <w:pBdr>
        <w:top w:val="single" w:color="auto" w:sz="4" w:space="0"/>
        <w:right w:val="single" w:color="auto" w:sz="4" w:space="0"/>
      </w:pBdr>
      <w:autoSpaceDE/>
      <w:autoSpaceDN/>
      <w:adjustRightInd/>
      <w:spacing w:before="100" w:beforeAutospacing="1" w:after="100" w:afterAutospacing="1"/>
      <w:jc w:val="center"/>
    </w:pPr>
    <w:rPr>
      <w:rFonts w:hint="eastAsia" w:hAnsi="等线 Light"/>
      <w:sz w:val="20"/>
      <w:szCs w:val="20"/>
    </w:rPr>
  </w:style>
  <w:style w:type="paragraph" w:customStyle="1" w:styleId="588">
    <w:name w:val="xl48"/>
    <w:basedOn w:val="1"/>
    <w:autoRedefine/>
    <w:qFormat/>
    <w:uiPriority w:val="0"/>
    <w:pPr>
      <w:widowControl/>
      <w:pBdr>
        <w:left w:val="single" w:color="auto" w:sz="4" w:space="0"/>
        <w:bottom w:val="single" w:color="auto" w:sz="4" w:space="0"/>
      </w:pBdr>
      <w:autoSpaceDE/>
      <w:autoSpaceDN/>
      <w:adjustRightInd/>
      <w:spacing w:before="100" w:beforeAutospacing="1" w:after="100" w:afterAutospacing="1"/>
    </w:pPr>
    <w:rPr>
      <w:rFonts w:hAnsi="等线 Light" w:cs="等线 Light"/>
    </w:rPr>
  </w:style>
  <w:style w:type="paragraph" w:customStyle="1" w:styleId="589">
    <w:name w:val="_Style 66"/>
    <w:next w:val="1"/>
    <w:autoRedefine/>
    <w:qFormat/>
    <w:uiPriority w:val="99"/>
    <w:pPr>
      <w:widowControl w:val="0"/>
      <w:autoSpaceDE w:val="0"/>
      <w:autoSpaceDN w:val="0"/>
      <w:adjustRightInd w:val="0"/>
    </w:pPr>
    <w:rPr>
      <w:rFonts w:ascii="等线 Light" w:hAnsi="Times New Roman" w:eastAsia="宋体" w:cs="Times New Roman"/>
      <w:sz w:val="24"/>
      <w:szCs w:val="24"/>
      <w:lang w:val="en-US" w:eastAsia="zh-CN" w:bidi="ar-SA"/>
    </w:rPr>
  </w:style>
  <w:style w:type="paragraph" w:customStyle="1" w:styleId="590">
    <w:name w:val=" Char1 Char Char Char1 Char Char Char Char Char Char Char Char Char"/>
    <w:basedOn w:val="1"/>
    <w:autoRedefine/>
    <w:qFormat/>
    <w:uiPriority w:val="0"/>
    <w:pPr>
      <w:widowControl/>
      <w:autoSpaceDE/>
      <w:autoSpaceDN/>
      <w:adjustRightInd/>
      <w:spacing w:after="160" w:line="240" w:lineRule="exact"/>
    </w:pPr>
    <w:rPr>
      <w:rFonts w:ascii="Lucida Grande" w:hAnsi="Lucida Grande" w:eastAsia="Cambria Math"/>
      <w:b/>
      <w:i/>
      <w:iCs/>
      <w:color w:val="000000"/>
      <w:sz w:val="20"/>
      <w:szCs w:val="20"/>
      <w:lang w:eastAsia="en-US"/>
    </w:rPr>
  </w:style>
  <w:style w:type="paragraph" w:customStyle="1" w:styleId="591">
    <w:name w:val=" Char Char Char Char Char Char Char Char Char Char Char Char Char Char Char Char Char Char Char"/>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592">
    <w:name w:val="样式 宋体 行距: 固定值 18 磅"/>
    <w:basedOn w:val="1"/>
    <w:autoRedefine/>
    <w:qFormat/>
    <w:uiPriority w:val="0"/>
    <w:pPr>
      <w:autoSpaceDE/>
      <w:autoSpaceDN/>
      <w:adjustRightInd/>
      <w:spacing w:before="30" w:beforeLines="30" w:line="360" w:lineRule="exact"/>
      <w:jc w:val="both"/>
    </w:pPr>
    <w:rPr>
      <w:rFonts w:hAnsi="等线 Light"/>
      <w:kern w:val="2"/>
      <w:sz w:val="21"/>
      <w:szCs w:val="20"/>
    </w:rPr>
  </w:style>
  <w:style w:type="paragraph" w:customStyle="1" w:styleId="593">
    <w:name w:val="Default Text"/>
    <w:basedOn w:val="1"/>
    <w:autoRedefine/>
    <w:qFormat/>
    <w:uiPriority w:val="0"/>
    <w:rPr>
      <w:rFonts w:ascii="Arial Unicode MS" w:hAnsi="Arial Unicode MS"/>
    </w:rPr>
  </w:style>
  <w:style w:type="paragraph" w:customStyle="1" w:styleId="594">
    <w:name w:val="项目"/>
    <w:basedOn w:val="1"/>
    <w:autoRedefine/>
    <w:qFormat/>
    <w:uiPriority w:val="0"/>
    <w:pPr>
      <w:widowControl/>
      <w:tabs>
        <w:tab w:val="left" w:pos="300"/>
        <w:tab w:val="left" w:pos="840"/>
        <w:tab w:val="left" w:pos="993"/>
      </w:tabs>
      <w:overflowPunct w:val="0"/>
      <w:autoSpaceDE/>
      <w:autoSpaceDN/>
      <w:spacing w:line="336" w:lineRule="auto"/>
      <w:ind w:left="840" w:hanging="420"/>
      <w:jc w:val="both"/>
    </w:pPr>
    <w:rPr>
      <w:rFonts w:ascii="楷体_GB2312" w:hAnsi="Arial Unicode MS"/>
      <w:kern w:val="24"/>
      <w:szCs w:val="20"/>
    </w:rPr>
  </w:style>
  <w:style w:type="paragraph" w:customStyle="1" w:styleId="595">
    <w:name w:val="xl43"/>
    <w:basedOn w:val="1"/>
    <w:autoRedefine/>
    <w:qFormat/>
    <w:uiPriority w:val="0"/>
    <w:pPr>
      <w:widowControl/>
      <w:autoSpaceDE/>
      <w:autoSpaceDN/>
      <w:adjustRightInd/>
      <w:spacing w:before="100" w:beforeAutospacing="1" w:after="100" w:afterAutospacing="1"/>
      <w:jc w:val="center"/>
    </w:pPr>
    <w:rPr>
      <w:rFonts w:hint="eastAsia" w:ascii="微软雅黑" w:hAnsi="等线 Light" w:eastAsia="微软雅黑"/>
    </w:rPr>
  </w:style>
  <w:style w:type="paragraph" w:customStyle="1" w:styleId="596">
    <w:name w:val="Char Char Char Char Char"/>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597">
    <w:name w:val="Char Char Char Char1"/>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598">
    <w:name w:val="样式 标题 3头小节标题Heading 3 - oldh33rd levelH3l3CTLevel 3 Hea...3"/>
    <w:basedOn w:val="6"/>
    <w:autoRedefine/>
    <w:qFormat/>
    <w:uiPriority w:val="0"/>
    <w:pPr>
      <w:keepNext/>
      <w:keepLines/>
      <w:tabs>
        <w:tab w:val="left" w:pos="964"/>
      </w:tabs>
      <w:autoSpaceDE/>
      <w:autoSpaceDN/>
      <w:adjustRightInd/>
      <w:spacing w:line="360" w:lineRule="auto"/>
      <w:jc w:val="both"/>
    </w:pPr>
    <w:rPr>
      <w:rFonts w:hAnsi="等线 Light"/>
      <w:kern w:val="2"/>
      <w:szCs w:val="32"/>
    </w:rPr>
  </w:style>
  <w:style w:type="paragraph" w:customStyle="1" w:styleId="599">
    <w:name w:val="Char Char Char Char Char Char Char Char Char Char"/>
    <w:basedOn w:val="1"/>
    <w:autoRedefine/>
    <w:qFormat/>
    <w:uiPriority w:val="0"/>
    <w:pPr>
      <w:widowControl/>
      <w:autoSpaceDE/>
      <w:autoSpaceDN/>
      <w:adjustRightInd/>
      <w:spacing w:after="160" w:line="240" w:lineRule="exact"/>
    </w:pPr>
    <w:rPr>
      <w:rFonts w:ascii="Lucida Grande" w:hAnsi="Lucida Grande" w:cs="Lucida Grande"/>
      <w:sz w:val="20"/>
      <w:szCs w:val="20"/>
      <w:lang w:eastAsia="en-US"/>
    </w:rPr>
  </w:style>
  <w:style w:type="paragraph" w:customStyle="1" w:styleId="600">
    <w:name w:val="affa-TBL-BR-1-TBL-BR-1"/>
    <w:autoRedefine/>
    <w:qFormat/>
    <w:uiPriority w:val="0"/>
    <w:pPr>
      <w:spacing w:line="480" w:lineRule="auto"/>
    </w:pPr>
    <w:rPr>
      <w:rFonts w:ascii="等线 Light" w:hAnsi="等线 Light" w:eastAsia="Verdana" w:cs="Times New Roman"/>
      <w:sz w:val="24"/>
      <w:lang w:val="en-US" w:eastAsia="zh-CN" w:bidi="ar-SA"/>
    </w:rPr>
  </w:style>
  <w:style w:type="paragraph" w:customStyle="1" w:styleId="601">
    <w:name w:val="样式 标题 3头小节标题Heading 3 - oldh33rd levelH3l3CTLevel 3 Hea...5"/>
    <w:basedOn w:val="6"/>
    <w:autoRedefine/>
    <w:qFormat/>
    <w:uiPriority w:val="0"/>
    <w:pPr>
      <w:keepNext/>
      <w:keepLines/>
      <w:tabs>
        <w:tab w:val="left" w:pos="964"/>
      </w:tabs>
      <w:autoSpaceDE/>
      <w:autoSpaceDN/>
      <w:adjustRightInd/>
      <w:spacing w:line="360" w:lineRule="auto"/>
      <w:ind w:firstLine="200" w:firstLineChars="200"/>
      <w:jc w:val="both"/>
    </w:pPr>
    <w:rPr>
      <w:rFonts w:ascii="Arial Unicode MS" w:hAnsi="Arial Unicode MS" w:cs="等线 Light"/>
      <w:kern w:val="2"/>
      <w:szCs w:val="20"/>
    </w:rPr>
  </w:style>
  <w:style w:type="paragraph" w:customStyle="1" w:styleId="602">
    <w:name w:val="样式 标题 3头小节标题Heading 3 - oldh33rd levelH3l3CTLevel 3 Hea...7"/>
    <w:basedOn w:val="6"/>
    <w:autoRedefine/>
    <w:qFormat/>
    <w:uiPriority w:val="0"/>
    <w:pPr>
      <w:keepNext/>
      <w:keepLines/>
      <w:tabs>
        <w:tab w:val="left" w:pos="964"/>
      </w:tabs>
      <w:autoSpaceDE/>
      <w:autoSpaceDN/>
      <w:adjustRightInd/>
      <w:spacing w:line="360" w:lineRule="auto"/>
      <w:ind w:firstLine="482" w:firstLineChars="200"/>
      <w:jc w:val="both"/>
    </w:pPr>
    <w:rPr>
      <w:rFonts w:hAnsi="等线 Light" w:cs="等线 Light"/>
      <w:bCs/>
      <w:szCs w:val="20"/>
    </w:rPr>
  </w:style>
  <w:style w:type="paragraph" w:customStyle="1" w:styleId="603">
    <w:name w:val="正文首缩"/>
    <w:basedOn w:val="1"/>
    <w:next w:val="7"/>
    <w:autoRedefine/>
    <w:qFormat/>
    <w:uiPriority w:val="0"/>
    <w:pPr>
      <w:autoSpaceDE/>
      <w:autoSpaceDN/>
      <w:spacing w:line="324" w:lineRule="auto"/>
      <w:ind w:firstLine="425"/>
      <w:jc w:val="both"/>
      <w:textAlignment w:val="baseline"/>
    </w:pPr>
    <w:rPr>
      <w:rFonts w:ascii="Arial Unicode MS" w:hAnsi="Arial Unicode MS"/>
      <w:sz w:val="28"/>
      <w:szCs w:val="20"/>
    </w:rPr>
  </w:style>
  <w:style w:type="paragraph" w:customStyle="1" w:styleId="604">
    <w:name w:val="默认段落字体 Para Char"/>
    <w:basedOn w:val="1"/>
    <w:autoRedefine/>
    <w:qFormat/>
    <w:uiPriority w:val="0"/>
    <w:pPr>
      <w:autoSpaceDE/>
      <w:autoSpaceDN/>
      <w:spacing w:line="360" w:lineRule="auto"/>
      <w:jc w:val="both"/>
    </w:pPr>
    <w:rPr>
      <w:rFonts w:ascii="Arial Unicode MS" w:hAnsi="Arial Unicode MS"/>
      <w:szCs w:val="20"/>
    </w:rPr>
  </w:style>
  <w:style w:type="paragraph" w:customStyle="1" w:styleId="605">
    <w:name w:val="xl50"/>
    <w:basedOn w:val="1"/>
    <w:autoRedefine/>
    <w:qFormat/>
    <w:uiPriority w:val="0"/>
    <w:pPr>
      <w:widowControl/>
      <w:autoSpaceDE/>
      <w:autoSpaceDN/>
      <w:adjustRightInd/>
      <w:spacing w:before="100" w:beforeAutospacing="1" w:after="100" w:afterAutospacing="1"/>
      <w:jc w:val="center"/>
    </w:pPr>
    <w:rPr>
      <w:rFonts w:hint="eastAsia" w:hAnsi="等线 Light"/>
    </w:rPr>
  </w:style>
  <w:style w:type="paragraph" w:customStyle="1" w:styleId="606">
    <w:name w:val="样式 标题 3头小节标题Heading 3 - oldh33rd levelH3l3CTLevel 3 Hea...8"/>
    <w:basedOn w:val="6"/>
    <w:autoRedefine/>
    <w:qFormat/>
    <w:uiPriority w:val="0"/>
    <w:pPr>
      <w:keepNext/>
      <w:keepLines/>
      <w:tabs>
        <w:tab w:val="left" w:pos="964"/>
      </w:tabs>
      <w:autoSpaceDE/>
      <w:autoSpaceDN/>
      <w:adjustRightInd/>
      <w:spacing w:line="360" w:lineRule="auto"/>
      <w:ind w:firstLine="200" w:firstLineChars="200"/>
      <w:jc w:val="both"/>
    </w:pPr>
    <w:rPr>
      <w:rFonts w:ascii="Arial Unicode MS" w:hAnsi="Arial Unicode MS" w:cs="等线 Light"/>
      <w:kern w:val="2"/>
      <w:szCs w:val="20"/>
    </w:rPr>
  </w:style>
  <w:style w:type="paragraph" w:customStyle="1" w:styleId="607">
    <w:name w:val="正文表标题"/>
    <w:next w:val="1"/>
    <w:autoRedefine/>
    <w:qFormat/>
    <w:uiPriority w:val="0"/>
    <w:pPr>
      <w:numPr>
        <w:ilvl w:val="0"/>
        <w:numId w:val="11"/>
      </w:numPr>
      <w:jc w:val="center"/>
    </w:pPr>
    <w:rPr>
      <w:rFonts w:ascii="PMingLiU" w:hAnsi="Arial Unicode MS" w:eastAsia="PMingLiU" w:cs="Times New Roman"/>
      <w:sz w:val="21"/>
      <w:lang w:val="en-US" w:eastAsia="zh-CN" w:bidi="ar-SA"/>
    </w:rPr>
  </w:style>
  <w:style w:type="paragraph" w:customStyle="1" w:styleId="608">
    <w:name w:val="font7"/>
    <w:basedOn w:val="1"/>
    <w:autoRedefine/>
    <w:qFormat/>
    <w:uiPriority w:val="0"/>
    <w:pPr>
      <w:widowControl/>
      <w:autoSpaceDE/>
      <w:autoSpaceDN/>
      <w:adjustRightInd/>
      <w:spacing w:before="100" w:beforeAutospacing="1" w:after="100" w:afterAutospacing="1"/>
    </w:pPr>
    <w:rPr>
      <w:rFonts w:hint="eastAsia" w:ascii="微软雅黑" w:hAnsi="等线 Light" w:eastAsia="微软雅黑"/>
      <w:sz w:val="32"/>
      <w:szCs w:val="32"/>
    </w:rPr>
  </w:style>
  <w:style w:type="paragraph" w:customStyle="1" w:styleId="609">
    <w:name w:val="xl100"/>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等线 Light" w:cs="等线 Light"/>
    </w:rPr>
  </w:style>
  <w:style w:type="paragraph" w:customStyle="1" w:styleId="610">
    <w:name w:val="1"/>
    <w:basedOn w:val="1"/>
    <w:next w:val="27"/>
    <w:autoRedefine/>
    <w:qFormat/>
    <w:uiPriority w:val="0"/>
    <w:pPr>
      <w:autoSpaceDE/>
      <w:autoSpaceDN/>
      <w:ind w:left="420" w:right="33"/>
      <w:textAlignment w:val="baseline"/>
    </w:pPr>
    <w:rPr>
      <w:rFonts w:ascii="Arial Unicode MS" w:hAnsi="Arial Unicode MS"/>
      <w:szCs w:val="20"/>
    </w:rPr>
  </w:style>
  <w:style w:type="paragraph" w:customStyle="1" w:styleId="611">
    <w:name w:val="文字"/>
    <w:basedOn w:val="1"/>
    <w:autoRedefine/>
    <w:qFormat/>
    <w:uiPriority w:val="0"/>
    <w:pPr>
      <w:tabs>
        <w:tab w:val="left" w:pos="8520"/>
      </w:tabs>
      <w:autoSpaceDE/>
      <w:autoSpaceDN/>
      <w:adjustRightInd/>
      <w:spacing w:line="312" w:lineRule="auto"/>
      <w:ind w:right="-210" w:firstLine="556"/>
      <w:jc w:val="both"/>
    </w:pPr>
    <w:rPr>
      <w:rFonts w:ascii="Cambria Math" w:hAnsi="Arial Unicode MS" w:eastAsia="Cambria Math"/>
      <w:kern w:val="2"/>
      <w:sz w:val="28"/>
      <w:szCs w:val="20"/>
    </w:rPr>
  </w:style>
  <w:style w:type="paragraph" w:customStyle="1" w:styleId="612">
    <w:name w:val="font6"/>
    <w:basedOn w:val="1"/>
    <w:autoRedefine/>
    <w:qFormat/>
    <w:uiPriority w:val="0"/>
    <w:pPr>
      <w:widowControl/>
      <w:autoSpaceDE/>
      <w:autoSpaceDN/>
      <w:adjustRightInd/>
      <w:spacing w:before="100" w:beforeAutospacing="1" w:after="100" w:afterAutospacing="1"/>
    </w:pPr>
    <w:rPr>
      <w:rFonts w:hint="eastAsia" w:hAnsi="等线 Light"/>
      <w:sz w:val="18"/>
      <w:szCs w:val="18"/>
    </w:rPr>
  </w:style>
  <w:style w:type="paragraph" w:customStyle="1" w:styleId="613">
    <w:name w:val="默认段落字体 Para Char Char Char Char Char Char Char Char Char1 Char Char Char Char Char Char Char Char Char Char"/>
    <w:basedOn w:val="19"/>
    <w:autoRedefine/>
    <w:qFormat/>
    <w:uiPriority w:val="0"/>
    <w:pPr>
      <w:autoSpaceDE/>
      <w:autoSpaceDN/>
      <w:adjustRightInd/>
      <w:ind w:firstLine="540" w:firstLineChars="225"/>
      <w:jc w:val="both"/>
    </w:pPr>
    <w:rPr>
      <w:rFonts w:ascii="Calibri" w:hAnsi="Calibri"/>
      <w:kern w:val="2"/>
      <w:szCs w:val="20"/>
    </w:rPr>
  </w:style>
  <w:style w:type="paragraph" w:customStyle="1" w:styleId="614">
    <w:name w:val="2册标题3"/>
    <w:basedOn w:val="1"/>
    <w:next w:val="1"/>
    <w:autoRedefine/>
    <w:qFormat/>
    <w:uiPriority w:val="0"/>
    <w:pPr>
      <w:autoSpaceDE/>
      <w:autoSpaceDN/>
      <w:adjustRightInd/>
      <w:spacing w:before="156" w:beforeLines="50" w:after="156" w:afterLines="50"/>
      <w:ind w:left="100" w:leftChars="100"/>
      <w:jc w:val="both"/>
      <w:outlineLvl w:val="2"/>
    </w:pPr>
    <w:rPr>
      <w:rFonts w:ascii="楷体_GB2312" w:hAnsi="楷体_GB2312" w:eastAsia="PMingLiU"/>
      <w:kern w:val="2"/>
      <w:sz w:val="28"/>
      <w:szCs w:val="28"/>
    </w:rPr>
  </w:style>
  <w:style w:type="paragraph" w:customStyle="1" w:styleId="615">
    <w:name w:val="样式4"/>
    <w:basedOn w:val="42"/>
    <w:autoRedefine/>
    <w:qFormat/>
    <w:uiPriority w:val="0"/>
    <w:pPr>
      <w:tabs>
        <w:tab w:val="right" w:leader="dot" w:pos="9458"/>
      </w:tabs>
      <w:autoSpaceDE/>
      <w:autoSpaceDN/>
      <w:adjustRightInd/>
    </w:pPr>
    <w:rPr>
      <w:rFonts w:cs="幼圆"/>
      <w:b w:val="0"/>
      <w:kern w:val="2"/>
      <w:sz w:val="21"/>
      <w:szCs w:val="24"/>
    </w:rPr>
  </w:style>
  <w:style w:type="paragraph" w:customStyle="1" w:styleId="616">
    <w:name w:val="xl52"/>
    <w:basedOn w:val="1"/>
    <w:autoRedefine/>
    <w:qFormat/>
    <w:uiPriority w:val="0"/>
    <w:pPr>
      <w:widowControl/>
      <w:pBdr>
        <w:top w:val="single" w:color="auto" w:sz="4" w:space="0"/>
        <w:bottom w:val="single" w:color="auto" w:sz="4" w:space="0"/>
      </w:pBdr>
      <w:autoSpaceDE/>
      <w:autoSpaceDN/>
      <w:adjustRightInd/>
      <w:spacing w:before="100" w:beforeAutospacing="1" w:after="100" w:afterAutospacing="1"/>
      <w:jc w:val="center"/>
    </w:pPr>
    <w:rPr>
      <w:rFonts w:hint="eastAsia" w:hAnsi="等线 Light"/>
    </w:rPr>
  </w:style>
  <w:style w:type="paragraph" w:customStyle="1" w:styleId="617">
    <w:name w:val="标题44"/>
    <w:basedOn w:val="7"/>
    <w:autoRedefine/>
    <w:qFormat/>
    <w:uiPriority w:val="0"/>
    <w:pPr>
      <w:autoSpaceDE/>
      <w:autoSpaceDN/>
      <w:adjustRightInd/>
      <w:spacing w:before="0" w:after="0" w:line="300" w:lineRule="auto"/>
      <w:jc w:val="both"/>
    </w:pPr>
    <w:rPr>
      <w:rFonts w:ascii="幼圆" w:hAnsi="幼圆"/>
      <w:b w:val="0"/>
      <w:kern w:val="2"/>
      <w:sz w:val="24"/>
      <w:szCs w:val="24"/>
    </w:rPr>
  </w:style>
  <w:style w:type="paragraph" w:customStyle="1" w:styleId="618">
    <w:name w:val="xl29"/>
    <w:basedOn w:val="1"/>
    <w:autoRedefine/>
    <w:qFormat/>
    <w:uiPriority w:val="0"/>
    <w:pPr>
      <w:widowControl/>
      <w:pBdr>
        <w:left w:val="single" w:color="auto" w:sz="4" w:space="0"/>
        <w:right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619">
    <w:name w:val="首行缩进"/>
    <w:basedOn w:val="1"/>
    <w:autoRedefine/>
    <w:qFormat/>
    <w:uiPriority w:val="0"/>
    <w:pPr>
      <w:ind w:firstLine="480" w:firstLineChars="200"/>
    </w:pPr>
    <w:rPr>
      <w:lang w:val="zh-CN"/>
    </w:rPr>
  </w:style>
  <w:style w:type="paragraph" w:customStyle="1" w:styleId="620">
    <w:name w:val="xl99"/>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等线 Light" w:cs="等线 Light"/>
    </w:rPr>
  </w:style>
  <w:style w:type="paragraph" w:customStyle="1" w:styleId="621">
    <w:name w:val=" Char Char Char"/>
    <w:basedOn w:val="1"/>
    <w:autoRedefine/>
    <w:qFormat/>
    <w:uiPriority w:val="0"/>
    <w:pPr>
      <w:autoSpaceDE/>
      <w:autoSpaceDN/>
      <w:adjustRightInd/>
      <w:jc w:val="both"/>
    </w:pPr>
    <w:rPr>
      <w:rFonts w:ascii="Calibri" w:hAnsi="Calibri"/>
      <w:kern w:val="2"/>
      <w:szCs w:val="20"/>
    </w:rPr>
  </w:style>
  <w:style w:type="paragraph" w:customStyle="1" w:styleId="622">
    <w:name w:val="font10"/>
    <w:basedOn w:val="1"/>
    <w:autoRedefine/>
    <w:qFormat/>
    <w:uiPriority w:val="0"/>
    <w:pPr>
      <w:widowControl/>
      <w:autoSpaceDE/>
      <w:autoSpaceDN/>
      <w:adjustRightInd/>
      <w:spacing w:before="100" w:beforeAutospacing="1" w:after="100" w:afterAutospacing="1"/>
    </w:pPr>
    <w:rPr>
      <w:rFonts w:ascii="Arial Unicode MS" w:hAnsi="Arial Unicode MS"/>
      <w:sz w:val="20"/>
      <w:szCs w:val="20"/>
    </w:rPr>
  </w:style>
  <w:style w:type="paragraph" w:customStyle="1" w:styleId="623">
    <w:name w:val="6.3.5.4"/>
    <w:basedOn w:val="1"/>
    <w:autoRedefine/>
    <w:qFormat/>
    <w:uiPriority w:val="0"/>
    <w:pPr>
      <w:tabs>
        <w:tab w:val="left" w:pos="360"/>
        <w:tab w:val="left" w:pos="851"/>
      </w:tabs>
      <w:autoSpaceDE/>
      <w:autoSpaceDN/>
      <w:adjustRightInd/>
      <w:spacing w:before="120" w:after="120"/>
      <w:ind w:left="288" w:hanging="288"/>
      <w:jc w:val="both"/>
    </w:pPr>
    <w:rPr>
      <w:rFonts w:ascii="Arial Unicode MS" w:hAnsi="Arial Unicode MS"/>
      <w:kern w:val="2"/>
      <w:szCs w:val="20"/>
    </w:rPr>
  </w:style>
  <w:style w:type="paragraph" w:customStyle="1" w:styleId="624">
    <w:name w:val="样式 SINOPEC-0"/>
    <w:basedOn w:val="1"/>
    <w:autoRedefine/>
    <w:qFormat/>
    <w:uiPriority w:val="0"/>
    <w:pPr>
      <w:autoSpaceDE/>
      <w:autoSpaceDN/>
      <w:adjustRightInd/>
      <w:spacing w:line="360" w:lineRule="auto"/>
      <w:ind w:firstLine="200" w:firstLineChars="200"/>
      <w:jc w:val="both"/>
    </w:pPr>
    <w:rPr>
      <w:rFonts w:ascii="楷体_GB2312" w:hAnsi="楷体_GB2312"/>
      <w:kern w:val="2"/>
      <w:szCs w:val="20"/>
    </w:rPr>
  </w:style>
  <w:style w:type="paragraph" w:customStyle="1" w:styleId="625">
    <w:name w:val="xl27"/>
    <w:basedOn w:val="1"/>
    <w:autoRedefine/>
    <w:qFormat/>
    <w:uiPriority w:val="0"/>
    <w:pPr>
      <w:widowControl/>
      <w:pBdr>
        <w:top w:val="single" w:color="auto" w:sz="4" w:space="0"/>
        <w:left w:val="single" w:color="auto" w:sz="4" w:space="0"/>
      </w:pBdr>
      <w:autoSpaceDE/>
      <w:autoSpaceDN/>
      <w:adjustRightInd/>
      <w:spacing w:before="100" w:beforeAutospacing="1" w:after="100" w:afterAutospacing="1"/>
    </w:pPr>
    <w:rPr>
      <w:rFonts w:hint="eastAsia" w:hAnsi="等线 Light"/>
      <w:sz w:val="20"/>
      <w:szCs w:val="20"/>
    </w:rPr>
  </w:style>
  <w:style w:type="table" w:customStyle="1" w:styleId="626">
    <w:name w:val="网格型2"/>
    <w:basedOn w:val="55"/>
    <w:autoRedefine/>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7">
    <w:name w:val="网格型1"/>
    <w:basedOn w:val="55"/>
    <w:autoRedefine/>
    <w:qFormat/>
    <w:uiPriority w:val="59"/>
    <w:rPr>
      <w:rFonts w:ascii="Arial Unicode MS" w:hAnsi="Arial Unicode MS" w:eastAsia="等线 Light" w:cs="幼圆"/>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28">
    <w:name w:val="正文_0"/>
    <w:autoRedefine/>
    <w:qFormat/>
    <w:uiPriority w:val="0"/>
    <w:pPr>
      <w:adjustRightInd w:val="0"/>
      <w:snapToGrid w:val="0"/>
      <w:spacing w:after="200"/>
    </w:pPr>
    <w:rPr>
      <w:rFonts w:ascii="Tahoma" w:hAnsi="Tahoma" w:eastAsia="宋体" w:cs="Times New Roman"/>
      <w:sz w:val="22"/>
      <w:szCs w:val="22"/>
      <w:lang w:val="en-US" w:eastAsia="zh-CN" w:bidi="ar-SA"/>
    </w:rPr>
  </w:style>
  <w:style w:type="character" w:customStyle="1" w:styleId="629">
    <w:name w:val="cf01"/>
    <w:autoRedefine/>
    <w:qFormat/>
    <w:uiPriority w:val="0"/>
    <w:rPr>
      <w:rFonts w:hint="eastAsia" w:ascii="Microsoft YaHei UI" w:hAnsi="Microsoft YaHei UI" w:eastAsia="Microsoft YaHei UI"/>
      <w:sz w:val="18"/>
      <w:szCs w:val="18"/>
    </w:rPr>
  </w:style>
  <w:style w:type="paragraph" w:customStyle="1" w:styleId="630">
    <w:name w:val="Table Paragraph"/>
    <w:basedOn w:val="1"/>
    <w:autoRedefine/>
    <w:qFormat/>
    <w:uiPriority w:val="1"/>
    <w:pPr>
      <w:autoSpaceDE w:val="0"/>
      <w:autoSpaceDN w:val="0"/>
      <w:ind w:firstLine="0" w:firstLineChars="0"/>
      <w:jc w:val="left"/>
    </w:pPr>
    <w:rPr>
      <w:rFonts w:cs="宋体"/>
      <w:snapToGrid/>
      <w:sz w:val="22"/>
      <w:szCs w:val="22"/>
      <w:lang w:eastAsia="en-US"/>
    </w:rPr>
  </w:style>
  <w:style w:type="paragraph" w:customStyle="1" w:styleId="631">
    <w:name w:val="图表内容格式"/>
    <w:basedOn w:val="1"/>
    <w:autoRedefine/>
    <w:qFormat/>
    <w:uiPriority w:val="0"/>
    <w:pPr>
      <w:ind w:firstLine="0" w:firstLineChars="0"/>
      <w:jc w:val="center"/>
    </w:pPr>
    <w:rPr>
      <w:rFonts w:eastAsia="等线"/>
    </w:rPr>
  </w:style>
  <w:style w:type="paragraph" w:customStyle="1" w:styleId="632">
    <w:name w:val="正文文本缩进 21"/>
    <w:basedOn w:val="1"/>
    <w:autoRedefine/>
    <w:qFormat/>
    <w:uiPriority w:val="0"/>
    <w:pPr>
      <w:adjustRightInd w:val="0"/>
      <w:spacing w:line="480" w:lineRule="auto"/>
      <w:ind w:firstLine="540"/>
      <w:textAlignment w:val="baseline"/>
    </w:pPr>
    <w:rPr>
      <w:rFonts w:ascii="Calibri" w:hAnsi="Calibri" w:eastAsia="宋体" w:cs="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header" Target="header3.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106</Pages>
  <Words>67475</Words>
  <Characters>69852</Characters>
  <Lines>383</Lines>
  <Paragraphs>107</Paragraphs>
  <TotalTime>23</TotalTime>
  <ScaleCrop>false</ScaleCrop>
  <LinksUpToDate>false</LinksUpToDate>
  <CharactersWithSpaces>72722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2021-07-26T01:01:00Z</dcterms:created>
  <dc:creator>采联（燕）</dc:creator>
  <cp:lastModifiedBy>WPS_1528900434</cp:lastModifiedBy>
  <cp:lastPrinted>2021-11-10T02:05:00Z</cp:lastPrinted>
  <dcterms:modified xsi:type="dcterms:W3CDTF">2024-09-20T09:27:41Z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66AE8418C6804C7D977AB979C8C76EDA_13</vt:lpwstr>
  </property>
</Properties>
</file>