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52"/>
          <w:szCs w:val="52"/>
          <w:highlight w:val="none"/>
          <w:lang w:val="zh-CN"/>
        </w:rPr>
      </w:pPr>
    </w:p>
    <w:p>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东莞市利源有机资源再生利用有限公司2024-2025年餐厨垃圾收运服务采购项目（重新招标）</w:t>
      </w:r>
    </w:p>
    <w:p>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44"/>
          <w:szCs w:val="44"/>
          <w:highlight w:val="none"/>
          <w:lang w:val="zh-CN"/>
        </w:rPr>
      </w:pPr>
    </w:p>
    <w:p>
      <w:pPr>
        <w:autoSpaceDE w:val="0"/>
        <w:autoSpaceDN w:val="0"/>
        <w:adjustRightInd w:val="0"/>
        <w:ind w:right="-23" w:rightChars="-11"/>
        <w:jc w:val="left"/>
        <w:rPr>
          <w:rFonts w:hint="eastAsia" w:ascii="宋体" w:hAnsi="宋体" w:eastAsia="宋体" w:cs="宋体"/>
          <w:b/>
          <w:bCs/>
          <w:color w:val="auto"/>
          <w:sz w:val="44"/>
          <w:szCs w:val="44"/>
          <w:highlight w:val="none"/>
          <w:lang w:val="zh-CN"/>
        </w:rPr>
      </w:pPr>
    </w:p>
    <w:p>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p>
    <w:p>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招</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件</w:t>
      </w:r>
    </w:p>
    <w:p>
      <w:pPr>
        <w:autoSpaceDE w:val="0"/>
        <w:autoSpaceDN w:val="0"/>
        <w:adjustRightInd w:val="0"/>
        <w:ind w:right="-23" w:rightChars="-11"/>
        <w:jc w:val="center"/>
        <w:rPr>
          <w:rFonts w:hint="eastAsia" w:ascii="宋体" w:hAnsi="宋体" w:eastAsia="宋体" w:cs="宋体"/>
          <w:b/>
          <w:bCs/>
          <w:color w:val="auto"/>
          <w:sz w:val="32"/>
          <w:szCs w:val="32"/>
          <w:highlight w:val="none"/>
          <w:lang w:val="zh-CN"/>
        </w:rPr>
      </w:pPr>
    </w:p>
    <w:p>
      <w:pPr>
        <w:autoSpaceDE w:val="0"/>
        <w:autoSpaceDN w:val="0"/>
        <w:adjustRightInd w:val="0"/>
        <w:ind w:right="-23" w:rightChars="-11"/>
        <w:jc w:val="center"/>
        <w:rPr>
          <w:rFonts w:hint="eastAsia" w:ascii="宋体" w:hAnsi="宋体" w:eastAsia="宋体" w:cs="宋体"/>
          <w:b/>
          <w:bCs/>
          <w:color w:val="auto"/>
          <w:sz w:val="44"/>
          <w:szCs w:val="44"/>
          <w:highlight w:val="none"/>
          <w:lang w:val="zh-CN"/>
        </w:rPr>
      </w:pPr>
    </w:p>
    <w:p>
      <w:pPr>
        <w:autoSpaceDE w:val="0"/>
        <w:autoSpaceDN w:val="0"/>
        <w:adjustRightInd w:val="0"/>
        <w:ind w:right="-23" w:rightChars="-11"/>
        <w:jc w:val="left"/>
        <w:rPr>
          <w:rFonts w:hint="eastAsia" w:ascii="宋体" w:hAnsi="宋体" w:eastAsia="宋体" w:cs="宋体"/>
          <w:b/>
          <w:bCs/>
          <w:color w:val="auto"/>
          <w:sz w:val="32"/>
          <w:szCs w:val="32"/>
          <w:highlight w:val="none"/>
          <w:u w:val="single"/>
          <w:lang w:val="zh-CN"/>
        </w:rPr>
      </w:pPr>
    </w:p>
    <w:p>
      <w:pPr>
        <w:tabs>
          <w:tab w:val="left" w:pos="9240"/>
        </w:tabs>
        <w:autoSpaceDE w:val="0"/>
        <w:autoSpaceDN w:val="0"/>
        <w:adjustRightInd w:val="0"/>
        <w:spacing w:line="700" w:lineRule="exact"/>
        <w:ind w:right="-23" w:rightChars="-11"/>
        <w:jc w:val="left"/>
        <w:rPr>
          <w:rFonts w:hint="eastAsia" w:ascii="宋体" w:hAnsi="宋体" w:eastAsia="宋体" w:cs="宋体"/>
          <w:b/>
          <w:bCs/>
          <w:color w:val="auto"/>
          <w:sz w:val="32"/>
          <w:szCs w:val="32"/>
          <w:highlight w:val="none"/>
          <w:lang w:val="zh-CN"/>
        </w:rPr>
      </w:pPr>
    </w:p>
    <w:p>
      <w:pPr>
        <w:autoSpaceDE w:val="0"/>
        <w:autoSpaceDN w:val="0"/>
        <w:adjustRightInd w:val="0"/>
        <w:spacing w:line="480" w:lineRule="auto"/>
        <w:ind w:left="1842" w:leftChars="877" w:firstLine="19" w:firstLineChars="6"/>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编</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号：0832-SFCX24DG024C-1</w:t>
      </w:r>
    </w:p>
    <w:p>
      <w:pPr>
        <w:autoSpaceDE w:val="0"/>
        <w:autoSpaceDN w:val="0"/>
        <w:adjustRightInd w:val="0"/>
        <w:spacing w:line="480" w:lineRule="auto"/>
        <w:ind w:left="1842" w:leftChars="877" w:firstLine="19" w:firstLineChars="6"/>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人：东莞市利源有机资源再生利用有限公司</w:t>
      </w:r>
    </w:p>
    <w:p>
      <w:pPr>
        <w:autoSpaceDE w:val="0"/>
        <w:autoSpaceDN w:val="0"/>
        <w:adjustRightInd w:val="0"/>
        <w:spacing w:line="480" w:lineRule="auto"/>
        <w:ind w:left="1842" w:leftChars="877" w:firstLine="19" w:firstLineChars="6"/>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招标代理机构：三方诚信招标有限公司</w:t>
      </w:r>
    </w:p>
    <w:p>
      <w:pPr>
        <w:autoSpaceDE w:val="0"/>
        <w:autoSpaceDN w:val="0"/>
        <w:adjustRightInd w:val="0"/>
        <w:ind w:right="-23" w:rightChars="-11"/>
        <w:jc w:val="left"/>
        <w:rPr>
          <w:rFonts w:hint="eastAsia" w:ascii="宋体" w:hAnsi="宋体" w:eastAsia="宋体" w:cs="宋体"/>
          <w:b/>
          <w:bCs/>
          <w:color w:val="auto"/>
          <w:kern w:val="0"/>
          <w:sz w:val="32"/>
          <w:szCs w:val="32"/>
          <w:highlight w:val="none"/>
          <w:lang w:val="zh-CN"/>
        </w:rPr>
      </w:pPr>
    </w:p>
    <w:p>
      <w:pPr>
        <w:autoSpaceDE w:val="0"/>
        <w:autoSpaceDN w:val="0"/>
        <w:adjustRightInd w:val="0"/>
        <w:ind w:right="-23" w:rightChars="-11"/>
        <w:jc w:val="center"/>
        <w:rPr>
          <w:rFonts w:hint="eastAsia" w:ascii="宋体" w:hAnsi="宋体" w:eastAsia="宋体" w:cs="宋体"/>
          <w:b/>
          <w:bCs/>
          <w:color w:val="auto"/>
          <w:kern w:val="0"/>
          <w:sz w:val="84"/>
          <w:szCs w:val="84"/>
          <w:highlight w:val="none"/>
          <w:lang w:val="zh-CN"/>
        </w:rPr>
      </w:pPr>
    </w:p>
    <w:p>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2024</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5</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21</w:t>
      </w:r>
      <w:r>
        <w:rPr>
          <w:rFonts w:hint="eastAsia" w:ascii="宋体" w:hAnsi="宋体" w:eastAsia="宋体" w:cs="宋体"/>
          <w:b/>
          <w:bCs/>
          <w:color w:val="auto"/>
          <w:sz w:val="32"/>
          <w:szCs w:val="32"/>
          <w:highlight w:val="none"/>
          <w:lang w:val="zh-CN"/>
        </w:rPr>
        <w:t>日</w:t>
      </w:r>
    </w:p>
    <w:p>
      <w:pPr>
        <w:keepNext w:val="0"/>
        <w:keepLines w:val="0"/>
        <w:pageBreakBefore w:val="0"/>
        <w:widowControl w:val="0"/>
        <w:tabs>
          <w:tab w:val="left" w:pos="9923"/>
          <w:tab w:val="left" w:pos="10206"/>
        </w:tabs>
        <w:kinsoku/>
        <w:wordWrap/>
        <w:overflowPunct/>
        <w:topLinePunct w:val="0"/>
        <w:autoSpaceDE w:val="0"/>
        <w:autoSpaceDN w:val="0"/>
        <w:bidi w:val="0"/>
        <w:adjustRightInd w:val="0"/>
        <w:snapToGrid/>
        <w:spacing w:line="360" w:lineRule="auto"/>
        <w:ind w:firstLine="422" w:firstLineChars="200"/>
        <w:jc w:val="center"/>
        <w:textAlignment w:val="auto"/>
        <w:rPr>
          <w:rFonts w:hint="eastAsia" w:ascii="宋体" w:hAnsi="宋体" w:eastAsia="宋体" w:cs="宋体"/>
          <w:b/>
          <w:color w:val="auto"/>
          <w:kern w:val="0"/>
          <w:szCs w:val="21"/>
          <w:highlight w:val="none"/>
        </w:rPr>
      </w:pPr>
      <w:bookmarkStart w:id="0" w:name="_Toc29891_WPSOffice_Type3"/>
      <w:r>
        <w:rPr>
          <w:rFonts w:hint="eastAsia" w:ascii="宋体" w:hAnsi="宋体" w:eastAsia="宋体" w:cs="宋体"/>
          <w:b/>
          <w:color w:val="auto"/>
          <w:kern w:val="0"/>
          <w:szCs w:val="21"/>
          <w:highlight w:val="none"/>
        </w:rPr>
        <w:br w:type="page"/>
      </w:r>
      <w:r>
        <w:rPr>
          <w:rFonts w:hint="eastAsia" w:ascii="宋体" w:hAnsi="宋体" w:eastAsia="宋体" w:cs="宋体"/>
          <w:b/>
          <w:color w:val="auto"/>
          <w:kern w:val="0"/>
          <w:sz w:val="24"/>
          <w:szCs w:val="24"/>
          <w:highlight w:val="none"/>
        </w:rPr>
        <w:t>目</w:t>
      </w:r>
      <w:r>
        <w:rPr>
          <w:rFonts w:hint="eastAsia" w:ascii="宋体" w:hAnsi="宋体" w:eastAsia="宋体" w:cs="宋体"/>
          <w:b/>
          <w:color w:val="auto"/>
          <w:kern w:val="0"/>
          <w:sz w:val="24"/>
          <w:szCs w:val="24"/>
          <w:highlight w:val="none"/>
          <w:lang w:val="en-US" w:eastAsia="zh-CN"/>
        </w:rPr>
        <w:t xml:space="preserve">  </w:t>
      </w:r>
      <w:r>
        <w:rPr>
          <w:rFonts w:hint="eastAsia" w:ascii="宋体" w:hAnsi="宋体" w:eastAsia="宋体" w:cs="宋体"/>
          <w:b/>
          <w:color w:val="auto"/>
          <w:kern w:val="0"/>
          <w:sz w:val="24"/>
          <w:szCs w:val="24"/>
          <w:highlight w:val="none"/>
        </w:rPr>
        <w:t>录</w:t>
      </w:r>
    </w:p>
    <w:p>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TOC \o "1-3" \h \u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_Toc20361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第一篇 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_Toc20361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_Toc10529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第二篇</w:t>
      </w:r>
      <w:r>
        <w:rPr>
          <w:rFonts w:hint="eastAsia"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zh-CN"/>
        </w:rPr>
        <w:t>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_Toc10529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_Toc4110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_Toc4110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_Toc7131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 资金来源：企业自筹资金。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_Toc7131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_Toc9121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_Toc9121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_Toc1018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3 合格的</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_Toc20576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_Toc20576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_Toc25995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二、</w:t>
      </w:r>
      <w:r>
        <w:rPr>
          <w:rFonts w:hint="eastAsia" w:ascii="宋体" w:hAnsi="宋体" w:eastAsia="宋体" w:cs="宋体"/>
          <w:bCs/>
          <w:color w:val="auto"/>
          <w:szCs w:val="21"/>
          <w:highlight w:val="none"/>
          <w:lang w:val="zh-CN"/>
        </w:rPr>
        <w:t>招标</w:t>
      </w:r>
      <w:r>
        <w:rPr>
          <w:rFonts w:hint="eastAsia" w:ascii="宋体" w:hAnsi="宋体" w:eastAsia="宋体" w:cs="宋体"/>
          <w:bCs/>
          <w:color w:val="auto"/>
          <w:kern w:val="44"/>
          <w:szCs w:val="21"/>
          <w:highlight w:val="none"/>
          <w:lang w:val="zh-CN"/>
        </w:rPr>
        <w:t>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_Toc25995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_Toc12003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_Toc12003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_Toc4227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_Toc4227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_Toc27165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_Toc27165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_Toc31630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_Toc31630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_Toc24427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_Toc21110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9</w:t>
      </w:r>
      <w:r>
        <w:rPr>
          <w:rFonts w:hint="eastAsia" w:ascii="宋体" w:hAnsi="宋体" w:eastAsia="宋体" w:cs="宋体"/>
          <w:color w:val="auto"/>
          <w:szCs w:val="24"/>
          <w:highlight w:val="none"/>
          <w:lang w:val="zh-CN"/>
        </w:rPr>
        <w:t xml:space="preserve"> </w:t>
      </w:r>
      <w:r>
        <w:rPr>
          <w:rFonts w:hint="eastAsia" w:ascii="宋体" w:hAnsi="宋体" w:eastAsia="宋体" w:cs="宋体"/>
          <w:color w:val="auto"/>
          <w:szCs w:val="21"/>
          <w:highlight w:val="none"/>
          <w:lang w:val="zh-CN"/>
        </w:rPr>
        <w:t>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_Toc21110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_Toc10212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_Toc10212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_Toc15514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_Toc15514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_Toc7530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_Toc7530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_Toc17487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_Toc17487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_Toc16657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14 证明服务的合格性并符合招标文件规定的声明文件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_Toc16657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_Toc20006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_Toc20006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_Toc21964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_Toc21964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_Toc18270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17 投标文件的式样和签署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_Toc18270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_Toc22919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四、投标文件的递交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_Toc22919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_Toc11550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18 投标文件的密封和标记</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_Toc11550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_Toc6168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19 递交投标文件的截止日期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_Toc6168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_Toc23067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20 迟交的投标文件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_Toc23067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_Toc11949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21 投标文件的修改和撤回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_Toc11949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_Toc14042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_Toc14042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_Toc19352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22 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_Toc19352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_Toc2233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 xml:space="preserve">23 </w:t>
      </w:r>
      <w:r>
        <w:rPr>
          <w:rFonts w:hint="eastAsia" w:ascii="宋体" w:hAnsi="宋体" w:eastAsia="宋体" w:cs="宋体"/>
          <w:color w:val="auto"/>
          <w:kern w:val="0"/>
          <w:szCs w:val="24"/>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_Toc2233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_Toc5558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24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_Toc5558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_Toc15953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25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_Toc15953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_Toc16315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26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_Toc16315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_Toc19454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27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_Toc19454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_Toc12070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28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_Toc12070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_Toc394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_Toc394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_Toc7095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_Toc7095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_Toc19025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_Toc19025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_Toc29585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六、</w:t>
      </w:r>
      <w:r>
        <w:rPr>
          <w:rFonts w:hint="eastAsia" w:ascii="宋体" w:hAnsi="宋体" w:eastAsia="宋体" w:cs="宋体"/>
          <w:bCs/>
          <w:color w:val="auto"/>
          <w:szCs w:val="21"/>
          <w:highlight w:val="none"/>
          <w:lang w:val="zh-CN"/>
        </w:rPr>
        <w:t>授予</w:t>
      </w:r>
      <w:r>
        <w:rPr>
          <w:rFonts w:hint="eastAsia" w:ascii="宋体" w:hAnsi="宋体" w:eastAsia="宋体" w:cs="宋体"/>
          <w:bCs/>
          <w:color w:val="auto"/>
          <w:kern w:val="44"/>
          <w:szCs w:val="21"/>
          <w:highlight w:val="none"/>
          <w:lang w:val="zh-CN"/>
        </w:rPr>
        <w:t>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_Toc29585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_Toc4948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_Toc4948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_Toc29042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33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_Toc29042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_Toc12053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_Toc12053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_Toc32166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_Toc32166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_Toc3383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_Toc3383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_Toc30627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_Toc30627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_Toc3125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_Toc13677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39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_Toc13677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_Toc7594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40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_Toc7594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_Toc12084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第三篇 用户需求书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_Toc12084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_Toc31232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第四篇 合同条款格式</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3</w:t>
      </w:r>
      <w:r>
        <w:rPr>
          <w:rFonts w:hint="eastAsia" w:ascii="宋体" w:hAnsi="宋体" w:eastAsia="宋体" w:cs="宋体"/>
          <w:bCs/>
          <w:color w:val="auto"/>
          <w:szCs w:val="21"/>
          <w:highlight w:val="none"/>
        </w:rPr>
        <w:fldChar w:fldCharType="end"/>
      </w:r>
      <w:r>
        <w:rPr>
          <w:rFonts w:hint="eastAsia" w:ascii="宋体" w:hAnsi="宋体" w:eastAsia="宋体" w:cs="宋体"/>
          <w:bCs/>
          <w:color w:val="auto"/>
          <w:szCs w:val="21"/>
          <w:highlight w:val="none"/>
          <w:lang w:val="en-US" w:eastAsia="zh-CN"/>
        </w:rPr>
        <w:t>5</w:t>
      </w:r>
    </w:p>
    <w:p>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_Toc18054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szCs w:val="32"/>
          <w:highlight w:val="none"/>
          <w:lang w:val="zh-CN"/>
        </w:rPr>
        <w:t>第五篇 相关保函格式</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5</w:t>
      </w:r>
      <w:r>
        <w:rPr>
          <w:rFonts w:hint="eastAsia" w:ascii="宋体" w:hAnsi="宋体" w:eastAsia="宋体" w:cs="宋体"/>
          <w:bCs/>
          <w:color w:val="auto"/>
          <w:szCs w:val="21"/>
          <w:highlight w:val="none"/>
        </w:rPr>
        <w:fldChar w:fldCharType="end"/>
      </w:r>
      <w:r>
        <w:rPr>
          <w:rFonts w:hint="eastAsia" w:ascii="宋体" w:hAnsi="宋体" w:eastAsia="宋体" w:cs="宋体"/>
          <w:bCs/>
          <w:color w:val="auto"/>
          <w:szCs w:val="21"/>
          <w:highlight w:val="none"/>
          <w:lang w:val="en-US" w:eastAsia="zh-CN"/>
        </w:rPr>
        <w:t>7</w:t>
      </w:r>
    </w:p>
    <w:p>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_Toc30700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第六篇 投标文件格式</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6</w:t>
      </w:r>
      <w:r>
        <w:rPr>
          <w:rFonts w:hint="eastAsia" w:ascii="宋体" w:hAnsi="宋体" w:eastAsia="宋体" w:cs="宋体"/>
          <w:bCs/>
          <w:color w:val="auto"/>
          <w:szCs w:val="21"/>
          <w:highlight w:val="none"/>
        </w:rPr>
        <w:fldChar w:fldCharType="end"/>
      </w:r>
      <w:r>
        <w:rPr>
          <w:rFonts w:hint="eastAsia" w:ascii="宋体" w:hAnsi="宋体" w:eastAsia="宋体" w:cs="宋体"/>
          <w:bCs/>
          <w:color w:val="auto"/>
          <w:szCs w:val="21"/>
          <w:highlight w:val="none"/>
          <w:lang w:val="en-US" w:eastAsia="zh-CN"/>
        </w:rPr>
        <w:t>0</w:t>
      </w:r>
    </w:p>
    <w:p>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_Toc30605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附件一：评标工作大纲</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9</w:t>
      </w:r>
      <w:r>
        <w:rPr>
          <w:rFonts w:hint="eastAsia" w:ascii="宋体" w:hAnsi="宋体" w:eastAsia="宋体" w:cs="宋体"/>
          <w:bCs/>
          <w:color w:val="auto"/>
          <w:szCs w:val="21"/>
          <w:highlight w:val="none"/>
        </w:rPr>
        <w:fldChar w:fldCharType="end"/>
      </w:r>
      <w:r>
        <w:rPr>
          <w:rFonts w:hint="eastAsia" w:ascii="宋体" w:hAnsi="宋体" w:eastAsia="宋体" w:cs="宋体"/>
          <w:bCs/>
          <w:color w:val="auto"/>
          <w:szCs w:val="21"/>
          <w:highlight w:val="none"/>
          <w:lang w:val="en-US" w:eastAsia="zh-CN"/>
        </w:rPr>
        <w:t>6</w:t>
      </w:r>
    </w:p>
    <w:p>
      <w:pPr>
        <w:keepNext w:val="0"/>
        <w:keepLines w:val="0"/>
        <w:pageBreakBefore w:val="0"/>
        <w:widowControl w:val="0"/>
        <w:tabs>
          <w:tab w:val="left" w:pos="851"/>
          <w:tab w:val="right" w:leader="dot" w:pos="102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Cs/>
          <w:color w:val="auto"/>
          <w:szCs w:val="21"/>
          <w:highlight w:val="none"/>
        </w:rPr>
        <w:fldChar w:fldCharType="end"/>
      </w:r>
    </w:p>
    <w:bookmarkEnd w:id="0"/>
    <w:p>
      <w:pPr>
        <w:keepNext/>
        <w:keepLines/>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44"/>
          <w:szCs w:val="44"/>
          <w:highlight w:val="none"/>
          <w:lang w:val="zh-CN"/>
        </w:rPr>
      </w:pPr>
      <w:bookmarkStart w:id="1" w:name="_Toc20361"/>
      <w:bookmarkStart w:id="2" w:name="_Toc17326"/>
      <w:bookmarkStart w:id="3" w:name="_Toc2723_WPSOffice_Level1"/>
      <w:bookmarkStart w:id="4" w:name="_Toc20249"/>
      <w:bookmarkStart w:id="5" w:name="_Toc142508310"/>
      <w:bookmarkStart w:id="6" w:name="_Toc9185"/>
      <w:bookmarkStart w:id="7" w:name="_Toc4869"/>
      <w:bookmarkStart w:id="8" w:name="_Toc450662846"/>
      <w:bookmarkStart w:id="9" w:name="_Toc486167660"/>
      <w:r>
        <w:rPr>
          <w:rFonts w:hint="eastAsia" w:ascii="宋体" w:hAnsi="宋体" w:eastAsia="宋体" w:cs="宋体"/>
          <w:b/>
          <w:bCs/>
          <w:color w:val="auto"/>
          <w:kern w:val="44"/>
          <w:sz w:val="32"/>
          <w:szCs w:val="32"/>
          <w:highlight w:val="none"/>
          <w:lang w:val="zh-CN"/>
        </w:rPr>
        <w:t>第一篇 招标公告</w:t>
      </w:r>
      <w:bookmarkEnd w:id="1"/>
      <w:bookmarkEnd w:id="2"/>
      <w:bookmarkEnd w:id="3"/>
      <w:bookmarkEnd w:id="4"/>
      <w:bookmarkEnd w:id="5"/>
      <w:bookmarkEnd w:id="6"/>
      <w:bookmarkEnd w:id="7"/>
      <w:bookmarkEnd w:id="8"/>
      <w:bookmarkEnd w:id="9"/>
    </w:p>
    <w:p>
      <w:pPr>
        <w:autoSpaceDE w:val="0"/>
        <w:autoSpaceDN w:val="0"/>
        <w:adjustRightInd w:val="0"/>
        <w:snapToGrid w:val="0"/>
        <w:spacing w:line="360" w:lineRule="auto"/>
        <w:ind w:right="-34"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lang w:eastAsia="zh-CN"/>
        </w:rPr>
        <w:t>三方诚信招标有限公司</w:t>
      </w:r>
      <w:r>
        <w:rPr>
          <w:rFonts w:hint="eastAsia" w:ascii="宋体" w:hAnsi="宋体" w:eastAsia="宋体" w:cs="宋体"/>
          <w:color w:val="auto"/>
          <w:szCs w:val="21"/>
          <w:highlight w:val="none"/>
          <w:lang w:val="zh-CN"/>
        </w:rPr>
        <w:t>（以下简称“招标代理机构”）受</w:t>
      </w:r>
      <w:r>
        <w:rPr>
          <w:rFonts w:hint="eastAsia" w:ascii="宋体" w:hAnsi="宋体" w:eastAsia="宋体" w:cs="宋体"/>
          <w:color w:val="auto"/>
          <w:kern w:val="0"/>
          <w:szCs w:val="21"/>
          <w:highlight w:val="none"/>
          <w:lang w:eastAsia="zh-CN"/>
        </w:rPr>
        <w:t>东莞市利源有机资源再生利用有限公司</w:t>
      </w:r>
      <w:r>
        <w:rPr>
          <w:rFonts w:hint="eastAsia" w:ascii="宋体" w:hAnsi="宋体" w:eastAsia="宋体" w:cs="宋体"/>
          <w:color w:val="auto"/>
          <w:szCs w:val="21"/>
          <w:highlight w:val="none"/>
          <w:lang w:val="zh-CN"/>
        </w:rPr>
        <w:t>（以下简称“招标人”）的委托，对</w:t>
      </w:r>
      <w:bookmarkStart w:id="10" w:name="_Hlk41903390"/>
      <w:r>
        <w:rPr>
          <w:rFonts w:hint="eastAsia" w:ascii="宋体" w:hAnsi="宋体" w:eastAsia="宋体" w:cs="宋体"/>
          <w:color w:val="auto"/>
          <w:kern w:val="0"/>
          <w:szCs w:val="21"/>
          <w:highlight w:val="none"/>
          <w:lang w:eastAsia="zh-CN"/>
        </w:rPr>
        <w:t>东莞市利源有机资源再生利用有限公司2024-2025年餐厨垃圾收运服务采购项目（重新招标）</w:t>
      </w:r>
      <w:r>
        <w:rPr>
          <w:rFonts w:hint="eastAsia" w:ascii="宋体" w:hAnsi="宋体" w:eastAsia="宋体" w:cs="宋体"/>
          <w:color w:val="auto"/>
          <w:szCs w:val="21"/>
          <w:highlight w:val="none"/>
          <w:lang w:val="zh-CN"/>
        </w:rPr>
        <w:t>(招标编号：0832-SFCX24DG024C-1)</w:t>
      </w:r>
      <w:bookmarkEnd w:id="10"/>
      <w:r>
        <w:rPr>
          <w:rFonts w:hint="eastAsia" w:ascii="宋体" w:hAnsi="宋体" w:eastAsia="宋体" w:cs="宋体"/>
          <w:color w:val="auto"/>
          <w:szCs w:val="21"/>
          <w:highlight w:val="none"/>
          <w:lang w:val="zh-CN"/>
        </w:rPr>
        <w:t>进行国内公开招标，</w:t>
      </w:r>
      <w:r>
        <w:rPr>
          <w:rFonts w:hint="eastAsia" w:ascii="宋体" w:hAnsi="宋体" w:eastAsia="宋体" w:cs="宋体"/>
          <w:bCs/>
          <w:color w:val="auto"/>
          <w:kern w:val="0"/>
          <w:szCs w:val="21"/>
          <w:highlight w:val="none"/>
        </w:rPr>
        <w:t>详情请参见本招标文件。</w:t>
      </w:r>
      <w:r>
        <w:rPr>
          <w:rFonts w:hint="eastAsia" w:ascii="宋体" w:hAnsi="宋体" w:eastAsia="宋体" w:cs="宋体"/>
          <w:color w:val="auto"/>
          <w:kern w:val="0"/>
          <w:szCs w:val="21"/>
          <w:highlight w:val="none"/>
        </w:rPr>
        <w:t>欢迎符合条件的合格投标人参加投标，</w:t>
      </w:r>
      <w:r>
        <w:rPr>
          <w:rFonts w:hint="eastAsia" w:ascii="宋体" w:hAnsi="宋体" w:eastAsia="宋体" w:cs="宋体"/>
          <w:bCs/>
          <w:color w:val="auto"/>
          <w:kern w:val="0"/>
          <w:szCs w:val="21"/>
          <w:highlight w:val="none"/>
        </w:rPr>
        <w:t>有关事项如下：</w:t>
      </w:r>
    </w:p>
    <w:p>
      <w:pPr>
        <w:autoSpaceDE w:val="0"/>
        <w:autoSpaceDN w:val="0"/>
        <w:adjustRightInd w:val="0"/>
        <w:spacing w:line="360" w:lineRule="auto"/>
        <w:ind w:right="-29" w:rightChars="-14" w:firstLine="420" w:firstLineChars="200"/>
        <w:rPr>
          <w:rFonts w:hint="eastAsia" w:ascii="宋体" w:hAnsi="宋体" w:eastAsia="宋体" w:cs="宋体"/>
          <w:color w:val="auto"/>
          <w:szCs w:val="21"/>
          <w:highlight w:val="none"/>
          <w:lang w:val="zh-CN"/>
        </w:rPr>
      </w:pPr>
    </w:p>
    <w:p>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招标范围：</w:t>
      </w:r>
      <w:r>
        <w:rPr>
          <w:rFonts w:hint="eastAsia" w:ascii="宋体" w:hAnsi="宋体" w:eastAsia="宋体" w:cs="宋体"/>
          <w:color w:val="auto"/>
          <w:kern w:val="0"/>
          <w:szCs w:val="21"/>
          <w:highlight w:val="none"/>
          <w:lang w:eastAsia="zh-CN"/>
        </w:rPr>
        <w:t>东莞市利源有机资源再生利用有限公司2024-2025年餐厨垃圾收运服务，</w:t>
      </w:r>
      <w:r>
        <w:rPr>
          <w:rFonts w:hint="eastAsia" w:ascii="宋体" w:hAnsi="宋体" w:eastAsia="宋体" w:cs="宋体"/>
          <w:color w:val="auto"/>
          <w:szCs w:val="21"/>
          <w:highlight w:val="none"/>
          <w:u w:val="none"/>
          <w:lang w:eastAsia="zh-CN"/>
        </w:rPr>
        <w:t>包括餐厨垃圾收运服务及</w:t>
      </w:r>
      <w:r>
        <w:rPr>
          <w:rFonts w:hint="eastAsia" w:ascii="宋体" w:hAnsi="宋体" w:eastAsia="宋体" w:cs="宋体"/>
          <w:color w:val="auto"/>
          <w:sz w:val="21"/>
          <w:szCs w:val="21"/>
          <w:highlight w:val="none"/>
          <w:lang w:val="en-US" w:eastAsia="zh-CN"/>
        </w:rPr>
        <w:t>餐厨垃圾</w:t>
      </w:r>
      <w:r>
        <w:rPr>
          <w:rFonts w:hint="default" w:ascii="宋体" w:hAnsi="宋体" w:eastAsia="宋体" w:cs="宋体"/>
          <w:color w:val="auto"/>
          <w:sz w:val="21"/>
          <w:szCs w:val="21"/>
          <w:highlight w:val="none"/>
          <w:lang w:val="en-US" w:eastAsia="zh-CN"/>
        </w:rPr>
        <w:t>预处理车间分拣</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Cs w:val="21"/>
          <w:highlight w:val="none"/>
          <w:u w:val="none"/>
          <w:lang w:eastAsia="zh-CN"/>
        </w:rPr>
        <w:t>生活垃圾收运服务</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部分镇街自行运送餐厨垃圾至招标人处处置的不在招标范围，</w:t>
      </w:r>
      <w:r>
        <w:rPr>
          <w:rFonts w:hint="eastAsia" w:ascii="宋体" w:hAnsi="宋体" w:eastAsia="宋体" w:cs="宋体"/>
          <w:color w:val="auto"/>
          <w:szCs w:val="21"/>
          <w:highlight w:val="none"/>
          <w:lang w:val="zh-CN"/>
        </w:rPr>
        <w:t>具体内容详见：第三篇用户需求书）。</w:t>
      </w:r>
    </w:p>
    <w:p>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p>
    <w:p>
      <w:pPr>
        <w:numPr>
          <w:ilvl w:val="0"/>
          <w:numId w:val="1"/>
        </w:numPr>
        <w:autoSpaceDE w:val="0"/>
        <w:autoSpaceDN w:val="0"/>
        <w:adjustRightInd w:val="0"/>
        <w:snapToGrid w:val="0"/>
        <w:spacing w:line="360" w:lineRule="auto"/>
        <w:ind w:right="-34"/>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合格投标人资格要求：</w:t>
      </w:r>
    </w:p>
    <w:p>
      <w:pPr>
        <w:pStyle w:val="161"/>
        <w:spacing w:line="360" w:lineRule="auto"/>
        <w:ind w:right="-29" w:rightChars="-14" w:firstLine="0" w:firstLineChars="0"/>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2.1 在中华人民共和国境内登记注册、合法存续、正常经营且具有独立承担民事责任能力的法人或其他组织；</w:t>
      </w:r>
    </w:p>
    <w:p>
      <w:pPr>
        <w:pStyle w:val="161"/>
        <w:spacing w:line="360" w:lineRule="auto"/>
        <w:ind w:right="-29" w:rightChars="-14" w:firstLine="0" w:firstLineChars="0"/>
        <w:jc w:val="both"/>
        <w:rPr>
          <w:rFonts w:hint="eastAsia" w:ascii="宋体" w:hAnsi="宋体" w:eastAsia="宋体" w:cs="宋体"/>
          <w:b/>
          <w:color w:val="auto"/>
          <w:sz w:val="21"/>
          <w:szCs w:val="21"/>
          <w:highlight w:val="none"/>
          <w:lang w:val="en-US" w:eastAsia="zh-CN"/>
        </w:rPr>
      </w:pPr>
      <w:bookmarkStart w:id="11" w:name="_Toc25819"/>
      <w:r>
        <w:rPr>
          <w:rFonts w:hint="eastAsia" w:ascii="宋体" w:hAnsi="宋体" w:eastAsia="宋体" w:cs="宋体"/>
          <w:b/>
          <w:bCs w:val="0"/>
          <w:color w:val="auto"/>
          <w:sz w:val="21"/>
          <w:szCs w:val="21"/>
          <w:highlight w:val="none"/>
          <w:lang w:val="zh-CN"/>
        </w:rPr>
        <w:t>2.2 投标人</w:t>
      </w:r>
      <w:r>
        <w:rPr>
          <w:rFonts w:hint="eastAsia" w:ascii="宋体" w:hAnsi="宋体" w:eastAsia="宋体" w:cs="宋体"/>
          <w:b/>
          <w:bCs w:val="0"/>
          <w:color w:val="auto"/>
          <w:sz w:val="21"/>
          <w:szCs w:val="21"/>
          <w:highlight w:val="none"/>
          <w:lang w:val="en-US" w:eastAsia="zh-CN"/>
        </w:rPr>
        <w:t>2021</w:t>
      </w:r>
      <w:r>
        <w:rPr>
          <w:rFonts w:hint="eastAsia" w:ascii="宋体" w:hAnsi="宋体" w:eastAsia="宋体" w:cs="宋体"/>
          <w:b/>
          <w:bCs w:val="0"/>
          <w:color w:val="auto"/>
          <w:sz w:val="21"/>
          <w:szCs w:val="21"/>
          <w:highlight w:val="none"/>
          <w:lang w:val="zh-CN"/>
        </w:rPr>
        <w:t>年</w:t>
      </w:r>
      <w:r>
        <w:rPr>
          <w:rFonts w:hint="eastAsia" w:ascii="宋体" w:hAnsi="宋体" w:eastAsia="宋体" w:cs="宋体"/>
          <w:b/>
          <w:bCs w:val="0"/>
          <w:color w:val="auto"/>
          <w:sz w:val="21"/>
          <w:szCs w:val="21"/>
          <w:highlight w:val="none"/>
          <w:lang w:val="en-US" w:eastAsia="zh-CN"/>
        </w:rPr>
        <w:t>1</w:t>
      </w:r>
      <w:r>
        <w:rPr>
          <w:rFonts w:hint="eastAsia" w:ascii="宋体" w:hAnsi="宋体" w:eastAsia="宋体" w:cs="宋体"/>
          <w:b/>
          <w:bCs w:val="0"/>
          <w:color w:val="auto"/>
          <w:sz w:val="21"/>
          <w:szCs w:val="21"/>
          <w:highlight w:val="none"/>
          <w:lang w:val="zh-CN"/>
        </w:rPr>
        <w:t>月</w:t>
      </w:r>
      <w:r>
        <w:rPr>
          <w:rFonts w:hint="eastAsia" w:ascii="宋体" w:hAnsi="宋体" w:eastAsia="宋体" w:cs="宋体"/>
          <w:b/>
          <w:bCs w:val="0"/>
          <w:color w:val="auto"/>
          <w:sz w:val="21"/>
          <w:szCs w:val="21"/>
          <w:highlight w:val="none"/>
          <w:lang w:val="en-US" w:eastAsia="zh-CN"/>
        </w:rPr>
        <w:t>1</w:t>
      </w:r>
      <w:r>
        <w:rPr>
          <w:rFonts w:hint="eastAsia" w:ascii="宋体" w:hAnsi="宋体" w:eastAsia="宋体" w:cs="宋体"/>
          <w:b/>
          <w:bCs w:val="0"/>
          <w:color w:val="auto"/>
          <w:sz w:val="21"/>
          <w:szCs w:val="21"/>
          <w:highlight w:val="none"/>
          <w:lang w:val="zh-CN"/>
        </w:rPr>
        <w:t>日以来具有一份餐厨废弃物或生活垃圾收运服务业绩（合同签订日期为</w:t>
      </w:r>
      <w:r>
        <w:rPr>
          <w:rFonts w:hint="eastAsia" w:ascii="宋体" w:hAnsi="宋体" w:eastAsia="宋体" w:cs="宋体"/>
          <w:b/>
          <w:bCs w:val="0"/>
          <w:color w:val="auto"/>
          <w:sz w:val="21"/>
          <w:szCs w:val="21"/>
          <w:highlight w:val="none"/>
          <w:lang w:val="en-US" w:eastAsia="zh-CN"/>
        </w:rPr>
        <w:t>2021</w:t>
      </w:r>
      <w:r>
        <w:rPr>
          <w:rFonts w:hint="eastAsia" w:ascii="宋体" w:hAnsi="宋体" w:eastAsia="宋体" w:cs="宋体"/>
          <w:b/>
          <w:bCs w:val="0"/>
          <w:color w:val="auto"/>
          <w:sz w:val="21"/>
          <w:szCs w:val="21"/>
          <w:highlight w:val="none"/>
          <w:lang w:val="zh-CN"/>
        </w:rPr>
        <w:t>年</w:t>
      </w:r>
      <w:r>
        <w:rPr>
          <w:rFonts w:hint="eastAsia" w:ascii="宋体" w:hAnsi="宋体" w:eastAsia="宋体" w:cs="宋体"/>
          <w:b/>
          <w:bCs w:val="0"/>
          <w:color w:val="auto"/>
          <w:sz w:val="21"/>
          <w:szCs w:val="21"/>
          <w:highlight w:val="none"/>
          <w:lang w:val="en-US" w:eastAsia="zh-CN"/>
        </w:rPr>
        <w:t>1</w:t>
      </w:r>
      <w:r>
        <w:rPr>
          <w:rFonts w:hint="eastAsia" w:ascii="宋体" w:hAnsi="宋体" w:eastAsia="宋体" w:cs="宋体"/>
          <w:b/>
          <w:bCs w:val="0"/>
          <w:color w:val="auto"/>
          <w:sz w:val="21"/>
          <w:szCs w:val="21"/>
          <w:highlight w:val="none"/>
          <w:lang w:val="zh-CN"/>
        </w:rPr>
        <w:t>月</w:t>
      </w:r>
      <w:r>
        <w:rPr>
          <w:rFonts w:hint="eastAsia" w:ascii="宋体" w:hAnsi="宋体" w:eastAsia="宋体" w:cs="宋体"/>
          <w:b/>
          <w:bCs w:val="0"/>
          <w:color w:val="auto"/>
          <w:sz w:val="21"/>
          <w:szCs w:val="21"/>
          <w:highlight w:val="none"/>
          <w:lang w:val="en-US" w:eastAsia="zh-CN"/>
        </w:rPr>
        <w:t>1</w:t>
      </w:r>
      <w:r>
        <w:rPr>
          <w:rFonts w:hint="eastAsia" w:ascii="宋体" w:hAnsi="宋体" w:eastAsia="宋体" w:cs="宋体"/>
          <w:b/>
          <w:bCs w:val="0"/>
          <w:color w:val="auto"/>
          <w:sz w:val="21"/>
          <w:szCs w:val="21"/>
          <w:highlight w:val="none"/>
          <w:lang w:val="zh-CN"/>
        </w:rPr>
        <w:t>日或以后）；</w:t>
      </w:r>
    </w:p>
    <w:p>
      <w:pPr>
        <w:pStyle w:val="161"/>
        <w:spacing w:line="360" w:lineRule="auto"/>
        <w:ind w:right="-29" w:rightChars="-14" w:firstLine="0" w:firstLineChars="0"/>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 xml:space="preserve">2.3 </w:t>
      </w:r>
      <w:r>
        <w:rPr>
          <w:rFonts w:hint="eastAsia" w:ascii="宋体" w:hAnsi="宋体" w:eastAsia="宋体" w:cs="宋体"/>
          <w:b/>
          <w:color w:val="auto"/>
          <w:sz w:val="21"/>
          <w:szCs w:val="21"/>
          <w:highlight w:val="none"/>
          <w:lang w:val="zh-CN"/>
        </w:rPr>
        <w:t>本项目不接受联合体投标。</w:t>
      </w:r>
      <w:bookmarkEnd w:id="11"/>
    </w:p>
    <w:p>
      <w:pPr>
        <w:autoSpaceDE w:val="0"/>
        <w:autoSpaceDN w:val="0"/>
        <w:adjustRightInd w:val="0"/>
        <w:spacing w:line="360" w:lineRule="auto"/>
        <w:ind w:right="-29" w:rightChars="-14" w:firstLine="420" w:firstLineChars="200"/>
        <w:rPr>
          <w:rFonts w:hint="eastAsia" w:ascii="宋体" w:hAnsi="宋体" w:eastAsia="宋体" w:cs="宋体"/>
          <w:color w:val="auto"/>
          <w:szCs w:val="21"/>
          <w:highlight w:val="none"/>
          <w:lang w:val="zh-CN"/>
        </w:rPr>
      </w:pPr>
    </w:p>
    <w:p>
      <w:pPr>
        <w:pStyle w:val="179"/>
        <w:numPr>
          <w:ilvl w:val="0"/>
          <w:numId w:val="1"/>
        </w:numPr>
        <w:spacing w:line="360" w:lineRule="auto"/>
        <w:ind w:left="426" w:right="-34" w:hanging="426" w:firstLineChars="0"/>
        <w:jc w:val="both"/>
        <w:rPr>
          <w:rFonts w:hint="eastAsia" w:ascii="宋体" w:hAnsi="宋体" w:eastAsia="宋体" w:cs="宋体"/>
          <w:color w:val="auto"/>
          <w:sz w:val="21"/>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下载招标文件【本招标公告第7点媒介发布招标文件不一致时,以东莞市水务集团有限公司网(www,dgswjt.cn)发布的招标文件为准】。</w:t>
      </w:r>
    </w:p>
    <w:p>
      <w:pPr>
        <w:autoSpaceDE w:val="0"/>
        <w:autoSpaceDN w:val="0"/>
        <w:adjustRightInd w:val="0"/>
        <w:spacing w:line="360" w:lineRule="auto"/>
        <w:ind w:left="0" w:leftChars="0" w:right="-29" w:rightChars="-14" w:firstLine="420" w:firstLineChars="200"/>
        <w:rPr>
          <w:rFonts w:hint="eastAsia" w:ascii="宋体" w:hAnsi="宋体" w:eastAsia="宋体" w:cs="宋体"/>
          <w:color w:val="auto"/>
          <w:szCs w:val="21"/>
          <w:highlight w:val="none"/>
          <w:lang w:val="zh-CN"/>
        </w:rPr>
      </w:pPr>
    </w:p>
    <w:p>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color w:val="auto"/>
          <w:szCs w:val="21"/>
          <w:highlight w:val="none"/>
          <w:lang w:val="en-US" w:eastAsia="zh-CN"/>
        </w:rPr>
        <w:t>政府采购</w:t>
      </w:r>
      <w:r>
        <w:rPr>
          <w:rFonts w:hint="eastAsia" w:ascii="宋体" w:hAnsi="宋体" w:eastAsia="宋体" w:cs="宋体"/>
          <w:color w:val="auto"/>
          <w:szCs w:val="21"/>
          <w:highlight w:val="none"/>
          <w:lang w:val="zh-CN"/>
        </w:rPr>
        <w:t>严重违法失信行为记录名单的投标人，做好相关记录（处罚期限届满的除外）。</w:t>
      </w:r>
    </w:p>
    <w:p>
      <w:pPr>
        <w:autoSpaceDE w:val="0"/>
        <w:autoSpaceDN w:val="0"/>
        <w:adjustRightInd w:val="0"/>
        <w:spacing w:line="360" w:lineRule="auto"/>
        <w:ind w:right="-29" w:rightChars="-14" w:firstLine="420"/>
        <w:rPr>
          <w:rFonts w:hint="eastAsia" w:ascii="宋体" w:hAnsi="宋体" w:eastAsia="宋体" w:cs="宋体"/>
          <w:color w:val="auto"/>
          <w:szCs w:val="21"/>
          <w:highlight w:val="none"/>
          <w:lang w:val="zh-CN"/>
        </w:rPr>
      </w:pPr>
    </w:p>
    <w:p>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投标、开标时间及地点：</w:t>
      </w:r>
    </w:p>
    <w:p>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 投标文件递交时间：</w:t>
      </w:r>
      <w:r>
        <w:rPr>
          <w:rFonts w:hint="eastAsia" w:ascii="宋体" w:hAnsi="宋体" w:eastAsia="宋体" w:cs="宋体"/>
          <w:color w:val="auto"/>
          <w:szCs w:val="21"/>
          <w:highlight w:val="none"/>
          <w:u w:val="single"/>
          <w:lang w:val="en-US" w:eastAsia="zh-CN"/>
        </w:rPr>
        <w:t>2024</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en-US" w:eastAsia="zh-CN"/>
        </w:rPr>
        <w:t>6</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11</w:t>
      </w:r>
      <w:r>
        <w:rPr>
          <w:rFonts w:hint="eastAsia" w:ascii="宋体" w:hAnsi="宋体" w:eastAsia="宋体" w:cs="宋体"/>
          <w:bCs/>
          <w:color w:val="auto"/>
          <w:kern w:val="0"/>
          <w:szCs w:val="21"/>
          <w:highlight w:val="none"/>
        </w:rPr>
        <w:t>日</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宋体"/>
          <w:bCs/>
          <w:color w:val="auto"/>
          <w:kern w:val="0"/>
          <w:szCs w:val="21"/>
          <w:highlight w:val="none"/>
        </w:rPr>
        <w:t>；</w:t>
      </w:r>
    </w:p>
    <w:p>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5.2 投标截止及开标时间：</w:t>
      </w:r>
      <w:r>
        <w:rPr>
          <w:rFonts w:hint="eastAsia" w:ascii="宋体" w:hAnsi="宋体" w:eastAsia="宋体" w:cs="宋体"/>
          <w:color w:val="auto"/>
          <w:szCs w:val="21"/>
          <w:highlight w:val="none"/>
          <w:u w:val="single"/>
          <w:lang w:val="en-US" w:eastAsia="zh-CN"/>
        </w:rPr>
        <w:t>2024</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en-US" w:eastAsia="zh-CN"/>
        </w:rPr>
        <w:t>6</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11</w:t>
      </w:r>
      <w:r>
        <w:rPr>
          <w:rFonts w:hint="eastAsia" w:ascii="宋体" w:hAnsi="宋体" w:eastAsia="宋体" w:cs="宋体"/>
          <w:bCs/>
          <w:color w:val="auto"/>
          <w:kern w:val="0"/>
          <w:szCs w:val="21"/>
          <w:highlight w:val="none"/>
        </w:rPr>
        <w:t>日</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宋体"/>
          <w:bCs/>
          <w:color w:val="auto"/>
          <w:kern w:val="0"/>
          <w:szCs w:val="21"/>
          <w:highlight w:val="none"/>
        </w:rPr>
        <w:t>；</w:t>
      </w:r>
    </w:p>
    <w:p>
      <w:pPr>
        <w:autoSpaceDE w:val="0"/>
        <w:autoSpaceDN w:val="0"/>
        <w:adjustRightInd w:val="0"/>
        <w:spacing w:line="360" w:lineRule="auto"/>
        <w:ind w:right="-29" w:rightChars="-14"/>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5.3 投标及开标地点：</w:t>
      </w:r>
      <w:r>
        <w:rPr>
          <w:rFonts w:hint="eastAsia" w:ascii="宋体" w:hAnsi="宋体" w:eastAsia="宋体" w:cs="宋体"/>
          <w:color w:val="auto"/>
          <w:kern w:val="0"/>
          <w:szCs w:val="21"/>
          <w:highlight w:val="none"/>
          <w:u w:val="none"/>
        </w:rPr>
        <w:t>东莞市南城街道鸿福西路81号国际商会大厦</w:t>
      </w:r>
      <w:r>
        <w:rPr>
          <w:rFonts w:hint="eastAsia" w:ascii="宋体" w:hAnsi="宋体" w:eastAsia="宋体" w:cs="宋体"/>
          <w:color w:val="auto"/>
          <w:kern w:val="0"/>
          <w:szCs w:val="21"/>
          <w:highlight w:val="none"/>
          <w:u w:val="none"/>
          <w:lang w:val="en-US" w:eastAsia="zh-CN"/>
        </w:rPr>
        <w:t>601</w:t>
      </w:r>
      <w:r>
        <w:rPr>
          <w:rFonts w:hint="eastAsia" w:ascii="宋体" w:hAnsi="宋体" w:eastAsia="宋体" w:cs="宋体"/>
          <w:color w:val="auto"/>
          <w:kern w:val="0"/>
          <w:szCs w:val="21"/>
          <w:highlight w:val="none"/>
          <w:u w:val="none"/>
        </w:rPr>
        <w:t>室</w:t>
      </w:r>
      <w:r>
        <w:rPr>
          <w:rFonts w:hint="eastAsia" w:ascii="宋体" w:hAnsi="宋体" w:eastAsia="宋体" w:cs="宋体"/>
          <w:color w:val="auto"/>
          <w:kern w:val="0"/>
          <w:szCs w:val="21"/>
          <w:highlight w:val="none"/>
        </w:rPr>
        <w:t>。</w:t>
      </w:r>
    </w:p>
    <w:p>
      <w:pPr>
        <w:autoSpaceDE w:val="0"/>
        <w:autoSpaceDN w:val="0"/>
        <w:adjustRightInd w:val="0"/>
        <w:spacing w:line="360" w:lineRule="auto"/>
        <w:ind w:right="-29" w:rightChars="-14" w:firstLine="210" w:firstLineChars="100"/>
        <w:rPr>
          <w:rFonts w:hint="eastAsia" w:ascii="宋体" w:hAnsi="宋体" w:eastAsia="宋体" w:cs="宋体"/>
          <w:color w:val="auto"/>
          <w:kern w:val="0"/>
          <w:szCs w:val="21"/>
          <w:highlight w:val="none"/>
        </w:rPr>
      </w:pPr>
    </w:p>
    <w:p>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宋体"/>
          <w:color w:val="auto"/>
          <w:szCs w:val="21"/>
          <w:highlight w:val="none"/>
          <w:lang w:val="zh-CN"/>
        </w:rPr>
        <w:t>。电报、传真形式的投标概不接受。</w:t>
      </w:r>
    </w:p>
    <w:p>
      <w:pPr>
        <w:autoSpaceDE w:val="0"/>
        <w:autoSpaceDN w:val="0"/>
        <w:adjustRightInd w:val="0"/>
        <w:spacing w:line="360" w:lineRule="auto"/>
        <w:ind w:left="210" w:leftChars="100" w:right="-29" w:rightChars="-14"/>
        <w:rPr>
          <w:rFonts w:hint="eastAsia" w:ascii="宋体" w:hAnsi="宋体" w:eastAsia="宋体" w:cs="宋体"/>
          <w:color w:val="auto"/>
          <w:szCs w:val="21"/>
          <w:highlight w:val="none"/>
          <w:lang w:val="zh-CN"/>
        </w:rPr>
      </w:pPr>
    </w:p>
    <w:p>
      <w:pPr>
        <w:numPr>
          <w:ilvl w:val="0"/>
          <w:numId w:val="1"/>
        </w:numPr>
        <w:autoSpaceDE w:val="0"/>
        <w:autoSpaceDN w:val="0"/>
        <w:adjustRightInd w:val="0"/>
        <w:snapToGrid w:val="0"/>
        <w:spacing w:line="360" w:lineRule="auto"/>
        <w:ind w:right="-34"/>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本项目相关公告在以下媒介发布：</w:t>
      </w:r>
      <w:r>
        <w:rPr>
          <w:rFonts w:hint="eastAsia" w:ascii="宋体" w:hAnsi="宋体" w:eastAsia="宋体" w:cs="宋体"/>
          <w:bCs/>
          <w:color w:val="auto"/>
          <w:szCs w:val="21"/>
          <w:highlight w:val="none"/>
          <w:lang w:eastAsia="zh-CN"/>
        </w:rPr>
        <w:t>广东省公共资源交易平台（ygp.gdzwfw.gov.cn）、</w:t>
      </w:r>
      <w:r>
        <w:rPr>
          <w:rFonts w:hint="eastAsia" w:ascii="宋体" w:hAnsi="宋体" w:eastAsia="宋体" w:cs="宋体"/>
          <w:bCs/>
          <w:color w:val="auto"/>
          <w:szCs w:val="21"/>
          <w:highlight w:val="none"/>
        </w:rPr>
        <w:t>中国招标投标公共服务平台（www.cebpubservice.com）、东莞市水务集团有限公司网（www.dgswjt.cn）、招标代理</w:t>
      </w:r>
      <w:r>
        <w:rPr>
          <w:rFonts w:hint="eastAsia" w:ascii="宋体" w:hAnsi="宋体" w:eastAsia="宋体" w:cs="宋体"/>
          <w:bCs/>
          <w:color w:val="auto"/>
          <w:szCs w:val="21"/>
          <w:highlight w:val="none"/>
          <w:lang w:val="en-US" w:eastAsia="zh-CN"/>
        </w:rPr>
        <w:t>机构</w:t>
      </w:r>
      <w:r>
        <w:rPr>
          <w:rFonts w:hint="eastAsia" w:ascii="宋体" w:hAnsi="宋体" w:eastAsia="宋体" w:cs="宋体"/>
          <w:bCs/>
          <w:color w:val="auto"/>
          <w:szCs w:val="21"/>
          <w:highlight w:val="none"/>
        </w:rPr>
        <w:t>网站（www.sfcx.cn）</w:t>
      </w:r>
      <w:r>
        <w:rPr>
          <w:rFonts w:hint="eastAsia" w:ascii="宋体" w:hAnsi="宋体" w:eastAsia="宋体" w:cs="宋体"/>
          <w:color w:val="auto"/>
          <w:szCs w:val="21"/>
          <w:highlight w:val="none"/>
          <w:lang w:val="zh-CN"/>
        </w:rPr>
        <w:t>。</w:t>
      </w:r>
    </w:p>
    <w:p>
      <w:pPr>
        <w:numPr>
          <w:ilvl w:val="0"/>
          <w:numId w:val="0"/>
        </w:numPr>
        <w:autoSpaceDE w:val="0"/>
        <w:autoSpaceDN w:val="0"/>
        <w:adjustRightInd w:val="0"/>
        <w:snapToGrid w:val="0"/>
        <w:spacing w:line="360" w:lineRule="auto"/>
        <w:ind w:leftChars="0" w:right="-34" w:rightChars="0"/>
        <w:jc w:val="left"/>
        <w:rPr>
          <w:rFonts w:hint="eastAsia" w:ascii="宋体" w:hAnsi="宋体" w:eastAsia="宋体" w:cs="宋体"/>
          <w:bCs/>
          <w:color w:val="auto"/>
          <w:szCs w:val="21"/>
          <w:highlight w:val="none"/>
        </w:rPr>
      </w:pPr>
    </w:p>
    <w:p>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招标人联系方式</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招标人：</w:t>
      </w:r>
      <w:r>
        <w:rPr>
          <w:rFonts w:hint="eastAsia" w:ascii="宋体" w:hAnsi="宋体" w:eastAsia="宋体" w:cs="宋体"/>
          <w:color w:val="auto"/>
          <w:kern w:val="0"/>
          <w:szCs w:val="21"/>
          <w:highlight w:val="none"/>
          <w:lang w:eastAsia="zh-CN"/>
        </w:rPr>
        <w:t>东莞市利源有机资源再生利用有限公司</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址：东莞市南城街道滨河路100号二期（东莞市水务集团净水有限公司）新大门内3号楼3楼</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马卓越</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话：0769-22621996</w:t>
      </w:r>
    </w:p>
    <w:p>
      <w:pPr>
        <w:autoSpaceDE w:val="0"/>
        <w:autoSpaceDN w:val="0"/>
        <w:adjustRightInd w:val="0"/>
        <w:spacing w:line="360" w:lineRule="auto"/>
        <w:ind w:right="-29" w:rightChars="-14" w:firstLine="420"/>
        <w:rPr>
          <w:rFonts w:hint="eastAsia" w:ascii="宋体" w:hAnsi="宋体" w:eastAsia="宋体" w:cs="宋体"/>
          <w:color w:val="auto"/>
          <w:kern w:val="0"/>
          <w:szCs w:val="21"/>
          <w:highlight w:val="none"/>
        </w:rPr>
      </w:pPr>
    </w:p>
    <w:p>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招标代理机构联系方式</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eastAsia="zh-CN"/>
        </w:rPr>
      </w:pPr>
      <w:bookmarkStart w:id="12" w:name="_Toc450662847"/>
      <w:bookmarkStart w:id="13" w:name="_Toc31764_WPSOffice_Level1"/>
      <w:bookmarkStart w:id="14" w:name="_Toc486167661"/>
      <w:r>
        <w:rPr>
          <w:rFonts w:hint="eastAsia" w:ascii="宋体" w:hAnsi="宋体" w:eastAsia="宋体" w:cs="宋体"/>
          <w:color w:val="auto"/>
          <w:kern w:val="0"/>
          <w:szCs w:val="21"/>
          <w:highlight w:val="none"/>
        </w:rPr>
        <w:t>招标代理机构：</w:t>
      </w:r>
      <w:r>
        <w:rPr>
          <w:rFonts w:hint="eastAsia" w:ascii="宋体" w:hAnsi="宋体" w:eastAsia="宋体" w:cs="宋体"/>
          <w:color w:val="auto"/>
          <w:kern w:val="0"/>
          <w:szCs w:val="21"/>
          <w:highlight w:val="none"/>
          <w:lang w:eastAsia="zh-CN"/>
        </w:rPr>
        <w:t>三方诚信招标有限公司</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址：东莞市南城街道鸿福西路81号国际商会大厦706室</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eastAsia="zh-CN"/>
        </w:rPr>
        <w:t>王佳涛</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话：0769-21682660</w:t>
      </w:r>
    </w:p>
    <w:p>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rPr>
      </w:pPr>
      <w:bookmarkStart w:id="15" w:name="_Toc15111"/>
      <w:bookmarkStart w:id="16" w:name="_Toc142508311"/>
      <w:bookmarkStart w:id="17" w:name="_Toc31498"/>
      <w:bookmarkStart w:id="18" w:name="_Toc10529"/>
      <w:bookmarkStart w:id="19" w:name="_Toc18212"/>
      <w:bookmarkStart w:id="20" w:name="_Toc1931"/>
      <w:r>
        <w:rPr>
          <w:rFonts w:hint="eastAsia" w:ascii="宋体" w:hAnsi="宋体" w:eastAsia="宋体" w:cs="宋体"/>
          <w:b/>
          <w:bCs/>
          <w:color w:val="auto"/>
          <w:kern w:val="44"/>
          <w:sz w:val="32"/>
          <w:szCs w:val="32"/>
          <w:highlight w:val="none"/>
          <w:lang w:val="zh-CN"/>
        </w:rPr>
        <w:t>第二篇</w:t>
      </w:r>
      <w:r>
        <w:rPr>
          <w:rFonts w:hint="eastAsia"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2"/>
      <w:bookmarkEnd w:id="13"/>
      <w:bookmarkEnd w:id="14"/>
      <w:bookmarkEnd w:id="15"/>
      <w:bookmarkEnd w:id="16"/>
      <w:bookmarkEnd w:id="17"/>
      <w:bookmarkEnd w:id="18"/>
      <w:bookmarkEnd w:id="19"/>
      <w:bookmarkEnd w:id="20"/>
    </w:p>
    <w:p>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21" w:name="_Toc14889"/>
      <w:bookmarkStart w:id="22" w:name="_Toc142508312"/>
      <w:bookmarkStart w:id="23" w:name="_Toc140596871"/>
      <w:bookmarkStart w:id="24" w:name="_Toc486167662"/>
      <w:bookmarkStart w:id="25" w:name="_Toc15366_WPSOffice_Level2"/>
      <w:bookmarkStart w:id="26" w:name="_Toc450662848"/>
      <w:bookmarkStart w:id="27" w:name="_Toc11520"/>
      <w:bookmarkStart w:id="28" w:name="_Toc9555"/>
      <w:bookmarkStart w:id="29" w:name="_Toc24479"/>
      <w:bookmarkStart w:id="30" w:name="_Toc4110"/>
      <w:r>
        <w:rPr>
          <w:rFonts w:hint="eastAsia" w:ascii="宋体" w:hAnsi="宋体" w:eastAsia="宋体" w:cs="宋体"/>
          <w:b/>
          <w:bCs/>
          <w:color w:val="auto"/>
          <w:kern w:val="44"/>
          <w:szCs w:val="21"/>
          <w:highlight w:val="none"/>
          <w:lang w:val="zh-CN"/>
        </w:rPr>
        <w:t>一、总则</w:t>
      </w:r>
      <w:bookmarkEnd w:id="21"/>
      <w:bookmarkEnd w:id="22"/>
      <w:bookmarkEnd w:id="23"/>
      <w:bookmarkEnd w:id="24"/>
      <w:bookmarkEnd w:id="25"/>
      <w:bookmarkEnd w:id="26"/>
      <w:bookmarkEnd w:id="27"/>
      <w:bookmarkEnd w:id="28"/>
      <w:bookmarkEnd w:id="29"/>
      <w:bookmarkEnd w:id="30"/>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1" w:name="_Toc450662849"/>
      <w:bookmarkStart w:id="32" w:name="_Toc7131"/>
      <w:bookmarkStart w:id="33" w:name="_Toc16303"/>
      <w:bookmarkStart w:id="34" w:name="_Toc21710_WPSOffice_Level3"/>
      <w:bookmarkStart w:id="35" w:name="_Toc9608"/>
      <w:bookmarkStart w:id="36" w:name="_Toc1646"/>
      <w:bookmarkStart w:id="37" w:name="_Toc142508313"/>
      <w:bookmarkStart w:id="38" w:name="_Toc23333"/>
      <w:bookmarkStart w:id="39" w:name="_Toc486167663"/>
      <w:r>
        <w:rPr>
          <w:rFonts w:hint="eastAsia" w:ascii="宋体" w:hAnsi="宋体" w:eastAsia="宋体" w:cs="宋体"/>
          <w:color w:val="auto"/>
          <w:szCs w:val="21"/>
          <w:highlight w:val="none"/>
          <w:lang w:val="zh-CN"/>
        </w:rPr>
        <w:t>1 资金来源：企业自筹资金。</w:t>
      </w:r>
      <w:bookmarkEnd w:id="31"/>
      <w:bookmarkEnd w:id="32"/>
      <w:bookmarkEnd w:id="33"/>
      <w:bookmarkEnd w:id="34"/>
      <w:bookmarkEnd w:id="35"/>
      <w:bookmarkEnd w:id="36"/>
      <w:bookmarkEnd w:id="37"/>
      <w:bookmarkEnd w:id="38"/>
      <w:bookmarkEnd w:id="39"/>
    </w:p>
    <w:p>
      <w:pPr>
        <w:autoSpaceDE w:val="0"/>
        <w:autoSpaceDN w:val="0"/>
        <w:adjustRightInd w:val="0"/>
        <w:jc w:val="left"/>
        <w:rPr>
          <w:rFonts w:hint="eastAsia" w:ascii="宋体" w:hAnsi="宋体" w:eastAsia="宋体" w:cs="宋体"/>
          <w:color w:val="auto"/>
          <w:kern w:val="0"/>
          <w:sz w:val="24"/>
          <w:szCs w:val="24"/>
          <w:highlight w:val="none"/>
        </w:rPr>
      </w:pPr>
    </w:p>
    <w:p>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40" w:name="_Toc486167664"/>
      <w:bookmarkStart w:id="41" w:name="_Toc9121"/>
      <w:bookmarkStart w:id="42" w:name="_Toc32244"/>
      <w:bookmarkStart w:id="43" w:name="_Toc80_WPSOffice_Level3"/>
      <w:bookmarkStart w:id="44" w:name="_Toc15982"/>
      <w:bookmarkStart w:id="45" w:name="_Toc450662850"/>
      <w:bookmarkStart w:id="46" w:name="_Toc142508314"/>
      <w:bookmarkStart w:id="47" w:name="_Toc28698"/>
      <w:bookmarkStart w:id="48" w:name="_Toc18557"/>
      <w:r>
        <w:rPr>
          <w:rFonts w:hint="eastAsia" w:ascii="宋体" w:hAnsi="宋体" w:eastAsia="宋体" w:cs="宋体"/>
          <w:b/>
          <w:color w:val="auto"/>
          <w:szCs w:val="21"/>
          <w:highlight w:val="none"/>
          <w:lang w:val="zh-CN"/>
        </w:rPr>
        <w:t>2 合格的投标人</w:t>
      </w:r>
      <w:bookmarkEnd w:id="40"/>
      <w:bookmarkEnd w:id="41"/>
      <w:bookmarkEnd w:id="42"/>
      <w:bookmarkEnd w:id="43"/>
      <w:bookmarkEnd w:id="44"/>
      <w:bookmarkEnd w:id="45"/>
      <w:bookmarkEnd w:id="46"/>
      <w:bookmarkEnd w:id="47"/>
      <w:bookmarkEnd w:id="48"/>
    </w:p>
    <w:p>
      <w:pPr>
        <w:autoSpaceDE w:val="0"/>
        <w:autoSpaceDN w:val="0"/>
        <w:adjustRightInd w:val="0"/>
        <w:spacing w:line="360" w:lineRule="auto"/>
        <w:ind w:left="212" w:leftChars="-100" w:hanging="422" w:hangingChars="20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2.1 </w:t>
      </w:r>
      <w:r>
        <w:rPr>
          <w:rFonts w:hint="eastAsia" w:ascii="宋体" w:hAnsi="宋体" w:eastAsia="宋体" w:cs="宋体"/>
          <w:b/>
          <w:color w:val="auto"/>
          <w:szCs w:val="21"/>
          <w:highlight w:val="none"/>
          <w:u w:val="single"/>
          <w:lang w:val="zh-CN"/>
        </w:rPr>
        <w:t>合格的投标人条件见第一篇《招标公告》中第2条的“合格投标人资格要求”及本条以下2.2款至</w:t>
      </w:r>
      <w:r>
        <w:rPr>
          <w:rFonts w:hint="eastAsia" w:ascii="宋体" w:hAnsi="宋体" w:eastAsia="宋体" w:cs="宋体"/>
          <w:b/>
          <w:color w:val="auto"/>
          <w:szCs w:val="21"/>
          <w:highlight w:val="none"/>
          <w:u w:val="single"/>
          <w:lang w:val="en-US" w:eastAsia="zh-CN"/>
        </w:rPr>
        <w:t>2.5</w:t>
      </w:r>
      <w:r>
        <w:rPr>
          <w:rFonts w:hint="eastAsia" w:ascii="宋体" w:hAnsi="宋体" w:eastAsia="宋体" w:cs="宋体"/>
          <w:b/>
          <w:color w:val="auto"/>
          <w:szCs w:val="21"/>
          <w:highlight w:val="none"/>
          <w:u w:val="single"/>
          <w:lang w:val="zh-CN"/>
        </w:rPr>
        <w:t>款的通用</w:t>
      </w:r>
      <w:bookmarkStart w:id="818" w:name="_GoBack"/>
      <w:bookmarkEnd w:id="818"/>
      <w:r>
        <w:rPr>
          <w:rFonts w:hint="eastAsia" w:ascii="宋体" w:hAnsi="宋体" w:eastAsia="宋体" w:cs="宋体"/>
          <w:b/>
          <w:color w:val="auto"/>
          <w:szCs w:val="21"/>
          <w:highlight w:val="none"/>
          <w:u w:val="single"/>
          <w:lang w:val="zh-CN"/>
        </w:rPr>
        <w:t>要求。</w:t>
      </w:r>
    </w:p>
    <w:p>
      <w:pPr>
        <w:autoSpaceDE w:val="0"/>
        <w:autoSpaceDN w:val="0"/>
        <w:adjustRightInd w:val="0"/>
        <w:spacing w:line="360" w:lineRule="auto"/>
        <w:ind w:left="212" w:leftChars="-100" w:hanging="422" w:hangingChars="200"/>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u w:val="single"/>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宋体"/>
          <w:b/>
          <w:color w:val="auto"/>
          <w:kern w:val="0"/>
          <w:szCs w:val="21"/>
          <w:highlight w:val="none"/>
          <w:u w:val="single"/>
          <w:lang w:val="zh-CN"/>
        </w:rPr>
        <w:t>处罚说明</w:t>
      </w:r>
      <w:r>
        <w:rPr>
          <w:rFonts w:hint="eastAsia" w:ascii="宋体" w:hAnsi="宋体" w:eastAsia="宋体" w:cs="宋体"/>
          <w:b/>
          <w:color w:val="auto"/>
          <w:kern w:val="0"/>
          <w:szCs w:val="21"/>
          <w:highlight w:val="none"/>
          <w:u w:val="single"/>
        </w:rPr>
        <w:t>”，如果不主动填报而被事后发现的，将取消其投标（中标）资格，并按有关规定从重处理。</w:t>
      </w:r>
    </w:p>
    <w:p>
      <w:pPr>
        <w:autoSpaceDE w:val="0"/>
        <w:autoSpaceDN w:val="0"/>
        <w:adjustRightInd w:val="0"/>
        <w:spacing w:line="360" w:lineRule="auto"/>
        <w:ind w:left="212" w:leftChars="-100" w:hanging="422" w:hangingChars="200"/>
        <w:rPr>
          <w:rFonts w:hint="eastAsia" w:ascii="宋体" w:hAnsi="宋体" w:eastAsia="宋体" w:cs="宋体"/>
          <w:b/>
          <w:color w:val="auto"/>
          <w:szCs w:val="21"/>
          <w:highlight w:val="none"/>
          <w:u w:val="single"/>
          <w:lang w:val="zh-CN"/>
        </w:rPr>
      </w:pPr>
      <w:r>
        <w:rPr>
          <w:rFonts w:hint="eastAsia" w:ascii="宋体" w:hAnsi="宋体" w:eastAsia="宋体" w:cs="宋体"/>
          <w:b/>
          <w:color w:val="auto"/>
          <w:kern w:val="0"/>
          <w:szCs w:val="21"/>
          <w:highlight w:val="none"/>
          <w:lang w:val="zh-CN"/>
        </w:rPr>
        <w:t xml:space="preserve">2.3 </w:t>
      </w:r>
      <w:r>
        <w:rPr>
          <w:rFonts w:hint="eastAsia" w:ascii="宋体" w:hAnsi="宋体" w:eastAsia="宋体" w:cs="宋体"/>
          <w:b/>
          <w:color w:val="auto"/>
          <w:kern w:val="0"/>
          <w:szCs w:val="21"/>
          <w:highlight w:val="none"/>
          <w:u w:val="single"/>
          <w:lang w:val="zh-CN"/>
        </w:rPr>
        <w:t>投标人</w:t>
      </w:r>
      <w:r>
        <w:rPr>
          <w:rFonts w:hint="eastAsia" w:ascii="宋体" w:hAnsi="宋体" w:eastAsia="宋体" w:cs="宋体"/>
          <w:b/>
          <w:color w:val="auto"/>
          <w:szCs w:val="21"/>
          <w:highlight w:val="none"/>
          <w:u w:val="single"/>
          <w:lang w:val="zh-CN"/>
        </w:rPr>
        <w:t>符合《中华人民共和国招标投标法》第二十六条规定。</w:t>
      </w:r>
    </w:p>
    <w:p>
      <w:pPr>
        <w:autoSpaceDE w:val="0"/>
        <w:autoSpaceDN w:val="0"/>
        <w:adjustRightInd w:val="0"/>
        <w:spacing w:line="360" w:lineRule="auto"/>
        <w:ind w:left="214" w:leftChars="-99" w:hanging="422" w:hanging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2.4 </w:t>
      </w:r>
      <w:r>
        <w:rPr>
          <w:rFonts w:hint="eastAsia" w:ascii="宋体" w:hAnsi="宋体" w:eastAsia="宋体" w:cs="宋体"/>
          <w:b/>
          <w:color w:val="auto"/>
          <w:kern w:val="0"/>
          <w:szCs w:val="21"/>
          <w:highlight w:val="none"/>
          <w:u w:val="single"/>
        </w:rPr>
        <w:t>投标人（含其不具有独立法人资格的分支机构）未被列入“信用中国”网站（ www.creditchina.gov.cn）失信被执行人、重大税收违法失信主体、</w:t>
      </w:r>
      <w:r>
        <w:rPr>
          <w:rFonts w:hint="eastAsia" w:ascii="宋体" w:hAnsi="宋体" w:eastAsia="宋体" w:cs="宋体"/>
          <w:b/>
          <w:color w:val="auto"/>
          <w:kern w:val="0"/>
          <w:szCs w:val="21"/>
          <w:highlight w:val="none"/>
          <w:u w:val="single"/>
          <w:lang w:val="en-US" w:eastAsia="zh-CN"/>
        </w:rPr>
        <w:t>政府采购</w:t>
      </w:r>
      <w:r>
        <w:rPr>
          <w:rFonts w:hint="eastAsia" w:ascii="宋体" w:hAnsi="宋体" w:eastAsia="宋体" w:cs="宋体"/>
          <w:b/>
          <w:color w:val="auto"/>
          <w:kern w:val="0"/>
          <w:szCs w:val="21"/>
          <w:highlight w:val="none"/>
          <w:u w:val="single"/>
        </w:rPr>
        <w:t>严重违法失信行为记录名单（处罚期限届满的除外）。</w:t>
      </w:r>
    </w:p>
    <w:p>
      <w:pPr>
        <w:autoSpaceDE w:val="0"/>
        <w:autoSpaceDN w:val="0"/>
        <w:adjustRightInd w:val="0"/>
        <w:spacing w:line="360" w:lineRule="auto"/>
        <w:ind w:left="212" w:leftChars="-100" w:hanging="422" w:hangingChars="200"/>
        <w:rPr>
          <w:rFonts w:hint="eastAsia" w:ascii="宋体" w:hAnsi="宋体" w:eastAsia="宋体" w:cs="宋体"/>
          <w:b/>
          <w:color w:val="auto"/>
          <w:kern w:val="0"/>
          <w:szCs w:val="21"/>
          <w:highlight w:val="none"/>
          <w:u w:val="single"/>
          <w:lang w:val="zh-CN"/>
        </w:rPr>
      </w:pPr>
      <w:r>
        <w:rPr>
          <w:rFonts w:hint="eastAsia" w:ascii="宋体" w:hAnsi="宋体" w:eastAsia="宋体" w:cs="宋体"/>
          <w:b/>
          <w:color w:val="auto"/>
          <w:szCs w:val="21"/>
          <w:highlight w:val="none"/>
          <w:lang w:val="zh-CN"/>
        </w:rPr>
        <w:t xml:space="preserve">2.5 </w:t>
      </w:r>
      <w:r>
        <w:rPr>
          <w:rFonts w:hint="eastAsia" w:ascii="宋体" w:hAnsi="宋体" w:eastAsia="宋体" w:cs="宋体"/>
          <w:b/>
          <w:color w:val="auto"/>
          <w:kern w:val="0"/>
          <w:szCs w:val="21"/>
          <w:highlight w:val="none"/>
          <w:u w:val="singl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u w:val="single"/>
          <w:lang w:val="zh-CN"/>
        </w:rPr>
        <w:t>。</w:t>
      </w:r>
    </w:p>
    <w:p>
      <w:pPr>
        <w:tabs>
          <w:tab w:val="left" w:pos="426"/>
        </w:tabs>
        <w:autoSpaceDE w:val="0"/>
        <w:autoSpaceDN w:val="0"/>
        <w:adjustRightInd w:val="0"/>
        <w:spacing w:line="360" w:lineRule="auto"/>
        <w:ind w:left="319" w:leftChars="-100" w:hanging="529" w:hangingChars="252"/>
        <w:rPr>
          <w:rFonts w:hint="eastAsia" w:ascii="宋体" w:hAnsi="宋体" w:eastAsia="宋体" w:cs="宋体"/>
          <w:color w:val="auto"/>
          <w:kern w:val="0"/>
          <w:szCs w:val="24"/>
          <w:highlight w:val="none"/>
        </w:rPr>
      </w:pPr>
    </w:p>
    <w:p>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en-US" w:eastAsia="zh-CN"/>
        </w:rPr>
      </w:pPr>
      <w:bookmarkStart w:id="49" w:name="_Toc23847_WPSOffice_Level3"/>
      <w:bookmarkStart w:id="50" w:name="_Toc142508315"/>
      <w:bookmarkStart w:id="51" w:name="_Toc11689"/>
      <w:bookmarkStart w:id="52" w:name="_Toc16100"/>
      <w:bookmarkStart w:id="53" w:name="_Toc9331"/>
      <w:bookmarkStart w:id="54" w:name="_Toc1018"/>
      <w:bookmarkStart w:id="55" w:name="_Toc19774"/>
      <w:bookmarkStart w:id="56" w:name="_Toc450662851"/>
      <w:bookmarkStart w:id="57" w:name="_Toc486167665"/>
      <w:r>
        <w:rPr>
          <w:rFonts w:hint="eastAsia" w:ascii="宋体" w:hAnsi="宋体" w:eastAsia="宋体" w:cs="宋体"/>
          <w:b/>
          <w:color w:val="auto"/>
          <w:szCs w:val="21"/>
          <w:highlight w:val="none"/>
          <w:lang w:val="zh-CN"/>
        </w:rPr>
        <w:t>3 合格的</w:t>
      </w:r>
      <w:bookmarkEnd w:id="49"/>
      <w:bookmarkEnd w:id="50"/>
      <w:r>
        <w:rPr>
          <w:rFonts w:hint="eastAsia" w:ascii="宋体" w:hAnsi="宋体" w:eastAsia="宋体" w:cs="宋体"/>
          <w:b/>
          <w:color w:val="auto"/>
          <w:szCs w:val="21"/>
          <w:highlight w:val="none"/>
          <w:lang w:val="en-US" w:eastAsia="zh-CN"/>
        </w:rPr>
        <w:t>服务</w:t>
      </w:r>
      <w:bookmarkEnd w:id="51"/>
      <w:bookmarkEnd w:id="52"/>
      <w:bookmarkEnd w:id="53"/>
      <w:bookmarkEnd w:id="54"/>
      <w:bookmarkEnd w:id="55"/>
    </w:p>
    <w:p>
      <w:pPr>
        <w:autoSpaceDE w:val="0"/>
        <w:autoSpaceDN w:val="0"/>
        <w:adjustRightInd w:val="0"/>
        <w:spacing w:line="360" w:lineRule="auto"/>
        <w:ind w:left="210" w:leftChars="-10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3.1</w:t>
      </w:r>
      <w:r>
        <w:rPr>
          <w:rFonts w:hint="eastAsia" w:ascii="宋体" w:hAnsi="宋体" w:eastAsia="宋体" w:cs="宋体"/>
          <w:color w:val="auto"/>
          <w:szCs w:val="21"/>
          <w:highlight w:val="none"/>
        </w:rPr>
        <w:t xml:space="preserve"> “服务”是指投标人按招标文件规定完成的全部服务内容，其中包括完成服务所需的货物和工程，及须承担的技术支持、培训和其它伴随服务。</w:t>
      </w:r>
    </w:p>
    <w:p>
      <w:pPr>
        <w:autoSpaceDE w:val="0"/>
        <w:autoSpaceDN w:val="0"/>
        <w:adjustRightInd w:val="0"/>
        <w:spacing w:line="360" w:lineRule="auto"/>
        <w:ind w:left="210" w:leftChars="-100" w:hanging="420" w:hangingChars="200"/>
        <w:rPr>
          <w:rFonts w:hint="eastAsia" w:ascii="宋体" w:hAnsi="宋体" w:eastAsia="宋体" w:cs="宋体"/>
          <w:color w:val="auto"/>
          <w:szCs w:val="21"/>
          <w:highlight w:val="none"/>
          <w:lang w:val="zh-CN"/>
        </w:rPr>
      </w:pPr>
      <w:bookmarkStart w:id="58" w:name="_Toc1977663"/>
      <w:bookmarkStart w:id="59" w:name="_Toc533708063"/>
      <w:r>
        <w:rPr>
          <w:rFonts w:hint="eastAsia" w:ascii="宋体" w:hAnsi="宋体" w:eastAsia="宋体" w:cs="宋体"/>
          <w:color w:val="auto"/>
          <w:szCs w:val="21"/>
          <w:highlight w:val="none"/>
          <w:lang w:val="zh-CN"/>
        </w:rPr>
        <w:t xml:space="preserve">3.2 </w:t>
      </w:r>
      <w:bookmarkEnd w:id="58"/>
      <w:bookmarkEnd w:id="59"/>
      <w:bookmarkStart w:id="60" w:name="_Toc533708065"/>
      <w:bookmarkStart w:id="61" w:name="_Toc1977665"/>
      <w:r>
        <w:rPr>
          <w:rFonts w:hint="eastAsia" w:ascii="宋体" w:hAnsi="宋体" w:eastAsia="宋体" w:cs="宋体"/>
          <w:color w:val="auto"/>
          <w:szCs w:val="21"/>
          <w:highlight w:val="none"/>
          <w:lang w:val="zh-CN"/>
        </w:rPr>
        <w:t>投标人必须保证提供的所有</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或</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的任何部分均为最新正式版本。</w:t>
      </w:r>
      <w:bookmarkEnd w:id="60"/>
      <w:bookmarkEnd w:id="61"/>
    </w:p>
    <w:p>
      <w:pPr>
        <w:autoSpaceDE w:val="0"/>
        <w:autoSpaceDN w:val="0"/>
        <w:adjustRightInd w:val="0"/>
        <w:spacing w:line="360" w:lineRule="auto"/>
        <w:ind w:left="210" w:leftChars="-100" w:hanging="420" w:hangingChars="200"/>
        <w:rPr>
          <w:rFonts w:hint="eastAsia" w:ascii="宋体" w:hAnsi="宋体" w:eastAsia="宋体" w:cs="宋体"/>
          <w:color w:val="auto"/>
          <w:szCs w:val="21"/>
          <w:highlight w:val="none"/>
          <w:lang w:val="zh-CN"/>
        </w:rPr>
      </w:pPr>
      <w:bookmarkStart w:id="62" w:name="_Toc1977666"/>
      <w:bookmarkStart w:id="63"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62"/>
      <w:bookmarkEnd w:id="63"/>
      <w:bookmarkStart w:id="64" w:name="_Toc533708067"/>
      <w:bookmarkStart w:id="65" w:name="_Toc1977667"/>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应保证招标人在中华人民共和国使用</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或</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64"/>
      <w:bookmarkEnd w:id="65"/>
    </w:p>
    <w:p>
      <w:pPr>
        <w:autoSpaceDE w:val="0"/>
        <w:autoSpaceDN w:val="0"/>
        <w:adjustRightInd w:val="0"/>
        <w:spacing w:line="360" w:lineRule="auto"/>
        <w:ind w:left="210" w:leftChars="-100" w:hanging="420" w:hangingChars="200"/>
        <w:rPr>
          <w:rFonts w:hint="eastAsia" w:ascii="宋体" w:hAnsi="宋体" w:eastAsia="宋体" w:cs="宋体"/>
          <w:color w:val="auto"/>
          <w:szCs w:val="21"/>
          <w:highlight w:val="none"/>
          <w:lang w:val="zh-CN"/>
        </w:rPr>
      </w:pPr>
      <w:bookmarkStart w:id="66" w:name="_Toc1977668"/>
      <w:bookmarkStart w:id="67"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66"/>
      <w:bookmarkEnd w:id="67"/>
      <w:r>
        <w:rPr>
          <w:rFonts w:hint="eastAsia" w:ascii="宋体" w:hAnsi="宋体" w:eastAsia="宋体" w:cs="宋体"/>
          <w:color w:val="auto"/>
          <w:szCs w:val="21"/>
          <w:highlight w:val="none"/>
          <w:lang w:val="zh-CN"/>
        </w:rPr>
        <w:t>无论投标人</w:t>
      </w:r>
      <w:r>
        <w:rPr>
          <w:rFonts w:hint="eastAsia" w:ascii="宋体" w:hAnsi="宋体" w:eastAsia="宋体" w:cs="宋体"/>
          <w:color w:val="auto"/>
          <w:kern w:val="0"/>
          <w:szCs w:val="21"/>
          <w:highlight w:val="none"/>
        </w:rPr>
        <w:t>是否在投标报价表中明示，均视为投标报价已包含所有应支付的对专利权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宋体"/>
          <w:color w:val="auto"/>
          <w:kern w:val="0"/>
          <w:szCs w:val="21"/>
          <w:highlight w:val="none"/>
          <w:lang w:val="en-US" w:eastAsia="zh-CN"/>
        </w:rPr>
        <w:t>的</w:t>
      </w:r>
      <w:r>
        <w:rPr>
          <w:rFonts w:hint="eastAsia" w:ascii="宋体" w:hAnsi="宋体" w:eastAsia="宋体" w:cs="宋体"/>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pPr>
        <w:autoSpaceDE w:val="0"/>
        <w:autoSpaceDN w:val="0"/>
        <w:adjustRightInd w:val="0"/>
        <w:spacing w:line="360" w:lineRule="auto"/>
        <w:jc w:val="left"/>
        <w:rPr>
          <w:rFonts w:hint="eastAsia" w:ascii="宋体" w:hAnsi="宋体" w:eastAsia="宋体" w:cs="宋体"/>
          <w:color w:val="auto"/>
          <w:szCs w:val="21"/>
          <w:highlight w:val="none"/>
          <w:lang w:val="zh-CN"/>
        </w:rPr>
      </w:pPr>
    </w:p>
    <w:p>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68" w:name="_Toc142508316"/>
      <w:bookmarkStart w:id="69" w:name="_Toc23302"/>
      <w:bookmarkStart w:id="70" w:name="_Toc9658_WPSOffice_Level3"/>
      <w:bookmarkStart w:id="71" w:name="_Toc9753"/>
      <w:bookmarkStart w:id="72" w:name="_Toc11533"/>
      <w:bookmarkStart w:id="73" w:name="_Toc3404"/>
      <w:bookmarkStart w:id="74" w:name="_Toc20576"/>
      <w:r>
        <w:rPr>
          <w:rFonts w:hint="eastAsia" w:ascii="宋体" w:hAnsi="宋体" w:eastAsia="宋体" w:cs="宋体"/>
          <w:color w:val="auto"/>
          <w:szCs w:val="21"/>
          <w:highlight w:val="none"/>
          <w:lang w:val="zh-CN"/>
        </w:rPr>
        <w:t>4 其它说明</w:t>
      </w:r>
      <w:bookmarkEnd w:id="68"/>
      <w:bookmarkEnd w:id="69"/>
      <w:bookmarkEnd w:id="70"/>
      <w:bookmarkEnd w:id="71"/>
      <w:bookmarkEnd w:id="72"/>
      <w:bookmarkEnd w:id="73"/>
      <w:bookmarkEnd w:id="74"/>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75" w:name="_Toc1977670"/>
      <w:bookmarkStart w:id="76" w:name="_Toc533708070"/>
      <w:r>
        <w:rPr>
          <w:rFonts w:hint="eastAsia" w:ascii="宋体" w:hAnsi="宋体" w:eastAsia="宋体" w:cs="宋体"/>
          <w:color w:val="auto"/>
          <w:szCs w:val="21"/>
          <w:highlight w:val="none"/>
          <w:lang w:val="zh-CN"/>
        </w:rPr>
        <w:t>4.1 投标费用</w:t>
      </w:r>
      <w:bookmarkEnd w:id="75"/>
      <w:bookmarkEnd w:id="76"/>
    </w:p>
    <w:p>
      <w:pPr>
        <w:autoSpaceDE w:val="0"/>
        <w:autoSpaceDN w:val="0"/>
        <w:adjustRightInd w:val="0"/>
        <w:spacing w:line="360" w:lineRule="auto"/>
        <w:ind w:left="210" w:leftChars="100" w:firstLine="420" w:firstLineChars="200"/>
        <w:rPr>
          <w:rFonts w:hint="eastAsia" w:ascii="宋体" w:hAnsi="宋体" w:eastAsia="宋体" w:cs="宋体"/>
          <w:color w:val="auto"/>
          <w:szCs w:val="21"/>
          <w:highlight w:val="none"/>
          <w:lang w:val="zh-CN"/>
        </w:rPr>
      </w:pPr>
      <w:bookmarkStart w:id="77" w:name="_Toc533708072"/>
      <w:bookmarkStart w:id="78" w:name="_Toc1977672"/>
      <w:r>
        <w:rPr>
          <w:rFonts w:hint="eastAsia" w:ascii="宋体" w:hAnsi="宋体" w:eastAsia="宋体" w:cs="宋体"/>
          <w:color w:val="auto"/>
          <w:szCs w:val="21"/>
          <w:highlight w:val="none"/>
          <w:lang w:val="zh-CN"/>
        </w:rPr>
        <w:t>无论招标过程中的做法和结果如何，投标人须承担所有与编写和递交投标文件有关的费用，招标人和招标代理机构在任何情况下不负担这些费用。</w:t>
      </w:r>
      <w:bookmarkEnd w:id="77"/>
      <w:bookmarkEnd w:id="78"/>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79" w:name="_Toc1977673"/>
      <w:bookmarkStart w:id="80" w:name="_Toc533708073"/>
      <w:r>
        <w:rPr>
          <w:rFonts w:hint="eastAsia" w:ascii="宋体" w:hAnsi="宋体" w:eastAsia="宋体" w:cs="宋体"/>
          <w:color w:val="auto"/>
          <w:szCs w:val="21"/>
          <w:highlight w:val="none"/>
          <w:lang w:val="zh-CN"/>
        </w:rPr>
        <w:t>4.2 踏勘现场</w:t>
      </w:r>
      <w:bookmarkEnd w:id="79"/>
      <w:bookmarkEnd w:id="80"/>
    </w:p>
    <w:p>
      <w:pPr>
        <w:autoSpaceDE w:val="0"/>
        <w:autoSpaceDN w:val="0"/>
        <w:adjustRightInd w:val="0"/>
        <w:spacing w:line="360" w:lineRule="auto"/>
        <w:ind w:left="399" w:leftChars="-60" w:hanging="525" w:hangingChars="250"/>
        <w:jc w:val="left"/>
        <w:rPr>
          <w:rFonts w:hint="eastAsia" w:ascii="宋体" w:hAnsi="宋体" w:eastAsia="宋体" w:cs="宋体"/>
          <w:color w:val="auto"/>
          <w:kern w:val="0"/>
          <w:szCs w:val="21"/>
          <w:highlight w:val="none"/>
        </w:rPr>
      </w:pPr>
      <w:bookmarkStart w:id="81" w:name="_Toc1977676"/>
      <w:bookmarkStart w:id="82" w:name="_Toc533708076"/>
      <w:r>
        <w:rPr>
          <w:rFonts w:hint="eastAsia" w:ascii="宋体" w:hAnsi="宋体" w:eastAsia="宋体" w:cs="宋体"/>
          <w:color w:val="auto"/>
          <w:kern w:val="0"/>
          <w:szCs w:val="21"/>
          <w:highlight w:val="none"/>
        </w:rPr>
        <w:t>（1）本项目不组织集中踏勘现场和答疑，投标人应自行到实地踏勘考察。</w:t>
      </w:r>
    </w:p>
    <w:p>
      <w:pPr>
        <w:autoSpaceDE w:val="0"/>
        <w:autoSpaceDN w:val="0"/>
        <w:adjustRightInd w:val="0"/>
        <w:spacing w:line="360" w:lineRule="auto"/>
        <w:ind w:left="399" w:leftChars="-6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（2）潜在投标人应承担踏勘现场自身所发生的费用。</w:t>
      </w:r>
    </w:p>
    <w:p>
      <w:pPr>
        <w:spacing w:line="360" w:lineRule="auto"/>
        <w:ind w:left="399" w:leftChars="-60" w:hanging="525" w:hangingChars="2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pPr>
        <w:spacing w:line="360" w:lineRule="auto"/>
        <w:ind w:left="399" w:leftChars="-60" w:hanging="525" w:hangingChars="2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纪律与保密事项</w:t>
      </w:r>
      <w:bookmarkEnd w:id="56"/>
      <w:bookmarkEnd w:id="57"/>
      <w:bookmarkEnd w:id="81"/>
      <w:bookmarkEnd w:id="82"/>
    </w:p>
    <w:p>
      <w:pPr>
        <w:autoSpaceDE w:val="0"/>
        <w:autoSpaceDN w:val="0"/>
        <w:adjustRightInd w:val="0"/>
        <w:spacing w:line="360" w:lineRule="auto"/>
        <w:ind w:left="399" w:leftChars="-6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（1）获得本招标文件的投标人，不得用作本次投标以外的任何用途。</w:t>
      </w:r>
    </w:p>
    <w:p>
      <w:pPr>
        <w:autoSpaceDE w:val="0"/>
        <w:autoSpaceDN w:val="0"/>
        <w:adjustRightInd w:val="0"/>
        <w:spacing w:line="360" w:lineRule="auto"/>
        <w:ind w:left="399" w:leftChars="-6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）凡参与招标工作的有关人员均应自觉接受有关主管部门的监督，不得向他人透露可能影响公平竞争的情况。</w:t>
      </w:r>
    </w:p>
    <w:p>
      <w:pPr>
        <w:autoSpaceDE w:val="0"/>
        <w:autoSpaceDN w:val="0"/>
        <w:adjustRightInd w:val="0"/>
        <w:spacing w:line="360" w:lineRule="auto"/>
        <w:ind w:left="399" w:leftChars="-6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（3）开标后，直至向中标人</w:t>
      </w:r>
      <w:r>
        <w:rPr>
          <w:rFonts w:hint="eastAsia" w:ascii="宋体" w:hAnsi="宋体" w:eastAsia="宋体" w:cs="宋体"/>
          <w:color w:val="auto"/>
          <w:kern w:val="0"/>
          <w:szCs w:val="21"/>
          <w:highlight w:val="none"/>
          <w:lang w:eastAsia="zh-CN"/>
        </w:rPr>
        <w:t>授予合同期间</w:t>
      </w:r>
      <w:r>
        <w:rPr>
          <w:rFonts w:hint="eastAsia" w:ascii="宋体" w:hAnsi="宋体" w:eastAsia="宋体" w:cs="宋体"/>
          <w:color w:val="auto"/>
          <w:kern w:val="0"/>
          <w:szCs w:val="21"/>
          <w:highlight w:val="none"/>
        </w:rPr>
        <w:t>，凡与审查、澄清、评价和比较报价的有关资料以及授标意见等，参与评标工作的有关人员均不得向投标人及与评标无关的其他人透露。</w:t>
      </w:r>
    </w:p>
    <w:p>
      <w:pPr>
        <w:autoSpaceDE w:val="0"/>
        <w:autoSpaceDN w:val="0"/>
        <w:adjustRightInd w:val="0"/>
        <w:spacing w:line="360" w:lineRule="auto"/>
        <w:ind w:left="399" w:leftChars="-6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pPr>
        <w:autoSpaceDE w:val="0"/>
        <w:autoSpaceDN w:val="0"/>
        <w:adjustRightInd w:val="0"/>
        <w:spacing w:line="360" w:lineRule="auto"/>
        <w:ind w:left="399" w:leftChars="-6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（6）投标人不得串通作弊，以不正当的手段妨碍、排挤其他投标人，扰乱采购市场，破坏公平竞争原则。</w:t>
      </w:r>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rPr>
      </w:pPr>
    </w:p>
    <w:p>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83" w:name="_Toc30507_WPSOffice_Level2"/>
      <w:bookmarkStart w:id="84" w:name="_Toc5395"/>
      <w:bookmarkStart w:id="85" w:name="_Toc486167667"/>
      <w:bookmarkStart w:id="86" w:name="_Toc142508317"/>
      <w:bookmarkStart w:id="87" w:name="_Toc450662853"/>
      <w:bookmarkStart w:id="88" w:name="_Toc1565"/>
      <w:bookmarkStart w:id="89" w:name="_Toc25995"/>
      <w:bookmarkStart w:id="90" w:name="_Toc23213"/>
      <w:bookmarkStart w:id="91" w:name="_Toc1370"/>
      <w:bookmarkStart w:id="92" w:name="_Toc140596876"/>
      <w:r>
        <w:rPr>
          <w:rFonts w:hint="eastAsia" w:ascii="宋体" w:hAnsi="宋体" w:eastAsia="宋体" w:cs="宋体"/>
          <w:b/>
          <w:bCs/>
          <w:color w:val="auto"/>
          <w:kern w:val="44"/>
          <w:szCs w:val="21"/>
          <w:highlight w:val="none"/>
          <w:lang w:val="zh-CN"/>
        </w:rPr>
        <w:t>二、招标文件</w:t>
      </w:r>
      <w:bookmarkEnd w:id="83"/>
      <w:bookmarkEnd w:id="84"/>
      <w:bookmarkEnd w:id="85"/>
      <w:bookmarkEnd w:id="86"/>
      <w:bookmarkEnd w:id="87"/>
      <w:bookmarkEnd w:id="88"/>
      <w:bookmarkEnd w:id="89"/>
      <w:bookmarkEnd w:id="90"/>
      <w:bookmarkEnd w:id="91"/>
      <w:bookmarkEnd w:id="92"/>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93" w:name="_Toc26635_WPSOffice_Level3"/>
      <w:bookmarkStart w:id="94" w:name="_Toc486167668"/>
      <w:bookmarkStart w:id="95" w:name="_Toc28893"/>
      <w:bookmarkStart w:id="96" w:name="_Toc450662854"/>
      <w:bookmarkStart w:id="97" w:name="_Toc17512"/>
      <w:bookmarkStart w:id="98" w:name="_Toc142508318"/>
      <w:bookmarkStart w:id="99" w:name="_Toc2406"/>
      <w:bookmarkStart w:id="100" w:name="_Toc3978"/>
      <w:bookmarkStart w:id="101" w:name="_Toc12003"/>
      <w:r>
        <w:rPr>
          <w:rFonts w:hint="eastAsia" w:ascii="宋体" w:hAnsi="宋体" w:eastAsia="宋体" w:cs="宋体"/>
          <w:color w:val="auto"/>
          <w:szCs w:val="21"/>
          <w:highlight w:val="none"/>
          <w:lang w:val="zh-CN"/>
        </w:rPr>
        <w:t>5 招标文件的构成</w:t>
      </w:r>
      <w:bookmarkEnd w:id="93"/>
      <w:bookmarkEnd w:id="94"/>
      <w:bookmarkEnd w:id="95"/>
      <w:bookmarkEnd w:id="96"/>
      <w:bookmarkEnd w:id="97"/>
      <w:bookmarkEnd w:id="98"/>
      <w:bookmarkEnd w:id="99"/>
      <w:bookmarkEnd w:id="100"/>
      <w:bookmarkEnd w:id="101"/>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招标文件包括：</w:t>
      </w:r>
    </w:p>
    <w:p>
      <w:pPr>
        <w:tabs>
          <w:tab w:val="left" w:pos="1890"/>
        </w:tabs>
        <w:autoSpaceDE w:val="0"/>
        <w:autoSpaceDN w:val="0"/>
        <w:adjustRightInd w:val="0"/>
        <w:spacing w:line="360" w:lineRule="auto"/>
        <w:ind w:firstLine="210" w:firstLineChars="1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第一篇 招标公告</w:t>
      </w:r>
    </w:p>
    <w:p>
      <w:pPr>
        <w:tabs>
          <w:tab w:val="left" w:pos="1890"/>
        </w:tabs>
        <w:autoSpaceDE w:val="0"/>
        <w:autoSpaceDN w:val="0"/>
        <w:adjustRightInd w:val="0"/>
        <w:spacing w:line="360" w:lineRule="auto"/>
        <w:ind w:firstLine="210" w:firstLineChars="1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第二篇 投标人须知</w:t>
      </w:r>
    </w:p>
    <w:p>
      <w:pPr>
        <w:tabs>
          <w:tab w:val="left" w:pos="1890"/>
        </w:tabs>
        <w:autoSpaceDE w:val="0"/>
        <w:autoSpaceDN w:val="0"/>
        <w:adjustRightInd w:val="0"/>
        <w:spacing w:line="360" w:lineRule="auto"/>
        <w:ind w:firstLine="210" w:firstLineChars="1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第三篇 用户需求书</w:t>
      </w:r>
    </w:p>
    <w:p>
      <w:pPr>
        <w:tabs>
          <w:tab w:val="left" w:pos="1890"/>
        </w:tabs>
        <w:autoSpaceDE w:val="0"/>
        <w:autoSpaceDN w:val="0"/>
        <w:adjustRightInd w:val="0"/>
        <w:spacing w:line="360" w:lineRule="auto"/>
        <w:ind w:firstLine="210" w:firstLineChars="1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第四篇 合同条款</w:t>
      </w:r>
    </w:p>
    <w:p>
      <w:pPr>
        <w:tabs>
          <w:tab w:val="left" w:pos="1890"/>
        </w:tabs>
        <w:autoSpaceDE w:val="0"/>
        <w:autoSpaceDN w:val="0"/>
        <w:adjustRightInd w:val="0"/>
        <w:spacing w:line="360" w:lineRule="auto"/>
        <w:ind w:firstLine="210" w:firstLineChars="1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第五篇 相关保函格式</w:t>
      </w:r>
    </w:p>
    <w:p>
      <w:pPr>
        <w:tabs>
          <w:tab w:val="left" w:pos="1890"/>
        </w:tabs>
        <w:autoSpaceDE w:val="0"/>
        <w:autoSpaceDN w:val="0"/>
        <w:adjustRightInd w:val="0"/>
        <w:spacing w:line="360" w:lineRule="auto"/>
        <w:ind w:firstLine="210" w:firstLineChars="1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第六篇 投标文件格式</w:t>
      </w:r>
    </w:p>
    <w:p>
      <w:pPr>
        <w:tabs>
          <w:tab w:val="left" w:pos="1890"/>
        </w:tabs>
        <w:autoSpaceDE w:val="0"/>
        <w:autoSpaceDN w:val="0"/>
        <w:adjustRightInd w:val="0"/>
        <w:spacing w:line="360" w:lineRule="auto"/>
        <w:ind w:firstLine="210" w:firstLineChars="1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附件一：评标工作大纲</w:t>
      </w:r>
    </w:p>
    <w:p>
      <w:pPr>
        <w:autoSpaceDE/>
        <w:autoSpaceDN/>
        <w:adjustRightInd w:val="0"/>
        <w:spacing w:line="360" w:lineRule="auto"/>
        <w:ind w:left="212" w:leftChars="-99" w:hanging="420" w:hangingChars="200"/>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u w:val="single"/>
          <w:lang w:val="zh-CN"/>
        </w:rPr>
        <w:t>投标人应审阅招标文件中所有须知、格式、条款和规格。投标人未按招标文件要求提供全部资料或提交的投标文件未对招标文件作出实质性响应（★标志的部分为投标人、投标拟供服务必备的条件或重要指示），那么投标人的投标文件将有可能被拒绝接收或评审为无效投标文件。</w:t>
      </w:r>
    </w:p>
    <w:p>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（1）“招标人”指</w:t>
      </w:r>
      <w:r>
        <w:rPr>
          <w:rFonts w:hint="eastAsia" w:ascii="宋体" w:hAnsi="宋体" w:eastAsia="宋体" w:cs="宋体"/>
          <w:color w:val="auto"/>
          <w:kern w:val="0"/>
          <w:szCs w:val="21"/>
          <w:highlight w:val="none"/>
          <w:lang w:eastAsia="zh-CN"/>
        </w:rPr>
        <w:t>东莞市利源有机资源再生利用有限公司</w:t>
      </w:r>
      <w:r>
        <w:rPr>
          <w:rFonts w:hint="eastAsia" w:ascii="宋体" w:hAnsi="宋体" w:eastAsia="宋体" w:cs="宋体"/>
          <w:color w:val="auto"/>
          <w:kern w:val="0"/>
          <w:szCs w:val="21"/>
          <w:highlight w:val="none"/>
        </w:rPr>
        <w:t>；</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（2）“招标代理机构”指</w:t>
      </w:r>
      <w:r>
        <w:rPr>
          <w:rFonts w:hint="eastAsia" w:ascii="宋体" w:hAnsi="宋体" w:eastAsia="宋体" w:cs="宋体"/>
          <w:color w:val="auto"/>
          <w:kern w:val="0"/>
          <w:szCs w:val="21"/>
          <w:highlight w:val="none"/>
          <w:lang w:eastAsia="zh-CN"/>
        </w:rPr>
        <w:t>三方诚信招标有限公司</w:t>
      </w:r>
      <w:r>
        <w:rPr>
          <w:rFonts w:hint="eastAsia" w:ascii="宋体" w:hAnsi="宋体" w:eastAsia="宋体" w:cs="宋体"/>
          <w:color w:val="auto"/>
          <w:kern w:val="0"/>
          <w:szCs w:val="21"/>
          <w:highlight w:val="none"/>
        </w:rPr>
        <w:t>；</w:t>
      </w:r>
    </w:p>
    <w:p>
      <w:pPr>
        <w:autoSpaceDE w:val="0"/>
        <w:autoSpaceDN w:val="0"/>
        <w:adjustRightInd w:val="0"/>
        <w:spacing w:line="360" w:lineRule="auto"/>
        <w:ind w:left="399" w:leftChars="-6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（3）“投标人”指在参加</w:t>
      </w:r>
      <w:r>
        <w:rPr>
          <w:rFonts w:hint="eastAsia" w:ascii="宋体" w:hAnsi="宋体" w:eastAsia="宋体" w:cs="宋体"/>
          <w:color w:val="auto"/>
          <w:kern w:val="0"/>
          <w:szCs w:val="21"/>
          <w:highlight w:val="none"/>
          <w:lang w:eastAsia="zh-CN"/>
        </w:rPr>
        <w:t>东莞市利源有机资源再生利用有限公司2024-2025年餐厨垃圾收运服务采购项目（重新招标）</w:t>
      </w:r>
      <w:r>
        <w:rPr>
          <w:rFonts w:hint="eastAsia" w:ascii="宋体" w:hAnsi="宋体" w:eastAsia="宋体" w:cs="宋体"/>
          <w:color w:val="auto"/>
          <w:kern w:val="0"/>
          <w:szCs w:val="21"/>
          <w:highlight w:val="none"/>
        </w:rPr>
        <w:t>所需的</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的投标，并向招标代理机构提交投标文件的当事人；</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（4）“评标委员会”是依照《中华人民共和国招标投标法》等法规组建的专门负责本次评标工作的临时性机构；</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（5）“中标人”指其投标被招标人接受，并与招标人签订合同的当事人；</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（6）“甲方”指在合同条款中指明的购买服务的单位，即</w:t>
      </w:r>
      <w:r>
        <w:rPr>
          <w:rFonts w:hint="eastAsia" w:ascii="宋体" w:hAnsi="宋体" w:eastAsia="宋体" w:cs="宋体"/>
          <w:color w:val="auto"/>
          <w:kern w:val="0"/>
          <w:szCs w:val="21"/>
          <w:highlight w:val="none"/>
          <w:lang w:eastAsia="zh-CN"/>
        </w:rPr>
        <w:t>东莞市利源有机资源再生利用有限公司</w:t>
      </w:r>
      <w:r>
        <w:rPr>
          <w:rFonts w:hint="eastAsia" w:ascii="宋体" w:hAnsi="宋体" w:eastAsia="宋体" w:cs="宋体"/>
          <w:color w:val="auto"/>
          <w:kern w:val="0"/>
          <w:szCs w:val="21"/>
          <w:highlight w:val="none"/>
        </w:rPr>
        <w:t>；</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（7）“乙方”指在合同条款中指明的本合同项下提供服务的公司或实体；</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（8）“招标文件”指由招标代理机构发出的本招标文件，包括全部章节和附件；</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（9）“投标文件”指投标人根据本招标文件向招标代理机构提交的全部文件；</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（10）“书面函件”指手写、打字或印刷的函件，包括电传、电报和传真；</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（11）“合同”指由本次招标所产生的合同或合约文件；</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（12）“日期”指公历日，“时间”指北京时间；</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（13）本招标文件中的“境内”特指中华人民共和国海关关境以内，“境外”特指中华人民共和国海关关境以外；</w:t>
      </w:r>
    </w:p>
    <w:p>
      <w:pPr>
        <w:autoSpaceDE/>
        <w:autoSpaceDN/>
        <w:adjustRightInd w:val="0"/>
        <w:spacing w:line="360" w:lineRule="auto"/>
        <w:ind w:left="504" w:leftChars="-60" w:hanging="630" w:hangingChars="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不含税价，即为《中华人民共和国增值税暂行条例》（国务院令第691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pPr>
        <w:autoSpaceDE w:val="0"/>
        <w:autoSpaceDN w:val="0"/>
        <w:adjustRightInd w:val="0"/>
        <w:spacing w:line="360" w:lineRule="auto"/>
        <w:ind w:left="951" w:leftChars="78" w:hanging="787" w:hangingChars="375"/>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02" w:name="_Toc4227"/>
      <w:bookmarkStart w:id="103" w:name="_Toc450662855"/>
      <w:bookmarkStart w:id="104" w:name="_Toc486167669"/>
      <w:bookmarkStart w:id="105" w:name="_Toc142508319"/>
      <w:bookmarkStart w:id="106" w:name="_Toc5261"/>
      <w:bookmarkStart w:id="107" w:name="_Toc3727"/>
      <w:bookmarkStart w:id="108" w:name="_Toc29125_WPSOffice_Level3"/>
      <w:bookmarkStart w:id="109" w:name="_Toc1433"/>
      <w:bookmarkStart w:id="110" w:name="_Toc11346"/>
      <w:r>
        <w:rPr>
          <w:rFonts w:hint="eastAsia" w:ascii="宋体" w:hAnsi="宋体" w:eastAsia="宋体" w:cs="宋体"/>
          <w:color w:val="auto"/>
          <w:szCs w:val="21"/>
          <w:highlight w:val="none"/>
          <w:lang w:val="zh-CN"/>
        </w:rPr>
        <w:t>6 招标文件的异议</w:t>
      </w:r>
      <w:bookmarkEnd w:id="102"/>
      <w:bookmarkEnd w:id="103"/>
      <w:bookmarkEnd w:id="104"/>
      <w:bookmarkEnd w:id="105"/>
      <w:bookmarkEnd w:id="106"/>
      <w:bookmarkEnd w:id="107"/>
      <w:bookmarkEnd w:id="108"/>
      <w:bookmarkEnd w:id="109"/>
      <w:bookmarkEnd w:id="110"/>
    </w:p>
    <w:p>
      <w:pPr>
        <w:autoSpaceDE w:val="0"/>
        <w:autoSpaceDN w:val="0"/>
        <w:adjustRightInd w:val="0"/>
        <w:spacing w:line="360" w:lineRule="auto"/>
        <w:ind w:left="288" w:leftChars="137" w:firstLine="420" w:firstLineChars="200"/>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投标人或者其他利害关系人对招标文件有异议的，应当在投标截止时间10日前</w:t>
      </w:r>
      <w:r>
        <w:rPr>
          <w:rFonts w:hint="eastAsia" w:ascii="宋体" w:hAnsi="宋体" w:eastAsia="宋体" w:cs="宋体"/>
          <w:color w:val="auto"/>
          <w:szCs w:val="21"/>
          <w:highlight w:val="none"/>
          <w:lang w:val="zh-CN"/>
        </w:rPr>
        <w:t>以书面形式向招标代理机构提出，并将材料原件送达招标代理机构，逾期则视为对招标文件所有内容无异议。</w:t>
      </w:r>
      <w:r>
        <w:rPr>
          <w:rFonts w:hint="eastAsia" w:ascii="宋体" w:hAnsi="宋体" w:eastAsia="宋体" w:cs="宋体"/>
          <w:bCs/>
          <w:color w:val="auto"/>
          <w:szCs w:val="21"/>
          <w:highlight w:val="none"/>
          <w:lang w:val="zh-CN"/>
        </w:rPr>
        <w:t>异议</w:t>
      </w:r>
      <w:r>
        <w:rPr>
          <w:rFonts w:hint="eastAsia" w:ascii="宋体" w:hAnsi="宋体" w:eastAsia="宋体" w:cs="宋体"/>
          <w:color w:val="auto"/>
          <w:szCs w:val="21"/>
          <w:highlight w:val="none"/>
          <w:lang w:val="zh-CN"/>
        </w:rPr>
        <w:t>书面材料必须加盖投标人法人公章，并注明联系人、联系电话、联系地址。</w:t>
      </w:r>
      <w:r>
        <w:rPr>
          <w:rFonts w:hint="eastAsia" w:ascii="宋体" w:hAnsi="宋体" w:eastAsia="宋体" w:cs="宋体"/>
          <w:bCs/>
          <w:color w:val="auto"/>
          <w:szCs w:val="21"/>
          <w:highlight w:val="none"/>
          <w:lang w:val="zh-CN"/>
        </w:rPr>
        <w:t>超出</w:t>
      </w:r>
      <w:r>
        <w:rPr>
          <w:rFonts w:hint="eastAsia" w:ascii="宋体" w:hAnsi="宋体" w:eastAsia="宋体" w:cs="宋体"/>
          <w:color w:val="auto"/>
          <w:szCs w:val="21"/>
          <w:highlight w:val="none"/>
          <w:lang w:val="zh-CN"/>
        </w:rPr>
        <w:t>提交接收异议截止时间而</w:t>
      </w:r>
      <w:r>
        <w:rPr>
          <w:rFonts w:hint="eastAsia" w:ascii="宋体" w:hAnsi="宋体" w:eastAsia="宋体" w:cs="宋体"/>
          <w:bCs/>
          <w:color w:val="auto"/>
          <w:szCs w:val="21"/>
          <w:highlight w:val="none"/>
          <w:lang w:val="zh-CN"/>
        </w:rPr>
        <w:t>提出的任何疑问，招标代理机构可不予答复。</w:t>
      </w:r>
      <w:r>
        <w:rPr>
          <w:rFonts w:hint="eastAsia" w:ascii="宋体" w:hAnsi="宋体" w:eastAsia="宋体" w:cs="宋体"/>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290" w:leftChars="137" w:hanging="2" w:hangingChars="1"/>
        <w:rPr>
          <w:rFonts w:hint="eastAsia" w:ascii="宋体" w:hAnsi="宋体" w:eastAsia="宋体" w:cs="宋体"/>
          <w:b/>
          <w:bCs/>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11" w:name="_Toc23483_WPSOffice_Level3"/>
      <w:bookmarkStart w:id="112" w:name="_Toc27165"/>
      <w:bookmarkStart w:id="113" w:name="_Toc142508320"/>
      <w:bookmarkStart w:id="114" w:name="_Toc17145"/>
      <w:bookmarkStart w:id="115" w:name="_Toc450662856"/>
      <w:bookmarkStart w:id="116" w:name="_Toc39"/>
      <w:bookmarkStart w:id="117" w:name="_Toc26081"/>
      <w:bookmarkStart w:id="118" w:name="_Toc486167670"/>
      <w:bookmarkStart w:id="119" w:name="_Toc29864"/>
      <w:r>
        <w:rPr>
          <w:rFonts w:hint="eastAsia" w:ascii="宋体" w:hAnsi="宋体" w:eastAsia="宋体" w:cs="宋体"/>
          <w:color w:val="auto"/>
          <w:szCs w:val="21"/>
          <w:highlight w:val="none"/>
          <w:lang w:val="zh-CN"/>
        </w:rPr>
        <w:t>7 招标文件的澄清及修改</w:t>
      </w:r>
      <w:bookmarkEnd w:id="111"/>
      <w:bookmarkEnd w:id="112"/>
      <w:bookmarkEnd w:id="113"/>
      <w:bookmarkEnd w:id="114"/>
      <w:bookmarkEnd w:id="115"/>
      <w:bookmarkEnd w:id="116"/>
      <w:bookmarkEnd w:id="117"/>
      <w:bookmarkEnd w:id="118"/>
      <w:bookmarkEnd w:id="119"/>
    </w:p>
    <w:p>
      <w:pPr>
        <w:tabs>
          <w:tab w:val="left" w:pos="567"/>
        </w:tabs>
        <w:autoSpaceDE/>
        <w:autoSpaceDN/>
        <w:adjustRightInd w:val="0"/>
        <w:spacing w:line="360" w:lineRule="auto"/>
        <w:ind w:left="210" w:leftChars="-10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pPr>
        <w:autoSpaceDE/>
        <w:autoSpaceDN/>
        <w:adjustRightInd w:val="0"/>
        <w:spacing w:line="360" w:lineRule="auto"/>
        <w:ind w:left="210" w:leftChars="-10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pPr>
        <w:autoSpaceDE/>
        <w:autoSpaceDN/>
        <w:adjustRightInd w:val="0"/>
        <w:spacing w:line="360" w:lineRule="auto"/>
        <w:ind w:left="210" w:leftChars="-10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宋体"/>
          <w:bCs/>
          <w:color w:val="auto"/>
          <w:szCs w:val="21"/>
          <w:highlight w:val="none"/>
          <w:lang w:eastAsia="zh-CN"/>
        </w:rPr>
        <w:t>广东省公共资源交易平台（ygp.gdzwfw.gov.cn）、</w:t>
      </w:r>
      <w:r>
        <w:rPr>
          <w:rFonts w:hint="eastAsia" w:ascii="宋体" w:hAnsi="宋体" w:eastAsia="宋体" w:cs="宋体"/>
          <w:color w:val="auto"/>
          <w:szCs w:val="21"/>
          <w:highlight w:val="none"/>
          <w:lang w:val="zh-CN"/>
        </w:rPr>
        <w:t>中国招标投标公共服务平台</w:t>
      </w:r>
      <w:r>
        <w:rPr>
          <w:rFonts w:hint="eastAsia" w:ascii="宋体" w:hAnsi="宋体" w:eastAsia="宋体" w:cs="宋体"/>
          <w:color w:val="auto"/>
          <w:szCs w:val="21"/>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"http://www.cebpubservice.com）、广东省招标投标监管"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www.cebpubservice.com）</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东莞市水务集团有限公司网</w:t>
      </w:r>
      <w:r>
        <w:rPr>
          <w:rFonts w:hint="eastAsia" w:ascii="宋体" w:hAnsi="宋体" w:eastAsia="宋体" w:cs="宋体"/>
          <w:color w:val="auto"/>
          <w:szCs w:val="21"/>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"www.dgswjt.cn）、招标代理公司网站（http://%20%20%20%20%20%20%20%20%20%20%20%20%20%20）" </w:instrText>
      </w:r>
      <w:r>
        <w:rPr>
          <w:rFonts w:hint="eastAsia" w:ascii="宋体" w:hAnsi="宋体" w:eastAsia="宋体" w:cs="宋体"/>
          <w:color w:val="auto"/>
          <w:highlight w:val="none"/>
        </w:rPr>
        <w:fldChar w:fldCharType="separate"/>
      </w:r>
      <w:r>
        <w:rPr>
          <w:rStyle w:val="44"/>
          <w:rFonts w:hint="eastAsia" w:ascii="宋体" w:hAnsi="宋体" w:eastAsia="宋体" w:cs="宋体"/>
          <w:color w:val="auto"/>
          <w:sz w:val="21"/>
          <w:szCs w:val="21"/>
          <w:highlight w:val="none"/>
        </w:rPr>
        <w:t>www.dgswjt.cn）</w:t>
      </w:r>
      <w:r>
        <w:rPr>
          <w:rStyle w:val="44"/>
          <w:rFonts w:hint="eastAsia" w:ascii="宋体" w:hAnsi="宋体" w:eastAsia="宋体" w:cs="宋体"/>
          <w:color w:val="auto"/>
          <w:sz w:val="21"/>
          <w:szCs w:val="21"/>
          <w:highlight w:val="none"/>
          <w:lang w:val="zh-CN"/>
        </w:rPr>
        <w:t>、</w:t>
      </w:r>
      <w:r>
        <w:rPr>
          <w:rStyle w:val="44"/>
          <w:rFonts w:hint="eastAsia" w:ascii="宋体" w:hAnsi="宋体" w:eastAsia="宋体" w:cs="宋体"/>
          <w:bCs/>
          <w:color w:val="auto"/>
          <w:kern w:val="0"/>
          <w:sz w:val="21"/>
          <w:szCs w:val="21"/>
          <w:highlight w:val="none"/>
        </w:rPr>
        <w:t>招标代理</w:t>
      </w:r>
      <w:r>
        <w:rPr>
          <w:rStyle w:val="44"/>
          <w:rFonts w:hint="eastAsia" w:ascii="宋体" w:hAnsi="宋体" w:eastAsia="宋体" w:cs="宋体"/>
          <w:bCs/>
          <w:color w:val="auto"/>
          <w:kern w:val="0"/>
          <w:sz w:val="21"/>
          <w:szCs w:val="21"/>
          <w:highlight w:val="none"/>
          <w:lang w:val="en-US" w:eastAsia="zh-CN"/>
        </w:rPr>
        <w:t>机构</w:t>
      </w:r>
      <w:r>
        <w:rPr>
          <w:rStyle w:val="44"/>
          <w:rFonts w:hint="eastAsia" w:ascii="宋体" w:hAnsi="宋体" w:eastAsia="宋体" w:cs="宋体"/>
          <w:bCs/>
          <w:color w:val="auto"/>
          <w:kern w:val="0"/>
          <w:sz w:val="21"/>
          <w:szCs w:val="21"/>
          <w:highlight w:val="none"/>
        </w:rPr>
        <w:t>网站（</w:t>
      </w:r>
      <w:r>
        <w:rPr>
          <w:rFonts w:hint="eastAsia" w:ascii="宋体" w:hAnsi="宋体" w:eastAsia="宋体" w:cs="宋体"/>
          <w:bCs/>
          <w:color w:val="auto"/>
          <w:szCs w:val="21"/>
          <w:highlight w:val="none"/>
        </w:rPr>
        <w:t>www.sfcx.cn</w:t>
      </w:r>
      <w:r>
        <w:rPr>
          <w:rStyle w:val="44"/>
          <w:rFonts w:hint="eastAsia" w:ascii="宋体" w:hAnsi="宋体" w:eastAsia="宋体" w:cs="宋体"/>
          <w:bCs/>
          <w:color w:val="auto"/>
          <w:kern w:val="0"/>
          <w:sz w:val="21"/>
          <w:szCs w:val="21"/>
          <w:highlight w:val="none"/>
        </w:rPr>
        <w:t>）</w:t>
      </w:r>
      <w:r>
        <w:rPr>
          <w:rStyle w:val="44"/>
          <w:rFonts w:hint="eastAsia" w:ascii="宋体" w:hAnsi="宋体" w:eastAsia="宋体" w:cs="宋体"/>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pPr>
        <w:autoSpaceDE w:val="0"/>
        <w:autoSpaceDN w:val="0"/>
        <w:adjustRightInd w:val="0"/>
        <w:spacing w:line="360" w:lineRule="auto"/>
        <w:ind w:left="357" w:leftChars="-100" w:hanging="567"/>
        <w:rPr>
          <w:rFonts w:hint="eastAsia" w:ascii="宋体" w:hAnsi="宋体" w:eastAsia="宋体" w:cs="宋体"/>
          <w:color w:val="auto"/>
          <w:szCs w:val="21"/>
          <w:highlight w:val="none"/>
        </w:rPr>
      </w:pPr>
    </w:p>
    <w:p>
      <w:pPr>
        <w:keepNext/>
        <w:keepLines/>
        <w:tabs>
          <w:tab w:val="left" w:pos="509"/>
        </w:tab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120" w:name="_Toc29659_WPSOffice_Level2"/>
      <w:bookmarkStart w:id="121" w:name="_Toc142508321"/>
      <w:bookmarkStart w:id="122" w:name="_Toc27196"/>
      <w:bookmarkStart w:id="123" w:name="_Toc12169"/>
      <w:bookmarkStart w:id="124" w:name="_Toc31630"/>
      <w:bookmarkStart w:id="125" w:name="_Toc486167671"/>
      <w:bookmarkStart w:id="126" w:name="_Toc140596880"/>
      <w:bookmarkStart w:id="127" w:name="_Toc23342"/>
      <w:bookmarkStart w:id="128" w:name="_Toc450662857"/>
      <w:bookmarkStart w:id="129" w:name="_Toc8711"/>
      <w:r>
        <w:rPr>
          <w:rFonts w:hint="eastAsia" w:ascii="宋体" w:hAnsi="宋体" w:eastAsia="宋体" w:cs="宋体"/>
          <w:b/>
          <w:bCs/>
          <w:color w:val="auto"/>
          <w:kern w:val="44"/>
          <w:szCs w:val="21"/>
          <w:highlight w:val="none"/>
          <w:lang w:val="zh-CN"/>
        </w:rPr>
        <w:t>三、投标文件的编制</w:t>
      </w:r>
      <w:bookmarkEnd w:id="120"/>
      <w:bookmarkEnd w:id="121"/>
      <w:bookmarkEnd w:id="122"/>
      <w:bookmarkEnd w:id="123"/>
      <w:bookmarkEnd w:id="124"/>
      <w:bookmarkEnd w:id="125"/>
      <w:bookmarkEnd w:id="126"/>
      <w:bookmarkEnd w:id="127"/>
      <w:bookmarkEnd w:id="128"/>
      <w:bookmarkEnd w:id="129"/>
    </w:p>
    <w:p>
      <w:pPr>
        <w:tabs>
          <w:tab w:val="left" w:pos="67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30" w:name="_Toc10015_WPSOffice_Level3"/>
      <w:bookmarkStart w:id="131" w:name="_Toc3827"/>
      <w:bookmarkStart w:id="132" w:name="_Toc142508322"/>
      <w:bookmarkStart w:id="133" w:name="_Toc20694"/>
      <w:bookmarkStart w:id="134" w:name="_Toc450662858"/>
      <w:bookmarkStart w:id="135" w:name="_Toc24427"/>
      <w:bookmarkStart w:id="136" w:name="_Toc31162"/>
      <w:bookmarkStart w:id="137" w:name="_Toc6244"/>
      <w:bookmarkStart w:id="138" w:name="_Toc486167672"/>
      <w:r>
        <w:rPr>
          <w:rFonts w:hint="eastAsia" w:ascii="宋体" w:hAnsi="宋体" w:eastAsia="宋体" w:cs="宋体"/>
          <w:color w:val="auto"/>
          <w:szCs w:val="21"/>
          <w:highlight w:val="none"/>
          <w:lang w:val="zh-CN"/>
        </w:rPr>
        <w:t>8 投标使用的文字及度量衡单位</w:t>
      </w:r>
      <w:bookmarkEnd w:id="130"/>
      <w:bookmarkEnd w:id="131"/>
      <w:bookmarkEnd w:id="132"/>
      <w:bookmarkEnd w:id="133"/>
      <w:bookmarkEnd w:id="134"/>
      <w:bookmarkEnd w:id="135"/>
      <w:bookmarkEnd w:id="136"/>
      <w:bookmarkEnd w:id="137"/>
      <w:bookmarkEnd w:id="138"/>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pPr>
        <w:autoSpaceDE w:val="0"/>
        <w:autoSpaceDN w:val="0"/>
        <w:adjustRightInd w:val="0"/>
        <w:spacing w:line="360" w:lineRule="auto"/>
        <w:rPr>
          <w:rFonts w:hint="eastAsia" w:ascii="宋体" w:hAnsi="宋体" w:eastAsia="宋体" w:cs="宋体"/>
          <w:color w:val="auto"/>
          <w:szCs w:val="21"/>
          <w:highlight w:val="none"/>
          <w:lang w:val="zh-CN"/>
        </w:rPr>
      </w:pPr>
    </w:p>
    <w:p>
      <w:pPr>
        <w:tabs>
          <w:tab w:val="left" w:pos="540"/>
        </w:tabs>
        <w:autoSpaceDE w:val="0"/>
        <w:autoSpaceDN w:val="0"/>
        <w:adjustRightInd w:val="0"/>
        <w:spacing w:line="360" w:lineRule="auto"/>
        <w:ind w:left="357" w:leftChars="-100" w:hanging="567"/>
        <w:jc w:val="left"/>
        <w:outlineLvl w:val="2"/>
        <w:rPr>
          <w:rFonts w:hint="eastAsia" w:ascii="宋体" w:hAnsi="宋体" w:eastAsia="宋体" w:cs="宋体"/>
          <w:color w:val="auto"/>
          <w:sz w:val="24"/>
          <w:szCs w:val="24"/>
          <w:highlight w:val="none"/>
          <w:lang w:val="zh-CN"/>
        </w:rPr>
      </w:pPr>
      <w:bookmarkStart w:id="139" w:name="_Toc7348"/>
      <w:bookmarkStart w:id="140" w:name="_Toc14943"/>
      <w:bookmarkStart w:id="141" w:name="_Toc21110"/>
      <w:bookmarkStart w:id="142" w:name="_Toc26462"/>
      <w:bookmarkStart w:id="143" w:name="_Toc3220"/>
      <w:bookmarkStart w:id="144" w:name="_Toc450662859"/>
      <w:bookmarkStart w:id="145" w:name="_Toc486167673"/>
      <w:bookmarkStart w:id="146" w:name="_Toc24916_WPSOffice_Level3"/>
      <w:bookmarkStart w:id="147" w:name="_Toc142508323"/>
      <w:r>
        <w:rPr>
          <w:rFonts w:hint="eastAsia" w:ascii="宋体" w:hAnsi="宋体" w:eastAsia="宋体" w:cs="宋体"/>
          <w:color w:val="auto"/>
          <w:szCs w:val="21"/>
          <w:highlight w:val="none"/>
          <w:lang w:val="zh-CN"/>
        </w:rPr>
        <w:t>9</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39"/>
      <w:bookmarkEnd w:id="140"/>
      <w:bookmarkEnd w:id="141"/>
      <w:bookmarkEnd w:id="142"/>
      <w:bookmarkEnd w:id="143"/>
      <w:bookmarkEnd w:id="144"/>
      <w:bookmarkEnd w:id="145"/>
      <w:bookmarkEnd w:id="146"/>
      <w:bookmarkEnd w:id="147"/>
    </w:p>
    <w:p>
      <w:pPr>
        <w:autoSpaceDE w:val="0"/>
        <w:autoSpaceDN w:val="0"/>
        <w:adjustRightInd w:val="0"/>
        <w:spacing w:line="360" w:lineRule="auto"/>
        <w:ind w:left="212" w:leftChars="-100" w:hanging="422" w:hanging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宋体"/>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宋体"/>
          <w:b/>
          <w:color w:val="auto"/>
          <w:kern w:val="0"/>
          <w:szCs w:val="21"/>
          <w:highlight w:val="none"/>
        </w:rPr>
        <w:t>。</w:t>
      </w:r>
    </w:p>
    <w:p>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9.1.1 商务文件：</w:t>
      </w:r>
    </w:p>
    <w:p>
      <w:pPr>
        <w:autoSpaceDE w:val="0"/>
        <w:autoSpaceDN w:val="0"/>
        <w:adjustRightInd w:val="0"/>
        <w:spacing w:line="360" w:lineRule="auto"/>
        <w:jc w:val="left"/>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b/>
          <w:color w:val="auto"/>
          <w:kern w:val="0"/>
          <w:szCs w:val="21"/>
          <w:highlight w:val="none"/>
          <w:lang w:val="zh-CN"/>
        </w:rPr>
        <w:t>目录：</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（3）供货及/或提供服务过程承诺函；</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1）多证合一营业执照</w:t>
      </w:r>
      <w:r>
        <w:rPr>
          <w:rFonts w:hint="eastAsia" w:ascii="宋体" w:hAnsi="宋体" w:eastAsia="宋体" w:cs="宋体"/>
          <w:color w:val="auto"/>
          <w:kern w:val="0"/>
          <w:szCs w:val="21"/>
          <w:highlight w:val="none"/>
        </w:rPr>
        <w:t>（或事业单位法人证书）</w:t>
      </w:r>
      <w:r>
        <w:rPr>
          <w:rFonts w:hint="eastAsia" w:ascii="宋体" w:hAnsi="宋体" w:eastAsia="宋体" w:cs="宋体"/>
          <w:color w:val="auto"/>
          <w:szCs w:val="21"/>
          <w:highlight w:val="none"/>
          <w:lang w:val="zh-CN"/>
        </w:rPr>
        <w:t>复印件；</w:t>
      </w:r>
    </w:p>
    <w:p>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）法定代表人身份证明书和法定代表人授权书原件（法定代表人投标时只提供法定代表人身份证明书，委托</w:t>
      </w:r>
      <w:r>
        <w:rPr>
          <w:rFonts w:hint="eastAsia" w:ascii="宋体" w:hAnsi="宋体" w:eastAsia="宋体" w:cs="宋体"/>
          <w:color w:val="auto"/>
          <w:szCs w:val="21"/>
          <w:highlight w:val="none"/>
        </w:rPr>
        <w:t>他人</w:t>
      </w:r>
      <w:r>
        <w:rPr>
          <w:rFonts w:hint="eastAsia" w:ascii="宋体" w:hAnsi="宋体" w:eastAsia="宋体" w:cs="宋体"/>
          <w:color w:val="auto"/>
          <w:szCs w:val="21"/>
          <w:highlight w:val="none"/>
          <w:lang w:val="zh-CN"/>
        </w:rPr>
        <w:t>为投标代表时同时提供法定代表人授权书）；</w:t>
      </w:r>
    </w:p>
    <w:p>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）资格业绩【投标人提供一份</w:t>
      </w:r>
      <w:r>
        <w:rPr>
          <w:rFonts w:hint="eastAsia" w:ascii="宋体" w:hAnsi="宋体" w:eastAsia="宋体" w:cs="宋体"/>
          <w:color w:val="auto"/>
          <w:szCs w:val="21"/>
          <w:highlight w:val="none"/>
          <w:lang w:val="en-US" w:eastAsia="zh-CN"/>
        </w:rPr>
        <w:t>2021</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日以来</w:t>
      </w:r>
      <w:r>
        <w:rPr>
          <w:rFonts w:hint="eastAsia" w:ascii="宋体" w:hAnsi="宋体" w:eastAsia="宋体" w:cs="宋体"/>
          <w:color w:val="auto"/>
          <w:szCs w:val="21"/>
          <w:highlight w:val="none"/>
          <w:lang w:val="en-US" w:eastAsia="zh-CN"/>
        </w:rPr>
        <w:t>具有</w:t>
      </w:r>
      <w:r>
        <w:rPr>
          <w:rFonts w:hint="eastAsia" w:ascii="宋体" w:hAnsi="宋体" w:eastAsia="宋体" w:cs="宋体"/>
          <w:b/>
          <w:bCs w:val="0"/>
          <w:color w:val="auto"/>
          <w:sz w:val="21"/>
          <w:szCs w:val="21"/>
          <w:highlight w:val="none"/>
          <w:lang w:val="zh-CN"/>
        </w:rPr>
        <w:t>餐厨废弃物或生活垃圾收运服务</w:t>
      </w:r>
      <w:r>
        <w:rPr>
          <w:rFonts w:hint="eastAsia" w:ascii="宋体" w:hAnsi="宋体" w:eastAsia="宋体" w:cs="宋体"/>
          <w:b/>
          <w:color w:val="auto"/>
          <w:szCs w:val="21"/>
          <w:highlight w:val="none"/>
        </w:rPr>
        <w:t>业绩</w:t>
      </w:r>
      <w:r>
        <w:rPr>
          <w:rFonts w:hint="eastAsia" w:ascii="宋体" w:hAnsi="宋体" w:eastAsia="宋体" w:cs="宋体"/>
          <w:color w:val="auto"/>
          <w:szCs w:val="21"/>
          <w:highlight w:val="none"/>
        </w:rPr>
        <w:t>（合同签订日期为</w:t>
      </w:r>
      <w:r>
        <w:rPr>
          <w:rFonts w:hint="eastAsia" w:ascii="宋体" w:hAnsi="宋体" w:eastAsia="宋体" w:cs="宋体"/>
          <w:color w:val="auto"/>
          <w:szCs w:val="21"/>
          <w:highlight w:val="none"/>
          <w:lang w:val="en-US" w:eastAsia="zh-CN"/>
        </w:rPr>
        <w:t>2021</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日或以后），资格业绩证明材料提交要求详见招标文件第六篇投标文件格式</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（8）</w:t>
      </w:r>
      <w:r>
        <w:rPr>
          <w:rFonts w:hint="eastAsia" w:ascii="宋体" w:hAnsi="宋体" w:eastAsia="宋体" w:cs="宋体"/>
          <w:color w:val="auto"/>
          <w:kern w:val="0"/>
          <w:szCs w:val="21"/>
          <w:highlight w:val="none"/>
          <w:lang w:val="zh-CN"/>
        </w:rPr>
        <w:t>标准化体系认证；</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）合同条款响应程度（合同条款偏离表）；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）业绩表；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）投标保证金汇入情况说明；</w:t>
      </w:r>
    </w:p>
    <w:p>
      <w:pPr>
        <w:tabs>
          <w:tab w:val="left" w:pos="567"/>
        </w:tabs>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pPr>
        <w:autoSpaceDE w:val="0"/>
        <w:autoSpaceDN w:val="0"/>
        <w:adjustRightInd w:val="0"/>
        <w:spacing w:line="360" w:lineRule="auto"/>
        <w:ind w:left="422" w:leftChars="-100" w:hanging="632" w:hangingChars="300"/>
        <w:rPr>
          <w:rFonts w:hint="eastAsia"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pPr>
        <w:autoSpaceDE w:val="0"/>
        <w:autoSpaceDN w:val="0"/>
        <w:adjustRightInd w:val="0"/>
        <w:spacing w:line="360" w:lineRule="auto"/>
        <w:ind w:right="-23" w:rightChars="-11"/>
        <w:jc w:val="left"/>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 xml:space="preserve">    目录：</w:t>
      </w:r>
    </w:p>
    <w:p>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总体服务方案</w:t>
      </w:r>
      <w:r>
        <w:rPr>
          <w:rFonts w:hint="eastAsia" w:ascii="宋体" w:hAnsi="宋体" w:eastAsia="宋体" w:cs="宋体"/>
          <w:color w:val="auto"/>
          <w:kern w:val="0"/>
          <w:szCs w:val="21"/>
          <w:highlight w:val="none"/>
          <w:lang w:val="zh-CN"/>
        </w:rPr>
        <w:t>；</w:t>
      </w:r>
    </w:p>
    <w:p>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拟投入的人员情况；</w:t>
      </w:r>
    </w:p>
    <w:p>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安全管理方案；</w:t>
      </w:r>
    </w:p>
    <w:p>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）应急预案和保障措施</w:t>
      </w:r>
      <w:r>
        <w:rPr>
          <w:rFonts w:hint="eastAsia" w:ascii="宋体" w:hAnsi="宋体" w:eastAsia="宋体" w:cs="宋体"/>
          <w:color w:val="auto"/>
          <w:kern w:val="0"/>
          <w:szCs w:val="21"/>
          <w:highlight w:val="none"/>
          <w:lang w:eastAsia="zh-CN"/>
        </w:rPr>
        <w:t>；</w:t>
      </w:r>
    </w:p>
    <w:p>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pPr>
        <w:autoSpaceDE w:val="0"/>
        <w:autoSpaceDN w:val="0"/>
        <w:adjustRightInd w:val="0"/>
        <w:spacing w:line="360" w:lineRule="auto"/>
        <w:ind w:left="422" w:leftChars="-100" w:hanging="632" w:hangingChars="300"/>
        <w:rPr>
          <w:rFonts w:hint="eastAsia"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（详细要求见本篇第17.5款）</w:t>
      </w:r>
    </w:p>
    <w:p>
      <w:pPr>
        <w:autoSpaceDE w:val="0"/>
        <w:autoSpaceDN w:val="0"/>
        <w:adjustRightInd w:val="0"/>
        <w:spacing w:line="360" w:lineRule="auto"/>
        <w:ind w:left="35" w:leftChars="-118" w:hanging="283" w:hangingChars="135"/>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pPr>
        <w:autoSpaceDE w:val="0"/>
        <w:autoSpaceDN w:val="0"/>
        <w:adjustRightInd w:val="0"/>
        <w:spacing w:line="360" w:lineRule="auto"/>
        <w:ind w:left="422" w:leftChars="-100" w:hanging="632" w:hangingChars="30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pPr>
        <w:autoSpaceDE w:val="0"/>
        <w:autoSpaceDN w:val="0"/>
        <w:adjustRightInd w:val="0"/>
        <w:spacing w:line="360" w:lineRule="auto"/>
        <w:ind w:left="210" w:leftChars="-10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pPr>
        <w:tabs>
          <w:tab w:val="left" w:pos="567"/>
        </w:tabs>
        <w:autoSpaceDE w:val="0"/>
        <w:autoSpaceDN w:val="0"/>
        <w:adjustRightInd w:val="0"/>
        <w:spacing w:line="360" w:lineRule="auto"/>
        <w:ind w:left="210" w:leftChars="-10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48" w:name="_Toc11170"/>
      <w:bookmarkStart w:id="149" w:name="_Toc13214"/>
      <w:bookmarkStart w:id="150" w:name="_Toc31771"/>
      <w:bookmarkStart w:id="151" w:name="_Toc8675_WPSOffice_Level3"/>
      <w:bookmarkStart w:id="152" w:name="_Toc27421"/>
      <w:bookmarkStart w:id="153" w:name="_Toc486167674"/>
      <w:bookmarkStart w:id="154" w:name="_Toc450662860"/>
      <w:bookmarkStart w:id="155" w:name="_Toc10212"/>
      <w:bookmarkStart w:id="156" w:name="_Toc142508324"/>
      <w:r>
        <w:rPr>
          <w:rFonts w:hint="eastAsia" w:ascii="宋体" w:hAnsi="宋体" w:eastAsia="宋体" w:cs="宋体"/>
          <w:color w:val="auto"/>
          <w:szCs w:val="21"/>
          <w:highlight w:val="none"/>
          <w:lang w:val="zh-CN"/>
        </w:rPr>
        <w:t>10 投标函</w:t>
      </w:r>
      <w:bookmarkEnd w:id="148"/>
      <w:bookmarkEnd w:id="149"/>
      <w:bookmarkEnd w:id="150"/>
      <w:bookmarkEnd w:id="151"/>
      <w:bookmarkEnd w:id="152"/>
      <w:bookmarkEnd w:id="153"/>
      <w:bookmarkEnd w:id="154"/>
      <w:bookmarkEnd w:id="155"/>
      <w:bookmarkEnd w:id="156"/>
    </w:p>
    <w:p>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57" w:name="_Toc15427"/>
      <w:bookmarkStart w:id="158" w:name="_Toc4385_WPSOffice_Level3"/>
      <w:bookmarkStart w:id="159" w:name="_Toc24311"/>
      <w:bookmarkStart w:id="160" w:name="_Toc2088"/>
      <w:bookmarkStart w:id="161" w:name="_Toc486167675"/>
      <w:bookmarkStart w:id="162" w:name="_Toc20186"/>
      <w:bookmarkStart w:id="163" w:name="_Toc15514"/>
      <w:bookmarkStart w:id="164" w:name="_Toc450662861"/>
      <w:bookmarkStart w:id="165" w:name="_Toc142508325"/>
      <w:r>
        <w:rPr>
          <w:rFonts w:hint="eastAsia" w:ascii="宋体" w:hAnsi="宋体" w:eastAsia="宋体" w:cs="宋体"/>
          <w:color w:val="auto"/>
          <w:szCs w:val="21"/>
          <w:highlight w:val="none"/>
          <w:lang w:val="zh-CN"/>
        </w:rPr>
        <w:t>11 投标报价</w:t>
      </w:r>
      <w:bookmarkEnd w:id="157"/>
      <w:bookmarkEnd w:id="158"/>
      <w:bookmarkEnd w:id="159"/>
      <w:bookmarkEnd w:id="160"/>
      <w:bookmarkEnd w:id="161"/>
      <w:bookmarkEnd w:id="162"/>
      <w:bookmarkEnd w:id="163"/>
      <w:bookmarkEnd w:id="164"/>
      <w:bookmarkEnd w:id="165"/>
    </w:p>
    <w:p>
      <w:pPr>
        <w:tabs>
          <w:tab w:val="left" w:pos="567"/>
        </w:tabs>
        <w:autoSpaceDE/>
        <w:autoSpaceDN/>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11.1 </w:t>
      </w:r>
      <w:r>
        <w:rPr>
          <w:rFonts w:hint="eastAsia" w:ascii="宋体" w:hAnsi="宋体" w:eastAsia="宋体" w:cs="宋体"/>
          <w:b/>
          <w:color w:val="auto"/>
          <w:szCs w:val="21"/>
          <w:highlight w:val="none"/>
          <w:u w:val="single"/>
          <w:lang w:val="zh-CN"/>
        </w:rPr>
        <w:t>本项目只允许有一个报价价格，任何有选择的或</w:t>
      </w:r>
      <w:r>
        <w:rPr>
          <w:rFonts w:hint="eastAsia" w:ascii="宋体" w:hAnsi="宋体" w:eastAsia="宋体" w:cs="宋体"/>
          <w:b/>
          <w:color w:val="auto"/>
          <w:kern w:val="0"/>
          <w:szCs w:val="21"/>
          <w:highlight w:val="none"/>
          <w:u w:val="single"/>
          <w:lang w:val="zh-CN"/>
        </w:rPr>
        <w:t>不是固定价的</w:t>
      </w:r>
      <w:r>
        <w:rPr>
          <w:rFonts w:hint="eastAsia" w:ascii="宋体" w:hAnsi="宋体" w:eastAsia="宋体" w:cs="宋体"/>
          <w:b/>
          <w:color w:val="auto"/>
          <w:szCs w:val="21"/>
          <w:highlight w:val="none"/>
          <w:u w:val="single"/>
          <w:lang w:val="zh-CN"/>
        </w:rPr>
        <w:t>投标报价将不予接受，</w:t>
      </w:r>
      <w:r>
        <w:rPr>
          <w:rFonts w:hint="eastAsia" w:ascii="宋体" w:hAnsi="宋体" w:eastAsia="宋体" w:cs="宋体"/>
          <w:b/>
          <w:color w:val="auto"/>
          <w:kern w:val="0"/>
          <w:szCs w:val="21"/>
          <w:highlight w:val="none"/>
          <w:u w:val="single"/>
          <w:lang w:val="zh-CN"/>
        </w:rPr>
        <w:t>作为非实质性响应投标而予以拒绝。</w:t>
      </w:r>
      <w:r>
        <w:rPr>
          <w:rFonts w:hint="eastAsia" w:ascii="宋体" w:hAnsi="宋体" w:eastAsia="宋体" w:cs="宋体"/>
          <w:b/>
          <w:color w:val="auto"/>
          <w:kern w:val="0"/>
          <w:szCs w:val="21"/>
          <w:highlight w:val="none"/>
          <w:u w:val="single"/>
        </w:rPr>
        <w:t>投标人不得以低于企业自身成本的价格竞投</w:t>
      </w:r>
      <w:r>
        <w:rPr>
          <w:rFonts w:hint="eastAsia" w:ascii="宋体" w:hAnsi="宋体" w:eastAsia="宋体" w:cs="宋体"/>
          <w:b/>
          <w:color w:val="auto"/>
          <w:szCs w:val="21"/>
          <w:highlight w:val="none"/>
          <w:u w:val="single"/>
          <w:lang w:val="zh-CN"/>
        </w:rPr>
        <w:t>。</w:t>
      </w:r>
    </w:p>
    <w:p>
      <w:pPr>
        <w:tabs>
          <w:tab w:val="left" w:pos="567"/>
        </w:tabs>
        <w:autoSpaceDE/>
        <w:autoSpaceDN/>
        <w:adjustRightInd w:val="0"/>
        <w:spacing w:line="360" w:lineRule="auto"/>
        <w:ind w:left="420" w:leftChars="200" w:firstLine="422" w:firstLineChars="200"/>
        <w:rPr>
          <w:rFonts w:hint="eastAsia" w:ascii="宋体" w:hAnsi="宋体" w:eastAsia="宋体" w:cs="宋体"/>
          <w:b/>
          <w:color w:val="auto"/>
          <w:szCs w:val="21"/>
          <w:highlight w:val="none"/>
          <w:u w:val="single"/>
          <w:lang w:val="zh-CN"/>
        </w:rPr>
      </w:pPr>
      <w:r>
        <w:rPr>
          <w:rFonts w:hint="eastAsia" w:ascii="宋体" w:hAnsi="宋体" w:eastAsia="宋体" w:cs="宋体"/>
          <w:b/>
          <w:color w:val="auto"/>
          <w:szCs w:val="21"/>
          <w:highlight w:val="none"/>
          <w:u w:val="singl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pPr>
        <w:tabs>
          <w:tab w:val="left" w:pos="567"/>
        </w:tabs>
        <w:autoSpaceDE/>
        <w:autoSpaceDN/>
        <w:adjustRightInd w:val="0"/>
        <w:spacing w:line="360" w:lineRule="auto"/>
        <w:ind w:left="420" w:leftChars="200" w:firstLine="422" w:firstLineChars="200"/>
        <w:rPr>
          <w:rFonts w:hint="eastAsia" w:ascii="宋体" w:hAnsi="宋体" w:eastAsia="宋体" w:cs="宋体"/>
          <w:b/>
          <w:color w:val="auto"/>
          <w:szCs w:val="21"/>
          <w:highlight w:val="none"/>
          <w:u w:val="single"/>
          <w:lang w:val="zh-CN"/>
        </w:rPr>
      </w:pPr>
      <w:r>
        <w:rPr>
          <w:rFonts w:hint="eastAsia" w:ascii="宋体" w:hAnsi="宋体" w:eastAsia="宋体" w:cs="宋体"/>
          <w:b/>
          <w:color w:val="auto"/>
          <w:szCs w:val="21"/>
          <w:highlight w:val="none"/>
          <w:u w:val="single"/>
          <w:lang w:val="zh-CN"/>
        </w:rPr>
        <w:t>对是否低于企业成本价报价的事宜有争议的投标文件，评标委员会成员将以记名方式表决，</w:t>
      </w:r>
      <w:r>
        <w:rPr>
          <w:rFonts w:hint="eastAsia" w:ascii="宋体" w:hAnsi="宋体" w:eastAsia="宋体" w:cs="宋体"/>
          <w:b/>
          <w:color w:val="auto"/>
          <w:szCs w:val="21"/>
          <w:highlight w:val="none"/>
          <w:u w:val="single"/>
          <w:lang w:val="zh-CN" w:eastAsia="zh-CN"/>
        </w:rPr>
        <w:t>根据少数服从多数的原则，获多数表决通过</w:t>
      </w:r>
      <w:r>
        <w:rPr>
          <w:rFonts w:hint="eastAsia" w:ascii="宋体" w:hAnsi="宋体" w:eastAsia="宋体" w:cs="宋体"/>
          <w:b/>
          <w:color w:val="auto"/>
          <w:szCs w:val="21"/>
          <w:highlight w:val="none"/>
          <w:u w:val="single"/>
          <w:lang w:val="zh-CN"/>
        </w:rPr>
        <w:t>的投标人才有资格进入下一阶段的评审，否则将按无效投标处理。</w:t>
      </w:r>
    </w:p>
    <w:p>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本项目投标报价餐厨垃圾收运服务综合单价为不含税价，即为《中华人民共和国增值税暂行条例》（国务院令第691号修订版）规定的销售额</w:t>
      </w:r>
      <w:r>
        <w:rPr>
          <w:rFonts w:hint="eastAsia" w:ascii="宋体" w:hAnsi="宋体" w:eastAsia="宋体" w:cs="宋体"/>
          <w:color w:val="auto"/>
          <w:szCs w:val="21"/>
          <w:highlight w:val="none"/>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（1）餐厨垃圾收运服务</w:t>
      </w:r>
      <w:r>
        <w:rPr>
          <w:rFonts w:hint="eastAsia" w:ascii="宋体" w:hAnsi="宋体" w:eastAsia="宋体" w:cs="宋体"/>
          <w:color w:val="auto"/>
          <w:kern w:val="0"/>
          <w:sz w:val="21"/>
          <w:szCs w:val="21"/>
          <w:highlight w:val="none"/>
          <w:lang w:val="en-US" w:eastAsia="zh-CN"/>
        </w:rPr>
        <w:t>全过程的人工费（工资及加班工资、福利、社保、住房公积金、节日补贴、高温津贴、市内交通补贴、膳食、住宿、体检、意外伤害保险、劳保、服装等）</w:t>
      </w:r>
      <w:r>
        <w:rPr>
          <w:rFonts w:hint="eastAsia" w:ascii="宋体" w:hAnsi="宋体" w:eastAsia="宋体" w:cs="宋体"/>
          <w:color w:val="auto"/>
          <w:szCs w:val="21"/>
          <w:highlight w:val="none"/>
          <w:lang w:val="zh-CN"/>
        </w:rPr>
        <w:t>、办公费、交通费、管理费、培训费、</w:t>
      </w:r>
      <w:r>
        <w:rPr>
          <w:rFonts w:hint="eastAsia" w:ascii="宋体" w:hAnsi="宋体" w:eastAsia="宋体" w:cs="宋体"/>
          <w:color w:val="auto"/>
          <w:sz w:val="21"/>
          <w:szCs w:val="21"/>
          <w:highlight w:val="none"/>
        </w:rPr>
        <w:t>现场</w:t>
      </w:r>
      <w:r>
        <w:rPr>
          <w:rFonts w:hint="eastAsia" w:ascii="宋体" w:hAnsi="宋体" w:eastAsia="宋体" w:cs="宋体"/>
          <w:color w:val="auto"/>
          <w:szCs w:val="21"/>
          <w:highlight w:val="none"/>
          <w:lang w:val="zh-CN"/>
        </w:rPr>
        <w:t>清</w:t>
      </w:r>
      <w:r>
        <w:rPr>
          <w:rFonts w:hint="eastAsia" w:ascii="宋体" w:hAnsi="宋体" w:eastAsia="宋体" w:cs="宋体"/>
          <w:color w:val="auto"/>
          <w:szCs w:val="21"/>
          <w:highlight w:val="none"/>
          <w:lang w:val="en-US" w:eastAsia="zh-CN"/>
        </w:rPr>
        <w:t>洁</w:t>
      </w:r>
      <w:r>
        <w:rPr>
          <w:rFonts w:hint="eastAsia" w:ascii="宋体" w:hAnsi="宋体" w:eastAsia="宋体" w:cs="宋体"/>
          <w:color w:val="auto"/>
          <w:szCs w:val="21"/>
          <w:highlight w:val="none"/>
          <w:lang w:val="zh-CN"/>
        </w:rPr>
        <w:t>费，招标人提供的收运车辆以外的</w:t>
      </w:r>
      <w:r>
        <w:rPr>
          <w:rFonts w:hint="eastAsia" w:ascii="宋体" w:hAnsi="宋体" w:eastAsia="宋体" w:cs="宋体"/>
          <w:color w:val="auto"/>
          <w:szCs w:val="21"/>
          <w:highlight w:val="none"/>
          <w:lang w:val="zh-CN" w:eastAsia="zh-CN"/>
        </w:rPr>
        <w:t>车辆</w:t>
      </w:r>
      <w:r>
        <w:rPr>
          <w:rFonts w:hint="eastAsia" w:ascii="宋体" w:hAnsi="宋体" w:eastAsia="宋体" w:cs="宋体"/>
          <w:color w:val="auto"/>
          <w:szCs w:val="21"/>
          <w:highlight w:val="none"/>
          <w:lang w:val="zh-CN"/>
        </w:rPr>
        <w:t>及工器具</w:t>
      </w:r>
      <w:r>
        <w:rPr>
          <w:rFonts w:hint="eastAsia" w:ascii="宋体" w:hAnsi="宋体" w:eastAsia="宋体" w:cs="宋体"/>
          <w:color w:val="auto"/>
          <w:szCs w:val="21"/>
          <w:highlight w:val="none"/>
          <w:lang w:val="zh-CN" w:eastAsia="zh-CN"/>
        </w:rPr>
        <w:t>使用费（如有）</w:t>
      </w:r>
      <w:r>
        <w:rPr>
          <w:rFonts w:hint="eastAsia" w:ascii="宋体" w:hAnsi="宋体" w:eastAsia="宋体" w:cs="宋体"/>
          <w:color w:val="auto"/>
          <w:szCs w:val="21"/>
          <w:highlight w:val="none"/>
          <w:lang w:val="zh-CN"/>
        </w:rPr>
        <w:t>等</w:t>
      </w:r>
      <w:r>
        <w:rPr>
          <w:rFonts w:hint="eastAsia" w:ascii="宋体" w:hAnsi="宋体" w:eastAsia="宋体" w:cs="宋体"/>
          <w:color w:val="auto"/>
          <w:szCs w:val="21"/>
          <w:highlight w:val="none"/>
          <w:lang w:val="zh-CN" w:eastAsia="zh-CN"/>
        </w:rPr>
        <w:t>；</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）收运车辆及相应车载信息化设备</w:t>
      </w:r>
      <w:r>
        <w:rPr>
          <w:rFonts w:hint="eastAsia" w:ascii="宋体" w:hAnsi="宋体" w:eastAsia="宋体" w:cs="宋体"/>
          <w:color w:val="auto"/>
          <w:szCs w:val="21"/>
          <w:highlight w:val="none"/>
          <w:lang w:val="zh-CN" w:eastAsia="zh-CN"/>
        </w:rPr>
        <w:t>的</w:t>
      </w:r>
      <w:r>
        <w:rPr>
          <w:rFonts w:hint="eastAsia" w:ascii="宋体" w:hAnsi="宋体" w:eastAsia="宋体" w:cs="宋体"/>
          <w:color w:val="auto"/>
          <w:szCs w:val="21"/>
          <w:highlight w:val="none"/>
          <w:lang w:val="zh-CN"/>
        </w:rPr>
        <w:t>保管、维护、清洁以及维修</w:t>
      </w:r>
      <w:r>
        <w:rPr>
          <w:rFonts w:hint="eastAsia" w:ascii="宋体" w:hAnsi="宋体" w:eastAsia="宋体" w:cs="宋体"/>
          <w:color w:val="auto"/>
          <w:szCs w:val="21"/>
          <w:highlight w:val="none"/>
          <w:lang w:val="zh-CN" w:eastAsia="zh-CN"/>
        </w:rPr>
        <w:t>费，收运车辆</w:t>
      </w:r>
      <w:r>
        <w:rPr>
          <w:rFonts w:hint="eastAsia" w:ascii="宋体" w:hAnsi="宋体" w:eastAsia="宋体" w:cs="宋体"/>
          <w:color w:val="auto"/>
          <w:szCs w:val="21"/>
          <w:highlight w:val="none"/>
          <w:lang w:val="zh-CN"/>
        </w:rPr>
        <w:t>的燃料费、拖车费、维修保养费</w:t>
      </w:r>
      <w:r>
        <w:rPr>
          <w:rFonts w:hint="eastAsia" w:ascii="宋体" w:hAnsi="宋体" w:eastAsia="宋体" w:cs="宋体"/>
          <w:color w:val="auto"/>
          <w:szCs w:val="21"/>
          <w:highlight w:val="none"/>
          <w:lang w:val="zh-CN" w:eastAsia="zh-CN"/>
        </w:rPr>
        <w:t>、年审费、交通违章罚款、</w:t>
      </w:r>
      <w:r>
        <w:rPr>
          <w:rFonts w:hint="eastAsia" w:ascii="宋体" w:hAnsi="宋体" w:eastAsia="宋体" w:cs="宋体"/>
          <w:color w:val="auto"/>
          <w:szCs w:val="21"/>
          <w:highlight w:val="none"/>
          <w:lang w:val="zh-CN"/>
        </w:rPr>
        <w:t>交通事故产生的费用等；</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）合理利润、投标人销项税额以外的税费等；</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）法律法规、商业公认、招标文件规定由投标人承担的其他直接及间接费用。未经招标人书面同意，投标人（包括但不限于投标人制定的第三方）不得要求招标人另行支付其他任何费用。</w:t>
      </w:r>
    </w:p>
    <w:p>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11.3 </w:t>
      </w:r>
      <w:r>
        <w:rPr>
          <w:rFonts w:hint="eastAsia" w:ascii="宋体" w:hAnsi="宋体" w:eastAsia="宋体" w:cs="宋体"/>
          <w:color w:val="auto"/>
          <w:szCs w:val="21"/>
          <w:highlight w:val="none"/>
          <w:lang w:val="zh-CN"/>
        </w:rPr>
        <w:t>投标人根据</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第11.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款</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所报的价格分项仅供评标委员会评审时使用；在任何情况下不限制投标人以不同的条件中标的权利。</w:t>
      </w:r>
    </w:p>
    <w:p>
      <w:pPr>
        <w:autoSpaceDE w:val="0"/>
        <w:autoSpaceDN w:val="0"/>
        <w:adjustRightInd w:val="0"/>
        <w:spacing w:line="360" w:lineRule="auto"/>
        <w:ind w:left="268" w:leftChars="-100" w:hanging="478" w:hangingChars="228"/>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宋体"/>
          <w:b/>
          <w:bCs/>
          <w:color w:val="auto"/>
          <w:szCs w:val="21"/>
          <w:highlight w:val="none"/>
          <w:u w:val="single"/>
          <w:lang w:val="zh-CN"/>
        </w:rPr>
        <w:t>合同项下，招标人需要的</w:t>
      </w:r>
      <w:r>
        <w:rPr>
          <w:rFonts w:hint="eastAsia" w:ascii="宋体" w:hAnsi="宋体" w:eastAsia="宋体" w:cs="宋体"/>
          <w:b/>
          <w:bCs/>
          <w:color w:val="auto"/>
          <w:szCs w:val="21"/>
          <w:highlight w:val="none"/>
          <w:u w:val="single"/>
          <w:lang w:val="en-US" w:eastAsia="zh-CN"/>
        </w:rPr>
        <w:t>相关</w:t>
      </w:r>
      <w:r>
        <w:rPr>
          <w:rFonts w:hint="eastAsia" w:ascii="宋体" w:hAnsi="宋体" w:eastAsia="宋体" w:cs="宋体"/>
          <w:b/>
          <w:bCs/>
          <w:color w:val="auto"/>
          <w:szCs w:val="21"/>
          <w:highlight w:val="none"/>
          <w:u w:val="single"/>
          <w:lang w:val="zh-CN"/>
        </w:rPr>
        <w:t>服务所需的费用，投标人都应计入投标报价总价。</w:t>
      </w:r>
    </w:p>
    <w:p>
      <w:pPr>
        <w:autoSpaceDE/>
        <w:autoSpaceDN/>
        <w:adjustRightInd w:val="0"/>
        <w:spacing w:line="360" w:lineRule="auto"/>
        <w:ind w:left="315" w:leftChars="-100" w:hanging="525" w:hangingChars="250"/>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宋体"/>
          <w:b/>
          <w:bCs/>
          <w:color w:val="auto"/>
          <w:szCs w:val="21"/>
          <w:highlight w:val="none"/>
          <w:u w:val="none"/>
        </w:rPr>
        <w:t xml:space="preserve"> </w:t>
      </w:r>
      <w:r>
        <w:rPr>
          <w:rFonts w:hint="eastAsia" w:ascii="宋体" w:hAnsi="宋体" w:eastAsia="宋体" w:cs="宋体"/>
          <w:b/>
          <w:color w:val="auto"/>
          <w:szCs w:val="21"/>
          <w:highlight w:val="none"/>
          <w:u w:val="single"/>
          <w:lang w:val="zh-CN"/>
        </w:rPr>
        <w:t>投标人的投标报价高于最高投标限价的，该投标人的投标文件将被视为无效投标。本项目餐厨垃圾收运服务综合单价不含税</w:t>
      </w:r>
      <w:r>
        <w:rPr>
          <w:rFonts w:hint="eastAsia" w:ascii="宋体" w:hAnsi="宋体" w:eastAsia="宋体" w:cs="宋体"/>
          <w:b/>
          <w:color w:val="auto"/>
          <w:szCs w:val="21"/>
          <w:highlight w:val="none"/>
          <w:u w:val="single"/>
          <w:lang w:val="en-US" w:eastAsia="zh-CN"/>
        </w:rPr>
        <w:t>的</w:t>
      </w:r>
      <w:r>
        <w:rPr>
          <w:rFonts w:hint="eastAsia" w:ascii="宋体" w:hAnsi="宋体" w:eastAsia="宋体" w:cs="宋体"/>
          <w:b/>
          <w:color w:val="auto"/>
          <w:szCs w:val="21"/>
          <w:highlight w:val="none"/>
          <w:u w:val="single"/>
        </w:rPr>
        <w:t>最高投标限价</w:t>
      </w:r>
      <w:r>
        <w:rPr>
          <w:rFonts w:hint="eastAsia" w:ascii="宋体" w:hAnsi="宋体" w:eastAsia="宋体" w:cs="宋体"/>
          <w:b/>
          <w:color w:val="auto"/>
          <w:szCs w:val="21"/>
          <w:highlight w:val="none"/>
          <w:u w:val="single"/>
          <w:lang w:val="zh-CN"/>
        </w:rPr>
        <w:t>为</w:t>
      </w:r>
      <w:r>
        <w:rPr>
          <w:rFonts w:hint="eastAsia" w:ascii="宋体" w:hAnsi="宋体" w:eastAsia="宋体" w:cs="宋体"/>
          <w:b/>
          <w:color w:val="auto"/>
          <w:szCs w:val="21"/>
          <w:highlight w:val="none"/>
          <w:u w:val="single"/>
          <w:lang w:val="en-US" w:eastAsia="zh-CN"/>
        </w:rPr>
        <w:t>130.14</w:t>
      </w:r>
      <w:r>
        <w:rPr>
          <w:rFonts w:hint="eastAsia" w:ascii="宋体" w:hAnsi="宋体" w:eastAsia="宋体" w:cs="宋体"/>
          <w:b/>
          <w:color w:val="auto"/>
          <w:szCs w:val="21"/>
          <w:highlight w:val="none"/>
          <w:u w:val="single"/>
          <w:lang w:val="zh-CN"/>
        </w:rPr>
        <w:t>元</w:t>
      </w:r>
      <w:r>
        <w:rPr>
          <w:rFonts w:hint="eastAsia" w:ascii="宋体" w:hAnsi="宋体" w:eastAsia="宋体" w:cs="宋体"/>
          <w:b/>
          <w:color w:val="auto"/>
          <w:szCs w:val="21"/>
          <w:highlight w:val="none"/>
          <w:u w:val="single"/>
          <w:lang w:val="en-US" w:eastAsia="zh-CN"/>
        </w:rPr>
        <w:t>/吨</w:t>
      </w:r>
      <w:r>
        <w:rPr>
          <w:rFonts w:hint="eastAsia" w:ascii="宋体" w:hAnsi="宋体" w:eastAsia="宋体" w:cs="宋体"/>
          <w:b/>
          <w:color w:val="auto"/>
          <w:szCs w:val="21"/>
          <w:highlight w:val="none"/>
          <w:u w:val="single"/>
          <w:lang w:val="zh-CN"/>
        </w:rPr>
        <w:t>（大写：每吨壹佰叁拾元壹角肆分）。</w:t>
      </w:r>
    </w:p>
    <w:p>
      <w:pPr>
        <w:autoSpaceDE w:val="0"/>
        <w:autoSpaceDN w:val="0"/>
        <w:adjustRightInd w:val="0"/>
        <w:spacing w:line="360" w:lineRule="auto"/>
        <w:ind w:left="357" w:leftChars="-100" w:hanging="567"/>
        <w:rPr>
          <w:rFonts w:hint="eastAsia" w:ascii="宋体" w:hAnsi="宋体" w:eastAsia="宋体" w:cs="宋体"/>
          <w:color w:val="auto"/>
          <w:szCs w:val="21"/>
          <w:highlight w:val="none"/>
        </w:rPr>
      </w:pPr>
    </w:p>
    <w:p>
      <w:pPr>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166" w:name="_Toc32064"/>
      <w:bookmarkStart w:id="167" w:name="_Toc8937"/>
      <w:bookmarkStart w:id="168" w:name="_Toc3469"/>
      <w:bookmarkStart w:id="169" w:name="_Toc142508326"/>
      <w:bookmarkStart w:id="170" w:name="_Toc486167676"/>
      <w:bookmarkStart w:id="171" w:name="_Toc20312"/>
      <w:bookmarkStart w:id="172" w:name="_Toc7530"/>
      <w:bookmarkStart w:id="173" w:name="_Toc450662862"/>
      <w:bookmarkStart w:id="174" w:name="_Toc30042_WPSOffice_Level3"/>
      <w:r>
        <w:rPr>
          <w:rFonts w:hint="eastAsia" w:ascii="宋体" w:hAnsi="宋体" w:eastAsia="宋体" w:cs="宋体"/>
          <w:b/>
          <w:color w:val="auto"/>
          <w:szCs w:val="21"/>
          <w:highlight w:val="none"/>
          <w:lang w:val="zh-CN"/>
        </w:rPr>
        <w:t>12 投标报价货币</w:t>
      </w:r>
      <w:bookmarkEnd w:id="166"/>
      <w:bookmarkEnd w:id="167"/>
      <w:bookmarkEnd w:id="168"/>
      <w:bookmarkEnd w:id="169"/>
      <w:bookmarkEnd w:id="170"/>
      <w:bookmarkEnd w:id="171"/>
      <w:bookmarkEnd w:id="172"/>
      <w:bookmarkEnd w:id="173"/>
      <w:bookmarkEnd w:id="174"/>
    </w:p>
    <w:p>
      <w:pPr>
        <w:autoSpaceDE w:val="0"/>
        <w:autoSpaceDN w:val="0"/>
        <w:adjustRightInd w:val="0"/>
        <w:spacing w:line="360" w:lineRule="auto"/>
        <w:ind w:left="265" w:leftChars="119" w:hanging="15"/>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u w:val="single"/>
          <w:lang w:val="zh-CN"/>
        </w:rPr>
        <w:t>投标报价表上的价格须以人民币报价，以其</w:t>
      </w:r>
      <w:r>
        <w:rPr>
          <w:rFonts w:hint="eastAsia" w:ascii="宋体" w:hAnsi="宋体" w:eastAsia="宋体" w:cs="宋体"/>
          <w:b/>
          <w:color w:val="auto"/>
          <w:szCs w:val="21"/>
          <w:highlight w:val="none"/>
          <w:u w:val="single"/>
          <w:lang w:val="en-US" w:eastAsia="zh-CN"/>
        </w:rPr>
        <w:t>他</w:t>
      </w:r>
      <w:r>
        <w:rPr>
          <w:rFonts w:hint="eastAsia" w:ascii="宋体" w:hAnsi="宋体" w:eastAsia="宋体" w:cs="宋体"/>
          <w:b/>
          <w:color w:val="auto"/>
          <w:szCs w:val="21"/>
          <w:highlight w:val="none"/>
          <w:u w:val="single"/>
          <w:lang w:val="zh-CN"/>
        </w:rPr>
        <w:t>货币标价的投标将予以拒绝</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265" w:leftChars="119" w:hanging="15"/>
        <w:rPr>
          <w:rFonts w:hint="eastAsia" w:ascii="宋体" w:hAnsi="宋体" w:eastAsia="宋体" w:cs="宋体"/>
          <w:color w:val="auto"/>
          <w:szCs w:val="21"/>
          <w:highlight w:val="none"/>
        </w:rPr>
      </w:pPr>
    </w:p>
    <w:p>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75" w:name="_Toc142508327"/>
      <w:bookmarkStart w:id="176" w:name="_Toc450662863"/>
      <w:bookmarkStart w:id="177" w:name="_Toc5824"/>
      <w:bookmarkStart w:id="178" w:name="_Toc17487"/>
      <w:bookmarkStart w:id="179" w:name="_Toc1091"/>
      <w:bookmarkStart w:id="180" w:name="_Toc486167677"/>
      <w:bookmarkStart w:id="181" w:name="_Toc3961"/>
      <w:bookmarkStart w:id="182" w:name="_Toc9411_WPSOffice_Level3"/>
      <w:bookmarkStart w:id="183" w:name="_Toc20031"/>
      <w:r>
        <w:rPr>
          <w:rFonts w:hint="eastAsia" w:ascii="宋体" w:hAnsi="宋体" w:eastAsia="宋体" w:cs="宋体"/>
          <w:color w:val="auto"/>
          <w:szCs w:val="21"/>
          <w:highlight w:val="none"/>
          <w:lang w:val="zh-CN"/>
        </w:rPr>
        <w:t>13 证明投标人的合格性和资格的声明文件</w:t>
      </w:r>
      <w:bookmarkEnd w:id="175"/>
      <w:bookmarkEnd w:id="176"/>
      <w:bookmarkEnd w:id="177"/>
      <w:bookmarkEnd w:id="178"/>
      <w:bookmarkEnd w:id="179"/>
      <w:bookmarkEnd w:id="180"/>
      <w:bookmarkEnd w:id="181"/>
      <w:bookmarkEnd w:id="182"/>
      <w:bookmarkEnd w:id="183"/>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pPr>
        <w:autoSpaceDE w:val="0"/>
        <w:autoSpaceDN w:val="0"/>
        <w:adjustRightInd w:val="0"/>
        <w:spacing w:line="360" w:lineRule="auto"/>
        <w:ind w:left="357" w:leftChars="-100" w:hanging="567"/>
        <w:rPr>
          <w:rFonts w:hint="eastAsia"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投标人提供的履行合同的资格声明文件应符合：</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（3）投标人证明其相应资格符合或优于招标文件要求的其它文件。</w:t>
      </w:r>
    </w:p>
    <w:p>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 投标人根据招标文件载明的相关服务要求的实际情况，拟在中标后将中标项目的非主体、非关键性专业工作交由他人完成的，应当在投标文件中载明，并提供他人的资质、能力证明材料。</w:t>
      </w:r>
    </w:p>
    <w:p>
      <w:pPr>
        <w:autoSpaceDE w:val="0"/>
        <w:autoSpaceDN w:val="0"/>
        <w:adjustRightInd w:val="0"/>
        <w:spacing w:line="360" w:lineRule="auto"/>
        <w:ind w:left="560" w:leftChars="128" w:hanging="291" w:hangingChars="139"/>
        <w:rPr>
          <w:rFonts w:hint="eastAsia" w:ascii="宋体" w:hAnsi="宋体" w:eastAsia="宋体" w:cs="宋体"/>
          <w:color w:val="auto"/>
          <w:szCs w:val="21"/>
          <w:highlight w:val="none"/>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84" w:name="_Toc1948"/>
      <w:bookmarkStart w:id="185" w:name="_Toc142508328"/>
      <w:bookmarkStart w:id="186" w:name="_Toc16657"/>
      <w:bookmarkStart w:id="187" w:name="_Toc486167678"/>
      <w:bookmarkStart w:id="188" w:name="_Toc16467"/>
      <w:bookmarkStart w:id="189" w:name="_Toc450662864"/>
      <w:bookmarkStart w:id="190" w:name="_Toc27771_WPSOffice_Level3"/>
      <w:bookmarkStart w:id="191" w:name="_Toc8615"/>
      <w:bookmarkStart w:id="192" w:name="_Toc29754"/>
      <w:r>
        <w:rPr>
          <w:rFonts w:hint="eastAsia" w:ascii="宋体" w:hAnsi="宋体" w:eastAsia="宋体" w:cs="宋体"/>
          <w:color w:val="auto"/>
          <w:szCs w:val="21"/>
          <w:highlight w:val="none"/>
          <w:lang w:val="zh-CN"/>
        </w:rPr>
        <w:t>14 证明服务的合格性并符合招标文件规定的声明文件</w:t>
      </w:r>
      <w:bookmarkEnd w:id="184"/>
      <w:bookmarkEnd w:id="185"/>
      <w:bookmarkEnd w:id="186"/>
      <w:bookmarkEnd w:id="187"/>
      <w:bookmarkEnd w:id="188"/>
      <w:bookmarkEnd w:id="189"/>
      <w:bookmarkEnd w:id="190"/>
      <w:bookmarkEnd w:id="191"/>
      <w:bookmarkEnd w:id="192"/>
    </w:p>
    <w:p>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pPr>
        <w:autoSpaceDE w:val="0"/>
        <w:autoSpaceDN w:val="0"/>
        <w:adjustRightInd w:val="0"/>
        <w:spacing w:line="360" w:lineRule="auto"/>
        <w:ind w:left="317" w:leftChars="-100" w:hanging="527" w:hangingChars="251"/>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u w:val="single"/>
          <w:lang w:val="zh-CN"/>
        </w:rPr>
        <w:t>为说明第14.2款的规定，投标人应注意本招标文件在《用户需求书》中对服务要求</w:t>
      </w:r>
      <w:r>
        <w:rPr>
          <w:rFonts w:hint="eastAsia" w:ascii="宋体" w:hAnsi="宋体" w:eastAsia="宋体" w:cs="宋体"/>
          <w:b/>
          <w:color w:val="auto"/>
          <w:szCs w:val="21"/>
          <w:highlight w:val="none"/>
          <w:u w:val="single"/>
          <w:lang w:val="en-US" w:eastAsia="zh-CN"/>
        </w:rPr>
        <w:t>的</w:t>
      </w:r>
      <w:r>
        <w:rPr>
          <w:rFonts w:hint="eastAsia" w:ascii="宋体" w:hAnsi="宋体" w:eastAsia="宋体" w:cs="宋体"/>
          <w:b/>
          <w:color w:val="auto"/>
          <w:szCs w:val="21"/>
          <w:highlight w:val="none"/>
          <w:u w:val="singl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pPr>
        <w:autoSpaceDE w:val="0"/>
        <w:autoSpaceDN w:val="0"/>
        <w:adjustRightInd w:val="0"/>
        <w:spacing w:line="360" w:lineRule="auto"/>
        <w:rPr>
          <w:rFonts w:hint="eastAsia" w:ascii="宋体" w:hAnsi="宋体" w:eastAsia="宋体" w:cs="宋体"/>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93" w:name="_Toc486167679"/>
      <w:bookmarkStart w:id="194" w:name="_Toc30555"/>
      <w:bookmarkStart w:id="195" w:name="_Toc17887"/>
      <w:bookmarkStart w:id="196" w:name="_Toc20006"/>
      <w:bookmarkStart w:id="197" w:name="_Toc5356_WPSOffice_Level3"/>
      <w:bookmarkStart w:id="198" w:name="_Toc8644"/>
      <w:bookmarkStart w:id="199" w:name="_Toc16828"/>
      <w:bookmarkStart w:id="200" w:name="_Toc142508329"/>
      <w:r>
        <w:rPr>
          <w:rFonts w:hint="eastAsia" w:ascii="宋体" w:hAnsi="宋体" w:eastAsia="宋体" w:cs="宋体"/>
          <w:color w:val="auto"/>
          <w:szCs w:val="21"/>
          <w:highlight w:val="none"/>
          <w:lang w:val="zh-CN"/>
        </w:rPr>
        <w:t>15 投标保证金</w:t>
      </w:r>
      <w:bookmarkEnd w:id="193"/>
      <w:bookmarkEnd w:id="194"/>
      <w:bookmarkEnd w:id="195"/>
      <w:bookmarkEnd w:id="196"/>
      <w:bookmarkEnd w:id="197"/>
      <w:bookmarkEnd w:id="198"/>
      <w:bookmarkEnd w:id="199"/>
      <w:bookmarkEnd w:id="200"/>
    </w:p>
    <w:p>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hint="eastAsia"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64,000.00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eastAsia="zh-CN"/>
        </w:rPr>
        <w:t>陆万肆仟元整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pPr>
        <w:spacing w:line="360" w:lineRule="auto"/>
        <w:ind w:left="315" w:leftChars="-100" w:hanging="525" w:hangingChars="250"/>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宋体"/>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pPr>
        <w:spacing w:line="360" w:lineRule="auto"/>
        <w:ind w:firstLine="777" w:firstLineChars="3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必须通过本单位基本账户采用银行转账、电汇方式提交，且在递交投标文件截止时间前到达以下账户上。</w:t>
      </w:r>
    </w:p>
    <w:p>
      <w:pPr>
        <w:spacing w:line="360" w:lineRule="auto"/>
        <w:ind w:left="210" w:leftChars="100" w:firstLine="210" w:firstLineChars="1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开户名称：东莞市利源有机资源再生利用有限公司</w:t>
      </w:r>
    </w:p>
    <w:p>
      <w:pPr>
        <w:spacing w:line="360" w:lineRule="auto"/>
        <w:ind w:left="210" w:leftChars="100" w:firstLine="210" w:firstLineChars="1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银行账号：2010021309200578870</w:t>
      </w:r>
    </w:p>
    <w:p>
      <w:pPr>
        <w:spacing w:line="360" w:lineRule="auto"/>
        <w:ind w:left="210" w:leftChars="100" w:firstLine="210" w:firstLineChars="1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开户银行：中国工商银行股份有限公司东莞分行</w:t>
      </w:r>
    </w:p>
    <w:p>
      <w:pPr>
        <w:spacing w:line="360" w:lineRule="auto"/>
        <w:ind w:left="210" w:leftChars="100" w:firstLine="211" w:firstLineChars="1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pPr>
        <w:autoSpaceDE w:val="0"/>
        <w:autoSpaceDN w:val="0"/>
        <w:adjustRightInd w:val="0"/>
        <w:spacing w:line="360" w:lineRule="auto"/>
        <w:ind w:left="357" w:leftChars="-100" w:hanging="567" w:hangingChars="270"/>
        <w:jc w:val="left"/>
        <w:rPr>
          <w:rFonts w:hint="eastAsia" w:ascii="宋体" w:hAnsi="宋体" w:eastAsia="宋体" w:cs="宋体"/>
          <w:b/>
          <w:color w:val="auto"/>
          <w:kern w:val="0"/>
          <w:szCs w:val="24"/>
          <w:highlight w:val="none"/>
        </w:rPr>
      </w:pPr>
      <w:r>
        <w:rPr>
          <w:rFonts w:hint="eastAsia" w:ascii="宋体" w:hAnsi="宋体" w:eastAsia="宋体" w:cs="宋体"/>
          <w:bCs/>
          <w:color w:val="auto"/>
          <w:szCs w:val="21"/>
          <w:highlight w:val="none"/>
          <w:lang w:val="zh-CN"/>
        </w:rPr>
        <w:t xml:space="preserve">15.4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pPr>
        <w:tabs>
          <w:tab w:val="left" w:pos="567"/>
        </w:tabs>
        <w:autoSpaceDE w:val="0"/>
        <w:autoSpaceDN w:val="0"/>
        <w:adjustRightInd w:val="0"/>
        <w:spacing w:line="360" w:lineRule="auto"/>
        <w:ind w:left="315" w:leftChars="150" w:firstLine="0" w:firstLineChars="0"/>
        <w:jc w:val="left"/>
        <w:rPr>
          <w:rFonts w:hint="eastAsia" w:ascii="宋体" w:hAnsi="宋体" w:eastAsia="宋体" w:cs="宋体"/>
          <w:b/>
          <w:bCs/>
          <w:color w:val="auto"/>
          <w:kern w:val="0"/>
          <w:szCs w:val="21"/>
          <w:highlight w:val="none"/>
          <w:u w:val="single"/>
          <w:lang w:val="zh-CN" w:eastAsia="zh-CN"/>
        </w:rPr>
      </w:pPr>
      <w:r>
        <w:rPr>
          <w:rFonts w:hint="eastAsia" w:ascii="宋体" w:hAnsi="宋体" w:eastAsia="宋体" w:cs="宋体"/>
          <w:b/>
          <w:bCs/>
          <w:color w:val="auto"/>
          <w:kern w:val="0"/>
          <w:szCs w:val="21"/>
          <w:highlight w:val="none"/>
          <w:u w:val="single"/>
          <w:lang w:val="zh-CN" w:eastAsia="zh-CN"/>
        </w:rPr>
        <w:t>为更快捷将投标保证金关联到本项目，投标人应在转账时</w:t>
      </w:r>
      <w:r>
        <w:rPr>
          <w:rFonts w:hint="eastAsia" w:ascii="宋体" w:hAnsi="宋体" w:eastAsia="宋体" w:cs="宋体"/>
          <w:b/>
          <w:bCs/>
          <w:color w:val="auto"/>
          <w:kern w:val="0"/>
          <w:szCs w:val="21"/>
          <w:highlight w:val="none"/>
          <w:u w:val="single"/>
          <w:lang w:val="zh-CN"/>
        </w:rPr>
        <w:t>注明招标编号</w:t>
      </w:r>
      <w:r>
        <w:rPr>
          <w:rFonts w:hint="eastAsia" w:ascii="宋体" w:hAnsi="宋体" w:eastAsia="宋体" w:cs="宋体"/>
          <w:b/>
          <w:bCs/>
          <w:color w:val="auto"/>
          <w:kern w:val="0"/>
          <w:szCs w:val="21"/>
          <w:highlight w:val="none"/>
          <w:u w:val="single"/>
          <w:lang w:val="zh-CN" w:eastAsia="zh-CN"/>
        </w:rPr>
        <w:t>，否则</w:t>
      </w:r>
      <w:r>
        <w:rPr>
          <w:rFonts w:hint="eastAsia" w:ascii="宋体" w:hAnsi="宋体" w:eastAsia="宋体" w:cs="宋体"/>
          <w:b/>
          <w:bCs/>
          <w:color w:val="auto"/>
          <w:kern w:val="0"/>
          <w:szCs w:val="21"/>
          <w:highlight w:val="none"/>
          <w:u w:val="single"/>
          <w:lang w:val="en-US" w:eastAsia="zh-CN"/>
        </w:rPr>
        <w:t>因此</w:t>
      </w:r>
      <w:r>
        <w:rPr>
          <w:rFonts w:hint="eastAsia" w:ascii="宋体" w:hAnsi="宋体" w:eastAsia="宋体" w:cs="宋体"/>
          <w:b/>
          <w:bCs/>
          <w:color w:val="auto"/>
          <w:kern w:val="0"/>
          <w:szCs w:val="21"/>
          <w:highlight w:val="none"/>
          <w:u w:val="single"/>
          <w:lang w:val="zh-CN" w:eastAsia="zh-CN"/>
        </w:rPr>
        <w:t>导致</w:t>
      </w:r>
      <w:r>
        <w:rPr>
          <w:rFonts w:hint="eastAsia" w:ascii="宋体" w:hAnsi="宋体" w:eastAsia="宋体" w:cs="宋体"/>
          <w:b/>
          <w:bCs/>
          <w:color w:val="auto"/>
          <w:kern w:val="0"/>
          <w:szCs w:val="21"/>
          <w:highlight w:val="none"/>
          <w:u w:val="single"/>
          <w:lang w:val="en-US" w:eastAsia="zh-CN"/>
        </w:rPr>
        <w:t>的无法识别投标保证金对应项目等</w:t>
      </w:r>
      <w:r>
        <w:rPr>
          <w:rFonts w:hint="eastAsia" w:ascii="宋体" w:hAnsi="宋体" w:eastAsia="宋体" w:cs="宋体"/>
          <w:b/>
          <w:bCs/>
          <w:color w:val="auto"/>
          <w:kern w:val="0"/>
          <w:szCs w:val="21"/>
          <w:highlight w:val="none"/>
          <w:u w:val="single"/>
          <w:lang w:val="zh-CN" w:eastAsia="zh-CN"/>
        </w:rPr>
        <w:t>不利后果将由投标人承担。</w:t>
      </w:r>
    </w:p>
    <w:p>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的投标人的投标保证金，最迟应在本项目的书面合同签订后5日内，按照其投标保证金支付凭证上注明的收款人名称和账号予以退还，除非投标保证金有效期已延长。</w:t>
      </w:r>
    </w:p>
    <w:p>
      <w:pPr>
        <w:spacing w:line="360" w:lineRule="auto"/>
        <w:ind w:left="357" w:leftChars="-100" w:hanging="567" w:hangingChars="27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中标人的投标保证金，满足下列要求，并最迟应在本项目的书面合同签订后5日内退还。</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pPr>
        <w:spacing w:line="360" w:lineRule="auto"/>
        <w:ind w:left="315" w:leftChars="-100" w:hanging="525" w:hangingChars="250"/>
        <w:rPr>
          <w:rFonts w:hint="eastAsia"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pPr>
        <w:numPr>
          <w:ilvl w:val="2"/>
          <w:numId w:val="0"/>
        </w:numPr>
        <w:autoSpaceDE w:val="0"/>
        <w:autoSpaceDN w:val="0"/>
        <w:adjustRightInd w:val="0"/>
        <w:spacing w:line="360" w:lineRule="auto"/>
        <w:ind w:left="853" w:leftChars="136" w:hanging="567"/>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（4）将中标项目转让给他人，或者在投标文件中未说明，且未经招标人同意，将中标项目的合同的权利义务转让给第三方的；</w:t>
      </w:r>
    </w:p>
    <w:p>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pPr>
        <w:tabs>
          <w:tab w:val="left" w:pos="1134"/>
        </w:tabs>
        <w:autoSpaceDE w:val="0"/>
        <w:autoSpaceDN w:val="0"/>
        <w:adjustRightInd w:val="0"/>
        <w:spacing w:line="360" w:lineRule="auto"/>
        <w:ind w:left="840" w:leftChars="150" w:hanging="525" w:hangingChars="250"/>
        <w:jc w:val="left"/>
        <w:rPr>
          <w:rFonts w:hint="eastAsia"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01" w:name="_Toc142508330"/>
      <w:bookmarkStart w:id="202" w:name="_Toc15809"/>
      <w:bookmarkStart w:id="203" w:name="_Toc29607"/>
      <w:bookmarkStart w:id="204" w:name="_Toc23267"/>
      <w:bookmarkStart w:id="205" w:name="_Toc21964"/>
      <w:bookmarkStart w:id="206" w:name="_Toc486167680"/>
      <w:bookmarkStart w:id="207" w:name="_Toc22649_WPSOffice_Level3"/>
      <w:bookmarkStart w:id="208" w:name="_Toc1458"/>
      <w:bookmarkStart w:id="209" w:name="_Toc450662865"/>
      <w:r>
        <w:rPr>
          <w:rFonts w:hint="eastAsia" w:ascii="宋体" w:hAnsi="宋体" w:eastAsia="宋体" w:cs="宋体"/>
          <w:color w:val="auto"/>
          <w:szCs w:val="21"/>
          <w:highlight w:val="none"/>
          <w:lang w:val="zh-CN"/>
        </w:rPr>
        <w:t>16 投标有效期</w:t>
      </w:r>
      <w:bookmarkEnd w:id="201"/>
      <w:bookmarkEnd w:id="202"/>
      <w:bookmarkEnd w:id="203"/>
      <w:bookmarkEnd w:id="204"/>
      <w:bookmarkEnd w:id="205"/>
      <w:bookmarkEnd w:id="206"/>
      <w:bookmarkEnd w:id="207"/>
      <w:bookmarkEnd w:id="208"/>
      <w:bookmarkEnd w:id="209"/>
    </w:p>
    <w:p>
      <w:pPr>
        <w:tabs>
          <w:tab w:val="left" w:pos="567"/>
        </w:tabs>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中标人的投标文件作为合同附件，合同失效时同时失效。</w:t>
      </w:r>
    </w:p>
    <w:p>
      <w:pPr>
        <w:autoSpaceDE/>
        <w:autoSpaceDN/>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将退还其投标保证金。对于同意该要求的投标人，既不要求也不允许其修改投标文件，但将要求其相应延长投标保证金的有效期。第15条投标保证金的有关规定在投标保证金延长期内仍适用。</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10" w:name="_Toc18270"/>
      <w:bookmarkStart w:id="211" w:name="_Toc142508331"/>
      <w:bookmarkStart w:id="212" w:name="_Toc20111"/>
      <w:bookmarkStart w:id="213" w:name="_Toc15544"/>
      <w:bookmarkStart w:id="214" w:name="_Toc932"/>
      <w:bookmarkStart w:id="215" w:name="_Toc450662866"/>
      <w:bookmarkStart w:id="216" w:name="_Toc25637_WPSOffice_Level3"/>
      <w:bookmarkStart w:id="217" w:name="_Toc20422"/>
      <w:bookmarkStart w:id="218" w:name="_Toc486167681"/>
      <w:r>
        <w:rPr>
          <w:rFonts w:hint="eastAsia" w:ascii="宋体" w:hAnsi="宋体" w:eastAsia="宋体" w:cs="宋体"/>
          <w:color w:val="auto"/>
          <w:szCs w:val="21"/>
          <w:highlight w:val="none"/>
          <w:lang w:val="zh-CN"/>
        </w:rPr>
        <w:t>17 投标文件的式样和签署</w:t>
      </w:r>
      <w:bookmarkEnd w:id="210"/>
      <w:bookmarkEnd w:id="211"/>
      <w:bookmarkEnd w:id="212"/>
      <w:bookmarkEnd w:id="213"/>
      <w:bookmarkEnd w:id="214"/>
      <w:bookmarkEnd w:id="215"/>
      <w:bookmarkEnd w:id="216"/>
      <w:bookmarkEnd w:id="217"/>
      <w:bookmarkEnd w:id="218"/>
    </w:p>
    <w:p>
      <w:pPr>
        <w:tabs>
          <w:tab w:val="left" w:pos="567"/>
        </w:tabs>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color w:val="auto"/>
          <w:szCs w:val="21"/>
          <w:highlight w:val="none"/>
          <w:u w:val="single"/>
          <w:lang w:val="zh-CN"/>
        </w:rPr>
        <w:t>投标人应准备一份“唱标信封”、一份投标文件电子文件、一份正本和五份副本“投标文件”</w:t>
      </w:r>
      <w:r>
        <w:rPr>
          <w:rFonts w:hint="eastAsia" w:ascii="宋体" w:hAnsi="宋体" w:eastAsia="宋体" w:cs="宋体"/>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p>
    <w:p>
      <w:pPr>
        <w:tabs>
          <w:tab w:val="left" w:pos="567"/>
        </w:tabs>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法人授权委托证明书”以书面形式附在投标文件中。</w:t>
      </w:r>
      <w:r>
        <w:rPr>
          <w:rFonts w:hint="eastAsia" w:ascii="宋体" w:hAnsi="宋体" w:eastAsia="宋体" w:cs="宋体"/>
          <w:color w:val="auto"/>
          <w:szCs w:val="21"/>
          <w:highlight w:val="none"/>
          <w:lang w:val="zh-CN"/>
        </w:rPr>
        <w:t>副本文件可由正本文件复印而成。</w:t>
      </w:r>
    </w:p>
    <w:p>
      <w:pPr>
        <w:autoSpaceDE w:val="0"/>
        <w:autoSpaceDN w:val="0"/>
        <w:adjustRightInd w:val="0"/>
        <w:spacing w:line="360" w:lineRule="auto"/>
        <w:ind w:left="315" w:leftChars="-100" w:hanging="525" w:hangingChars="250"/>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若有修改须由签署投标文件的人进行签字（或盖私章），并加盖投标人法人公章。</w:t>
      </w:r>
    </w:p>
    <w:p>
      <w:pPr>
        <w:autoSpaceDE w:val="0"/>
        <w:autoSpaceDN w:val="0"/>
        <w:adjustRightInd w:val="0"/>
        <w:spacing w:line="360" w:lineRule="auto"/>
        <w:ind w:left="315" w:leftChars="-100" w:hanging="525" w:hangingChars="250"/>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17.4 投标文件的封面应注明“项目名称、招标编号、投标人名称、投标日期等”。</w:t>
      </w:r>
    </w:p>
    <w:p>
      <w:pPr>
        <w:autoSpaceDE w:val="0"/>
        <w:autoSpaceDN w:val="0"/>
        <w:adjustRightInd w:val="0"/>
        <w:spacing w:line="360" w:lineRule="auto"/>
        <w:ind w:left="315" w:leftChars="-100" w:hanging="525" w:hangingChars="250"/>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17.5</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电子文件内容包括：电子文件不可设置密码，用DVD或CD-R光盘或U盘储存，可密封于“唱标信封”内（若电子文件单独密封，其包装封面需注明项目名称、招标编号、投标人单位名称，并加盖投标人法人公章）。</w:t>
      </w:r>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17.6</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电报、电传、传真的投标概不接受。</w:t>
      </w:r>
    </w:p>
    <w:p>
      <w:pPr>
        <w:autoSpaceDE w:val="0"/>
        <w:autoSpaceDN w:val="0"/>
        <w:adjustRightInd w:val="0"/>
        <w:jc w:val="left"/>
        <w:rPr>
          <w:rFonts w:hint="eastAsia" w:ascii="宋体" w:hAnsi="宋体" w:eastAsia="宋体" w:cs="宋体"/>
          <w:color w:val="auto"/>
          <w:kern w:val="0"/>
          <w:sz w:val="24"/>
          <w:szCs w:val="24"/>
          <w:highlight w:val="none"/>
        </w:rPr>
      </w:pPr>
      <w:bookmarkStart w:id="219" w:name="_Toc450662867"/>
    </w:p>
    <w:p>
      <w:pPr>
        <w:keepNext/>
        <w:keepLines/>
        <w:tabs>
          <w:tab w:val="left" w:pos="509"/>
        </w:tabs>
        <w:autoSpaceDE w:val="0"/>
        <w:autoSpaceDN w:val="0"/>
        <w:adjustRightInd w:val="0"/>
        <w:spacing w:line="360" w:lineRule="auto"/>
        <w:jc w:val="left"/>
        <w:outlineLvl w:val="0"/>
        <w:rPr>
          <w:rFonts w:hint="eastAsia" w:ascii="宋体" w:hAnsi="宋体" w:eastAsia="宋体" w:cs="宋体"/>
          <w:color w:val="auto"/>
          <w:kern w:val="0"/>
          <w:sz w:val="24"/>
          <w:szCs w:val="24"/>
          <w:highlight w:val="none"/>
        </w:rPr>
      </w:pPr>
      <w:bookmarkStart w:id="220" w:name="_Toc26605"/>
      <w:bookmarkStart w:id="221" w:name="_Toc486167682"/>
      <w:bookmarkStart w:id="222" w:name="_Toc22356_WPSOffice_Level2"/>
      <w:bookmarkStart w:id="223" w:name="_Toc140596891"/>
      <w:bookmarkStart w:id="224" w:name="_Toc16760"/>
      <w:bookmarkStart w:id="225" w:name="_Toc22919"/>
      <w:bookmarkStart w:id="226" w:name="_Toc142508332"/>
      <w:bookmarkStart w:id="227" w:name="_Toc17199"/>
      <w:bookmarkStart w:id="228" w:name="_Toc16145"/>
      <w:r>
        <w:rPr>
          <w:rFonts w:hint="eastAsia" w:ascii="宋体" w:hAnsi="宋体" w:eastAsia="宋体" w:cs="宋体"/>
          <w:b/>
          <w:bCs/>
          <w:color w:val="auto"/>
          <w:kern w:val="44"/>
          <w:szCs w:val="21"/>
          <w:highlight w:val="none"/>
          <w:lang w:val="zh-CN"/>
        </w:rPr>
        <w:t>四、投标文件的递交</w:t>
      </w:r>
      <w:bookmarkEnd w:id="219"/>
      <w:bookmarkEnd w:id="220"/>
      <w:bookmarkEnd w:id="221"/>
      <w:bookmarkEnd w:id="222"/>
      <w:bookmarkEnd w:id="223"/>
      <w:bookmarkEnd w:id="224"/>
      <w:bookmarkEnd w:id="225"/>
      <w:bookmarkEnd w:id="226"/>
      <w:bookmarkEnd w:id="227"/>
      <w:bookmarkEnd w:id="228"/>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29" w:name="_Toc11550"/>
      <w:bookmarkStart w:id="230" w:name="_Toc29038"/>
      <w:bookmarkStart w:id="231" w:name="_Toc12192_WPSOffice_Level3"/>
      <w:bookmarkStart w:id="232" w:name="_Toc3248"/>
      <w:bookmarkStart w:id="233" w:name="_Toc486167683"/>
      <w:bookmarkStart w:id="234" w:name="_Toc29885"/>
      <w:bookmarkStart w:id="235" w:name="_Toc450662868"/>
      <w:bookmarkStart w:id="236" w:name="_Toc31551"/>
      <w:bookmarkStart w:id="237" w:name="_Toc142508333"/>
      <w:r>
        <w:rPr>
          <w:rFonts w:hint="eastAsia" w:ascii="宋体" w:hAnsi="宋体" w:eastAsia="宋体" w:cs="宋体"/>
          <w:color w:val="auto"/>
          <w:szCs w:val="21"/>
          <w:highlight w:val="none"/>
          <w:lang w:val="zh-CN"/>
        </w:rPr>
        <w:t>18 投标文件的密封和标记</w:t>
      </w:r>
      <w:bookmarkEnd w:id="229"/>
      <w:bookmarkEnd w:id="230"/>
      <w:bookmarkEnd w:id="231"/>
      <w:bookmarkEnd w:id="232"/>
      <w:bookmarkEnd w:id="233"/>
      <w:bookmarkEnd w:id="234"/>
      <w:bookmarkEnd w:id="235"/>
      <w:bookmarkEnd w:id="236"/>
      <w:bookmarkEnd w:id="237"/>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投标人应将正本和副本投标文件（本处不含唱标信封、投标文件电子文件）密封在不透明的外层封装中。</w:t>
      </w:r>
    </w:p>
    <w:p>
      <w:pPr>
        <w:autoSpaceDE w:val="0"/>
        <w:autoSpaceDN w:val="0"/>
        <w:adjustRightInd w:val="0"/>
        <w:spacing w:line="360" w:lineRule="auto"/>
        <w:ind w:left="357" w:leftChars="-100" w:hanging="567"/>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bCs/>
          <w:color w:val="auto"/>
          <w:szCs w:val="21"/>
          <w:highlight w:val="none"/>
          <w:u w:val="single"/>
          <w:lang w:val="zh-CN"/>
        </w:rPr>
        <w:t>唱标信封应单独密封，与18.1款的投标文件一同提交</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投标文件密封封装标记：</w:t>
      </w:r>
    </w:p>
    <w:p>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）投标文件已密封但不按前述标志封包，由此而引起的提前开封或错放责任由投标人承担；</w:t>
      </w:r>
    </w:p>
    <w:p>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（3）不足以造成投标文件可以从外包装内散出而导致投标文件泄密的，不认定为投标文件未密封。</w:t>
      </w:r>
    </w:p>
    <w:p>
      <w:pPr>
        <w:tabs>
          <w:tab w:val="left" w:pos="567"/>
        </w:tabs>
        <w:autoSpaceDE w:val="0"/>
        <w:autoSpaceDN w:val="0"/>
        <w:adjustRightInd w:val="0"/>
        <w:spacing w:line="360" w:lineRule="auto"/>
        <w:ind w:left="317" w:leftChars="-100" w:right="15" w:rightChars="7"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u w:val="single"/>
          <w:lang w:val="zh-CN"/>
        </w:rPr>
        <w:t>如果密封封装未按本款规定密封和标记，招标代理机构对投标文件的误投或提前拆封不负责任。对由此造成提前开封的投标文件，招标代理机构予以拒绝，并退回投标人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15" w:leftChars="-100" w:right="15" w:rightChars="7"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开标前，由投标人代表（第一位递交投标文件的投标人代表及主动自愿参与检查的投标人代表）和招标人代表</w:t>
      </w:r>
      <w:r>
        <w:rPr>
          <w:rFonts w:hint="eastAsia" w:ascii="宋体" w:hAnsi="宋体" w:eastAsia="宋体" w:cs="宋体"/>
          <w:color w:val="auto"/>
          <w:kern w:val="0"/>
          <w:szCs w:val="21"/>
          <w:highlight w:val="none"/>
          <w:lang w:val="zh-CN"/>
        </w:rPr>
        <w:t>将对所有的投标文件的密封性进行检查</w:t>
      </w:r>
      <w:r>
        <w:rPr>
          <w:rFonts w:hint="eastAsia" w:ascii="宋体" w:hAnsi="宋体" w:eastAsia="宋体" w:cs="宋体"/>
          <w:color w:val="auto"/>
          <w:szCs w:val="21"/>
          <w:highlight w:val="none"/>
          <w:lang w:val="zh-CN"/>
        </w:rPr>
        <w:t>，并签署进行确认。</w:t>
      </w:r>
    </w:p>
    <w:p>
      <w:pPr>
        <w:tabs>
          <w:tab w:val="left" w:pos="567"/>
        </w:tabs>
        <w:autoSpaceDE w:val="0"/>
        <w:autoSpaceDN w:val="0"/>
        <w:adjustRightInd w:val="0"/>
        <w:spacing w:line="360" w:lineRule="auto"/>
        <w:ind w:right="15" w:rightChars="7" w:firstLine="525" w:firstLineChars="250"/>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38" w:name="_Toc29665_WPSOffice_Level3"/>
      <w:bookmarkStart w:id="239" w:name="_Toc17245"/>
      <w:bookmarkStart w:id="240" w:name="_Toc12582"/>
      <w:bookmarkStart w:id="241" w:name="_Toc6168"/>
      <w:bookmarkStart w:id="242" w:name="_Toc486167684"/>
      <w:bookmarkStart w:id="243" w:name="_Toc4979"/>
      <w:bookmarkStart w:id="244" w:name="_Toc23369"/>
      <w:bookmarkStart w:id="245" w:name="_Toc450662869"/>
      <w:bookmarkStart w:id="246" w:name="_Toc142508334"/>
      <w:r>
        <w:rPr>
          <w:rFonts w:hint="eastAsia" w:ascii="宋体" w:hAnsi="宋体" w:eastAsia="宋体" w:cs="宋体"/>
          <w:color w:val="auto"/>
          <w:szCs w:val="21"/>
          <w:highlight w:val="none"/>
          <w:lang w:val="zh-CN"/>
        </w:rPr>
        <w:t>19 递交投标文件的截止日期</w:t>
      </w:r>
      <w:bookmarkEnd w:id="238"/>
      <w:bookmarkEnd w:id="239"/>
      <w:bookmarkEnd w:id="240"/>
      <w:bookmarkEnd w:id="241"/>
      <w:bookmarkEnd w:id="242"/>
      <w:bookmarkEnd w:id="243"/>
      <w:bookmarkEnd w:id="244"/>
      <w:bookmarkEnd w:id="245"/>
      <w:bookmarkEnd w:id="246"/>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招标代理机构收到投标文件的时间不得迟于第一篇“招标公告”中规定的截止时间。</w:t>
      </w:r>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招标代理机构可按照第7条的规定修改招标文件并酌情延长递交投标文件的截止时间，因此，已规定的招标代理机构和投标人的一切权利和义务将按延期后的递交投标文件截止时间履行。</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kern w:val="0"/>
          <w:sz w:val="24"/>
          <w:szCs w:val="24"/>
          <w:highlight w:val="none"/>
        </w:rPr>
      </w:pPr>
      <w:bookmarkStart w:id="247" w:name="_Toc23067"/>
      <w:bookmarkStart w:id="248" w:name="_Toc22431_WPSOffice_Level3"/>
      <w:bookmarkStart w:id="249" w:name="_Toc30287"/>
      <w:bookmarkStart w:id="250" w:name="_Toc142508335"/>
      <w:bookmarkStart w:id="251" w:name="_Toc21327"/>
      <w:bookmarkStart w:id="252" w:name="_Toc2501"/>
      <w:bookmarkStart w:id="253" w:name="_Toc450662870"/>
      <w:bookmarkStart w:id="254" w:name="_Toc486167685"/>
      <w:bookmarkStart w:id="255" w:name="_Toc20835"/>
      <w:r>
        <w:rPr>
          <w:rFonts w:hint="eastAsia" w:ascii="宋体" w:hAnsi="宋体" w:eastAsia="宋体" w:cs="宋体"/>
          <w:color w:val="auto"/>
          <w:szCs w:val="21"/>
          <w:highlight w:val="none"/>
          <w:lang w:val="zh-CN"/>
        </w:rPr>
        <w:t>20 迟交的投标文件</w:t>
      </w:r>
      <w:bookmarkEnd w:id="247"/>
      <w:bookmarkEnd w:id="248"/>
      <w:bookmarkEnd w:id="249"/>
      <w:bookmarkEnd w:id="250"/>
      <w:bookmarkEnd w:id="251"/>
      <w:bookmarkEnd w:id="252"/>
      <w:bookmarkEnd w:id="253"/>
      <w:bookmarkEnd w:id="254"/>
      <w:bookmarkEnd w:id="255"/>
    </w:p>
    <w:p>
      <w:pPr>
        <w:autoSpaceDE w:val="0"/>
        <w:autoSpaceDN w:val="0"/>
        <w:adjustRightInd w:val="0"/>
        <w:spacing w:line="360" w:lineRule="auto"/>
        <w:ind w:firstLine="315" w:firstLineChars="1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pPr>
        <w:autoSpaceDE w:val="0"/>
        <w:autoSpaceDN w:val="0"/>
        <w:adjustRightInd w:val="0"/>
        <w:jc w:val="left"/>
        <w:rPr>
          <w:rFonts w:hint="eastAsia" w:ascii="宋体" w:hAnsi="宋体" w:eastAsia="宋体" w:cs="宋体"/>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56" w:name="_Toc486167686"/>
      <w:bookmarkStart w:id="257" w:name="_Toc142508336"/>
      <w:bookmarkStart w:id="258" w:name="_Toc27851"/>
      <w:bookmarkStart w:id="259" w:name="_Toc3814"/>
      <w:bookmarkStart w:id="260" w:name="_Toc450662871"/>
      <w:bookmarkStart w:id="261" w:name="_Toc4883_WPSOffice_Level3"/>
      <w:bookmarkStart w:id="262" w:name="_Toc24876"/>
      <w:bookmarkStart w:id="263" w:name="_Toc11949"/>
      <w:bookmarkStart w:id="264" w:name="_Toc7412"/>
      <w:r>
        <w:rPr>
          <w:rFonts w:hint="eastAsia" w:ascii="宋体" w:hAnsi="宋体" w:eastAsia="宋体" w:cs="宋体"/>
          <w:color w:val="auto"/>
          <w:szCs w:val="21"/>
          <w:highlight w:val="none"/>
          <w:lang w:val="zh-CN"/>
        </w:rPr>
        <w:t>21 投标文件的修改和撤回</w:t>
      </w:r>
      <w:bookmarkEnd w:id="256"/>
      <w:bookmarkEnd w:id="257"/>
      <w:bookmarkEnd w:id="258"/>
      <w:bookmarkEnd w:id="259"/>
      <w:bookmarkEnd w:id="260"/>
      <w:bookmarkEnd w:id="261"/>
      <w:bookmarkEnd w:id="262"/>
      <w:bookmarkEnd w:id="263"/>
      <w:bookmarkEnd w:id="264"/>
    </w:p>
    <w:p>
      <w:pPr>
        <w:tabs>
          <w:tab w:val="left" w:pos="567"/>
        </w:tabs>
        <w:autoSpaceDE w:val="0"/>
        <w:autoSpaceDN w:val="0"/>
        <w:adjustRightInd w:val="0"/>
        <w:spacing w:line="360" w:lineRule="auto"/>
        <w:ind w:left="315" w:leftChars="-100" w:right="15" w:rightChars="7"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pPr>
        <w:autoSpaceDE w:val="0"/>
        <w:autoSpaceDN w:val="0"/>
        <w:adjustRightInd w:val="0"/>
        <w:spacing w:line="360" w:lineRule="auto"/>
        <w:ind w:left="315" w:leftChars="-100" w:right="15" w:rightChars="7"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投标人对投标文件的修改或撤回的通知应按第17条和第18条规定进行准备、密封、标注和递送。</w:t>
      </w:r>
    </w:p>
    <w:p>
      <w:pPr>
        <w:autoSpaceDE w:val="0"/>
        <w:autoSpaceDN w:val="0"/>
        <w:adjustRightInd w:val="0"/>
        <w:spacing w:line="360" w:lineRule="auto"/>
        <w:ind w:left="315" w:leftChars="-100" w:right="15" w:rightChars="7"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递交投标文件截止时间后不得修改投标文件。</w:t>
      </w:r>
    </w:p>
    <w:p>
      <w:pPr>
        <w:autoSpaceDE w:val="0"/>
        <w:autoSpaceDN w:val="0"/>
        <w:adjustRightInd w:val="0"/>
        <w:spacing w:line="360" w:lineRule="auto"/>
        <w:ind w:left="315" w:leftChars="-100" w:right="15" w:rightChars="7"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pPr>
        <w:keepNext/>
        <w:keepLines/>
        <w:tabs>
          <w:tab w:val="left" w:pos="509"/>
        </w:tab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265" w:name="_Toc1049_WPSOffice_Level2"/>
      <w:bookmarkStart w:id="266" w:name="_Toc14042"/>
      <w:bookmarkStart w:id="267" w:name="_Toc20923"/>
      <w:bookmarkStart w:id="268" w:name="_Toc140596896"/>
      <w:bookmarkStart w:id="269" w:name="_Toc30428"/>
      <w:bookmarkStart w:id="270" w:name="_Toc32547"/>
      <w:bookmarkStart w:id="271" w:name="_Toc486167687"/>
      <w:bookmarkStart w:id="272" w:name="_Toc142508337"/>
      <w:bookmarkStart w:id="273" w:name="_Toc28824"/>
      <w:bookmarkStart w:id="274" w:name="_Toc450662872"/>
      <w:r>
        <w:rPr>
          <w:rFonts w:hint="eastAsia" w:ascii="宋体" w:hAnsi="宋体" w:eastAsia="宋体" w:cs="宋体"/>
          <w:b/>
          <w:bCs/>
          <w:color w:val="auto"/>
          <w:kern w:val="44"/>
          <w:szCs w:val="21"/>
          <w:highlight w:val="none"/>
          <w:lang w:val="zh-CN"/>
        </w:rPr>
        <w:t>五、开标与评标</w:t>
      </w:r>
      <w:bookmarkEnd w:id="265"/>
      <w:bookmarkEnd w:id="266"/>
      <w:bookmarkEnd w:id="267"/>
      <w:bookmarkEnd w:id="268"/>
      <w:bookmarkEnd w:id="269"/>
      <w:bookmarkEnd w:id="270"/>
      <w:bookmarkEnd w:id="271"/>
      <w:bookmarkEnd w:id="272"/>
      <w:bookmarkEnd w:id="273"/>
      <w:bookmarkEnd w:id="274"/>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75" w:name="_Toc486167688"/>
      <w:bookmarkStart w:id="276" w:name="_Toc22677"/>
      <w:bookmarkStart w:id="277" w:name="_Toc19352"/>
      <w:bookmarkStart w:id="278" w:name="_Toc450662873"/>
      <w:bookmarkStart w:id="279" w:name="_Toc8728"/>
      <w:bookmarkStart w:id="280" w:name="_Toc142508338"/>
      <w:bookmarkStart w:id="281" w:name="_Toc144_WPSOffice_Level3"/>
      <w:bookmarkStart w:id="282" w:name="_Toc11256"/>
      <w:bookmarkStart w:id="283" w:name="_Toc32206"/>
      <w:r>
        <w:rPr>
          <w:rFonts w:hint="eastAsia" w:ascii="宋体" w:hAnsi="宋体" w:eastAsia="宋体" w:cs="宋体"/>
          <w:color w:val="auto"/>
          <w:szCs w:val="21"/>
          <w:highlight w:val="none"/>
          <w:lang w:val="zh-CN"/>
        </w:rPr>
        <w:t>22 开标</w:t>
      </w:r>
      <w:bookmarkEnd w:id="275"/>
      <w:bookmarkEnd w:id="276"/>
      <w:bookmarkEnd w:id="277"/>
      <w:bookmarkEnd w:id="278"/>
      <w:bookmarkEnd w:id="279"/>
      <w:bookmarkEnd w:id="280"/>
      <w:bookmarkEnd w:id="281"/>
      <w:bookmarkEnd w:id="282"/>
      <w:bookmarkEnd w:id="283"/>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按照第21条规定，提交了可接受的“撤回”通知的投标文件将不予开封。</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pPr>
        <w:tabs>
          <w:tab w:val="left" w:pos="567"/>
        </w:tabs>
        <w:autoSpaceDE w:val="0"/>
        <w:autoSpaceDN w:val="0"/>
        <w:adjustRightInd w:val="0"/>
        <w:spacing w:line="360" w:lineRule="auto"/>
        <w:ind w:left="315" w:leftChars="-100" w:right="15" w:rightChars="7"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投标文件的投标报价大写金额和小写金额不一致的，以大写金额为准。对不同文字文本投标文件的解释发生异议的，以中文文本为准。</w:t>
      </w:r>
    </w:p>
    <w:p>
      <w:pPr>
        <w:tabs>
          <w:tab w:val="left" w:pos="567"/>
        </w:tabs>
        <w:autoSpaceDE w:val="0"/>
        <w:autoSpaceDN w:val="0"/>
        <w:adjustRightInd w:val="0"/>
        <w:spacing w:line="360" w:lineRule="auto"/>
        <w:ind w:left="315" w:leftChars="-100" w:right="15" w:rightChars="7"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pPr>
        <w:tabs>
          <w:tab w:val="left" w:pos="567"/>
        </w:tabs>
        <w:autoSpaceDE w:val="0"/>
        <w:autoSpaceDN w:val="0"/>
        <w:adjustRightInd w:val="0"/>
        <w:spacing w:line="360" w:lineRule="auto"/>
        <w:ind w:left="315" w:leftChars="-100" w:right="15" w:rightChars="7"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pPr>
        <w:autoSpaceDE w:val="0"/>
        <w:autoSpaceDN w:val="0"/>
        <w:adjustRightInd w:val="0"/>
        <w:spacing w:line="360" w:lineRule="auto"/>
        <w:ind w:left="357" w:leftChars="-100" w:right="15" w:rightChars="7" w:hanging="567"/>
        <w:rPr>
          <w:rFonts w:hint="eastAsia"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84" w:name="_Toc4785"/>
      <w:bookmarkStart w:id="285" w:name="_Toc2233"/>
      <w:bookmarkStart w:id="286" w:name="_Toc12165_WPSOffice_Level3"/>
      <w:bookmarkStart w:id="287" w:name="_Toc486167689"/>
      <w:bookmarkStart w:id="288" w:name="_Toc450662874"/>
      <w:bookmarkStart w:id="289" w:name="_Toc23491"/>
      <w:bookmarkStart w:id="290" w:name="_Toc142508339"/>
      <w:bookmarkStart w:id="291" w:name="_Toc23059"/>
      <w:bookmarkStart w:id="292" w:name="_Toc32534"/>
      <w:r>
        <w:rPr>
          <w:rFonts w:hint="eastAsia" w:ascii="宋体" w:hAnsi="宋体" w:eastAsia="宋体" w:cs="宋体"/>
          <w:color w:val="auto"/>
          <w:szCs w:val="21"/>
          <w:highlight w:val="none"/>
          <w:lang w:val="zh-CN"/>
        </w:rPr>
        <w:t xml:space="preserve">23 </w:t>
      </w:r>
      <w:r>
        <w:rPr>
          <w:rFonts w:hint="eastAsia" w:ascii="宋体" w:hAnsi="宋体" w:eastAsia="宋体" w:cs="宋体"/>
          <w:color w:val="auto"/>
          <w:kern w:val="0"/>
          <w:szCs w:val="24"/>
          <w:highlight w:val="none"/>
        </w:rPr>
        <w:t>评标过程的保密性</w:t>
      </w:r>
      <w:bookmarkEnd w:id="284"/>
      <w:bookmarkEnd w:id="285"/>
      <w:bookmarkEnd w:id="286"/>
      <w:bookmarkEnd w:id="287"/>
      <w:bookmarkEnd w:id="288"/>
      <w:bookmarkEnd w:id="289"/>
      <w:bookmarkEnd w:id="290"/>
      <w:bookmarkEnd w:id="291"/>
      <w:bookmarkEnd w:id="292"/>
    </w:p>
    <w:p>
      <w:pPr>
        <w:tabs>
          <w:tab w:val="left" w:pos="567"/>
        </w:tabs>
        <w:autoSpaceDE w:val="0"/>
        <w:autoSpaceDN w:val="0"/>
        <w:adjustRightInd w:val="0"/>
        <w:spacing w:line="360" w:lineRule="auto"/>
        <w:ind w:left="315" w:leftChars="-100" w:right="15" w:rightChars="7"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pPr>
        <w:tabs>
          <w:tab w:val="left" w:pos="567"/>
        </w:tabs>
        <w:autoSpaceDE w:val="0"/>
        <w:autoSpaceDN w:val="0"/>
        <w:adjustRightInd w:val="0"/>
        <w:spacing w:line="360" w:lineRule="auto"/>
        <w:ind w:left="315" w:leftChars="-100" w:right="15" w:rightChars="7"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93" w:name="_Toc450662875"/>
      <w:bookmarkStart w:id="294" w:name="_Toc5558"/>
      <w:bookmarkStart w:id="295" w:name="_Toc800"/>
      <w:bookmarkStart w:id="296" w:name="_Toc18693"/>
      <w:bookmarkStart w:id="297" w:name="_Toc486167690"/>
      <w:bookmarkStart w:id="298" w:name="_Toc142508340"/>
      <w:bookmarkStart w:id="299" w:name="_Toc32178"/>
      <w:bookmarkStart w:id="300" w:name="_Toc15565_WPSOffice_Level3"/>
      <w:bookmarkStart w:id="301" w:name="_Toc16920"/>
      <w:r>
        <w:rPr>
          <w:rFonts w:hint="eastAsia" w:ascii="宋体" w:hAnsi="宋体" w:eastAsia="宋体" w:cs="宋体"/>
          <w:color w:val="auto"/>
          <w:szCs w:val="21"/>
          <w:highlight w:val="none"/>
          <w:lang w:val="zh-CN"/>
        </w:rPr>
        <w:t>24 评标委员会</w:t>
      </w:r>
      <w:bookmarkEnd w:id="293"/>
      <w:bookmarkEnd w:id="294"/>
      <w:bookmarkEnd w:id="295"/>
      <w:bookmarkEnd w:id="296"/>
      <w:bookmarkEnd w:id="297"/>
      <w:bookmarkEnd w:id="298"/>
      <w:bookmarkEnd w:id="299"/>
      <w:bookmarkEnd w:id="300"/>
      <w:bookmarkEnd w:id="301"/>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302" w:name="_Toc27296"/>
      <w:bookmarkStart w:id="303" w:name="_Toc142508341"/>
      <w:bookmarkStart w:id="304" w:name="_Toc28910_WPSOffice_Level3"/>
      <w:bookmarkStart w:id="305" w:name="_Toc486167691"/>
      <w:bookmarkStart w:id="306" w:name="_Toc450662876"/>
      <w:bookmarkStart w:id="307" w:name="_Toc8908"/>
      <w:bookmarkStart w:id="308" w:name="_Toc15953"/>
      <w:bookmarkStart w:id="309" w:name="_Toc12715"/>
      <w:bookmarkStart w:id="310" w:name="_Toc18668"/>
      <w:r>
        <w:rPr>
          <w:rFonts w:hint="eastAsia" w:ascii="宋体" w:hAnsi="宋体" w:eastAsia="宋体" w:cs="宋体"/>
          <w:b/>
          <w:color w:val="auto"/>
          <w:szCs w:val="21"/>
          <w:highlight w:val="none"/>
          <w:lang w:val="zh-CN"/>
        </w:rPr>
        <w:t>25 投标文件的初审</w:t>
      </w:r>
      <w:bookmarkEnd w:id="302"/>
      <w:bookmarkEnd w:id="303"/>
      <w:bookmarkEnd w:id="304"/>
      <w:bookmarkEnd w:id="305"/>
      <w:bookmarkEnd w:id="306"/>
      <w:bookmarkEnd w:id="307"/>
      <w:bookmarkEnd w:id="308"/>
      <w:bookmarkEnd w:id="309"/>
      <w:bookmarkEnd w:id="310"/>
    </w:p>
    <w:p>
      <w:pPr>
        <w:autoSpaceDE w:val="0"/>
        <w:autoSpaceDN w:val="0"/>
        <w:adjustRightInd w:val="0"/>
        <w:spacing w:line="360" w:lineRule="auto"/>
        <w:ind w:left="357" w:leftChars="-100" w:hanging="567"/>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 xml:space="preserve">25.1 </w:t>
      </w:r>
      <w:r>
        <w:rPr>
          <w:rFonts w:hint="eastAsia" w:ascii="宋体" w:hAnsi="宋体" w:eastAsia="宋体" w:cs="宋体"/>
          <w:b/>
          <w:color w:val="auto"/>
          <w:szCs w:val="21"/>
          <w:highlight w:val="none"/>
          <w:u w:val="single"/>
          <w:lang w:val="zh-CN"/>
        </w:rPr>
        <w:t>资格性检查：依据法律法规和招标文件的规定，对投标文件中的资格证明、投标保证金等进行审查，以确定投标人是否具备投标资格</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25.2 </w:t>
      </w:r>
      <w:r>
        <w:rPr>
          <w:rFonts w:hint="eastAsia" w:ascii="宋体" w:hAnsi="宋体" w:eastAsia="宋体" w:cs="宋体"/>
          <w:b/>
          <w:color w:val="auto"/>
          <w:szCs w:val="21"/>
          <w:highlight w:val="none"/>
          <w:u w:val="single"/>
          <w:lang w:val="zh-CN"/>
        </w:rPr>
        <w:t>符合性检查：依据招标文件的规定，从投标文件的有效性、完整性和对招标文件的响应程度进行审查，以确定是否对招标文件的实质性要求作出响应</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11" w:name="_Toc19456"/>
      <w:bookmarkStart w:id="312" w:name="_Toc450662877"/>
      <w:bookmarkStart w:id="313" w:name="_Toc27705"/>
      <w:bookmarkStart w:id="314" w:name="_Toc4837"/>
      <w:bookmarkStart w:id="315" w:name="_Toc16315"/>
      <w:bookmarkStart w:id="316" w:name="_Toc30225"/>
      <w:bookmarkStart w:id="317" w:name="_Toc142508342"/>
      <w:bookmarkStart w:id="318" w:name="_Toc338_WPSOffice_Level3"/>
      <w:bookmarkStart w:id="319" w:name="_Toc486167692"/>
      <w:r>
        <w:rPr>
          <w:rFonts w:hint="eastAsia" w:ascii="宋体" w:hAnsi="宋体" w:eastAsia="宋体" w:cs="宋体"/>
          <w:color w:val="auto"/>
          <w:szCs w:val="21"/>
          <w:highlight w:val="none"/>
          <w:lang w:val="zh-CN"/>
        </w:rPr>
        <w:t>26 投标文件的澄清</w:t>
      </w:r>
      <w:bookmarkEnd w:id="311"/>
      <w:bookmarkEnd w:id="312"/>
      <w:bookmarkEnd w:id="313"/>
      <w:bookmarkEnd w:id="314"/>
      <w:bookmarkEnd w:id="315"/>
      <w:bookmarkEnd w:id="316"/>
      <w:bookmarkEnd w:id="317"/>
      <w:bookmarkEnd w:id="318"/>
      <w:bookmarkEnd w:id="319"/>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bookmarkStart w:id="320"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p>
    <w:bookmarkEnd w:id="320"/>
    <w:p>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21" w:name="_Toc19454"/>
      <w:bookmarkStart w:id="322" w:name="_Toc6970"/>
      <w:bookmarkStart w:id="323" w:name="_Toc142508343"/>
      <w:bookmarkStart w:id="324" w:name="_Toc22451"/>
      <w:bookmarkStart w:id="325" w:name="_Toc522047355"/>
      <w:bookmarkStart w:id="326" w:name="_Toc18368_WPSOffice_Level3"/>
      <w:bookmarkStart w:id="327" w:name="_Toc521918096"/>
      <w:bookmarkStart w:id="328" w:name="_Toc22065"/>
      <w:bookmarkStart w:id="329" w:name="_Toc10967"/>
      <w:r>
        <w:rPr>
          <w:rFonts w:hint="eastAsia" w:ascii="宋体" w:hAnsi="宋体" w:eastAsia="宋体" w:cs="宋体"/>
          <w:color w:val="auto"/>
          <w:szCs w:val="21"/>
          <w:highlight w:val="none"/>
          <w:lang w:val="zh-CN"/>
        </w:rPr>
        <w:t>27 对投标文件的比较和评价</w:t>
      </w:r>
      <w:bookmarkEnd w:id="321"/>
      <w:bookmarkEnd w:id="322"/>
      <w:bookmarkEnd w:id="323"/>
      <w:bookmarkEnd w:id="324"/>
      <w:bookmarkEnd w:id="325"/>
      <w:bookmarkEnd w:id="326"/>
      <w:bookmarkEnd w:id="327"/>
      <w:bookmarkEnd w:id="328"/>
      <w:bookmarkEnd w:id="329"/>
    </w:p>
    <w:p>
      <w:pPr>
        <w:tabs>
          <w:tab w:val="left" w:pos="540"/>
        </w:tabs>
        <w:autoSpaceDE w:val="0"/>
        <w:autoSpaceDN w:val="0"/>
        <w:adjustRightInd w:val="0"/>
        <w:spacing w:line="360" w:lineRule="auto"/>
        <w:ind w:left="315" w:leftChars="-100" w:right="15" w:rightChars="7"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对投标文件商务的评审详见评标工作大纲。</w:t>
      </w:r>
    </w:p>
    <w:p>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对投标文件技术的评审详见评标工作大纲。</w:t>
      </w:r>
    </w:p>
    <w:p>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对投标价格的评审详见评标工作大纲。</w:t>
      </w:r>
    </w:p>
    <w:p>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本次评标的评分权重详见评标工作大纲。</w:t>
      </w:r>
    </w:p>
    <w:p>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根据上述商务、技术及价格综合评价的权重分配计算出各投标人的综合得分。</w:t>
      </w:r>
    </w:p>
    <w:p>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szCs w:val="21"/>
          <w:highlight w:val="none"/>
          <w:lang w:val="zh-CN"/>
        </w:rPr>
      </w:pPr>
      <w:bookmarkStart w:id="330" w:name="_Toc522047356"/>
      <w:bookmarkStart w:id="331" w:name="_Toc521918097"/>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32" w:name="_Toc14804"/>
      <w:bookmarkStart w:id="333" w:name="_Toc16829"/>
      <w:bookmarkStart w:id="334" w:name="_Toc12070"/>
      <w:bookmarkStart w:id="335" w:name="_Toc27026"/>
      <w:bookmarkStart w:id="336" w:name="_Toc21460_WPSOffice_Level3"/>
      <w:bookmarkStart w:id="337" w:name="_Toc10278"/>
      <w:bookmarkStart w:id="338" w:name="_Toc142508344"/>
      <w:r>
        <w:rPr>
          <w:rFonts w:hint="eastAsia" w:ascii="宋体" w:hAnsi="宋体" w:eastAsia="宋体" w:cs="宋体"/>
          <w:color w:val="auto"/>
          <w:szCs w:val="21"/>
          <w:highlight w:val="none"/>
          <w:lang w:val="zh-CN"/>
        </w:rPr>
        <w:t>28 评标原则及方法</w:t>
      </w:r>
      <w:bookmarkEnd w:id="330"/>
      <w:bookmarkEnd w:id="331"/>
      <w:bookmarkEnd w:id="332"/>
      <w:bookmarkEnd w:id="333"/>
      <w:bookmarkEnd w:id="334"/>
      <w:bookmarkEnd w:id="335"/>
      <w:bookmarkEnd w:id="336"/>
      <w:bookmarkEnd w:id="337"/>
      <w:bookmarkEnd w:id="338"/>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在评标时将根据第27条，采用综合评分法的评审方法，对所有实质响应性投标文件进行综合打分。</w:t>
      </w:r>
    </w:p>
    <w:p>
      <w:pPr>
        <w:autoSpaceDE w:val="0"/>
        <w:autoSpaceDN w:val="0"/>
        <w:adjustRightInd w:val="0"/>
        <w:spacing w:line="360" w:lineRule="auto"/>
        <w:ind w:left="357" w:leftChars="-100"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u w:val="single"/>
          <w:lang w:val="zh-CN"/>
        </w:rPr>
        <w:t>若</w:t>
      </w:r>
      <w:r>
        <w:rPr>
          <w:rFonts w:hint="eastAsia" w:ascii="宋体" w:hAnsi="宋体" w:eastAsia="宋体" w:cs="宋体"/>
          <w:b/>
          <w:bCs/>
          <w:color w:val="auto"/>
          <w:szCs w:val="21"/>
          <w:highlight w:val="none"/>
          <w:u w:val="single"/>
        </w:rPr>
        <w:t>本次招标过程中有效投标人不足三个时，公开招标失败</w:t>
      </w:r>
      <w:r>
        <w:rPr>
          <w:rFonts w:hint="eastAsia" w:ascii="宋体" w:hAnsi="宋体" w:eastAsia="宋体" w:cs="宋体"/>
          <w:b/>
          <w:bCs/>
          <w:color w:val="auto"/>
          <w:szCs w:val="21"/>
          <w:highlight w:val="none"/>
        </w:rPr>
        <w:t>。</w:t>
      </w:r>
    </w:p>
    <w:p>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39" w:name="_Toc465358969"/>
      <w:bookmarkStart w:id="340" w:name="_Toc466882017"/>
      <w:bookmarkStart w:id="341" w:name="_Toc4819"/>
      <w:bookmarkStart w:id="342" w:name="_Toc32498_WPSOffice_Level3"/>
      <w:bookmarkStart w:id="343" w:name="_Toc486167694"/>
      <w:bookmarkStart w:id="344" w:name="_Toc11615"/>
      <w:bookmarkStart w:id="345" w:name="_Toc142508345"/>
      <w:bookmarkStart w:id="346" w:name="_Toc29588"/>
      <w:bookmarkStart w:id="347" w:name="_Toc4892"/>
      <w:bookmarkStart w:id="348" w:name="_Toc394"/>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bookmarkEnd w:id="339"/>
      <w:bookmarkEnd w:id="340"/>
      <w:bookmarkEnd w:id="341"/>
      <w:bookmarkEnd w:id="342"/>
      <w:bookmarkEnd w:id="343"/>
      <w:bookmarkEnd w:id="344"/>
      <w:bookmarkEnd w:id="345"/>
      <w:bookmarkEnd w:id="346"/>
      <w:bookmarkEnd w:id="347"/>
      <w:bookmarkEnd w:id="348"/>
    </w:p>
    <w:p>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 招标代理机构在招标公告发布媒介公示中标候选人，公示期为3日。投标人或者其他利害关系人对评标结果有异议的，应当在</w:t>
      </w:r>
      <w:r>
        <w:rPr>
          <w:rFonts w:hint="eastAsia" w:ascii="宋体" w:hAnsi="宋体" w:eastAsia="宋体" w:cs="宋体"/>
          <w:color w:val="auto"/>
          <w:szCs w:val="21"/>
          <w:highlight w:val="none"/>
        </w:rPr>
        <w:t>评标结果</w:t>
      </w:r>
      <w:r>
        <w:rPr>
          <w:rFonts w:hint="eastAsia" w:ascii="宋体" w:hAnsi="宋体" w:eastAsia="宋体" w:cs="宋体"/>
          <w:color w:val="auto"/>
          <w:szCs w:val="21"/>
          <w:highlight w:val="none"/>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pPr>
        <w:autoSpaceDE w:val="0"/>
        <w:autoSpaceDN w:val="0"/>
        <w:adjustRightInd w:val="0"/>
        <w:snapToGrid w:val="0"/>
        <w:spacing w:line="360" w:lineRule="auto"/>
        <w:ind w:left="210" w:leftChars="100" w:firstLine="525" w:firstLineChars="25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r>
        <w:rPr>
          <w:rFonts w:hint="eastAsia" w:ascii="宋体" w:hAnsi="宋体" w:eastAsia="宋体" w:cs="宋体"/>
          <w:color w:val="auto"/>
          <w:kern w:val="0"/>
          <w:szCs w:val="21"/>
          <w:highlight w:val="none"/>
          <w:lang w:val="zh-CN"/>
        </w:rPr>
        <w:t>。</w:t>
      </w:r>
    </w:p>
    <w:p>
      <w:pPr>
        <w:autoSpaceDE/>
        <w:autoSpaceDN/>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 xml:space="preserve">29.2 </w:t>
      </w:r>
      <w:r>
        <w:rPr>
          <w:rFonts w:hint="eastAsia" w:ascii="宋体" w:hAnsi="宋体" w:eastAsia="宋体" w:cs="宋体"/>
          <w:b/>
          <w:color w:val="auto"/>
          <w:szCs w:val="21"/>
          <w:highlight w:val="none"/>
          <w:u w:val="singl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r>
        <w:rPr>
          <w:rFonts w:hint="eastAsia" w:ascii="宋体" w:hAnsi="宋体" w:eastAsia="宋体" w:cs="宋体"/>
          <w:b/>
          <w:color w:val="auto"/>
          <w:szCs w:val="21"/>
          <w:highlight w:val="none"/>
          <w:lang w:val="zh-CN"/>
        </w:rPr>
        <w:t>。</w:t>
      </w:r>
    </w:p>
    <w:p>
      <w:pPr>
        <w:autoSpaceDE w:val="0"/>
        <w:autoSpaceDN w:val="0"/>
        <w:adjustRightInd w:val="0"/>
        <w:snapToGrid w:val="0"/>
        <w:spacing w:line="360" w:lineRule="auto"/>
        <w:ind w:left="246" w:leftChars="117" w:firstLine="422" w:firstLineChars="200"/>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u w:val="singl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宋体"/>
          <w:b/>
          <w:color w:val="auto"/>
          <w:kern w:val="0"/>
          <w:szCs w:val="21"/>
          <w:highlight w:val="none"/>
          <w:u w:val="single"/>
        </w:rPr>
        <w:t>第一中标候选人未能在招标人（或其委托的招标代理机构) 书面要求的时间(一般不少于三个工作日) 内提供完整的材料原件进行核查的</w:t>
      </w:r>
      <w:r>
        <w:rPr>
          <w:rFonts w:hint="eastAsia" w:ascii="宋体" w:hAnsi="宋体" w:eastAsia="宋体" w:cs="宋体"/>
          <w:b/>
          <w:color w:val="auto"/>
          <w:szCs w:val="21"/>
          <w:highlight w:val="none"/>
          <w:u w:val="single"/>
          <w:lang w:val="zh-CN"/>
        </w:rPr>
        <w:t>，视为其无法提供真实的资料，招标人有权取消其中标候选人资格</w:t>
      </w:r>
      <w:r>
        <w:rPr>
          <w:rFonts w:hint="eastAsia" w:ascii="宋体" w:hAnsi="宋体" w:eastAsia="宋体" w:cs="宋体"/>
          <w:b/>
          <w:color w:val="auto"/>
          <w:szCs w:val="21"/>
          <w:highlight w:val="none"/>
          <w:lang w:val="zh-CN"/>
        </w:rPr>
        <w:t>。</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投诉人投诉的事项不得超出已异议事项的范围，但基于异议答复内容提出的投诉事项除外。</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监督部门：东莞市水务集团有限公司，联系人：莫先生，联系电话：0769-28823251。</w:t>
      </w:r>
    </w:p>
    <w:p>
      <w:pPr>
        <w:autoSpaceDE w:val="0"/>
        <w:autoSpaceDN w:val="0"/>
        <w:adjustRightInd w:val="0"/>
        <w:snapToGrid w:val="0"/>
        <w:spacing w:line="360" w:lineRule="auto"/>
        <w:ind w:left="296" w:leftChars="100" w:hanging="86" w:hangingChars="41"/>
        <w:jc w:val="left"/>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288" w:leftChars="-100" w:hanging="498" w:hangingChars="236"/>
        <w:outlineLvl w:val="2"/>
        <w:rPr>
          <w:rFonts w:hint="eastAsia" w:ascii="宋体" w:hAnsi="宋体" w:eastAsia="宋体" w:cs="宋体"/>
          <w:b/>
          <w:color w:val="auto"/>
          <w:szCs w:val="21"/>
          <w:highlight w:val="none"/>
          <w:lang w:val="zh-CN"/>
        </w:rPr>
      </w:pPr>
      <w:bookmarkStart w:id="349" w:name="_Toc7095"/>
      <w:bookmarkStart w:id="350" w:name="_Toc1848_WPSOffice_Level3"/>
      <w:bookmarkStart w:id="351" w:name="_Toc2077"/>
      <w:bookmarkStart w:id="352" w:name="_Toc26354"/>
      <w:bookmarkStart w:id="353" w:name="_Toc465358970"/>
      <w:bookmarkStart w:id="354" w:name="_Toc466882018"/>
      <w:bookmarkStart w:id="355" w:name="_Toc142508346"/>
      <w:bookmarkStart w:id="356" w:name="_Toc486167695"/>
      <w:bookmarkStart w:id="357" w:name="_Toc3154"/>
      <w:bookmarkStart w:id="358" w:name="_Toc15998"/>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349"/>
      <w:bookmarkEnd w:id="350"/>
      <w:bookmarkEnd w:id="351"/>
      <w:bookmarkEnd w:id="352"/>
      <w:bookmarkEnd w:id="353"/>
      <w:bookmarkEnd w:id="354"/>
      <w:bookmarkEnd w:id="355"/>
      <w:bookmarkEnd w:id="356"/>
      <w:bookmarkEnd w:id="357"/>
      <w:bookmarkEnd w:id="358"/>
    </w:p>
    <w:p>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30.1 </w:t>
      </w:r>
      <w:r>
        <w:rPr>
          <w:rFonts w:hint="eastAsia" w:ascii="宋体" w:hAnsi="宋体" w:eastAsia="宋体" w:cs="宋体"/>
          <w:b/>
          <w:color w:val="auto"/>
          <w:szCs w:val="21"/>
          <w:highlight w:val="none"/>
          <w:u w:val="single"/>
        </w:rPr>
        <w:t>在</w:t>
      </w:r>
      <w:r>
        <w:rPr>
          <w:rFonts w:hint="eastAsia" w:ascii="宋体" w:hAnsi="宋体" w:eastAsia="宋体" w:cs="宋体"/>
          <w:b/>
          <w:color w:val="auto"/>
          <w:kern w:val="0"/>
          <w:szCs w:val="21"/>
          <w:highlight w:val="none"/>
          <w:u w:val="singl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color w:val="auto"/>
          <w:szCs w:val="21"/>
          <w:highlight w:val="none"/>
          <w:u w:val="single"/>
          <w:lang w:val="zh-CN"/>
        </w:rPr>
        <w:t>如有需要，投标人有义务提供投标文件外其他相关证明资料原件（包括但不限于业绩合同对应的发票等）供招标人核查。</w:t>
      </w:r>
      <w:r>
        <w:rPr>
          <w:rFonts w:hint="eastAsia" w:ascii="宋体" w:hAnsi="宋体" w:eastAsia="宋体" w:cs="宋体"/>
          <w:b/>
          <w:color w:val="auto"/>
          <w:kern w:val="0"/>
          <w:szCs w:val="21"/>
          <w:highlight w:val="none"/>
          <w:u w:val="singl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30.2 </w:t>
      </w:r>
      <w:r>
        <w:rPr>
          <w:rFonts w:hint="eastAsia" w:ascii="宋体" w:hAnsi="宋体" w:eastAsia="宋体" w:cs="宋体"/>
          <w:b/>
          <w:color w:val="auto"/>
          <w:szCs w:val="21"/>
          <w:highlight w:val="none"/>
          <w:u w:val="single"/>
        </w:rPr>
        <w:t>投标人</w:t>
      </w:r>
      <w:r>
        <w:rPr>
          <w:rFonts w:hint="eastAsia" w:ascii="宋体" w:hAnsi="宋体" w:eastAsia="宋体" w:cs="宋体"/>
          <w:b/>
          <w:color w:val="auto"/>
          <w:kern w:val="0"/>
          <w:szCs w:val="21"/>
          <w:highlight w:val="none"/>
          <w:u w:val="single"/>
        </w:rPr>
        <w:t>在招标人（或其委托的招标代理机构）、或评标委员会通知其提供</w:t>
      </w:r>
      <w:r>
        <w:rPr>
          <w:rFonts w:hint="eastAsia" w:ascii="宋体" w:hAnsi="宋体" w:eastAsia="宋体" w:cs="宋体"/>
          <w:b/>
          <w:color w:val="auto"/>
          <w:szCs w:val="21"/>
          <w:highlight w:val="none"/>
          <w:u w:val="single"/>
          <w:lang w:val="zh-CN"/>
        </w:rPr>
        <w:t>上述投标文件或投标文件外其他相关（包括但不限于业绩合同对应的发票等）的证明资料原件</w:t>
      </w:r>
      <w:r>
        <w:rPr>
          <w:rFonts w:hint="eastAsia" w:ascii="宋体" w:hAnsi="宋体" w:eastAsia="宋体" w:cs="宋体"/>
          <w:b/>
          <w:color w:val="auto"/>
          <w:kern w:val="0"/>
          <w:szCs w:val="21"/>
          <w:highlight w:val="none"/>
          <w:u w:val="singl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30.3 </w:t>
      </w:r>
      <w:r>
        <w:rPr>
          <w:rFonts w:hint="eastAsia" w:ascii="宋体" w:hAnsi="宋体" w:eastAsia="宋体" w:cs="宋体"/>
          <w:b/>
          <w:color w:val="auto"/>
          <w:szCs w:val="21"/>
          <w:highlight w:val="none"/>
          <w:u w:val="single"/>
        </w:rPr>
        <w:t>若投标人在投标或履约过程中存在提供虚假材料、虚假响应招标文件要求等弄虚作假行为，或未能根据本须知29.2款约定按时提供原件进行核查的，或不按照投标文件承诺履约或撤回投标或放弃中标资格或不按要求与招标人签订合同等影响中标结果的行为，因此导致投标人无法参与东莞市水务集团有限公司相关招标采购等活动的，由投标人自行承担全部后果</w:t>
      </w:r>
      <w:r>
        <w:rPr>
          <w:rFonts w:hint="eastAsia" w:ascii="宋体" w:hAnsi="宋体" w:eastAsia="宋体" w:cs="宋体"/>
          <w:b/>
          <w:color w:val="auto"/>
          <w:szCs w:val="21"/>
          <w:highlight w:val="none"/>
        </w:rPr>
        <w:t>。</w:t>
      </w:r>
    </w:p>
    <w:p>
      <w:pPr>
        <w:autoSpaceDE w:val="0"/>
        <w:autoSpaceDN w:val="0"/>
        <w:adjustRightInd w:val="0"/>
        <w:snapToGrid w:val="0"/>
        <w:spacing w:line="360" w:lineRule="auto"/>
        <w:jc w:val="left"/>
        <w:rPr>
          <w:rFonts w:hint="eastAsia" w:ascii="宋体" w:hAnsi="宋体" w:eastAsia="宋体" w:cs="宋体"/>
          <w:color w:val="auto"/>
          <w:szCs w:val="21"/>
          <w:highlight w:val="none"/>
        </w:rPr>
      </w:pPr>
      <w:bookmarkStart w:id="359" w:name="_Toc466882019"/>
      <w:bookmarkStart w:id="360" w:name="_Toc465358971"/>
    </w:p>
    <w:p>
      <w:pPr>
        <w:tabs>
          <w:tab w:val="left" w:pos="567"/>
        </w:tabs>
        <w:autoSpaceDE w:val="0"/>
        <w:autoSpaceDN w:val="0"/>
        <w:adjustRightInd w:val="0"/>
        <w:spacing w:line="360" w:lineRule="auto"/>
        <w:ind w:left="16" w:leftChars="-59" w:hanging="140" w:hangingChars="67"/>
        <w:outlineLvl w:val="2"/>
        <w:rPr>
          <w:rFonts w:hint="eastAsia" w:ascii="宋体" w:hAnsi="宋体" w:eastAsia="宋体" w:cs="宋体"/>
          <w:color w:val="auto"/>
          <w:szCs w:val="21"/>
          <w:highlight w:val="none"/>
          <w:lang w:val="zh-CN"/>
        </w:rPr>
      </w:pPr>
      <w:bookmarkStart w:id="361" w:name="_Toc19025"/>
      <w:bookmarkStart w:id="362" w:name="_Toc486167696"/>
      <w:bookmarkStart w:id="363" w:name="_Toc8654"/>
      <w:bookmarkStart w:id="364" w:name="_Toc15815"/>
      <w:bookmarkStart w:id="365" w:name="_Toc10867_WPSOffice_Level3"/>
      <w:bookmarkStart w:id="366" w:name="_Toc13307"/>
      <w:bookmarkStart w:id="367" w:name="_Toc142508347"/>
      <w:bookmarkStart w:id="368" w:name="_Toc23672"/>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359"/>
      <w:bookmarkEnd w:id="360"/>
      <w:bookmarkEnd w:id="361"/>
      <w:bookmarkEnd w:id="362"/>
      <w:bookmarkEnd w:id="363"/>
      <w:bookmarkEnd w:id="364"/>
      <w:bookmarkEnd w:id="365"/>
      <w:bookmarkEnd w:id="366"/>
      <w:bookmarkEnd w:id="367"/>
      <w:bookmarkEnd w:id="368"/>
    </w:p>
    <w:p>
      <w:pPr>
        <w:autoSpaceDE w:val="0"/>
        <w:autoSpaceDN w:val="0"/>
        <w:adjustRightInd w:val="0"/>
        <w:spacing w:line="360" w:lineRule="auto"/>
        <w:ind w:left="248" w:leftChars="118"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pPr>
        <w:autoSpaceDE w:val="0"/>
        <w:autoSpaceDN w:val="0"/>
        <w:adjustRightInd w:val="0"/>
        <w:snapToGrid w:val="0"/>
        <w:spacing w:line="360" w:lineRule="auto"/>
        <w:ind w:left="436" w:leftChars="-158" w:hanging="768" w:hangingChars="320"/>
        <w:jc w:val="left"/>
        <w:rPr>
          <w:rFonts w:hint="eastAsia" w:ascii="宋体" w:hAnsi="宋体" w:eastAsia="宋体" w:cs="宋体"/>
          <w:color w:val="auto"/>
          <w:kern w:val="44"/>
          <w:sz w:val="24"/>
          <w:szCs w:val="24"/>
          <w:highlight w:val="none"/>
          <w:lang w:val="zh-CN"/>
        </w:rPr>
      </w:pPr>
      <w:bookmarkStart w:id="369" w:name="_Toc450662880"/>
    </w:p>
    <w:p>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370" w:name="_Toc142508348"/>
      <w:bookmarkStart w:id="371" w:name="_Toc16789"/>
      <w:bookmarkStart w:id="372" w:name="_Toc11941"/>
      <w:bookmarkStart w:id="373" w:name="_Toc29585"/>
      <w:bookmarkStart w:id="374" w:name="_Toc30538"/>
      <w:bookmarkStart w:id="375" w:name="_Toc27936"/>
      <w:bookmarkStart w:id="376" w:name="_Toc140596907"/>
      <w:bookmarkStart w:id="377" w:name="_Toc486167697"/>
      <w:bookmarkStart w:id="378" w:name="_Toc16848_WPSOffice_Level2"/>
      <w:r>
        <w:rPr>
          <w:rFonts w:hint="eastAsia" w:ascii="宋体" w:hAnsi="宋体" w:eastAsia="宋体" w:cs="宋体"/>
          <w:b/>
          <w:bCs/>
          <w:color w:val="auto"/>
          <w:kern w:val="44"/>
          <w:szCs w:val="21"/>
          <w:highlight w:val="none"/>
          <w:lang w:val="zh-CN"/>
        </w:rPr>
        <w:t>六、授予合同</w:t>
      </w:r>
      <w:bookmarkEnd w:id="369"/>
      <w:bookmarkEnd w:id="370"/>
      <w:bookmarkEnd w:id="371"/>
      <w:bookmarkEnd w:id="372"/>
      <w:bookmarkEnd w:id="373"/>
      <w:bookmarkEnd w:id="374"/>
      <w:bookmarkEnd w:id="375"/>
      <w:bookmarkEnd w:id="376"/>
      <w:bookmarkEnd w:id="377"/>
      <w:bookmarkEnd w:id="378"/>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79" w:name="_Toc29383"/>
      <w:bookmarkStart w:id="380" w:name="_Toc31713"/>
      <w:bookmarkStart w:id="381" w:name="_Toc25080"/>
      <w:bookmarkStart w:id="382" w:name="_Toc142508349"/>
      <w:bookmarkStart w:id="383" w:name="_Toc486167698"/>
      <w:bookmarkStart w:id="384" w:name="_Toc450662881"/>
      <w:bookmarkStart w:id="385" w:name="_Toc4948"/>
      <w:bookmarkStart w:id="386" w:name="_Toc6401_WPSOffice_Level3"/>
      <w:bookmarkStart w:id="387" w:name="_Toc9067"/>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bookmarkEnd w:id="379"/>
      <w:bookmarkEnd w:id="380"/>
      <w:bookmarkEnd w:id="381"/>
      <w:bookmarkEnd w:id="382"/>
      <w:bookmarkEnd w:id="383"/>
      <w:bookmarkEnd w:id="384"/>
      <w:bookmarkEnd w:id="385"/>
      <w:bookmarkEnd w:id="386"/>
      <w:bookmarkEnd w:id="387"/>
    </w:p>
    <w:p>
      <w:pPr>
        <w:tabs>
          <w:tab w:val="left" w:pos="645"/>
        </w:tabs>
        <w:autoSpaceDE w:val="0"/>
        <w:autoSpaceDN w:val="0"/>
        <w:adjustRightInd w:val="0"/>
        <w:spacing w:line="360" w:lineRule="auto"/>
        <w:ind w:left="315" w:leftChars="-100" w:right="44" w:rightChars="21"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pPr>
        <w:numPr>
          <w:ilvl w:val="1"/>
          <w:numId w:val="0"/>
        </w:numPr>
        <w:tabs>
          <w:tab w:val="left" w:pos="54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pPr>
        <w:autoSpaceDE w:val="0"/>
        <w:autoSpaceDN w:val="0"/>
        <w:adjustRightInd w:val="0"/>
        <w:snapToGrid w:val="0"/>
        <w:spacing w:line="360" w:lineRule="auto"/>
        <w:ind w:left="315" w:leftChars="-100" w:hanging="525" w:hangingChars="250"/>
        <w:jc w:val="left"/>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88" w:name="_Toc450662885"/>
    </w:p>
    <w:p>
      <w:pPr>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89" w:name="_Toc486167699"/>
      <w:bookmarkStart w:id="390" w:name="_Toc6726_WPSOffice_Level3"/>
      <w:bookmarkStart w:id="391" w:name="_Toc142508350"/>
      <w:bookmarkStart w:id="392" w:name="_Toc14377"/>
      <w:bookmarkStart w:id="393" w:name="_Toc8196"/>
      <w:bookmarkStart w:id="394" w:name="_Toc25680"/>
      <w:bookmarkStart w:id="395" w:name="_Toc29042"/>
      <w:bookmarkStart w:id="396" w:name="_Toc18984"/>
      <w:r>
        <w:rPr>
          <w:rFonts w:hint="eastAsia" w:ascii="宋体" w:hAnsi="宋体" w:eastAsia="宋体" w:cs="宋体"/>
          <w:color w:val="auto"/>
          <w:szCs w:val="21"/>
          <w:highlight w:val="none"/>
          <w:lang w:val="zh-CN"/>
        </w:rPr>
        <w:t>33 中标通知</w:t>
      </w:r>
      <w:bookmarkEnd w:id="388"/>
      <w:bookmarkEnd w:id="389"/>
      <w:bookmarkEnd w:id="390"/>
      <w:bookmarkEnd w:id="391"/>
      <w:bookmarkEnd w:id="392"/>
      <w:bookmarkEnd w:id="393"/>
      <w:bookmarkEnd w:id="394"/>
      <w:bookmarkEnd w:id="395"/>
      <w:bookmarkEnd w:id="396"/>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97"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招标代理机构向中标人发出书面通知，中标通知书是合同的一个组成部分。</w:t>
      </w:r>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98" w:name="_Toc142508351"/>
      <w:bookmarkStart w:id="399" w:name="_Toc19127"/>
      <w:bookmarkStart w:id="400" w:name="_Toc12053"/>
      <w:bookmarkStart w:id="401" w:name="_Toc486167700"/>
      <w:bookmarkStart w:id="402" w:name="_Toc1331"/>
      <w:bookmarkStart w:id="403" w:name="_Toc9694_WPSOffice_Level3"/>
      <w:bookmarkStart w:id="404" w:name="_Toc28020"/>
      <w:bookmarkStart w:id="405" w:name="_Toc13715"/>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bookmarkEnd w:id="397"/>
      <w:bookmarkEnd w:id="398"/>
      <w:bookmarkEnd w:id="399"/>
      <w:bookmarkEnd w:id="400"/>
      <w:bookmarkEnd w:id="401"/>
      <w:bookmarkEnd w:id="402"/>
      <w:bookmarkEnd w:id="403"/>
      <w:bookmarkEnd w:id="404"/>
      <w:bookmarkEnd w:id="405"/>
    </w:p>
    <w:p>
      <w:pPr>
        <w:tabs>
          <w:tab w:val="left" w:pos="540"/>
        </w:tabs>
        <w:autoSpaceDE w:val="0"/>
        <w:autoSpaceDN w:val="0"/>
        <w:adjustRightInd w:val="0"/>
        <w:spacing w:line="360" w:lineRule="auto"/>
        <w:ind w:left="315" w:leftChars="-100" w:right="15" w:rightChars="7"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34.2 在签署合同前，招标人可对中标人投标报价明细及附表内的算术性错误进行修正，修正原则为：</w:t>
      </w:r>
    </w:p>
    <w:p>
      <w:pPr>
        <w:autoSpaceDE w:val="0"/>
        <w:autoSpaceDN w:val="0"/>
        <w:adjustRightInd w:val="0"/>
        <w:snapToGrid w:val="0"/>
        <w:spacing w:line="360" w:lineRule="auto"/>
        <w:ind w:left="296" w:leftChars="91" w:hanging="105" w:hangingChars="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（1）当以数字表示的金额与以文字表示的金额不一致时，以文字表示的金额为准；</w:t>
      </w:r>
    </w:p>
    <w:p>
      <w:pPr>
        <w:autoSpaceDE w:val="0"/>
        <w:autoSpaceDN w:val="0"/>
        <w:adjustRightInd w:val="0"/>
        <w:snapToGrid w:val="0"/>
        <w:spacing w:line="360" w:lineRule="auto"/>
        <w:ind w:left="296" w:leftChars="91" w:hanging="105" w:hangingChars="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（2）按前述修正原则排序依次进行修正至唯一值后的报价表经双方确认后，作为合同文件的组成部分。</w:t>
      </w:r>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06" w:name="_Toc450662887"/>
      <w:bookmarkStart w:id="407" w:name="_Toc5304"/>
      <w:bookmarkStart w:id="408" w:name="_Toc486167701"/>
      <w:bookmarkStart w:id="409" w:name="_Toc32166"/>
      <w:bookmarkStart w:id="410" w:name="_Toc6803"/>
      <w:bookmarkStart w:id="411" w:name="_Toc3830"/>
      <w:bookmarkStart w:id="412" w:name="_Toc10513_WPSOffice_Level3"/>
      <w:bookmarkStart w:id="413" w:name="_Toc8181"/>
      <w:bookmarkStart w:id="414" w:name="_Toc142508352"/>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bookmarkEnd w:id="406"/>
      <w:bookmarkEnd w:id="407"/>
      <w:bookmarkEnd w:id="408"/>
      <w:bookmarkEnd w:id="409"/>
      <w:bookmarkEnd w:id="410"/>
      <w:bookmarkEnd w:id="411"/>
      <w:bookmarkEnd w:id="412"/>
      <w:bookmarkEnd w:id="413"/>
      <w:bookmarkEnd w:id="414"/>
    </w:p>
    <w:p>
      <w:pPr>
        <w:numPr>
          <w:ilvl w:val="1"/>
          <w:numId w:val="0"/>
        </w:numPr>
        <w:autoSpaceDE w:val="0"/>
        <w:autoSpaceDN w:val="0"/>
        <w:adjustRightInd w:val="0"/>
        <w:spacing w:line="360" w:lineRule="auto"/>
        <w:ind w:left="354" w:leftChars="-100" w:right="15" w:rightChars="7" w:hanging="564" w:hangingChars="269"/>
        <w:rPr>
          <w:rFonts w:hint="eastAsia" w:ascii="宋体" w:hAnsi="宋体" w:eastAsia="宋体" w:cs="宋体"/>
          <w:b/>
          <w:bCs/>
          <w:color w:val="auto"/>
          <w:szCs w:val="21"/>
          <w:highlight w:val="none"/>
          <w:lang w:val="zh-CN"/>
        </w:rPr>
      </w:pPr>
      <w:bookmarkStart w:id="415" w:name="_Toc466882025"/>
      <w:bookmarkStart w:id="416"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宋体"/>
          <w:b/>
          <w:bCs/>
          <w:color w:val="auto"/>
          <w:szCs w:val="21"/>
          <w:highlight w:val="none"/>
          <w:u w:val="single"/>
          <w:lang w:val="zh-CN"/>
        </w:rPr>
        <w:t>中标人应在签订合同前，按本招标文件规定金额及形式要求，向招标人或招标人权属子公司提交不可撤销银行履约保函（或履约保证金</w:t>
      </w:r>
      <w:r>
        <w:rPr>
          <w:rFonts w:hint="eastAsia" w:ascii="宋体" w:hAnsi="宋体" w:eastAsia="宋体" w:cs="宋体"/>
          <w:b/>
          <w:bCs/>
          <w:color w:val="auto"/>
          <w:szCs w:val="21"/>
          <w:highlight w:val="none"/>
          <w:u w:val="single"/>
          <w:lang w:val="en-US" w:eastAsia="zh-CN"/>
        </w:rPr>
        <w:t>或履约保证保险</w:t>
      </w:r>
      <w:r>
        <w:rPr>
          <w:rFonts w:hint="eastAsia" w:ascii="宋体" w:hAnsi="宋体" w:eastAsia="宋体" w:cs="宋体"/>
          <w:b/>
          <w:bCs/>
          <w:color w:val="auto"/>
          <w:szCs w:val="21"/>
          <w:highlight w:val="none"/>
          <w:u w:val="single"/>
          <w:lang w:val="zh-CN"/>
        </w:rPr>
        <w:t>或担保公司履约担保书），作为履约担保（所需费用由中标人自行承担），</w:t>
      </w:r>
      <w:r>
        <w:rPr>
          <w:rFonts w:hint="eastAsia" w:ascii="宋体" w:hAnsi="宋体" w:eastAsia="宋体" w:cs="宋体"/>
          <w:b/>
          <w:bCs/>
          <w:color w:val="auto"/>
          <w:kern w:val="0"/>
          <w:szCs w:val="24"/>
          <w:highlight w:val="none"/>
          <w:u w:val="single"/>
        </w:rPr>
        <w:t>否则招标人可取消中标人的中标资格，不予退还其投标保证金。</w:t>
      </w:r>
      <w:r>
        <w:rPr>
          <w:rFonts w:hint="eastAsia" w:ascii="宋体" w:hAnsi="宋体" w:eastAsia="宋体" w:cs="宋体"/>
          <w:b/>
          <w:bCs/>
          <w:color w:val="auto"/>
          <w:szCs w:val="21"/>
          <w:highlight w:val="none"/>
          <w:u w:val="single"/>
          <w:lang w:val="zh-CN"/>
        </w:rPr>
        <w:t>其中，采用履约保证金（银行转账形式）的金额为暂定总合同价</w:t>
      </w:r>
      <w:r>
        <w:rPr>
          <w:rFonts w:hint="eastAsia" w:ascii="宋体" w:hAnsi="宋体" w:eastAsia="宋体" w:cs="宋体"/>
          <w:b/>
          <w:bCs/>
          <w:color w:val="auto"/>
          <w:szCs w:val="21"/>
          <w:highlight w:val="none"/>
          <w:u w:val="single"/>
          <w:lang w:val="en-US" w:eastAsia="zh-CN"/>
        </w:rPr>
        <w:t>税合计</w:t>
      </w:r>
      <w:r>
        <w:rPr>
          <w:rFonts w:hint="eastAsia" w:ascii="宋体" w:hAnsi="宋体" w:eastAsia="宋体" w:cs="宋体"/>
          <w:b/>
          <w:bCs/>
          <w:color w:val="auto"/>
          <w:szCs w:val="21"/>
          <w:highlight w:val="none"/>
          <w:u w:val="single"/>
          <w:lang w:val="zh-CN"/>
        </w:rPr>
        <w:t>的5%，采用不可撤销银行履约保函形式的金额为暂定总合同价</w:t>
      </w:r>
      <w:r>
        <w:rPr>
          <w:rFonts w:hint="eastAsia" w:ascii="宋体" w:hAnsi="宋体" w:eastAsia="宋体" w:cs="宋体"/>
          <w:b/>
          <w:bCs/>
          <w:color w:val="auto"/>
          <w:szCs w:val="21"/>
          <w:highlight w:val="none"/>
          <w:u w:val="single"/>
          <w:lang w:val="en-US" w:eastAsia="zh-CN"/>
        </w:rPr>
        <w:t>税合计</w:t>
      </w:r>
      <w:r>
        <w:rPr>
          <w:rFonts w:hint="eastAsia" w:ascii="宋体" w:hAnsi="宋体" w:eastAsia="宋体" w:cs="宋体"/>
          <w:b/>
          <w:bCs/>
          <w:color w:val="auto"/>
          <w:szCs w:val="21"/>
          <w:highlight w:val="none"/>
          <w:u w:val="single"/>
          <w:lang w:val="zh-CN"/>
        </w:rPr>
        <w:t>的8%，采用</w:t>
      </w:r>
      <w:r>
        <w:rPr>
          <w:rFonts w:hint="eastAsia" w:ascii="宋体" w:hAnsi="宋体" w:eastAsia="宋体" w:cs="宋体"/>
          <w:b/>
          <w:bCs/>
          <w:color w:val="auto"/>
          <w:szCs w:val="21"/>
          <w:highlight w:val="none"/>
          <w:u w:val="single"/>
          <w:lang w:val="en-US" w:eastAsia="zh-CN"/>
        </w:rPr>
        <w:t>履约保证保险</w:t>
      </w:r>
      <w:r>
        <w:rPr>
          <w:rFonts w:hint="eastAsia" w:ascii="宋体" w:hAnsi="宋体" w:eastAsia="宋体" w:cs="宋体"/>
          <w:b/>
          <w:bCs/>
          <w:color w:val="auto"/>
          <w:szCs w:val="21"/>
          <w:highlight w:val="none"/>
          <w:u w:val="single"/>
          <w:lang w:val="zh-CN"/>
        </w:rPr>
        <w:t>形式的金额为暂定总合同价</w:t>
      </w:r>
      <w:r>
        <w:rPr>
          <w:rFonts w:hint="eastAsia" w:ascii="宋体" w:hAnsi="宋体" w:eastAsia="宋体" w:cs="宋体"/>
          <w:b/>
          <w:bCs/>
          <w:color w:val="auto"/>
          <w:szCs w:val="21"/>
          <w:highlight w:val="none"/>
          <w:u w:val="single"/>
          <w:lang w:val="en-US" w:eastAsia="zh-CN"/>
        </w:rPr>
        <w:t>税合计</w:t>
      </w:r>
      <w:r>
        <w:rPr>
          <w:rFonts w:hint="eastAsia" w:ascii="宋体" w:hAnsi="宋体" w:eastAsia="宋体" w:cs="宋体"/>
          <w:b/>
          <w:bCs/>
          <w:color w:val="auto"/>
          <w:szCs w:val="21"/>
          <w:highlight w:val="none"/>
          <w:u w:val="single"/>
          <w:lang w:val="zh-CN"/>
        </w:rPr>
        <w:t>的8%，采用担保公司履约担保书形式的金额为暂定总合同价</w:t>
      </w:r>
      <w:r>
        <w:rPr>
          <w:rFonts w:hint="eastAsia" w:ascii="宋体" w:hAnsi="宋体" w:eastAsia="宋体" w:cs="宋体"/>
          <w:b/>
          <w:bCs/>
          <w:color w:val="auto"/>
          <w:szCs w:val="21"/>
          <w:highlight w:val="none"/>
          <w:u w:val="single"/>
          <w:lang w:val="en-US" w:eastAsia="zh-CN"/>
        </w:rPr>
        <w:t>税合计</w:t>
      </w:r>
      <w:r>
        <w:rPr>
          <w:rFonts w:hint="eastAsia" w:ascii="宋体" w:hAnsi="宋体" w:eastAsia="宋体" w:cs="宋体"/>
          <w:b/>
          <w:bCs/>
          <w:color w:val="auto"/>
          <w:szCs w:val="21"/>
          <w:highlight w:val="none"/>
          <w:u w:val="single"/>
          <w:lang w:val="zh-CN"/>
        </w:rPr>
        <w:t>的10%。</w:t>
      </w:r>
      <w:r>
        <w:rPr>
          <w:rFonts w:hint="eastAsia" w:ascii="宋体" w:hAnsi="宋体" w:eastAsia="宋体" w:cs="宋体"/>
          <w:bCs/>
          <w:color w:val="auto"/>
          <w:kern w:val="0"/>
          <w:szCs w:val="24"/>
          <w:highlight w:val="none"/>
        </w:rPr>
        <w:t>合同履行过程中，中标人</w:t>
      </w:r>
      <w:r>
        <w:rPr>
          <w:rFonts w:hint="eastAsia" w:ascii="宋体" w:hAnsi="宋体" w:eastAsia="宋体" w:cs="宋体"/>
          <w:color w:val="auto"/>
          <w:kern w:val="0"/>
          <w:szCs w:val="24"/>
          <w:highlight w:val="none"/>
        </w:rPr>
        <w:t>给招标人造成的损失超过履约担保数额的，中标人还应当对超过部分予以赔偿，招标人并依法追究中标人的相应责任。</w:t>
      </w:r>
    </w:p>
    <w:p>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35.2 履约担保用于补偿招标人因中标人不能完全履行其合同义务而蒙受的损失或其他合同约定的事项。如发生下列任一情况时，招标人有权依合同追究违约责任外，同时有权提取履约担保并进行相应处理：</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（1）中标人将合同项下中标人的权利义务全部转让给第三方，或未经招标人书面同意将部分权利义务转让给第三方的，招标人有权没收其履约担保。</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（2）在合同履行期间，中标人怠于履行合同义务，经招标人通知或要求承担违约金后仍拒不改正的，招标人可依法没收或适当扣除其履约担保。</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在合同履行期间，因中标人货物、服务质量问题造成损害、侵权损失（包括但不限于招标人经济损失、第三人人身财产损失等）、拖欠原材料供应商货款或与其所雇用员工发生劳资纠纷、上访、闹事或其他影响招标人生产经营等情况而其未及时妥善处理的，招标人有权使用履约担保予以支付或作出相应处理，由此产生的一切法律后果由中标人承担。</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（4）在合同履行期间，中标人违约产生的违约金、赔偿、罚款或其他应付费用等款项，招标人有权直接从未付款项中直接扣除或启用履约担保予以支付。</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（5）合同期内，中标人不能及时完成合同某项义务的，招标人有权提取履约担保用于处理该项工作。</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（6）其他根据本合同约定或法律规定，招标人可启用履约担保的情形。</w:t>
      </w:r>
    </w:p>
    <w:p>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pPr>
        <w:tabs>
          <w:tab w:val="left" w:pos="360"/>
          <w:tab w:val="left" w:pos="4725"/>
        </w:tabs>
        <w:autoSpaceDE/>
        <w:autoSpaceDN/>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（1）出具履约保函的银行必须是境内支行一级以上机构，并经招标人同意，执行本款时所发生的费用由中标人承担。</w:t>
      </w:r>
    </w:p>
    <w:p>
      <w:pPr>
        <w:tabs>
          <w:tab w:val="left" w:pos="360"/>
          <w:tab w:val="left" w:pos="4725"/>
        </w:tabs>
        <w:autoSpaceDE/>
        <w:autoSpaceDN/>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（2）履约担保格式应采用招标文件中提供的（格式参见第五篇），投标人如以履约保函（或履约保证保险或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履约担保书）形式提供履约担保的，投标前应当自行向其拟申请开具保函的银行（</w:t>
      </w:r>
      <w:r>
        <w:rPr>
          <w:rFonts w:hint="eastAsia" w:ascii="宋体" w:hAnsi="宋体" w:eastAsia="宋体" w:cs="宋体"/>
          <w:color w:val="auto"/>
          <w:kern w:val="0"/>
          <w:szCs w:val="21"/>
          <w:highlight w:val="none"/>
          <w:lang w:val="en-US" w:eastAsia="zh-CN"/>
        </w:rPr>
        <w:t>或保险</w:t>
      </w:r>
      <w:r>
        <w:rPr>
          <w:rFonts w:hint="eastAsia" w:ascii="宋体" w:hAnsi="宋体" w:eastAsia="宋体" w:cs="宋体"/>
          <w:color w:val="auto"/>
          <w:kern w:val="0"/>
          <w:szCs w:val="21"/>
          <w:highlight w:val="none"/>
        </w:rPr>
        <w:t>或担保）机构落实履约保函（或履约保证保险或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履约担保书）格式情况，以确保能按本招标文件规定的格式提供保函。如使用其他格式的履约保函（或履约保证保险或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履约担保书），须事先经招标人的书面同意。</w:t>
      </w:r>
    </w:p>
    <w:p>
      <w:pPr>
        <w:tabs>
          <w:tab w:val="left" w:pos="360"/>
          <w:tab w:val="left" w:pos="4725"/>
        </w:tabs>
        <w:autoSpaceDE/>
        <w:autoSpaceDN/>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（3）提供担保的担保机构经济性质须为</w:t>
      </w:r>
      <w:r>
        <w:rPr>
          <w:rFonts w:hint="eastAsia" w:ascii="宋体" w:hAnsi="宋体" w:eastAsia="宋体" w:cs="宋体"/>
          <w:color w:val="auto"/>
          <w:kern w:val="0"/>
          <w:szCs w:val="21"/>
          <w:highlight w:val="none"/>
          <w:lang w:val="en-US" w:eastAsia="zh-CN"/>
        </w:rPr>
        <w:t>东莞</w:t>
      </w:r>
      <w:r>
        <w:rPr>
          <w:rFonts w:hint="eastAsia" w:ascii="宋体" w:hAnsi="宋体" w:eastAsia="宋体" w:cs="宋体"/>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p>
    <w:p>
      <w:pPr>
        <w:tabs>
          <w:tab w:val="left" w:pos="360"/>
          <w:tab w:val="left" w:pos="4725"/>
        </w:tabs>
        <w:autoSpaceDE/>
        <w:autoSpaceDN/>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中标人提交的履约担保的有效期届满时间先于招标文件、合同文件要求的，中标人应在原提交的履约担保有效期届满前15日内，无条件办理符合招标人要求的履约担保延期手续，否则视为中标人违约，招标人有权在不可撤销银行履约保函或履约保证保险或担保公司履约担保书到期前向出具履约担保的机构提取履约担保金。在不可撤销银行履约保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1"/>
          <w:highlight w:val="none"/>
          <w:lang w:val="en-US" w:eastAsia="zh-CN"/>
        </w:rPr>
        <w:t>或</w:t>
      </w:r>
      <w:r>
        <w:rPr>
          <w:rFonts w:hint="eastAsia" w:ascii="宋体" w:hAnsi="宋体" w:eastAsia="宋体" w:cs="宋体"/>
          <w:color w:val="auto"/>
          <w:kern w:val="0"/>
          <w:szCs w:val="21"/>
          <w:highlight w:val="none"/>
        </w:rPr>
        <w:t>担保公司履约担保书</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到期后中标人未按招标人要求重新提供的，招标人有权要求中标人以履约担保金额为限承担违约金，违约金可直接从未付采购合同费用中扣除。</w:t>
      </w:r>
    </w:p>
    <w:p>
      <w:pPr>
        <w:tabs>
          <w:tab w:val="left" w:pos="360"/>
          <w:tab w:val="left" w:pos="4725"/>
        </w:tabs>
        <w:autoSpaceDE/>
        <w:autoSpaceDN/>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过程中，不论何种原因导致履约担保金数额不符合招标文件要求的，中标人应当在5日内予以补足。逾期不予补足的，招标人有权按需补足的金额要求中标人承担违约金，并要求限期补足。如中标人仍不补足的，招标人有权单方解除合同，违约金可直接从未付合同款或履约担保中扣除。</w:t>
      </w:r>
    </w:p>
    <w:p>
      <w:pPr>
        <w:tabs>
          <w:tab w:val="left" w:pos="360"/>
          <w:tab w:val="left" w:pos="4725"/>
        </w:tabs>
        <w:autoSpaceDE/>
        <w:autoSpaceDN/>
        <w:adjustRightInd w:val="0"/>
        <w:spacing w:line="360" w:lineRule="auto"/>
        <w:ind w:left="357" w:leftChars="-100" w:hanging="567" w:hangingChars="27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（6）不可撤销银行履约保函（或履约保证保险或担保公司履约担保书）应自合同签订之日</w:t>
      </w:r>
      <w:r>
        <w:rPr>
          <w:rFonts w:hint="eastAsia" w:ascii="宋体" w:hAnsi="宋体" w:eastAsia="宋体" w:cs="Times New Roman"/>
          <w:color w:val="auto"/>
          <w:kern w:val="2"/>
          <w:sz w:val="21"/>
          <w:szCs w:val="21"/>
          <w:highlight w:val="none"/>
        </w:rPr>
        <w:t>起至合同期限届满并完成本合同的全部服务</w:t>
      </w:r>
      <w:r>
        <w:rPr>
          <w:rFonts w:hint="eastAsia" w:ascii="宋体" w:hAnsi="宋体" w:eastAsia="宋体" w:cs="Times New Roman"/>
          <w:color w:val="auto"/>
          <w:kern w:val="2"/>
          <w:sz w:val="21"/>
          <w:szCs w:val="21"/>
          <w:highlight w:val="none"/>
          <w:lang w:eastAsia="zh-CN"/>
        </w:rPr>
        <w:t>义务</w:t>
      </w:r>
      <w:r>
        <w:rPr>
          <w:rFonts w:hint="eastAsia" w:ascii="宋体" w:hAnsi="宋体" w:eastAsia="宋体" w:cs="宋体"/>
          <w:color w:val="auto"/>
          <w:kern w:val="0"/>
          <w:szCs w:val="21"/>
          <w:highlight w:val="none"/>
        </w:rPr>
        <w:t>后二十八（28）日内保持有效</w:t>
      </w:r>
      <w:r>
        <w:rPr>
          <w:rFonts w:hint="eastAsia" w:ascii="宋体" w:hAnsi="宋体" w:eastAsia="宋体" w:cs="宋体"/>
          <w:color w:val="auto"/>
          <w:kern w:val="0"/>
          <w:szCs w:val="21"/>
          <w:highlight w:val="none"/>
          <w:lang w:eastAsia="zh-CN"/>
        </w:rPr>
        <w:t>。</w:t>
      </w:r>
    </w:p>
    <w:p>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也可以按招标文件约定的额度和时间，向招标人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p>
    <w:p>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p>
    <w:p>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开户名称：东莞市利源有机资源再生利用有限公司</w:t>
      </w:r>
    </w:p>
    <w:p>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银行账号：2010021309200578870</w:t>
      </w:r>
    </w:p>
    <w:p>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开户银行：中国工商银行股份有限公司东莞分行</w:t>
      </w:r>
    </w:p>
    <w:p>
      <w:pPr>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35.6 中标</w:t>
      </w:r>
      <w:r>
        <w:rPr>
          <w:rFonts w:hint="eastAsia" w:ascii="宋体" w:hAnsi="宋体" w:eastAsia="宋体" w:cs="宋体"/>
          <w:color w:val="auto"/>
          <w:kern w:val="0"/>
          <w:szCs w:val="24"/>
          <w:highlight w:val="none"/>
        </w:rPr>
        <w:t>单位提交了履约担保后，当履约保证金转达招标人履约保证金账户后，</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人将履约保证金的汇款凭证用A4纸复印件（</w:t>
      </w:r>
      <w:r>
        <w:rPr>
          <w:rFonts w:hint="eastAsia" w:ascii="宋体" w:hAnsi="宋体" w:eastAsia="宋体" w:cs="宋体"/>
          <w:bCs/>
          <w:color w:val="auto"/>
          <w:kern w:val="0"/>
          <w:szCs w:val="24"/>
          <w:highlight w:val="none"/>
        </w:rPr>
        <w:t>注明</w:t>
      </w:r>
      <w:r>
        <w:rPr>
          <w:rFonts w:hint="eastAsia" w:ascii="宋体" w:hAnsi="宋体" w:eastAsia="宋体" w:cs="宋体"/>
          <w:bCs/>
          <w:color w:val="auto"/>
          <w:szCs w:val="21"/>
          <w:highlight w:val="none"/>
          <w:lang w:val="zh-CN"/>
        </w:rPr>
        <w:t>招标</w:t>
      </w:r>
      <w:r>
        <w:rPr>
          <w:rFonts w:hint="eastAsia" w:ascii="宋体" w:hAnsi="宋体" w:eastAsia="宋体" w:cs="宋体"/>
          <w:bCs/>
          <w:color w:val="auto"/>
          <w:kern w:val="0"/>
          <w:szCs w:val="24"/>
          <w:highlight w:val="none"/>
        </w:rPr>
        <w:t>编号</w:t>
      </w:r>
      <w:r>
        <w:rPr>
          <w:rFonts w:hint="eastAsia" w:ascii="宋体" w:hAnsi="宋体" w:eastAsia="宋体" w:cs="宋体"/>
          <w:color w:val="auto"/>
          <w:kern w:val="0"/>
          <w:szCs w:val="24"/>
          <w:highlight w:val="none"/>
        </w:rPr>
        <w:t>）一式二份并加盖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人的公章送招标代理机构，[或当中标人采取不可撤销银行履约保函（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或担保公司履约担保书）的方式缴纳履约担保时，中标人将不可撤销银行履约保函（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或担保公司履约担保书）原件</w:t>
      </w:r>
      <w:r>
        <w:rPr>
          <w:rFonts w:hint="eastAsia" w:ascii="宋体" w:hAnsi="宋体" w:eastAsia="宋体" w:cs="宋体"/>
          <w:color w:val="auto"/>
          <w:szCs w:val="21"/>
          <w:highlight w:val="none"/>
          <w:lang w:val="zh-CN"/>
        </w:rPr>
        <w:t>交给招标人，由招标人在</w:t>
      </w:r>
      <w:r>
        <w:rPr>
          <w:rFonts w:hint="eastAsia" w:ascii="宋体" w:hAnsi="宋体" w:eastAsia="宋体" w:cs="宋体"/>
          <w:color w:val="auto"/>
          <w:kern w:val="0"/>
          <w:szCs w:val="24"/>
          <w:highlight w:val="none"/>
        </w:rPr>
        <w:t>履约保函一式两份复印件上</w:t>
      </w:r>
      <w:r>
        <w:rPr>
          <w:rFonts w:hint="eastAsia" w:ascii="宋体" w:hAnsi="宋体" w:eastAsia="宋体" w:cs="宋体"/>
          <w:color w:val="auto"/>
          <w:szCs w:val="21"/>
          <w:highlight w:val="none"/>
          <w:lang w:val="zh-CN"/>
        </w:rPr>
        <w:t>注明“原件已收”及签收人、日期后，中标人在每份复印件上</w:t>
      </w:r>
      <w:r>
        <w:rPr>
          <w:rFonts w:hint="eastAsia" w:ascii="宋体" w:hAnsi="宋体" w:eastAsia="宋体" w:cs="宋体"/>
          <w:color w:val="auto"/>
          <w:kern w:val="0"/>
          <w:szCs w:val="24"/>
          <w:highlight w:val="none"/>
        </w:rPr>
        <w:t>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35.7 </w:t>
      </w:r>
      <w:r>
        <w:rPr>
          <w:rFonts w:hint="eastAsia" w:ascii="宋体" w:hAnsi="宋体" w:eastAsia="宋体" w:cs="宋体"/>
          <w:color w:val="auto"/>
          <w:kern w:val="0"/>
          <w:szCs w:val="21"/>
          <w:highlight w:val="none"/>
        </w:rPr>
        <w:t>中标人以履约保证金（银行转账形式）提供履约担保的在依法完成本项目的所有合同义务后，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账户</w:t>
      </w:r>
      <w:r>
        <w:rPr>
          <w:rFonts w:hint="eastAsia" w:ascii="宋体" w:hAnsi="宋体" w:eastAsia="宋体" w:cs="宋体"/>
          <w:color w:val="auto"/>
          <w:kern w:val="0"/>
          <w:szCs w:val="21"/>
          <w:highlight w:val="none"/>
        </w:rPr>
        <w:t>。</w:t>
      </w:r>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17" w:name="_Toc142508353"/>
      <w:bookmarkStart w:id="418" w:name="_Toc27162"/>
      <w:bookmarkStart w:id="419" w:name="_Toc31781"/>
      <w:bookmarkStart w:id="420" w:name="_Toc486167702"/>
      <w:bookmarkStart w:id="421" w:name="_Toc3383"/>
      <w:bookmarkStart w:id="422" w:name="_Toc10548"/>
      <w:bookmarkStart w:id="423" w:name="_Toc9976"/>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415"/>
      <w:bookmarkEnd w:id="416"/>
      <w:bookmarkEnd w:id="417"/>
      <w:bookmarkEnd w:id="418"/>
      <w:bookmarkEnd w:id="419"/>
      <w:bookmarkEnd w:id="420"/>
      <w:bookmarkEnd w:id="421"/>
      <w:bookmarkEnd w:id="422"/>
      <w:bookmarkEnd w:id="423"/>
    </w:p>
    <w:p>
      <w:pPr>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36.1 合同履行中，招标人在合同约定的范围内，招标人有权根据项目实际情况及有关法律法规、政策的规定对采购范围进行变更调整，变更采购范围后，投标人应遵照执行。</w:t>
      </w:r>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424" w:name="_Toc450662888"/>
    </w:p>
    <w:p>
      <w:pPr>
        <w:tabs>
          <w:tab w:val="left" w:pos="46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25" w:name="_Toc26429"/>
      <w:bookmarkStart w:id="426" w:name="_Toc2401"/>
      <w:bookmarkStart w:id="427" w:name="_Toc142508354"/>
      <w:bookmarkStart w:id="428" w:name="_Toc5353"/>
      <w:bookmarkStart w:id="429" w:name="_Toc486167703"/>
      <w:bookmarkStart w:id="430" w:name="_Toc28921_WPSOffice_Level3"/>
      <w:bookmarkStart w:id="431" w:name="_Toc23218"/>
      <w:bookmarkStart w:id="432" w:name="_Toc30627"/>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bookmarkEnd w:id="424"/>
      <w:bookmarkEnd w:id="425"/>
      <w:bookmarkEnd w:id="426"/>
      <w:bookmarkEnd w:id="427"/>
      <w:bookmarkEnd w:id="428"/>
      <w:bookmarkEnd w:id="429"/>
      <w:bookmarkEnd w:id="430"/>
      <w:bookmarkEnd w:id="431"/>
      <w:bookmarkEnd w:id="432"/>
    </w:p>
    <w:p>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433" w:name="_Toc450662889"/>
    </w:p>
    <w:p>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34" w:name="_Toc1184"/>
      <w:bookmarkStart w:id="435" w:name="_Toc21757"/>
      <w:bookmarkStart w:id="436" w:name="_Toc6796"/>
      <w:bookmarkStart w:id="437" w:name="_Toc6764_WPSOffice_Level3"/>
      <w:bookmarkStart w:id="438" w:name="_Toc21985"/>
      <w:bookmarkStart w:id="439" w:name="_Toc142508355"/>
      <w:bookmarkStart w:id="440" w:name="_Toc3125"/>
      <w:bookmarkStart w:id="441" w:name="_Toc486167704"/>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433"/>
      <w:bookmarkEnd w:id="434"/>
      <w:bookmarkEnd w:id="435"/>
      <w:bookmarkEnd w:id="436"/>
      <w:bookmarkEnd w:id="437"/>
      <w:bookmarkEnd w:id="438"/>
      <w:bookmarkEnd w:id="439"/>
      <w:bookmarkEnd w:id="440"/>
      <w:bookmarkEnd w:id="441"/>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bookmarkStart w:id="442" w:name="_Toc31106_WPSOffice_Level3"/>
      <w:bookmarkStart w:id="443" w:name="_Toc486167705"/>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该项目获得中标的中标人在执行合同过程中，向招标人（或招标人的权属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公司）出具的发票必须是由中标人开具，不得以其他单位或个人名义出具，本项目中标人向招标人（或招标人的权属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公司）出具的发票类型为增值税专用发票。</w:t>
      </w:r>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rPr>
      </w:pPr>
      <w:bookmarkStart w:id="444" w:name="_Toc28708"/>
      <w:bookmarkStart w:id="445" w:name="_Toc24547"/>
      <w:bookmarkStart w:id="446" w:name="_Toc8619"/>
      <w:bookmarkStart w:id="447" w:name="_Toc13677"/>
      <w:bookmarkStart w:id="448" w:name="_Toc27075"/>
      <w:bookmarkStart w:id="449" w:name="_Toc142508356"/>
      <w:r>
        <w:rPr>
          <w:rFonts w:hint="eastAsia" w:ascii="宋体" w:hAnsi="宋体" w:eastAsia="宋体" w:cs="宋体"/>
          <w:b/>
          <w:color w:val="auto"/>
          <w:szCs w:val="21"/>
          <w:highlight w:val="none"/>
        </w:rPr>
        <w:t>39 招标相关补充约定</w:t>
      </w:r>
      <w:bookmarkEnd w:id="444"/>
      <w:bookmarkEnd w:id="445"/>
      <w:bookmarkEnd w:id="446"/>
      <w:bookmarkEnd w:id="447"/>
      <w:bookmarkEnd w:id="448"/>
      <w:bookmarkEnd w:id="449"/>
    </w:p>
    <w:p>
      <w:pPr>
        <w:autoSpaceDE w:val="0"/>
        <w:autoSpaceDN w:val="0"/>
        <w:adjustRightInd w:val="0"/>
        <w:snapToGrid w:val="0"/>
        <w:spacing w:line="360" w:lineRule="auto"/>
        <w:ind w:left="317" w:leftChars="-100" w:hanging="527" w:hangingChars="25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39.1</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u w:val="single"/>
        </w:rPr>
        <w:t>本项目投标人须知第2条所述行政处罚信息，以开标</w:t>
      </w:r>
      <w:r>
        <w:rPr>
          <w:rFonts w:hint="eastAsia" w:ascii="宋体" w:hAnsi="宋体" w:eastAsia="宋体" w:cs="宋体"/>
          <w:b/>
          <w:color w:val="auto"/>
          <w:szCs w:val="21"/>
          <w:highlight w:val="none"/>
          <w:u w:val="single"/>
          <w:lang w:val="en-US" w:eastAsia="zh-CN"/>
        </w:rPr>
        <w:t>当天</w:t>
      </w:r>
      <w:r>
        <w:rPr>
          <w:rFonts w:hint="eastAsia" w:ascii="宋体" w:hAnsi="宋体" w:eastAsia="宋体" w:cs="宋体"/>
          <w:b/>
          <w:color w:val="auto"/>
          <w:szCs w:val="21"/>
          <w:highlight w:val="none"/>
          <w:u w:val="single"/>
        </w:rPr>
        <w:t>在“信用中国”网站（www.creditchina.gov.cn）查询结果为准，或以司法、仲裁机构等出具的生效文件予以认定,时间以认定文件的落款时间为准。开标结束后，有关投标单位的行政处罚信息，以</w:t>
      </w:r>
      <w:r>
        <w:rPr>
          <w:rFonts w:hint="eastAsia" w:ascii="宋体" w:hAnsi="宋体" w:eastAsia="宋体" w:cs="宋体"/>
          <w:b/>
          <w:color w:val="auto"/>
          <w:szCs w:val="21"/>
          <w:highlight w:val="none"/>
          <w:u w:val="single"/>
          <w:lang w:val="en-US" w:eastAsia="zh-CN"/>
        </w:rPr>
        <w:t>开标当天查询</w:t>
      </w:r>
      <w:r>
        <w:rPr>
          <w:rFonts w:hint="eastAsia" w:ascii="宋体" w:hAnsi="宋体" w:eastAsia="宋体" w:cs="宋体"/>
          <w:b/>
          <w:color w:val="auto"/>
          <w:szCs w:val="21"/>
          <w:highlight w:val="none"/>
          <w:u w:val="single"/>
        </w:rPr>
        <w:t>结果为准；结果公示期间，如投标人对有关投标单位的行政处罚信息存在异议，但不涉及第一中标候选人的，视为对中标结果没有造成实质影响</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rPr>
      </w:pPr>
      <w:bookmarkStart w:id="450" w:name="_Toc26594"/>
      <w:bookmarkStart w:id="451" w:name="_Toc142508357"/>
      <w:bookmarkStart w:id="452" w:name="_Toc5205"/>
      <w:bookmarkStart w:id="453" w:name="_Toc7594"/>
      <w:bookmarkStart w:id="454" w:name="_Toc909"/>
      <w:bookmarkStart w:id="455" w:name="_Toc29758"/>
      <w:r>
        <w:rPr>
          <w:rFonts w:hint="eastAsia" w:ascii="宋体" w:hAnsi="宋体" w:eastAsia="宋体" w:cs="宋体"/>
          <w:color w:val="auto"/>
          <w:szCs w:val="21"/>
          <w:highlight w:val="none"/>
        </w:rPr>
        <w:t>40 本次招标活动的最终解释权归招标代理机构及招标人所有。</w:t>
      </w:r>
      <w:bookmarkEnd w:id="442"/>
      <w:bookmarkEnd w:id="443"/>
      <w:bookmarkEnd w:id="450"/>
      <w:bookmarkEnd w:id="451"/>
      <w:bookmarkEnd w:id="452"/>
      <w:bookmarkEnd w:id="453"/>
      <w:bookmarkEnd w:id="454"/>
      <w:bookmarkEnd w:id="455"/>
    </w:p>
    <w:p>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456" w:name="_Toc450662891"/>
      <w:bookmarkStart w:id="457" w:name="_Toc142508358"/>
      <w:bookmarkStart w:id="458" w:name="_Toc30115"/>
      <w:bookmarkStart w:id="459" w:name="_Toc12084"/>
      <w:bookmarkStart w:id="460" w:name="_Toc4386"/>
      <w:bookmarkStart w:id="461" w:name="_Toc27939_WPSOffice_Level1"/>
      <w:bookmarkStart w:id="462" w:name="_Toc21446"/>
      <w:bookmarkStart w:id="463" w:name="_Toc486167706"/>
      <w:bookmarkStart w:id="464" w:name="_Toc14879"/>
      <w:r>
        <w:rPr>
          <w:rFonts w:hint="eastAsia" w:ascii="宋体" w:hAnsi="宋体" w:eastAsia="宋体" w:cs="宋体"/>
          <w:b/>
          <w:bCs/>
          <w:color w:val="auto"/>
          <w:kern w:val="44"/>
          <w:sz w:val="32"/>
          <w:szCs w:val="32"/>
          <w:highlight w:val="none"/>
          <w:lang w:val="zh-CN"/>
        </w:rPr>
        <w:t>第三篇 用户需求书</w:t>
      </w:r>
      <w:bookmarkEnd w:id="456"/>
      <w:bookmarkEnd w:id="457"/>
      <w:bookmarkEnd w:id="458"/>
      <w:bookmarkEnd w:id="459"/>
      <w:bookmarkEnd w:id="460"/>
      <w:bookmarkEnd w:id="461"/>
      <w:bookmarkEnd w:id="462"/>
      <w:bookmarkEnd w:id="463"/>
      <w:bookmarkEnd w:id="464"/>
    </w:p>
    <w:p>
      <w:pPr>
        <w:keepNext w:val="0"/>
        <w:keepLines w:val="0"/>
        <w:pageBreakBefore w:val="0"/>
        <w:widowControl w:val="0"/>
        <w:kinsoku/>
        <w:wordWrap/>
        <w:overflowPunct/>
        <w:topLinePunct w:val="0"/>
        <w:bidi w:val="0"/>
        <w:adjustRightInd w:val="0"/>
        <w:snapToGrid w:val="0"/>
        <w:spacing w:line="400" w:lineRule="exact"/>
        <w:ind w:firstLine="422" w:firstLineChars="200"/>
        <w:textAlignment w:val="auto"/>
        <w:outlineLvl w:val="0"/>
        <w:rPr>
          <w:rFonts w:hint="eastAsia" w:ascii="宋体" w:hAnsi="宋体" w:eastAsia="宋体" w:cs="宋体"/>
          <w:b/>
          <w:bCs/>
          <w:color w:val="auto"/>
          <w:sz w:val="21"/>
          <w:szCs w:val="21"/>
          <w:highlight w:val="none"/>
          <w:lang w:val="en-US" w:eastAsia="zh-CN"/>
        </w:rPr>
      </w:pPr>
    </w:p>
    <w:p>
      <w:pPr>
        <w:keepNext w:val="0"/>
        <w:keepLines w:val="0"/>
        <w:pageBreakBefore w:val="0"/>
        <w:widowControl w:val="0"/>
        <w:kinsoku/>
        <w:wordWrap/>
        <w:overflowPunct/>
        <w:topLinePunct w:val="0"/>
        <w:bidi w:val="0"/>
        <w:adjustRightInd w:val="0"/>
        <w:snapToGrid w:val="0"/>
        <w:spacing w:line="400" w:lineRule="exact"/>
        <w:ind w:firstLine="422" w:firstLineChars="200"/>
        <w:textAlignment w:val="auto"/>
        <w:outlineLvl w:val="0"/>
        <w:rPr>
          <w:rFonts w:hint="eastAsia" w:ascii="宋体" w:hAnsi="宋体" w:eastAsia="宋体" w:cs="宋体"/>
          <w:b/>
          <w:bCs/>
          <w:color w:val="auto"/>
          <w:highlight w:val="none"/>
          <w:lang w:val="en-US"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highlight w:val="none"/>
          <w:lang w:val="en-US" w:eastAsia="zh-CN"/>
        </w:rPr>
        <w:t>项目概况</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color w:val="auto"/>
          <w:sz w:val="21"/>
          <w:szCs w:val="21"/>
          <w:highlight w:val="none"/>
          <w:lang w:val="en-US" w:eastAsia="zh-CN"/>
        </w:rPr>
        <w:t>(一)东莞市利源有机资源再生利用有限公司（下称“利源公司”）位于东莞市南城街道石鼓黄洲一路18号，现时</w:t>
      </w:r>
      <w:r>
        <w:rPr>
          <w:rFonts w:ascii="宋体" w:hAnsi="宋体" w:eastAsia="宋体" w:cs="宋体"/>
          <w:color w:val="auto"/>
          <w:sz w:val="21"/>
          <w:szCs w:val="21"/>
          <w:highlight w:val="none"/>
        </w:rPr>
        <w:t>规模为日处理餐厨垃圾100吨，</w:t>
      </w:r>
      <w:r>
        <w:rPr>
          <w:rFonts w:hint="eastAsia" w:ascii="宋体" w:hAnsi="宋体" w:eastAsia="宋体" w:cs="宋体"/>
          <w:color w:val="auto"/>
          <w:sz w:val="21"/>
          <w:szCs w:val="21"/>
          <w:highlight w:val="none"/>
          <w:lang w:val="en-US" w:eastAsia="zh-CN"/>
        </w:rPr>
        <w:t>预计通过后期建设应急生产设备，将处理规模提高至</w:t>
      </w:r>
      <w:r>
        <w:rPr>
          <w:rFonts w:ascii="宋体" w:hAnsi="宋体" w:eastAsia="宋体" w:cs="宋体"/>
          <w:color w:val="auto"/>
          <w:sz w:val="21"/>
          <w:szCs w:val="21"/>
          <w:highlight w:val="none"/>
        </w:rPr>
        <w:t>日处理餐厨垃圾</w:t>
      </w:r>
      <w:r>
        <w:rPr>
          <w:rFonts w:hint="eastAsia" w:ascii="宋体" w:hAnsi="宋体" w:eastAsia="宋体" w:cs="宋体"/>
          <w:color w:val="auto"/>
          <w:sz w:val="21"/>
          <w:szCs w:val="21"/>
          <w:highlight w:val="none"/>
          <w:lang w:val="en-US" w:eastAsia="zh-CN"/>
        </w:rPr>
        <w:t>200吨。</w:t>
      </w:r>
      <w:r>
        <w:rPr>
          <w:rFonts w:hint="eastAsia" w:ascii="宋体" w:hAnsi="宋体" w:eastAsia="宋体" w:cs="宋体"/>
          <w:b w:val="0"/>
          <w:bCs w:val="0"/>
          <w:color w:val="auto"/>
          <w:highlight w:val="none"/>
          <w:lang w:val="en-US" w:eastAsia="zh-CN"/>
        </w:rPr>
        <w:t>主要业务为负责东莞市市区（东城、南城、莞城、万江镇街）的餐厨垃圾收运处理工作，现根据公司的生产需求，需要采购一个服务单位协助开展收运工作。项目收运工作采取“点对点”的服务方式开展，需要每天派出收运车辆对所有客户单位产生的餐厨垃圾进行一次及以上的收运工作，确保做到餐厨垃圾的日产日清。</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b w:val="0"/>
          <w:bCs w:val="0"/>
          <w:color w:val="auto"/>
          <w:sz w:val="21"/>
          <w:szCs w:val="21"/>
          <w:highlight w:val="none"/>
          <w:lang w:val="en-US" w:eastAsia="zh-CN"/>
        </w:rPr>
        <w:t>利源公司目前主要餐厨垃圾收运区域为南城、万江街道范围（其中东城、莞城街道由街道自行收运至利源公司进行处理，日处理量约为56吨），现阶段在南城、万江街道共有餐厨垃圾收运点约250个，日均餐厨垃圾收运量约为43吨，日总运输里程约为500公里，后续将继续增加收运点以提高收运量，预计服务期内总收运量约为20024吨。</w:t>
      </w:r>
    </w:p>
    <w:p>
      <w:pPr>
        <w:adjustRightInd w:val="0"/>
        <w:snapToGrid w:val="0"/>
        <w:spacing w:line="40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b w:val="0"/>
          <w:bCs w:val="0"/>
          <w:color w:val="auto"/>
          <w:sz w:val="21"/>
          <w:szCs w:val="21"/>
          <w:highlight w:val="none"/>
          <w:lang w:val="en-US" w:eastAsia="zh-CN"/>
        </w:rPr>
        <w:t>利源公司每天产生</w:t>
      </w:r>
      <w:r>
        <w:rPr>
          <w:rFonts w:hint="eastAsia" w:ascii="宋体" w:hAnsi="宋体" w:eastAsia="宋体" w:cs="宋体"/>
          <w:color w:val="auto"/>
          <w:sz w:val="21"/>
          <w:szCs w:val="21"/>
          <w:highlight w:val="none"/>
          <w:lang w:val="en-US" w:eastAsia="zh-CN"/>
        </w:rPr>
        <w:t>餐厨垃圾预处理车间分拣的生活垃圾需要由服务单位收运至东莞市新东元环保投资有限公司</w:t>
      </w:r>
      <w:r>
        <w:rPr>
          <w:rFonts w:hint="eastAsia" w:ascii="宋体" w:hAnsi="宋体" w:eastAsia="宋体" w:cs="宋体"/>
          <w:b w:val="0"/>
          <w:bCs w:val="0"/>
          <w:color w:val="auto"/>
          <w:sz w:val="21"/>
          <w:szCs w:val="21"/>
          <w:highlight w:val="none"/>
          <w:lang w:val="en-US" w:eastAsia="zh-CN"/>
        </w:rPr>
        <w:t>（地址：麻涌镇大步村海心沙岛内）</w:t>
      </w:r>
      <w:r>
        <w:rPr>
          <w:rFonts w:hint="eastAsia" w:ascii="宋体" w:hAnsi="宋体" w:eastAsia="宋体" w:cs="宋体"/>
          <w:color w:val="auto"/>
          <w:sz w:val="21"/>
          <w:szCs w:val="21"/>
          <w:highlight w:val="none"/>
          <w:lang w:val="en-US" w:eastAsia="zh-CN"/>
        </w:rPr>
        <w:t>进行处理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现阶段日均生活垃圾收运量约为11吨，</w:t>
      </w:r>
      <w:r>
        <w:rPr>
          <w:rFonts w:hint="eastAsia" w:ascii="宋体" w:hAnsi="宋体" w:eastAsia="宋体" w:cs="宋体"/>
          <w:b w:val="0"/>
          <w:bCs w:val="0"/>
          <w:color w:val="auto"/>
          <w:sz w:val="21"/>
          <w:szCs w:val="21"/>
          <w:highlight w:val="none"/>
          <w:lang w:val="en-US" w:eastAsia="zh-CN"/>
        </w:rPr>
        <w:t>日运输总里程约为72公里，后续根据餐厨垃圾收运量增加，分拣的生活垃圾也将同步增加，</w:t>
      </w:r>
      <w:r>
        <w:rPr>
          <w:rFonts w:hint="eastAsia" w:ascii="宋体" w:hAnsi="宋体" w:eastAsia="宋体" w:cs="宋体"/>
          <w:color w:val="auto"/>
          <w:sz w:val="21"/>
          <w:szCs w:val="21"/>
          <w:highlight w:val="none"/>
          <w:lang w:val="en-US" w:eastAsia="zh-CN"/>
        </w:rPr>
        <w:t>预计服务期内总收运量约为4647吨。</w:t>
      </w:r>
    </w:p>
    <w:p>
      <w:pPr>
        <w:snapToGrid w:val="0"/>
        <w:spacing w:line="40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b w:val="0"/>
          <w:bCs w:val="0"/>
          <w:color w:val="auto"/>
          <w:sz w:val="21"/>
          <w:szCs w:val="21"/>
          <w:highlight w:val="none"/>
          <w:lang w:val="en-US" w:eastAsia="zh-CN"/>
        </w:rPr>
        <w:t>利源公司已配备12辆5吨、3辆3吨型号餐厨垃圾收运车辆（国五柴油车辆，2019年上牌）、1辆18吨型号压缩式垃圾车辆（国六柴油车辆，2021年上牌）及相应车载信息化设备提供中标人使用。中标人在中标后需要自行对相关车辆进行验车，确保车辆所有功能正常后方可投入使用（如部分车辆存在功能缺失，可与招标人确认并进行备案，备案后在不影响正常使用的前提下可先投入使用），使用该过程中出现车辆故障问题（除已备案部分）均需要由中标人承担维修责任，服务期结束后，招标人将对所有车辆进行验车，中标人需要保证车辆功能恢复至服务期投入使用前的状态。</w:t>
      </w:r>
    </w:p>
    <w:p>
      <w:pPr>
        <w:keepNext w:val="0"/>
        <w:keepLines w:val="0"/>
        <w:pageBreakBefore w:val="0"/>
        <w:widowControl/>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color w:val="auto"/>
          <w:sz w:val="21"/>
          <w:szCs w:val="21"/>
          <w:highlight w:val="none"/>
          <w:lang w:val="en-US" w:eastAsia="zh-CN"/>
        </w:rPr>
        <w:t>注：项目概况中提及的餐厨垃圾、餐厨垃圾预处理车间分拣的生活垃圾收运量均为暂定量，仅为便于中标人了解项目情况使用，不作为招标人最终提供收运量的保证。最终按实际收运量结算，中标人不得因收运量的减少或增加而要求提供任何形式的补偿或赔偿，或要求招标人按本用户需求书提及的暂定量支付相应的收运服务费用。</w:t>
      </w:r>
    </w:p>
    <w:p>
      <w:pPr>
        <w:keepNext w:val="0"/>
        <w:keepLines w:val="0"/>
        <w:pageBreakBefore w:val="0"/>
        <w:widowControl w:val="0"/>
        <w:kinsoku/>
        <w:wordWrap/>
        <w:overflowPunct/>
        <w:topLinePunct w:val="0"/>
        <w:bidi w:val="0"/>
        <w:adjustRightInd w:val="0"/>
        <w:snapToGrid w:val="0"/>
        <w:spacing w:line="400" w:lineRule="exact"/>
        <w:ind w:firstLine="422" w:firstLineChars="200"/>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、服务期</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自合同签订之日起</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年，服务期限为202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月1日至202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月3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日（以实际签订合同时间为准）</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val="en-US" w:eastAsia="zh-CN"/>
        </w:rPr>
        <w:t>若招标人因政策原因导致合同需发生变更，则届时由招标人、变更单位及中标人共同协商，根据协商结果决定签订合同补充协议或终止合同。中标人不得对该事项判定招标人违约。</w:t>
      </w:r>
    </w:p>
    <w:p>
      <w:pPr>
        <w:keepNext w:val="0"/>
        <w:keepLines w:val="0"/>
        <w:pageBreakBefore w:val="0"/>
        <w:widowControl w:val="0"/>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b/>
          <w:bCs/>
          <w:color w:val="auto"/>
          <w:sz w:val="21"/>
          <w:szCs w:val="21"/>
          <w:highlight w:val="none"/>
          <w:u w:val="single"/>
        </w:rPr>
      </w:pPr>
    </w:p>
    <w:p>
      <w:pPr>
        <w:keepNext w:val="0"/>
        <w:keepLines w:val="0"/>
        <w:pageBreakBefore w:val="0"/>
        <w:widowControl w:val="0"/>
        <w:kinsoku/>
        <w:wordWrap/>
        <w:overflowPunct/>
        <w:topLinePunct w:val="0"/>
        <w:bidi w:val="0"/>
        <w:adjustRightInd w:val="0"/>
        <w:snapToGrid w:val="0"/>
        <w:spacing w:line="400" w:lineRule="exact"/>
        <w:ind w:firstLine="422" w:firstLineChars="200"/>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、服务内容</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（一）餐厨垃圾收运服务</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中标人使用招标人收运车辆及相应信息化设备，配合招标人餐厨业务拓展和路线编排，开展餐厨垃圾收运工作。中标人在收运过程中，必须遵守</w:t>
      </w:r>
      <w:r>
        <w:rPr>
          <w:rFonts w:hint="eastAsia" w:ascii="宋体" w:hAnsi="宋体" w:eastAsia="宋体" w:cs="宋体"/>
          <w:color w:val="auto"/>
          <w:sz w:val="21"/>
          <w:szCs w:val="21"/>
          <w:highlight w:val="none"/>
          <w:lang w:val="en-US" w:eastAsia="zh-CN"/>
        </w:rPr>
        <w:t>东莞</w:t>
      </w:r>
      <w:r>
        <w:rPr>
          <w:rFonts w:hint="eastAsia" w:ascii="宋体" w:hAnsi="宋体" w:eastAsia="宋体" w:cs="宋体"/>
          <w:color w:val="auto"/>
          <w:sz w:val="21"/>
          <w:szCs w:val="21"/>
          <w:highlight w:val="none"/>
        </w:rPr>
        <w:t>市相关法律法规及招标人相关规定，接受招标人监管，并对所使用车辆及设备承担保管、维护、清洁以及维修等责任。</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餐厨垃圾</w:t>
      </w:r>
      <w:r>
        <w:rPr>
          <w:rFonts w:hint="default" w:ascii="宋体" w:hAnsi="宋体" w:eastAsia="宋体" w:cs="宋体"/>
          <w:color w:val="auto"/>
          <w:sz w:val="21"/>
          <w:szCs w:val="21"/>
          <w:highlight w:val="none"/>
          <w:lang w:val="en-US" w:eastAsia="zh-CN"/>
        </w:rPr>
        <w:t>预处理车间分拣</w:t>
      </w:r>
      <w:r>
        <w:rPr>
          <w:rFonts w:hint="eastAsia" w:ascii="宋体" w:hAnsi="宋体" w:eastAsia="宋体" w:cs="宋体"/>
          <w:color w:val="auto"/>
          <w:sz w:val="21"/>
          <w:szCs w:val="21"/>
          <w:highlight w:val="none"/>
          <w:lang w:val="en-US" w:eastAsia="zh-CN"/>
        </w:rPr>
        <w:t>的生活垃圾收运服务</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中标人根据招标人要求开展</w:t>
      </w:r>
      <w:r>
        <w:rPr>
          <w:rFonts w:hint="eastAsia" w:ascii="宋体" w:hAnsi="宋体" w:eastAsia="宋体" w:cs="宋体"/>
          <w:color w:val="auto"/>
          <w:sz w:val="21"/>
          <w:szCs w:val="21"/>
          <w:highlight w:val="none"/>
          <w:lang w:val="en-US" w:eastAsia="zh-CN"/>
        </w:rPr>
        <w:t>餐厨垃圾</w:t>
      </w:r>
      <w:r>
        <w:rPr>
          <w:rFonts w:hint="default" w:ascii="宋体" w:hAnsi="宋体" w:eastAsia="宋体" w:cs="宋体"/>
          <w:color w:val="auto"/>
          <w:sz w:val="21"/>
          <w:szCs w:val="21"/>
          <w:highlight w:val="none"/>
          <w:lang w:val="en-US" w:eastAsia="zh-CN"/>
        </w:rPr>
        <w:t>预处理车间分拣</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生活垃圾</w:t>
      </w:r>
      <w:r>
        <w:rPr>
          <w:rFonts w:hint="eastAsia" w:ascii="宋体" w:hAnsi="宋体" w:eastAsia="宋体" w:cs="宋体"/>
          <w:color w:val="auto"/>
          <w:sz w:val="21"/>
          <w:szCs w:val="21"/>
          <w:highlight w:val="none"/>
          <w:lang w:val="en-US" w:eastAsia="zh-CN"/>
        </w:rPr>
        <w:t>收</w:t>
      </w:r>
      <w:r>
        <w:rPr>
          <w:rFonts w:hint="eastAsia" w:ascii="宋体" w:hAnsi="宋体" w:eastAsia="宋体" w:cs="宋体"/>
          <w:color w:val="auto"/>
          <w:sz w:val="21"/>
          <w:szCs w:val="21"/>
          <w:highlight w:val="none"/>
        </w:rPr>
        <w:t>运工作，运输过程中，必须遵守</w:t>
      </w:r>
      <w:r>
        <w:rPr>
          <w:rFonts w:hint="eastAsia" w:ascii="宋体" w:hAnsi="宋体" w:eastAsia="宋体" w:cs="宋体"/>
          <w:color w:val="auto"/>
          <w:sz w:val="21"/>
          <w:szCs w:val="21"/>
          <w:highlight w:val="none"/>
          <w:lang w:eastAsia="zh-CN"/>
        </w:rPr>
        <w:t>东莞</w:t>
      </w:r>
      <w:r>
        <w:rPr>
          <w:rFonts w:hint="eastAsia" w:ascii="宋体" w:hAnsi="宋体" w:eastAsia="宋体" w:cs="宋体"/>
          <w:color w:val="auto"/>
          <w:sz w:val="21"/>
          <w:szCs w:val="21"/>
          <w:highlight w:val="none"/>
        </w:rPr>
        <w:t>市相关法律法规及招标人相关规定，接受招标人监管，并对所使用车辆及设备承担保管、维护、清洁以及维修等责任。</w:t>
      </w:r>
    </w:p>
    <w:p>
      <w:pPr>
        <w:keepNext w:val="0"/>
        <w:keepLines w:val="0"/>
        <w:pageBreakBefore w:val="0"/>
        <w:widowControl w:val="0"/>
        <w:kinsoku/>
        <w:wordWrap/>
        <w:overflowPunct/>
        <w:topLinePunct w:val="0"/>
        <w:bidi w:val="0"/>
        <w:adjustRightInd w:val="0"/>
        <w:snapToGrid w:val="0"/>
        <w:spacing w:line="400" w:lineRule="exact"/>
        <w:ind w:firstLine="422"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、服务要求</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（一）餐厨垃圾收运服务</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1、餐厨垃圾收运服务收运对象为餐厨垃圾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在服务期内，中标人须为招标人提供全年不间断的</w:t>
      </w:r>
      <w:r>
        <w:rPr>
          <w:rFonts w:hint="eastAsia" w:ascii="宋体" w:hAnsi="宋体" w:eastAsia="宋体" w:cs="宋体"/>
          <w:color w:val="auto"/>
          <w:sz w:val="21"/>
          <w:szCs w:val="21"/>
          <w:highlight w:val="none"/>
        </w:rPr>
        <w:t>餐厨垃圾收运服务</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kern w:val="0"/>
          <w:szCs w:val="21"/>
          <w:highlight w:val="none"/>
        </w:rPr>
        <w:t>应督促</w:t>
      </w:r>
      <w:r>
        <w:rPr>
          <w:rFonts w:hint="eastAsia" w:ascii="宋体" w:hAnsi="宋体" w:eastAsia="宋体" w:cs="宋体"/>
          <w:color w:val="auto"/>
          <w:sz w:val="21"/>
          <w:szCs w:val="21"/>
          <w:highlight w:val="none"/>
        </w:rPr>
        <w:t>餐厨垃圾收运司机及辅工根据招标人要求，对餐厨垃圾混装生活垃圾情况进行甄别，收运回厂的餐厨垃圾生活垃圾质量比例控制在20%以下，由招标人安排不定期检测，结合项目分选残渣出渣率进行综合判断</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3、如收运过程中对地面造成滴漏，收运人员需要对现场进行清洁工作</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4、收运人员</w:t>
      </w:r>
      <w:r>
        <w:rPr>
          <w:rFonts w:hint="eastAsia" w:ascii="宋体" w:hAnsi="宋体" w:eastAsia="宋体" w:cs="宋体"/>
          <w:color w:val="auto"/>
          <w:sz w:val="21"/>
          <w:szCs w:val="21"/>
          <w:highlight w:val="none"/>
          <w:lang w:val="en-US" w:eastAsia="zh-CN"/>
        </w:rPr>
        <w:t>负责</w:t>
      </w:r>
      <w:r>
        <w:rPr>
          <w:rFonts w:hint="eastAsia" w:ascii="宋体" w:hAnsi="宋体" w:eastAsia="宋体" w:cs="宋体"/>
          <w:color w:val="auto"/>
          <w:sz w:val="21"/>
          <w:szCs w:val="21"/>
          <w:highlight w:val="none"/>
        </w:rPr>
        <w:t>驾驶和操作收运车辆开展餐厨</w:t>
      </w:r>
      <w:r>
        <w:rPr>
          <w:rFonts w:hint="eastAsia" w:ascii="宋体" w:hAnsi="宋体" w:eastAsia="宋体" w:cs="宋体"/>
          <w:color w:val="auto"/>
          <w:sz w:val="21"/>
          <w:szCs w:val="21"/>
          <w:highlight w:val="none"/>
          <w:lang w:val="en-US" w:eastAsia="zh-CN"/>
        </w:rPr>
        <w:t>垃圾收运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餐厨废弃物搬运及清洁车辆</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5、收运过程需严格遵守</w:t>
      </w:r>
      <w:r>
        <w:rPr>
          <w:rFonts w:hint="eastAsia" w:ascii="宋体" w:hAnsi="宋体" w:eastAsia="宋体" w:cs="宋体"/>
          <w:color w:val="auto"/>
          <w:sz w:val="21"/>
          <w:szCs w:val="21"/>
          <w:highlight w:val="none"/>
          <w:lang w:eastAsia="zh-CN"/>
        </w:rPr>
        <w:t>东莞</w:t>
      </w:r>
      <w:r>
        <w:rPr>
          <w:rFonts w:hint="eastAsia" w:ascii="宋体" w:hAnsi="宋体" w:eastAsia="宋体" w:cs="宋体"/>
          <w:color w:val="auto"/>
          <w:sz w:val="21"/>
          <w:szCs w:val="21"/>
          <w:highlight w:val="none"/>
        </w:rPr>
        <w:t>市相关法律法规和招标人管理规定，该过程中因服务人员工作失误、违法违章或者交通事故而导致的后果和产生的费用，由中标人承担。</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6、收运过程中产生的燃料费、拖车费、维修保养费用以及相关人员费用均由中标人承担</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7、中标人须对车辆进行常规</w:t>
      </w:r>
      <w:r>
        <w:rPr>
          <w:rFonts w:hint="eastAsia" w:ascii="宋体" w:hAnsi="宋体" w:eastAsia="宋体" w:cs="宋体"/>
          <w:color w:val="auto"/>
          <w:sz w:val="21"/>
          <w:szCs w:val="21"/>
          <w:highlight w:val="none"/>
          <w:lang w:val="en-US" w:eastAsia="zh-CN"/>
        </w:rPr>
        <w:t>维修</w:t>
      </w:r>
      <w:r>
        <w:rPr>
          <w:rFonts w:hint="eastAsia" w:ascii="宋体" w:hAnsi="宋体" w:eastAsia="宋体" w:cs="宋体"/>
          <w:color w:val="auto"/>
          <w:sz w:val="21"/>
          <w:szCs w:val="21"/>
          <w:highlight w:val="none"/>
        </w:rPr>
        <w:t>保养（包括机油、机滤、空滤、柴油滤芯的更换，刹车调试、轮胎保养等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保养里程不得大于8000公里</w:t>
      </w:r>
      <w:r>
        <w:rPr>
          <w:rFonts w:hint="eastAsia" w:ascii="宋体" w:hAnsi="宋体" w:eastAsia="宋体" w:cs="宋体"/>
          <w:color w:val="auto"/>
          <w:sz w:val="21"/>
          <w:szCs w:val="21"/>
          <w:highlight w:val="none"/>
        </w:rPr>
        <w:t>），并对</w:t>
      </w:r>
      <w:r>
        <w:rPr>
          <w:rFonts w:hint="eastAsia" w:ascii="宋体" w:hAnsi="宋体" w:eastAsia="宋体" w:cs="宋体"/>
          <w:color w:val="auto"/>
          <w:sz w:val="21"/>
          <w:szCs w:val="21"/>
          <w:highlight w:val="none"/>
          <w:lang w:val="en-US" w:eastAsia="zh-CN"/>
        </w:rPr>
        <w:t>维修</w:t>
      </w:r>
      <w:r>
        <w:rPr>
          <w:rFonts w:hint="eastAsia" w:ascii="宋体" w:hAnsi="宋体" w:eastAsia="宋体" w:cs="宋体"/>
          <w:color w:val="auto"/>
          <w:sz w:val="21"/>
          <w:szCs w:val="21"/>
          <w:highlight w:val="none"/>
        </w:rPr>
        <w:t>保养情况形成台账，每月提供招标人检查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并负责完成车辆的年审工作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车辆的维修、保养及年审费用均由中标人承担</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8、中标人须对车辆定期进行检查，发现车辆异常的需马上进行维修，若招标人在日常监督中发现车辆异常的，</w:t>
      </w:r>
      <w:r>
        <w:rPr>
          <w:rFonts w:hint="eastAsia" w:ascii="宋体" w:hAnsi="宋体" w:eastAsia="宋体" w:cs="宋体"/>
          <w:color w:val="auto"/>
          <w:szCs w:val="21"/>
          <w:highlight w:val="none"/>
        </w:rPr>
        <w:t>将</w:t>
      </w:r>
      <w:r>
        <w:rPr>
          <w:rFonts w:hint="eastAsia" w:ascii="宋体" w:hAnsi="宋体" w:eastAsia="宋体" w:cs="宋体"/>
          <w:color w:val="auto"/>
          <w:sz w:val="21"/>
          <w:szCs w:val="21"/>
          <w:highlight w:val="none"/>
        </w:rPr>
        <w:t>向中标人发出整改通知单，中标人需马上停用该车辆，并在三个自然日内启动维修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服务期内，因车辆机件故障导致出现交通事故的，</w:t>
      </w:r>
      <w:r>
        <w:rPr>
          <w:rFonts w:hint="eastAsia" w:ascii="宋体" w:hAnsi="宋体" w:eastAsia="宋体" w:cs="宋体"/>
          <w:color w:val="auto"/>
          <w:sz w:val="21"/>
          <w:szCs w:val="21"/>
          <w:highlight w:val="none"/>
        </w:rPr>
        <w:t>导致的后果和产生的费用由中标人承担。</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9、中标人负责日常清洗收运车辆以及回收的垃圾桶</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10、对于收运过程中的突发状况，中标人须在招标人指导下妥善处理。</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、收运过程中，中标人需要配合招标人在各产废单位提供的产废台账上签字确认收运</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、如招标人有需要进行数字化管控收运过程，中标人必须无条件配合。</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13、中标人需确保储备有机动收运司机及收运辅工，确保在突发情况下仍有足够的机动人员接替完成收运工作。</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14、中标人需要提前规划收运车使用数量，并将收运车使用情况每日上报招标人核查。</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15、中标人需要根据招标人要求派送或回收餐厨垃圾收集桶，相关餐厨垃圾收集桶的运输工作及产生的费用需由中标人承担；对在收运过程中出现损坏的餐厨垃圾收集桶，中标人需要进行维修。</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16、中标人在餐厨垃圾收运工作开展过程中需根据招标人要求实行专镇专车收运，禁止收运车辆跨镇开展收运工作。</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17、招标人将不定期采取跟车、咨询产废单位</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lang w:val="en-US" w:eastAsia="zh-CN"/>
        </w:rPr>
        <w:t>核对收运量</w:t>
      </w:r>
      <w:r>
        <w:rPr>
          <w:rFonts w:hint="eastAsia" w:ascii="宋体" w:hAnsi="宋体" w:eastAsia="宋体" w:cs="宋体"/>
          <w:color w:val="auto"/>
          <w:szCs w:val="21"/>
          <w:highlight w:val="none"/>
          <w:lang w:val="en-US" w:eastAsia="zh-CN"/>
        </w:rPr>
        <w:t>、检查在线视频监控</w:t>
      </w:r>
      <w:r>
        <w:rPr>
          <w:rFonts w:hint="eastAsia" w:ascii="宋体" w:hAnsi="宋体" w:eastAsia="宋体" w:cs="宋体"/>
          <w:color w:val="auto"/>
          <w:sz w:val="21"/>
          <w:szCs w:val="21"/>
          <w:highlight w:val="none"/>
          <w:lang w:val="en-US" w:eastAsia="zh-CN"/>
        </w:rPr>
        <w:t>等方式监管收运工作情况，中标人需要无条件配合，一旦发现收运工作人员在收运过程中存在弄虚作假等违规行为，中标人需要承担</w:t>
      </w:r>
      <w:r>
        <w:rPr>
          <w:rFonts w:hint="eastAsia" w:ascii="宋体" w:hAnsi="宋体" w:eastAsia="宋体" w:cs="宋体"/>
          <w:color w:val="auto"/>
          <w:kern w:val="2"/>
          <w:sz w:val="21"/>
          <w:szCs w:val="21"/>
          <w:highlight w:val="none"/>
          <w:lang w:val="en-US" w:eastAsia="zh-CN" w:bidi="ar-SA"/>
        </w:rPr>
        <w:t>违约及赔偿</w:t>
      </w:r>
      <w:r>
        <w:rPr>
          <w:rFonts w:hint="eastAsia" w:ascii="宋体" w:hAnsi="宋体" w:eastAsia="宋体" w:cs="宋体"/>
          <w:color w:val="auto"/>
          <w:sz w:val="21"/>
          <w:szCs w:val="21"/>
          <w:highlight w:val="none"/>
          <w:lang w:val="en-US" w:eastAsia="zh-CN"/>
        </w:rPr>
        <w:t>责任。</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18、如招标人生产设备出现问题等原因需要进行应急处置的，中标人需配合将餐厨垃圾按招标人要求收运至其他应急处理地点进行处置。</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（二）餐厨垃圾</w:t>
      </w:r>
      <w:r>
        <w:rPr>
          <w:rFonts w:hint="default" w:ascii="宋体" w:hAnsi="宋体" w:eastAsia="宋体" w:cs="宋体"/>
          <w:color w:val="auto"/>
          <w:sz w:val="21"/>
          <w:szCs w:val="21"/>
          <w:highlight w:val="none"/>
          <w:lang w:val="en-US" w:eastAsia="zh-CN"/>
        </w:rPr>
        <w:t>预处理车间分拣</w:t>
      </w:r>
      <w:r>
        <w:rPr>
          <w:rFonts w:hint="eastAsia" w:ascii="宋体" w:hAnsi="宋体" w:eastAsia="宋体" w:cs="宋体"/>
          <w:color w:val="auto"/>
          <w:sz w:val="21"/>
          <w:szCs w:val="21"/>
          <w:highlight w:val="none"/>
          <w:lang w:val="en-US" w:eastAsia="zh-CN"/>
        </w:rPr>
        <w:t>的生活垃圾收运服务</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生活垃圾收运</w:t>
      </w:r>
      <w:r>
        <w:rPr>
          <w:rFonts w:hint="eastAsia" w:ascii="宋体" w:hAnsi="宋体" w:eastAsia="宋体" w:cs="宋体"/>
          <w:color w:val="auto"/>
          <w:sz w:val="21"/>
          <w:szCs w:val="21"/>
          <w:highlight w:val="none"/>
        </w:rPr>
        <w:t>服务收运对象为</w:t>
      </w:r>
      <w:r>
        <w:rPr>
          <w:rFonts w:hint="eastAsia" w:ascii="宋体" w:hAnsi="宋体" w:eastAsia="宋体" w:cs="宋体"/>
          <w:color w:val="auto"/>
          <w:sz w:val="21"/>
          <w:szCs w:val="21"/>
          <w:highlight w:val="none"/>
          <w:lang w:val="en-US" w:eastAsia="zh-CN"/>
        </w:rPr>
        <w:t>餐厨垃圾</w:t>
      </w:r>
      <w:r>
        <w:rPr>
          <w:rFonts w:hint="default" w:ascii="宋体" w:hAnsi="宋体" w:eastAsia="宋体" w:cs="宋体"/>
          <w:color w:val="auto"/>
          <w:sz w:val="21"/>
          <w:szCs w:val="21"/>
          <w:highlight w:val="none"/>
          <w:lang w:val="en-US" w:eastAsia="zh-CN"/>
        </w:rPr>
        <w:t>预处理车间分拣</w:t>
      </w:r>
      <w:r>
        <w:rPr>
          <w:rFonts w:hint="eastAsia" w:ascii="宋体" w:hAnsi="宋体" w:eastAsia="宋体" w:cs="宋体"/>
          <w:color w:val="auto"/>
          <w:sz w:val="21"/>
          <w:szCs w:val="21"/>
          <w:highlight w:val="none"/>
          <w:lang w:val="en-US" w:eastAsia="zh-CN"/>
        </w:rPr>
        <w:t>的生活垃圾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在服务期内，中标人须为招标人提供全年不间断的生活垃圾</w:t>
      </w:r>
      <w:r>
        <w:rPr>
          <w:rFonts w:hint="eastAsia" w:ascii="宋体" w:hAnsi="宋体" w:eastAsia="宋体" w:cs="宋体"/>
          <w:color w:val="auto"/>
          <w:sz w:val="21"/>
          <w:szCs w:val="21"/>
          <w:highlight w:val="none"/>
        </w:rPr>
        <w:t>收运服务</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生活垃圾收</w:t>
      </w:r>
      <w:r>
        <w:rPr>
          <w:rFonts w:hint="eastAsia" w:ascii="宋体" w:hAnsi="宋体" w:eastAsia="宋体" w:cs="宋体"/>
          <w:color w:val="auto"/>
          <w:sz w:val="21"/>
          <w:szCs w:val="21"/>
          <w:highlight w:val="none"/>
        </w:rPr>
        <w:t>运过程中对地面造成滴漏，收运人员需要对现场进行清洁工作</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、收运</w:t>
      </w:r>
      <w:r>
        <w:rPr>
          <w:rFonts w:hint="eastAsia" w:ascii="宋体" w:hAnsi="宋体" w:eastAsia="宋体" w:cs="宋体"/>
          <w:color w:val="auto"/>
          <w:sz w:val="21"/>
          <w:szCs w:val="21"/>
          <w:highlight w:val="none"/>
          <w:lang w:val="en-US" w:eastAsia="zh-CN"/>
        </w:rPr>
        <w:t>人员负责</w:t>
      </w:r>
      <w:r>
        <w:rPr>
          <w:rFonts w:hint="eastAsia" w:ascii="宋体" w:hAnsi="宋体" w:eastAsia="宋体" w:cs="宋体"/>
          <w:color w:val="auto"/>
          <w:sz w:val="21"/>
          <w:szCs w:val="21"/>
          <w:highlight w:val="none"/>
        </w:rPr>
        <w:t>驾驶和操作收运车辆开展生活垃圾</w:t>
      </w:r>
      <w:r>
        <w:rPr>
          <w:rFonts w:hint="eastAsia" w:ascii="宋体" w:hAnsi="宋体" w:eastAsia="宋体" w:cs="宋体"/>
          <w:color w:val="auto"/>
          <w:sz w:val="21"/>
          <w:szCs w:val="21"/>
          <w:highlight w:val="none"/>
          <w:lang w:val="en-US" w:eastAsia="zh-CN"/>
        </w:rPr>
        <w:t>收</w:t>
      </w:r>
      <w:r>
        <w:rPr>
          <w:rFonts w:hint="eastAsia" w:ascii="宋体" w:hAnsi="宋体" w:eastAsia="宋体" w:cs="宋体"/>
          <w:color w:val="auto"/>
          <w:sz w:val="21"/>
          <w:szCs w:val="21"/>
          <w:highlight w:val="none"/>
        </w:rPr>
        <w:t>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清理装卸过程中撒漏的生活垃圾</w:t>
      </w:r>
      <w:r>
        <w:rPr>
          <w:rFonts w:hint="eastAsia" w:ascii="宋体" w:hAnsi="宋体" w:eastAsia="宋体" w:cs="宋体"/>
          <w:color w:val="auto"/>
          <w:sz w:val="21"/>
          <w:szCs w:val="21"/>
          <w:highlight w:val="none"/>
        </w:rPr>
        <w:t>及清洁车辆</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收</w:t>
      </w:r>
      <w:r>
        <w:rPr>
          <w:rFonts w:hint="eastAsia" w:ascii="宋体" w:hAnsi="宋体" w:eastAsia="宋体" w:cs="宋体"/>
          <w:color w:val="auto"/>
          <w:sz w:val="21"/>
          <w:szCs w:val="21"/>
          <w:highlight w:val="none"/>
        </w:rPr>
        <w:t>运过程需严格遵守</w:t>
      </w:r>
      <w:r>
        <w:rPr>
          <w:rFonts w:hint="eastAsia" w:ascii="宋体" w:hAnsi="宋体" w:eastAsia="宋体" w:cs="宋体"/>
          <w:color w:val="auto"/>
          <w:sz w:val="21"/>
          <w:szCs w:val="21"/>
          <w:highlight w:val="none"/>
          <w:lang w:val="en-US" w:eastAsia="zh-CN"/>
        </w:rPr>
        <w:t>东莞</w:t>
      </w:r>
      <w:r>
        <w:rPr>
          <w:rFonts w:hint="eastAsia" w:ascii="宋体" w:hAnsi="宋体" w:eastAsia="宋体" w:cs="宋体"/>
          <w:color w:val="auto"/>
          <w:sz w:val="21"/>
          <w:szCs w:val="21"/>
          <w:highlight w:val="none"/>
        </w:rPr>
        <w:t>市相关法律法规和招标人管理规定，该过程中因服务人员工作失误、违法违章或者交通事故而导致的后果和产生的费用，由中标人承担。</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转</w:t>
      </w:r>
      <w:r>
        <w:rPr>
          <w:rFonts w:hint="eastAsia" w:ascii="宋体" w:hAnsi="宋体" w:eastAsia="宋体" w:cs="宋体"/>
          <w:color w:val="auto"/>
          <w:sz w:val="21"/>
          <w:szCs w:val="21"/>
          <w:highlight w:val="none"/>
        </w:rPr>
        <w:t>运过程中产生的燃料费、拖车费、维修保养费用以及相关人员费用均由中标人承担</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、中标人须对车辆进行常规</w:t>
      </w:r>
      <w:r>
        <w:rPr>
          <w:rFonts w:hint="eastAsia" w:ascii="宋体" w:hAnsi="宋体" w:eastAsia="宋体" w:cs="宋体"/>
          <w:color w:val="auto"/>
          <w:sz w:val="21"/>
          <w:szCs w:val="21"/>
          <w:highlight w:val="none"/>
          <w:lang w:val="en-US" w:eastAsia="zh-CN"/>
        </w:rPr>
        <w:t>维修</w:t>
      </w:r>
      <w:r>
        <w:rPr>
          <w:rFonts w:hint="eastAsia" w:ascii="宋体" w:hAnsi="宋体" w:eastAsia="宋体" w:cs="宋体"/>
          <w:color w:val="auto"/>
          <w:sz w:val="21"/>
          <w:szCs w:val="21"/>
          <w:highlight w:val="none"/>
        </w:rPr>
        <w:t>保养（包括机油、机滤、空滤、柴油滤芯的更换，刹车调试、轮胎保养等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保养里程不得大于8000公里</w:t>
      </w:r>
      <w:r>
        <w:rPr>
          <w:rFonts w:hint="eastAsia" w:ascii="宋体" w:hAnsi="宋体" w:eastAsia="宋体" w:cs="宋体"/>
          <w:color w:val="auto"/>
          <w:sz w:val="21"/>
          <w:szCs w:val="21"/>
          <w:highlight w:val="none"/>
        </w:rPr>
        <w:t>），并对</w:t>
      </w:r>
      <w:r>
        <w:rPr>
          <w:rFonts w:hint="eastAsia" w:ascii="宋体" w:hAnsi="宋体" w:eastAsia="宋体" w:cs="宋体"/>
          <w:color w:val="auto"/>
          <w:sz w:val="21"/>
          <w:szCs w:val="21"/>
          <w:highlight w:val="none"/>
          <w:lang w:val="en-US" w:eastAsia="zh-CN"/>
        </w:rPr>
        <w:t>维修</w:t>
      </w:r>
      <w:r>
        <w:rPr>
          <w:rFonts w:hint="eastAsia" w:ascii="宋体" w:hAnsi="宋体" w:eastAsia="宋体" w:cs="宋体"/>
          <w:color w:val="auto"/>
          <w:sz w:val="21"/>
          <w:szCs w:val="21"/>
          <w:highlight w:val="none"/>
        </w:rPr>
        <w:t>保养情况形成台账，每月提供招标人检查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并负责完成车辆的年审工作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车辆的维修、保养及年审费用均由中标人承担</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、中标人须对车辆定期进行检查，发现车辆异常的需马上进行维修，若招标人在日常监督中发现车辆异常的，</w:t>
      </w:r>
      <w:r>
        <w:rPr>
          <w:rFonts w:hint="eastAsia" w:ascii="宋体" w:hAnsi="宋体" w:eastAsia="宋体" w:cs="宋体"/>
          <w:color w:val="auto"/>
          <w:szCs w:val="21"/>
          <w:highlight w:val="none"/>
        </w:rPr>
        <w:t>将</w:t>
      </w:r>
      <w:r>
        <w:rPr>
          <w:rFonts w:hint="eastAsia" w:ascii="宋体" w:hAnsi="宋体" w:eastAsia="宋体" w:cs="宋体"/>
          <w:color w:val="auto"/>
          <w:sz w:val="21"/>
          <w:szCs w:val="21"/>
          <w:highlight w:val="none"/>
        </w:rPr>
        <w:t>向中标人发出整改通知单，中标人需马上停用该车辆，并在</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个自然日内启动维修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服务期内，因车辆机件故障导致出现交通事故的，</w:t>
      </w:r>
      <w:r>
        <w:rPr>
          <w:rFonts w:hint="eastAsia" w:ascii="宋体" w:hAnsi="宋体" w:eastAsia="宋体" w:cs="宋体"/>
          <w:color w:val="auto"/>
          <w:sz w:val="21"/>
          <w:szCs w:val="21"/>
          <w:highlight w:val="none"/>
        </w:rPr>
        <w:t>导致的后果和产生的费用由中标人承担。</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、中标人负责日常清洗收运车辆以及</w:t>
      </w:r>
      <w:r>
        <w:rPr>
          <w:rFonts w:hint="eastAsia" w:ascii="宋体" w:hAnsi="宋体" w:eastAsia="宋体" w:cs="宋体"/>
          <w:color w:val="auto"/>
          <w:sz w:val="21"/>
          <w:szCs w:val="21"/>
          <w:highlight w:val="none"/>
          <w:lang w:val="en-US" w:eastAsia="zh-CN"/>
        </w:rPr>
        <w:t>配套收集料斗</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、对于收运过程中的突发状况，中标人须在招标人指导下妥善处理。</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、收运过程中，中标人需要配合招标人在</w:t>
      </w:r>
      <w:r>
        <w:rPr>
          <w:rFonts w:hint="eastAsia" w:ascii="宋体" w:hAnsi="宋体" w:eastAsia="宋体" w:cs="宋体"/>
          <w:color w:val="auto"/>
          <w:sz w:val="21"/>
          <w:szCs w:val="21"/>
          <w:highlight w:val="none"/>
          <w:lang w:val="en-US" w:eastAsia="zh-CN"/>
        </w:rPr>
        <w:t>处置单位</w:t>
      </w:r>
      <w:r>
        <w:rPr>
          <w:rFonts w:hint="eastAsia" w:ascii="宋体" w:hAnsi="宋体" w:eastAsia="宋体" w:cs="宋体"/>
          <w:color w:val="auto"/>
          <w:sz w:val="21"/>
          <w:szCs w:val="21"/>
          <w:highlight w:val="none"/>
        </w:rPr>
        <w:t>提供的产废台账上签字确认收运</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、如招标人有需要进行数字化管控收运过程，中标人必须无条件配合。</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12、中标人需确保储备有机动收运司机及收运辅工，确保在突发情况下仍有足够的机动人员接替完成收运工作。</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13、招标人将不定期采取跟车、咨询产废单位、核对收运量</w:t>
      </w:r>
      <w:r>
        <w:rPr>
          <w:rFonts w:hint="eastAsia" w:ascii="宋体" w:hAnsi="宋体" w:eastAsia="宋体" w:cs="宋体"/>
          <w:color w:val="auto"/>
          <w:szCs w:val="21"/>
          <w:highlight w:val="none"/>
          <w:lang w:val="en-US" w:eastAsia="zh-CN"/>
        </w:rPr>
        <w:t>、检查在线视频监控</w:t>
      </w:r>
      <w:r>
        <w:rPr>
          <w:rFonts w:hint="eastAsia" w:ascii="宋体" w:hAnsi="宋体" w:eastAsia="宋体" w:cs="宋体"/>
          <w:color w:val="auto"/>
          <w:sz w:val="21"/>
          <w:szCs w:val="21"/>
          <w:highlight w:val="none"/>
          <w:lang w:val="en-US" w:eastAsia="zh-CN"/>
        </w:rPr>
        <w:t>等方式监管收运工作情况，中标人需要无条件配合，一旦发现收运工作人员在收运过程中存在弄虚作假等违规行为，中标人需要承担</w:t>
      </w:r>
      <w:r>
        <w:rPr>
          <w:rFonts w:hint="eastAsia" w:ascii="宋体" w:hAnsi="宋体" w:eastAsia="宋体" w:cs="宋体"/>
          <w:color w:val="auto"/>
          <w:kern w:val="2"/>
          <w:sz w:val="21"/>
          <w:szCs w:val="21"/>
          <w:highlight w:val="none"/>
          <w:lang w:val="en-US" w:eastAsia="zh-CN" w:bidi="ar-SA"/>
        </w:rPr>
        <w:t>违约及赔偿</w:t>
      </w:r>
      <w:r>
        <w:rPr>
          <w:rFonts w:hint="eastAsia" w:ascii="宋体" w:hAnsi="宋体" w:eastAsia="宋体" w:cs="宋体"/>
          <w:color w:val="auto"/>
          <w:sz w:val="21"/>
          <w:szCs w:val="21"/>
          <w:highlight w:val="none"/>
          <w:lang w:val="en-US" w:eastAsia="zh-CN"/>
        </w:rPr>
        <w:t>责任。</w:t>
      </w:r>
    </w:p>
    <w:p>
      <w:pPr>
        <w:keepNext w:val="0"/>
        <w:keepLines w:val="0"/>
        <w:pageBreakBefore w:val="0"/>
        <w:widowControl w:val="0"/>
        <w:kinsoku/>
        <w:wordWrap/>
        <w:overflowPunct/>
        <w:topLinePunct w:val="0"/>
        <w:bidi w:val="0"/>
        <w:adjustRightInd w:val="0"/>
        <w:snapToGrid w:val="0"/>
        <w:spacing w:line="400" w:lineRule="exact"/>
        <w:ind w:firstLine="422" w:firstLineChars="200"/>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、服务人员要求</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根据招标人实际业务开展和服务需求，中标人</w:t>
      </w:r>
      <w:r>
        <w:rPr>
          <w:rFonts w:hint="eastAsia" w:ascii="宋体" w:hAnsi="宋体" w:eastAsia="宋体" w:cs="宋体"/>
          <w:color w:val="auto"/>
          <w:sz w:val="21"/>
          <w:szCs w:val="21"/>
          <w:highlight w:val="none"/>
          <w:lang w:val="en-US" w:eastAsia="zh-CN"/>
        </w:rPr>
        <w:t>须</w:t>
      </w:r>
      <w:r>
        <w:rPr>
          <w:rFonts w:hint="eastAsia" w:ascii="宋体" w:hAnsi="宋体" w:eastAsia="宋体" w:cs="宋体"/>
          <w:color w:val="auto"/>
          <w:sz w:val="21"/>
          <w:szCs w:val="21"/>
          <w:highlight w:val="none"/>
        </w:rPr>
        <w:t>安排符合招标人要求的服务人员提供相应的服务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中标人需保证招标人业务正常开展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中标人须提供2名管理人员（包含1名管理人员，1名车队管理人员）进行驻点工作，负责日常工作对接和管理收运人员的工作。当收运量在40吨/天及以下时，中标人至少配备5名收运人员（车队管理人员可兼任收运人员，但不得因收运工作影响正常的管理工作）。</w:t>
      </w:r>
      <w:r>
        <w:rPr>
          <w:rFonts w:hint="eastAsia" w:ascii="宋体" w:hAnsi="宋体" w:eastAsia="宋体" w:cs="宋体"/>
          <w:color w:val="auto"/>
          <w:sz w:val="21"/>
          <w:szCs w:val="21"/>
          <w:highlight w:val="none"/>
        </w:rPr>
        <w:t>中标人需为工作人员提</w:t>
      </w:r>
      <w:r>
        <w:rPr>
          <w:rFonts w:hint="eastAsia" w:ascii="宋体" w:hAnsi="宋体" w:eastAsia="宋体" w:cs="宋体"/>
          <w:color w:val="auto"/>
          <w:sz w:val="21"/>
          <w:szCs w:val="21"/>
          <w:highlight w:val="none"/>
          <w:lang w:val="en-US" w:eastAsia="zh-CN"/>
        </w:rPr>
        <w:t>供</w:t>
      </w:r>
      <w:r>
        <w:rPr>
          <w:rFonts w:hint="eastAsia" w:ascii="宋体" w:hAnsi="宋体" w:eastAsia="宋体" w:cs="宋体"/>
          <w:color w:val="auto"/>
          <w:sz w:val="21"/>
          <w:szCs w:val="21"/>
          <w:highlight w:val="none"/>
        </w:rPr>
        <w:t xml:space="preserve">必要的安全保障，中标人所有劳务安排不得违反劳动法。  </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(一)收运作业人员要求</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中标人在提供餐厨垃圾、</w:t>
      </w:r>
      <w:r>
        <w:rPr>
          <w:rFonts w:hint="eastAsia" w:ascii="宋体" w:hAnsi="宋体" w:eastAsia="宋体" w:cs="宋体"/>
          <w:color w:val="auto"/>
          <w:sz w:val="21"/>
          <w:szCs w:val="21"/>
          <w:highlight w:val="none"/>
          <w:lang w:val="en-US" w:eastAsia="zh-CN"/>
        </w:rPr>
        <w:t>生活垃圾收运</w:t>
      </w:r>
      <w:r>
        <w:rPr>
          <w:rFonts w:hint="eastAsia" w:ascii="宋体" w:hAnsi="宋体" w:eastAsia="宋体" w:cs="宋体"/>
          <w:color w:val="auto"/>
          <w:sz w:val="21"/>
          <w:szCs w:val="21"/>
          <w:highlight w:val="none"/>
        </w:rPr>
        <w:t>服务过程中使用的人员，必须符合但不限于以下要求：</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1、收运司机须持有B2或</w:t>
      </w:r>
      <w:r>
        <w:rPr>
          <w:rFonts w:hint="eastAsia" w:ascii="宋体" w:hAnsi="宋体" w:eastAsia="宋体" w:cs="宋体"/>
          <w:color w:val="auto"/>
          <w:sz w:val="21"/>
          <w:szCs w:val="21"/>
          <w:highlight w:val="none"/>
          <w:lang w:val="en-US" w:eastAsia="zh-CN"/>
        </w:rPr>
        <w:t>A2或A1</w:t>
      </w:r>
      <w:r>
        <w:rPr>
          <w:rFonts w:hint="eastAsia" w:ascii="宋体" w:hAnsi="宋体" w:eastAsia="宋体" w:cs="宋体"/>
          <w:color w:val="auto"/>
          <w:sz w:val="21"/>
          <w:szCs w:val="21"/>
          <w:highlight w:val="none"/>
        </w:rPr>
        <w:t>资格驾驶执照，年龄原则上不超过</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周岁</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收运</w:t>
      </w:r>
      <w:r>
        <w:rPr>
          <w:rFonts w:hint="eastAsia" w:ascii="宋体" w:hAnsi="宋体" w:eastAsia="宋体" w:cs="宋体"/>
          <w:color w:val="auto"/>
          <w:sz w:val="21"/>
          <w:szCs w:val="21"/>
          <w:highlight w:val="none"/>
        </w:rPr>
        <w:t>辅工须为男性，年龄原则上不超过60周岁</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3、所有服务人员须身体健康，无患影响开展服务工作的疾病</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4、所有服务人员必须具备良好的服务意识，能够耐心与人沟通。</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）管理人员要求</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中标人在提供餐厨垃圾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生活垃圾收运</w:t>
      </w:r>
      <w:r>
        <w:rPr>
          <w:rFonts w:hint="eastAsia" w:ascii="宋体" w:hAnsi="宋体" w:eastAsia="宋体" w:cs="宋体"/>
          <w:color w:val="auto"/>
          <w:sz w:val="21"/>
          <w:szCs w:val="21"/>
          <w:highlight w:val="none"/>
        </w:rPr>
        <w:t>业务管理人员，必须符合但不限于以下要求：</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管理人员须持有C2或以上资格驾驶执照，年龄原则上不超过50周岁。</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、管理人员须身体健康，无患影响开展工作的疾病</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、管理人员须熟练使用Word、Excel、PowerPoint、百度地图等软件</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、管理人员须懂得分析财务报表、车队运行报表，并进行合理的成本控制</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、管理人员须掌握运输业突发情况处理方式，能顺畅沟通任何突发事情</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车队管理人员须持有B2或以上资格驾驶执照，</w:t>
      </w:r>
      <w:r>
        <w:rPr>
          <w:rFonts w:hint="eastAsia" w:ascii="宋体" w:hAnsi="宋体" w:eastAsia="宋体" w:cs="宋体"/>
          <w:color w:val="auto"/>
          <w:sz w:val="21"/>
          <w:szCs w:val="21"/>
          <w:highlight w:val="none"/>
          <w:lang w:val="en-US" w:eastAsia="zh-CN"/>
        </w:rPr>
        <w:t>具有车队管理经验，熟悉车辆基本的设备结构，</w:t>
      </w:r>
      <w:r>
        <w:rPr>
          <w:rFonts w:hint="eastAsia" w:ascii="宋体" w:hAnsi="宋体" w:eastAsia="宋体" w:cs="宋体"/>
          <w:color w:val="auto"/>
          <w:sz w:val="21"/>
          <w:szCs w:val="21"/>
          <w:highlight w:val="none"/>
        </w:rPr>
        <w:t>年龄原则上不超过</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周岁</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）其它要求</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1、招标人</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kern w:val="0"/>
          <w:szCs w:val="21"/>
          <w:highlight w:val="none"/>
        </w:rPr>
        <w:t>权对</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rPr>
        <w:t>提供的服务人员的资质及能力进行核实，审核通过后</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rPr>
        <w:t>方可指派该等服务人员提供服务。如</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经审核认为</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rPr>
        <w:t>提供的服务人员资质或能力不能满足本合同项下服务要求的，</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rPr>
        <w:t>应更换具有相应资质及能力的人员。</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2、在服务过程中，中标人应遵守有关安全生产管理规定，严格按相关安全标准组织人员提供服务，采取必要的安全防护措施，消除事故隐患。工作过程中必须佩戴好劳保用品，如安全帽、手套、口罩、工</w:t>
      </w:r>
      <w:r>
        <w:rPr>
          <w:rFonts w:hint="eastAsia" w:ascii="宋体" w:hAnsi="宋体" w:eastAsia="宋体" w:cs="宋体"/>
          <w:color w:val="auto"/>
          <w:sz w:val="21"/>
          <w:szCs w:val="21"/>
          <w:highlight w:val="none"/>
          <w:lang w:val="en-US" w:eastAsia="zh-CN"/>
        </w:rPr>
        <w:t>衣、反光衣</w:t>
      </w:r>
      <w:r>
        <w:rPr>
          <w:rFonts w:hint="eastAsia" w:ascii="宋体" w:hAnsi="宋体" w:eastAsia="宋体" w:cs="宋体"/>
          <w:color w:val="auto"/>
          <w:sz w:val="21"/>
          <w:szCs w:val="21"/>
          <w:highlight w:val="none"/>
        </w:rPr>
        <w:t>等（由中标人提供）。在服务期间，由于中标人安全措施不力造成事故的责任和因此发生的费用，由中标人承担全部责任。</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针对提供收运服务的服务人员（包括并不限于收运司机和辅工），中标人安排管理人员到招标人项目所在地驻点工作，工作场地由招标人提供。管理人员职责包括但不限于管理收运人员，需按照招标人企业作息时间，协助招标人开展一系列工作。</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4、招标人设定项目服务标准要求对中标人</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服务进行一定的工作指导和监督检查。招标人有权根据服务项目的工作需要制订相应的服务规范和相关的</w:t>
      </w:r>
      <w:r>
        <w:rPr>
          <w:rFonts w:hint="eastAsia" w:ascii="宋体" w:hAnsi="宋体" w:eastAsia="宋体" w:cs="宋体"/>
          <w:color w:val="auto"/>
          <w:sz w:val="21"/>
          <w:szCs w:val="21"/>
          <w:highlight w:val="none"/>
          <w:lang w:eastAsia="zh-CN"/>
        </w:rPr>
        <w:t>考核</w:t>
      </w:r>
      <w:r>
        <w:rPr>
          <w:rFonts w:hint="eastAsia" w:ascii="宋体" w:hAnsi="宋体" w:eastAsia="宋体" w:cs="宋体"/>
          <w:color w:val="auto"/>
          <w:sz w:val="21"/>
          <w:szCs w:val="21"/>
          <w:highlight w:val="none"/>
        </w:rPr>
        <w:t>办法；招标人有权要求中标人遵照招标人的服务规范和合同约定为招标人提供服务。</w:t>
      </w:r>
      <w:r>
        <w:rPr>
          <w:rFonts w:hint="eastAsia" w:ascii="宋体" w:hAnsi="宋体" w:eastAsia="宋体" w:cs="宋体"/>
          <w:color w:val="auto"/>
          <w:szCs w:val="21"/>
          <w:highlight w:val="none"/>
        </w:rPr>
        <w:t>如</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服务人员服务质量达不到合同要求，</w:t>
      </w:r>
      <w:r>
        <w:rPr>
          <w:rFonts w:hint="eastAsia" w:ascii="宋体" w:hAnsi="宋体" w:eastAsia="宋体" w:cs="宋体"/>
          <w:color w:val="auto"/>
          <w:sz w:val="21"/>
          <w:szCs w:val="21"/>
          <w:highlight w:val="none"/>
        </w:rPr>
        <w:t>招标人</w:t>
      </w:r>
      <w:r>
        <w:rPr>
          <w:rFonts w:hint="eastAsia" w:ascii="宋体" w:hAnsi="宋体" w:eastAsia="宋体" w:cs="宋体"/>
          <w:color w:val="auto"/>
          <w:szCs w:val="21"/>
          <w:highlight w:val="none"/>
        </w:rPr>
        <w:t>有权要求</w:t>
      </w:r>
      <w:r>
        <w:rPr>
          <w:rFonts w:hint="eastAsia" w:ascii="宋体" w:hAnsi="宋体" w:eastAsia="宋体" w:cs="宋体"/>
          <w:color w:val="auto"/>
          <w:sz w:val="21"/>
          <w:szCs w:val="21"/>
          <w:highlight w:val="none"/>
        </w:rPr>
        <w:t>中标人</w:t>
      </w:r>
      <w:r>
        <w:rPr>
          <w:rFonts w:hint="eastAsia" w:ascii="宋体" w:hAnsi="宋体" w:eastAsia="宋体" w:cs="宋体"/>
          <w:color w:val="auto"/>
          <w:szCs w:val="21"/>
          <w:highlight w:val="none"/>
        </w:rPr>
        <w:t>更换</w:t>
      </w: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val="en-US"/>
        </w:rPr>
        <w:t>人员</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中标人</w:t>
      </w:r>
      <w:r>
        <w:rPr>
          <w:rFonts w:hint="eastAsia" w:ascii="宋体" w:hAnsi="宋体" w:eastAsia="宋体" w:cs="宋体"/>
          <w:color w:val="auto"/>
          <w:szCs w:val="21"/>
          <w:highlight w:val="none"/>
        </w:rPr>
        <w:t>应立即</w:t>
      </w:r>
      <w:r>
        <w:rPr>
          <w:rFonts w:hint="eastAsia" w:ascii="宋体" w:hAnsi="宋体" w:eastAsia="宋体" w:cs="宋体"/>
          <w:color w:val="auto"/>
          <w:sz w:val="21"/>
          <w:szCs w:val="21"/>
          <w:highlight w:val="none"/>
        </w:rPr>
        <w:t>无条件的为招标人更换合格的服务人员。</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应按照国家现行法律法规的规定依法与服务人员签订劳动合同，并依法办理社保、公积金和个人所得税的代缴代扣等事宜，所产生的法律后果由</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自行承担，均与</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无关。</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须按时发放其服务人员的工资、福利，自行处理与服务人员的各种劳资纠纷，处理相关的劳动仲裁、诉讼等事宜。如服务人员发生工伤、重大疾病、非因工死亡等事故，</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须依照法律法规规定进行调查赔偿等处理，因此导致服务人员不能满足服务要求的，</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还应在</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指定的期限内予以补足</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6、中标人及其选派的服务人员在服务期间应严格遵守国家现行的法律法规，包括但不限于《劳动法》、《劳动合同法》等相关法律法规。</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7、中标人须确保服务人员每天上岗工作时间合理，不得疲劳作业。</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8、中标人及其服务人员在服务期间须遵守中华人民共和国法律法规</w:t>
      </w:r>
    </w:p>
    <w:p>
      <w:pPr>
        <w:keepNext w:val="0"/>
        <w:keepLines w:val="0"/>
        <w:pageBreakBefore w:val="0"/>
        <w:widowControl w:val="0"/>
        <w:kinsoku/>
        <w:wordWrap/>
        <w:overflowPunct/>
        <w:topLinePunct w:val="0"/>
        <w:bidi w:val="0"/>
        <w:adjustRightInd w:val="0"/>
        <w:snapToGrid w:val="0"/>
        <w:spacing w:line="400" w:lineRule="exact"/>
        <w:ind w:firstLine="422" w:firstLineChars="200"/>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、付款方式</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Cs w:val="21"/>
          <w:highlight w:val="none"/>
        </w:rPr>
        <w:t>服务费按月支付，</w:t>
      </w:r>
      <w:r>
        <w:rPr>
          <w:rFonts w:hint="eastAsia" w:ascii="宋体" w:hAnsi="宋体" w:eastAsia="宋体" w:cs="宋体"/>
          <w:bCs/>
          <w:color w:val="auto"/>
          <w:highlight w:val="none"/>
        </w:rPr>
        <w:t>每月</w:t>
      </w:r>
      <w:r>
        <w:rPr>
          <w:rFonts w:hint="eastAsia" w:ascii="宋体" w:hAnsi="宋体" w:eastAsia="宋体" w:cs="宋体"/>
          <w:bCs/>
          <w:color w:val="auto"/>
          <w:highlight w:val="none"/>
          <w:lang w:val="en-US" w:eastAsia="zh-CN"/>
        </w:rPr>
        <w:t>实际</w:t>
      </w:r>
      <w:r>
        <w:rPr>
          <w:rFonts w:hint="eastAsia" w:ascii="宋体" w:hAnsi="宋体" w:eastAsia="宋体" w:cs="宋体"/>
          <w:bCs/>
          <w:color w:val="auto"/>
          <w:highlight w:val="none"/>
        </w:rPr>
        <w:t>服务费用</w:t>
      </w:r>
      <w:r>
        <w:rPr>
          <w:rFonts w:hint="eastAsia" w:ascii="宋体" w:hAnsi="宋体" w:eastAsia="宋体" w:cs="宋体"/>
          <w:bCs/>
          <w:color w:val="auto"/>
          <w:highlight w:val="none"/>
          <w:lang w:val="en-US" w:eastAsia="zh-CN"/>
        </w:rPr>
        <w:t>根据考核结果</w:t>
      </w:r>
      <w:r>
        <w:rPr>
          <w:rFonts w:hint="eastAsia" w:ascii="宋体" w:hAnsi="宋体" w:eastAsia="宋体" w:cs="宋体"/>
          <w:bCs/>
          <w:color w:val="auto"/>
          <w:highlight w:val="none"/>
        </w:rPr>
        <w:t>支付。</w:t>
      </w:r>
      <w:r>
        <w:rPr>
          <w:rFonts w:hint="eastAsia" w:ascii="宋体" w:hAnsi="宋体" w:eastAsia="宋体" w:cs="宋体"/>
          <w:color w:val="auto"/>
          <w:sz w:val="21"/>
          <w:szCs w:val="21"/>
          <w:highlight w:val="none"/>
        </w:rPr>
        <w:t>招标人与中标人在</w:t>
      </w:r>
      <w:r>
        <w:rPr>
          <w:rFonts w:hint="eastAsia" w:ascii="宋体" w:hAnsi="宋体" w:eastAsia="宋体" w:cs="宋体"/>
          <w:color w:val="auto"/>
          <w:sz w:val="21"/>
          <w:szCs w:val="21"/>
          <w:highlight w:val="none"/>
          <w:lang w:val="en-US" w:eastAsia="zh-CN"/>
        </w:rPr>
        <w:t>每</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前5</w:t>
      </w:r>
      <w:r>
        <w:rPr>
          <w:rFonts w:hint="eastAsia" w:ascii="宋体" w:hAnsi="宋体" w:eastAsia="宋体" w:cs="宋体"/>
          <w:color w:val="auto"/>
          <w:sz w:val="21"/>
          <w:szCs w:val="21"/>
          <w:highlight w:val="none"/>
        </w:rPr>
        <w:t>个工作日核对上月量及提供服务时间等数据材料，招标人与中标人核对无误后，中标人向招标人提供等额的增值税专用发票和请款报告，招标人</w:t>
      </w:r>
      <w:r>
        <w:rPr>
          <w:rFonts w:hint="eastAsia" w:ascii="宋体" w:hAnsi="宋体" w:eastAsia="宋体" w:cs="宋体"/>
          <w:color w:val="auto"/>
          <w:sz w:val="21"/>
          <w:szCs w:val="21"/>
          <w:highlight w:val="none"/>
          <w:lang w:val="en-US" w:eastAsia="zh-CN"/>
        </w:rPr>
        <w:t>收到请款资料审核无误后30日内</w:t>
      </w:r>
      <w:r>
        <w:rPr>
          <w:rFonts w:hint="eastAsia" w:ascii="宋体" w:hAnsi="宋体" w:eastAsia="宋体" w:cs="宋体"/>
          <w:color w:val="auto"/>
          <w:sz w:val="21"/>
          <w:szCs w:val="21"/>
          <w:highlight w:val="none"/>
        </w:rPr>
        <w:t>向中标人支付</w:t>
      </w:r>
      <w:r>
        <w:rPr>
          <w:rFonts w:hint="eastAsia" w:ascii="宋体" w:hAnsi="宋体" w:eastAsia="宋体" w:cs="宋体"/>
          <w:color w:val="auto"/>
          <w:sz w:val="21"/>
          <w:szCs w:val="21"/>
          <w:highlight w:val="none"/>
          <w:lang w:val="en-US" w:eastAsia="zh-CN"/>
        </w:rPr>
        <w:t>上</w:t>
      </w:r>
      <w:r>
        <w:rPr>
          <w:rFonts w:hint="eastAsia" w:ascii="宋体" w:hAnsi="宋体" w:eastAsia="宋体" w:cs="宋体"/>
          <w:color w:val="auto"/>
          <w:sz w:val="21"/>
          <w:szCs w:val="21"/>
          <w:highlight w:val="none"/>
        </w:rPr>
        <w:t>月度服务费用。</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服务费计算方式</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月度计量服务费=上月垃圾收运量×</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标价。</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月度</w:t>
      </w:r>
      <w:r>
        <w:rPr>
          <w:rFonts w:hint="eastAsia" w:ascii="宋体" w:hAnsi="宋体" w:eastAsia="宋体" w:cs="宋体"/>
          <w:color w:val="auto"/>
          <w:sz w:val="21"/>
          <w:szCs w:val="21"/>
          <w:highlight w:val="none"/>
          <w:lang w:val="en-US" w:eastAsia="zh-CN"/>
        </w:rPr>
        <w:t>结算</w:t>
      </w:r>
      <w:r>
        <w:rPr>
          <w:rFonts w:hint="eastAsia" w:ascii="宋体" w:hAnsi="宋体" w:eastAsia="宋体" w:cs="宋体"/>
          <w:color w:val="auto"/>
          <w:sz w:val="21"/>
          <w:szCs w:val="21"/>
          <w:highlight w:val="none"/>
        </w:rPr>
        <w:t>服务费=月度计量服务费</w:t>
      </w:r>
      <w:r>
        <w:rPr>
          <w:rFonts w:hint="eastAsia" w:ascii="宋体" w:hAnsi="宋体" w:eastAsia="宋体" w:cs="宋体"/>
          <w:color w:val="auto"/>
          <w:sz w:val="21"/>
          <w:szCs w:val="21"/>
          <w:highlight w:val="none"/>
          <w:lang w:val="en-US" w:eastAsia="zh-CN"/>
        </w:rPr>
        <w:t>-扣减</w:t>
      </w:r>
      <w:r>
        <w:rPr>
          <w:rStyle w:val="106"/>
          <w:rFonts w:hint="eastAsia" w:ascii="宋体" w:hAnsi="宋体" w:eastAsia="宋体" w:cs="宋体"/>
          <w:b w:val="0"/>
          <w:bCs w:val="0"/>
          <w:color w:val="auto"/>
          <w:sz w:val="21"/>
          <w:szCs w:val="21"/>
          <w:highlight w:val="none"/>
          <w:lang w:val="en-US" w:eastAsia="zh-CN" w:bidi="ar"/>
        </w:rPr>
        <w:t>当月服务费</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0"/>
          <w:sz w:val="21"/>
          <w:szCs w:val="21"/>
          <w:highlight w:val="none"/>
        </w:rPr>
        <w:t>对应的增值税额</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rPr>
        <w:t>垃圾收运量以招标人地磅或招标人指定地磅的实际过磅数为准。</w:t>
      </w:r>
    </w:p>
    <w:p>
      <w:pPr>
        <w:pStyle w:val="2"/>
        <w:spacing w:line="360" w:lineRule="auto"/>
        <w:ind w:firstLine="420" w:firstLineChars="200"/>
        <w:jc w:val="left"/>
        <w:rPr>
          <w:rStyle w:val="106"/>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rPr>
        <w:t>完成上月的服务后，</w:t>
      </w:r>
      <w:r>
        <w:rPr>
          <w:rFonts w:hint="eastAsia" w:ascii="宋体" w:hAnsi="宋体" w:eastAsia="宋体" w:cs="宋体"/>
          <w:b w:val="0"/>
          <w:bCs w:val="0"/>
          <w:color w:val="auto"/>
          <w:sz w:val="21"/>
          <w:szCs w:val="21"/>
          <w:highlight w:val="none"/>
          <w:lang w:val="en-US" w:eastAsia="zh-CN"/>
        </w:rPr>
        <w:t>招标人</w:t>
      </w:r>
      <w:r>
        <w:rPr>
          <w:rFonts w:hint="eastAsia" w:ascii="宋体" w:hAnsi="宋体" w:eastAsia="宋体" w:cs="宋体"/>
          <w:b w:val="0"/>
          <w:bCs w:val="0"/>
          <w:color w:val="auto"/>
          <w:sz w:val="21"/>
          <w:szCs w:val="21"/>
          <w:highlight w:val="none"/>
        </w:rPr>
        <w:t>在次月</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个工作日内对</w:t>
      </w:r>
      <w:r>
        <w:rPr>
          <w:rFonts w:hint="eastAsia" w:ascii="宋体" w:hAnsi="宋体" w:eastAsia="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rPr>
        <w:t>上月的服务进行</w:t>
      </w:r>
      <w:r>
        <w:rPr>
          <w:rFonts w:hint="eastAsia" w:ascii="宋体" w:hAnsi="宋体" w:eastAsia="宋体" w:cs="宋体"/>
          <w:b w:val="0"/>
          <w:bCs w:val="0"/>
          <w:color w:val="auto"/>
          <w:sz w:val="21"/>
          <w:szCs w:val="21"/>
          <w:highlight w:val="none"/>
          <w:lang w:eastAsia="zh-CN"/>
        </w:rPr>
        <w:t>考核</w:t>
      </w:r>
      <w:r>
        <w:rPr>
          <w:rFonts w:hint="eastAsia" w:ascii="宋体" w:hAnsi="宋体" w:eastAsia="宋体" w:cs="宋体"/>
          <w:b w:val="0"/>
          <w:bCs w:val="0"/>
          <w:color w:val="auto"/>
          <w:sz w:val="21"/>
          <w:szCs w:val="21"/>
          <w:highlight w:val="none"/>
        </w:rPr>
        <w:t>，</w:t>
      </w:r>
      <w:r>
        <w:rPr>
          <w:rStyle w:val="106"/>
          <w:rFonts w:hint="eastAsia" w:ascii="宋体" w:hAnsi="宋体" w:eastAsia="宋体" w:cs="宋体"/>
          <w:b w:val="0"/>
          <w:bCs w:val="0"/>
          <w:color w:val="auto"/>
          <w:sz w:val="21"/>
          <w:szCs w:val="21"/>
          <w:highlight w:val="none"/>
          <w:lang w:val="en-US" w:eastAsia="zh-CN" w:bidi="ar"/>
        </w:rPr>
        <w:t>经考核取得90分及以上者为合格，招标人全额支付当月服务费；未达到90分者则为不合格，每低1分（不满1分按1分计算），招标人按当月</w:t>
      </w:r>
      <w:r>
        <w:rPr>
          <w:rFonts w:hint="eastAsia" w:ascii="宋体" w:hAnsi="宋体" w:eastAsia="宋体" w:cs="宋体"/>
          <w:b w:val="0"/>
          <w:bCs w:val="0"/>
          <w:color w:val="auto"/>
          <w:sz w:val="21"/>
          <w:szCs w:val="21"/>
          <w:highlight w:val="none"/>
        </w:rPr>
        <w:t>计量服务费</w:t>
      </w:r>
      <w:r>
        <w:rPr>
          <w:rStyle w:val="106"/>
          <w:rFonts w:hint="eastAsia" w:ascii="宋体" w:hAnsi="宋体" w:eastAsia="宋体" w:cs="宋体"/>
          <w:b w:val="0"/>
          <w:bCs w:val="0"/>
          <w:color w:val="auto"/>
          <w:sz w:val="21"/>
          <w:szCs w:val="21"/>
          <w:highlight w:val="none"/>
          <w:lang w:val="en-US" w:eastAsia="zh-CN" w:bidi="ar"/>
        </w:rPr>
        <w:t>总额1%的比例扣减当月服务费；低于80分，除按当月结算服务费总额1%的比例扣减当月服务费外，招标人有权单方面解除服务合同。</w:t>
      </w:r>
    </w:p>
    <w:p>
      <w:pPr>
        <w:ind w:firstLine="420" w:firstLineChars="200"/>
        <w:rPr>
          <w:rFonts w:hint="eastAsia" w:eastAsiaTheme="minorEastAsia"/>
          <w:color w:val="auto"/>
          <w:highlight w:val="none"/>
          <w:lang w:eastAsia="zh-CN"/>
        </w:rPr>
      </w:pPr>
    </w:p>
    <w:p>
      <w:pPr>
        <w:keepNext w:val="0"/>
        <w:keepLines w:val="0"/>
        <w:pageBreakBefore w:val="0"/>
        <w:widowControl w:val="0"/>
        <w:kinsoku/>
        <w:wordWrap/>
        <w:overflowPunct/>
        <w:topLinePunct w:val="0"/>
        <w:bidi w:val="0"/>
        <w:adjustRightInd w:val="0"/>
        <w:snapToGrid w:val="0"/>
        <w:spacing w:line="400" w:lineRule="exact"/>
        <w:ind w:firstLine="422" w:firstLineChars="200"/>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、其他要求</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、中标人应对招标人委托的各项目的内容予以严格保密。</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、中标人应服从招标人的统筹安排，并严格按照招标人的要求保质保量地提供相应服务。</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、若中标人在服务期内出现拒绝接受服务情况或无法按时完成当天收运任务达3次以上（含3次）的，招标人可取消其从事服务资格。</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、未经招标人同意，中标人不得将承包项目发包或转包，否则视为中标人违约，招标人有权终止合同并对其追责。</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、禁止中标人使用招标人</w:t>
      </w:r>
      <w:r>
        <w:rPr>
          <w:rFonts w:hint="eastAsia" w:ascii="宋体" w:hAnsi="宋体" w:eastAsia="宋体" w:cs="宋体"/>
          <w:snapToGrid w:val="0"/>
          <w:color w:val="auto"/>
          <w:szCs w:val="21"/>
          <w:highlight w:val="none"/>
          <w:lang w:val="zh-CN"/>
        </w:rPr>
        <w:t>提供</w:t>
      </w:r>
      <w:r>
        <w:rPr>
          <w:rFonts w:hint="eastAsia" w:ascii="宋体" w:hAnsi="宋体" w:eastAsia="宋体" w:cs="宋体"/>
          <w:color w:val="auto"/>
          <w:sz w:val="21"/>
          <w:szCs w:val="21"/>
          <w:highlight w:val="none"/>
        </w:rPr>
        <w:t>的任何证照擅自拓展业务</w:t>
      </w:r>
      <w:r>
        <w:rPr>
          <w:rFonts w:hint="eastAsia" w:ascii="宋体" w:hAnsi="宋体" w:eastAsia="宋体" w:cs="宋体"/>
          <w:snapToGrid w:val="0"/>
          <w:color w:val="auto"/>
          <w:szCs w:val="21"/>
          <w:highlight w:val="none"/>
          <w:lang w:val="zh-CN"/>
        </w:rPr>
        <w:t>或用于本合同服务范围外的目的</w:t>
      </w:r>
      <w:r>
        <w:rPr>
          <w:rFonts w:hint="eastAsia" w:ascii="宋体" w:hAnsi="宋体" w:eastAsia="宋体" w:cs="宋体"/>
          <w:color w:val="auto"/>
          <w:sz w:val="21"/>
          <w:szCs w:val="21"/>
          <w:highlight w:val="none"/>
        </w:rPr>
        <w:t>，包括但不限于《营业执照》、《城市生活垃圾经营性清扫、收集、运输服务许可证收运处理许可证》、《城市生活垃圾经营性处置服务许可证》等。中标人违反本条约定达2次（含2次）以上的，招标人有权单方解除合同，并要求中标人支付违约金，并赔偿因此给招标人造成的损失。</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、中标人在合同</w:t>
      </w:r>
      <w:r>
        <w:rPr>
          <w:rFonts w:hint="eastAsia" w:ascii="宋体" w:hAnsi="宋体" w:eastAsia="宋体" w:cs="宋体"/>
          <w:snapToGrid w:val="0"/>
          <w:color w:val="auto"/>
          <w:szCs w:val="21"/>
          <w:highlight w:val="none"/>
          <w:lang w:val="zh-CN"/>
        </w:rPr>
        <w:t>履行</w:t>
      </w:r>
      <w:r>
        <w:rPr>
          <w:rFonts w:hint="eastAsia" w:ascii="宋体" w:hAnsi="宋体" w:eastAsia="宋体" w:cs="宋体"/>
          <w:color w:val="auto"/>
          <w:sz w:val="21"/>
          <w:szCs w:val="21"/>
          <w:highlight w:val="none"/>
          <w:lang w:val="en-US" w:eastAsia="zh-CN"/>
        </w:rPr>
        <w:t>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如需投入车辆等相关设备（包括用作派送餐厨垃圾收集桶的车辆等），</w:t>
      </w:r>
      <w:r>
        <w:rPr>
          <w:rFonts w:hint="eastAsia" w:ascii="宋体" w:hAnsi="宋体" w:eastAsia="宋体" w:cs="宋体"/>
          <w:color w:val="auto"/>
          <w:sz w:val="21"/>
          <w:szCs w:val="21"/>
          <w:highlight w:val="none"/>
        </w:rPr>
        <w:t>必须向招标人</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rPr>
        <w:t>备案，合同</w:t>
      </w:r>
      <w:r>
        <w:rPr>
          <w:rFonts w:hint="eastAsia" w:ascii="宋体" w:hAnsi="宋体" w:eastAsia="宋体" w:cs="宋体"/>
          <w:snapToGrid w:val="0"/>
          <w:color w:val="auto"/>
          <w:szCs w:val="21"/>
          <w:highlight w:val="none"/>
          <w:lang w:val="zh-CN"/>
        </w:rPr>
        <w:t>履行期间</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(1)中标人不得使用已备案的车辆和设备开展合同约定</w:t>
      </w:r>
      <w:r>
        <w:rPr>
          <w:rFonts w:hint="eastAsia" w:ascii="宋体" w:hAnsi="宋体" w:eastAsia="宋体" w:cs="宋体"/>
          <w:snapToGrid w:val="0"/>
          <w:color w:val="auto"/>
          <w:szCs w:val="21"/>
          <w:highlight w:val="none"/>
          <w:lang w:val="zh-CN"/>
        </w:rPr>
        <w:t>服务</w:t>
      </w:r>
      <w:r>
        <w:rPr>
          <w:rFonts w:hint="eastAsia" w:ascii="宋体" w:hAnsi="宋体" w:eastAsia="宋体" w:cs="宋体"/>
          <w:color w:val="auto"/>
          <w:sz w:val="21"/>
          <w:szCs w:val="21"/>
          <w:highlight w:val="none"/>
        </w:rPr>
        <w:t>范围外活动；</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(2)中标人不得擅自使用其他车辆和设备开展合同约定</w:t>
      </w:r>
      <w:r>
        <w:rPr>
          <w:rFonts w:hint="eastAsia" w:ascii="宋体" w:hAnsi="宋体" w:eastAsia="宋体" w:cs="宋体"/>
          <w:snapToGrid w:val="0"/>
          <w:color w:val="auto"/>
          <w:szCs w:val="21"/>
          <w:highlight w:val="none"/>
          <w:lang w:val="zh-CN"/>
        </w:rPr>
        <w:t>服务</w:t>
      </w:r>
      <w:r>
        <w:rPr>
          <w:rFonts w:hint="eastAsia" w:ascii="宋体" w:hAnsi="宋体" w:eastAsia="宋体" w:cs="宋体"/>
          <w:color w:val="auto"/>
          <w:sz w:val="21"/>
          <w:szCs w:val="21"/>
          <w:highlight w:val="none"/>
        </w:rPr>
        <w:t>范围内工作；</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(3)严禁利用招标人名义，使用其他车辆和设备进行其他服务活动。</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中标人违反上述</w:t>
      </w:r>
      <w:r>
        <w:rPr>
          <w:rFonts w:hint="eastAsia" w:ascii="宋体" w:hAnsi="宋体" w:eastAsia="宋体" w:cs="宋体"/>
          <w:snapToGrid w:val="0"/>
          <w:color w:val="auto"/>
          <w:szCs w:val="21"/>
          <w:highlight w:val="none"/>
          <w:lang w:val="zh-CN"/>
        </w:rPr>
        <w:t>约</w:t>
      </w:r>
      <w:r>
        <w:rPr>
          <w:rFonts w:hint="eastAsia" w:ascii="宋体" w:hAnsi="宋体" w:eastAsia="宋体" w:cs="宋体"/>
          <w:color w:val="auto"/>
          <w:sz w:val="21"/>
          <w:szCs w:val="21"/>
          <w:highlight w:val="none"/>
        </w:rPr>
        <w:t>定达3次（含3次）以上的，招标人有权单方解除合同，并要求中标人支付违约金，并赔偿因此给招标人造成的名誉和经济损失。</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、招标人对中标人实行动态管理，对中标人进行考核，一旦发现中标人违反合同条款，要求其限期整改。</w:t>
      </w:r>
      <w:r>
        <w:rPr>
          <w:rFonts w:hint="eastAsia" w:ascii="宋体" w:hAnsi="宋体" w:eastAsia="宋体" w:cs="宋体"/>
          <w:color w:val="auto"/>
          <w:sz w:val="21"/>
          <w:szCs w:val="21"/>
          <w:highlight w:val="none"/>
          <w:lang w:val="en-US" w:eastAsia="zh-CN"/>
        </w:rPr>
        <w:t>中标人需要在限期内完成整改</w:t>
      </w:r>
      <w:r>
        <w:rPr>
          <w:rFonts w:hint="eastAsia" w:ascii="宋体" w:hAnsi="宋体" w:eastAsia="宋体" w:cs="宋体"/>
          <w:color w:val="auto"/>
          <w:sz w:val="21"/>
          <w:szCs w:val="21"/>
          <w:highlight w:val="none"/>
        </w:rPr>
        <w:t>，否则视为中标人违约，</w:t>
      </w:r>
      <w:r>
        <w:rPr>
          <w:rFonts w:hint="eastAsia" w:ascii="宋体" w:hAnsi="宋体" w:eastAsia="宋体" w:cs="宋体"/>
          <w:color w:val="auto"/>
          <w:sz w:val="21"/>
          <w:szCs w:val="21"/>
          <w:highlight w:val="none"/>
          <w:lang w:val="en-US" w:eastAsia="zh-CN"/>
        </w:rPr>
        <w:t>招标人有权</w:t>
      </w:r>
      <w:r>
        <w:rPr>
          <w:rFonts w:hint="eastAsia" w:ascii="宋体" w:hAnsi="宋体" w:eastAsia="宋体" w:cs="宋体"/>
          <w:snapToGrid w:val="0"/>
          <w:color w:val="auto"/>
          <w:szCs w:val="21"/>
          <w:highlight w:val="none"/>
          <w:lang w:val="zh-CN"/>
        </w:rPr>
        <w:t>单方解除合同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并要求中标人承担违约责任</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、收运运营服务人员体检要求如下</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(1)不接触职业健康危害因素人员</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根据工作内容不会接触到职业健康危害因素的人员，提交一般入职体检报告1份。</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(2)接触职业健康危害因素人员</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根据工作内容会接触到职业健康危害因素人员，包括收运司机、</w:t>
      </w:r>
      <w:r>
        <w:rPr>
          <w:rFonts w:hint="eastAsia" w:ascii="宋体" w:hAnsi="宋体" w:eastAsia="宋体" w:cs="宋体"/>
          <w:color w:val="auto"/>
          <w:sz w:val="21"/>
          <w:szCs w:val="21"/>
          <w:highlight w:val="none"/>
          <w:lang w:val="en-US" w:eastAsia="zh-CN"/>
        </w:rPr>
        <w:t>收运</w:t>
      </w:r>
      <w:r>
        <w:rPr>
          <w:rFonts w:hint="eastAsia" w:ascii="宋体" w:hAnsi="宋体" w:eastAsia="宋体" w:cs="宋体"/>
          <w:color w:val="auto"/>
          <w:sz w:val="21"/>
          <w:szCs w:val="21"/>
          <w:highlight w:val="none"/>
        </w:rPr>
        <w:t>辅工等，需按要求进行岗前、在岗及离岗职业健康检查，提交有资质机构出具的岗前、在岗及离岗职业健康检查报告。</w:t>
      </w:r>
    </w:p>
    <w:p>
      <w:pPr>
        <w:keepNext w:val="0"/>
        <w:keepLines w:val="0"/>
        <w:pageBreakBefore w:val="0"/>
        <w:widowControl w:val="0"/>
        <w:numPr>
          <w:ilvl w:val="-1"/>
          <w:numId w:val="0"/>
        </w:numPr>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服务质量考核附表详见下表：</w:t>
      </w:r>
    </w:p>
    <w:p>
      <w:pPr>
        <w:pStyle w:val="2"/>
        <w:numPr>
          <w:ilvl w:val="-1"/>
          <w:numId w:val="0"/>
        </w:numPr>
        <w:jc w:val="both"/>
        <w:rPr>
          <w:rFonts w:hint="eastAsia"/>
          <w:color w:val="auto"/>
          <w:sz w:val="21"/>
          <w:szCs w:val="21"/>
          <w:highlight w:val="none"/>
        </w:rPr>
      </w:pPr>
    </w:p>
    <w:p>
      <w:pPr>
        <w:tabs>
          <w:tab w:val="left" w:pos="1260"/>
        </w:tabs>
        <w:snapToGrid w:val="0"/>
        <w:spacing w:line="360" w:lineRule="auto"/>
        <w:ind w:firstLine="211" w:firstLineChars="100"/>
        <w:textAlignment w:val="baseline"/>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附件1：餐厨垃圾收运服务月度考核表</w:t>
      </w:r>
    </w:p>
    <w:tbl>
      <w:tblPr>
        <w:tblStyle w:val="38"/>
        <w:tblW w:w="90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8"/>
        <w:gridCol w:w="638"/>
        <w:gridCol w:w="1786"/>
        <w:gridCol w:w="4050"/>
        <w:gridCol w:w="13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87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7400" w:hanging="7400" w:hangingChars="370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32"/>
                <w:szCs w:val="32"/>
                <w:highlight w:val="none"/>
                <w:u w:val="none"/>
                <w:lang w:val="en-US" w:eastAsia="zh-CN" w:bidi="ar"/>
              </w:rPr>
              <w:t xml:space="preserve">利源公司餐厨垃圾收运服务月度考核表 </w:t>
            </w:r>
            <w:r>
              <w:rPr>
                <w:rFonts w:hint="eastAsia" w:ascii="宋体" w:hAnsi="宋体" w:eastAsia="宋体" w:cs="宋体"/>
                <w:i w:val="0"/>
                <w:iCs w:val="0"/>
                <w:color w:val="auto"/>
                <w:kern w:val="0"/>
                <w:sz w:val="20"/>
                <w:szCs w:val="20"/>
                <w:highlight w:val="none"/>
                <w:u w:val="none"/>
                <w:lang w:val="en-US" w:eastAsia="zh-CN" w:bidi="ar"/>
              </w:rPr>
              <w:t xml:space="preserve">                                                                                                                                               年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0" w:hRule="atLeast"/>
          <w:jc w:val="center"/>
        </w:trPr>
        <w:tc>
          <w:tcPr>
            <w:tcW w:w="87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 xml:space="preserve">                         </w:t>
            </w:r>
            <w:r>
              <w:rPr>
                <w:rStyle w:val="207"/>
                <w:rFonts w:ascii="宋体" w:hAnsi="宋体" w:eastAsia="宋体" w:cs="宋体"/>
                <w:color w:val="auto"/>
                <w:sz w:val="21"/>
                <w:szCs w:val="21"/>
                <w:highlight w:val="none"/>
                <w:lang w:val="en-US" w:eastAsia="zh-CN" w:bidi="ar"/>
              </w:rPr>
              <w:t>餐厨垃圾收运服务考核评分须知</w:t>
            </w:r>
            <w:r>
              <w:rPr>
                <w:rStyle w:val="106"/>
                <w:rFonts w:ascii="宋体" w:hAnsi="宋体" w:eastAsia="宋体" w:cs="宋体"/>
                <w:color w:val="auto"/>
                <w:sz w:val="21"/>
                <w:szCs w:val="21"/>
                <w:highlight w:val="none"/>
                <w:lang w:val="en-US" w:eastAsia="zh-CN" w:bidi="ar"/>
              </w:rPr>
              <w:br w:type="textWrapping"/>
            </w:r>
            <w:r>
              <w:rPr>
                <w:rStyle w:val="106"/>
                <w:rFonts w:ascii="宋体" w:hAnsi="宋体" w:eastAsia="宋体" w:cs="宋体"/>
                <w:color w:val="auto"/>
                <w:sz w:val="21"/>
                <w:szCs w:val="21"/>
                <w:highlight w:val="none"/>
                <w:lang w:val="en-US" w:eastAsia="zh-CN" w:bidi="ar"/>
              </w:rPr>
              <w:t>1、招标人对餐厨垃圾收运服务每月出具一次考核结果，该结果与每月支付的服务费用直接挂钩，考核总分为100分。</w:t>
            </w:r>
            <w:r>
              <w:rPr>
                <w:rStyle w:val="106"/>
                <w:rFonts w:ascii="宋体" w:hAnsi="宋体" w:eastAsia="宋体" w:cs="宋体"/>
                <w:color w:val="auto"/>
                <w:sz w:val="21"/>
                <w:szCs w:val="21"/>
                <w:highlight w:val="none"/>
                <w:lang w:val="en-US" w:eastAsia="zh-CN" w:bidi="ar"/>
              </w:rPr>
              <w:br w:type="textWrapping"/>
            </w:r>
            <w:r>
              <w:rPr>
                <w:rStyle w:val="106"/>
                <w:rFonts w:ascii="宋体" w:hAnsi="宋体" w:eastAsia="宋体" w:cs="宋体"/>
                <w:color w:val="auto"/>
                <w:sz w:val="21"/>
                <w:szCs w:val="21"/>
                <w:highlight w:val="none"/>
                <w:lang w:val="en-US" w:eastAsia="zh-CN" w:bidi="ar"/>
              </w:rPr>
              <w:t>2、招标人将严格按照考核评分标准对服务单位进行月度检查、考核和验收。</w:t>
            </w:r>
            <w:r>
              <w:rPr>
                <w:rStyle w:val="106"/>
                <w:rFonts w:ascii="宋体" w:hAnsi="宋体" w:eastAsia="宋体" w:cs="宋体"/>
                <w:color w:val="auto"/>
                <w:sz w:val="21"/>
                <w:szCs w:val="21"/>
                <w:highlight w:val="none"/>
                <w:lang w:val="en-US" w:eastAsia="zh-CN" w:bidi="ar"/>
              </w:rPr>
              <w:br w:type="textWrapping"/>
            </w:r>
            <w:r>
              <w:rPr>
                <w:rStyle w:val="106"/>
                <w:rFonts w:ascii="宋体" w:hAnsi="宋体" w:eastAsia="宋体" w:cs="宋体"/>
                <w:color w:val="auto"/>
                <w:sz w:val="21"/>
                <w:szCs w:val="21"/>
                <w:highlight w:val="none"/>
                <w:lang w:val="en-US" w:eastAsia="zh-CN" w:bidi="ar"/>
              </w:rPr>
              <w:t>3、招标人的检查采用明检与暗检相结合的方式，以暗检为主。</w:t>
            </w:r>
            <w:r>
              <w:rPr>
                <w:rStyle w:val="106"/>
                <w:rFonts w:ascii="宋体" w:hAnsi="宋体" w:eastAsia="宋体" w:cs="宋体"/>
                <w:color w:val="auto"/>
                <w:sz w:val="21"/>
                <w:szCs w:val="21"/>
                <w:highlight w:val="none"/>
                <w:lang w:val="en-US" w:eastAsia="zh-CN" w:bidi="ar"/>
              </w:rPr>
              <w:br w:type="textWrapping"/>
            </w:r>
            <w:r>
              <w:rPr>
                <w:rStyle w:val="106"/>
                <w:rFonts w:ascii="宋体" w:hAnsi="宋体" w:eastAsia="宋体" w:cs="宋体"/>
                <w:color w:val="auto"/>
                <w:sz w:val="21"/>
                <w:szCs w:val="21"/>
                <w:highlight w:val="none"/>
                <w:lang w:val="en-US" w:eastAsia="zh-CN" w:bidi="ar"/>
              </w:rPr>
              <w:t>4、经考核取得</w:t>
            </w:r>
            <w:r>
              <w:rPr>
                <w:rStyle w:val="106"/>
                <w:rFonts w:hint="eastAsia" w:ascii="宋体" w:hAnsi="宋体" w:eastAsia="宋体" w:cs="宋体"/>
                <w:color w:val="auto"/>
                <w:sz w:val="21"/>
                <w:szCs w:val="21"/>
                <w:highlight w:val="none"/>
                <w:lang w:val="en-US" w:eastAsia="zh-CN" w:bidi="ar"/>
              </w:rPr>
              <w:t>90</w:t>
            </w:r>
            <w:r>
              <w:rPr>
                <w:rStyle w:val="106"/>
                <w:rFonts w:ascii="宋体" w:hAnsi="宋体" w:eastAsia="宋体" w:cs="宋体"/>
                <w:color w:val="auto"/>
                <w:sz w:val="21"/>
                <w:szCs w:val="21"/>
                <w:highlight w:val="none"/>
                <w:lang w:val="en-US" w:eastAsia="zh-CN" w:bidi="ar"/>
              </w:rPr>
              <w:t>分及以上者为合格，招标人全额支付当月服务费；未达到</w:t>
            </w:r>
            <w:r>
              <w:rPr>
                <w:rStyle w:val="106"/>
                <w:rFonts w:hint="eastAsia" w:ascii="宋体" w:hAnsi="宋体" w:eastAsia="宋体" w:cs="宋体"/>
                <w:color w:val="auto"/>
                <w:sz w:val="21"/>
                <w:szCs w:val="21"/>
                <w:highlight w:val="none"/>
                <w:lang w:val="en-US" w:eastAsia="zh-CN" w:bidi="ar"/>
              </w:rPr>
              <w:t>90</w:t>
            </w:r>
            <w:r>
              <w:rPr>
                <w:rStyle w:val="106"/>
                <w:rFonts w:ascii="宋体" w:hAnsi="宋体" w:eastAsia="宋体" w:cs="宋体"/>
                <w:color w:val="auto"/>
                <w:sz w:val="21"/>
                <w:szCs w:val="21"/>
                <w:highlight w:val="none"/>
                <w:lang w:val="en-US" w:eastAsia="zh-CN" w:bidi="ar"/>
              </w:rPr>
              <w:t>分者则为不合格，每低1分（不满1分按1分计算），招标人按当月</w:t>
            </w:r>
            <w:r>
              <w:rPr>
                <w:rFonts w:hint="eastAsia" w:ascii="宋体" w:hAnsi="宋体" w:eastAsia="宋体" w:cs="宋体"/>
                <w:b w:val="0"/>
                <w:bCs w:val="0"/>
                <w:color w:val="auto"/>
                <w:sz w:val="21"/>
                <w:szCs w:val="21"/>
                <w:highlight w:val="none"/>
              </w:rPr>
              <w:t>计量服务费</w:t>
            </w:r>
            <w:r>
              <w:rPr>
                <w:rStyle w:val="106"/>
                <w:rFonts w:ascii="宋体" w:hAnsi="宋体" w:eastAsia="宋体" w:cs="宋体"/>
                <w:color w:val="auto"/>
                <w:sz w:val="21"/>
                <w:szCs w:val="21"/>
                <w:highlight w:val="none"/>
                <w:lang w:val="en-US" w:eastAsia="zh-CN" w:bidi="ar"/>
              </w:rPr>
              <w:t>总额</w:t>
            </w:r>
            <w:r>
              <w:rPr>
                <w:rStyle w:val="106"/>
                <w:rFonts w:hint="eastAsia" w:ascii="宋体" w:hAnsi="宋体" w:eastAsia="宋体" w:cs="宋体"/>
                <w:color w:val="auto"/>
                <w:sz w:val="21"/>
                <w:szCs w:val="21"/>
                <w:highlight w:val="none"/>
                <w:lang w:val="en-US" w:eastAsia="zh-CN" w:bidi="ar"/>
              </w:rPr>
              <w:t>1</w:t>
            </w:r>
            <w:r>
              <w:rPr>
                <w:rStyle w:val="106"/>
                <w:rFonts w:ascii="宋体" w:hAnsi="宋体" w:eastAsia="宋体" w:cs="宋体"/>
                <w:color w:val="auto"/>
                <w:sz w:val="21"/>
                <w:szCs w:val="21"/>
                <w:highlight w:val="none"/>
                <w:lang w:val="en-US" w:eastAsia="zh-CN" w:bidi="ar"/>
              </w:rPr>
              <w:t>%的比例扣减当月服务费；低于</w:t>
            </w:r>
            <w:r>
              <w:rPr>
                <w:rStyle w:val="106"/>
                <w:rFonts w:hint="eastAsia" w:ascii="宋体" w:hAnsi="宋体" w:eastAsia="宋体" w:cs="宋体"/>
                <w:color w:val="auto"/>
                <w:sz w:val="21"/>
                <w:szCs w:val="21"/>
                <w:highlight w:val="none"/>
                <w:lang w:val="en-US" w:eastAsia="zh-CN" w:bidi="ar"/>
              </w:rPr>
              <w:t>80</w:t>
            </w:r>
            <w:r>
              <w:rPr>
                <w:rStyle w:val="106"/>
                <w:rFonts w:ascii="宋体" w:hAnsi="宋体" w:eastAsia="宋体" w:cs="宋体"/>
                <w:color w:val="auto"/>
                <w:sz w:val="21"/>
                <w:szCs w:val="21"/>
                <w:highlight w:val="none"/>
                <w:lang w:val="en-US" w:eastAsia="zh-CN" w:bidi="ar"/>
              </w:rPr>
              <w:t>分，</w:t>
            </w:r>
            <w:r>
              <w:rPr>
                <w:rStyle w:val="106"/>
                <w:rFonts w:hint="eastAsia" w:ascii="宋体" w:hAnsi="宋体" w:eastAsia="宋体" w:cs="宋体"/>
                <w:b w:val="0"/>
                <w:bCs w:val="0"/>
                <w:color w:val="auto"/>
                <w:sz w:val="21"/>
                <w:szCs w:val="21"/>
                <w:highlight w:val="none"/>
                <w:lang w:val="en-US" w:eastAsia="zh-CN" w:bidi="ar"/>
              </w:rPr>
              <w:t>除按当月结算服务费总额1%的比例扣减当月服务费外，</w:t>
            </w:r>
            <w:r>
              <w:rPr>
                <w:rStyle w:val="106"/>
                <w:rFonts w:ascii="宋体" w:hAnsi="宋体" w:eastAsia="宋体" w:cs="宋体"/>
                <w:color w:val="auto"/>
                <w:sz w:val="21"/>
                <w:szCs w:val="21"/>
                <w:highlight w:val="none"/>
                <w:lang w:val="en-US" w:eastAsia="zh-CN" w:bidi="ar"/>
              </w:rPr>
              <w:t>招标人有权单方面解除服务合同。</w:t>
            </w:r>
          </w:p>
          <w:p>
            <w:pPr>
              <w:pStyle w:val="2"/>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5、服务单位存在考核表内的扣分行为，招标人进行扣分外，若合同条款有设置违约责任和违约金的，服务单位还需向招标人支付违约金。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7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考核内容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类别</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w:t>
            </w:r>
          </w:p>
        </w:tc>
        <w:tc>
          <w:tcPr>
            <w:tcW w:w="4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考核内容</w:t>
            </w:r>
          </w:p>
        </w:tc>
        <w:tc>
          <w:tcPr>
            <w:tcW w:w="13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本月度扣分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auto"/>
                <w:sz w:val="21"/>
                <w:szCs w:val="21"/>
                <w:highlight w:val="none"/>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auto"/>
                <w:sz w:val="21"/>
                <w:szCs w:val="21"/>
                <w:highlight w:val="none"/>
                <w:u w:val="none"/>
              </w:rPr>
            </w:pPr>
          </w:p>
        </w:tc>
        <w:tc>
          <w:tcPr>
            <w:tcW w:w="4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auto"/>
                <w:sz w:val="21"/>
                <w:szCs w:val="21"/>
                <w:highlight w:val="none"/>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人力管控</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社保购买情况</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服务单位必须为本项目的服务人员购买必须的社保，并每月在人员花名册上附上社保购买证明。每人每月缺少购买扣1分。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工资支付情况</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服务单位必须按时为服务人员发放工资，并每月将发放情况报送招标人。当有人举报存在工资拖欠问题，招标人查实后，每人每月拖欠扣2分。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人员管理情况</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服务单位必须每月将人员花名册报送招标人，期间出现的人员变动必须及时告知招标人。当月未及时更新信息，扣1分。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服务人员上岗情况</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服务单位必须提供足够服务人员开展工作，服务期内每出现人员缺岗情况的，则每人每天扣0.5分。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业务管控</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客户维护情况</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招标人定期检查服务单位对各个客户的服务情况，如发现因不收、漏收、态度恶劣的情况导致客户投诉的，每次扣0.5分；导致客户流失的，每次扣2分。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车辆维护情况</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服务单位必须对作业车辆进行定期保养和及时维修，避免车辆损坏和交通事故发生。服务单位在招标人发出维修通知书后3天内仍未开展维修工作的，每次逾期扣1分。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运量核查</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服务单位需确保收运量来源符合招标人要求，合规合法，如发现收运量存在弄虚作假等情况，每发现一次扣5分。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回访情况</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抽检服务质量</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招标人将不定期对各个服务镇街的某一机关单位、学校、企业进行服务情况抽检评分。评分不达80分，每个扣0.5分。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工作规范</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专车专镇</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餐厨垃圾收运工作应专镇专车，禁止跨镇运输。每发现跨镇运输一次，除需按照跨镇运输车辆过磅重量*收运处理补贴费用（399.7元/吨）进行赔偿招标人损失外，每次扣5分。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收运异常上报</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因实际情况造成线路调整、无法收运等情况，有无及时上报招标人。不上报一次扣1分。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服从工作情况</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在服务范围内，服务单位工作人员不服从招标人调度安排的，每次扣1分。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车辆违章情况</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业务车辆在工作过程中每产生一次违章扣分，扣1分。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造成车辆损坏或交通事故</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被判主要责任的情况下，经济损失三千元以内扣1分；三千元至一万元扣2分；一万至三万元元扣3分；三万元以上扣5分。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安全驾驶</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人员驾驶车辆时严禁出现下列行为：吸烟、闲谈、开斗气车、不避让行人、使用手机、拐弯不打灯、在机动车道上停车未打危险灯或有其它妨碍安全行车的行为，每发现一次扣0.5分。发现有酒驾、醉驾行为的，每发现一次扣5分，且因此造成的所有损失由服务单位承担。</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驾驶记录</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服务人员每次驾驶餐厨收集车时须按要求做好收运点台账、加油和里程记录等工作。没有按照规范填写、漏填信息及未保存加油凭据的，每次扣0.5分。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按规划路线驾驶</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必须按照预定的路线行驶，不得在未征得片区负责人的同意下随意切换路线。未有合理理由下随意更改路线，每次扣0.5分。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收集垃圾过程</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在餐厨垃圾收集过程中需要按照规定操作。未按规范操作，造成严重地面污染或漏收，发现一次扣0.5分。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垃圾桶清洗工作</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在收运过程中需要按照规定对餐厨垃圾桶进行清洗。垃圾桶未按规定清洗的，发现一次扣0.2分。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卸料工作</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人员卸料需做好安全措施，佩戴好安全带和其他安全装备，并按规范操作卸料设施设备。未按安全要求和操作规范操作的或在卸料区以外误操作的，每次扣1分。造成环境污染和经济损失的，由服务单位全部负责。</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车载设备维护</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需要爱护车载设备，发现设备故障需要及时通报。不能损坏车载设备。人为导致设备损坏，每次发现扣1分。为保证车辆正常运转，车辆需要到正规油站加油，并保存加油凭据备查，禁止加注私油、黑油，发现有加注私油、黑油问题的，每发现一台车扣3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车辆保洁</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需要保持车辆外观整洁，每次收运工作完成后需清洗车辆。发现车辆未按规定清洗的，每次扣0.2分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车辆保养</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应定期对车辆进行保养，未根据车辆维修保养里程定期进行保养的，每逾期一日扣0.2分。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着装要求</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人员在进行收运时必须按照规定穿着工衣（全套完整工衣，包括衣服和裤子）、佩戴厂牌（要能看到照片姓名等信息，不能得遮挡），同时穿戴好劳保用品（劳保鞋、安全帽、手套、反光衣）。未按规定着装，发现每人每次扣0.2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人员精神面貌</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服务人员应养成良好的生活习惯，自觉安排好休息时间，保证足够的休息，以较好的精力投入驾驶工作。因作息不定时导致精神不佳影响驾驶作业的，每发现一次扣0.5分。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分类情况</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服务人员注意不能在收运中混入中大型杂物或大量生活垃圾。每发现一次混入中大型杂物或大量生活垃圾的，未及时拍照取证并及时上报招标人管理人员，经核实无误后，每次扣0.5分。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安全培训</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服务人员无特殊情况下必须参与车队安全培训当中，若请假需得到车队长同意。发现无故缺席的，每人扣1分；因故不能参加的，且事后未自行申请进行补课的，每人扣1分。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c>
          <w:tcPr>
            <w:tcW w:w="77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bl>
    <w:p>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评分单位盖章：                                 服务单位：     </w:t>
      </w:r>
    </w:p>
    <w:p>
      <w:pPr>
        <w:keepNext w:val="0"/>
        <w:keepLines w:val="0"/>
        <w:pageBreakBefore w:val="0"/>
        <w:widowControl/>
        <w:kinsoku/>
        <w:wordWrap/>
        <w:overflowPunct/>
        <w:topLinePunct w:val="0"/>
        <w:bidi w:val="0"/>
        <w:adjustRightInd/>
        <w:snapToGrid/>
        <w:spacing w:line="360" w:lineRule="auto"/>
        <w:ind w:firstLine="0" w:firstLineChars="0"/>
        <w:jc w:val="both"/>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评分人：</w:t>
      </w:r>
    </w:p>
    <w:p>
      <w:pPr>
        <w:keepNext w:val="0"/>
        <w:keepLines w:val="0"/>
        <w:pageBreakBefore w:val="0"/>
        <w:widowControl/>
        <w:kinsoku/>
        <w:wordWrap/>
        <w:overflowPunct/>
        <w:topLinePunct w:val="0"/>
        <w:bidi w:val="0"/>
        <w:adjustRightInd/>
        <w:snapToGrid/>
        <w:spacing w:line="360" w:lineRule="auto"/>
        <w:ind w:firstLine="0" w:firstLineChars="0"/>
        <w:jc w:val="both"/>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复核人：</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附件2-1：上岗责任承诺书</w:t>
      </w:r>
    </w:p>
    <w:p>
      <w:pPr>
        <w:spacing w:line="360" w:lineRule="auto"/>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上岗责任承诺书</w:t>
      </w: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上岗承诺内容如下：</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1、上岗后遵守规章制度，服从调度。坚持遵章守时，不迟到、不早退、不缺勤，忠于职守，勤奋务实，不怕吃苦。不私自出车，不外借车辆，不相互推诿，确保工作用车需要。</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2、遵守职业道德，做到文明行车。严格遵守交通安全法律法规，不急躁，不酒后驾车，不闯红灯，不超速行驶，不占道行车，不疲劳驾驶等。</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自觉爱护车辆，保证行车安全。始终把行车安全作为根本要求，加强车辆保养和检查，勤检查、勤维护、勤保养，发现故障及时报告、及时排除、及时维修，绝不心存侥幸，绝不带故障行驶，确保车况良好、行车安全。</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保持车容整洁，提升乘车环境。坚持服务与卫生同步改善、品位与形象同步提高，车辆外表不划不碰，车内不乱扔乱挂，不随地吐痰，不乱扔烟头，不乱丢垃圾，经常清理车内车外卫生，提供干净整洁的车容车貌。</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5、加强自身修养，增强服务意识。注重养成良好的工作、生活习惯，做到衣着端庄整洁、举止大方得体、讲话文明礼貌、待人谦虚随和、服务规范细致、驾驶小心谨慎。</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坚持廉洁自律，树立良好形象。严格执行车辆管理制度，实行定点维修、定点加油，坚决杜绝公车私用，每天收班后统一停放在指定位置，坚持严于律己，绝不参与工作之便谋取私利，树立和维护公司良好形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同意以上规定请在下方签字，上岗后如违反制度的后果自负。</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承诺人签名：            日期：</w:t>
      </w:r>
    </w:p>
    <w:p>
      <w:pPr>
        <w:spacing w:line="360" w:lineRule="auto"/>
        <w:rPr>
          <w:rFonts w:hint="eastAsia" w:ascii="宋体" w:hAnsi="宋体" w:eastAsia="宋体" w:cs="宋体"/>
          <w:color w:val="auto"/>
          <w:sz w:val="21"/>
          <w:szCs w:val="21"/>
          <w:highlight w:val="none"/>
        </w:rPr>
      </w:pPr>
    </w:p>
    <w:p>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附件2-2：试车考核项目</w:t>
      </w:r>
    </w:p>
    <w:p>
      <w:pPr>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试车考核项目</w:t>
      </w:r>
    </w:p>
    <w:p>
      <w:pPr>
        <w:spacing w:line="360" w:lineRule="auto"/>
        <w:ind w:left="279" w:leftChars="133" w:firstLine="420" w:firstLineChars="200"/>
        <w:jc w:val="left"/>
        <w:rPr>
          <w:rFonts w:hint="eastAsia" w:ascii="宋体" w:hAnsi="宋体" w:eastAsia="宋体" w:cs="宋体"/>
          <w:color w:val="auto"/>
          <w:sz w:val="21"/>
          <w:szCs w:val="21"/>
          <w:highlight w:val="none"/>
        </w:rPr>
      </w:pPr>
    </w:p>
    <w:p>
      <w:pPr>
        <w:spacing w:line="360" w:lineRule="auto"/>
        <w:ind w:left="279" w:leftChars="13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待入职试车前把个人身份证和驾驶证交给试车员查验，试车前应该保证个人精神状态清醒，没有不良症状，确保整个试车过程的顺利；在考核过程中，如有2项不通过，此司机不能</w:t>
      </w:r>
      <w:r>
        <w:rPr>
          <w:rFonts w:hint="eastAsia" w:ascii="宋体" w:hAnsi="宋体" w:eastAsia="宋体" w:cs="宋体"/>
          <w:color w:val="auto"/>
          <w:sz w:val="24"/>
          <w:szCs w:val="24"/>
          <w:highlight w:val="none"/>
          <w:lang w:val="en-US" w:eastAsia="zh-CN"/>
        </w:rPr>
        <w:t>上岗</w:t>
      </w:r>
      <w:r>
        <w:rPr>
          <w:rFonts w:hint="eastAsia" w:ascii="宋体" w:hAnsi="宋体" w:eastAsia="宋体" w:cs="宋体"/>
          <w:color w:val="auto"/>
          <w:sz w:val="24"/>
          <w:szCs w:val="24"/>
          <w:highlight w:val="none"/>
        </w:rPr>
        <w:t>，后面张贴司机的驾驶证和身份证复印件</w:t>
      </w:r>
    </w:p>
    <w:p>
      <w:pPr>
        <w:spacing w:line="360" w:lineRule="auto"/>
        <w:ind w:firstLine="5040" w:firstLineChars="2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司机签名：</w:t>
      </w:r>
    </w:p>
    <w:tbl>
      <w:tblPr>
        <w:tblStyle w:val="38"/>
        <w:tblpPr w:leftFromText="180" w:rightFromText="180" w:vertAnchor="text" w:horzAnchor="page" w:tblpX="1347" w:tblpY="5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3984"/>
        <w:gridCol w:w="1566"/>
        <w:gridCol w:w="2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984"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考核项目</w:t>
            </w:r>
          </w:p>
        </w:tc>
        <w:tc>
          <w:tcPr>
            <w:tcW w:w="1566"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是否通过</w:t>
            </w:r>
          </w:p>
        </w:tc>
        <w:tc>
          <w:tcPr>
            <w:tcW w:w="2917"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984" w:type="dxa"/>
            <w:noWrap w:val="0"/>
            <w:vAlign w:val="top"/>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起动发动机前操作及检查</w:t>
            </w:r>
          </w:p>
        </w:tc>
        <w:tc>
          <w:tcPr>
            <w:tcW w:w="1566" w:type="dxa"/>
            <w:noWrap w:val="0"/>
            <w:vAlign w:val="top"/>
          </w:tcPr>
          <w:p>
            <w:pPr>
              <w:rPr>
                <w:rFonts w:hint="eastAsia" w:ascii="宋体" w:hAnsi="宋体" w:eastAsia="宋体" w:cs="宋体"/>
                <w:color w:val="auto"/>
                <w:sz w:val="24"/>
                <w:szCs w:val="24"/>
                <w:highlight w:val="none"/>
              </w:rPr>
            </w:pPr>
          </w:p>
        </w:tc>
        <w:tc>
          <w:tcPr>
            <w:tcW w:w="2917" w:type="dxa"/>
            <w:noWrap w:val="0"/>
            <w:vAlign w:val="top"/>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984" w:type="dxa"/>
            <w:noWrap w:val="0"/>
            <w:vAlign w:val="top"/>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起步前操作</w:t>
            </w:r>
          </w:p>
        </w:tc>
        <w:tc>
          <w:tcPr>
            <w:tcW w:w="1566" w:type="dxa"/>
            <w:noWrap w:val="0"/>
            <w:vAlign w:val="top"/>
          </w:tcPr>
          <w:p>
            <w:pPr>
              <w:rPr>
                <w:rFonts w:hint="eastAsia" w:ascii="宋体" w:hAnsi="宋体" w:eastAsia="宋体" w:cs="宋体"/>
                <w:color w:val="auto"/>
                <w:sz w:val="24"/>
                <w:szCs w:val="24"/>
                <w:highlight w:val="none"/>
              </w:rPr>
            </w:pPr>
          </w:p>
        </w:tc>
        <w:tc>
          <w:tcPr>
            <w:tcW w:w="2917" w:type="dxa"/>
            <w:noWrap w:val="0"/>
            <w:vAlign w:val="top"/>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984" w:type="dxa"/>
            <w:noWrap w:val="0"/>
            <w:vAlign w:val="top"/>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起步时离合和变速杆操作</w:t>
            </w:r>
          </w:p>
        </w:tc>
        <w:tc>
          <w:tcPr>
            <w:tcW w:w="1566" w:type="dxa"/>
            <w:noWrap w:val="0"/>
            <w:vAlign w:val="top"/>
          </w:tcPr>
          <w:p>
            <w:pPr>
              <w:rPr>
                <w:rFonts w:hint="eastAsia" w:ascii="宋体" w:hAnsi="宋体" w:eastAsia="宋体" w:cs="宋体"/>
                <w:color w:val="auto"/>
                <w:sz w:val="24"/>
                <w:szCs w:val="24"/>
                <w:highlight w:val="none"/>
              </w:rPr>
            </w:pPr>
          </w:p>
        </w:tc>
        <w:tc>
          <w:tcPr>
            <w:tcW w:w="2917" w:type="dxa"/>
            <w:noWrap w:val="0"/>
            <w:vAlign w:val="top"/>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984" w:type="dxa"/>
            <w:noWrap w:val="0"/>
            <w:vAlign w:val="top"/>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行车时操作状态</w:t>
            </w:r>
          </w:p>
        </w:tc>
        <w:tc>
          <w:tcPr>
            <w:tcW w:w="1566" w:type="dxa"/>
            <w:noWrap w:val="0"/>
            <w:vAlign w:val="top"/>
          </w:tcPr>
          <w:p>
            <w:pPr>
              <w:rPr>
                <w:rFonts w:hint="eastAsia" w:ascii="宋体" w:hAnsi="宋体" w:eastAsia="宋体" w:cs="宋体"/>
                <w:color w:val="auto"/>
                <w:sz w:val="24"/>
                <w:szCs w:val="24"/>
                <w:highlight w:val="none"/>
              </w:rPr>
            </w:pPr>
          </w:p>
        </w:tc>
        <w:tc>
          <w:tcPr>
            <w:tcW w:w="2917" w:type="dxa"/>
            <w:noWrap w:val="0"/>
            <w:vAlign w:val="top"/>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984" w:type="dxa"/>
            <w:noWrap w:val="0"/>
            <w:vAlign w:val="top"/>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停车后操作</w:t>
            </w:r>
          </w:p>
        </w:tc>
        <w:tc>
          <w:tcPr>
            <w:tcW w:w="1566" w:type="dxa"/>
            <w:noWrap w:val="0"/>
            <w:vAlign w:val="top"/>
          </w:tcPr>
          <w:p>
            <w:pPr>
              <w:rPr>
                <w:rFonts w:hint="eastAsia" w:ascii="宋体" w:hAnsi="宋体" w:eastAsia="宋体" w:cs="宋体"/>
                <w:color w:val="auto"/>
                <w:sz w:val="24"/>
                <w:szCs w:val="24"/>
                <w:highlight w:val="none"/>
              </w:rPr>
            </w:pPr>
          </w:p>
        </w:tc>
        <w:tc>
          <w:tcPr>
            <w:tcW w:w="2917" w:type="dxa"/>
            <w:noWrap w:val="0"/>
            <w:vAlign w:val="top"/>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3984" w:type="dxa"/>
            <w:noWrap w:val="0"/>
            <w:vAlign w:val="top"/>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倒车操作</w:t>
            </w:r>
          </w:p>
        </w:tc>
        <w:tc>
          <w:tcPr>
            <w:tcW w:w="1566" w:type="dxa"/>
            <w:noWrap w:val="0"/>
            <w:vAlign w:val="top"/>
          </w:tcPr>
          <w:p>
            <w:pPr>
              <w:rPr>
                <w:rFonts w:hint="eastAsia" w:ascii="宋体" w:hAnsi="宋体" w:eastAsia="宋体" w:cs="宋体"/>
                <w:color w:val="auto"/>
                <w:sz w:val="24"/>
                <w:szCs w:val="24"/>
                <w:highlight w:val="none"/>
              </w:rPr>
            </w:pPr>
          </w:p>
        </w:tc>
        <w:tc>
          <w:tcPr>
            <w:tcW w:w="2917" w:type="dxa"/>
            <w:noWrap w:val="0"/>
            <w:vAlign w:val="top"/>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3984" w:type="dxa"/>
            <w:noWrap w:val="0"/>
            <w:vAlign w:val="top"/>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对车辆的各功能询问</w:t>
            </w:r>
          </w:p>
        </w:tc>
        <w:tc>
          <w:tcPr>
            <w:tcW w:w="1566" w:type="dxa"/>
            <w:noWrap w:val="0"/>
            <w:vAlign w:val="top"/>
          </w:tcPr>
          <w:p>
            <w:pPr>
              <w:rPr>
                <w:rFonts w:hint="eastAsia" w:ascii="宋体" w:hAnsi="宋体" w:eastAsia="宋体" w:cs="宋体"/>
                <w:color w:val="auto"/>
                <w:sz w:val="24"/>
                <w:szCs w:val="24"/>
                <w:highlight w:val="none"/>
              </w:rPr>
            </w:pPr>
          </w:p>
        </w:tc>
        <w:tc>
          <w:tcPr>
            <w:tcW w:w="2917" w:type="dxa"/>
            <w:noWrap w:val="0"/>
            <w:vAlign w:val="top"/>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3984" w:type="dxa"/>
            <w:noWrap w:val="0"/>
            <w:vAlign w:val="top"/>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对车辆日常维保询问</w:t>
            </w:r>
          </w:p>
        </w:tc>
        <w:tc>
          <w:tcPr>
            <w:tcW w:w="1566" w:type="dxa"/>
            <w:noWrap w:val="0"/>
            <w:vAlign w:val="top"/>
          </w:tcPr>
          <w:p>
            <w:pPr>
              <w:rPr>
                <w:rFonts w:hint="eastAsia" w:ascii="宋体" w:hAnsi="宋体" w:eastAsia="宋体" w:cs="宋体"/>
                <w:color w:val="auto"/>
                <w:sz w:val="24"/>
                <w:szCs w:val="24"/>
                <w:highlight w:val="none"/>
              </w:rPr>
            </w:pPr>
          </w:p>
        </w:tc>
        <w:tc>
          <w:tcPr>
            <w:tcW w:w="2917" w:type="dxa"/>
            <w:noWrap w:val="0"/>
            <w:vAlign w:val="top"/>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4" w:type="dxa"/>
            <w:gridSpan w:val="2"/>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意见</w:t>
            </w:r>
          </w:p>
        </w:tc>
        <w:tc>
          <w:tcPr>
            <w:tcW w:w="4483" w:type="dxa"/>
            <w:gridSpan w:val="2"/>
            <w:noWrap w:val="0"/>
            <w:vAlign w:val="top"/>
          </w:tcPr>
          <w:p>
            <w:pPr>
              <w:rPr>
                <w:rFonts w:hint="eastAsia" w:ascii="宋体" w:hAnsi="宋体" w:eastAsia="宋体" w:cs="宋体"/>
                <w:color w:val="auto"/>
                <w:sz w:val="24"/>
                <w:szCs w:val="24"/>
                <w:highlight w:val="none"/>
              </w:rPr>
            </w:pPr>
          </w:p>
        </w:tc>
      </w:tr>
    </w:tbl>
    <w:p>
      <w:pPr>
        <w:tabs>
          <w:tab w:val="left" w:pos="1260"/>
        </w:tabs>
        <w:snapToGrid w:val="0"/>
        <w:spacing w:line="360" w:lineRule="auto"/>
        <w:textAlignment w:val="baseline"/>
        <w:rPr>
          <w:rFonts w:hint="eastAsia" w:ascii="宋体" w:hAnsi="宋体" w:eastAsia="宋体" w:cs="宋体"/>
          <w:b/>
          <w:bCs/>
          <w:color w:val="auto"/>
          <w:sz w:val="24"/>
          <w:szCs w:val="24"/>
          <w:highlight w:val="none"/>
        </w:rPr>
      </w:pPr>
    </w:p>
    <w:p>
      <w:pPr>
        <w:tabs>
          <w:tab w:val="left" w:pos="1260"/>
        </w:tabs>
        <w:snapToGrid w:val="0"/>
        <w:spacing w:line="360" w:lineRule="auto"/>
        <w:textAlignment w:val="baseline"/>
        <w:rPr>
          <w:rFonts w:hint="eastAsia" w:ascii="宋体" w:hAnsi="宋体" w:eastAsia="宋体" w:cs="宋体"/>
          <w:b/>
          <w:bCs/>
          <w:color w:val="auto"/>
          <w:sz w:val="24"/>
          <w:szCs w:val="24"/>
          <w:highlight w:val="none"/>
        </w:rPr>
      </w:pPr>
    </w:p>
    <w:p>
      <w:pPr>
        <w:spacing w:line="360" w:lineRule="auto"/>
        <w:ind w:left="279" w:leftChars="13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在考核过程中，如有2项不通过，此司机不能</w:t>
      </w:r>
      <w:r>
        <w:rPr>
          <w:rFonts w:hint="eastAsia" w:ascii="宋体" w:hAnsi="宋体" w:eastAsia="宋体" w:cs="宋体"/>
          <w:color w:val="auto"/>
          <w:sz w:val="24"/>
          <w:szCs w:val="24"/>
          <w:highlight w:val="none"/>
          <w:lang w:val="en-US" w:eastAsia="zh-CN"/>
        </w:rPr>
        <w:t>上岗</w:t>
      </w:r>
      <w:r>
        <w:rPr>
          <w:rFonts w:hint="eastAsia" w:ascii="宋体" w:hAnsi="宋体" w:eastAsia="宋体" w:cs="宋体"/>
          <w:color w:val="auto"/>
          <w:sz w:val="24"/>
          <w:szCs w:val="24"/>
          <w:highlight w:val="none"/>
        </w:rPr>
        <w:t>，后面张贴司机的驾驶证和身份证复印件</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试车员：</w:t>
      </w:r>
    </w:p>
    <w:p>
      <w:pPr>
        <w:ind w:firstLine="6000" w:firstLineChars="2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签名：</w:t>
      </w:r>
    </w:p>
    <w:p>
      <w:pPr>
        <w:tabs>
          <w:tab w:val="left" w:pos="1260"/>
        </w:tabs>
        <w:snapToGrid w:val="0"/>
        <w:spacing w:line="360" w:lineRule="auto"/>
        <w:textAlignment w:val="baseline"/>
        <w:rPr>
          <w:rFonts w:hint="eastAsia" w:ascii="宋体" w:hAnsi="宋体" w:eastAsia="宋体" w:cs="宋体"/>
          <w:b/>
          <w:bCs/>
          <w:color w:val="auto"/>
          <w:szCs w:val="21"/>
          <w:highlight w:val="none"/>
        </w:rPr>
      </w:pPr>
    </w:p>
    <w:p>
      <w:pPr>
        <w:spacing w:line="360" w:lineRule="auto"/>
        <w:rPr>
          <w:rFonts w:hint="eastAsia" w:ascii="宋体" w:hAnsi="宋体" w:eastAsia="宋体" w:cs="宋体"/>
          <w:color w:val="auto"/>
          <w:sz w:val="21"/>
          <w:szCs w:val="21"/>
          <w:highlight w:val="none"/>
        </w:rPr>
      </w:pP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：餐厨垃圾收运服务人员体检要求</w:t>
      </w:r>
    </w:p>
    <w:p>
      <w:pPr>
        <w:spacing w:line="360" w:lineRule="auto"/>
        <w:rPr>
          <w:rFonts w:hint="eastAsia" w:ascii="宋体" w:hAnsi="宋体" w:eastAsia="宋体" w:cs="宋体"/>
          <w:color w:val="auto"/>
          <w:szCs w:val="21"/>
          <w:highlight w:val="none"/>
        </w:rPr>
      </w:pPr>
    </w:p>
    <w:p>
      <w:pPr>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餐厨垃圾收运服务人员体检要求如下：</w:t>
      </w:r>
    </w:p>
    <w:p>
      <w:pPr>
        <w:spacing w:line="360" w:lineRule="auto"/>
        <w:ind w:firstLine="422" w:firstLineChars="200"/>
        <w:rPr>
          <w:rFonts w:hint="eastAsia" w:ascii="宋体" w:hAnsi="宋体" w:eastAsia="宋体" w:cs="宋体"/>
          <w:b/>
          <w:color w:val="auto"/>
          <w:szCs w:val="21"/>
          <w:highlight w:val="none"/>
        </w:rPr>
      </w:pP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一、不接触职业健康危害因素人员</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根据工作内容不会接触到职业健康危害因素的人员，提交一般入职体检报告1份。</w:t>
      </w:r>
    </w:p>
    <w:p>
      <w:pPr>
        <w:spacing w:line="360" w:lineRule="auto"/>
        <w:rPr>
          <w:rFonts w:hint="eastAsia" w:ascii="宋体" w:hAnsi="宋体" w:eastAsia="宋体" w:cs="宋体"/>
          <w:b/>
          <w:color w:val="auto"/>
          <w:sz w:val="21"/>
          <w:szCs w:val="21"/>
          <w:highlight w:val="none"/>
        </w:rPr>
      </w:pP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二、接触职业健康危害因素人员</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根据工作内容会接触到职业健康危害因素人员，包括收运司机、</w:t>
      </w:r>
      <w:r>
        <w:rPr>
          <w:rFonts w:hint="eastAsia" w:ascii="宋体" w:hAnsi="宋体" w:eastAsia="宋体" w:cs="宋体"/>
          <w:color w:val="auto"/>
          <w:sz w:val="21"/>
          <w:szCs w:val="21"/>
          <w:highlight w:val="none"/>
          <w:lang w:val="en-US" w:eastAsia="zh-CN"/>
        </w:rPr>
        <w:t>收运</w:t>
      </w:r>
      <w:r>
        <w:rPr>
          <w:rFonts w:hint="eastAsia" w:ascii="宋体" w:hAnsi="宋体" w:eastAsia="宋体" w:cs="宋体"/>
          <w:color w:val="auto"/>
          <w:sz w:val="21"/>
          <w:szCs w:val="21"/>
          <w:highlight w:val="none"/>
        </w:rPr>
        <w:t>辅工等，需按要求进行岗前、在岗及离岗职业健康检查，提交有资质机构出具的岗前、在岗及离岗职业健康检查报告。具体要求详见附件。</w:t>
      </w:r>
    </w:p>
    <w:p>
      <w:pPr>
        <w:spacing w:line="360" w:lineRule="auto"/>
        <w:ind w:firstLine="420" w:firstLineChars="200"/>
        <w:rPr>
          <w:rFonts w:hint="eastAsia" w:ascii="宋体" w:hAnsi="宋体" w:eastAsia="宋体" w:cs="宋体"/>
          <w:color w:val="auto"/>
          <w:szCs w:val="21"/>
          <w:highlight w:val="none"/>
        </w:rPr>
      </w:pPr>
    </w:p>
    <w:p>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-1：餐厨垃圾收运服务人员职业健康体检要求</w:t>
      </w:r>
    </w:p>
    <w:p>
      <w:pPr>
        <w:spacing w:line="360" w:lineRule="auto"/>
        <w:ind w:firstLine="422" w:firstLineChars="200"/>
        <w:rPr>
          <w:rFonts w:hint="eastAsia" w:ascii="宋体" w:hAnsi="宋体" w:eastAsia="宋体" w:cs="宋体"/>
          <w:b/>
          <w:color w:val="auto"/>
          <w:szCs w:val="21"/>
          <w:highlight w:val="none"/>
        </w:rPr>
      </w:pPr>
    </w:p>
    <w:p>
      <w:pPr>
        <w:spacing w:line="360" w:lineRule="auto"/>
        <w:ind w:firstLine="723" w:firstLineChars="200"/>
        <w:jc w:val="center"/>
        <w:rPr>
          <w:rFonts w:hint="eastAsia" w:ascii="宋体" w:hAnsi="宋体" w:eastAsia="宋体" w:cs="宋体"/>
          <w:color w:val="auto"/>
          <w:sz w:val="36"/>
          <w:szCs w:val="36"/>
          <w:highlight w:val="none"/>
        </w:rPr>
      </w:pPr>
      <w:r>
        <w:rPr>
          <w:rFonts w:hint="eastAsia" w:ascii="宋体" w:hAnsi="宋体" w:eastAsia="宋体" w:cs="宋体"/>
          <w:b/>
          <w:color w:val="auto"/>
          <w:sz w:val="36"/>
          <w:szCs w:val="36"/>
          <w:highlight w:val="none"/>
        </w:rPr>
        <w:t>餐厨垃圾收运服务人员职业健康体检要求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根据《中华人民共和国职业病防治法》、《职业健康监护技术规范》（GBZ188-2014），用人单位应组织接触职业病危害因素的劳动者进行上岗前、在岗期间及离岗前职业健康检查，相关具体情况介绍如下：</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一、参检人员</w:t>
      </w:r>
    </w:p>
    <w:p>
      <w:pPr>
        <w:pStyle w:val="131"/>
        <w:spacing w:line="360" w:lineRule="auto"/>
        <w:ind w:firstLine="48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餐厨项目接触职业病危害因素的人员，包括餐厨项目收运司机岗、</w:t>
      </w:r>
      <w:r>
        <w:rPr>
          <w:rFonts w:hint="eastAsia" w:ascii="宋体" w:hAnsi="宋体" w:eastAsia="宋体" w:cs="宋体"/>
          <w:color w:val="auto"/>
          <w:sz w:val="21"/>
          <w:szCs w:val="21"/>
          <w:highlight w:val="none"/>
          <w:lang w:val="en-US" w:eastAsia="zh-CN"/>
        </w:rPr>
        <w:t>收运辅工</w:t>
      </w:r>
      <w:r>
        <w:rPr>
          <w:rFonts w:hint="eastAsia" w:ascii="宋体" w:hAnsi="宋体" w:eastAsia="宋体" w:cs="宋体"/>
          <w:color w:val="auto"/>
          <w:sz w:val="21"/>
          <w:szCs w:val="21"/>
          <w:highlight w:val="none"/>
        </w:rPr>
        <w:t>及后续按此原则应纳入职业健康检查的其他人员。</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二、体检项目</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由东莞市职业病防治中心或其他有资质的医院根据参检人员接触的职业病危害因素核定必检项目。</w:t>
      </w:r>
    </w:p>
    <w:p>
      <w:pPr>
        <w:pStyle w:val="131"/>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餐厨项目收运司机岗及</w:t>
      </w:r>
      <w:r>
        <w:rPr>
          <w:rFonts w:hint="eastAsia" w:ascii="宋体" w:hAnsi="宋体" w:eastAsia="宋体" w:cs="宋体"/>
          <w:color w:val="auto"/>
          <w:sz w:val="21"/>
          <w:szCs w:val="21"/>
          <w:highlight w:val="none"/>
          <w:lang w:val="en-US" w:eastAsia="zh-CN"/>
        </w:rPr>
        <w:t>收运辅工</w:t>
      </w:r>
      <w:r>
        <w:rPr>
          <w:rFonts w:hint="eastAsia" w:ascii="宋体" w:hAnsi="宋体" w:eastAsia="宋体" w:cs="宋体"/>
          <w:color w:val="auto"/>
          <w:sz w:val="21"/>
          <w:szCs w:val="21"/>
          <w:highlight w:val="none"/>
        </w:rPr>
        <w:t>及后续按此原则应纳入职业健康检查的其他人员。</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目前核定接触的危害因素为氨、硫化氢两种。后续如有调整，以实际情况为准。</w:t>
      </w:r>
    </w:p>
    <w:p>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其中岗前体检需在医院核定的必检项目基础上，增加“肝功AST、肾功4项”两个体检项目。</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三、体检周期</w:t>
      </w:r>
    </w:p>
    <w:p>
      <w:pPr>
        <w:pStyle w:val="131"/>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1、岗前体检在上述岗位员工入职前完成。</w:t>
      </w:r>
    </w:p>
    <w:p>
      <w:pPr>
        <w:pStyle w:val="131"/>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2、离岗体检在员工离岗前完成。</w:t>
      </w:r>
    </w:p>
    <w:p>
      <w:pPr>
        <w:pStyle w:val="131"/>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3、在岗体检周期结合各岗位接触的危害因素按照《职业健康监护技术规范》（GBZ188-2014）中规定的检查周期执行，其中，氨</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硫化氢</w:t>
      </w:r>
      <w:r>
        <w:rPr>
          <w:rFonts w:hint="eastAsia" w:ascii="宋体" w:hAnsi="宋体" w:eastAsia="宋体" w:cs="宋体"/>
          <w:color w:val="auto"/>
          <w:sz w:val="21"/>
          <w:szCs w:val="21"/>
          <w:highlight w:val="none"/>
          <w:lang w:val="en-US" w:eastAsia="zh-CN"/>
        </w:rPr>
        <w:t>需按要求进行周期性体检</w:t>
      </w:r>
      <w:r>
        <w:rPr>
          <w:rFonts w:hint="eastAsia" w:ascii="宋体" w:hAnsi="宋体" w:eastAsia="宋体" w:cs="宋体"/>
          <w:color w:val="auto"/>
          <w:sz w:val="21"/>
          <w:szCs w:val="21"/>
          <w:highlight w:val="none"/>
        </w:rPr>
        <w:t>。</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四、体检医院</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东莞市职业病防治中心或其他有资质的医院。</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五、其他要求</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每位人员是否完成体检，以提交符合要求的职业健康检查报告为完成标准。</w:t>
      </w:r>
    </w:p>
    <w:p>
      <w:pPr>
        <w:keepNext w:val="0"/>
        <w:keepLines w:val="0"/>
        <w:pageBreakBefore w:val="0"/>
        <w:widowControl/>
        <w:kinsoku/>
        <w:wordWrap/>
        <w:overflowPunct/>
        <w:topLinePunct w:val="0"/>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465" w:name="_Toc20401"/>
      <w:bookmarkStart w:id="466" w:name="_Toc142508359"/>
      <w:bookmarkStart w:id="467" w:name="_Toc11281_WPSOffice_Level1"/>
      <w:bookmarkStart w:id="468" w:name="_Toc31232"/>
      <w:bookmarkStart w:id="469" w:name="_Toc486167707"/>
      <w:bookmarkStart w:id="470" w:name="_Toc20453"/>
      <w:bookmarkStart w:id="471" w:name="_Toc25251"/>
      <w:bookmarkStart w:id="472" w:name="_Toc16287"/>
      <w:bookmarkStart w:id="473" w:name="_Toc450662892"/>
      <w:r>
        <w:rPr>
          <w:rFonts w:hint="eastAsia" w:ascii="宋体" w:hAnsi="宋体" w:eastAsia="宋体" w:cs="宋体"/>
          <w:b/>
          <w:bCs/>
          <w:color w:val="auto"/>
          <w:kern w:val="44"/>
          <w:sz w:val="32"/>
          <w:szCs w:val="32"/>
          <w:highlight w:val="none"/>
          <w:lang w:val="zh-CN"/>
        </w:rPr>
        <w:t>第四篇 合同条款格式</w:t>
      </w:r>
      <w:bookmarkEnd w:id="465"/>
      <w:bookmarkEnd w:id="466"/>
      <w:bookmarkEnd w:id="467"/>
      <w:bookmarkEnd w:id="468"/>
      <w:bookmarkEnd w:id="469"/>
      <w:bookmarkEnd w:id="470"/>
      <w:bookmarkEnd w:id="471"/>
      <w:bookmarkEnd w:id="472"/>
      <w:bookmarkEnd w:id="473"/>
    </w:p>
    <w:p>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pPr>
        <w:autoSpaceDE w:val="0"/>
        <w:autoSpaceDN w:val="0"/>
        <w:adjustRightInd w:val="0"/>
        <w:spacing w:line="360" w:lineRule="auto"/>
        <w:jc w:val="center"/>
        <w:rPr>
          <w:rFonts w:hint="eastAsia" w:ascii="宋体" w:hAnsi="宋体" w:eastAsia="宋体" w:cs="宋体"/>
          <w:b/>
          <w:color w:val="auto"/>
          <w:kern w:val="0"/>
          <w:sz w:val="52"/>
          <w:szCs w:val="96"/>
          <w:highlight w:val="none"/>
          <w:lang w:eastAsia="zh-CN"/>
        </w:rPr>
      </w:pPr>
      <w:r>
        <w:rPr>
          <w:rFonts w:hint="eastAsia" w:ascii="宋体" w:hAnsi="宋体" w:eastAsia="宋体" w:cs="宋体"/>
          <w:b/>
          <w:color w:val="auto"/>
          <w:kern w:val="0"/>
          <w:sz w:val="52"/>
          <w:szCs w:val="96"/>
          <w:highlight w:val="none"/>
          <w:lang w:eastAsia="zh-CN"/>
        </w:rPr>
        <w:t>东莞市利源有机资源再生利用有限公司2024-2025年餐厨垃圾收运服务</w:t>
      </w:r>
      <w:r>
        <w:rPr>
          <w:rFonts w:hint="eastAsia" w:ascii="宋体" w:hAnsi="宋体" w:eastAsia="宋体" w:cs="宋体"/>
          <w:b/>
          <w:color w:val="auto"/>
          <w:kern w:val="0"/>
          <w:sz w:val="52"/>
          <w:szCs w:val="96"/>
          <w:highlight w:val="none"/>
          <w:lang w:val="en-US" w:eastAsia="zh-CN"/>
        </w:rPr>
        <w:t>合同</w:t>
      </w:r>
    </w:p>
    <w:p>
      <w:pPr>
        <w:autoSpaceDE w:val="0"/>
        <w:autoSpaceDN w:val="0"/>
        <w:adjustRightInd w:val="0"/>
        <w:spacing w:line="360" w:lineRule="auto"/>
        <w:jc w:val="center"/>
        <w:rPr>
          <w:rFonts w:hint="eastAsia" w:ascii="宋体" w:hAnsi="宋体" w:eastAsia="宋体" w:cs="宋体"/>
          <w:bCs/>
          <w:color w:val="auto"/>
          <w:kern w:val="0"/>
          <w:sz w:val="52"/>
          <w:szCs w:val="52"/>
          <w:highlight w:val="none"/>
        </w:rPr>
      </w:pPr>
    </w:p>
    <w:p>
      <w:pPr>
        <w:autoSpaceDE w:val="0"/>
        <w:autoSpaceDN w:val="0"/>
        <w:adjustRightInd w:val="0"/>
        <w:spacing w:before="840" w:beforeLines="350" w:after="360" w:afterLines="150" w:line="360" w:lineRule="auto"/>
        <w:jc w:val="center"/>
        <w:rPr>
          <w:rFonts w:hint="eastAsia" w:ascii="宋体" w:hAnsi="宋体" w:eastAsia="宋体" w:cs="宋体"/>
          <w:b/>
          <w:bCs/>
          <w:color w:val="auto"/>
          <w:spacing w:val="60"/>
          <w:kern w:val="0"/>
          <w:sz w:val="52"/>
          <w:szCs w:val="52"/>
          <w:highlight w:val="none"/>
        </w:rPr>
      </w:pPr>
    </w:p>
    <w:p>
      <w:pPr>
        <w:autoSpaceDE w:val="0"/>
        <w:autoSpaceDN w:val="0"/>
        <w:adjustRightInd w:val="0"/>
        <w:spacing w:line="360" w:lineRule="auto"/>
        <w:jc w:val="center"/>
        <w:rPr>
          <w:rFonts w:hint="eastAsia" w:ascii="宋体" w:hAnsi="宋体" w:eastAsia="宋体" w:cs="宋体"/>
          <w:b/>
          <w:bCs/>
          <w:color w:val="auto"/>
          <w:kern w:val="0"/>
          <w:sz w:val="24"/>
          <w:szCs w:val="21"/>
          <w:highlight w:val="none"/>
        </w:rPr>
      </w:pPr>
    </w:p>
    <w:p>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pPr>
        <w:autoSpaceDE w:val="0"/>
        <w:autoSpaceDN w:val="0"/>
        <w:adjustRightInd w:val="0"/>
        <w:spacing w:line="480" w:lineRule="auto"/>
        <w:ind w:firstLine="1945" w:firstLineChars="692"/>
        <w:jc w:val="left"/>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合同编号：</w:t>
      </w:r>
      <w:r>
        <w:rPr>
          <w:rFonts w:hint="eastAsia" w:ascii="宋体" w:hAnsi="宋体" w:eastAsia="宋体" w:cs="宋体"/>
          <w:b/>
          <w:bCs/>
          <w:color w:val="auto"/>
          <w:kern w:val="0"/>
          <w:sz w:val="28"/>
          <w:szCs w:val="28"/>
          <w:highlight w:val="none"/>
          <w:u w:val="single"/>
          <w:lang w:val="en-US" w:eastAsia="zh-CN"/>
        </w:rPr>
        <w:t xml:space="preserve">                     </w:t>
      </w:r>
    </w:p>
    <w:p>
      <w:pPr>
        <w:autoSpaceDE w:val="0"/>
        <w:autoSpaceDN w:val="0"/>
        <w:adjustRightInd w:val="0"/>
        <w:spacing w:line="480" w:lineRule="auto"/>
        <w:ind w:firstLine="1945" w:firstLineChars="6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u w:val="single"/>
          <w:lang w:eastAsia="zh-CN"/>
        </w:rPr>
        <w:t>东莞市利源有机资源再生利用有限公司</w:t>
      </w:r>
    </w:p>
    <w:p>
      <w:pPr>
        <w:autoSpaceDE w:val="0"/>
        <w:autoSpaceDN w:val="0"/>
        <w:adjustRightInd w:val="0"/>
        <w:spacing w:line="480" w:lineRule="auto"/>
        <w:ind w:firstLine="1945" w:firstLineChars="692"/>
        <w:jc w:val="left"/>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pPr>
        <w:autoSpaceDE w:val="0"/>
        <w:autoSpaceDN w:val="0"/>
        <w:adjustRightInd w:val="0"/>
        <w:spacing w:line="360" w:lineRule="auto"/>
        <w:ind w:firstLine="1945" w:firstLineChars="6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pP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p>
    <w:p>
      <w:pPr>
        <w:pageBreakBefore/>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甲方：</w:t>
      </w:r>
      <w:r>
        <w:rPr>
          <w:rFonts w:hint="eastAsia" w:ascii="宋体" w:hAnsi="宋体" w:eastAsia="宋体" w:cs="宋体"/>
          <w:color w:val="auto"/>
          <w:kern w:val="0"/>
          <w:szCs w:val="21"/>
          <w:highlight w:val="none"/>
          <w:u w:val="single"/>
        </w:rPr>
        <w:t xml:space="preserve">                                     </w:t>
      </w:r>
    </w:p>
    <w:p>
      <w:p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w:t>
      </w:r>
      <w:r>
        <w:rPr>
          <w:rFonts w:hint="eastAsia" w:ascii="宋体" w:hAnsi="宋体" w:eastAsia="宋体" w:cs="宋体"/>
          <w:color w:val="auto"/>
          <w:kern w:val="0"/>
          <w:szCs w:val="21"/>
          <w:highlight w:val="none"/>
          <w:u w:val="single"/>
        </w:rPr>
        <w:t xml:space="preserve">                                     </w:t>
      </w:r>
    </w:p>
    <w:p>
      <w:pPr>
        <w:autoSpaceDE w:val="0"/>
        <w:autoSpaceDN w:val="0"/>
        <w:adjustRightInd w:val="0"/>
        <w:snapToGri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根据《中华人民共和国民法典》及相关法律、法规的规定，甲乙双方本着诚实守信、合作共赢的原则，结合本项目的具体情况，甲、乙双方在自愿、平等、协商一致的基础上签订本合同。</w:t>
      </w:r>
    </w:p>
    <w:p>
      <w:pPr>
        <w:autoSpaceDE w:val="0"/>
        <w:autoSpaceDN w:val="0"/>
        <w:adjustRightInd w:val="0"/>
        <w:ind w:right="-26"/>
        <w:jc w:val="center"/>
        <w:rPr>
          <w:rFonts w:ascii="宋体" w:hAnsi="宋体" w:eastAsia="宋体" w:cs="宋体"/>
          <w:b/>
          <w:bCs/>
          <w:color w:val="auto"/>
          <w:szCs w:val="21"/>
          <w:highlight w:val="none"/>
          <w:lang w:val="zh-CN"/>
        </w:rPr>
      </w:pPr>
    </w:p>
    <w:p>
      <w:pPr>
        <w:autoSpaceDE w:val="0"/>
        <w:autoSpaceDN w:val="0"/>
        <w:adjustRightInd w:val="0"/>
        <w:spacing w:line="360" w:lineRule="auto"/>
        <w:ind w:left="473" w:leftChars="175" w:hanging="105" w:hangingChars="5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第一条 服务内容</w:t>
      </w:r>
    </w:p>
    <w:p>
      <w:pPr>
        <w:adjustRightInd w:val="0"/>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eastAsia="zh-CN"/>
        </w:rPr>
        <w:t>东莞市利源有机资源再生利用有限公司2024-2025年餐厨垃圾收运服务，</w:t>
      </w:r>
      <w:r>
        <w:rPr>
          <w:rFonts w:hint="eastAsia" w:ascii="宋体" w:hAnsi="宋体" w:eastAsia="宋体" w:cs="宋体"/>
          <w:color w:val="auto"/>
          <w:szCs w:val="21"/>
          <w:highlight w:val="none"/>
          <w:u w:val="none"/>
          <w:lang w:eastAsia="zh-CN"/>
        </w:rPr>
        <w:t>包括餐厨垃圾收运服务及</w:t>
      </w:r>
      <w:r>
        <w:rPr>
          <w:rFonts w:hint="eastAsia" w:ascii="宋体" w:hAnsi="宋体" w:eastAsia="宋体" w:cs="宋体"/>
          <w:color w:val="auto"/>
          <w:sz w:val="21"/>
          <w:szCs w:val="21"/>
          <w:highlight w:val="none"/>
          <w:lang w:val="en-US" w:eastAsia="zh-CN"/>
        </w:rPr>
        <w:t>餐厨垃圾</w:t>
      </w:r>
      <w:r>
        <w:rPr>
          <w:rFonts w:hint="default" w:ascii="宋体" w:hAnsi="宋体" w:eastAsia="宋体" w:cs="宋体"/>
          <w:color w:val="auto"/>
          <w:sz w:val="21"/>
          <w:szCs w:val="21"/>
          <w:highlight w:val="none"/>
          <w:lang w:val="en-US" w:eastAsia="zh-CN"/>
        </w:rPr>
        <w:t>预处理车间分拣</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Cs w:val="21"/>
          <w:highlight w:val="none"/>
          <w:u w:val="none"/>
          <w:lang w:eastAsia="zh-CN"/>
        </w:rPr>
        <w:t>生活垃圾收运服务</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部分镇街自行运送餐厨垃圾至甲方处处置的不在合同范围）。</w:t>
      </w:r>
    </w:p>
    <w:p>
      <w:pPr>
        <w:adjustRightInd w:val="0"/>
        <w:snapToGrid w:val="0"/>
        <w:spacing w:line="40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（一）餐厨垃圾收运服务</w:t>
      </w:r>
    </w:p>
    <w:p>
      <w:pPr>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使用甲方收运车辆及相应信息化设备，配合甲方餐厨业务拓展和路线编排，开展餐厨垃圾收运工作。乙方在收运过程中，必须遵守东莞市相关法律法规及甲方相关规定，接受甲方监管，并对所使用车辆及设备承担保管、维护、清洁以及维修等责任。</w:t>
      </w:r>
    </w:p>
    <w:p>
      <w:pPr>
        <w:adjustRightInd w:val="0"/>
        <w:snapToGrid w:val="0"/>
        <w:spacing w:line="40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w:t>
      </w:r>
      <w:r>
        <w:rPr>
          <w:rFonts w:hint="eastAsia" w:ascii="宋体" w:hAnsi="宋体" w:eastAsia="宋体" w:cs="宋体"/>
          <w:color w:val="auto"/>
          <w:szCs w:val="21"/>
          <w:highlight w:val="none"/>
        </w:rPr>
        <w:t>餐厨垃圾</w:t>
      </w:r>
      <w:r>
        <w:rPr>
          <w:rFonts w:ascii="宋体" w:hAnsi="宋体" w:eastAsia="宋体" w:cs="宋体"/>
          <w:color w:val="auto"/>
          <w:szCs w:val="21"/>
          <w:highlight w:val="none"/>
        </w:rPr>
        <w:t>预处理车间分拣</w:t>
      </w:r>
      <w:r>
        <w:rPr>
          <w:rFonts w:hint="eastAsia" w:ascii="宋体" w:hAnsi="宋体" w:eastAsia="宋体" w:cs="宋体"/>
          <w:color w:val="auto"/>
          <w:szCs w:val="21"/>
          <w:highlight w:val="none"/>
        </w:rPr>
        <w:t>的</w:t>
      </w:r>
      <w:r>
        <w:rPr>
          <w:rFonts w:hint="eastAsia" w:ascii="宋体" w:hAnsi="宋体" w:eastAsia="宋体" w:cs="宋体"/>
          <w:color w:val="auto"/>
          <w:kern w:val="0"/>
          <w:szCs w:val="21"/>
          <w:highlight w:val="none"/>
        </w:rPr>
        <w:t>生活垃圾收运服务</w:t>
      </w:r>
    </w:p>
    <w:p>
      <w:pPr>
        <w:adjustRightInd w:val="0"/>
        <w:snapToGrid w:val="0"/>
        <w:spacing w:line="40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乙方根据甲方要求开展</w:t>
      </w:r>
      <w:r>
        <w:rPr>
          <w:rFonts w:hint="eastAsia" w:ascii="宋体" w:hAnsi="宋体" w:eastAsia="宋体" w:cs="宋体"/>
          <w:color w:val="auto"/>
          <w:szCs w:val="21"/>
          <w:highlight w:val="none"/>
        </w:rPr>
        <w:t>餐厨垃圾</w:t>
      </w:r>
      <w:r>
        <w:rPr>
          <w:rFonts w:ascii="宋体" w:hAnsi="宋体" w:eastAsia="宋体" w:cs="宋体"/>
          <w:color w:val="auto"/>
          <w:szCs w:val="21"/>
          <w:highlight w:val="none"/>
        </w:rPr>
        <w:t>预处理车间分拣</w:t>
      </w:r>
      <w:r>
        <w:rPr>
          <w:rFonts w:hint="eastAsia" w:ascii="宋体" w:hAnsi="宋体" w:eastAsia="宋体" w:cs="宋体"/>
          <w:color w:val="auto"/>
          <w:szCs w:val="21"/>
          <w:highlight w:val="none"/>
        </w:rPr>
        <w:t>的</w:t>
      </w:r>
      <w:r>
        <w:rPr>
          <w:rFonts w:hint="eastAsia" w:ascii="宋体" w:hAnsi="宋体" w:eastAsia="宋体" w:cs="宋体"/>
          <w:color w:val="auto"/>
          <w:kern w:val="0"/>
          <w:szCs w:val="21"/>
          <w:highlight w:val="none"/>
        </w:rPr>
        <w:t>生活垃圾收运工作，运输过程中，必须遵守东莞市相关法律法规及甲方相关规定，接受甲方监管，并对所使用车辆及设备承担保管、维护、清洁以及维修等责任。</w:t>
      </w:r>
    </w:p>
    <w:p>
      <w:pPr>
        <w:adjustRightInd w:val="0"/>
        <w:snapToGrid w:val="0"/>
        <w:spacing w:line="400" w:lineRule="exac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    </w:t>
      </w:r>
      <w:r>
        <w:rPr>
          <w:rFonts w:hint="eastAsia" w:ascii="宋体" w:hAnsi="宋体" w:eastAsia="宋体" w:cs="宋体"/>
          <w:color w:val="auto"/>
          <w:kern w:val="0"/>
          <w:szCs w:val="21"/>
          <w:highlight w:val="none"/>
        </w:rPr>
        <w:t>（三）本</w:t>
      </w:r>
      <w:r>
        <w:rPr>
          <w:rFonts w:hint="eastAsia" w:ascii="宋体" w:hAnsi="宋体" w:eastAsia="宋体" w:cs="宋体"/>
          <w:color w:val="auto"/>
          <w:kern w:val="0"/>
          <w:szCs w:val="21"/>
          <w:highlight w:val="none"/>
          <w:lang w:val="en-US" w:eastAsia="zh-CN"/>
        </w:rPr>
        <w:t>采购项目</w:t>
      </w:r>
      <w:r>
        <w:rPr>
          <w:rFonts w:hint="eastAsia" w:ascii="宋体" w:hAnsi="宋体" w:eastAsia="宋体" w:cs="宋体"/>
          <w:color w:val="auto"/>
          <w:kern w:val="0"/>
          <w:szCs w:val="21"/>
          <w:highlight w:val="none"/>
        </w:rPr>
        <w:t>用户需求书中提及的餐厨垃圾、</w:t>
      </w:r>
      <w:r>
        <w:rPr>
          <w:rFonts w:hint="eastAsia" w:ascii="宋体" w:hAnsi="宋体" w:eastAsia="宋体" w:cs="宋体"/>
          <w:color w:val="auto"/>
          <w:sz w:val="21"/>
          <w:szCs w:val="21"/>
          <w:highlight w:val="none"/>
          <w:lang w:val="en-US" w:eastAsia="zh-CN"/>
        </w:rPr>
        <w:t>餐厨垃圾预处理车间分拣的</w:t>
      </w:r>
      <w:r>
        <w:rPr>
          <w:rFonts w:hint="eastAsia" w:ascii="宋体" w:hAnsi="宋体" w:eastAsia="宋体" w:cs="宋体"/>
          <w:color w:val="auto"/>
          <w:kern w:val="0"/>
          <w:szCs w:val="21"/>
          <w:highlight w:val="none"/>
        </w:rPr>
        <w:t>生活垃圾收运量均为暂定量，仅为便于乙方了解项目情况使用，不作为甲方最终提供收运量的保证。最终按实际收运量结算，乙方不得因收运量的减少或增加而要求提供任何形式的补偿或赔偿，或要求甲方按用户需求书提及的暂定量支付相应的收运服务费用。</w:t>
      </w:r>
    </w:p>
    <w:p>
      <w:pPr>
        <w:autoSpaceDE w:val="0"/>
        <w:autoSpaceDN w:val="0"/>
        <w:adjustRightInd w:val="0"/>
        <w:spacing w:line="360" w:lineRule="auto"/>
        <w:jc w:val="left"/>
        <w:rPr>
          <w:rFonts w:ascii="等线 Light" w:hAnsi="Times New Roman" w:eastAsia="宋体" w:cs="Times New Roman"/>
          <w:color w:val="auto"/>
          <w:kern w:val="0"/>
          <w:sz w:val="24"/>
          <w:szCs w:val="24"/>
          <w:highlight w:val="none"/>
        </w:rPr>
      </w:pPr>
    </w:p>
    <w:p>
      <w:pPr>
        <w:autoSpaceDE w:val="0"/>
        <w:autoSpaceDN w:val="0"/>
        <w:adjustRightInd w:val="0"/>
        <w:spacing w:line="360" w:lineRule="auto"/>
        <w:ind w:left="473" w:leftChars="175" w:hanging="105" w:hangingChars="50"/>
        <w:rPr>
          <w:rFonts w:ascii="宋体" w:hAnsi="宋体" w:eastAsia="宋体" w:cs="Times New Roman"/>
          <w:b/>
          <w:color w:val="auto"/>
          <w:szCs w:val="21"/>
          <w:highlight w:val="none"/>
          <w:lang w:val="zh-CN"/>
        </w:rPr>
      </w:pPr>
      <w:r>
        <w:rPr>
          <w:rFonts w:hint="eastAsia" w:ascii="宋体" w:hAnsi="宋体" w:eastAsia="宋体" w:cs="宋体"/>
          <w:b/>
          <w:bCs/>
          <w:color w:val="auto"/>
          <w:kern w:val="0"/>
          <w:szCs w:val="21"/>
          <w:highlight w:val="none"/>
        </w:rPr>
        <w:t>第二条</w:t>
      </w:r>
      <w:r>
        <w:rPr>
          <w:rFonts w:hint="eastAsia" w:ascii="宋体" w:hAnsi="宋体" w:eastAsia="宋体" w:cs="宋体"/>
          <w:color w:val="auto"/>
          <w:kern w:val="0"/>
          <w:szCs w:val="21"/>
          <w:highlight w:val="none"/>
        </w:rPr>
        <w:t xml:space="preserve"> </w:t>
      </w:r>
      <w:r>
        <w:rPr>
          <w:rFonts w:hint="eastAsia" w:ascii="宋体" w:hAnsi="宋体" w:eastAsia="宋体" w:cs="Times New Roman"/>
          <w:b/>
          <w:color w:val="auto"/>
          <w:szCs w:val="21"/>
          <w:highlight w:val="none"/>
        </w:rPr>
        <w:t>服务地点及期限</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（一）服务地点：东莞市内。</w:t>
      </w:r>
    </w:p>
    <w:p>
      <w:pPr>
        <w:autoSpaceDE w:val="0"/>
        <w:autoSpaceDN w:val="0"/>
        <w:adjustRightInd w:val="0"/>
        <w:spacing w:line="360" w:lineRule="auto"/>
        <w:ind w:right="-26" w:firstLine="435"/>
        <w:jc w:val="left"/>
        <w:rPr>
          <w:rFonts w:ascii="宋体" w:hAnsi="宋体" w:eastAsia="宋体" w:cs="宋体"/>
          <w:color w:val="auto"/>
          <w:szCs w:val="21"/>
          <w:highlight w:val="none"/>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二</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服务期限：自合同签订之日起一年，服务期限为   年  月  日至  年  月  日。</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本合同服务期满后，如甲方需委托乙方继续开展服务范围内的服务时，经双方洽商同意及签订补充协议后，乙方可以按本合同约定的计价方式向甲方继续提供</w:t>
      </w:r>
      <w:r>
        <w:rPr>
          <w:rFonts w:hint="eastAsia" w:ascii="宋体" w:hAnsi="宋体" w:eastAsia="宋体" w:cs="宋体"/>
          <w:color w:val="auto"/>
          <w:kern w:val="0"/>
          <w:szCs w:val="21"/>
          <w:highlight w:val="none"/>
        </w:rPr>
        <w:t>餐厨垃圾收运服务</w:t>
      </w:r>
      <w:r>
        <w:rPr>
          <w:rFonts w:hint="eastAsia" w:ascii="宋体" w:hAnsi="宋体" w:eastAsia="宋体" w:cs="宋体"/>
          <w:color w:val="auto"/>
          <w:szCs w:val="21"/>
          <w:highlight w:val="none"/>
        </w:rPr>
        <w:t>，续期期限原则上不超过3个月。</w:t>
      </w:r>
    </w:p>
    <w:p>
      <w:pPr>
        <w:autoSpaceDE w:val="0"/>
        <w:autoSpaceDN w:val="0"/>
        <w:adjustRightInd w:val="0"/>
        <w:spacing w:line="360" w:lineRule="auto"/>
        <w:ind w:firstLine="422" w:firstLineChars="200"/>
        <w:jc w:val="left"/>
        <w:rPr>
          <w:rFonts w:ascii="等线 Light" w:hAnsi="Times New Roman" w:eastAsia="宋体" w:cs="Times New Roman"/>
          <w:b/>
          <w:bCs/>
          <w:color w:val="auto"/>
          <w:kern w:val="0"/>
          <w:szCs w:val="21"/>
          <w:highlight w:val="none"/>
          <w:u w:val="single"/>
        </w:rPr>
      </w:pPr>
      <w:r>
        <w:rPr>
          <w:rFonts w:hint="eastAsia" w:ascii="等线 Light" w:hAnsi="Times New Roman" w:eastAsia="宋体" w:cs="Times New Roman"/>
          <w:b/>
          <w:bCs/>
          <w:color w:val="auto"/>
          <w:kern w:val="0"/>
          <w:szCs w:val="21"/>
          <w:highlight w:val="none"/>
          <w:u w:val="single"/>
        </w:rPr>
        <w:t>若甲方因政策原因导致需变更合同主体，则届时由甲方、变更后的合同主体及乙方共同协商，并根据协商结果决定签订合同补充协议或终止本合同，乙方应无条件予以配合。乙方清楚知悉并同意前述事项，并不得以该事项主张甲方违约或要求甲方提供任何形式的补偿或赔偿。</w:t>
      </w:r>
    </w:p>
    <w:p>
      <w:pPr>
        <w:autoSpaceDE w:val="0"/>
        <w:autoSpaceDN w:val="0"/>
        <w:adjustRightInd w:val="0"/>
        <w:spacing w:line="360" w:lineRule="auto"/>
        <w:ind w:left="473" w:leftChars="175" w:hanging="105" w:hangingChars="50"/>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第三条 合同价款及支付方式</w:t>
      </w:r>
    </w:p>
    <w:p>
      <w:pPr>
        <w:tabs>
          <w:tab w:val="left" w:pos="8610"/>
        </w:tabs>
        <w:autoSpaceDE w:val="0"/>
        <w:autoSpaceDN w:val="0"/>
        <w:adjustRightInd w:val="0"/>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w:t>
      </w:r>
      <w:r>
        <w:rPr>
          <w:rFonts w:hint="eastAsia" w:ascii="等线 Light" w:hAnsi="宋体" w:eastAsia="宋体" w:cs="宋体"/>
          <w:color w:val="auto"/>
          <w:kern w:val="0"/>
          <w:szCs w:val="21"/>
          <w:highlight w:val="none"/>
        </w:rPr>
        <w:t>本项目综合单价（即销售额，不含销项税额）</w:t>
      </w:r>
      <w:r>
        <w:rPr>
          <w:rFonts w:hint="eastAsia" w:ascii="等线 Light" w:hAnsi="宋体" w:eastAsia="宋体" w:cs="宋体"/>
          <w:bCs/>
          <w:color w:val="auto"/>
          <w:kern w:val="0"/>
          <w:szCs w:val="24"/>
          <w:highlight w:val="none"/>
        </w:rPr>
        <w:t>为</w:t>
      </w:r>
      <w:r>
        <w:rPr>
          <w:rFonts w:hint="eastAsia" w:ascii="等线 Light" w:hAnsi="宋体" w:eastAsia="宋体" w:cs="宋体"/>
          <w:bCs/>
          <w:color w:val="auto"/>
          <w:kern w:val="0"/>
          <w:szCs w:val="24"/>
          <w:highlight w:val="none"/>
          <w:u w:val="single"/>
        </w:rPr>
        <w:t xml:space="preserve">      </w:t>
      </w:r>
      <w:r>
        <w:rPr>
          <w:rFonts w:hint="eastAsia" w:ascii="等线 Light" w:hAnsi="宋体" w:eastAsia="宋体" w:cs="宋体"/>
          <w:bCs/>
          <w:color w:val="auto"/>
          <w:kern w:val="0"/>
          <w:szCs w:val="24"/>
          <w:highlight w:val="none"/>
        </w:rPr>
        <w:t xml:space="preserve">元/吨（大写人民币每吨        </w:t>
      </w:r>
      <w:r>
        <w:rPr>
          <w:rFonts w:hint="eastAsia" w:ascii="等线 Light" w:hAnsi="宋体" w:eastAsia="宋体" w:cs="宋体"/>
          <w:color w:val="auto"/>
          <w:kern w:val="0"/>
          <w:szCs w:val="21"/>
          <w:highlight w:val="none"/>
        </w:rPr>
        <w:t>）</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在本合同履行过程中，综合单价</w:t>
      </w:r>
      <w:r>
        <w:rPr>
          <w:rFonts w:hint="eastAsia" w:ascii="宋体" w:hAnsi="宋体" w:eastAsia="宋体" w:cs="宋体"/>
          <w:color w:val="auto"/>
          <w:kern w:val="0"/>
          <w:szCs w:val="21"/>
          <w:highlight w:val="none"/>
        </w:rPr>
        <w:t>（即销售额，不含乙方销项税额）</w:t>
      </w:r>
      <w:r>
        <w:rPr>
          <w:rFonts w:hint="eastAsia" w:ascii="宋体" w:hAnsi="宋体" w:eastAsia="宋体" w:cs="宋体"/>
          <w:color w:val="auto"/>
          <w:kern w:val="0"/>
          <w:szCs w:val="21"/>
          <w:highlight w:val="none"/>
          <w:lang w:val="zh-CN"/>
        </w:rPr>
        <w:t>不随法律法规政策、物价人工、</w:t>
      </w:r>
      <w:r>
        <w:rPr>
          <w:rFonts w:hint="eastAsia" w:ascii="宋体" w:hAnsi="宋体" w:eastAsia="宋体" w:cs="宋体"/>
          <w:color w:val="auto"/>
          <w:highlight w:val="none"/>
        </w:rPr>
        <w:t>油价涨跌</w:t>
      </w:r>
      <w:r>
        <w:rPr>
          <w:rFonts w:hint="eastAsia" w:ascii="宋体" w:hAnsi="宋体" w:eastAsia="宋体" w:cs="宋体"/>
          <w:color w:val="auto"/>
          <w:kern w:val="0"/>
          <w:szCs w:val="21"/>
          <w:highlight w:val="none"/>
          <w:lang w:val="zh-CN"/>
        </w:rPr>
        <w:t>、服务期限调整而进行调整，</w:t>
      </w:r>
      <w:r>
        <w:rPr>
          <w:rFonts w:hint="eastAsia" w:ascii="宋体" w:hAnsi="宋体" w:eastAsia="宋体" w:cs="宋体"/>
          <w:color w:val="auto"/>
          <w:kern w:val="0"/>
          <w:szCs w:val="21"/>
          <w:highlight w:val="none"/>
        </w:rPr>
        <w:t>未经甲方书面确认，乙方无权增加任何费用。</w:t>
      </w:r>
    </w:p>
    <w:p>
      <w:pPr>
        <w:spacing w:line="360" w:lineRule="auto"/>
        <w:ind w:firstLine="420" w:firstLineChars="200"/>
        <w:contextualSpacing/>
        <w:rPr>
          <w:rFonts w:ascii="宋体" w:hAnsi="宋体" w:eastAsia="宋体" w:cs="宋体"/>
          <w:color w:val="auto"/>
          <w:sz w:val="22"/>
          <w:szCs w:val="21"/>
          <w:highlight w:val="none"/>
        </w:rPr>
      </w:pPr>
      <w:r>
        <w:rPr>
          <w:rFonts w:hint="eastAsia" w:ascii="宋体" w:hAnsi="宋体" w:eastAsia="宋体" w:cs="宋体"/>
          <w:color w:val="auto"/>
          <w:szCs w:val="21"/>
          <w:highlight w:val="none"/>
        </w:rPr>
        <w:t>（二）</w:t>
      </w:r>
      <w:r>
        <w:rPr>
          <w:rFonts w:hint="eastAsia" w:ascii="宋体" w:hAnsi="宋体" w:eastAsia="宋体" w:cs="宋体"/>
          <w:color w:val="auto"/>
          <w:szCs w:val="21"/>
          <w:highlight w:val="none"/>
          <w:lang w:val="zh-CN"/>
        </w:rPr>
        <w:t>依法计得并根据本合同约定确定的销项税额由甲方承担。根据《中华人民共和国增值税暂行条例》（国务院令第691号修订版）及当前税务部门的相关规定，本合同项目的增值税税率暂定为</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%，对应的销项税额为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val="zh-CN"/>
        </w:rPr>
        <w:t>元（大写人民币</w:t>
      </w:r>
      <w:r>
        <w:rPr>
          <w:rFonts w:hint="eastAsia" w:ascii="宋体" w:hAnsi="宋体" w:eastAsia="宋体" w:cs="宋体"/>
          <w:color w:val="auto"/>
          <w:sz w:val="22"/>
          <w:szCs w:val="21"/>
          <w:highlight w:val="none"/>
          <w:u w:val="single"/>
        </w:rPr>
        <w:t xml:space="preserve">       </w:t>
      </w:r>
      <w:r>
        <w:rPr>
          <w:rFonts w:hint="eastAsia" w:ascii="宋体" w:hAnsi="宋体" w:eastAsia="宋体" w:cs="宋体"/>
          <w:color w:val="auto"/>
          <w:szCs w:val="21"/>
          <w:highlight w:val="none"/>
          <w:lang w:val="zh-CN"/>
        </w:rPr>
        <w:t>），乙方的增值税销项税额根据本合同约定按实结算。在本合同履行过程中，税收政策变动导致增值税税率调整，依法应调整销项税额的，依法调整。但因乙方未按合同约定提供服务、未根据合同约定提供合法、完整的请款资料等原因导致销项税额增加的，给甲方所造成的相应损失由乙方承担。</w:t>
      </w:r>
    </w:p>
    <w:p>
      <w:pPr>
        <w:autoSpaceDE w:val="0"/>
        <w:autoSpaceDN w:val="0"/>
        <w:adjustRightInd w:val="0"/>
        <w:spacing w:line="360" w:lineRule="auto"/>
        <w:ind w:firstLine="424" w:firstLineChars="202"/>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因乙方未按法定税率计算税额或未根据本合同约定出具</w:t>
      </w:r>
      <w:r>
        <w:rPr>
          <w:rFonts w:hint="eastAsia" w:ascii="宋体" w:hAnsi="宋体" w:eastAsia="宋体" w:cs="宋体"/>
          <w:color w:val="auto"/>
          <w:kern w:val="0"/>
          <w:szCs w:val="21"/>
          <w:highlight w:val="none"/>
        </w:rPr>
        <w:t>对应税额的</w:t>
      </w:r>
      <w:r>
        <w:rPr>
          <w:rFonts w:hint="eastAsia" w:ascii="宋体" w:hAnsi="宋体" w:eastAsia="宋体" w:cs="宋体"/>
          <w:color w:val="auto"/>
          <w:kern w:val="0"/>
          <w:szCs w:val="21"/>
          <w:highlight w:val="none"/>
          <w:lang w:val="zh-CN"/>
        </w:rPr>
        <w:t>增值税</w:t>
      </w:r>
      <w:r>
        <w:rPr>
          <w:rFonts w:ascii="宋体" w:hAnsi="宋体" w:eastAsia="宋体" w:cs="宋体"/>
          <w:color w:val="auto"/>
          <w:kern w:val="0"/>
          <w:szCs w:val="21"/>
          <w:highlight w:val="none"/>
        </w:rPr>
        <w:t>专用</w:t>
      </w:r>
      <w:r>
        <w:rPr>
          <w:rFonts w:hint="eastAsia" w:ascii="宋体" w:hAnsi="宋体" w:eastAsia="宋体" w:cs="宋体"/>
          <w:color w:val="auto"/>
          <w:kern w:val="0"/>
          <w:szCs w:val="21"/>
          <w:highlight w:val="none"/>
          <w:lang w:val="zh-CN"/>
        </w:rPr>
        <w:t>发票等乙方原因导致甲方多支付税额的，乙方必须退还甲方，给甲方造成损失的，乙方须向甲方赔偿相应损失。</w:t>
      </w:r>
    </w:p>
    <w:p>
      <w:pPr>
        <w:numPr>
          <w:ilvl w:val="0"/>
          <w:numId w:val="2"/>
        </w:numPr>
        <w:autoSpaceDE w:val="0"/>
        <w:autoSpaceDN w:val="0"/>
        <w:adjustRightInd w:val="0"/>
        <w:spacing w:line="360" w:lineRule="auto"/>
        <w:ind w:firstLine="424" w:firstLineChars="202"/>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综合单价价税合计为</w:t>
      </w:r>
      <w:r>
        <w:rPr>
          <w:rFonts w:hint="eastAsia" w:ascii="宋体" w:hAnsi="宋体" w:eastAsia="宋体" w:cs="宋体"/>
          <w:color w:val="auto"/>
          <w:kern w:val="0"/>
          <w:szCs w:val="21"/>
          <w:highlight w:val="none"/>
          <w:u w:val="single"/>
          <w:lang w:val="zh-CN"/>
        </w:rPr>
        <w:t xml:space="preserve">      </w:t>
      </w:r>
      <w:r>
        <w:rPr>
          <w:rFonts w:hint="eastAsia" w:ascii="宋体" w:hAnsi="宋体" w:eastAsia="宋体" w:cs="宋体"/>
          <w:color w:val="auto"/>
          <w:kern w:val="0"/>
          <w:szCs w:val="21"/>
          <w:highlight w:val="none"/>
          <w:lang w:val="zh-CN"/>
        </w:rPr>
        <w:t>元</w:t>
      </w:r>
      <w:r>
        <w:rPr>
          <w:rFonts w:hint="eastAsia" w:ascii="宋体" w:hAnsi="宋体" w:eastAsia="宋体" w:cs="宋体"/>
          <w:color w:val="auto"/>
          <w:kern w:val="0"/>
          <w:szCs w:val="21"/>
          <w:highlight w:val="none"/>
        </w:rPr>
        <w:t>/吨</w:t>
      </w:r>
      <w:r>
        <w:rPr>
          <w:rFonts w:hint="eastAsia" w:ascii="宋体" w:hAnsi="宋体" w:eastAsia="宋体" w:cs="宋体"/>
          <w:color w:val="auto"/>
          <w:kern w:val="0"/>
          <w:szCs w:val="21"/>
          <w:highlight w:val="none"/>
          <w:lang w:val="zh-CN"/>
        </w:rPr>
        <w:t>（大写人民币</w:t>
      </w:r>
      <w:r>
        <w:rPr>
          <w:rFonts w:hint="eastAsia" w:ascii="宋体" w:hAnsi="宋体" w:eastAsia="宋体" w:cs="宋体"/>
          <w:color w:val="auto"/>
          <w:kern w:val="0"/>
          <w:szCs w:val="21"/>
          <w:highlight w:val="none"/>
          <w:u w:val="single"/>
          <w:lang w:val="zh-CN"/>
        </w:rPr>
        <w:t>每吨</w:t>
      </w:r>
      <w:r>
        <w:rPr>
          <w:rFonts w:hint="eastAsia" w:ascii="等线 Light" w:hAnsi="宋体" w:eastAsia="宋体" w:cs="Times New Roman"/>
          <w:color w:val="auto"/>
          <w:kern w:val="0"/>
          <w:sz w:val="24"/>
          <w:szCs w:val="21"/>
          <w:highlight w:val="none"/>
          <w:u w:val="single"/>
        </w:rPr>
        <w:t xml:space="preserve">     </w:t>
      </w:r>
      <w:r>
        <w:rPr>
          <w:rFonts w:hint="eastAsia" w:ascii="宋体" w:hAnsi="宋体" w:eastAsia="宋体" w:cs="宋体"/>
          <w:color w:val="auto"/>
          <w:kern w:val="0"/>
          <w:szCs w:val="21"/>
          <w:highlight w:val="none"/>
          <w:lang w:val="zh-CN"/>
        </w:rPr>
        <w:t>），合同履行期间根据本条第2项规定调整销项税额的，结算合同价税合计对应调整。</w:t>
      </w:r>
    </w:p>
    <w:p>
      <w:pPr>
        <w:numPr>
          <w:ilvl w:val="0"/>
          <w:numId w:val="2"/>
        </w:numPr>
        <w:autoSpaceDE w:val="0"/>
        <w:autoSpaceDN w:val="0"/>
        <w:adjustRightInd w:val="0"/>
        <w:spacing w:line="360" w:lineRule="auto"/>
        <w:ind w:firstLine="424" w:firstLineChars="202"/>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rPr>
        <w:t>本合同项下预估垃圾收运量对应的暂定总合同价税合计为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autoSpaceDE w:val="0"/>
        <w:autoSpaceDN w:val="0"/>
        <w:adjustRightInd w:val="0"/>
        <w:spacing w:line="360" w:lineRule="auto"/>
        <w:ind w:firstLine="424" w:firstLineChars="202"/>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（五）</w:t>
      </w:r>
      <w:r>
        <w:rPr>
          <w:rFonts w:hint="eastAsia" w:ascii="等线 Light" w:hAnsi="宋体" w:eastAsia="宋体" w:cs="宋体"/>
          <w:color w:val="auto"/>
          <w:kern w:val="0"/>
          <w:szCs w:val="21"/>
          <w:highlight w:val="none"/>
        </w:rPr>
        <w:t>综合单价</w:t>
      </w:r>
      <w:r>
        <w:rPr>
          <w:rFonts w:hint="eastAsia" w:ascii="宋体" w:hAnsi="宋体" w:eastAsia="宋体" w:cs="宋体"/>
          <w:color w:val="auto"/>
          <w:kern w:val="0"/>
          <w:szCs w:val="21"/>
          <w:highlight w:val="none"/>
          <w:lang w:val="zh-CN"/>
        </w:rPr>
        <w:t>为乙方完成应承担合同义务的全部费用，包括但不限于：</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餐厨垃圾收运服务全过程的人工费（工资及加班工资、福利、社保、住房公积金、节日补贴、高温津贴、市内交通补贴、膳食、住宿、体检、意外伤害保险、劳保、服装等）办公费、交通费、管理费、培训费、</w:t>
      </w:r>
      <w:r>
        <w:rPr>
          <w:rFonts w:hint="eastAsia" w:ascii="宋体" w:hAnsi="宋体" w:eastAsia="宋体" w:cs="宋体"/>
          <w:color w:val="auto"/>
          <w:szCs w:val="21"/>
          <w:highlight w:val="none"/>
        </w:rPr>
        <w:t>现场</w:t>
      </w:r>
      <w:r>
        <w:rPr>
          <w:rFonts w:hint="eastAsia" w:ascii="宋体" w:hAnsi="宋体" w:eastAsia="宋体" w:cs="宋体"/>
          <w:color w:val="auto"/>
          <w:szCs w:val="21"/>
          <w:highlight w:val="none"/>
          <w:lang w:val="zh-CN"/>
        </w:rPr>
        <w:t>清</w:t>
      </w:r>
      <w:r>
        <w:rPr>
          <w:rFonts w:hint="eastAsia" w:ascii="宋体" w:hAnsi="宋体" w:eastAsia="宋体" w:cs="宋体"/>
          <w:color w:val="auto"/>
          <w:szCs w:val="21"/>
          <w:highlight w:val="none"/>
        </w:rPr>
        <w:t>洁</w:t>
      </w:r>
      <w:r>
        <w:rPr>
          <w:rFonts w:hint="eastAsia" w:ascii="宋体" w:hAnsi="宋体" w:eastAsia="宋体" w:cs="宋体"/>
          <w:color w:val="auto"/>
          <w:szCs w:val="21"/>
          <w:highlight w:val="none"/>
          <w:lang w:val="zh-CN"/>
        </w:rPr>
        <w:t>费，</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lang w:val="zh-CN"/>
        </w:rPr>
        <w:t>提供的收运车辆以外的</w:t>
      </w:r>
      <w:r>
        <w:rPr>
          <w:rFonts w:hint="eastAsia" w:ascii="宋体" w:hAnsi="宋体" w:eastAsia="宋体" w:cs="宋体"/>
          <w:color w:val="auto"/>
          <w:kern w:val="0"/>
          <w:szCs w:val="21"/>
          <w:highlight w:val="none"/>
        </w:rPr>
        <w:t>车辆及工器具使用费（如有）等；</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2、收运车辆及相应车载信息化设备的保管、维护、清洁以及维修费，收运车辆的燃料费、拖车费、维修保养费、年审费、交通违章罚款、交通事故产生的费用等；</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3、合理利润、乙方销项税额以外的税费等；</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zh-CN"/>
        </w:rPr>
        <w:t>法律法规、商业公认、招标文件规定由</w:t>
      </w:r>
      <w:r>
        <w:rPr>
          <w:rFonts w:hint="eastAsia" w:ascii="宋体" w:hAnsi="宋体" w:eastAsia="宋体" w:cs="宋体"/>
          <w:color w:val="auto"/>
          <w:kern w:val="0"/>
          <w:szCs w:val="21"/>
          <w:highlight w:val="none"/>
        </w:rPr>
        <w:t>乙方</w:t>
      </w:r>
      <w:r>
        <w:rPr>
          <w:rFonts w:hint="eastAsia" w:ascii="宋体" w:hAnsi="宋体" w:eastAsia="宋体" w:cs="宋体"/>
          <w:color w:val="auto"/>
          <w:kern w:val="0"/>
          <w:szCs w:val="21"/>
          <w:highlight w:val="none"/>
          <w:lang w:val="zh-CN"/>
        </w:rPr>
        <w:t>承担的其他直接及间接费用。未经甲方书面同意，乙方（包括但不限于乙方指定的第三方）不得要求甲方另行支付其他任何费用。</w:t>
      </w:r>
    </w:p>
    <w:p>
      <w:pPr>
        <w:widowControl/>
        <w:autoSpaceDE w:val="0"/>
        <w:autoSpaceDN w:val="0"/>
        <w:adjustRightInd w:val="0"/>
        <w:spacing w:line="360" w:lineRule="auto"/>
        <w:ind w:firstLine="424" w:firstLineChars="202"/>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rPr>
        <w:t>（六）付款方式：</w:t>
      </w:r>
    </w:p>
    <w:p>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1、服务费按月支付，每月实际服务费用根据</w:t>
      </w:r>
      <w:r>
        <w:rPr>
          <w:rFonts w:hint="eastAsia" w:ascii="宋体" w:hAnsi="宋体" w:eastAsia="宋体" w:cs="宋体"/>
          <w:color w:val="auto"/>
          <w:szCs w:val="21"/>
          <w:highlight w:val="none"/>
          <w:lang w:eastAsia="zh-CN"/>
        </w:rPr>
        <w:t>考核</w:t>
      </w:r>
      <w:r>
        <w:rPr>
          <w:rFonts w:hint="eastAsia" w:ascii="宋体" w:hAnsi="宋体" w:eastAsia="宋体" w:cs="宋体"/>
          <w:color w:val="auto"/>
          <w:szCs w:val="21"/>
          <w:highlight w:val="none"/>
        </w:rPr>
        <w:t>结果支付。甲方与乙方在每月前5个工作日核对上月收运量及提供服务时间等数据材料，甲方与乙方核对无误后，乙方向甲方提供等额的增值税专用发票和请款报告，甲方</w:t>
      </w:r>
      <w:r>
        <w:rPr>
          <w:rFonts w:hint="eastAsia" w:ascii="宋体" w:hAnsi="宋体" w:eastAsia="宋体" w:cs="宋体"/>
          <w:color w:val="auto"/>
          <w:highlight w:val="none"/>
        </w:rPr>
        <w:t>收到请款资料审核无误后30日内</w:t>
      </w:r>
      <w:r>
        <w:rPr>
          <w:rFonts w:hint="eastAsia" w:ascii="宋体" w:hAnsi="宋体" w:eastAsia="宋体" w:cs="宋体"/>
          <w:color w:val="auto"/>
          <w:szCs w:val="21"/>
          <w:highlight w:val="none"/>
        </w:rPr>
        <w:t>向乙方支付上月度服务费用。</w:t>
      </w:r>
    </w:p>
    <w:p>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2、服务费计算方式：</w:t>
      </w:r>
    </w:p>
    <w:p>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月度</w:t>
      </w:r>
      <w:r>
        <w:rPr>
          <w:rFonts w:hint="eastAsia" w:ascii="宋体" w:hAnsi="宋体" w:eastAsia="宋体" w:cs="宋体"/>
          <w:color w:val="auto"/>
          <w:sz w:val="21"/>
          <w:szCs w:val="21"/>
          <w:highlight w:val="none"/>
        </w:rPr>
        <w:t>计量</w:t>
      </w:r>
      <w:r>
        <w:rPr>
          <w:rFonts w:hint="eastAsia" w:ascii="宋体" w:hAnsi="宋体" w:eastAsia="宋体" w:cs="宋体"/>
          <w:color w:val="auto"/>
          <w:kern w:val="0"/>
          <w:szCs w:val="21"/>
          <w:highlight w:val="none"/>
        </w:rPr>
        <w:t>服务费=上月垃圾收运量×综合单价。</w:t>
      </w:r>
    </w:p>
    <w:p>
      <w:pPr>
        <w:pStyle w:val="2"/>
        <w:spacing w:line="360" w:lineRule="auto"/>
        <w:ind w:firstLine="420" w:firstLineChars="200"/>
        <w:jc w:val="left"/>
        <w:rPr>
          <w:b w:val="0"/>
          <w:bCs w:val="0"/>
          <w:color w:val="auto"/>
          <w:sz w:val="21"/>
          <w:szCs w:val="21"/>
          <w:highlight w:val="none"/>
        </w:rPr>
      </w:pPr>
      <w:r>
        <w:rPr>
          <w:rFonts w:hint="eastAsia"/>
          <w:b w:val="0"/>
          <w:bCs w:val="0"/>
          <w:color w:val="auto"/>
          <w:sz w:val="21"/>
          <w:szCs w:val="21"/>
          <w:highlight w:val="none"/>
        </w:rPr>
        <w:t>月度结算服务费=月度计量服务费-考核扣减（如有）+对应的增值税额。</w:t>
      </w:r>
    </w:p>
    <w:p>
      <w:pPr>
        <w:autoSpaceDE w:val="0"/>
        <w:autoSpaceDN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注：垃圾收运量以甲方地磅或甲方指定地磅的实际过磅数为准。</w:t>
      </w:r>
    </w:p>
    <w:p>
      <w:pPr>
        <w:autoSpaceDE w:val="0"/>
        <w:autoSpaceDN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乙方完成上月的服务后，甲方在次月</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个工作日内对乙方上月的服务进行</w:t>
      </w:r>
      <w:r>
        <w:rPr>
          <w:rFonts w:hint="eastAsia" w:ascii="宋体" w:hAnsi="宋体" w:eastAsia="宋体" w:cs="宋体"/>
          <w:color w:val="auto"/>
          <w:szCs w:val="21"/>
          <w:highlight w:val="none"/>
          <w:lang w:eastAsia="zh-CN"/>
        </w:rPr>
        <w:t>考核</w:t>
      </w:r>
      <w:r>
        <w:rPr>
          <w:rFonts w:hint="eastAsia" w:ascii="宋体" w:hAnsi="宋体" w:eastAsia="宋体" w:cs="宋体"/>
          <w:color w:val="auto"/>
          <w:szCs w:val="21"/>
          <w:highlight w:val="none"/>
        </w:rPr>
        <w:t>，</w:t>
      </w:r>
      <w:r>
        <w:rPr>
          <w:rStyle w:val="106"/>
          <w:rFonts w:hint="default"/>
          <w:color w:val="auto"/>
          <w:sz w:val="21"/>
          <w:szCs w:val="21"/>
          <w:highlight w:val="none"/>
          <w:lang w:bidi="ar"/>
        </w:rPr>
        <w:t>经考核取得</w:t>
      </w:r>
      <w:r>
        <w:rPr>
          <w:rStyle w:val="106"/>
          <w:rFonts w:hint="eastAsia" w:eastAsia="宋体"/>
          <w:color w:val="auto"/>
          <w:sz w:val="21"/>
          <w:szCs w:val="21"/>
          <w:highlight w:val="none"/>
          <w:lang w:val="en-US" w:eastAsia="zh-CN" w:bidi="ar"/>
        </w:rPr>
        <w:t>90</w:t>
      </w:r>
      <w:r>
        <w:rPr>
          <w:rStyle w:val="106"/>
          <w:rFonts w:hint="default"/>
          <w:color w:val="auto"/>
          <w:sz w:val="21"/>
          <w:szCs w:val="21"/>
          <w:highlight w:val="none"/>
          <w:lang w:bidi="ar"/>
        </w:rPr>
        <w:t>分及以上者为合格，甲方全额支付当月服务费；未达到</w:t>
      </w:r>
      <w:r>
        <w:rPr>
          <w:rStyle w:val="106"/>
          <w:rFonts w:hint="eastAsia" w:eastAsia="宋体"/>
          <w:color w:val="auto"/>
          <w:sz w:val="21"/>
          <w:szCs w:val="21"/>
          <w:highlight w:val="none"/>
          <w:lang w:val="en-US" w:eastAsia="zh-CN" w:bidi="ar"/>
        </w:rPr>
        <w:t>90</w:t>
      </w:r>
      <w:r>
        <w:rPr>
          <w:rStyle w:val="106"/>
          <w:rFonts w:hint="default"/>
          <w:color w:val="auto"/>
          <w:sz w:val="21"/>
          <w:szCs w:val="21"/>
          <w:highlight w:val="none"/>
          <w:lang w:bidi="ar"/>
        </w:rPr>
        <w:t>分者则为不合格，每低1分（不满1分按1分计算），</w:t>
      </w:r>
      <w:bookmarkStart w:id="474" w:name="_Hlk161221417"/>
      <w:r>
        <w:rPr>
          <w:rStyle w:val="106"/>
          <w:rFonts w:hint="default"/>
          <w:color w:val="auto"/>
          <w:sz w:val="21"/>
          <w:szCs w:val="21"/>
          <w:highlight w:val="none"/>
          <w:lang w:bidi="ar"/>
        </w:rPr>
        <w:t>甲方按当月</w:t>
      </w:r>
      <w:r>
        <w:rPr>
          <w:rFonts w:hint="eastAsia" w:ascii="宋体" w:hAnsi="宋体" w:eastAsia="宋体" w:cs="宋体"/>
          <w:color w:val="auto"/>
          <w:sz w:val="21"/>
          <w:szCs w:val="21"/>
          <w:highlight w:val="none"/>
        </w:rPr>
        <w:t>计量</w:t>
      </w:r>
      <w:r>
        <w:rPr>
          <w:rFonts w:hint="eastAsia" w:ascii="宋体" w:hAnsi="宋体" w:eastAsia="宋体" w:cs="宋体"/>
          <w:color w:val="auto"/>
          <w:kern w:val="0"/>
          <w:szCs w:val="21"/>
          <w:highlight w:val="none"/>
        </w:rPr>
        <w:t>服务费</w:t>
      </w:r>
      <w:r>
        <w:rPr>
          <w:rStyle w:val="106"/>
          <w:rFonts w:hint="default"/>
          <w:color w:val="auto"/>
          <w:sz w:val="21"/>
          <w:szCs w:val="21"/>
          <w:highlight w:val="none"/>
          <w:lang w:bidi="ar"/>
        </w:rPr>
        <w:t>总额</w:t>
      </w:r>
      <w:r>
        <w:rPr>
          <w:rStyle w:val="106"/>
          <w:rFonts w:hint="eastAsia" w:eastAsia="宋体"/>
          <w:color w:val="auto"/>
          <w:sz w:val="21"/>
          <w:szCs w:val="21"/>
          <w:highlight w:val="none"/>
          <w:lang w:val="en-US" w:eastAsia="zh-CN" w:bidi="ar"/>
        </w:rPr>
        <w:t>1</w:t>
      </w:r>
      <w:r>
        <w:rPr>
          <w:rStyle w:val="106"/>
          <w:rFonts w:hint="default"/>
          <w:color w:val="auto"/>
          <w:sz w:val="21"/>
          <w:szCs w:val="21"/>
          <w:highlight w:val="none"/>
          <w:lang w:bidi="ar"/>
        </w:rPr>
        <w:t>%的比例扣减当月服务费</w:t>
      </w:r>
      <w:bookmarkEnd w:id="474"/>
      <w:r>
        <w:rPr>
          <w:rStyle w:val="106"/>
          <w:rFonts w:hint="default"/>
          <w:color w:val="auto"/>
          <w:sz w:val="21"/>
          <w:szCs w:val="21"/>
          <w:highlight w:val="none"/>
          <w:lang w:bidi="ar"/>
        </w:rPr>
        <w:t>；低于</w:t>
      </w:r>
      <w:r>
        <w:rPr>
          <w:rStyle w:val="106"/>
          <w:rFonts w:hint="eastAsia" w:eastAsia="宋体"/>
          <w:color w:val="auto"/>
          <w:sz w:val="21"/>
          <w:szCs w:val="21"/>
          <w:highlight w:val="none"/>
          <w:lang w:val="en-US" w:eastAsia="zh-CN" w:bidi="ar"/>
        </w:rPr>
        <w:t>80</w:t>
      </w:r>
      <w:r>
        <w:rPr>
          <w:rStyle w:val="106"/>
          <w:rFonts w:hint="default"/>
          <w:color w:val="auto"/>
          <w:sz w:val="21"/>
          <w:szCs w:val="21"/>
          <w:highlight w:val="none"/>
          <w:lang w:bidi="ar"/>
        </w:rPr>
        <w:t>分，除按当月应付款总额</w:t>
      </w:r>
      <w:r>
        <w:rPr>
          <w:rStyle w:val="106"/>
          <w:rFonts w:hint="eastAsia" w:eastAsia="宋体"/>
          <w:color w:val="auto"/>
          <w:sz w:val="21"/>
          <w:szCs w:val="21"/>
          <w:highlight w:val="none"/>
          <w:lang w:val="en-US" w:eastAsia="zh-CN" w:bidi="ar"/>
        </w:rPr>
        <w:t>1</w:t>
      </w:r>
      <w:r>
        <w:rPr>
          <w:rStyle w:val="106"/>
          <w:rFonts w:hint="default"/>
          <w:color w:val="auto"/>
          <w:sz w:val="21"/>
          <w:szCs w:val="21"/>
          <w:highlight w:val="none"/>
          <w:lang w:bidi="ar"/>
        </w:rPr>
        <w:t>%的比例扣减当月服务费外，甲方有权单方面解除服务合同。</w:t>
      </w:r>
    </w:p>
    <w:p>
      <w:pPr>
        <w:autoSpaceDE w:val="0"/>
        <w:autoSpaceDN w:val="0"/>
        <w:adjustRightInd w:val="0"/>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七）以上款项由甲方直接以银行转账方式支付给乙方。乙方逾期提交请款材料或提交材料不符合甲方要求的，甲方有权顺延支付相应款项，并不承担逾期付款的违约责任，由于乙方提供的发票不符合税法规定，给甲方造成的损失由乙方承担赔偿责任，乙方不得以此延迟而拒绝履行合同义务。</w:t>
      </w:r>
    </w:p>
    <w:p>
      <w:pPr>
        <w:autoSpaceDE w:val="0"/>
        <w:autoSpaceDN w:val="0"/>
        <w:adjustRightInd w:val="0"/>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（八）乙方收款账户信息</w:t>
      </w:r>
    </w:p>
    <w:p>
      <w:pPr>
        <w:autoSpaceDE w:val="0"/>
        <w:autoSpaceDN w:val="0"/>
        <w:adjustRightInd w:val="0"/>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户名：</w:t>
      </w:r>
    </w:p>
    <w:p>
      <w:pPr>
        <w:autoSpaceDE w:val="0"/>
        <w:autoSpaceDN w:val="0"/>
        <w:adjustRightInd w:val="0"/>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开户行：</w:t>
      </w:r>
    </w:p>
    <w:p>
      <w:pPr>
        <w:autoSpaceDE w:val="0"/>
        <w:autoSpaceDN w:val="0"/>
        <w:adjustRightInd w:val="0"/>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账号：   </w:t>
      </w:r>
    </w:p>
    <w:p>
      <w:pPr>
        <w:autoSpaceDE w:val="0"/>
        <w:autoSpaceDN w:val="0"/>
        <w:adjustRightInd w:val="0"/>
        <w:snapToGrid w:val="0"/>
        <w:spacing w:line="400" w:lineRule="exact"/>
        <w:jc w:val="left"/>
        <w:rPr>
          <w:rFonts w:ascii="宋体" w:hAnsi="宋体" w:eastAsia="宋体" w:cs="宋体"/>
          <w:b/>
          <w:bCs/>
          <w:color w:val="auto"/>
          <w:kern w:val="0"/>
          <w:szCs w:val="21"/>
          <w:highlight w:val="none"/>
        </w:rPr>
      </w:pPr>
    </w:p>
    <w:p>
      <w:pPr>
        <w:autoSpaceDE w:val="0"/>
        <w:autoSpaceDN w:val="0"/>
        <w:adjustRightInd w:val="0"/>
        <w:spacing w:line="360" w:lineRule="auto"/>
        <w:ind w:left="473" w:leftChars="175" w:hanging="105" w:hangingChars="50"/>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第四条</w:t>
      </w:r>
      <w:r>
        <w:rPr>
          <w:rFonts w:hint="eastAsia" w:ascii="宋体" w:hAnsi="宋体" w:eastAsia="宋体" w:cs="宋体"/>
          <w:color w:val="auto"/>
          <w:kern w:val="0"/>
          <w:szCs w:val="21"/>
          <w:highlight w:val="none"/>
        </w:rPr>
        <w:t xml:space="preserve"> </w:t>
      </w:r>
      <w:r>
        <w:rPr>
          <w:rFonts w:hint="eastAsia" w:ascii="宋体" w:hAnsi="宋体" w:eastAsia="宋体" w:cs="Times New Roman"/>
          <w:b/>
          <w:color w:val="auto"/>
          <w:szCs w:val="21"/>
          <w:highlight w:val="none"/>
        </w:rPr>
        <w:t>服务要求</w:t>
      </w:r>
    </w:p>
    <w:p>
      <w:pPr>
        <w:autoSpaceDE w:val="0"/>
        <w:autoSpaceDN w:val="0"/>
        <w:adjustRightInd w:val="0"/>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1、乙方根据甲方业务情况及服务需求，安排充足的人员按甲方的要求完成服务工作。</w:t>
      </w:r>
      <w:r>
        <w:rPr>
          <w:rFonts w:hint="eastAsia" w:ascii="宋体" w:hAnsi="宋体" w:eastAsia="宋体" w:cs="宋体"/>
          <w:color w:val="auto"/>
          <w:szCs w:val="21"/>
          <w:highlight w:val="none"/>
        </w:rPr>
        <w:t>在服务期内，乙方须为甲方提供全年不间断的收运服务。</w:t>
      </w:r>
    </w:p>
    <w:p>
      <w:pPr>
        <w:autoSpaceDE w:val="0"/>
        <w:autoSpaceDN w:val="0"/>
        <w:adjustRightInd w:val="0"/>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乙方应督促餐厨垃圾收运司机及辅工根据甲方要求，对餐厨垃圾混装生活垃圾情况进行甄别，收运回厂的餐厨垃圾生活垃圾质量比例控制在20%以下，由甲方安排不定期检测，结合项目分选残渣出渣率进行综合判断。</w:t>
      </w:r>
    </w:p>
    <w:p>
      <w:pPr>
        <w:autoSpaceDE w:val="0"/>
        <w:autoSpaceDN w:val="0"/>
        <w:adjustRightInd w:val="0"/>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3、如收运过程中对地面造成滴漏，收运人员需要对现场进行清洁工作。</w:t>
      </w:r>
    </w:p>
    <w:p>
      <w:pPr>
        <w:autoSpaceDE w:val="0"/>
        <w:autoSpaceDN w:val="0"/>
        <w:adjustRightInd w:val="0"/>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4、收运人员负责驾驶和操作收运车辆开展餐厨垃圾收运、需要对餐厨废弃物进行搬运和清理装卸过程中撒漏及车辆进行清洁。</w:t>
      </w:r>
    </w:p>
    <w:p>
      <w:pPr>
        <w:autoSpaceDE w:val="0"/>
        <w:autoSpaceDN w:val="0"/>
        <w:adjustRightInd w:val="0"/>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5、收运过程需严格遵守东莞市相关法律法规和甲方管理规定，该过程中因服务人员工作失误、违法违章或者交通事故而导致的后果和产生的费用，由乙方承担。</w:t>
      </w:r>
    </w:p>
    <w:p>
      <w:pPr>
        <w:autoSpaceDE w:val="0"/>
        <w:autoSpaceDN w:val="0"/>
        <w:adjustRightInd w:val="0"/>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6、收运过程中产生的燃料费、拖车费、维修保养费用以及相关人员费用均由乙方承担。</w:t>
      </w:r>
    </w:p>
    <w:p>
      <w:pPr>
        <w:autoSpaceDE w:val="0"/>
        <w:autoSpaceDN w:val="0"/>
        <w:adjustRightInd w:val="0"/>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乙方须对车辆进行常规维修保养（包括机油、机滤、空滤、柴油滤芯的更换，刹车调试、轮胎保养等，保养里程不得大于8000公里），并对维修保养情况形成台账，每月提供甲方检查，并负责完成车辆的年审工作，车辆的维修、保养及年审费用均由乙方承担。</w:t>
      </w:r>
    </w:p>
    <w:p>
      <w:pPr>
        <w:autoSpaceDE w:val="0"/>
        <w:autoSpaceDN w:val="0"/>
        <w:adjustRightInd w:val="0"/>
        <w:spacing w:line="360" w:lineRule="auto"/>
        <w:ind w:firstLine="424" w:firstLineChars="202"/>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rPr>
        <w:t>8、乙方须对甲方车辆定期</w:t>
      </w:r>
      <w:r>
        <w:rPr>
          <w:rFonts w:hint="eastAsia" w:ascii="宋体" w:hAnsi="宋体" w:eastAsia="宋体" w:cs="宋体"/>
          <w:color w:val="auto"/>
          <w:szCs w:val="21"/>
          <w:highlight w:val="none"/>
        </w:rPr>
        <w:t>进行检查，发现车辆异常的需马上进行维修，若甲方在日常监督中发现车辆异常的，将向乙方发出整改通知单，乙方需马上停用该车辆，餐厨垃圾收运车辆须在三个自然日内启动维修，压缩式垃圾车辆须在一个自然日内启动维修；服务期内，因车辆机件故障导致出现交通事故的，导致的后果和产生的费用由乙方承担。</w:t>
      </w:r>
    </w:p>
    <w:p>
      <w:pPr>
        <w:autoSpaceDE w:val="0"/>
        <w:autoSpaceDN w:val="0"/>
        <w:adjustRightInd w:val="0"/>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9、乙方负责日常清洗收运车辆、回收的垃圾桶、配套收集料斗等。</w:t>
      </w:r>
    </w:p>
    <w:p>
      <w:pPr>
        <w:autoSpaceDE w:val="0"/>
        <w:autoSpaceDN w:val="0"/>
        <w:adjustRightInd w:val="0"/>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10、对于收运过程中的突发状况，乙方须在甲方指导下妥善处理。</w:t>
      </w:r>
    </w:p>
    <w:p>
      <w:pPr>
        <w:autoSpaceDE w:val="0"/>
        <w:autoSpaceDN w:val="0"/>
        <w:adjustRightInd w:val="0"/>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11、收运过程中，乙方需要配合甲方在各产废单位提供的产废台账上签字确认收运。</w:t>
      </w:r>
    </w:p>
    <w:p>
      <w:pPr>
        <w:autoSpaceDE w:val="0"/>
        <w:autoSpaceDN w:val="0"/>
        <w:adjustRightInd w:val="0"/>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12、如甲方有需要进行数字化管控收运过程，乙方必须无条件配合。</w:t>
      </w:r>
    </w:p>
    <w:p>
      <w:pPr>
        <w:autoSpaceDE w:val="0"/>
        <w:autoSpaceDN w:val="0"/>
        <w:adjustRightInd w:val="0"/>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13、乙方需确保储备有机动收运司机及收运辅工，确保在突发情况下仍有足够的机动人员接替完成收运工作。</w:t>
      </w:r>
    </w:p>
    <w:p>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14、乙方需要提前规划收运车使用数量，并将收运车使用情况每日上报甲方核查。</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15、乙方需要根据甲方要求派送或回收餐厨垃圾收集桶，相关餐厨垃圾收集桶的运输工作及产生的费用需由乙方承担；对在收运过程中出现损坏的餐厨垃圾收集桶，乙方需要进行维修。</w:t>
      </w:r>
    </w:p>
    <w:p>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16、乙方在餐厨垃圾收运工作开展过程中需根据甲方要求实行专镇专车收运，禁止收运车辆跨镇开展收运工作。</w:t>
      </w:r>
    </w:p>
    <w:p>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17、甲方将不定期采取跟车、咨询产废单位</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lang w:val="en-US" w:eastAsia="zh-CN"/>
        </w:rPr>
        <w:t>核对收运量</w:t>
      </w:r>
      <w:r>
        <w:rPr>
          <w:rFonts w:hint="eastAsia" w:ascii="宋体" w:hAnsi="宋体" w:eastAsia="宋体" w:cs="宋体"/>
          <w:color w:val="auto"/>
          <w:szCs w:val="21"/>
          <w:highlight w:val="none"/>
          <w:lang w:val="en-US" w:eastAsia="zh-CN"/>
        </w:rPr>
        <w:t>、检查在线视频监控</w:t>
      </w:r>
      <w:r>
        <w:rPr>
          <w:rFonts w:hint="eastAsia" w:ascii="宋体" w:hAnsi="宋体" w:eastAsia="宋体" w:cs="宋体"/>
          <w:color w:val="auto"/>
          <w:szCs w:val="21"/>
          <w:highlight w:val="none"/>
        </w:rPr>
        <w:t>等方式监管收运工作情况，乙方需要无条件配合，一旦发现收运工作人员在收运过程中存在弄虚作假等违规行为，乙方需要承担</w:t>
      </w:r>
      <w:r>
        <w:rPr>
          <w:rFonts w:hint="eastAsia" w:ascii="宋体" w:hAnsi="宋体" w:eastAsia="宋体" w:cs="宋体"/>
          <w:color w:val="auto"/>
          <w:kern w:val="2"/>
          <w:sz w:val="21"/>
          <w:szCs w:val="21"/>
          <w:highlight w:val="none"/>
          <w:lang w:val="en-US" w:eastAsia="zh-CN" w:bidi="ar-SA"/>
        </w:rPr>
        <w:t>违约及赔偿</w:t>
      </w:r>
      <w:r>
        <w:rPr>
          <w:rFonts w:hint="eastAsia" w:ascii="宋体" w:hAnsi="宋体" w:eastAsia="宋体" w:cs="宋体"/>
          <w:color w:val="auto"/>
          <w:szCs w:val="21"/>
          <w:highlight w:val="none"/>
        </w:rPr>
        <w:t>责任。</w:t>
      </w:r>
    </w:p>
    <w:p>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18、如甲方生产设备出现问题需要进行应急处置的，乙方需配合将餐厨垃圾按甲方要求收运至其他应急处理地点进行处置。</w:t>
      </w:r>
    </w:p>
    <w:p>
      <w:p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p>
    <w:p>
      <w:pPr>
        <w:autoSpaceDE w:val="0"/>
        <w:autoSpaceDN w:val="0"/>
        <w:adjustRightInd w:val="0"/>
        <w:spacing w:line="360" w:lineRule="auto"/>
        <w:ind w:left="473" w:leftChars="175" w:hanging="105" w:hangingChars="50"/>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第五条 甲方权利与义务</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（一）甲方有权要求乙方按合同约定提供餐厨垃圾收运服务。</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甲方有权对乙方提供的服务人员的资质及能力进行核实，审核通过后乙方方可指派该等服务人员提供服务。如甲方经审核认为乙方提供的服务人员资质或能力不能满足本合同项下服务要求的，乙方应更换具有相应资质及能力的人员。</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（三）甲方有权对乙方履行本合同的情况进行监督，对乙方不符合本合同的行为要求整改。如发现乙方违反本合同有关规定或承诺的，甲方有权追究乙方的违约责任。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（四）甲方有权对乙方的服务进行指导、监督检查与</w:t>
      </w:r>
      <w:r>
        <w:rPr>
          <w:rFonts w:hint="eastAsia" w:ascii="宋体" w:hAnsi="宋体" w:eastAsia="宋体" w:cs="宋体"/>
          <w:color w:val="auto"/>
          <w:kern w:val="0"/>
          <w:szCs w:val="21"/>
          <w:highlight w:val="none"/>
          <w:lang w:eastAsia="zh-CN"/>
        </w:rPr>
        <w:t>考核</w:t>
      </w:r>
      <w:r>
        <w:rPr>
          <w:rFonts w:hint="eastAsia" w:ascii="宋体" w:hAnsi="宋体" w:eastAsia="宋体" w:cs="宋体"/>
          <w:color w:val="auto"/>
          <w:kern w:val="0"/>
          <w:szCs w:val="21"/>
          <w:highlight w:val="none"/>
        </w:rPr>
        <w:t>；甲方有权根据服务项目的工作需要制订相应的服务规范和相关的</w:t>
      </w:r>
      <w:r>
        <w:rPr>
          <w:rFonts w:hint="eastAsia" w:ascii="宋体" w:hAnsi="宋体" w:eastAsia="宋体" w:cs="宋体"/>
          <w:color w:val="auto"/>
          <w:kern w:val="0"/>
          <w:szCs w:val="21"/>
          <w:highlight w:val="none"/>
          <w:lang w:eastAsia="zh-CN"/>
        </w:rPr>
        <w:t>考核</w:t>
      </w:r>
      <w:r>
        <w:rPr>
          <w:rFonts w:hint="eastAsia" w:ascii="宋体" w:hAnsi="宋体" w:eastAsia="宋体" w:cs="宋体"/>
          <w:color w:val="auto"/>
          <w:kern w:val="0"/>
          <w:szCs w:val="21"/>
          <w:highlight w:val="none"/>
        </w:rPr>
        <w:t>办法，甲方有权要求乙方遵照甲方的服务规范和本合同的约定为甲方提供服务。</w:t>
      </w:r>
      <w:r>
        <w:rPr>
          <w:rFonts w:hint="eastAsia" w:ascii="宋体" w:hAnsi="宋体" w:eastAsia="宋体" w:cs="宋体"/>
          <w:color w:val="auto"/>
          <w:szCs w:val="21"/>
          <w:highlight w:val="none"/>
        </w:rPr>
        <w:t>如乙方服务人员服务质量达不到合同要求，甲方有权要求乙方更换服务人员，乙方必须在</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日内无条件的为甲方更换合格的服务人员。</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w:t>
      </w:r>
      <w:r>
        <w:rPr>
          <w:rFonts w:hint="eastAsia" w:ascii="宋体" w:hAnsi="宋体" w:eastAsia="宋体" w:cs="宋体"/>
          <w:color w:val="auto"/>
          <w:szCs w:val="21"/>
          <w:highlight w:val="none"/>
        </w:rPr>
        <w:t>甲方与乙方安排的服务人员不存在任何劳动或劳务关系，乙方应对其安排的服务人员人身、财产安全及相关行为负完全责任，并提供必要的劳动保护条件等，对其人员的意外事故、工伤、死亡承担责任，负责处理与其人员产生的劳动争议，并承担有关追讨、诉讼及赔偿等费用，甲方无须对这些意外工伤、死亡或劳动争议承担任何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rPr>
        <w:t>）甲方有权对乙方的服务人员的薪酬发放、社会保险缴纳等情况进行必要监督。如因乙方拖欠服务人员工资、社保、福利待遇等原因导致服务人员数量不能满足本合同服务要求的，乙方应立即补充安排充足的服务人员；若服务人员因乙方拖欠行为向甲方提出索赔或投诉或上访闹事的，甲方有权直接从未付服务费或使用履约担保先行垫付。</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七</w:t>
      </w:r>
      <w:r>
        <w:rPr>
          <w:rFonts w:hint="eastAsia" w:ascii="宋体" w:hAnsi="宋体" w:eastAsia="宋体" w:cs="宋体"/>
          <w:color w:val="auto"/>
          <w:kern w:val="0"/>
          <w:szCs w:val="21"/>
          <w:highlight w:val="none"/>
        </w:rPr>
        <w:t>）在本合同服务期内，因乙方违约行为产生的违约金、赔偿金、其他税费等，甲方有权直接从未付服务费或使用履约担保进行抵扣支付，由此造成的一切法律责任由乙方承担。</w:t>
      </w:r>
    </w:p>
    <w:p>
      <w:pPr>
        <w:pStyle w:val="47"/>
        <w:spacing w:line="360" w:lineRule="auto"/>
        <w:ind w:firstLine="420" w:firstLineChars="200"/>
        <w:jc w:val="left"/>
        <w:rPr>
          <w:rFonts w:eastAsia="+中文正文"/>
          <w:color w:val="auto"/>
          <w:highlight w:val="none"/>
        </w:rPr>
      </w:pPr>
      <w:r>
        <w:rPr>
          <w:rFonts w:hint="eastAsia" w:ascii="宋体" w:hAnsi="宋体" w:eastAsia="宋体" w:cs="宋体"/>
          <w:b w:val="0"/>
          <w:color w:val="auto"/>
          <w:szCs w:val="21"/>
          <w:highlight w:val="none"/>
        </w:rPr>
        <w:t>（</w:t>
      </w:r>
      <w:r>
        <w:rPr>
          <w:rFonts w:hint="eastAsia" w:ascii="宋体" w:hAnsi="宋体" w:eastAsia="宋体" w:cs="宋体"/>
          <w:b w:val="0"/>
          <w:color w:val="auto"/>
          <w:szCs w:val="21"/>
          <w:highlight w:val="none"/>
          <w:lang w:val="en-US" w:eastAsia="zh-CN"/>
        </w:rPr>
        <w:t>八</w:t>
      </w:r>
      <w:r>
        <w:rPr>
          <w:rFonts w:hint="eastAsia" w:ascii="宋体" w:hAnsi="宋体" w:eastAsia="宋体" w:cs="宋体"/>
          <w:b w:val="0"/>
          <w:color w:val="auto"/>
          <w:szCs w:val="21"/>
          <w:highlight w:val="none"/>
        </w:rPr>
        <w:t>）甲方提供12辆5吨、3辆3吨型号餐厨垃圾收运车辆、1辆18吨型号压缩式垃圾车辆及相应车载信息化设备给乙方使用。</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九</w:t>
      </w:r>
      <w:r>
        <w:rPr>
          <w:rFonts w:hint="eastAsia" w:ascii="宋体" w:hAnsi="宋体" w:eastAsia="宋体" w:cs="宋体"/>
          <w:color w:val="auto"/>
          <w:kern w:val="0"/>
          <w:szCs w:val="21"/>
          <w:highlight w:val="none"/>
        </w:rPr>
        <w:t>）招标文件、本合同文件及附件内容约定的甲方其他权利义务。</w:t>
      </w:r>
    </w:p>
    <w:p>
      <w:pPr>
        <w:pStyle w:val="2"/>
        <w:jc w:val="left"/>
        <w:rPr>
          <w:color w:val="auto"/>
          <w:sz w:val="21"/>
          <w:szCs w:val="21"/>
          <w:highlight w:val="none"/>
        </w:rPr>
      </w:pPr>
    </w:p>
    <w:p>
      <w:pPr>
        <w:autoSpaceDE w:val="0"/>
        <w:autoSpaceDN w:val="0"/>
        <w:adjustRightInd w:val="0"/>
        <w:spacing w:line="360" w:lineRule="auto"/>
        <w:ind w:left="473" w:leftChars="175" w:hanging="105" w:hangingChars="50"/>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第六条 乙方权利与义务</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（一）乙方应对甲方委托的各项目的内容予以严格保密。</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（二）乙方应服从甲方的统筹安排，并严格按照甲方的要求保质保量地提供相应服务。</w:t>
      </w:r>
    </w:p>
    <w:p>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根据甲方实际业务开展和服务需求，乙方须安排符合甲方要求的服务人员提供相应的服务，乙方须保证甲方业务正常开展。乙方须提供2名管理人员（包含1名管理人员，1名车队管理人员）进行驻点工作，负责日常工作对接和管理收运人员的工作。</w:t>
      </w:r>
      <w:r>
        <w:rPr>
          <w:rFonts w:hint="eastAsia" w:ascii="宋体" w:hAnsi="宋体" w:eastAsia="宋体" w:cs="宋体"/>
          <w:color w:val="auto"/>
          <w:kern w:val="0"/>
          <w:szCs w:val="21"/>
          <w:highlight w:val="none"/>
        </w:rPr>
        <w:t>乙方指定</w:t>
      </w:r>
      <w:r>
        <w:rPr>
          <w:rFonts w:hint="eastAsia" w:ascii="宋体" w:hAnsi="宋体" w:eastAsia="宋体" w:cs="宋体"/>
          <w:color w:val="auto"/>
          <w:szCs w:val="21"/>
          <w:highlight w:val="none"/>
        </w:rPr>
        <w:t>管理</w:t>
      </w:r>
      <w:r>
        <w:rPr>
          <w:rFonts w:hint="eastAsia" w:ascii="宋体" w:hAnsi="宋体" w:eastAsia="宋体" w:cs="宋体"/>
          <w:color w:val="auto"/>
          <w:kern w:val="0"/>
          <w:szCs w:val="21"/>
          <w:highlight w:val="none"/>
        </w:rPr>
        <w:t>人员（姓名：【 】；联系电话：【 】）负责与甲方的日常对接。</w:t>
      </w:r>
    </w:p>
    <w:p>
      <w:pPr>
        <w:spacing w:line="360" w:lineRule="auto"/>
        <w:ind w:firstLine="420" w:firstLineChars="200"/>
        <w:jc w:val="left"/>
        <w:rPr>
          <w:rFonts w:hint="eastAsia" w:eastAsia="宋体"/>
          <w:color w:val="auto"/>
          <w:highlight w:val="none"/>
          <w:lang w:eastAsia="zh-CN"/>
        </w:rPr>
      </w:pPr>
      <w:r>
        <w:rPr>
          <w:rFonts w:hint="eastAsia" w:eastAsia="+中文正文"/>
          <w:color w:val="auto"/>
          <w:highlight w:val="none"/>
          <w:lang w:val="en-US" w:eastAsia="zh-CN"/>
        </w:rPr>
        <w:t>经甲方书面同意后，乙方可根据收运量调整收运人员（含司机）数量。</w:t>
      </w:r>
      <w:r>
        <w:rPr>
          <w:rFonts w:hint="eastAsia" w:ascii="宋体" w:hAnsi="宋体" w:eastAsia="宋体" w:cs="宋体"/>
          <w:bCs/>
          <w:color w:val="auto"/>
          <w:szCs w:val="21"/>
          <w:highlight w:val="none"/>
        </w:rPr>
        <w:t>当收运量在40吨/天及以下时，乙方至少配备5名收运人员（车队管理人员可兼任收运人员，但不得因收运工作影响正常的管理工作）。</w:t>
      </w:r>
      <w:r>
        <w:rPr>
          <w:rFonts w:hint="eastAsia" w:ascii="宋体" w:hAnsi="宋体" w:eastAsia="宋体" w:cs="宋体"/>
          <w:color w:val="auto"/>
          <w:szCs w:val="21"/>
          <w:highlight w:val="none"/>
        </w:rPr>
        <w:t>服务人员的资质须经甲方审核通过后方可提供服务</w:t>
      </w:r>
      <w:r>
        <w:rPr>
          <w:rFonts w:hint="eastAsia" w:ascii="宋体" w:hAnsi="宋体" w:eastAsia="宋体" w:cs="宋体"/>
          <w:color w:val="auto"/>
          <w:szCs w:val="21"/>
          <w:highlight w:val="none"/>
          <w:lang w:eastAsia="zh-CN"/>
        </w:rPr>
        <w:t>。</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本合同履行过程中，乙方的服务人员应保持相对稳定，以保证服务工作正常进行。乙方如需更换服务人员，应提前7天向甲方书面申请，经甲方书面同意后方可更换，其中司机不得低于原拟投入本项目的人员经验、资质。</w:t>
      </w:r>
    </w:p>
    <w:p>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五）乙方应按照国家现行法律法规的规定依法与服务人员签订劳动合同，并依法办理社保、公积金和个人所得税的代缴代扣等事宜，所产生的法律后果由乙方自行承担，均与甲方无关。乙方须按时发放其服务人员的工资、福利，自行处理与服务人员的各种劳资纠纷，处理相关的劳动仲裁、诉讼等事宜。如服务人员发生工伤、重大疾病、非因工死亡等事故，乙方须依照法律法规规定进行调查赔偿等处理，因此导致服务人员不能满足服务要求的，乙方还应在甲方指定的期限内予以补足。</w:t>
      </w:r>
    </w:p>
    <w:p>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（六）乙方应确保其服务人员在作业时应注意保护环境，运输过程中要做到密闭运输，不发生餐厨垃圾遗洒，如发生遗洒，乙方需对现场进行清洁工作。</w:t>
      </w:r>
    </w:p>
    <w:p>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（七）乙方应按照甲方要求安排路线与时间将餐厨垃圾收运至甲方或甲方指定场所进行处置，不得擅自更改路线与收运时间、不得将餐厨垃圾随意排放或送至非指定处置场所。</w:t>
      </w:r>
    </w:p>
    <w:p>
      <w:pPr>
        <w:pStyle w:val="47"/>
        <w:spacing w:line="360" w:lineRule="auto"/>
        <w:ind w:firstLine="420" w:firstLineChars="200"/>
        <w:jc w:val="left"/>
        <w:rPr>
          <w:rFonts w:hint="eastAsia" w:ascii="宋体" w:hAnsi="宋体" w:eastAsia="宋体" w:cs="宋体"/>
          <w:b w:val="0"/>
          <w:bCs/>
          <w:color w:val="auto"/>
          <w:highlight w:val="none"/>
          <w:lang w:eastAsia="zh-CN"/>
        </w:rPr>
      </w:pPr>
      <w:r>
        <w:rPr>
          <w:rFonts w:hint="eastAsia" w:ascii="宋体" w:hAnsi="宋体" w:eastAsia="宋体" w:cs="宋体"/>
          <w:b w:val="0"/>
          <w:color w:val="auto"/>
          <w:szCs w:val="21"/>
          <w:highlight w:val="none"/>
        </w:rPr>
        <w:t>（八）乙方在服务期内</w:t>
      </w:r>
      <w:r>
        <w:rPr>
          <w:rFonts w:hint="eastAsia" w:ascii="宋体" w:hAnsi="宋体" w:eastAsia="宋体" w:cs="宋体"/>
          <w:b w:val="0"/>
          <w:bCs/>
          <w:color w:val="auto"/>
          <w:highlight w:val="none"/>
        </w:rPr>
        <w:t>对所使用车辆及设备承担保管、维护、清洁、维修、保养等责任。乙方须对车辆定期进行检查，发现车辆异常的，应按合同约定的期限进行维修</w:t>
      </w:r>
      <w:r>
        <w:rPr>
          <w:rFonts w:hint="eastAsia" w:ascii="宋体" w:hAnsi="宋体" w:eastAsia="宋体" w:cs="宋体"/>
          <w:b w:val="0"/>
          <w:bCs/>
          <w:color w:val="auto"/>
          <w:highlight w:val="none"/>
          <w:lang w:eastAsia="zh-CN"/>
        </w:rPr>
        <w:t>。</w:t>
      </w:r>
    </w:p>
    <w:p>
      <w:pPr>
        <w:pStyle w:val="47"/>
        <w:spacing w:line="360" w:lineRule="auto"/>
        <w:ind w:firstLine="420" w:firstLineChars="200"/>
        <w:jc w:val="left"/>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lang w:eastAsia="zh-CN"/>
        </w:rPr>
        <w:t>（九）</w:t>
      </w:r>
      <w:r>
        <w:rPr>
          <w:rFonts w:hint="eastAsia" w:ascii="宋体" w:hAnsi="宋体" w:eastAsia="宋体" w:cs="宋体"/>
          <w:b w:val="0"/>
          <w:bCs/>
          <w:color w:val="auto"/>
          <w:highlight w:val="none"/>
          <w:lang w:val="en-US" w:eastAsia="zh-CN"/>
        </w:rPr>
        <w:t>乙方</w:t>
      </w:r>
      <w:r>
        <w:rPr>
          <w:rFonts w:hint="eastAsia" w:ascii="宋体" w:hAnsi="宋体" w:eastAsia="宋体" w:cs="宋体"/>
          <w:b w:val="0"/>
          <w:bCs/>
          <w:color w:val="auto"/>
          <w:highlight w:val="none"/>
          <w:lang w:eastAsia="zh-CN"/>
        </w:rPr>
        <w:t>在</w:t>
      </w:r>
      <w:r>
        <w:rPr>
          <w:rFonts w:hint="eastAsia" w:ascii="宋体" w:hAnsi="宋体" w:eastAsia="宋体" w:cs="宋体"/>
          <w:b w:val="0"/>
          <w:bCs/>
          <w:color w:val="auto"/>
          <w:highlight w:val="none"/>
          <w:lang w:val="en-US" w:eastAsia="zh-CN"/>
        </w:rPr>
        <w:t>中标通知书发出</w:t>
      </w:r>
      <w:r>
        <w:rPr>
          <w:rFonts w:hint="eastAsia" w:ascii="宋体" w:hAnsi="宋体" w:eastAsia="宋体" w:cs="宋体"/>
          <w:b w:val="0"/>
          <w:bCs/>
          <w:color w:val="auto"/>
          <w:highlight w:val="none"/>
          <w:lang w:eastAsia="zh-CN"/>
        </w:rPr>
        <w:t>后【</w:t>
      </w:r>
      <w:r>
        <w:rPr>
          <w:rFonts w:hint="eastAsia" w:ascii="宋体" w:hAnsi="宋体" w:eastAsia="宋体" w:cs="宋体"/>
          <w:b w:val="0"/>
          <w:bCs/>
          <w:color w:val="auto"/>
          <w:highlight w:val="none"/>
          <w:lang w:val="en-US" w:eastAsia="zh-CN"/>
        </w:rPr>
        <w:t>5</w:t>
      </w:r>
      <w:r>
        <w:rPr>
          <w:rFonts w:hint="eastAsia" w:ascii="宋体" w:hAnsi="宋体" w:eastAsia="宋体" w:cs="宋体"/>
          <w:b w:val="0"/>
          <w:bCs/>
          <w:color w:val="auto"/>
          <w:highlight w:val="none"/>
          <w:lang w:eastAsia="zh-CN"/>
        </w:rPr>
        <w:t>】</w:t>
      </w:r>
      <w:r>
        <w:rPr>
          <w:rFonts w:hint="default" w:ascii="宋体" w:hAnsi="宋体" w:eastAsia="宋体" w:cs="宋体"/>
          <w:b w:val="0"/>
          <w:bCs/>
          <w:color w:val="auto"/>
          <w:highlight w:val="none"/>
          <w:lang w:val="en-US" w:eastAsia="zh-CN"/>
        </w:rPr>
        <w:t>天</w:t>
      </w:r>
      <w:r>
        <w:rPr>
          <w:rFonts w:hint="eastAsia" w:ascii="宋体" w:hAnsi="宋体" w:eastAsia="宋体" w:cs="宋体"/>
          <w:b w:val="0"/>
          <w:bCs/>
          <w:color w:val="auto"/>
          <w:highlight w:val="none"/>
          <w:lang w:val="en-US" w:eastAsia="zh-CN"/>
        </w:rPr>
        <w:t>内</w:t>
      </w:r>
      <w:r>
        <w:rPr>
          <w:rFonts w:hint="eastAsia" w:ascii="宋体" w:hAnsi="宋体" w:eastAsia="宋体" w:cs="宋体"/>
          <w:b w:val="0"/>
          <w:bCs/>
          <w:color w:val="auto"/>
          <w:highlight w:val="none"/>
          <w:lang w:eastAsia="zh-CN"/>
        </w:rPr>
        <w:t>需要自行对</w:t>
      </w:r>
      <w:r>
        <w:rPr>
          <w:rFonts w:hint="eastAsia" w:ascii="宋体" w:hAnsi="宋体" w:eastAsia="宋体" w:cs="宋体"/>
          <w:b w:val="0"/>
          <w:bCs/>
          <w:color w:val="auto"/>
          <w:highlight w:val="none"/>
          <w:lang w:val="en-US" w:eastAsia="zh-CN"/>
        </w:rPr>
        <w:t>甲方提供的收运</w:t>
      </w:r>
      <w:r>
        <w:rPr>
          <w:rFonts w:hint="eastAsia" w:ascii="宋体" w:hAnsi="宋体" w:eastAsia="宋体" w:cs="宋体"/>
          <w:b w:val="0"/>
          <w:bCs/>
          <w:color w:val="auto"/>
          <w:highlight w:val="none"/>
          <w:lang w:eastAsia="zh-CN"/>
        </w:rPr>
        <w:t>车辆进行验车，确保车辆所有功能正常后方可投入使用（如部分车辆存在功能缺失，可与</w:t>
      </w:r>
      <w:r>
        <w:rPr>
          <w:rFonts w:hint="eastAsia" w:ascii="宋体" w:hAnsi="宋体" w:eastAsia="宋体" w:cs="宋体"/>
          <w:b w:val="0"/>
          <w:bCs/>
          <w:color w:val="auto"/>
          <w:highlight w:val="none"/>
          <w:lang w:val="en-US" w:eastAsia="zh-CN"/>
        </w:rPr>
        <w:t>甲方</w:t>
      </w:r>
      <w:r>
        <w:rPr>
          <w:rFonts w:hint="eastAsia" w:ascii="宋体" w:hAnsi="宋体" w:eastAsia="宋体" w:cs="宋体"/>
          <w:b w:val="0"/>
          <w:bCs/>
          <w:color w:val="auto"/>
          <w:highlight w:val="none"/>
          <w:lang w:eastAsia="zh-CN"/>
        </w:rPr>
        <w:t>确认并进行备案，备案后在不影响正常使用的前提下可先投入使用），使用该过程中出现车辆故障问题（除已备案部分）均需要由</w:t>
      </w:r>
      <w:r>
        <w:rPr>
          <w:rFonts w:hint="eastAsia" w:ascii="宋体" w:hAnsi="宋体" w:eastAsia="宋体" w:cs="宋体"/>
          <w:b w:val="0"/>
          <w:bCs/>
          <w:color w:val="auto"/>
          <w:highlight w:val="none"/>
          <w:lang w:val="en-US" w:eastAsia="zh-CN"/>
        </w:rPr>
        <w:t>乙方</w:t>
      </w:r>
      <w:r>
        <w:rPr>
          <w:rFonts w:hint="eastAsia" w:ascii="宋体" w:hAnsi="宋体" w:eastAsia="宋体" w:cs="宋体"/>
          <w:b w:val="0"/>
          <w:bCs/>
          <w:color w:val="auto"/>
          <w:highlight w:val="none"/>
          <w:lang w:eastAsia="zh-CN"/>
        </w:rPr>
        <w:t>承担维修责任，服务期结束后，</w:t>
      </w:r>
      <w:r>
        <w:rPr>
          <w:rFonts w:hint="eastAsia" w:ascii="宋体" w:hAnsi="宋体" w:eastAsia="宋体" w:cs="宋体"/>
          <w:b w:val="0"/>
          <w:bCs/>
          <w:color w:val="auto"/>
          <w:highlight w:val="none"/>
          <w:lang w:val="en-US" w:eastAsia="zh-CN"/>
        </w:rPr>
        <w:t>甲方</w:t>
      </w:r>
      <w:r>
        <w:rPr>
          <w:rFonts w:hint="eastAsia" w:ascii="宋体" w:hAnsi="宋体" w:eastAsia="宋体" w:cs="宋体"/>
          <w:b w:val="0"/>
          <w:bCs/>
          <w:color w:val="auto"/>
          <w:highlight w:val="none"/>
          <w:lang w:eastAsia="zh-CN"/>
        </w:rPr>
        <w:t>将对所有车辆进行验车，</w:t>
      </w:r>
      <w:r>
        <w:rPr>
          <w:rFonts w:hint="eastAsia" w:ascii="宋体" w:hAnsi="宋体" w:eastAsia="宋体" w:cs="宋体"/>
          <w:b w:val="0"/>
          <w:bCs/>
          <w:color w:val="auto"/>
          <w:highlight w:val="none"/>
          <w:lang w:val="en-US" w:eastAsia="zh-CN"/>
        </w:rPr>
        <w:t>乙方</w:t>
      </w:r>
      <w:r>
        <w:rPr>
          <w:rFonts w:hint="eastAsia" w:ascii="宋体" w:hAnsi="宋体" w:eastAsia="宋体" w:cs="宋体"/>
          <w:b w:val="0"/>
          <w:bCs/>
          <w:color w:val="auto"/>
          <w:highlight w:val="none"/>
          <w:lang w:eastAsia="zh-CN"/>
        </w:rPr>
        <w:t>需要保证车辆功能恢复至服务期投入使用前的状态。</w:t>
      </w:r>
    </w:p>
    <w:p>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十</w:t>
      </w:r>
      <w:r>
        <w:rPr>
          <w:rFonts w:hint="eastAsia" w:ascii="宋体" w:hAnsi="宋体" w:eastAsia="宋体" w:cs="宋体"/>
          <w:color w:val="auto"/>
          <w:szCs w:val="21"/>
          <w:highlight w:val="none"/>
        </w:rPr>
        <w:t>）乙方在收运服务过程中应做好安全防范工作，采取必要的安全防护措施，定期进行安全隐患排查，消除事故隐患。由于乙方的不尽职、操作不当、安全措施不力、人为疏失等原因造成双方及第三方的财产毁损、人身伤害（含各方雇员及临时聘用人员）、交通事故及安全事故的责任和因此发生的费用，全部由乙方承担。若造成甲方其他损失，乙方仍需全额赔偿。若产生劳动纠纷或仲裁或诉讼，均由乙方自行处理并承担损害赔偿，甲方不承担任何责任；由此导致甲方需要支出相关律师费、诉讼费等相关费用的，由乙方全额向甲方赔偿。如发生安全事故，乙方应负责解决并承担相应责任。</w:t>
      </w:r>
    </w:p>
    <w:p>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（十</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乙方须确保其服务人员严格遵守相关法律法规及规章和甲方公司规定，服务过程中因服务人员工作失误、违法违章或者交通事故而导致的后果和产生的费用，全部由乙方承担，乙方应自行处理和解决，与甲方无关。如甲方因此受到索赔或处罚的，赔偿及罚款由乙方承担，且甲方有权要求乙方予以赔偿。同时，甲方有权向乙方收取违约金。</w:t>
      </w:r>
    </w:p>
    <w:p>
      <w:pPr>
        <w:autoSpaceDE w:val="0"/>
        <w:autoSpaceDN w:val="0"/>
        <w:adjustRightInd w:val="0"/>
        <w:spacing w:line="360" w:lineRule="auto"/>
        <w:ind w:firstLine="420" w:firstLineChars="200"/>
        <w:jc w:val="left"/>
        <w:rPr>
          <w:rFonts w:eastAsia="+中文正文" w:asciiTheme="minorHAnsi" w:hAnsiTheme="minorHAnsi" w:cstheme="minorBidi"/>
          <w:color w:val="auto"/>
          <w:szCs w:val="22"/>
          <w:highlight w:val="none"/>
        </w:rPr>
      </w:pPr>
      <w:r>
        <w:rPr>
          <w:rFonts w:hint="eastAsia" w:eastAsia="+中文正文"/>
          <w:color w:val="auto"/>
          <w:highlight w:val="none"/>
        </w:rPr>
        <w:t>（十</w:t>
      </w:r>
      <w:r>
        <w:rPr>
          <w:rFonts w:hint="eastAsia" w:eastAsia="+中文正文"/>
          <w:color w:val="auto"/>
          <w:highlight w:val="none"/>
          <w:lang w:val="en-US" w:eastAsia="zh-CN"/>
        </w:rPr>
        <w:t>二</w:t>
      </w:r>
      <w:r>
        <w:rPr>
          <w:rFonts w:hint="eastAsia" w:eastAsia="+中文正文"/>
          <w:color w:val="auto"/>
          <w:highlight w:val="none"/>
        </w:rPr>
        <w:t>）禁止乙方将全部的权利义务转让给第三人；未经甲方书面同意，乙方不得将本合同项下乙方的部分权利义务分包给第三人。</w:t>
      </w:r>
    </w:p>
    <w:p>
      <w:pPr>
        <w:autoSpaceDE w:val="0"/>
        <w:autoSpaceDN w:val="0"/>
        <w:adjustRightInd w:val="0"/>
        <w:spacing w:line="360" w:lineRule="auto"/>
        <w:ind w:firstLine="420" w:firstLineChars="200"/>
        <w:jc w:val="left"/>
        <w:rPr>
          <w:rFonts w:ascii="宋体" w:hAnsi="宋体" w:eastAsia="宋体" w:cs="宋体"/>
          <w:color w:val="auto"/>
          <w:kern w:val="0"/>
          <w:sz w:val="24"/>
          <w:szCs w:val="21"/>
          <w:highlight w:val="none"/>
        </w:rPr>
      </w:pPr>
      <w:r>
        <w:rPr>
          <w:rFonts w:hint="eastAsia" w:ascii="宋体" w:hAnsi="宋体" w:eastAsia="宋体" w:cs="宋体"/>
          <w:color w:val="auto"/>
          <w:kern w:val="0"/>
          <w:szCs w:val="21"/>
          <w:highlight w:val="none"/>
        </w:rPr>
        <w:t>（十</w:t>
      </w:r>
      <w:r>
        <w:rPr>
          <w:rFonts w:hint="eastAsia" w:ascii="宋体" w:hAnsi="宋体" w:eastAsia="宋体" w:cs="宋体"/>
          <w:color w:val="auto"/>
          <w:kern w:val="0"/>
          <w:szCs w:val="21"/>
          <w:highlight w:val="none"/>
          <w:lang w:val="en-US" w:eastAsia="zh-CN"/>
        </w:rPr>
        <w:t>三</w:t>
      </w:r>
      <w:r>
        <w:rPr>
          <w:rFonts w:hint="eastAsia" w:ascii="宋体" w:hAnsi="宋体" w:eastAsia="宋体" w:cs="宋体"/>
          <w:color w:val="auto"/>
          <w:kern w:val="0"/>
          <w:szCs w:val="21"/>
          <w:highlight w:val="none"/>
        </w:rPr>
        <w:t>）合同文件及附件内容约定的乙方其他权利义务。</w:t>
      </w:r>
    </w:p>
    <w:p>
      <w:pPr>
        <w:adjustRightInd w:val="0"/>
        <w:snapToGrid w:val="0"/>
        <w:spacing w:line="360" w:lineRule="auto"/>
        <w:ind w:firstLine="373" w:firstLineChars="177"/>
        <w:rPr>
          <w:rFonts w:ascii="宋体" w:hAnsi="宋体" w:eastAsia="宋体" w:cs="Times New Roman"/>
          <w:b/>
          <w:color w:val="auto"/>
          <w:szCs w:val="21"/>
          <w:highlight w:val="none"/>
        </w:rPr>
      </w:pPr>
    </w:p>
    <w:p>
      <w:pPr>
        <w:adjustRightInd w:val="0"/>
        <w:snapToGrid w:val="0"/>
        <w:spacing w:line="360" w:lineRule="auto"/>
        <w:ind w:firstLine="373" w:firstLineChars="177"/>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第七条 履约担保</w:t>
      </w:r>
    </w:p>
    <w:p>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1、乙方应当根据招标文件的规定在签订本合同前向甲方提供履约担保，履约担保形式及金额由乙方从以下方式中任选一种：</w:t>
      </w:r>
    </w:p>
    <w:p>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u w:val="single"/>
        </w:rPr>
        <w:t>履约保证金（银行转账形式）金额为人民币      ；</w:t>
      </w:r>
    </w:p>
    <w:p>
      <w:pPr>
        <w:adjustRightInd w:val="0"/>
        <w:snapToGrid w:val="0"/>
        <w:spacing w:line="360" w:lineRule="auto"/>
        <w:ind w:firstLine="371" w:firstLineChars="177"/>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u w:val="single"/>
        </w:rPr>
        <w:t>不可撤销银行履约保函金额为人民币      ；</w:t>
      </w:r>
    </w:p>
    <w:p>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履约保证保险金额为</w:t>
      </w:r>
      <w:r>
        <w:rPr>
          <w:rFonts w:hint="eastAsia" w:ascii="宋体" w:hAnsi="宋体" w:eastAsia="宋体" w:cs="Times New Roman"/>
          <w:color w:val="auto"/>
          <w:szCs w:val="21"/>
          <w:highlight w:val="none"/>
          <w:u w:val="single"/>
        </w:rPr>
        <w:t>人民币      ；</w:t>
      </w:r>
    </w:p>
    <w:p>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u w:val="single"/>
        </w:rPr>
        <w:t xml:space="preserve">担保公司履约担保书金额为人民币      </w:t>
      </w:r>
      <w:r>
        <w:rPr>
          <w:rFonts w:hint="eastAsia" w:ascii="宋体" w:hAnsi="宋体" w:eastAsia="宋体" w:cs="Times New Roman"/>
          <w:color w:val="auto"/>
          <w:szCs w:val="21"/>
          <w:highlight w:val="none"/>
        </w:rPr>
        <w:t>。</w:t>
      </w:r>
    </w:p>
    <w:p>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2、履约担保用于赔偿甲方因乙方不能完成其合同义务而蒙受的损失，如发生下列任一情况时，甲方除有权依合同追究违约责任外，还有权启动履约担保进行相应处理：</w:t>
      </w:r>
    </w:p>
    <w:p>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Times New Roman" w:hAnsi="宋体" w:eastAsia="宋体" w:cs="Times New Roman"/>
          <w:color w:val="auto"/>
          <w:szCs w:val="21"/>
          <w:highlight w:val="none"/>
        </w:rPr>
        <w:t>乙方将合同项下的权利义务全部转让给第三方，或未经甲方书面同意将部分权利义务转让给第三方的，甲方有权没收其履约担保</w:t>
      </w:r>
      <w:r>
        <w:rPr>
          <w:rFonts w:hint="eastAsia" w:ascii="宋体" w:hAnsi="宋体" w:eastAsia="宋体" w:cs="Times New Roman"/>
          <w:color w:val="auto"/>
          <w:szCs w:val="21"/>
          <w:highlight w:val="none"/>
        </w:rPr>
        <w:t>。</w:t>
      </w:r>
    </w:p>
    <w:p>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（2）在合同履行期间，乙方怠于履行合同义务，经甲方通知或要求承担违约金后仍拒不改正的，甲方可依法没收或适当扣除其履约担保。</w:t>
      </w:r>
    </w:p>
    <w:p>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在合同履行期间，因乙方服务质量问题造成损害、侵权损失（包括但不限于甲方经济损失、甲方人员人身财产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（4）在合同履行期间，乙方违约产生的违约金、赔偿、罚款或其他应付费用等款项，甲方有权直接从未付款项中直接扣除或启用履约担保予以支付。</w:t>
      </w:r>
    </w:p>
    <w:p>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（5）合同期内，乙方不能及时完成某项合同义务的，甲方有权提取履约担保用于处理该项工作。</w:t>
      </w:r>
    </w:p>
    <w:p>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（6）其他根据本合同约定或法律规定，甲方可使用履约担保的情形。</w:t>
      </w:r>
    </w:p>
    <w:p>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3、在合同</w:t>
      </w:r>
      <w:r>
        <w:rPr>
          <w:rFonts w:hint="eastAsia" w:ascii="宋体" w:hAnsi="宋体" w:eastAsia="宋体" w:cs="宋体"/>
          <w:color w:val="auto"/>
          <w:szCs w:val="21"/>
          <w:highlight w:val="none"/>
        </w:rPr>
        <w:t>期限届满并在</w:t>
      </w:r>
      <w:r>
        <w:rPr>
          <w:rFonts w:hint="eastAsia" w:ascii="宋体" w:hAnsi="宋体" w:eastAsia="宋体" w:cs="Times New Roman"/>
          <w:color w:val="auto"/>
          <w:szCs w:val="21"/>
          <w:highlight w:val="none"/>
        </w:rPr>
        <w:t>乙方完成本合同</w:t>
      </w:r>
      <w:r>
        <w:rPr>
          <w:rFonts w:hint="eastAsia" w:ascii="宋体" w:hAnsi="宋体" w:eastAsia="宋体" w:cs="宋体"/>
          <w:color w:val="auto"/>
          <w:szCs w:val="21"/>
          <w:highlight w:val="none"/>
        </w:rPr>
        <w:t>的全部服务义务</w:t>
      </w:r>
      <w:r>
        <w:rPr>
          <w:rFonts w:hint="eastAsia" w:ascii="宋体" w:hAnsi="宋体" w:eastAsia="宋体" w:cs="Times New Roman"/>
          <w:color w:val="auto"/>
          <w:szCs w:val="21"/>
          <w:highlight w:val="none"/>
        </w:rPr>
        <w:t>后二十八（28）日内，甲方将履约担保余额无息退还乙方。</w:t>
      </w:r>
    </w:p>
    <w:p>
      <w:pPr>
        <w:autoSpaceDE w:val="0"/>
        <w:autoSpaceDN w:val="0"/>
        <w:adjustRightInd w:val="0"/>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4、如乙方提供不可撤销银行履约保函或担保公司履约担保书作为履约担保的，不可撤销银行履约保函或担保公司履约担保书应自本合同签订之日起到合同</w:t>
      </w:r>
      <w:r>
        <w:rPr>
          <w:rFonts w:hint="eastAsia" w:ascii="宋体" w:hAnsi="宋体" w:eastAsia="宋体" w:cs="宋体"/>
          <w:color w:val="auto"/>
          <w:szCs w:val="21"/>
          <w:highlight w:val="none"/>
        </w:rPr>
        <w:t>期限届满并在</w:t>
      </w:r>
      <w:r>
        <w:rPr>
          <w:rFonts w:hint="eastAsia" w:ascii="宋体" w:hAnsi="宋体" w:eastAsia="宋体" w:cs="Times New Roman"/>
          <w:color w:val="auto"/>
          <w:szCs w:val="21"/>
          <w:highlight w:val="none"/>
        </w:rPr>
        <w:t>乙方完成本合同的全部服务</w:t>
      </w:r>
      <w:r>
        <w:rPr>
          <w:rFonts w:hint="eastAsia" w:ascii="宋体" w:hAnsi="宋体" w:eastAsia="宋体" w:cs="宋体"/>
          <w:color w:val="auto"/>
          <w:szCs w:val="21"/>
          <w:highlight w:val="none"/>
        </w:rPr>
        <w:t>义务</w:t>
      </w:r>
      <w:r>
        <w:rPr>
          <w:rFonts w:hint="eastAsia" w:ascii="宋体" w:hAnsi="宋体" w:eastAsia="宋体" w:cs="Times New Roman"/>
          <w:color w:val="auto"/>
          <w:szCs w:val="21"/>
          <w:highlight w:val="none"/>
        </w:rPr>
        <w:t>后二十八（28）日内保持有效。</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szCs w:val="21"/>
          <w:highlight w:val="none"/>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w:t>
      </w:r>
    </w:p>
    <w:p>
      <w:pPr>
        <w:autoSpaceDE w:val="0"/>
        <w:autoSpaceDN w:val="0"/>
        <w:adjustRightInd w:val="0"/>
        <w:spacing w:line="360" w:lineRule="auto"/>
        <w:ind w:left="473" w:leftChars="175" w:hanging="105" w:hangingChars="50"/>
        <w:rPr>
          <w:rFonts w:ascii="宋体" w:hAnsi="宋体" w:eastAsia="宋体" w:cs="Times New Roman"/>
          <w:b/>
          <w:color w:val="auto"/>
          <w:szCs w:val="21"/>
          <w:highlight w:val="none"/>
        </w:rPr>
      </w:pPr>
    </w:p>
    <w:p>
      <w:pPr>
        <w:autoSpaceDE w:val="0"/>
        <w:autoSpaceDN w:val="0"/>
        <w:adjustRightInd w:val="0"/>
        <w:spacing w:line="360" w:lineRule="auto"/>
        <w:ind w:left="473" w:leftChars="175" w:hanging="105" w:hangingChars="5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第八条 权利保证</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应保证合同项下提供的服务及相关货物不侵犯任何第三方的专利、商标、版权以及其它权利，否则，乙方须承担因此产生的全部责任及费用，如因此造成甲方损失的，乙方应予以足额赔偿。如果任何第三方提出侵权主张，乙方须与第三方交涉并承担由此发生的一切责任、费用和经济赔偿。由于乙方提供的服务及货物的任何一部分不符合知识产权规定，由乙方承担因此给甲方造成的全部损失，包括但不限于本合同所约定的总价款、甲方为维护自身权益所支付的律师费、诉讼费、鉴定费、差旅费等全部费用。</w:t>
      </w:r>
    </w:p>
    <w:p>
      <w:pPr>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left="473" w:leftChars="175" w:hanging="105" w:hangingChars="50"/>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第九条 违约责任</w:t>
      </w:r>
    </w:p>
    <w:p>
      <w:pPr>
        <w:spacing w:line="360" w:lineRule="auto"/>
        <w:ind w:firstLine="420" w:firstLineChars="200"/>
        <w:jc w:val="left"/>
        <w:rPr>
          <w:rFonts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（一）若乙方在服务期内出现拒绝接受服务情况或无法按时完成当天收运任务的，甲方有权要求乙方支付3</w:t>
      </w:r>
      <w:r>
        <w:rPr>
          <w:rFonts w:hint="eastAsia" w:ascii="宋体" w:hAnsi="宋体" w:eastAsia="宋体" w:cs="宋体"/>
          <w:snapToGrid w:val="0"/>
          <w:color w:val="auto"/>
          <w:szCs w:val="21"/>
          <w:highlight w:val="none"/>
        </w:rPr>
        <w:t>,</w:t>
      </w:r>
      <w:r>
        <w:rPr>
          <w:rFonts w:hint="eastAsia" w:ascii="宋体" w:hAnsi="宋体" w:eastAsia="宋体" w:cs="宋体"/>
          <w:snapToGrid w:val="0"/>
          <w:color w:val="auto"/>
          <w:szCs w:val="21"/>
          <w:highlight w:val="none"/>
          <w:lang w:val="zh-CN"/>
        </w:rPr>
        <w:t>000.00元/次的违约金，达3次以上（含3次）的，甲方有权单方面解除本合同。乙方还应向甲方支付人民币</w:t>
      </w:r>
      <w:r>
        <w:rPr>
          <w:rFonts w:hint="eastAsia" w:ascii="宋体" w:hAnsi="宋体" w:eastAsia="宋体" w:cs="宋体"/>
          <w:snapToGrid w:val="0"/>
          <w:color w:val="auto"/>
          <w:szCs w:val="21"/>
          <w:highlight w:val="none"/>
          <w:lang w:val="en-US" w:eastAsia="zh-CN"/>
        </w:rPr>
        <w:t>5</w:t>
      </w:r>
      <w:r>
        <w:rPr>
          <w:rFonts w:hint="eastAsia" w:ascii="宋体" w:hAnsi="宋体" w:eastAsia="宋体" w:cs="宋体"/>
          <w:snapToGrid w:val="0"/>
          <w:color w:val="auto"/>
          <w:szCs w:val="21"/>
          <w:highlight w:val="none"/>
          <w:lang w:val="zh-CN"/>
        </w:rPr>
        <w:t>0,000.00元作为违约金。</w:t>
      </w:r>
    </w:p>
    <w:p>
      <w:pPr>
        <w:spacing w:line="360" w:lineRule="auto"/>
        <w:ind w:firstLine="420" w:firstLineChars="200"/>
        <w:jc w:val="left"/>
        <w:rPr>
          <w:rFonts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（二）服务期内，若在收运过程中收运工作人员存在往所收运餐厨垃圾中掺水等收运量弄虚作假等违规行为，甲方有权按10,000</w:t>
      </w:r>
      <w:r>
        <w:rPr>
          <w:rFonts w:hint="eastAsia" w:ascii="宋体" w:hAnsi="宋体" w:eastAsia="宋体" w:cs="宋体"/>
          <w:snapToGrid w:val="0"/>
          <w:color w:val="auto"/>
          <w:szCs w:val="21"/>
          <w:highlight w:val="none"/>
        </w:rPr>
        <w:t>.00</w:t>
      </w:r>
      <w:r>
        <w:rPr>
          <w:rFonts w:hint="eastAsia" w:ascii="宋体" w:hAnsi="宋体" w:eastAsia="宋体" w:cs="宋体"/>
          <w:snapToGrid w:val="0"/>
          <w:color w:val="auto"/>
          <w:szCs w:val="21"/>
          <w:highlight w:val="none"/>
          <w:lang w:val="zh-CN"/>
        </w:rPr>
        <w:t>元/次向乙方收取违约金。乙方违反本条约定达3次（含3次）以上的，甲方有权单方解除合同，乙方还应向甲方支付人民币</w:t>
      </w:r>
      <w:r>
        <w:rPr>
          <w:rFonts w:hint="eastAsia" w:ascii="宋体" w:hAnsi="宋体" w:eastAsia="宋体" w:cs="宋体"/>
          <w:snapToGrid w:val="0"/>
          <w:color w:val="auto"/>
          <w:szCs w:val="21"/>
          <w:highlight w:val="none"/>
          <w:lang w:val="en-US" w:eastAsia="zh-CN"/>
        </w:rPr>
        <w:t>10</w:t>
      </w:r>
      <w:r>
        <w:rPr>
          <w:rFonts w:hint="eastAsia" w:ascii="宋体" w:hAnsi="宋体" w:eastAsia="宋体" w:cs="宋体"/>
          <w:snapToGrid w:val="0"/>
          <w:color w:val="auto"/>
          <w:szCs w:val="21"/>
          <w:highlight w:val="none"/>
          <w:lang w:val="zh-CN"/>
        </w:rPr>
        <w:t>0,000.00元作为违约金，</w:t>
      </w:r>
      <w:r>
        <w:rPr>
          <w:rFonts w:hint="eastAsia" w:ascii="宋体" w:hAnsi="宋体" w:eastAsia="宋体" w:cs="宋体"/>
          <w:snapToGrid w:val="0"/>
          <w:color w:val="auto"/>
          <w:sz w:val="21"/>
          <w:szCs w:val="21"/>
          <w:highlight w:val="none"/>
          <w:lang w:val="zh-CN"/>
        </w:rPr>
        <w:t>违约金不足以弥补甲方损失的，乙方还应当予以补足。</w:t>
      </w:r>
    </w:p>
    <w:p>
      <w:pPr>
        <w:spacing w:line="360" w:lineRule="auto"/>
        <w:ind w:firstLine="420" w:firstLineChars="200"/>
        <w:jc w:val="left"/>
        <w:rPr>
          <w:rFonts w:hint="default" w:ascii="宋体" w:hAnsi="宋体" w:eastAsia="宋体" w:cs="宋体"/>
          <w:snapToGrid w:val="0"/>
          <w:color w:val="auto"/>
          <w:szCs w:val="21"/>
          <w:highlight w:val="none"/>
          <w:lang w:val="en-US" w:eastAsia="zh-CN"/>
        </w:rPr>
      </w:pPr>
      <w:r>
        <w:rPr>
          <w:rFonts w:hint="eastAsia" w:ascii="宋体" w:hAnsi="宋体" w:eastAsia="宋体" w:cs="宋体"/>
          <w:snapToGrid w:val="0"/>
          <w:color w:val="auto"/>
          <w:szCs w:val="21"/>
          <w:highlight w:val="none"/>
          <w:lang w:val="zh-CN"/>
        </w:rPr>
        <w:t>（三）服务期内，在每</w:t>
      </w:r>
      <w:r>
        <w:rPr>
          <w:rFonts w:hint="eastAsia" w:ascii="宋体" w:hAnsi="宋体" w:eastAsia="宋体" w:cs="宋体"/>
          <w:snapToGrid w:val="0"/>
          <w:color w:val="auto"/>
          <w:szCs w:val="21"/>
          <w:highlight w:val="none"/>
          <w:lang w:val="en-US" w:eastAsia="zh-CN"/>
        </w:rPr>
        <w:t>月</w:t>
      </w:r>
      <w:r>
        <w:rPr>
          <w:rFonts w:hint="eastAsia" w:ascii="宋体" w:hAnsi="宋体" w:eastAsia="宋体" w:cs="宋体"/>
          <w:snapToGrid w:val="0"/>
          <w:color w:val="auto"/>
          <w:szCs w:val="21"/>
          <w:highlight w:val="none"/>
          <w:lang w:val="zh-CN"/>
        </w:rPr>
        <w:t>前</w:t>
      </w:r>
      <w:r>
        <w:rPr>
          <w:rFonts w:hint="eastAsia" w:ascii="宋体" w:hAnsi="宋体" w:eastAsia="宋体" w:cs="宋体"/>
          <w:snapToGrid w:val="0"/>
          <w:color w:val="auto"/>
          <w:szCs w:val="21"/>
          <w:highlight w:val="none"/>
          <w:lang w:val="en-US" w:eastAsia="zh-CN"/>
        </w:rPr>
        <w:t>5</w:t>
      </w:r>
      <w:r>
        <w:rPr>
          <w:rFonts w:hint="eastAsia" w:ascii="宋体" w:hAnsi="宋体" w:eastAsia="宋体" w:cs="宋体"/>
          <w:snapToGrid w:val="0"/>
          <w:color w:val="auto"/>
          <w:szCs w:val="21"/>
          <w:highlight w:val="none"/>
          <w:lang w:val="zh-CN"/>
        </w:rPr>
        <w:t>个工作日内，甲方对乙方上</w:t>
      </w:r>
      <w:r>
        <w:rPr>
          <w:rFonts w:hint="eastAsia" w:ascii="宋体" w:hAnsi="宋体" w:eastAsia="宋体" w:cs="宋体"/>
          <w:snapToGrid w:val="0"/>
          <w:color w:val="auto"/>
          <w:szCs w:val="21"/>
          <w:highlight w:val="none"/>
          <w:lang w:val="en-US" w:eastAsia="zh-CN"/>
        </w:rPr>
        <w:t>月</w:t>
      </w:r>
      <w:r>
        <w:rPr>
          <w:rFonts w:hint="eastAsia" w:ascii="宋体" w:hAnsi="宋体" w:eastAsia="宋体" w:cs="宋体"/>
          <w:snapToGrid w:val="0"/>
          <w:color w:val="auto"/>
          <w:szCs w:val="21"/>
          <w:highlight w:val="none"/>
          <w:lang w:val="zh-CN"/>
        </w:rPr>
        <w:t>的服务质量进行月度考核，若</w:t>
      </w:r>
      <w:r>
        <w:rPr>
          <w:rFonts w:hint="eastAsia" w:ascii="宋体" w:hAnsi="宋体" w:eastAsia="宋体" w:cs="宋体"/>
          <w:snapToGrid w:val="0"/>
          <w:color w:val="auto"/>
          <w:szCs w:val="21"/>
          <w:highlight w:val="none"/>
          <w:lang w:val="en-US" w:eastAsia="zh-CN"/>
        </w:rPr>
        <w:t>月</w:t>
      </w:r>
      <w:r>
        <w:rPr>
          <w:rFonts w:hint="eastAsia" w:ascii="宋体" w:hAnsi="宋体" w:eastAsia="宋体" w:cs="宋体"/>
          <w:snapToGrid w:val="0"/>
          <w:color w:val="auto"/>
          <w:szCs w:val="21"/>
          <w:highlight w:val="none"/>
          <w:lang w:val="zh-CN"/>
        </w:rPr>
        <w:t>度考核评分低于</w:t>
      </w:r>
      <w:r>
        <w:rPr>
          <w:rFonts w:hint="eastAsia" w:ascii="宋体" w:hAnsi="宋体" w:eastAsia="宋体" w:cs="宋体"/>
          <w:snapToGrid w:val="0"/>
          <w:color w:val="auto"/>
          <w:szCs w:val="21"/>
          <w:highlight w:val="none"/>
          <w:lang w:val="en-US" w:eastAsia="zh-CN"/>
        </w:rPr>
        <w:t>80</w:t>
      </w:r>
      <w:r>
        <w:rPr>
          <w:rFonts w:hint="eastAsia" w:ascii="宋体" w:hAnsi="宋体" w:eastAsia="宋体" w:cs="宋体"/>
          <w:snapToGrid w:val="0"/>
          <w:color w:val="auto"/>
          <w:szCs w:val="21"/>
          <w:highlight w:val="none"/>
          <w:lang w:val="zh-CN"/>
        </w:rPr>
        <w:t>分的，或乙方未能按合同要求进行服务的，甲方有权单方面解除合同，乙方应在甲方要求解除合同之日起15天内做好交接工作并退场。乙方还应向甲方支付人民币</w:t>
      </w:r>
      <w:r>
        <w:rPr>
          <w:rFonts w:hint="eastAsia" w:ascii="宋体" w:hAnsi="宋体" w:eastAsia="宋体" w:cs="宋体"/>
          <w:snapToGrid w:val="0"/>
          <w:color w:val="auto"/>
          <w:szCs w:val="21"/>
          <w:highlight w:val="none"/>
          <w:lang w:val="en-US" w:eastAsia="zh-CN"/>
        </w:rPr>
        <w:t>5</w:t>
      </w:r>
      <w:r>
        <w:rPr>
          <w:rFonts w:hint="eastAsia" w:ascii="宋体" w:hAnsi="宋体" w:eastAsia="宋体" w:cs="宋体"/>
          <w:snapToGrid w:val="0"/>
          <w:color w:val="auto"/>
          <w:szCs w:val="21"/>
          <w:highlight w:val="none"/>
          <w:lang w:val="zh-CN"/>
        </w:rPr>
        <w:t>0,000.00元作为违约金，违约金不足以弥补甲方损失的，乙方还应当予以补足。</w:t>
      </w:r>
    </w:p>
    <w:p>
      <w:pPr>
        <w:spacing w:line="360" w:lineRule="auto"/>
        <w:ind w:firstLine="420" w:firstLineChars="200"/>
        <w:jc w:val="left"/>
        <w:rPr>
          <w:rFonts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（四）乙方未经甲方书面同意，擅自将本合同权利义务转让给第三方或分包给第三方的，视为乙方违约，甲方有权单方解除合同，并要求乙方按</w:t>
      </w:r>
      <w:r>
        <w:rPr>
          <w:rFonts w:hint="eastAsia" w:ascii="宋体" w:hAnsi="宋体" w:eastAsia="宋体" w:cs="宋体"/>
          <w:snapToGrid w:val="0"/>
          <w:color w:val="auto"/>
          <w:szCs w:val="21"/>
          <w:highlight w:val="none"/>
          <w:lang w:val="en-US" w:eastAsia="zh-CN"/>
        </w:rPr>
        <w:t>5</w:t>
      </w:r>
      <w:r>
        <w:rPr>
          <w:rFonts w:hint="eastAsia" w:ascii="宋体" w:hAnsi="宋体" w:eastAsia="宋体" w:cs="宋体"/>
          <w:snapToGrid w:val="0"/>
          <w:color w:val="auto"/>
          <w:szCs w:val="21"/>
          <w:highlight w:val="none"/>
          <w:lang w:val="zh-CN"/>
        </w:rPr>
        <w:t>0,000</w:t>
      </w:r>
      <w:r>
        <w:rPr>
          <w:rFonts w:hint="eastAsia" w:ascii="宋体" w:hAnsi="宋体" w:eastAsia="宋体" w:cs="宋体"/>
          <w:snapToGrid w:val="0"/>
          <w:color w:val="auto"/>
          <w:szCs w:val="21"/>
          <w:highlight w:val="none"/>
        </w:rPr>
        <w:t>.00</w:t>
      </w:r>
      <w:r>
        <w:rPr>
          <w:rFonts w:hint="eastAsia" w:ascii="宋体" w:hAnsi="宋体" w:eastAsia="宋体" w:cs="宋体"/>
          <w:snapToGrid w:val="0"/>
          <w:color w:val="auto"/>
          <w:szCs w:val="21"/>
          <w:highlight w:val="none"/>
          <w:lang w:val="zh-CN"/>
        </w:rPr>
        <w:t>元的标准承担违约金，若违约金不足以弥补由此给甲方造成损失的，乙方还应当予以补足。如因乙方将乙方本合同项下全部/部分权利义务转让/分包给第三方导致安全事故或人身损害事故的，造成甲方其他损失或甲方被认定承担赔偿责任的，甲方有权向乙方追偿。</w:t>
      </w:r>
    </w:p>
    <w:p>
      <w:pPr>
        <w:spacing w:line="360" w:lineRule="auto"/>
        <w:ind w:firstLine="420" w:firstLineChars="200"/>
        <w:jc w:val="left"/>
        <w:rPr>
          <w:rFonts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（五）乙方在餐厨垃圾收运工作开展过程中需根据甲方要求实行专镇专车收运，禁止收运车辆跨镇开展收运工作。每跨镇运输一次，乙方应每次按照车辆过磅重量*收运处理补贴费用（399.7</w:t>
      </w:r>
      <w:r>
        <w:rPr>
          <w:rFonts w:hint="eastAsia" w:ascii="宋体" w:hAnsi="宋体" w:eastAsia="宋体" w:cs="宋体"/>
          <w:snapToGrid w:val="0"/>
          <w:color w:val="auto"/>
          <w:szCs w:val="21"/>
          <w:highlight w:val="none"/>
        </w:rPr>
        <w:t>0</w:t>
      </w:r>
      <w:r>
        <w:rPr>
          <w:rFonts w:hint="eastAsia" w:ascii="宋体" w:hAnsi="宋体" w:eastAsia="宋体" w:cs="宋体"/>
          <w:snapToGrid w:val="0"/>
          <w:color w:val="auto"/>
          <w:szCs w:val="21"/>
          <w:highlight w:val="none"/>
          <w:lang w:val="zh-CN"/>
        </w:rPr>
        <w:t>元/吨）向甲方赔偿处置费用，同时甲方有权要求乙方支付3</w:t>
      </w:r>
      <w:r>
        <w:rPr>
          <w:rFonts w:hint="eastAsia" w:ascii="宋体" w:hAnsi="宋体" w:eastAsia="宋体" w:cs="宋体"/>
          <w:snapToGrid w:val="0"/>
          <w:color w:val="auto"/>
          <w:szCs w:val="21"/>
          <w:highlight w:val="none"/>
        </w:rPr>
        <w:t>,</w:t>
      </w:r>
      <w:r>
        <w:rPr>
          <w:rFonts w:hint="eastAsia" w:ascii="宋体" w:hAnsi="宋体" w:eastAsia="宋体" w:cs="宋体"/>
          <w:snapToGrid w:val="0"/>
          <w:color w:val="auto"/>
          <w:szCs w:val="21"/>
          <w:highlight w:val="none"/>
          <w:lang w:val="zh-CN"/>
        </w:rPr>
        <w:t>000.00元/次的违约金，乙方违反本条约定达3次（含3次）以上的，甲方有权单方解除合同，乙方还应向甲方支付人民币</w:t>
      </w:r>
      <w:r>
        <w:rPr>
          <w:rFonts w:hint="eastAsia" w:ascii="宋体" w:hAnsi="宋体" w:eastAsia="宋体" w:cs="宋体"/>
          <w:snapToGrid w:val="0"/>
          <w:color w:val="auto"/>
          <w:szCs w:val="21"/>
          <w:highlight w:val="none"/>
          <w:lang w:val="en-US" w:eastAsia="zh-CN"/>
        </w:rPr>
        <w:t>5</w:t>
      </w:r>
      <w:r>
        <w:rPr>
          <w:rFonts w:hint="eastAsia" w:ascii="宋体" w:hAnsi="宋体" w:eastAsia="宋体" w:cs="宋体"/>
          <w:snapToGrid w:val="0"/>
          <w:color w:val="auto"/>
          <w:szCs w:val="21"/>
          <w:highlight w:val="none"/>
          <w:lang w:val="zh-CN"/>
        </w:rPr>
        <w:t>0,000.00元作为违约金，违约金不足以弥补甲方损失的，乙方还应当予以补足。</w:t>
      </w:r>
    </w:p>
    <w:p>
      <w:pPr>
        <w:spacing w:line="360" w:lineRule="auto"/>
        <w:ind w:firstLine="420" w:firstLineChars="200"/>
        <w:jc w:val="left"/>
        <w:rPr>
          <w:rFonts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六）甲方有权对乙方服务质量进行考核。如乙方服务人员服务质量达不到合同要求，甲方有权要求乙方更换服务人员，乙方必须在5日内无条件的为甲方更换合格的服务人员。服务人员岗位空缺或人手不足的，乙方必须在5日内补充满足甲方要求的服务人员。乙方未能及时补充或更换符合甲方要求的服务人员，乙方应按照1,000</w:t>
      </w:r>
      <w:r>
        <w:rPr>
          <w:rFonts w:hint="eastAsia" w:ascii="宋体" w:hAnsi="宋体" w:eastAsia="宋体" w:cs="宋体"/>
          <w:snapToGrid w:val="0"/>
          <w:color w:val="auto"/>
          <w:szCs w:val="21"/>
          <w:highlight w:val="none"/>
        </w:rPr>
        <w:t>.00</w:t>
      </w:r>
      <w:r>
        <w:rPr>
          <w:rFonts w:hint="eastAsia" w:ascii="宋体" w:hAnsi="宋体" w:eastAsia="宋体" w:cs="宋体"/>
          <w:snapToGrid w:val="0"/>
          <w:color w:val="auto"/>
          <w:szCs w:val="21"/>
          <w:highlight w:val="none"/>
          <w:lang w:val="zh-CN"/>
        </w:rPr>
        <w:t>元/天向甲方支付违约金，乙方逾期10日未能及时补充符合甲方要求的服务人员时，在乙方根据前述约定支付违约金的同时，甲方有权单方解除本合同，并要求乙方按</w:t>
      </w:r>
      <w:r>
        <w:rPr>
          <w:rFonts w:hint="eastAsia" w:ascii="宋体" w:hAnsi="宋体" w:eastAsia="宋体" w:cs="宋体"/>
          <w:snapToGrid w:val="0"/>
          <w:color w:val="auto"/>
          <w:szCs w:val="21"/>
          <w:highlight w:val="none"/>
          <w:lang w:val="en-US" w:eastAsia="zh-CN"/>
        </w:rPr>
        <w:t>5</w:t>
      </w:r>
      <w:r>
        <w:rPr>
          <w:rFonts w:hint="eastAsia" w:ascii="宋体" w:hAnsi="宋体" w:eastAsia="宋体" w:cs="宋体"/>
          <w:snapToGrid w:val="0"/>
          <w:color w:val="auto"/>
          <w:szCs w:val="21"/>
          <w:highlight w:val="none"/>
          <w:lang w:val="zh-CN"/>
        </w:rPr>
        <w:t>0,000</w:t>
      </w:r>
      <w:r>
        <w:rPr>
          <w:rFonts w:hint="eastAsia" w:ascii="宋体" w:hAnsi="宋体" w:eastAsia="宋体" w:cs="宋体"/>
          <w:snapToGrid w:val="0"/>
          <w:color w:val="auto"/>
          <w:szCs w:val="21"/>
          <w:highlight w:val="none"/>
        </w:rPr>
        <w:t>.00</w:t>
      </w:r>
      <w:r>
        <w:rPr>
          <w:rFonts w:hint="eastAsia" w:ascii="宋体" w:hAnsi="宋体" w:eastAsia="宋体" w:cs="宋体"/>
          <w:snapToGrid w:val="0"/>
          <w:color w:val="auto"/>
          <w:szCs w:val="21"/>
          <w:highlight w:val="none"/>
          <w:lang w:val="zh-CN"/>
        </w:rPr>
        <w:t>元的标准承担违约金，</w:t>
      </w:r>
      <w:r>
        <w:rPr>
          <w:rFonts w:hint="eastAsia" w:ascii="宋体" w:hAnsi="宋体" w:eastAsia="宋体" w:cs="宋体"/>
          <w:snapToGrid w:val="0"/>
          <w:color w:val="auto"/>
          <w:sz w:val="21"/>
          <w:szCs w:val="21"/>
          <w:highlight w:val="none"/>
          <w:lang w:val="zh-CN"/>
        </w:rPr>
        <w:t>违约金不足以弥补甲方损失的，乙方还应当予以补足</w:t>
      </w:r>
      <w:r>
        <w:rPr>
          <w:rFonts w:hint="eastAsia" w:ascii="宋体" w:hAnsi="宋体" w:eastAsia="宋体" w:cs="宋体"/>
          <w:snapToGrid w:val="0"/>
          <w:color w:val="auto"/>
          <w:szCs w:val="21"/>
          <w:highlight w:val="none"/>
          <w:lang w:val="zh-CN"/>
        </w:rPr>
        <w:t>。</w:t>
      </w:r>
    </w:p>
    <w:p>
      <w:pPr>
        <w:spacing w:line="360" w:lineRule="auto"/>
        <w:ind w:firstLine="420" w:firstLineChars="200"/>
        <w:jc w:val="left"/>
        <w:rPr>
          <w:rFonts w:hint="eastAsia"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（七）服务期内，因乙方引起的劳资纠纷、人身损害赔偿纠纷等问题，乙方应自行妥善处理并承担责任，不得影响甲方收运工作正常开展。如前述问题影响甲方收运工作正常开展的，乙方需向甲方支付</w:t>
      </w:r>
      <w:r>
        <w:rPr>
          <w:rFonts w:hint="eastAsia" w:ascii="宋体" w:hAnsi="宋体" w:eastAsia="宋体" w:cs="宋体"/>
          <w:snapToGrid w:val="0"/>
          <w:color w:val="auto"/>
          <w:szCs w:val="21"/>
          <w:highlight w:val="none"/>
          <w:lang w:val="en-US" w:eastAsia="zh-CN"/>
        </w:rPr>
        <w:t>5</w:t>
      </w:r>
      <w:r>
        <w:rPr>
          <w:rFonts w:hint="eastAsia" w:ascii="宋体" w:hAnsi="宋体" w:eastAsia="宋体" w:cs="宋体"/>
          <w:snapToGrid w:val="0"/>
          <w:color w:val="auto"/>
          <w:szCs w:val="21"/>
          <w:highlight w:val="none"/>
          <w:lang w:val="zh-CN"/>
        </w:rPr>
        <w:t>0,000.00元的违约金，且甲方有权单方解除合同，如违约金不足以弥补甲方损失的，</w:t>
      </w:r>
      <w:r>
        <w:rPr>
          <w:rFonts w:hint="eastAsia" w:ascii="宋体" w:hAnsi="宋体" w:eastAsia="宋体" w:cs="宋体"/>
          <w:snapToGrid w:val="0"/>
          <w:color w:val="auto"/>
          <w:sz w:val="21"/>
          <w:szCs w:val="21"/>
          <w:highlight w:val="none"/>
          <w:lang w:val="zh-CN"/>
        </w:rPr>
        <w:t>乙方还应当予以补足</w:t>
      </w:r>
      <w:r>
        <w:rPr>
          <w:rFonts w:hint="eastAsia" w:ascii="宋体" w:hAnsi="宋体" w:eastAsia="宋体" w:cs="宋体"/>
          <w:snapToGrid w:val="0"/>
          <w:color w:val="auto"/>
          <w:szCs w:val="21"/>
          <w:highlight w:val="none"/>
          <w:lang w:val="zh-CN"/>
        </w:rPr>
        <w:t>。</w:t>
      </w:r>
    </w:p>
    <w:p>
      <w:pPr>
        <w:spacing w:line="360" w:lineRule="auto"/>
        <w:ind w:firstLine="420" w:firstLineChars="200"/>
        <w:jc w:val="left"/>
        <w:rPr>
          <w:rFonts w:hint="default" w:ascii="宋体" w:hAnsi="宋体" w:eastAsia="宋体" w:cs="宋体"/>
          <w:snapToGrid w:val="0"/>
          <w:color w:val="auto"/>
          <w:szCs w:val="21"/>
          <w:highlight w:val="none"/>
          <w:lang w:val="en-US"/>
        </w:rPr>
      </w:pPr>
      <w:r>
        <w:rPr>
          <w:rFonts w:hint="eastAsia" w:ascii="宋体" w:hAnsi="宋体" w:eastAsia="宋体" w:cs="宋体"/>
          <w:snapToGrid w:val="0"/>
          <w:color w:val="auto"/>
          <w:szCs w:val="21"/>
          <w:highlight w:val="none"/>
          <w:lang w:val="zh-CN"/>
        </w:rPr>
        <w:t>（</w:t>
      </w:r>
      <w:r>
        <w:rPr>
          <w:rFonts w:hint="eastAsia" w:ascii="宋体" w:hAnsi="宋体" w:eastAsia="宋体" w:cs="宋体"/>
          <w:snapToGrid w:val="0"/>
          <w:color w:val="auto"/>
          <w:szCs w:val="21"/>
          <w:highlight w:val="none"/>
          <w:lang w:val="en-US" w:eastAsia="zh-CN"/>
        </w:rPr>
        <w:t>八</w:t>
      </w:r>
      <w:r>
        <w:rPr>
          <w:rFonts w:hint="eastAsia" w:ascii="宋体" w:hAnsi="宋体" w:eastAsia="宋体" w:cs="宋体"/>
          <w:snapToGrid w:val="0"/>
          <w:color w:val="auto"/>
          <w:szCs w:val="21"/>
          <w:highlight w:val="none"/>
          <w:lang w:val="zh-CN"/>
        </w:rPr>
        <w:t>）收运过程中乙方服务人员</w:t>
      </w:r>
      <w:r>
        <w:rPr>
          <w:rFonts w:hint="eastAsia" w:ascii="宋体" w:hAnsi="宋体" w:eastAsia="宋体" w:cs="宋体"/>
          <w:snapToGrid w:val="0"/>
          <w:color w:val="auto"/>
          <w:szCs w:val="21"/>
          <w:highlight w:val="none"/>
          <w:lang w:val="en-US" w:eastAsia="zh-CN"/>
        </w:rPr>
        <w:t>出现</w:t>
      </w:r>
      <w:r>
        <w:rPr>
          <w:rFonts w:hint="eastAsia" w:eastAsia="+中文正文"/>
          <w:color w:val="auto"/>
          <w:highlight w:val="none"/>
          <w:lang w:val="en-US" w:eastAsia="zh-CN"/>
        </w:rPr>
        <w:t>酒驾、醉驾等行为，</w:t>
      </w:r>
      <w:r>
        <w:rPr>
          <w:rFonts w:hint="eastAsia" w:ascii="宋体" w:hAnsi="宋体" w:eastAsia="宋体" w:cs="宋体"/>
          <w:snapToGrid w:val="0"/>
          <w:color w:val="auto"/>
          <w:szCs w:val="21"/>
          <w:highlight w:val="none"/>
          <w:lang w:val="zh-CN"/>
        </w:rPr>
        <w:t>甲方有权按10,000</w:t>
      </w:r>
      <w:r>
        <w:rPr>
          <w:rFonts w:hint="eastAsia" w:ascii="宋体" w:hAnsi="宋体" w:eastAsia="宋体" w:cs="宋体"/>
          <w:snapToGrid w:val="0"/>
          <w:color w:val="auto"/>
          <w:szCs w:val="21"/>
          <w:highlight w:val="none"/>
        </w:rPr>
        <w:t>.00</w:t>
      </w:r>
      <w:r>
        <w:rPr>
          <w:rFonts w:hint="eastAsia" w:ascii="宋体" w:hAnsi="宋体" w:eastAsia="宋体" w:cs="宋体"/>
          <w:snapToGrid w:val="0"/>
          <w:color w:val="auto"/>
          <w:szCs w:val="21"/>
          <w:highlight w:val="none"/>
          <w:lang w:val="zh-CN"/>
        </w:rPr>
        <w:t>元/次向乙方收取违约金。</w:t>
      </w:r>
    </w:p>
    <w:p>
      <w:pPr>
        <w:spacing w:line="360" w:lineRule="auto"/>
        <w:ind w:firstLine="420" w:firstLineChars="200"/>
        <w:jc w:val="left"/>
        <w:rPr>
          <w:rFonts w:hint="eastAsia"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w:t>
      </w:r>
      <w:r>
        <w:rPr>
          <w:rFonts w:hint="eastAsia" w:ascii="宋体" w:hAnsi="宋体" w:eastAsia="宋体" w:cs="宋体"/>
          <w:snapToGrid w:val="0"/>
          <w:color w:val="auto"/>
          <w:szCs w:val="21"/>
          <w:highlight w:val="none"/>
          <w:lang w:val="en-US" w:eastAsia="zh-CN"/>
        </w:rPr>
        <w:t>九</w:t>
      </w:r>
      <w:r>
        <w:rPr>
          <w:rFonts w:hint="eastAsia" w:ascii="宋体" w:hAnsi="宋体" w:eastAsia="宋体" w:cs="宋体"/>
          <w:snapToGrid w:val="0"/>
          <w:color w:val="auto"/>
          <w:szCs w:val="21"/>
          <w:highlight w:val="none"/>
          <w:lang w:val="zh-CN"/>
        </w:rPr>
        <w:t>）</w:t>
      </w:r>
      <w:r>
        <w:rPr>
          <w:rFonts w:hint="eastAsia" w:ascii="宋体" w:hAnsi="宋体" w:eastAsia="宋体" w:cs="宋体"/>
          <w:snapToGrid w:val="0"/>
          <w:color w:val="auto"/>
          <w:szCs w:val="21"/>
          <w:highlight w:val="none"/>
          <w:lang w:val="en-US" w:eastAsia="zh-CN"/>
        </w:rPr>
        <w:t>因</w:t>
      </w:r>
      <w:r>
        <w:rPr>
          <w:rFonts w:hint="eastAsia" w:ascii="宋体" w:hAnsi="宋体" w:eastAsia="宋体" w:cs="宋体"/>
          <w:snapToGrid w:val="0"/>
          <w:color w:val="auto"/>
          <w:szCs w:val="21"/>
          <w:highlight w:val="none"/>
          <w:lang w:val="zh-CN"/>
        </w:rPr>
        <w:t>收运过程中乙方服务人员工作失误、</w:t>
      </w:r>
      <w:r>
        <w:rPr>
          <w:rFonts w:hint="eastAsia" w:ascii="宋体" w:hAnsi="宋体" w:eastAsia="宋体" w:cs="宋体"/>
          <w:snapToGrid w:val="0"/>
          <w:color w:val="auto"/>
          <w:sz w:val="21"/>
          <w:szCs w:val="21"/>
          <w:highlight w:val="none"/>
          <w:lang w:val="zh-CN"/>
        </w:rPr>
        <w:t>车辆机件故障</w:t>
      </w:r>
      <w:r>
        <w:rPr>
          <w:rFonts w:hint="eastAsia" w:ascii="宋体" w:hAnsi="宋体" w:eastAsia="宋体" w:cs="宋体"/>
          <w:snapToGrid w:val="0"/>
          <w:color w:val="auto"/>
          <w:szCs w:val="21"/>
          <w:highlight w:val="none"/>
          <w:lang w:val="zh-CN"/>
        </w:rPr>
        <w:t>等</w:t>
      </w:r>
      <w:r>
        <w:rPr>
          <w:rFonts w:hint="eastAsia" w:ascii="宋体" w:hAnsi="宋体" w:eastAsia="宋体" w:cs="宋体"/>
          <w:snapToGrid w:val="0"/>
          <w:color w:val="auto"/>
          <w:szCs w:val="21"/>
          <w:highlight w:val="none"/>
          <w:lang w:val="en-US" w:eastAsia="zh-CN"/>
        </w:rPr>
        <w:t>原因</w:t>
      </w:r>
      <w:r>
        <w:rPr>
          <w:rFonts w:hint="eastAsia" w:ascii="宋体" w:hAnsi="宋体" w:eastAsia="宋体" w:cs="宋体"/>
          <w:snapToGrid w:val="0"/>
          <w:color w:val="auto"/>
          <w:szCs w:val="21"/>
          <w:highlight w:val="none"/>
          <w:lang w:val="zh-CN"/>
        </w:rPr>
        <w:t>，发生违法违章或者交通事故而导致的后果和产生的费用由乙方承担，同时乙方应赔偿因此给甲方造成的损失。由此产生的罚款、扣分，如乙方未按要求时间缴清罚款产生的滞纳金及不良后果由乙方承担。同时，甲方有权要求乙方支付3</w:t>
      </w:r>
      <w:r>
        <w:rPr>
          <w:rFonts w:hint="eastAsia" w:ascii="宋体" w:hAnsi="宋体" w:eastAsia="宋体" w:cs="宋体"/>
          <w:snapToGrid w:val="0"/>
          <w:color w:val="auto"/>
          <w:szCs w:val="21"/>
          <w:highlight w:val="none"/>
        </w:rPr>
        <w:t>,</w:t>
      </w:r>
      <w:r>
        <w:rPr>
          <w:rFonts w:hint="eastAsia" w:ascii="宋体" w:hAnsi="宋体" w:eastAsia="宋体" w:cs="宋体"/>
          <w:snapToGrid w:val="0"/>
          <w:color w:val="auto"/>
          <w:szCs w:val="21"/>
          <w:highlight w:val="none"/>
          <w:lang w:val="zh-CN"/>
        </w:rPr>
        <w:t>000.00元/次的违约金，并赔偿因此给甲方造成的损失。影响收运工作的，甲方将按照本条第（一）款约定追究乙方的违约责任。</w:t>
      </w:r>
    </w:p>
    <w:p>
      <w:pPr>
        <w:spacing w:line="360" w:lineRule="auto"/>
        <w:ind w:firstLine="420" w:firstLineChars="200"/>
        <w:jc w:val="left"/>
        <w:rPr>
          <w:rFonts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w:t>
      </w:r>
      <w:r>
        <w:rPr>
          <w:rFonts w:hint="eastAsia" w:ascii="宋体" w:hAnsi="宋体" w:eastAsia="宋体" w:cs="宋体"/>
          <w:snapToGrid w:val="0"/>
          <w:color w:val="auto"/>
          <w:szCs w:val="21"/>
          <w:highlight w:val="none"/>
          <w:lang w:val="en-US" w:eastAsia="zh-CN"/>
        </w:rPr>
        <w:t>十</w:t>
      </w:r>
      <w:r>
        <w:rPr>
          <w:rFonts w:hint="eastAsia" w:ascii="宋体" w:hAnsi="宋体" w:eastAsia="宋体" w:cs="宋体"/>
          <w:snapToGrid w:val="0"/>
          <w:color w:val="auto"/>
          <w:szCs w:val="21"/>
          <w:highlight w:val="none"/>
          <w:lang w:val="zh-CN"/>
        </w:rPr>
        <w:t>）乙方须对车辆进行常规维修保养（包括机油、机滤、空滤、柴油滤芯的更换，刹车调试、轮胎保养等，保养里程不得大于8000公里），并对维修保养情况形成台账，每月提供甲方检查。如乙方未按合同约定对车辆进行维修保养，甲方有权要求乙方支付3</w:t>
      </w:r>
      <w:r>
        <w:rPr>
          <w:rFonts w:hint="eastAsia" w:ascii="宋体" w:hAnsi="宋体" w:eastAsia="宋体" w:cs="宋体"/>
          <w:snapToGrid w:val="0"/>
          <w:color w:val="auto"/>
          <w:szCs w:val="21"/>
          <w:highlight w:val="none"/>
        </w:rPr>
        <w:t>,</w:t>
      </w:r>
      <w:r>
        <w:rPr>
          <w:rFonts w:hint="eastAsia" w:ascii="宋体" w:hAnsi="宋体" w:eastAsia="宋体" w:cs="宋体"/>
          <w:snapToGrid w:val="0"/>
          <w:color w:val="auto"/>
          <w:szCs w:val="21"/>
          <w:highlight w:val="none"/>
          <w:lang w:val="zh-CN"/>
        </w:rPr>
        <w:t>000.00元/次的违约金，并赔偿因此给甲方造成的损失。</w:t>
      </w:r>
    </w:p>
    <w:p>
      <w:pPr>
        <w:spacing w:line="360" w:lineRule="auto"/>
        <w:ind w:firstLine="420" w:firstLineChars="200"/>
        <w:jc w:val="left"/>
        <w:rPr>
          <w:rFonts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（十一）乙方负责完成车辆的年审工作，如乙方未按规定进行车辆年审，导致车辆被关部门查处，产生的罚款和扣分由乙方承担，由此影响到收运工作的，乙方应按照1,000</w:t>
      </w:r>
      <w:r>
        <w:rPr>
          <w:rFonts w:hint="eastAsia" w:ascii="宋体" w:hAnsi="宋体" w:eastAsia="宋体" w:cs="宋体"/>
          <w:snapToGrid w:val="0"/>
          <w:color w:val="auto"/>
          <w:szCs w:val="21"/>
          <w:highlight w:val="none"/>
        </w:rPr>
        <w:t>.00</w:t>
      </w:r>
      <w:r>
        <w:rPr>
          <w:rFonts w:hint="eastAsia" w:ascii="宋体" w:hAnsi="宋体" w:eastAsia="宋体" w:cs="宋体"/>
          <w:snapToGrid w:val="0"/>
          <w:color w:val="auto"/>
          <w:szCs w:val="21"/>
          <w:highlight w:val="none"/>
          <w:lang w:val="zh-CN"/>
        </w:rPr>
        <w:t>元/天向甲方支付违约金。</w:t>
      </w:r>
    </w:p>
    <w:p>
      <w:pPr>
        <w:spacing w:line="360" w:lineRule="auto"/>
        <w:ind w:firstLine="420" w:firstLineChars="200"/>
        <w:jc w:val="left"/>
        <w:rPr>
          <w:rFonts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（十二）由于乙方对所使用车辆及设备保管不当，导致车辆失窃的，乙方须承担赔偿责任，包括保险赔付不足部分的赔偿。同时，甲方有权单方解除合同，乙方应赔偿由此给甲方造成的全部损失并向甲方支付</w:t>
      </w:r>
      <w:r>
        <w:rPr>
          <w:rFonts w:hint="eastAsia" w:ascii="宋体" w:hAnsi="宋体" w:eastAsia="宋体" w:cs="宋体"/>
          <w:snapToGrid w:val="0"/>
          <w:color w:val="auto"/>
          <w:szCs w:val="21"/>
          <w:highlight w:val="none"/>
          <w:lang w:val="en-US" w:eastAsia="zh-CN"/>
        </w:rPr>
        <w:t>5</w:t>
      </w:r>
      <w:r>
        <w:rPr>
          <w:rFonts w:hint="eastAsia" w:ascii="宋体" w:hAnsi="宋体" w:eastAsia="宋体" w:cs="宋体"/>
          <w:snapToGrid w:val="0"/>
          <w:color w:val="auto"/>
          <w:szCs w:val="21"/>
          <w:highlight w:val="none"/>
          <w:lang w:val="zh-CN"/>
        </w:rPr>
        <w:t>0,000.00元违约金。</w:t>
      </w:r>
    </w:p>
    <w:p>
      <w:pPr>
        <w:spacing w:line="360" w:lineRule="auto"/>
        <w:ind w:firstLine="420" w:firstLineChars="200"/>
        <w:jc w:val="left"/>
        <w:rPr>
          <w:rFonts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（十三）由于乙方服务人员蓄意破坏甲方设备设施、收运车辆的，视为乙方严重违约，甲方有权单方解除合同，乙方应赔偿由此给甲方造成的全部损失并向甲方支付</w:t>
      </w:r>
      <w:r>
        <w:rPr>
          <w:rFonts w:hint="eastAsia" w:ascii="宋体" w:hAnsi="宋体" w:eastAsia="宋体" w:cs="宋体"/>
          <w:snapToGrid w:val="0"/>
          <w:color w:val="auto"/>
          <w:szCs w:val="21"/>
          <w:highlight w:val="none"/>
          <w:lang w:val="en-US" w:eastAsia="zh-CN"/>
        </w:rPr>
        <w:t>5</w:t>
      </w:r>
      <w:r>
        <w:rPr>
          <w:rFonts w:hint="eastAsia" w:ascii="宋体" w:hAnsi="宋体" w:eastAsia="宋体" w:cs="宋体"/>
          <w:snapToGrid w:val="0"/>
          <w:color w:val="auto"/>
          <w:szCs w:val="21"/>
          <w:highlight w:val="none"/>
          <w:lang w:val="zh-CN"/>
        </w:rPr>
        <w:t>0,000.00元违约金。</w:t>
      </w:r>
    </w:p>
    <w:p>
      <w:pPr>
        <w:spacing w:line="360" w:lineRule="auto"/>
        <w:ind w:firstLine="420" w:firstLineChars="200"/>
        <w:jc w:val="left"/>
        <w:rPr>
          <w:rFonts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十四）禁止乙方使用甲方提供的任何证照擅自拓展业务或用于本合同服务范围外的目的，包括但不限于《营业执照》、《城市生活垃圾经营性清扫、收集、运输服务许可证收运处理许可证》、《城市生活垃圾经营性处置服务许可证》等。乙方违反上述约定</w:t>
      </w:r>
      <w:r>
        <w:rPr>
          <w:rFonts w:hint="eastAsia" w:ascii="宋体" w:hAnsi="宋体" w:eastAsia="宋体" w:cs="宋体"/>
          <w:snapToGrid w:val="0"/>
          <w:color w:val="auto"/>
          <w:szCs w:val="21"/>
          <w:highlight w:val="none"/>
          <w:lang w:val="en-US" w:eastAsia="zh-CN"/>
        </w:rPr>
        <w:t>，</w:t>
      </w:r>
      <w:r>
        <w:rPr>
          <w:rFonts w:hint="eastAsia" w:ascii="宋体" w:hAnsi="宋体" w:eastAsia="宋体" w:cs="宋体"/>
          <w:snapToGrid w:val="0"/>
          <w:color w:val="auto"/>
          <w:szCs w:val="21"/>
          <w:highlight w:val="none"/>
          <w:lang w:val="zh-CN"/>
        </w:rPr>
        <w:t>甲方有权要求乙方支付</w:t>
      </w:r>
      <w:r>
        <w:rPr>
          <w:rFonts w:hint="eastAsia" w:ascii="宋体" w:hAnsi="宋体" w:eastAsia="宋体" w:cs="宋体"/>
          <w:snapToGrid w:val="0"/>
          <w:color w:val="auto"/>
          <w:szCs w:val="21"/>
          <w:highlight w:val="none"/>
          <w:lang w:val="en-US" w:eastAsia="zh-CN"/>
        </w:rPr>
        <w:t>10</w:t>
      </w:r>
      <w:r>
        <w:rPr>
          <w:rFonts w:hint="eastAsia" w:ascii="宋体" w:hAnsi="宋体" w:eastAsia="宋体" w:cs="宋体"/>
          <w:snapToGrid w:val="0"/>
          <w:color w:val="auto"/>
          <w:szCs w:val="21"/>
          <w:highlight w:val="none"/>
        </w:rPr>
        <w:t>,</w:t>
      </w:r>
      <w:r>
        <w:rPr>
          <w:rFonts w:hint="eastAsia" w:ascii="宋体" w:hAnsi="宋体" w:eastAsia="宋体" w:cs="宋体"/>
          <w:snapToGrid w:val="0"/>
          <w:color w:val="auto"/>
          <w:szCs w:val="21"/>
          <w:highlight w:val="none"/>
          <w:lang w:val="zh-CN"/>
        </w:rPr>
        <w:t>000.00元/次的违约金，乙方违反本条约定达2次（含2次）以上的，甲方有权单方解除合同，乙方应向甲方支付</w:t>
      </w:r>
      <w:r>
        <w:rPr>
          <w:rFonts w:hint="eastAsia" w:ascii="宋体" w:hAnsi="宋体" w:eastAsia="宋体" w:cs="宋体"/>
          <w:snapToGrid w:val="0"/>
          <w:color w:val="auto"/>
          <w:szCs w:val="21"/>
          <w:highlight w:val="none"/>
          <w:lang w:val="en-US" w:eastAsia="zh-CN"/>
        </w:rPr>
        <w:t>50</w:t>
      </w:r>
      <w:r>
        <w:rPr>
          <w:rFonts w:hint="eastAsia" w:ascii="宋体" w:hAnsi="宋体" w:eastAsia="宋体" w:cs="宋体"/>
          <w:snapToGrid w:val="0"/>
          <w:color w:val="auto"/>
          <w:szCs w:val="21"/>
          <w:highlight w:val="none"/>
          <w:lang w:val="zh-CN"/>
        </w:rPr>
        <w:t>,000.00元作为违约金，并赔偿因此给甲方造成的损失。</w:t>
      </w:r>
    </w:p>
    <w:p>
      <w:pPr>
        <w:spacing w:line="360" w:lineRule="auto"/>
        <w:ind w:firstLine="420" w:firstLineChars="200"/>
        <w:jc w:val="left"/>
        <w:rPr>
          <w:rFonts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（十五）乙方在合同履行前，如需投入车辆等相关设备（包括用作派送餐厨垃圾收集桶的车辆等），必须向甲方进行备案，合同履行期间：</w:t>
      </w:r>
    </w:p>
    <w:p>
      <w:pPr>
        <w:spacing w:line="360" w:lineRule="auto"/>
        <w:ind w:firstLine="420" w:firstLineChars="200"/>
        <w:jc w:val="left"/>
        <w:rPr>
          <w:rFonts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1、乙方不得使用已备案的车辆和设备开展合同约定服务范围外活动；</w:t>
      </w:r>
    </w:p>
    <w:p>
      <w:pPr>
        <w:spacing w:line="360" w:lineRule="auto"/>
        <w:ind w:firstLine="420" w:firstLineChars="200"/>
        <w:jc w:val="left"/>
        <w:rPr>
          <w:rFonts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2、乙方不得擅自使用其他车辆和设备开展合同约定服务范围内工作；</w:t>
      </w:r>
    </w:p>
    <w:p>
      <w:pPr>
        <w:spacing w:line="360" w:lineRule="auto"/>
        <w:ind w:firstLine="420" w:firstLineChars="200"/>
        <w:jc w:val="left"/>
        <w:rPr>
          <w:rFonts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3、严禁利用甲方名义，使用其他车辆和设备进行其他服务活动。</w:t>
      </w:r>
    </w:p>
    <w:p>
      <w:pPr>
        <w:spacing w:line="360" w:lineRule="auto"/>
        <w:ind w:firstLine="420" w:firstLineChars="200"/>
        <w:jc w:val="left"/>
        <w:rPr>
          <w:rFonts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乙方违反上述约定</w:t>
      </w:r>
      <w:r>
        <w:rPr>
          <w:rFonts w:hint="eastAsia" w:ascii="宋体" w:hAnsi="宋体" w:eastAsia="宋体" w:cs="宋体"/>
          <w:snapToGrid w:val="0"/>
          <w:color w:val="auto"/>
          <w:szCs w:val="21"/>
          <w:highlight w:val="none"/>
          <w:lang w:val="en-US" w:eastAsia="zh-CN"/>
        </w:rPr>
        <w:t>，</w:t>
      </w:r>
      <w:r>
        <w:rPr>
          <w:rFonts w:hint="eastAsia" w:ascii="宋体" w:hAnsi="宋体" w:eastAsia="宋体" w:cs="宋体"/>
          <w:snapToGrid w:val="0"/>
          <w:color w:val="auto"/>
          <w:szCs w:val="21"/>
          <w:highlight w:val="none"/>
          <w:lang w:val="zh-CN"/>
        </w:rPr>
        <w:t>甲方有权要求乙方支付</w:t>
      </w:r>
      <w:r>
        <w:rPr>
          <w:rFonts w:hint="eastAsia" w:ascii="宋体" w:hAnsi="宋体" w:eastAsia="宋体" w:cs="宋体"/>
          <w:snapToGrid w:val="0"/>
          <w:color w:val="auto"/>
          <w:szCs w:val="21"/>
          <w:highlight w:val="none"/>
          <w:lang w:val="en-US" w:eastAsia="zh-CN"/>
        </w:rPr>
        <w:t>10</w:t>
      </w:r>
      <w:r>
        <w:rPr>
          <w:rFonts w:hint="eastAsia" w:ascii="宋体" w:hAnsi="宋体" w:eastAsia="宋体" w:cs="宋体"/>
          <w:snapToGrid w:val="0"/>
          <w:color w:val="auto"/>
          <w:szCs w:val="21"/>
          <w:highlight w:val="none"/>
        </w:rPr>
        <w:t>,</w:t>
      </w:r>
      <w:r>
        <w:rPr>
          <w:rFonts w:hint="eastAsia" w:ascii="宋体" w:hAnsi="宋体" w:eastAsia="宋体" w:cs="宋体"/>
          <w:snapToGrid w:val="0"/>
          <w:color w:val="auto"/>
          <w:szCs w:val="21"/>
          <w:highlight w:val="none"/>
          <w:lang w:val="zh-CN"/>
        </w:rPr>
        <w:t>000.00元/次的违约金，乙方违反上述约定达3次（含3次）以上的，甲方有权单方解除合同，乙方还应向甲方支付人民币</w:t>
      </w:r>
      <w:r>
        <w:rPr>
          <w:rFonts w:hint="eastAsia" w:ascii="宋体" w:hAnsi="宋体" w:eastAsia="宋体" w:cs="宋体"/>
          <w:snapToGrid w:val="0"/>
          <w:color w:val="auto"/>
          <w:szCs w:val="21"/>
          <w:highlight w:val="none"/>
          <w:lang w:val="en-US" w:eastAsia="zh-CN"/>
        </w:rPr>
        <w:t>5</w:t>
      </w:r>
      <w:r>
        <w:rPr>
          <w:rFonts w:hint="eastAsia" w:ascii="宋体" w:hAnsi="宋体" w:eastAsia="宋体" w:cs="宋体"/>
          <w:snapToGrid w:val="0"/>
          <w:color w:val="auto"/>
          <w:szCs w:val="21"/>
          <w:highlight w:val="none"/>
          <w:lang w:val="zh-CN"/>
        </w:rPr>
        <w:t>0,000.00元作为违约金，并赔偿因此给甲方造成的名誉和经济损失。</w:t>
      </w:r>
    </w:p>
    <w:p>
      <w:pPr>
        <w:spacing w:line="360" w:lineRule="auto"/>
        <w:ind w:firstLine="420" w:firstLineChars="200"/>
        <w:jc w:val="left"/>
        <w:rPr>
          <w:rFonts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十六）甲方对乙方实行动态管理，对乙方进行考核，一旦发现乙方违反合同条款，甲方有权要求其限期整改。乙方应在限期内完成整改，如乙方逾期未按甲方要求完成整改或拒绝整改或经整改仍达不到甲方要求的，甲方有权要求乙方支付2,000.00元/次的违约金；累计存在上述情形3次（含本数），甲方除有权按上述标准要求乙方支付违约金外，甲方还有权单方解除本合同，并要求乙方按</w:t>
      </w:r>
      <w:r>
        <w:rPr>
          <w:rFonts w:hint="eastAsia" w:ascii="宋体" w:hAnsi="宋体" w:eastAsia="宋体" w:cs="宋体"/>
          <w:snapToGrid w:val="0"/>
          <w:color w:val="auto"/>
          <w:szCs w:val="21"/>
          <w:highlight w:val="none"/>
          <w:lang w:val="en-US" w:eastAsia="zh-CN"/>
        </w:rPr>
        <w:t>5</w:t>
      </w:r>
      <w:r>
        <w:rPr>
          <w:rFonts w:hint="eastAsia" w:ascii="宋体" w:hAnsi="宋体" w:eastAsia="宋体" w:cs="宋体"/>
          <w:snapToGrid w:val="0"/>
          <w:color w:val="auto"/>
          <w:szCs w:val="21"/>
          <w:highlight w:val="none"/>
          <w:lang w:val="zh-CN"/>
        </w:rPr>
        <w:t>0,000.00元的标准承担违约金，违约金不足以弥补甲方损失的，乙方还应当予以补足。</w:t>
      </w:r>
    </w:p>
    <w:p>
      <w:pPr>
        <w:spacing w:line="360" w:lineRule="auto"/>
        <w:ind w:firstLine="420" w:firstLineChars="200"/>
        <w:jc w:val="left"/>
        <w:rPr>
          <w:rFonts w:ascii="宋体" w:hAnsi="宋体" w:eastAsia="宋体" w:cs="宋体"/>
          <w:snapToGrid w:val="0"/>
          <w:color w:val="auto"/>
          <w:szCs w:val="21"/>
          <w:highlight w:val="none"/>
          <w:lang w:val="zh-CN"/>
        </w:rPr>
      </w:pPr>
      <w:r>
        <w:rPr>
          <w:rFonts w:hint="eastAsia" w:ascii="宋体" w:hAnsi="宋体" w:eastAsia="宋体" w:cs="宋体"/>
          <w:snapToGrid w:val="0"/>
          <w:color w:val="auto"/>
          <w:szCs w:val="21"/>
          <w:highlight w:val="none"/>
          <w:lang w:val="zh-CN"/>
        </w:rPr>
        <w:t>（十</w:t>
      </w:r>
      <w:r>
        <w:rPr>
          <w:rFonts w:hint="eastAsia" w:ascii="宋体" w:hAnsi="宋体" w:eastAsia="宋体" w:cs="宋体"/>
          <w:snapToGrid w:val="0"/>
          <w:color w:val="auto"/>
          <w:szCs w:val="21"/>
          <w:highlight w:val="none"/>
          <w:lang w:val="en-US" w:eastAsia="zh-CN"/>
        </w:rPr>
        <w:t>七</w:t>
      </w:r>
      <w:r>
        <w:rPr>
          <w:rFonts w:hint="eastAsia" w:ascii="宋体" w:hAnsi="宋体" w:eastAsia="宋体" w:cs="宋体"/>
          <w:snapToGrid w:val="0"/>
          <w:color w:val="auto"/>
          <w:szCs w:val="21"/>
          <w:highlight w:val="none"/>
          <w:lang w:val="zh-CN"/>
        </w:rPr>
        <w:t>）因乙方违反本合同约定产生的违约金、赔偿金等，甲方有权在未付服务费用或履约担保中直接扣除，如造成甲方损失，且实际损失高于违约金的，甲方有权要求乙方予以补足。</w:t>
      </w:r>
    </w:p>
    <w:p>
      <w:pPr>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snapToGrid w:val="0"/>
          <w:color w:val="auto"/>
          <w:szCs w:val="21"/>
          <w:highlight w:val="none"/>
          <w:lang w:val="zh-CN"/>
        </w:rPr>
        <w:t>（十</w:t>
      </w:r>
      <w:r>
        <w:rPr>
          <w:rFonts w:hint="eastAsia" w:ascii="宋体" w:hAnsi="宋体" w:eastAsia="宋体" w:cs="宋体"/>
          <w:snapToGrid w:val="0"/>
          <w:color w:val="auto"/>
          <w:szCs w:val="21"/>
          <w:highlight w:val="none"/>
          <w:lang w:val="en-US" w:eastAsia="zh-CN"/>
        </w:rPr>
        <w:t>八</w:t>
      </w:r>
      <w:r>
        <w:rPr>
          <w:rFonts w:hint="eastAsia" w:ascii="宋体" w:hAnsi="宋体" w:eastAsia="宋体" w:cs="宋体"/>
          <w:snapToGrid w:val="0"/>
          <w:color w:val="auto"/>
          <w:szCs w:val="21"/>
          <w:highlight w:val="none"/>
          <w:lang w:val="zh-CN"/>
        </w:rPr>
        <w:t>）若乙方发生本合同规定之外的任何违法行为，不得免除其在本合同下的任何责任或义务。</w:t>
      </w:r>
    </w:p>
    <w:p>
      <w:pPr>
        <w:autoSpaceDE w:val="0"/>
        <w:autoSpaceDN w:val="0"/>
        <w:adjustRightInd w:val="0"/>
        <w:spacing w:line="360" w:lineRule="auto"/>
        <w:ind w:firstLine="424" w:firstLineChars="202"/>
        <w:jc w:val="left"/>
        <w:rPr>
          <w:rFonts w:ascii="宋体" w:hAnsi="宋体" w:eastAsia="宋体" w:cs="宋体"/>
          <w:color w:val="auto"/>
          <w:kern w:val="0"/>
          <w:szCs w:val="21"/>
          <w:highlight w:val="none"/>
        </w:rPr>
      </w:pPr>
    </w:p>
    <w:p>
      <w:pPr>
        <w:autoSpaceDE w:val="0"/>
        <w:autoSpaceDN w:val="0"/>
        <w:adjustRightInd w:val="0"/>
        <w:spacing w:line="360" w:lineRule="auto"/>
        <w:ind w:left="473" w:leftChars="175" w:hanging="105" w:hangingChars="5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第十条 不可抗力</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rPr>
        <w:t>（一）</w:t>
      </w:r>
      <w:r>
        <w:rPr>
          <w:rFonts w:hint="eastAsia" w:ascii="宋体" w:hAnsi="宋体" w:eastAsia="宋体" w:cs="宋体"/>
          <w:color w:val="auto"/>
          <w:szCs w:val="21"/>
          <w:highlight w:val="none"/>
        </w:rPr>
        <w:t>本合同项下不可抗力是指战争、动乱、瘟疫、洪水、地震或其他灾害，以及其他不可预见、不可防止并不能避免或克服的事件。</w:t>
      </w:r>
    </w:p>
    <w:p>
      <w:pPr>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w:t>
      </w:r>
      <w:r>
        <w:rPr>
          <w:rFonts w:hint="eastAsia" w:ascii="宋体" w:hAnsi="宋体" w:eastAsia="宋体" w:cs="宋体"/>
          <w:color w:val="auto"/>
          <w:szCs w:val="21"/>
          <w:highlight w:val="none"/>
        </w:rPr>
        <w:t>任何一方因不可抗力引起的履行延迟或履行不能的，不需承担违约责任。但受不可抗力影响的一方应尽快通知另一方，并在不可抗力事件发生后</w:t>
      </w:r>
      <w:r>
        <w:rPr>
          <w:rFonts w:hint="eastAsia" w:ascii="宋体" w:hAnsi="宋体" w:eastAsia="宋体" w:cs="宋体"/>
          <w:color w:val="auto"/>
          <w:szCs w:val="21"/>
          <w:highlight w:val="none"/>
          <w:u w:val="single"/>
        </w:rPr>
        <w:t>7日</w:t>
      </w:r>
      <w:r>
        <w:rPr>
          <w:rFonts w:hint="eastAsia" w:ascii="宋体" w:hAnsi="宋体" w:eastAsia="宋体" w:cs="宋体"/>
          <w:color w:val="auto"/>
          <w:szCs w:val="21"/>
          <w:highlight w:val="none"/>
        </w:rPr>
        <w:t>内，提供政府相关部门出具的证明文件。除非甲方书面另有要求，否则乙方委派的服务人员应尽可能继续履行合同义务，以及寻求合理的方案履行未受不可抗力影响的其它事项。</w:t>
      </w:r>
    </w:p>
    <w:p>
      <w:pPr>
        <w:autoSpaceDE w:val="0"/>
        <w:autoSpaceDN w:val="0"/>
        <w:adjustRightInd w:val="0"/>
        <w:spacing w:line="360" w:lineRule="auto"/>
        <w:ind w:left="473" w:leftChars="175" w:hanging="105" w:hangingChars="50"/>
        <w:rPr>
          <w:rFonts w:ascii="宋体" w:hAnsi="宋体" w:eastAsia="宋体" w:cs="Times New Roman"/>
          <w:b/>
          <w:color w:val="auto"/>
          <w:szCs w:val="21"/>
          <w:highlight w:val="none"/>
        </w:rPr>
      </w:pPr>
    </w:p>
    <w:p>
      <w:pPr>
        <w:autoSpaceDE w:val="0"/>
        <w:autoSpaceDN w:val="0"/>
        <w:adjustRightInd w:val="0"/>
        <w:spacing w:line="360" w:lineRule="auto"/>
        <w:ind w:left="473" w:leftChars="175" w:hanging="105" w:hangingChars="5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第十一条 争议解决</w:t>
      </w:r>
    </w:p>
    <w:p>
      <w:pPr>
        <w:autoSpaceDE w:val="0"/>
        <w:autoSpaceDN w:val="0"/>
        <w:adjustRightInd w:val="0"/>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双方在履约中发生争执和分歧，双方应通过友好协商解决，如不能通过友好协商解决的，任何一方均可向甲方住所地有管辖权的人民法院提起诉讼解决。</w:t>
      </w:r>
    </w:p>
    <w:p>
      <w:pPr>
        <w:autoSpaceDE w:val="0"/>
        <w:autoSpaceDN w:val="0"/>
        <w:adjustRightInd w:val="0"/>
        <w:spacing w:line="360" w:lineRule="auto"/>
        <w:ind w:left="473" w:leftChars="175" w:hanging="105" w:hangingChars="50"/>
        <w:rPr>
          <w:rFonts w:ascii="宋体" w:hAnsi="宋体" w:eastAsia="宋体" w:cs="Times New Roman"/>
          <w:b/>
          <w:color w:val="auto"/>
          <w:szCs w:val="21"/>
          <w:highlight w:val="none"/>
        </w:rPr>
      </w:pPr>
    </w:p>
    <w:p>
      <w:pPr>
        <w:autoSpaceDE w:val="0"/>
        <w:autoSpaceDN w:val="0"/>
        <w:adjustRightInd w:val="0"/>
        <w:spacing w:line="360" w:lineRule="auto"/>
        <w:ind w:left="473" w:leftChars="175" w:hanging="105" w:hangingChars="5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第十二条 合同生效及份数</w:t>
      </w:r>
    </w:p>
    <w:p>
      <w:pPr>
        <w:autoSpaceDE w:val="0"/>
        <w:autoSpaceDN w:val="0"/>
        <w:adjustRightInd w:val="0"/>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（一）本合同一式</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份，甲方执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份，乙方执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份，招标代理</w:t>
      </w:r>
      <w:r>
        <w:rPr>
          <w:rFonts w:hint="eastAsia" w:hAnsi="宋体" w:eastAsia="+中文正文" w:cs="宋体"/>
          <w:snapToGrid w:val="0"/>
          <w:color w:val="auto"/>
          <w:szCs w:val="21"/>
          <w:highlight w:val="none"/>
        </w:rPr>
        <w:t>机构</w:t>
      </w:r>
      <w:r>
        <w:rPr>
          <w:rFonts w:hint="eastAsia" w:ascii="宋体" w:hAnsi="宋体" w:eastAsia="宋体" w:cs="宋体"/>
          <w:color w:val="auto"/>
          <w:kern w:val="0"/>
          <w:szCs w:val="21"/>
          <w:highlight w:val="none"/>
        </w:rPr>
        <w:t>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份，具有同等法律效力，本合同自双方法定代表人或授权代表签字并盖章之日起生效至合同项下全部义务履行完毕时终止。</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（二）本合同附件为本合同不可分割内容，与本合同同时生效、同具法律效力。当本合同附件与本合同内容不一致时，以本合同为准。</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附件1：廉洁协议书</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附件2：用户需求书</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附件3：安全管理协议</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附件4：餐厨垃圾收运服务月度考核表</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附件5：上岗责任承诺书</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附件6：试车考核项目</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附件7：餐厨垃圾收运服务人员体检要求</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附件8：餐厨垃圾收运服务人员职业健康体检要求</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p>
    <w:p>
      <w:pPr>
        <w:autoSpaceDE w:val="0"/>
        <w:autoSpaceDN w:val="0"/>
        <w:adjustRightInd w:val="0"/>
        <w:jc w:val="left"/>
        <w:rPr>
          <w:rFonts w:ascii="宋体" w:hAnsi="宋体" w:eastAsia="宋体" w:cs="宋体"/>
          <w:b/>
          <w:bCs/>
          <w:color w:val="auto"/>
          <w:spacing w:val="2"/>
          <w:kern w:val="0"/>
          <w:szCs w:val="21"/>
          <w:highlight w:val="none"/>
        </w:rPr>
      </w:pPr>
      <w:r>
        <w:rPr>
          <w:rFonts w:hint="eastAsia" w:ascii="宋体" w:hAnsi="宋体" w:eastAsia="宋体" w:cs="宋体"/>
          <w:b/>
          <w:bCs/>
          <w:color w:val="auto"/>
          <w:spacing w:val="2"/>
          <w:kern w:val="0"/>
          <w:szCs w:val="21"/>
          <w:highlight w:val="none"/>
        </w:rPr>
        <w:t>（以下无正文，为本合同的签署栏）</w:t>
      </w:r>
    </w:p>
    <w:p>
      <w:pPr>
        <w:autoSpaceDE w:val="0"/>
        <w:autoSpaceDN w:val="0"/>
        <w:adjustRightInd w:val="0"/>
        <w:ind w:right="-26"/>
        <w:jc w:val="center"/>
        <w:rPr>
          <w:rFonts w:ascii="宋体" w:hAnsi="宋体" w:eastAsia="宋体" w:cs="宋体"/>
          <w:b/>
          <w:bCs/>
          <w:color w:val="auto"/>
          <w:szCs w:val="21"/>
          <w:highlight w:val="none"/>
          <w:lang w:val="zh-CN"/>
        </w:rPr>
      </w:pPr>
    </w:p>
    <w:p>
      <w:pPr>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甲      方：（盖章）</w:t>
      </w:r>
    </w:p>
    <w:p>
      <w:pPr>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法定代表人（或授权代表）：</w:t>
      </w:r>
    </w:p>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电      话：                       </w:t>
      </w:r>
    </w:p>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地      址：    </w:t>
      </w:r>
    </w:p>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签 订 日期：   年   月   日              </w:t>
      </w:r>
    </w:p>
    <w:p>
      <w:pPr>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乙      方：（盖章）</w:t>
      </w:r>
    </w:p>
    <w:p>
      <w:pPr>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法定代表人（或授权代表）：</w:t>
      </w:r>
    </w:p>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p>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p>
    <w:p>
      <w:pPr>
        <w:autoSpaceDE w:val="0"/>
        <w:autoSpaceDN w:val="0"/>
        <w:adjustRightInd w:val="0"/>
        <w:jc w:val="left"/>
        <w:rPr>
          <w:rFonts w:ascii="等线 Light" w:hAnsi="Times New Roman" w:eastAsia="宋体" w:cs="Times New Roman"/>
          <w:color w:val="auto"/>
          <w:kern w:val="0"/>
          <w:sz w:val="24"/>
          <w:szCs w:val="24"/>
          <w:highlight w:val="none"/>
        </w:rPr>
      </w:pPr>
      <w:r>
        <w:rPr>
          <w:rFonts w:hint="eastAsia" w:ascii="宋体" w:hAnsi="宋体" w:eastAsia="宋体" w:cs="宋体"/>
          <w:color w:val="auto"/>
          <w:kern w:val="0"/>
          <w:szCs w:val="21"/>
          <w:highlight w:val="none"/>
        </w:rPr>
        <w:t>签 订 日 期：   年   月   日</w:t>
      </w:r>
    </w:p>
    <w:p>
      <w:pPr>
        <w:pageBreakBefore/>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附件1：廉洁协议书</w:t>
      </w:r>
    </w:p>
    <w:p>
      <w:pPr>
        <w:spacing w:line="360" w:lineRule="auto"/>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廉洁协议书</w:t>
      </w:r>
    </w:p>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lang w:eastAsia="zh-CN"/>
        </w:rPr>
        <w:t>东莞市利源有机资源再生利用有限公司2024-2025年餐厨垃圾收运服务采购项目（重新招标）</w:t>
      </w:r>
      <w:r>
        <w:rPr>
          <w:rFonts w:hint="eastAsia" w:ascii="宋体" w:hAnsi="宋体" w:eastAsia="宋体" w:cs="宋体"/>
          <w:color w:val="auto"/>
          <w:szCs w:val="21"/>
          <w:highlight w:val="none"/>
        </w:rPr>
        <w:t>（招标编号：</w:t>
      </w:r>
      <w:r>
        <w:rPr>
          <w:rFonts w:hint="eastAsia" w:ascii="宋体" w:hAnsi="宋体" w:eastAsia="宋体" w:cs="宋体"/>
          <w:color w:val="auto"/>
          <w:kern w:val="0"/>
          <w:szCs w:val="21"/>
          <w:highlight w:val="none"/>
          <w:lang w:eastAsia="zh-CN"/>
        </w:rPr>
        <w:t>0832-SFCX24DG024C-1</w:t>
      </w:r>
      <w:r>
        <w:rPr>
          <w:rFonts w:hint="eastAsia" w:ascii="宋体" w:hAnsi="宋体" w:eastAsia="宋体" w:cs="宋体"/>
          <w:color w:val="auto"/>
          <w:szCs w:val="21"/>
          <w:highlight w:val="none"/>
        </w:rPr>
        <w:t>）</w:t>
      </w:r>
    </w:p>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甲方（业主单位）：</w:t>
      </w:r>
    </w:p>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乙方：</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第一条  甲乙双方的权利和义务</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（一）严格遵守党和国家有关法律法规等有关廉洁从业规定。</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（二）严格执行本项目的合同文件，自觉按合同办事。</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（三）双方的业务活动坚持公开、公正、诚信、透明的原则（除法律认定的商业秘密和合同文件另有规定之外）不得损害国家和集体利益，违反工程建设管理及其他法律法规规章制度。</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（四）建立健全廉洁制度，开展廉洁教育，设立廉洁监督公示牌，公布举报电话，监督并认真查处违法违纪行为。</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（五）发现对方在业务活动中有违反廉洁规定的行为，有及时提醒对方纠正的权利和义务。</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（六）发现对方严重违反本协议义务条款的行为，有向其上级有关部门举报、建议给予处理并要求告知处理结果的权利。</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第二条  甲方的义务</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（一）甲方及其工作人员不得索要或接受乙方的礼金、有价证券和贵重物品，不得在乙方报销任何应由甲方或个人支付的费用。</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（二）甲方工作人员不得参加乙方安排的高消费宴请和娱乐活动；不得接受乙方提供的通讯工具、交通工具和高档办公用品。</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（三）甲方及其工作人员不得要求或者接受乙方为其住房装修、婚丧嫁娶活动、家属或亲友的工作安排以及出国出境、旅游等提供方便。</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（四）甲方工作人员不得向乙方介绍其家属或者亲友（包括家属或亲友开办的公司企业）从事于本项目涉及的经济业务活动。</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（五）甲方及其工作人员不得以任何理由向乙方推荐分包单位，不得要求乙方购买合同规定外的材料和设备。</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（六）甲方及其工作人员不得进行违反廉洁规定的其他活动。</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第三条  乙方义务</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（一）乙方不得以任何理由向甲方及其工作人员馈赠礼金、有价证券、贵重礼品，或报销应由甲方单位或个人支付的任何费用。</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（二）乙方及其工作人员不得以考察、参观、洽谈业务、签订合同等的借口邀请甲方及其工作人员参加高消费的宴请、娱乐和健身等活动。</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（三）乙方不得为甲方单位和个人购置或提供通讯工具、交通工具和高档办公用品等。</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（四）乙方及其工作人员不得为甲方工作人员购买、装修、维修私人住房、汽车等。</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（五）乙方及其工作人员不得为甲方工作人员的婚丧嫁娶、家属或亲友的工作安排，及出国出境提供方便以及报销任何私人消费的费用。</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（六）乙方及其工作人员不得进行影响甲方及其工作人员公正执行合同和履行职务的其他活动。</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第四条  违约责任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（一）甲方违反本协议第一、第二条给乙方单位造成经济损失的，应予以赔偿。</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（二）乙方违反本协议第一、第三条给甲方单位造成经济损失的，应予以赔偿。</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第五条  监督检查</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甲乙双方的廉洁从业行为由双方或双方上级单位的纪检、监察部门负责监督，对本协议履行情况进行检查。</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第六条 举报信访受理</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（一）举报受理部门：东莞市水务集团有限公司纪检监察部。</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（二）举报电话：（0769）23076092。</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（三）举报邮箱：</w:t>
      </w:r>
      <w:r>
        <w:rPr>
          <w:color w:val="auto"/>
          <w:highlight w:val="none"/>
        </w:rPr>
        <w:fldChar w:fldCharType="begin"/>
      </w:r>
      <w:r>
        <w:rPr>
          <w:color w:val="auto"/>
          <w:highlight w:val="none"/>
        </w:rPr>
        <w:instrText xml:space="preserve"> HYPERLINK "mailto:jcsj@dgswjt.cn。" </w:instrText>
      </w:r>
      <w:r>
        <w:rPr>
          <w:color w:val="auto"/>
          <w:highlight w:val="none"/>
        </w:rPr>
        <w:fldChar w:fldCharType="separate"/>
      </w:r>
      <w:r>
        <w:rPr>
          <w:rFonts w:hint="eastAsia" w:ascii="宋体" w:hAnsi="宋体" w:eastAsia="宋体" w:cs="宋体"/>
          <w:color w:val="auto"/>
          <w:kern w:val="0"/>
          <w:szCs w:val="21"/>
          <w:highlight w:val="none"/>
        </w:rPr>
        <w:t>jcsj@dgswjt.cn。</w:t>
      </w:r>
      <w:r>
        <w:rPr>
          <w:rFonts w:hint="eastAsia" w:ascii="宋体" w:hAnsi="宋体" w:eastAsia="宋体" w:cs="宋体"/>
          <w:color w:val="auto"/>
          <w:kern w:val="0"/>
          <w:szCs w:val="21"/>
          <w:highlight w:val="none"/>
        </w:rPr>
        <w:fldChar w:fldCharType="end"/>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（四）信访地址：广东省东莞市东城街道育华路1号。</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第七条 其他</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本协议有效期为甲乙双方签字并加盖公章之日起至采购项目服务期满后止。</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本协议一式   份，</w:t>
      </w:r>
      <w:r>
        <w:rPr>
          <w:rFonts w:hint="eastAsia" w:ascii="宋体" w:hAnsi="宋体" w:eastAsia="宋体" w:cs="宋体"/>
          <w:color w:val="auto"/>
          <w:szCs w:val="21"/>
          <w:highlight w:val="none"/>
        </w:rPr>
        <w:t>甲方执叁份，乙方执【】份，招标代理机构执  份</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p>
    <w:p>
      <w:pPr>
        <w:spacing w:before="48" w:beforeLines="20" w:after="48" w:afterLines="20"/>
        <w:ind w:firstLine="420" w:firstLineChars="200"/>
        <w:rPr>
          <w:rFonts w:ascii="宋体" w:hAnsi="宋体" w:eastAsia="宋体" w:cs="宋体"/>
          <w:color w:val="auto"/>
          <w:szCs w:val="21"/>
          <w:highlight w:val="none"/>
        </w:rPr>
      </w:pPr>
    </w:p>
    <w:p>
      <w:pPr>
        <w:spacing w:before="48" w:beforeLines="20" w:after="48" w:afterLines="20"/>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甲方（盖章）：                         乙方（盖章）： </w:t>
      </w:r>
    </w:p>
    <w:p>
      <w:pPr>
        <w:spacing w:before="48" w:beforeLines="20" w:after="48" w:afterLines="20"/>
        <w:ind w:firstLine="420" w:firstLineChars="200"/>
        <w:rPr>
          <w:rFonts w:ascii="宋体" w:hAnsi="宋体" w:eastAsia="宋体" w:cs="宋体"/>
          <w:color w:val="auto"/>
          <w:szCs w:val="21"/>
          <w:highlight w:val="none"/>
        </w:rPr>
      </w:pPr>
    </w:p>
    <w:p>
      <w:pPr>
        <w:spacing w:before="48" w:beforeLines="20" w:after="48" w:afterLines="20"/>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rPr>
        <w:t>法定代表人（或授权代表）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法定代表人（或授权代表）</w:t>
      </w:r>
      <w:r>
        <w:rPr>
          <w:rFonts w:hint="eastAsia" w:ascii="宋体" w:hAnsi="宋体" w:eastAsia="宋体" w:cs="宋体"/>
          <w:color w:val="auto"/>
          <w:szCs w:val="21"/>
          <w:highlight w:val="none"/>
        </w:rPr>
        <w:t>：</w:t>
      </w:r>
    </w:p>
    <w:p>
      <w:pPr>
        <w:spacing w:before="48" w:beforeLines="20" w:after="48" w:afterLines="20"/>
        <w:ind w:firstLine="420" w:firstLineChars="200"/>
        <w:rPr>
          <w:rFonts w:ascii="宋体" w:hAnsi="宋体" w:eastAsia="宋体" w:cs="宋体"/>
          <w:color w:val="auto"/>
          <w:szCs w:val="21"/>
          <w:highlight w:val="none"/>
        </w:rPr>
      </w:pPr>
    </w:p>
    <w:p>
      <w:pPr>
        <w:spacing w:before="48" w:beforeLines="20" w:after="48" w:afterLines="20"/>
        <w:rPr>
          <w:rFonts w:ascii="宋体" w:hAnsi="宋体" w:eastAsia="宋体" w:cs="宋体"/>
          <w:color w:val="auto"/>
          <w:szCs w:val="21"/>
          <w:highlight w:val="none"/>
        </w:rPr>
      </w:pPr>
    </w:p>
    <w:p>
      <w:pPr>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签订日期：    年  月  日                  年  月  日</w:t>
      </w:r>
    </w:p>
    <w:p>
      <w:pPr>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pPr>
        <w:pageBreakBefore/>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附件3：安全管理协议</w:t>
      </w:r>
    </w:p>
    <w:p>
      <w:pPr>
        <w:spacing w:line="360" w:lineRule="auto"/>
        <w:ind w:right="31" w:rightChars="15"/>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安全管理协议</w:t>
      </w:r>
    </w:p>
    <w:p>
      <w:pPr>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lang w:eastAsia="zh-CN"/>
        </w:rPr>
        <w:t>东莞市利源有机资源再生利用有限公司2024-2025年餐厨垃圾收运服务采购项目（重新招标）</w:t>
      </w:r>
      <w:r>
        <w:rPr>
          <w:rFonts w:hint="eastAsia" w:ascii="宋体" w:hAnsi="宋体" w:eastAsia="宋体" w:cs="宋体"/>
          <w:color w:val="auto"/>
          <w:szCs w:val="21"/>
          <w:highlight w:val="none"/>
        </w:rPr>
        <w:t>（招标编号：</w:t>
      </w:r>
      <w:r>
        <w:rPr>
          <w:rFonts w:hint="eastAsia" w:ascii="宋体" w:hAnsi="宋体" w:eastAsia="宋体" w:cs="宋体"/>
          <w:color w:val="auto"/>
          <w:kern w:val="0"/>
          <w:szCs w:val="21"/>
          <w:highlight w:val="none"/>
          <w:lang w:eastAsia="zh-CN"/>
        </w:rPr>
        <w:t>0832-SFCX24DG024C-1</w:t>
      </w:r>
      <w:r>
        <w:rPr>
          <w:rFonts w:hint="eastAsia" w:ascii="宋体" w:hAnsi="宋体" w:eastAsia="宋体" w:cs="宋体"/>
          <w:color w:val="auto"/>
          <w:szCs w:val="21"/>
          <w:highlight w:val="none"/>
        </w:rPr>
        <w:t>）</w:t>
      </w:r>
    </w:p>
    <w:p>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甲方：</w:t>
      </w:r>
    </w:p>
    <w:p>
      <w:pPr>
        <w:pStyle w:val="2"/>
        <w:jc w:val="both"/>
        <w:rPr>
          <w:rFonts w:hAnsi="宋体" w:cs="宋体"/>
          <w:b w:val="0"/>
          <w:bCs w:val="0"/>
          <w:color w:val="auto"/>
          <w:sz w:val="21"/>
          <w:szCs w:val="21"/>
          <w:highlight w:val="none"/>
          <w:lang w:val="en-US"/>
        </w:rPr>
      </w:pPr>
      <w:r>
        <w:rPr>
          <w:rFonts w:hint="eastAsia" w:hAnsi="宋体" w:cs="宋体"/>
          <w:b w:val="0"/>
          <w:bCs w:val="0"/>
          <w:color w:val="auto"/>
          <w:sz w:val="21"/>
          <w:szCs w:val="21"/>
          <w:highlight w:val="none"/>
          <w:lang w:val="en-US"/>
        </w:rPr>
        <w:t>地址：</w:t>
      </w:r>
    </w:p>
    <w:p>
      <w:pPr>
        <w:pStyle w:val="2"/>
        <w:jc w:val="both"/>
        <w:rPr>
          <w:color w:val="auto"/>
          <w:sz w:val="21"/>
          <w:szCs w:val="21"/>
          <w:highlight w:val="none"/>
          <w:lang w:val="en-US"/>
        </w:rPr>
      </w:pPr>
    </w:p>
    <w:p>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乙方：</w:t>
      </w:r>
    </w:p>
    <w:p>
      <w:pPr>
        <w:pStyle w:val="2"/>
        <w:jc w:val="both"/>
        <w:rPr>
          <w:rFonts w:hAnsi="宋体" w:cs="宋体"/>
          <w:b w:val="0"/>
          <w:bCs w:val="0"/>
          <w:color w:val="auto"/>
          <w:sz w:val="21"/>
          <w:szCs w:val="21"/>
          <w:highlight w:val="none"/>
          <w:lang w:val="en-US"/>
        </w:rPr>
      </w:pPr>
      <w:r>
        <w:rPr>
          <w:rFonts w:hint="eastAsia" w:hAnsi="宋体" w:cs="宋体"/>
          <w:b w:val="0"/>
          <w:bCs w:val="0"/>
          <w:color w:val="auto"/>
          <w:sz w:val="21"/>
          <w:szCs w:val="21"/>
          <w:highlight w:val="none"/>
          <w:lang w:val="en-US"/>
        </w:rPr>
        <w:t>地址：</w:t>
      </w:r>
    </w:p>
    <w:p>
      <w:pPr>
        <w:spacing w:line="360" w:lineRule="auto"/>
        <w:ind w:firstLine="420" w:firstLineChars="200"/>
        <w:rPr>
          <w:rFonts w:ascii="宋体" w:hAnsi="宋体" w:eastAsia="宋体" w:cs="宋体"/>
          <w:color w:val="auto"/>
          <w:szCs w:val="21"/>
          <w:highlight w:val="none"/>
        </w:rPr>
      </w:pP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为做好安全管理工作，防止安全事故发生，确保人身安全，落实安全生产责任制，明确双方的安全责任，确保本项目服务范围内及周边设施、收运人员的安全，依据有关法律、行政法规，经双方协商一致，甲、乙双方对本项目安全管理达成本协议。</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一、乙方应将本企业的营业执照、企业资质等级证书、进场人员花名册，不得使用未成年工、童工、超龄工和安排女工从事禁忌劳动。</w:t>
      </w:r>
    </w:p>
    <w:p>
      <w:pPr>
        <w:spacing w:line="360" w:lineRule="auto"/>
        <w:ind w:firstLine="420" w:firstLineChars="200"/>
        <w:rPr>
          <w:color w:val="auto"/>
          <w:highlight w:val="none"/>
        </w:rPr>
      </w:pPr>
      <w:r>
        <w:rPr>
          <w:rFonts w:hint="eastAsia" w:ascii="宋体" w:hAnsi="宋体" w:eastAsia="宋体" w:cs="宋体"/>
          <w:color w:val="auto"/>
          <w:szCs w:val="21"/>
          <w:highlight w:val="none"/>
        </w:rPr>
        <w:t>二、乙方确保服务人员身体检查健康，无影响正常工作的疾病。</w:t>
      </w:r>
    </w:p>
    <w:p>
      <w:pPr>
        <w:numPr>
          <w:ilvl w:val="255"/>
          <w:numId w:val="0"/>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甲方有权对乙方收运实施安全监督行为，有权对乙方进行监督、检查、指导。属于甲方依自身管理需要的监管行为，其行为不构成责任主体行为，无需对该项目发生的安全事故承担任何责任。乙方对该项目的安全管理负全部责任。</w:t>
      </w:r>
    </w:p>
    <w:p>
      <w:pPr>
        <w:numPr>
          <w:ilvl w:val="255"/>
          <w:numId w:val="0"/>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乙方收运过程中因个人驾驶或未按照收运操作要求造成自身及他人伤亡情况，甲方不负任何责任。但甲方有义务协助乙方做好事故的处理工作，协助相关部门做好事故的调查取证工作，期间发生的一切费用由乙方承担。</w:t>
      </w:r>
    </w:p>
    <w:p>
      <w:pPr>
        <w:numPr>
          <w:ilvl w:val="255"/>
          <w:numId w:val="0"/>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乙方在本项目中，安排机动车司机等特殊工种收运人员，必须经过专门的安全技术培训，持证上岗。乙方要如实向甲方报告特种工作人员的资格状况。甲方对乙方司机人员资格进行验证，禁止无驾驶证人员从事司机工作。</w:t>
      </w:r>
    </w:p>
    <w:p>
      <w:pPr>
        <w:numPr>
          <w:ilvl w:val="255"/>
          <w:numId w:val="0"/>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六、未经甲方允许乙方请勿私自带车辆、设备进行收运作业。</w:t>
      </w:r>
    </w:p>
    <w:p>
      <w:pPr>
        <w:numPr>
          <w:ilvl w:val="255"/>
          <w:numId w:val="0"/>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七、乙方在本项目中，必须设立专职安全员，负责收运人员的安全防护告知，安全操作规程培训，保证收运人员具备必要的安全生产知识，熟悉有关的安全生产规章制度和安全操作规程，掌握本岗位的安全操作技能，了解事故应急处理措施，知悉自身在安全生产方面的权利和义务。未经安全生产教育和培训合格的收运人员，不得上岗作业。</w:t>
      </w:r>
    </w:p>
    <w:p>
      <w:pPr>
        <w:numPr>
          <w:ilvl w:val="255"/>
          <w:numId w:val="0"/>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八、乙方应严格遵守国家、地方政府有关安全生产及劳动保护的法律法规、标准、规定，贯彻执行甲方的各项安全管理规章制度。尤其要建立并落实安全生产责任制度，依法参加工伤保险等。在本合同履行期间，乙方承担聘请人员的用工责任及用人单位责任，为其雇员、劳动者提供劳动防护（不限于职业病防护）、购买社会保险或意外伤害保险 ，承担并支付保险费用。如乙方人员（包括雇员、劳动者等）在服务过程中发生意外事故的，由乙方承担全部责任并支付全部费用。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九、因乙方责任造成甲方、乙方或第三方人员伤亡事故、交通事故，由乙方承担全部责任。该项目服务期间发生的任何伤亡事故，无论责任是否划分清晰，乙方均应积极承担事故处理与善后工作，积极处理并垫付医疗费、工伤赔偿金等相关费用，保证该项目形象不受影响。若因乙方处理不力导致甲方垫付相关费用或遭受主管机关处罚的，乙方需赔偿甲方的全部损失。</w:t>
      </w:r>
    </w:p>
    <w:p>
      <w:pPr>
        <w:numPr>
          <w:ilvl w:val="255"/>
          <w:numId w:val="0"/>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十、根据情况，甲方安全管理人员或上级主管部门有权停止乙方各项工作，必要时责令停工整顿；甲方有权对于不符合安全规程和甲方安全管理要求的其它事项，按甲方相关安全管理制度及考核标准进行考核。</w:t>
      </w:r>
    </w:p>
    <w:p>
      <w:pPr>
        <w:numPr>
          <w:ilvl w:val="255"/>
          <w:numId w:val="0"/>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十一、若产生劳动纠纷或仲裁或诉讼，均由乙方自行处理并承担损害赔偿责任，甲方不承担任何责任；因此导致甲方需要支出相关律师费、诉讼费等相关费用，由乙方全额向甲方赔偿。</w:t>
      </w:r>
    </w:p>
    <w:p>
      <w:pPr>
        <w:numPr>
          <w:ilvl w:val="255"/>
          <w:numId w:val="0"/>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十二、本协议的订立、履行、变更、终止、解释、争议的解决等，均适用中华人民共和国现行有效的法律。</w:t>
      </w:r>
    </w:p>
    <w:p>
      <w:pPr>
        <w:numPr>
          <w:ilvl w:val="255"/>
          <w:numId w:val="0"/>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rPr>
        <w:t>十三、本协议一式   份，</w:t>
      </w:r>
      <w:r>
        <w:rPr>
          <w:rFonts w:hint="eastAsia" w:ascii="宋体" w:hAnsi="宋体" w:eastAsia="宋体" w:cs="宋体"/>
          <w:color w:val="auto"/>
          <w:szCs w:val="21"/>
          <w:highlight w:val="none"/>
        </w:rPr>
        <w:t>甲方执【】份，乙方执【】份，招标代理机构执  份，具同等法律效力。本协议自双方法定代表人或负责人签署并加盖公章或合同专用章之日起生效。</w:t>
      </w:r>
    </w:p>
    <w:p>
      <w:pPr>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rPr>
      </w:pP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甲方：    （盖章）                             乙方：      （盖章）</w:t>
      </w:r>
    </w:p>
    <w:p>
      <w:pPr>
        <w:spacing w:line="360" w:lineRule="auto"/>
        <w:ind w:firstLine="420" w:firstLineChars="200"/>
        <w:rPr>
          <w:rFonts w:ascii="宋体" w:hAnsi="宋体" w:eastAsia="宋体" w:cs="宋体"/>
          <w:color w:val="auto"/>
          <w:szCs w:val="21"/>
          <w:highlight w:val="none"/>
        </w:rPr>
      </w:pP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rPr>
        <w:t>法定代表人（或授权代表）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法定代表人（或授权代表）</w:t>
      </w:r>
      <w:r>
        <w:rPr>
          <w:rFonts w:hint="eastAsia" w:ascii="宋体" w:hAnsi="宋体" w:eastAsia="宋体" w:cs="宋体"/>
          <w:color w:val="auto"/>
          <w:szCs w:val="21"/>
          <w:highlight w:val="none"/>
        </w:rPr>
        <w:t>：</w:t>
      </w:r>
    </w:p>
    <w:p>
      <w:pPr>
        <w:spacing w:line="360" w:lineRule="auto"/>
        <w:ind w:firstLine="420" w:firstLineChars="200"/>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rPr>
      </w:pP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签订日期：    年  月  日   </w:t>
      </w:r>
    </w:p>
    <w:p>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pPr>
        <w:tabs>
          <w:tab w:val="left" w:pos="1260"/>
        </w:tabs>
        <w:snapToGrid w:val="0"/>
        <w:spacing w:line="360" w:lineRule="auto"/>
        <w:ind w:firstLine="211" w:firstLineChars="100"/>
        <w:textAlignment w:val="baseline"/>
        <w:rPr>
          <w:rFonts w:ascii="宋体" w:hAnsi="宋体" w:eastAsia="宋体" w:cs="宋体"/>
          <w:color w:val="auto"/>
          <w:szCs w:val="21"/>
          <w:highlight w:val="none"/>
        </w:rPr>
      </w:pPr>
      <w:r>
        <w:rPr>
          <w:rFonts w:hint="eastAsia" w:ascii="宋体" w:hAnsi="宋体" w:eastAsia="宋体" w:cs="宋体"/>
          <w:b/>
          <w:bCs/>
          <w:color w:val="auto"/>
          <w:szCs w:val="21"/>
          <w:highlight w:val="none"/>
        </w:rPr>
        <w:t>附件4：餐厨垃圾收运服务月度考核表</w:t>
      </w:r>
    </w:p>
    <w:tbl>
      <w:tblPr>
        <w:tblStyle w:val="38"/>
        <w:tblW w:w="5000" w:type="pct"/>
        <w:jc w:val="center"/>
        <w:tblLayout w:type="autofit"/>
        <w:tblCellMar>
          <w:top w:w="0" w:type="dxa"/>
          <w:left w:w="108" w:type="dxa"/>
          <w:bottom w:w="0" w:type="dxa"/>
          <w:right w:w="108" w:type="dxa"/>
        </w:tblCellMar>
      </w:tblPr>
      <w:tblGrid>
        <w:gridCol w:w="1111"/>
        <w:gridCol w:w="755"/>
        <w:gridCol w:w="2120"/>
        <w:gridCol w:w="4810"/>
        <w:gridCol w:w="1574"/>
      </w:tblGrid>
      <w:tr>
        <w:tblPrEx>
          <w:tblCellMar>
            <w:top w:w="0" w:type="dxa"/>
            <w:left w:w="108" w:type="dxa"/>
            <w:bottom w:w="0" w:type="dxa"/>
            <w:right w:w="108" w:type="dxa"/>
          </w:tblCellMar>
        </w:tblPrEx>
        <w:trPr>
          <w:trHeight w:val="78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7770" w:hanging="7770" w:hangingChars="370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       </w:t>
            </w:r>
            <w:r>
              <w:rPr>
                <w:rFonts w:hint="eastAsia" w:ascii="宋体" w:hAnsi="宋体" w:eastAsia="宋体" w:cs="宋体"/>
                <w:color w:val="auto"/>
                <w:kern w:val="0"/>
                <w:sz w:val="32"/>
                <w:szCs w:val="32"/>
                <w:highlight w:val="none"/>
                <w:lang w:bidi="ar"/>
              </w:rPr>
              <w:t xml:space="preserve">  </w:t>
            </w:r>
            <w:r>
              <w:rPr>
                <w:rFonts w:hint="eastAsia" w:ascii="宋体" w:hAnsi="宋体" w:eastAsia="宋体" w:cs="宋体"/>
                <w:color w:val="auto"/>
                <w:kern w:val="0"/>
                <w:sz w:val="32"/>
                <w:szCs w:val="32"/>
                <w:highlight w:val="none"/>
                <w:lang w:val="en-US" w:eastAsia="zh-CN" w:bidi="ar"/>
              </w:rPr>
              <w:t xml:space="preserve">      </w:t>
            </w:r>
            <w:r>
              <w:rPr>
                <w:rFonts w:hint="eastAsia" w:ascii="宋体" w:hAnsi="宋体" w:eastAsia="宋体" w:cs="宋体"/>
                <w:color w:val="auto"/>
                <w:kern w:val="0"/>
                <w:sz w:val="32"/>
                <w:szCs w:val="32"/>
                <w:highlight w:val="none"/>
                <w:lang w:bidi="ar"/>
              </w:rPr>
              <w:t xml:space="preserve">  利源公司餐厨垃圾收运服务月度考核表</w:t>
            </w:r>
            <w:r>
              <w:rPr>
                <w:rFonts w:hint="eastAsia" w:ascii="宋体" w:hAnsi="宋体" w:eastAsia="宋体" w:cs="宋体"/>
                <w:color w:val="auto"/>
                <w:kern w:val="0"/>
                <w:szCs w:val="21"/>
                <w:highlight w:val="none"/>
                <w:lang w:bidi="ar"/>
              </w:rPr>
              <w:t xml:space="preserve">                                                                  </w:t>
            </w:r>
          </w:p>
          <w:p>
            <w:pPr>
              <w:widowControl/>
              <w:ind w:left="7770" w:hanging="7770" w:hangingChars="3700"/>
              <w:jc w:val="righ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年  月</w:t>
            </w:r>
          </w:p>
        </w:tc>
      </w:tr>
      <w:tr>
        <w:tblPrEx>
          <w:tblCellMar>
            <w:top w:w="0" w:type="dxa"/>
            <w:left w:w="108" w:type="dxa"/>
            <w:bottom w:w="0" w:type="dxa"/>
            <w:right w:w="108" w:type="dxa"/>
          </w:tblCellMar>
        </w:tblPrEx>
        <w:trPr>
          <w:trHeight w:val="177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106"/>
                <w:rFonts w:hint="default"/>
                <w:color w:val="auto"/>
                <w:sz w:val="21"/>
                <w:szCs w:val="21"/>
                <w:highlight w:val="none"/>
                <w:lang w:bidi="ar"/>
              </w:rPr>
            </w:pPr>
            <w:r>
              <w:rPr>
                <w:rStyle w:val="207"/>
                <w:rFonts w:hint="default" w:ascii="宋体" w:hAnsi="宋体" w:eastAsia="宋体" w:cs="宋体"/>
                <w:color w:val="auto"/>
                <w:sz w:val="21"/>
                <w:szCs w:val="21"/>
                <w:highlight w:val="none"/>
                <w:lang w:bidi="ar"/>
              </w:rPr>
              <w:t>餐厨垃圾收运服务考核评分须知</w:t>
            </w:r>
            <w:r>
              <w:rPr>
                <w:rStyle w:val="106"/>
                <w:rFonts w:hint="default"/>
                <w:color w:val="auto"/>
                <w:sz w:val="21"/>
                <w:szCs w:val="21"/>
                <w:highlight w:val="none"/>
                <w:lang w:bidi="ar"/>
              </w:rPr>
              <w:br w:type="textWrapping"/>
            </w:r>
            <w:r>
              <w:rPr>
                <w:rStyle w:val="106"/>
                <w:rFonts w:hint="default"/>
                <w:color w:val="auto"/>
                <w:sz w:val="21"/>
                <w:szCs w:val="21"/>
                <w:highlight w:val="none"/>
                <w:lang w:bidi="ar"/>
              </w:rPr>
              <w:t>1、甲方对餐厨垃圾收运服务每月出具一次考核结果，该结果与每月支付的服务费用直接挂钩，考核总分为100分。</w:t>
            </w:r>
            <w:r>
              <w:rPr>
                <w:rStyle w:val="106"/>
                <w:rFonts w:hint="default"/>
                <w:color w:val="auto"/>
                <w:sz w:val="21"/>
                <w:szCs w:val="21"/>
                <w:highlight w:val="none"/>
                <w:lang w:bidi="ar"/>
              </w:rPr>
              <w:br w:type="textWrapping"/>
            </w:r>
            <w:r>
              <w:rPr>
                <w:rStyle w:val="106"/>
                <w:rFonts w:hint="default"/>
                <w:color w:val="auto"/>
                <w:sz w:val="21"/>
                <w:szCs w:val="21"/>
                <w:highlight w:val="none"/>
                <w:lang w:bidi="ar"/>
              </w:rPr>
              <w:t>2、甲方将严格按照考核评分标准对乙方进行月度检查、</w:t>
            </w:r>
            <w:r>
              <w:rPr>
                <w:rStyle w:val="106"/>
                <w:rFonts w:hint="eastAsia" w:eastAsia="宋体"/>
                <w:color w:val="auto"/>
                <w:sz w:val="21"/>
                <w:szCs w:val="21"/>
                <w:highlight w:val="none"/>
                <w:lang w:eastAsia="zh-CN" w:bidi="ar"/>
              </w:rPr>
              <w:t>考核</w:t>
            </w:r>
            <w:r>
              <w:rPr>
                <w:rStyle w:val="106"/>
                <w:rFonts w:hint="default"/>
                <w:color w:val="auto"/>
                <w:sz w:val="21"/>
                <w:szCs w:val="21"/>
                <w:highlight w:val="none"/>
                <w:lang w:bidi="ar"/>
              </w:rPr>
              <w:t>和验收。</w:t>
            </w:r>
            <w:r>
              <w:rPr>
                <w:rStyle w:val="106"/>
                <w:rFonts w:hint="default"/>
                <w:color w:val="auto"/>
                <w:sz w:val="21"/>
                <w:szCs w:val="21"/>
                <w:highlight w:val="none"/>
                <w:lang w:bidi="ar"/>
              </w:rPr>
              <w:br w:type="textWrapping"/>
            </w:r>
            <w:r>
              <w:rPr>
                <w:rStyle w:val="106"/>
                <w:rFonts w:hint="default"/>
                <w:color w:val="auto"/>
                <w:sz w:val="21"/>
                <w:szCs w:val="21"/>
                <w:highlight w:val="none"/>
                <w:lang w:bidi="ar"/>
              </w:rPr>
              <w:t>3、甲方的检查采用明检与暗检相结合的方式，以暗检为主。</w:t>
            </w:r>
            <w:r>
              <w:rPr>
                <w:rStyle w:val="106"/>
                <w:rFonts w:hint="default"/>
                <w:color w:val="auto"/>
                <w:sz w:val="21"/>
                <w:szCs w:val="21"/>
                <w:highlight w:val="none"/>
                <w:lang w:bidi="ar"/>
              </w:rPr>
              <w:br w:type="textWrapping"/>
            </w:r>
            <w:r>
              <w:rPr>
                <w:rStyle w:val="106"/>
                <w:rFonts w:hint="default"/>
                <w:color w:val="auto"/>
                <w:sz w:val="21"/>
                <w:szCs w:val="21"/>
                <w:highlight w:val="none"/>
                <w:lang w:bidi="ar"/>
              </w:rPr>
              <w:t>4、经考核取得</w:t>
            </w:r>
            <w:r>
              <w:rPr>
                <w:rStyle w:val="106"/>
                <w:rFonts w:hint="eastAsia" w:eastAsia="宋体"/>
                <w:color w:val="auto"/>
                <w:sz w:val="21"/>
                <w:szCs w:val="21"/>
                <w:highlight w:val="none"/>
                <w:lang w:val="en-US" w:eastAsia="zh-CN" w:bidi="ar"/>
              </w:rPr>
              <w:t>90</w:t>
            </w:r>
            <w:r>
              <w:rPr>
                <w:rStyle w:val="106"/>
                <w:rFonts w:hint="default"/>
                <w:color w:val="auto"/>
                <w:sz w:val="21"/>
                <w:szCs w:val="21"/>
                <w:highlight w:val="none"/>
                <w:lang w:bidi="ar"/>
              </w:rPr>
              <w:t>分及以上者为合格，甲方全额支付当月服务费；未达到</w:t>
            </w:r>
            <w:r>
              <w:rPr>
                <w:rStyle w:val="106"/>
                <w:rFonts w:hint="eastAsia" w:eastAsia="宋体"/>
                <w:color w:val="auto"/>
                <w:sz w:val="21"/>
                <w:szCs w:val="21"/>
                <w:highlight w:val="none"/>
                <w:lang w:val="en-US" w:eastAsia="zh-CN" w:bidi="ar"/>
              </w:rPr>
              <w:t>90</w:t>
            </w:r>
            <w:r>
              <w:rPr>
                <w:rStyle w:val="106"/>
                <w:rFonts w:hint="default"/>
                <w:color w:val="auto"/>
                <w:sz w:val="21"/>
                <w:szCs w:val="21"/>
                <w:highlight w:val="none"/>
                <w:lang w:bidi="ar"/>
              </w:rPr>
              <w:t>分者则为不合格，每低1分（不满1分按1分计算），甲方按当月</w:t>
            </w:r>
            <w:r>
              <w:rPr>
                <w:rFonts w:hint="eastAsia" w:ascii="宋体" w:hAnsi="宋体" w:eastAsia="宋体" w:cs="宋体"/>
                <w:b w:val="0"/>
                <w:bCs w:val="0"/>
                <w:color w:val="auto"/>
                <w:sz w:val="21"/>
                <w:szCs w:val="21"/>
                <w:highlight w:val="none"/>
              </w:rPr>
              <w:t>计量服务费</w:t>
            </w:r>
            <w:r>
              <w:rPr>
                <w:rStyle w:val="106"/>
                <w:rFonts w:hint="default"/>
                <w:color w:val="auto"/>
                <w:sz w:val="21"/>
                <w:szCs w:val="21"/>
                <w:highlight w:val="none"/>
                <w:lang w:bidi="ar"/>
              </w:rPr>
              <w:t>总额</w:t>
            </w:r>
            <w:r>
              <w:rPr>
                <w:rStyle w:val="106"/>
                <w:rFonts w:hint="eastAsia" w:eastAsia="宋体"/>
                <w:color w:val="auto"/>
                <w:sz w:val="21"/>
                <w:szCs w:val="21"/>
                <w:highlight w:val="none"/>
                <w:lang w:val="en-US" w:eastAsia="zh-CN" w:bidi="ar"/>
              </w:rPr>
              <w:t>1</w:t>
            </w:r>
            <w:r>
              <w:rPr>
                <w:rStyle w:val="106"/>
                <w:rFonts w:hint="default"/>
                <w:color w:val="auto"/>
                <w:sz w:val="21"/>
                <w:szCs w:val="21"/>
                <w:highlight w:val="none"/>
                <w:lang w:bidi="ar"/>
              </w:rPr>
              <w:t>%的比例扣减当月服务费；低于</w:t>
            </w:r>
            <w:r>
              <w:rPr>
                <w:rStyle w:val="106"/>
                <w:rFonts w:hint="eastAsia" w:eastAsia="宋体"/>
                <w:color w:val="auto"/>
                <w:sz w:val="21"/>
                <w:szCs w:val="21"/>
                <w:highlight w:val="none"/>
                <w:lang w:val="en-US" w:eastAsia="zh-CN" w:bidi="ar"/>
              </w:rPr>
              <w:t>80</w:t>
            </w:r>
            <w:r>
              <w:rPr>
                <w:rStyle w:val="106"/>
                <w:rFonts w:hint="default"/>
                <w:color w:val="auto"/>
                <w:sz w:val="21"/>
                <w:szCs w:val="21"/>
                <w:highlight w:val="none"/>
                <w:lang w:bidi="ar"/>
              </w:rPr>
              <w:t>分，</w:t>
            </w:r>
            <w:r>
              <w:rPr>
                <w:rStyle w:val="106"/>
                <w:rFonts w:hint="eastAsia" w:ascii="宋体" w:hAnsi="宋体" w:eastAsia="宋体" w:cs="宋体"/>
                <w:b w:val="0"/>
                <w:bCs w:val="0"/>
                <w:color w:val="auto"/>
                <w:sz w:val="21"/>
                <w:szCs w:val="21"/>
                <w:highlight w:val="none"/>
                <w:lang w:val="en-US" w:eastAsia="zh-CN" w:bidi="ar"/>
              </w:rPr>
              <w:t>除按当月结算服务费总额1%的比例扣减当月服务费外，</w:t>
            </w:r>
            <w:r>
              <w:rPr>
                <w:rStyle w:val="106"/>
                <w:rFonts w:hint="default"/>
                <w:color w:val="auto"/>
                <w:sz w:val="21"/>
                <w:szCs w:val="21"/>
                <w:highlight w:val="none"/>
                <w:lang w:bidi="ar"/>
              </w:rPr>
              <w:t>甲方有权单方面解除服务合同。</w:t>
            </w:r>
          </w:p>
          <w:p>
            <w:pPr>
              <w:pStyle w:val="2"/>
              <w:jc w:val="left"/>
              <w:rPr>
                <w:color w:val="auto"/>
                <w:sz w:val="21"/>
                <w:szCs w:val="21"/>
                <w:highlight w:val="none"/>
              </w:rPr>
            </w:pPr>
            <w:r>
              <w:rPr>
                <w:rFonts w:hint="eastAsia" w:ascii="宋体" w:hAnsi="宋体" w:eastAsia="宋体" w:cs="宋体"/>
                <w:b w:val="0"/>
                <w:bCs w:val="0"/>
                <w:color w:val="auto"/>
                <w:sz w:val="21"/>
                <w:szCs w:val="21"/>
                <w:highlight w:val="none"/>
                <w:lang w:val="en-US" w:eastAsia="zh-CN"/>
              </w:rPr>
              <w:t>5、乙方存在考核表内的扣分行为，甲方进行扣分外，若合同条款有设置违约责任和违约金的，乙方还需向甲方支付违约金。</w:t>
            </w:r>
          </w:p>
        </w:tc>
      </w:tr>
      <w:tr>
        <w:tblPrEx>
          <w:tblCellMar>
            <w:top w:w="0" w:type="dxa"/>
            <w:left w:w="108" w:type="dxa"/>
            <w:bottom w:w="0" w:type="dxa"/>
            <w:right w:w="108" w:type="dxa"/>
          </w:tblCellMar>
        </w:tblPrEx>
        <w:trPr>
          <w:trHeight w:val="57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考核内容</w:t>
            </w:r>
          </w:p>
        </w:tc>
      </w:tr>
      <w:tr>
        <w:tblPrEx>
          <w:tblCellMar>
            <w:top w:w="0" w:type="dxa"/>
            <w:left w:w="108" w:type="dxa"/>
            <w:bottom w:w="0" w:type="dxa"/>
            <w:right w:w="108" w:type="dxa"/>
          </w:tblCellMar>
        </w:tblPrEx>
        <w:trPr>
          <w:trHeight w:val="450" w:hRule="atLeast"/>
          <w:jc w:val="center"/>
        </w:trPr>
        <w:tc>
          <w:tcPr>
            <w:tcW w:w="5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类别</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序号</w:t>
            </w:r>
          </w:p>
        </w:tc>
        <w:tc>
          <w:tcPr>
            <w:tcW w:w="10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项目</w:t>
            </w:r>
          </w:p>
        </w:tc>
        <w:tc>
          <w:tcPr>
            <w:tcW w:w="2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考核内容</w:t>
            </w:r>
          </w:p>
        </w:tc>
        <w:tc>
          <w:tcPr>
            <w:tcW w:w="7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本月度扣分</w:t>
            </w:r>
          </w:p>
        </w:tc>
      </w:tr>
      <w:tr>
        <w:tblPrEx>
          <w:tblCellMar>
            <w:top w:w="0" w:type="dxa"/>
            <w:left w:w="108" w:type="dxa"/>
            <w:bottom w:w="0" w:type="dxa"/>
            <w:right w:w="108" w:type="dxa"/>
          </w:tblCellMar>
        </w:tblPrEx>
        <w:trPr>
          <w:trHeight w:val="45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auto"/>
                <w:szCs w:val="21"/>
                <w:highlight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auto"/>
                <w:szCs w:val="21"/>
                <w:highlight w:val="none"/>
              </w:rPr>
            </w:pPr>
          </w:p>
        </w:tc>
        <w:tc>
          <w:tcPr>
            <w:tcW w:w="10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auto"/>
                <w:szCs w:val="21"/>
                <w:highlight w:val="none"/>
              </w:rPr>
            </w:pPr>
          </w:p>
        </w:tc>
        <w:tc>
          <w:tcPr>
            <w:tcW w:w="2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auto"/>
                <w:szCs w:val="21"/>
                <w:highlight w:val="none"/>
              </w:rPr>
            </w:pPr>
          </w:p>
        </w:tc>
        <w:tc>
          <w:tcPr>
            <w:tcW w:w="7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auto"/>
                <w:szCs w:val="21"/>
                <w:highlight w:val="none"/>
              </w:rPr>
            </w:pPr>
          </w:p>
        </w:tc>
      </w:tr>
      <w:tr>
        <w:tblPrEx>
          <w:tblCellMar>
            <w:top w:w="0" w:type="dxa"/>
            <w:left w:w="108" w:type="dxa"/>
            <w:bottom w:w="0" w:type="dxa"/>
            <w:right w:w="108" w:type="dxa"/>
          </w:tblCellMar>
        </w:tblPrEx>
        <w:trPr>
          <w:trHeight w:val="780" w:hRule="atLeast"/>
          <w:jc w:val="center"/>
        </w:trPr>
        <w:tc>
          <w:tcPr>
            <w:tcW w:w="5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人力管控</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社保购买情况</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乙方必须为本项目的服务人员购买必须的社保，并每月在人员花名册上附上社保购买证明。每人每月缺少购买扣1分。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111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工资支付情况</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乙方必须按时为服务人员发放工资，并每月将发放情况报送甲方。当有人举报存在工资拖欠问题，甲方查实后，每人每月拖欠扣2分。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78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人员管理情况</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乙方必须每月将人员花名册报送甲方，期间出现的人员变动必须及时告知甲方。当月未及时更新信息，扣1分。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78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服务人员上岗情况</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乙方必须提供足够服务人员开展工作，服务期内每出现人员缺岗情况的，则每人每天扣</w:t>
            </w:r>
            <w:r>
              <w:rPr>
                <w:rFonts w:hint="eastAsia" w:ascii="宋体" w:hAnsi="宋体" w:eastAsia="宋体" w:cs="宋体"/>
                <w:color w:val="auto"/>
                <w:kern w:val="0"/>
                <w:szCs w:val="21"/>
                <w:highlight w:val="none"/>
                <w:lang w:val="en-US" w:eastAsia="zh-CN" w:bidi="ar"/>
              </w:rPr>
              <w:t>0.5</w:t>
            </w:r>
            <w:r>
              <w:rPr>
                <w:rFonts w:hint="eastAsia" w:ascii="宋体" w:hAnsi="宋体" w:eastAsia="宋体" w:cs="宋体"/>
                <w:color w:val="auto"/>
                <w:kern w:val="0"/>
                <w:szCs w:val="21"/>
                <w:highlight w:val="none"/>
                <w:lang w:bidi="ar"/>
              </w:rPr>
              <w:t>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1110" w:hRule="atLeast"/>
          <w:jc w:val="center"/>
        </w:trPr>
        <w:tc>
          <w:tcPr>
            <w:tcW w:w="5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业务管控</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客户维护情况</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甲方定期检查乙方对各个客户的服务情况，如发现因不收、漏收、态度恶劣的情况导致客户投诉的，每次扣0.5分；导致客户流失的，每次扣2分。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111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车辆维护情况</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乙方必须对作业车辆进行定期保养和及时维修，避免车辆损坏和交通事故发生。乙方在甲方发出维修通知书后3天内仍未开展维修工作的，每次逾期扣1分。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78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运量核查</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乙方需确保收运量来源符合甲方要求，合规合法，如发现收运量存在弄虚作假等情况，每发现一次扣5分。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780" w:hRule="atLeast"/>
          <w:jc w:val="center"/>
        </w:trPr>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回访情况</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抽检服务质量</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甲方将不定期对各个服务镇街的某一机关单位、学校、企业进行服务情况抽检评分。评分不达80分，每个扣0.5分。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1110" w:hRule="atLeast"/>
          <w:jc w:val="center"/>
        </w:trPr>
        <w:tc>
          <w:tcPr>
            <w:tcW w:w="5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工作规范</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专车专镇</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餐厨垃圾收运工作应专镇专车，禁止跨镇运输。每发现跨镇运输一次，除需按照跨镇运输车辆过磅重量*收运处理补贴费用（399.7元/吨）进行赔偿甲方损失外，每次扣5分。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78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收运异常上报</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因实际情况造成线路调整、无法收运等情况，有无及时上</w:t>
            </w:r>
            <w:r>
              <w:rPr>
                <w:rFonts w:hint="eastAsia" w:ascii="宋体" w:hAnsi="宋体" w:eastAsia="宋体" w:cs="宋体"/>
                <w:color w:val="auto"/>
                <w:kern w:val="0"/>
                <w:szCs w:val="21"/>
                <w:highlight w:val="none"/>
                <w:lang w:val="en-US" w:eastAsia="zh-CN" w:bidi="ar"/>
              </w:rPr>
              <w:t>甲方</w:t>
            </w:r>
            <w:r>
              <w:rPr>
                <w:rFonts w:hint="eastAsia" w:ascii="宋体" w:hAnsi="宋体" w:eastAsia="宋体" w:cs="宋体"/>
                <w:color w:val="auto"/>
                <w:kern w:val="0"/>
                <w:szCs w:val="21"/>
                <w:highlight w:val="none"/>
                <w:lang w:bidi="ar"/>
              </w:rPr>
              <w:t>。不上报一次扣1分。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78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服从工作情况</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在服务范围内，乙方工作人员不服从甲方调度安排的，每次扣</w:t>
            </w:r>
            <w:r>
              <w:rPr>
                <w:rFonts w:hint="eastAsia" w:ascii="宋体" w:hAnsi="宋体" w:eastAsia="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45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12</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车辆违章情况</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业务车辆在工作过程中每产生一次违章扣分，扣1分。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78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13</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造成车辆损坏或交通事故</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被判主要责任的情况下，经济损失三千元以内扣1分；三千元至一万元扣2分；一万至三万元元扣3分；三万元以上扣5分。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111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14</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安全驾驶</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服务人员驾驶车辆时严禁出现下列行为：吸烟、闲谈、开斗气车、不避让行人、使用手机、拐弯不打灯、在机动车道上停车未打危险灯或有其它妨碍安全行车的行为</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每发现一次扣0.5分。发现有酒驾、醉驾行为的，每发现一次扣5分，且因此造成的所有损失由服务单位承担。</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78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15</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驾驶记录</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服务人员每次驾驶餐厨收集车时须按要求做好收运点台账、加油和里程记录等工作。没有按照规范填写、漏填信息及未保存加油凭据的，每次扣0.5分。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78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16</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按规划路线驾驶</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必须按照预定的路线行驶，不得在未征得片区负责人的同意下随意切换路线。未有合理理由下随意更改路线，每次扣0.5分。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78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17</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收集垃圾过程</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在餐厨垃圾收集过程中需要按照规定操作。未按规范操作，造成严重地面污染或漏收，发现一次扣0.5分。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78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18</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垃圾桶清洗工作</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在收运过程中需要按照规定对餐厨垃圾桶进行清洗。垃圾桶未按规定清洗的，发现一次扣0.2分。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78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19</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卸料工作</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服务人员卸料需做好安全措施，佩戴好安全带和其他安全装备，并按规范操作卸料设施设备。未按安全要求和操作规范操作的或在卸料区以外误操作的，每次扣1分。造成环境污染和经济损失的，由乙方全部负责。</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78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20</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车载设备维护</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需要爱护车载设备，发现设备故障需要及时通报。不能损坏车载设备。人为导致设备损坏，每次发现扣1分。为保证车辆正常运转，车辆需要到正规油站加油，并保存加油凭据备查，禁止加注私油、黑油，发现有加注私油、黑油问题的，每发现一台车扣3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78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21</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车辆保洁</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需要保持车辆外观整洁，每次收运工作完成后需清洗车辆。发现车辆未按规定清洗的，每次扣0.2分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78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22</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车辆保养</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应定期对车辆进行保养，未根据车辆维修保养里程定期进行保养的，每逾期一日扣0.2分。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144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23</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着装要求</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服务人员在进行收运时必须按照规定穿着工衣（全套完整工衣，包括衣服和裤子）、佩戴厂牌（要能看到照片姓名等信息，不能得遮挡），同时穿戴好劳保用品（劳保鞋、安全帽、手套、反光衣）。未按规定着装，发现每人每次扣0.2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111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24</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人员精神面貌</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服务人员应养成良好的生活习惯，自觉安排好休息时间，保证足够的休息，以较好的精力投入驾驶工作。因作息不定时导致精神不佳影响驾驶作业的，每发现一次扣0.5分。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25</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分类情况</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服务人员注意不能在收运中混入中大型杂物或大量生活垃圾。每发现一次混入中大型杂物或大量生活垃圾的，未及时拍照取证并及时上报甲方管理人员，经核实无误后，每次扣0.5分。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1110" w:hRule="atLeast"/>
          <w:jc w:val="center"/>
        </w:trPr>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26</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安全培训</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服务人员无特殊情况下必须参与车队安全培训当中，若请假需得到车队长同意。发现无故缺席的，每人扣1分；因故不能参加的，且事后未自行申请进行补课的，每人扣1分。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570" w:hRule="atLeast"/>
          <w:jc w:val="center"/>
        </w:trPr>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c>
          <w:tcPr>
            <w:tcW w:w="44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szCs w:val="21"/>
                <w:highlight w:val="none"/>
              </w:rPr>
            </w:pPr>
          </w:p>
        </w:tc>
      </w:tr>
    </w:tbl>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评分单位</w:t>
      </w:r>
      <w:r>
        <w:rPr>
          <w:rFonts w:hint="eastAsia" w:ascii="宋体" w:hAnsi="宋体" w:eastAsia="宋体" w:cs="宋体"/>
          <w:b/>
          <w:bCs/>
          <w:color w:val="auto"/>
          <w:highlight w:val="none"/>
          <w:lang w:val="en-US" w:eastAsia="zh-CN"/>
        </w:rPr>
        <w:t>（甲方）盖章</w:t>
      </w:r>
      <w:r>
        <w:rPr>
          <w:rFonts w:hint="eastAsia" w:ascii="宋体" w:hAnsi="宋体" w:eastAsia="宋体" w:cs="宋体"/>
          <w:b/>
          <w:bCs/>
          <w:color w:val="auto"/>
          <w:szCs w:val="21"/>
          <w:highlight w:val="none"/>
        </w:rPr>
        <w:t xml:space="preserve">：                                 服务单位：     </w:t>
      </w:r>
    </w:p>
    <w:p>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评分人：</w:t>
      </w: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复核人：</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：上岗责任承诺书</w:t>
      </w:r>
    </w:p>
    <w:p>
      <w:pPr>
        <w:spacing w:line="360" w:lineRule="auto"/>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上岗责任承诺书</w:t>
      </w: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上岗承诺内容如下：</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1、上岗后遵守规章制度，服从调度。坚持遵章守时，不迟到、不早退、不缺勤，忠于职守，勤奋务实，不怕吃苦。不私自出车，不外借车辆，不相互推诿，确保工作用车需要。</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2、遵守职业道德，做到文明行车。严格遵守交通安全法律法规，不急躁，不酒后驾车，不闯红灯，不超速行驶，不占道行车，不疲劳驾驶等。</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自觉爱护车辆，保证行车安全。始终把行车安全作为根本要求，加强车辆保养和检查，勤检查、勤维护、勤保养，发现故障及时报告、及时排除、及时维修，绝不心存侥幸，绝不带故障行驶，确保车况良好、行车安全。</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保持车容整洁，提升乘车环境。坚持服务与卫生同步改善、品位与形象同步提高，车辆外表不划不碰，车内不乱扔乱挂，不随地吐痰，不乱扔烟头，不乱丢垃圾，经常清理车内车外卫生，提供干净整洁的车容车貌。</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5、加强自身修养，增强服务意识。注重养成良好的工作、生活习惯，做到衣着端庄整洁、举止大方得体、讲话文明礼貌、待人谦虚随和、服务规范细致、驾驶小心谨慎。</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坚持廉洁自律，树立良好形象。严格执行车辆管理制度，实行定点维修、定点加油，坚决杜绝公车私用，每天收班后统一停放在指定位置，坚持严于律己，绝不参与工作之便谋取私利，树立和维护公司良好形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同意以上规定请在下方签字，上岗后如违反制度的后果自负。</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承诺人签名：            日期：</w:t>
      </w:r>
    </w:p>
    <w:p>
      <w:pPr>
        <w:spacing w:line="360" w:lineRule="auto"/>
        <w:rPr>
          <w:rFonts w:hint="eastAsia" w:ascii="宋体" w:hAnsi="宋体" w:eastAsia="宋体" w:cs="宋体"/>
          <w:color w:val="auto"/>
          <w:sz w:val="21"/>
          <w:szCs w:val="21"/>
          <w:highlight w:val="none"/>
        </w:rPr>
      </w:pPr>
    </w:p>
    <w:p>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：试车考核项目</w:t>
      </w:r>
    </w:p>
    <w:p>
      <w:pPr>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试车考核项目</w:t>
      </w:r>
    </w:p>
    <w:p>
      <w:pPr>
        <w:spacing w:line="360" w:lineRule="auto"/>
        <w:ind w:left="279" w:leftChars="133" w:firstLine="420" w:firstLineChars="200"/>
        <w:jc w:val="left"/>
        <w:rPr>
          <w:rFonts w:hint="eastAsia" w:ascii="宋体" w:hAnsi="宋体" w:eastAsia="宋体" w:cs="宋体"/>
          <w:color w:val="auto"/>
          <w:sz w:val="21"/>
          <w:szCs w:val="21"/>
          <w:highlight w:val="none"/>
        </w:rPr>
      </w:pPr>
    </w:p>
    <w:p>
      <w:pPr>
        <w:spacing w:line="360" w:lineRule="auto"/>
        <w:ind w:left="279" w:leftChars="13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待入职试车前把个人身份证和驾驶证交给试车员查验，试车前应该保证个人精神状态清醒，没有不良症状，确保整个试车过程的顺利；在考核过程中，如有2项不通过，此司机不能</w:t>
      </w:r>
      <w:r>
        <w:rPr>
          <w:rFonts w:hint="eastAsia" w:ascii="宋体" w:hAnsi="宋体" w:eastAsia="宋体" w:cs="宋体"/>
          <w:color w:val="auto"/>
          <w:sz w:val="24"/>
          <w:szCs w:val="24"/>
          <w:highlight w:val="none"/>
          <w:lang w:val="en-US" w:eastAsia="zh-CN"/>
        </w:rPr>
        <w:t>上岗</w:t>
      </w:r>
      <w:r>
        <w:rPr>
          <w:rFonts w:hint="eastAsia" w:ascii="宋体" w:hAnsi="宋体" w:eastAsia="宋体" w:cs="宋体"/>
          <w:color w:val="auto"/>
          <w:sz w:val="24"/>
          <w:szCs w:val="24"/>
          <w:highlight w:val="none"/>
        </w:rPr>
        <w:t>，后面张贴司机的驾驶证和身份证复印件</w:t>
      </w:r>
    </w:p>
    <w:p>
      <w:pPr>
        <w:spacing w:line="360" w:lineRule="auto"/>
        <w:ind w:firstLine="5040" w:firstLineChars="2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司机签名：</w:t>
      </w:r>
    </w:p>
    <w:tbl>
      <w:tblPr>
        <w:tblStyle w:val="38"/>
        <w:tblpPr w:leftFromText="180" w:rightFromText="180" w:vertAnchor="text" w:horzAnchor="page" w:tblpX="1347" w:tblpY="5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3984"/>
        <w:gridCol w:w="1566"/>
        <w:gridCol w:w="2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984"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考核项目</w:t>
            </w:r>
          </w:p>
        </w:tc>
        <w:tc>
          <w:tcPr>
            <w:tcW w:w="1566"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是否通过</w:t>
            </w:r>
          </w:p>
        </w:tc>
        <w:tc>
          <w:tcPr>
            <w:tcW w:w="2917"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984" w:type="dxa"/>
            <w:noWrap w:val="0"/>
            <w:vAlign w:val="top"/>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起动发动机前操作及检查</w:t>
            </w:r>
          </w:p>
        </w:tc>
        <w:tc>
          <w:tcPr>
            <w:tcW w:w="1566" w:type="dxa"/>
            <w:noWrap w:val="0"/>
            <w:vAlign w:val="top"/>
          </w:tcPr>
          <w:p>
            <w:pPr>
              <w:rPr>
                <w:rFonts w:hint="eastAsia" w:ascii="宋体" w:hAnsi="宋体" w:eastAsia="宋体" w:cs="宋体"/>
                <w:color w:val="auto"/>
                <w:sz w:val="24"/>
                <w:szCs w:val="24"/>
                <w:highlight w:val="none"/>
              </w:rPr>
            </w:pPr>
          </w:p>
        </w:tc>
        <w:tc>
          <w:tcPr>
            <w:tcW w:w="2917" w:type="dxa"/>
            <w:noWrap w:val="0"/>
            <w:vAlign w:val="top"/>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984" w:type="dxa"/>
            <w:noWrap w:val="0"/>
            <w:vAlign w:val="top"/>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起步前操作</w:t>
            </w:r>
          </w:p>
        </w:tc>
        <w:tc>
          <w:tcPr>
            <w:tcW w:w="1566" w:type="dxa"/>
            <w:noWrap w:val="0"/>
            <w:vAlign w:val="top"/>
          </w:tcPr>
          <w:p>
            <w:pPr>
              <w:rPr>
                <w:rFonts w:hint="eastAsia" w:ascii="宋体" w:hAnsi="宋体" w:eastAsia="宋体" w:cs="宋体"/>
                <w:color w:val="auto"/>
                <w:sz w:val="24"/>
                <w:szCs w:val="24"/>
                <w:highlight w:val="none"/>
              </w:rPr>
            </w:pPr>
          </w:p>
        </w:tc>
        <w:tc>
          <w:tcPr>
            <w:tcW w:w="2917" w:type="dxa"/>
            <w:noWrap w:val="0"/>
            <w:vAlign w:val="top"/>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984" w:type="dxa"/>
            <w:noWrap w:val="0"/>
            <w:vAlign w:val="top"/>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起步时离合和变速杆操作</w:t>
            </w:r>
          </w:p>
        </w:tc>
        <w:tc>
          <w:tcPr>
            <w:tcW w:w="1566" w:type="dxa"/>
            <w:noWrap w:val="0"/>
            <w:vAlign w:val="top"/>
          </w:tcPr>
          <w:p>
            <w:pPr>
              <w:rPr>
                <w:rFonts w:hint="eastAsia" w:ascii="宋体" w:hAnsi="宋体" w:eastAsia="宋体" w:cs="宋体"/>
                <w:color w:val="auto"/>
                <w:sz w:val="24"/>
                <w:szCs w:val="24"/>
                <w:highlight w:val="none"/>
              </w:rPr>
            </w:pPr>
          </w:p>
        </w:tc>
        <w:tc>
          <w:tcPr>
            <w:tcW w:w="2917" w:type="dxa"/>
            <w:noWrap w:val="0"/>
            <w:vAlign w:val="top"/>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984" w:type="dxa"/>
            <w:noWrap w:val="0"/>
            <w:vAlign w:val="top"/>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行车时操作状态</w:t>
            </w:r>
          </w:p>
        </w:tc>
        <w:tc>
          <w:tcPr>
            <w:tcW w:w="1566" w:type="dxa"/>
            <w:noWrap w:val="0"/>
            <w:vAlign w:val="top"/>
          </w:tcPr>
          <w:p>
            <w:pPr>
              <w:rPr>
                <w:rFonts w:hint="eastAsia" w:ascii="宋体" w:hAnsi="宋体" w:eastAsia="宋体" w:cs="宋体"/>
                <w:color w:val="auto"/>
                <w:sz w:val="24"/>
                <w:szCs w:val="24"/>
                <w:highlight w:val="none"/>
              </w:rPr>
            </w:pPr>
          </w:p>
        </w:tc>
        <w:tc>
          <w:tcPr>
            <w:tcW w:w="2917" w:type="dxa"/>
            <w:noWrap w:val="0"/>
            <w:vAlign w:val="top"/>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984" w:type="dxa"/>
            <w:noWrap w:val="0"/>
            <w:vAlign w:val="top"/>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停车后操作</w:t>
            </w:r>
          </w:p>
        </w:tc>
        <w:tc>
          <w:tcPr>
            <w:tcW w:w="1566" w:type="dxa"/>
            <w:noWrap w:val="0"/>
            <w:vAlign w:val="top"/>
          </w:tcPr>
          <w:p>
            <w:pPr>
              <w:rPr>
                <w:rFonts w:hint="eastAsia" w:ascii="宋体" w:hAnsi="宋体" w:eastAsia="宋体" w:cs="宋体"/>
                <w:color w:val="auto"/>
                <w:sz w:val="24"/>
                <w:szCs w:val="24"/>
                <w:highlight w:val="none"/>
              </w:rPr>
            </w:pPr>
          </w:p>
        </w:tc>
        <w:tc>
          <w:tcPr>
            <w:tcW w:w="2917" w:type="dxa"/>
            <w:noWrap w:val="0"/>
            <w:vAlign w:val="top"/>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3984" w:type="dxa"/>
            <w:noWrap w:val="0"/>
            <w:vAlign w:val="top"/>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倒车操作</w:t>
            </w:r>
          </w:p>
        </w:tc>
        <w:tc>
          <w:tcPr>
            <w:tcW w:w="1566" w:type="dxa"/>
            <w:noWrap w:val="0"/>
            <w:vAlign w:val="top"/>
          </w:tcPr>
          <w:p>
            <w:pPr>
              <w:rPr>
                <w:rFonts w:hint="eastAsia" w:ascii="宋体" w:hAnsi="宋体" w:eastAsia="宋体" w:cs="宋体"/>
                <w:color w:val="auto"/>
                <w:sz w:val="24"/>
                <w:szCs w:val="24"/>
                <w:highlight w:val="none"/>
              </w:rPr>
            </w:pPr>
          </w:p>
        </w:tc>
        <w:tc>
          <w:tcPr>
            <w:tcW w:w="2917" w:type="dxa"/>
            <w:noWrap w:val="0"/>
            <w:vAlign w:val="top"/>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3984" w:type="dxa"/>
            <w:noWrap w:val="0"/>
            <w:vAlign w:val="top"/>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对车辆的各功能询问</w:t>
            </w:r>
          </w:p>
        </w:tc>
        <w:tc>
          <w:tcPr>
            <w:tcW w:w="1566" w:type="dxa"/>
            <w:noWrap w:val="0"/>
            <w:vAlign w:val="top"/>
          </w:tcPr>
          <w:p>
            <w:pPr>
              <w:rPr>
                <w:rFonts w:hint="eastAsia" w:ascii="宋体" w:hAnsi="宋体" w:eastAsia="宋体" w:cs="宋体"/>
                <w:color w:val="auto"/>
                <w:sz w:val="24"/>
                <w:szCs w:val="24"/>
                <w:highlight w:val="none"/>
              </w:rPr>
            </w:pPr>
          </w:p>
        </w:tc>
        <w:tc>
          <w:tcPr>
            <w:tcW w:w="2917" w:type="dxa"/>
            <w:noWrap w:val="0"/>
            <w:vAlign w:val="top"/>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3984" w:type="dxa"/>
            <w:noWrap w:val="0"/>
            <w:vAlign w:val="top"/>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对车辆日常维保询问</w:t>
            </w:r>
          </w:p>
        </w:tc>
        <w:tc>
          <w:tcPr>
            <w:tcW w:w="1566" w:type="dxa"/>
            <w:noWrap w:val="0"/>
            <w:vAlign w:val="top"/>
          </w:tcPr>
          <w:p>
            <w:pPr>
              <w:rPr>
                <w:rFonts w:hint="eastAsia" w:ascii="宋体" w:hAnsi="宋体" w:eastAsia="宋体" w:cs="宋体"/>
                <w:color w:val="auto"/>
                <w:sz w:val="24"/>
                <w:szCs w:val="24"/>
                <w:highlight w:val="none"/>
              </w:rPr>
            </w:pPr>
          </w:p>
        </w:tc>
        <w:tc>
          <w:tcPr>
            <w:tcW w:w="2917" w:type="dxa"/>
            <w:noWrap w:val="0"/>
            <w:vAlign w:val="top"/>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4" w:type="dxa"/>
            <w:gridSpan w:val="2"/>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意见</w:t>
            </w:r>
          </w:p>
        </w:tc>
        <w:tc>
          <w:tcPr>
            <w:tcW w:w="4483" w:type="dxa"/>
            <w:gridSpan w:val="2"/>
            <w:noWrap w:val="0"/>
            <w:vAlign w:val="top"/>
          </w:tcPr>
          <w:p>
            <w:pPr>
              <w:rPr>
                <w:rFonts w:hint="eastAsia" w:ascii="宋体" w:hAnsi="宋体" w:eastAsia="宋体" w:cs="宋体"/>
                <w:color w:val="auto"/>
                <w:sz w:val="24"/>
                <w:szCs w:val="24"/>
                <w:highlight w:val="none"/>
              </w:rPr>
            </w:pPr>
          </w:p>
        </w:tc>
      </w:tr>
    </w:tbl>
    <w:p>
      <w:pPr>
        <w:tabs>
          <w:tab w:val="left" w:pos="1260"/>
        </w:tabs>
        <w:snapToGrid w:val="0"/>
        <w:spacing w:line="360" w:lineRule="auto"/>
        <w:textAlignment w:val="baseline"/>
        <w:rPr>
          <w:rFonts w:hint="eastAsia" w:ascii="宋体" w:hAnsi="宋体" w:eastAsia="宋体" w:cs="宋体"/>
          <w:b/>
          <w:bCs/>
          <w:color w:val="auto"/>
          <w:sz w:val="24"/>
          <w:szCs w:val="24"/>
          <w:highlight w:val="none"/>
        </w:rPr>
      </w:pPr>
    </w:p>
    <w:p>
      <w:pPr>
        <w:tabs>
          <w:tab w:val="left" w:pos="1260"/>
        </w:tabs>
        <w:snapToGrid w:val="0"/>
        <w:spacing w:line="360" w:lineRule="auto"/>
        <w:textAlignment w:val="baseline"/>
        <w:rPr>
          <w:rFonts w:hint="eastAsia" w:ascii="宋体" w:hAnsi="宋体" w:eastAsia="宋体" w:cs="宋体"/>
          <w:b/>
          <w:bCs/>
          <w:color w:val="auto"/>
          <w:sz w:val="24"/>
          <w:szCs w:val="24"/>
          <w:highlight w:val="none"/>
        </w:rPr>
      </w:pPr>
    </w:p>
    <w:p>
      <w:pPr>
        <w:spacing w:line="360" w:lineRule="auto"/>
        <w:ind w:left="279" w:leftChars="13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在考核过程中，如有2项不通过，此司机不能</w:t>
      </w:r>
      <w:r>
        <w:rPr>
          <w:rFonts w:hint="eastAsia" w:ascii="宋体" w:hAnsi="宋体" w:eastAsia="宋体" w:cs="宋体"/>
          <w:color w:val="auto"/>
          <w:sz w:val="24"/>
          <w:szCs w:val="24"/>
          <w:highlight w:val="none"/>
          <w:lang w:val="en-US" w:eastAsia="zh-CN"/>
        </w:rPr>
        <w:t>上岗</w:t>
      </w:r>
      <w:r>
        <w:rPr>
          <w:rFonts w:hint="eastAsia" w:ascii="宋体" w:hAnsi="宋体" w:eastAsia="宋体" w:cs="宋体"/>
          <w:color w:val="auto"/>
          <w:sz w:val="24"/>
          <w:szCs w:val="24"/>
          <w:highlight w:val="none"/>
        </w:rPr>
        <w:t>，后面张贴司机的驾驶证和身份证复印件</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试车员：</w:t>
      </w:r>
    </w:p>
    <w:p>
      <w:pPr>
        <w:ind w:firstLine="6000" w:firstLineChars="2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签名：</w:t>
      </w:r>
    </w:p>
    <w:p>
      <w:pPr>
        <w:tabs>
          <w:tab w:val="left" w:pos="1260"/>
        </w:tabs>
        <w:snapToGrid w:val="0"/>
        <w:spacing w:line="360" w:lineRule="auto"/>
        <w:textAlignment w:val="baseline"/>
        <w:rPr>
          <w:rFonts w:hint="eastAsia" w:ascii="宋体" w:hAnsi="宋体" w:eastAsia="宋体" w:cs="宋体"/>
          <w:b/>
          <w:bCs/>
          <w:color w:val="auto"/>
          <w:szCs w:val="21"/>
          <w:highlight w:val="none"/>
        </w:rPr>
      </w:pPr>
    </w:p>
    <w:p>
      <w:pPr>
        <w:spacing w:line="360" w:lineRule="auto"/>
        <w:rPr>
          <w:rFonts w:hint="eastAsia" w:ascii="宋体" w:hAnsi="宋体" w:eastAsia="宋体" w:cs="宋体"/>
          <w:color w:val="auto"/>
          <w:sz w:val="21"/>
          <w:szCs w:val="21"/>
          <w:highlight w:val="none"/>
        </w:rPr>
      </w:pP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：餐厨垃圾收运服务人员体检要求</w:t>
      </w:r>
    </w:p>
    <w:p>
      <w:pPr>
        <w:spacing w:line="360" w:lineRule="auto"/>
        <w:rPr>
          <w:rFonts w:hint="eastAsia" w:ascii="宋体" w:hAnsi="宋体" w:eastAsia="宋体" w:cs="宋体"/>
          <w:color w:val="auto"/>
          <w:szCs w:val="21"/>
          <w:highlight w:val="none"/>
        </w:rPr>
      </w:pPr>
    </w:p>
    <w:p>
      <w:pPr>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餐厨垃圾收运服务人员体检要求如下：</w:t>
      </w:r>
    </w:p>
    <w:p>
      <w:pPr>
        <w:spacing w:line="360" w:lineRule="auto"/>
        <w:ind w:firstLine="422" w:firstLineChars="200"/>
        <w:rPr>
          <w:rFonts w:hint="eastAsia" w:ascii="宋体" w:hAnsi="宋体" w:eastAsia="宋体" w:cs="宋体"/>
          <w:b/>
          <w:color w:val="auto"/>
          <w:szCs w:val="21"/>
          <w:highlight w:val="none"/>
        </w:rPr>
      </w:pP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一、不接触职业健康危害因素人员</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根据工作内容不会接触到职业健康危害因素的人员，提交一般入职体检报告1份。</w:t>
      </w:r>
    </w:p>
    <w:p>
      <w:pPr>
        <w:spacing w:line="360" w:lineRule="auto"/>
        <w:rPr>
          <w:rFonts w:hint="eastAsia" w:ascii="宋体" w:hAnsi="宋体" w:eastAsia="宋体" w:cs="宋体"/>
          <w:b/>
          <w:color w:val="auto"/>
          <w:sz w:val="21"/>
          <w:szCs w:val="21"/>
          <w:highlight w:val="none"/>
        </w:rPr>
      </w:pP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二、接触职业健康危害因素人员</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根据工作内容会接触到职业健康危害因素人员，包括收运司机、</w:t>
      </w:r>
      <w:r>
        <w:rPr>
          <w:rFonts w:hint="eastAsia" w:ascii="宋体" w:hAnsi="宋体" w:eastAsia="宋体" w:cs="宋体"/>
          <w:color w:val="auto"/>
          <w:sz w:val="21"/>
          <w:szCs w:val="21"/>
          <w:highlight w:val="none"/>
          <w:lang w:val="en-US" w:eastAsia="zh-CN"/>
        </w:rPr>
        <w:t>收运</w:t>
      </w:r>
      <w:r>
        <w:rPr>
          <w:rFonts w:hint="eastAsia" w:ascii="宋体" w:hAnsi="宋体" w:eastAsia="宋体" w:cs="宋体"/>
          <w:color w:val="auto"/>
          <w:sz w:val="21"/>
          <w:szCs w:val="21"/>
          <w:highlight w:val="none"/>
        </w:rPr>
        <w:t>辅工等，需按要求进行岗前、在岗及离岗职业健康检查，提交有资质机构出具的岗前、在岗及离岗职业健康检查报告。具体要求详见附件。</w:t>
      </w:r>
    </w:p>
    <w:p>
      <w:pPr>
        <w:spacing w:line="360" w:lineRule="auto"/>
        <w:ind w:firstLine="420" w:firstLineChars="200"/>
        <w:rPr>
          <w:rFonts w:hint="eastAsia" w:ascii="宋体" w:hAnsi="宋体" w:eastAsia="宋体" w:cs="宋体"/>
          <w:color w:val="auto"/>
          <w:szCs w:val="21"/>
          <w:highlight w:val="none"/>
        </w:rPr>
      </w:pPr>
    </w:p>
    <w:p>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：餐厨垃圾收运服务人员职业健康体检要求</w:t>
      </w:r>
    </w:p>
    <w:p>
      <w:pPr>
        <w:spacing w:line="360" w:lineRule="auto"/>
        <w:ind w:firstLine="422" w:firstLineChars="200"/>
        <w:rPr>
          <w:rFonts w:hint="eastAsia" w:ascii="宋体" w:hAnsi="宋体" w:eastAsia="宋体" w:cs="宋体"/>
          <w:b/>
          <w:color w:val="auto"/>
          <w:szCs w:val="21"/>
          <w:highlight w:val="none"/>
        </w:rPr>
      </w:pPr>
    </w:p>
    <w:p>
      <w:pPr>
        <w:spacing w:line="360" w:lineRule="auto"/>
        <w:ind w:firstLine="723" w:firstLineChars="200"/>
        <w:jc w:val="center"/>
        <w:rPr>
          <w:rFonts w:hint="eastAsia" w:ascii="宋体" w:hAnsi="宋体" w:eastAsia="宋体" w:cs="宋体"/>
          <w:color w:val="auto"/>
          <w:sz w:val="36"/>
          <w:szCs w:val="36"/>
          <w:highlight w:val="none"/>
        </w:rPr>
      </w:pPr>
      <w:r>
        <w:rPr>
          <w:rFonts w:hint="eastAsia" w:ascii="宋体" w:hAnsi="宋体" w:eastAsia="宋体" w:cs="宋体"/>
          <w:b/>
          <w:color w:val="auto"/>
          <w:sz w:val="36"/>
          <w:szCs w:val="36"/>
          <w:highlight w:val="none"/>
        </w:rPr>
        <w:t>餐厨垃圾收运服务人员职业健康体检要求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根据《中华人民共和国职业病防治法》、《职业健康监护技术规范》（GBZ188-2014），用人单位应组织接触职业病危害因素的劳动者进行上岗前、在岗期间及离岗前职业健康检查，相关具体情况介绍如下：</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一、参检人员</w:t>
      </w:r>
    </w:p>
    <w:p>
      <w:pPr>
        <w:pStyle w:val="131"/>
        <w:spacing w:line="360" w:lineRule="auto"/>
        <w:ind w:firstLine="48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餐厨项目接触职业病危害因素的人员，包括餐厨项目收运司机岗、</w:t>
      </w:r>
      <w:r>
        <w:rPr>
          <w:rFonts w:hint="eastAsia" w:ascii="宋体" w:hAnsi="宋体" w:eastAsia="宋体" w:cs="宋体"/>
          <w:color w:val="auto"/>
          <w:sz w:val="21"/>
          <w:szCs w:val="21"/>
          <w:highlight w:val="none"/>
          <w:lang w:val="en-US" w:eastAsia="zh-CN"/>
        </w:rPr>
        <w:t>收运辅工</w:t>
      </w:r>
      <w:r>
        <w:rPr>
          <w:rFonts w:hint="eastAsia" w:ascii="宋体" w:hAnsi="宋体" w:eastAsia="宋体" w:cs="宋体"/>
          <w:color w:val="auto"/>
          <w:sz w:val="21"/>
          <w:szCs w:val="21"/>
          <w:highlight w:val="none"/>
        </w:rPr>
        <w:t>及后续按此原则应纳入职业健康检查的其他人员。</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二、体检项目</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由东莞市职业病防治中心或其他有资质的医院根据参检人员接触的职业病危害因素核定必检项目。</w:t>
      </w:r>
    </w:p>
    <w:p>
      <w:pPr>
        <w:pStyle w:val="131"/>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餐厨项目收运司机岗及</w:t>
      </w:r>
      <w:r>
        <w:rPr>
          <w:rFonts w:hint="eastAsia" w:ascii="宋体" w:hAnsi="宋体" w:eastAsia="宋体" w:cs="宋体"/>
          <w:color w:val="auto"/>
          <w:sz w:val="21"/>
          <w:szCs w:val="21"/>
          <w:highlight w:val="none"/>
          <w:lang w:val="en-US" w:eastAsia="zh-CN"/>
        </w:rPr>
        <w:t>收运辅工</w:t>
      </w:r>
      <w:r>
        <w:rPr>
          <w:rFonts w:hint="eastAsia" w:ascii="宋体" w:hAnsi="宋体" w:eastAsia="宋体" w:cs="宋体"/>
          <w:color w:val="auto"/>
          <w:sz w:val="21"/>
          <w:szCs w:val="21"/>
          <w:highlight w:val="none"/>
        </w:rPr>
        <w:t>及后续按此原则应纳入职业健康检查的其他人员。</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目前核定接触的危害因素为氨、硫化氢两种。后续如有调整，以实际情况为准。</w:t>
      </w:r>
    </w:p>
    <w:p>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其中岗前体检需在医院核定的必检项目基础上，增加“肝功AST、肾功4项”两个体检项目。</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三、体检周期</w:t>
      </w:r>
    </w:p>
    <w:p>
      <w:pPr>
        <w:pStyle w:val="131"/>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1、岗前体检在上述岗位员工入职前完成。</w:t>
      </w:r>
    </w:p>
    <w:p>
      <w:pPr>
        <w:pStyle w:val="131"/>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2、离岗体检在员工离岗前完成。</w:t>
      </w:r>
    </w:p>
    <w:p>
      <w:pPr>
        <w:pStyle w:val="131"/>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3、在岗体检周期结合各岗位接触的危害因素按照《职业健康监护技术规范》（GBZ188-2014）中规定的检查周期执行，其中，氨</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硫化氢</w:t>
      </w:r>
      <w:r>
        <w:rPr>
          <w:rFonts w:hint="eastAsia" w:ascii="宋体" w:hAnsi="宋体" w:eastAsia="宋体" w:cs="宋体"/>
          <w:color w:val="auto"/>
          <w:sz w:val="21"/>
          <w:szCs w:val="21"/>
          <w:highlight w:val="none"/>
          <w:lang w:val="en-US" w:eastAsia="zh-CN"/>
        </w:rPr>
        <w:t>需按要求进行周期性体检</w:t>
      </w:r>
      <w:r>
        <w:rPr>
          <w:rFonts w:hint="eastAsia" w:ascii="宋体" w:hAnsi="宋体" w:eastAsia="宋体" w:cs="宋体"/>
          <w:color w:val="auto"/>
          <w:sz w:val="21"/>
          <w:szCs w:val="21"/>
          <w:highlight w:val="none"/>
        </w:rPr>
        <w:t>。</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四、体检医院</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东莞市职业病防治中心或其他有资质的医院。</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五、其他要求</w:t>
      </w:r>
    </w:p>
    <w:p>
      <w:pPr>
        <w:rPr>
          <w:rFonts w:eastAsia="+中文正文"/>
          <w:color w:val="auto"/>
          <w:highlight w:val="none"/>
        </w:rPr>
      </w:pPr>
      <w:r>
        <w:rPr>
          <w:rFonts w:hint="eastAsia" w:ascii="宋体" w:hAnsi="宋体" w:eastAsia="宋体" w:cs="宋体"/>
          <w:color w:val="auto"/>
          <w:sz w:val="21"/>
          <w:szCs w:val="21"/>
          <w:highlight w:val="none"/>
        </w:rPr>
        <w:t>每位人员是否完成体检，以提交符合要求的职业健康检查报告为完成标准。</w:t>
      </w:r>
    </w:p>
    <w:p>
      <w:pPr>
        <w:pStyle w:val="206"/>
        <w:rPr>
          <w:rFonts w:hint="eastAsia" w:eastAsia="+中文正文"/>
          <w:color w:val="auto"/>
          <w:highlight w:val="none"/>
        </w:rPr>
      </w:pPr>
    </w:p>
    <w:p>
      <w:pPr>
        <w:pageBreakBefore/>
        <w:spacing w:before="120" w:beforeLines="50" w:after="120" w:afterLines="50" w:line="360" w:lineRule="auto"/>
        <w:ind w:firstLine="640"/>
        <w:jc w:val="center"/>
        <w:outlineLvl w:val="0"/>
        <w:rPr>
          <w:rFonts w:hint="eastAsia" w:ascii="宋体" w:hAnsi="宋体" w:eastAsia="宋体" w:cs="宋体"/>
          <w:b/>
          <w:bCs/>
          <w:color w:val="auto"/>
          <w:sz w:val="32"/>
          <w:szCs w:val="32"/>
          <w:highlight w:val="none"/>
          <w:lang w:val="zh-CN"/>
        </w:rPr>
      </w:pPr>
      <w:bookmarkStart w:id="475" w:name="_Toc30025"/>
      <w:bookmarkStart w:id="476" w:name="_Toc24427_WPSOffice_Level1"/>
      <w:bookmarkStart w:id="477" w:name="_Toc25564"/>
      <w:bookmarkStart w:id="478" w:name="_Toc447044479"/>
      <w:bookmarkStart w:id="479" w:name="_Toc1966"/>
      <w:bookmarkStart w:id="480" w:name="_Toc447044603"/>
      <w:bookmarkStart w:id="481" w:name="_Toc447045090"/>
      <w:bookmarkStart w:id="482" w:name="_Toc142508360"/>
      <w:bookmarkStart w:id="483" w:name="_Toc13867"/>
      <w:bookmarkStart w:id="484" w:name="_Toc512353083"/>
      <w:bookmarkStart w:id="485" w:name="_Toc18054"/>
      <w:r>
        <w:rPr>
          <w:rFonts w:hint="eastAsia" w:ascii="宋体" w:hAnsi="宋体" w:eastAsia="宋体" w:cs="宋体"/>
          <w:b/>
          <w:bCs/>
          <w:color w:val="auto"/>
          <w:sz w:val="32"/>
          <w:szCs w:val="32"/>
          <w:highlight w:val="none"/>
          <w:lang w:val="zh-CN"/>
        </w:rPr>
        <w:t>第五篇 相关保函格式</w:t>
      </w:r>
      <w:bookmarkEnd w:id="475"/>
      <w:bookmarkEnd w:id="476"/>
      <w:bookmarkEnd w:id="477"/>
      <w:bookmarkEnd w:id="478"/>
      <w:bookmarkEnd w:id="479"/>
      <w:bookmarkEnd w:id="480"/>
      <w:bookmarkEnd w:id="481"/>
      <w:bookmarkEnd w:id="482"/>
      <w:bookmarkEnd w:id="483"/>
      <w:bookmarkEnd w:id="484"/>
      <w:bookmarkEnd w:id="485"/>
      <w:bookmarkStart w:id="486" w:name="_Toc447044480"/>
      <w:bookmarkStart w:id="487" w:name="_Toc447045091"/>
      <w:bookmarkStart w:id="488" w:name="_Toc447044604"/>
    </w:p>
    <w:p>
      <w:pPr>
        <w:autoSpaceDE w:val="0"/>
        <w:autoSpaceDN w:val="0"/>
        <w:adjustRightInd w:val="0"/>
        <w:spacing w:after="120" w:afterLines="50" w:line="360" w:lineRule="auto"/>
        <w:jc w:val="left"/>
        <w:rPr>
          <w:rFonts w:hint="eastAsia" w:ascii="宋体" w:hAnsi="宋体" w:eastAsia="宋体" w:cs="宋体"/>
          <w:b/>
          <w:color w:val="auto"/>
          <w:kern w:val="0"/>
          <w:sz w:val="28"/>
          <w:szCs w:val="28"/>
          <w:highlight w:val="none"/>
        </w:rPr>
      </w:pPr>
      <w:bookmarkStart w:id="489" w:name="_Toc26521_WPSOffice_Level2"/>
      <w:r>
        <w:rPr>
          <w:rFonts w:hint="eastAsia" w:ascii="宋体" w:hAnsi="宋体" w:eastAsia="宋体" w:cs="宋体"/>
          <w:b/>
          <w:color w:val="auto"/>
          <w:kern w:val="0"/>
          <w:sz w:val="28"/>
          <w:szCs w:val="28"/>
          <w:highlight w:val="none"/>
        </w:rPr>
        <w:t>一、不可撤销银行履约保函格式</w:t>
      </w:r>
      <w:bookmarkEnd w:id="486"/>
      <w:bookmarkEnd w:id="487"/>
      <w:bookmarkEnd w:id="488"/>
      <w:bookmarkEnd w:id="489"/>
    </w:p>
    <w:p>
      <w:pPr>
        <w:autoSpaceDE w:val="0"/>
        <w:autoSpaceDN w:val="0"/>
        <w:adjustRightInd w:val="0"/>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不可撤销银行履约保函</w:t>
      </w:r>
    </w:p>
    <w:p>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pPr>
        <w:autoSpaceDE w:val="0"/>
        <w:autoSpaceDN w:val="0"/>
        <w:adjustRightInd w:val="0"/>
        <w:spacing w:line="360" w:lineRule="auto"/>
        <w:ind w:firstLine="63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银行编号：</w:t>
      </w:r>
    </w:p>
    <w:p>
      <w:pPr>
        <w:widowControl/>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的无条件、不可撤销银行履约保函，作为申请人履行上述合同的担保。</w:t>
      </w:r>
    </w:p>
    <w:p>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本保函</w:t>
      </w:r>
      <w:r>
        <w:rPr>
          <w:rFonts w:hint="eastAsia" w:ascii="宋体" w:hAnsi="宋体" w:eastAsia="宋体" w:cs="宋体"/>
          <w:color w:val="auto"/>
          <w:kern w:val="0"/>
          <w:sz w:val="21"/>
          <w:szCs w:val="21"/>
          <w:highlight w:val="none"/>
        </w:rPr>
        <w:t>应</w:t>
      </w:r>
      <w:r>
        <w:rPr>
          <w:rFonts w:hint="eastAsia" w:ascii="宋体" w:hAnsi="宋体" w:eastAsia="宋体" w:cs="宋体"/>
          <w:color w:val="auto"/>
          <w:kern w:val="0"/>
          <w:szCs w:val="21"/>
          <w:highlight w:val="none"/>
        </w:rPr>
        <w:t>自</w:t>
      </w:r>
      <w:r>
        <w:rPr>
          <w:rFonts w:hint="eastAsia" w:ascii="宋体" w:hAnsi="宋体" w:eastAsia="宋体" w:cs="宋体"/>
          <w:color w:val="auto"/>
          <w:kern w:val="0"/>
          <w:sz w:val="21"/>
          <w:szCs w:val="21"/>
          <w:highlight w:val="none"/>
        </w:rPr>
        <w:t>合同签订之日起至</w:t>
      </w:r>
      <w:r>
        <w:rPr>
          <w:rFonts w:hint="eastAsia" w:ascii="宋体" w:hAnsi="宋体" w:eastAsia="宋体" w:cs="宋体"/>
          <w:color w:val="auto"/>
          <w:kern w:val="0"/>
          <w:sz w:val="21"/>
          <w:szCs w:val="21"/>
          <w:highlight w:val="none"/>
          <w:lang w:eastAsia="zh-CN"/>
        </w:rPr>
        <w:t>合同期限届满并完成合同全部服务义务</w:t>
      </w:r>
      <w:r>
        <w:rPr>
          <w:rFonts w:hint="eastAsia" w:ascii="宋体" w:hAnsi="宋体" w:eastAsia="宋体" w:cs="宋体"/>
          <w:color w:val="auto"/>
          <w:kern w:val="0"/>
          <w:sz w:val="21"/>
          <w:szCs w:val="21"/>
          <w:highlight w:val="none"/>
        </w:rPr>
        <w:t>后二十八（28）日内保持有效</w:t>
      </w:r>
      <w:r>
        <w:rPr>
          <w:rFonts w:hint="eastAsia" w:ascii="宋体" w:hAnsi="宋体" w:eastAsia="宋体" w:cs="宋体"/>
          <w:color w:val="auto"/>
          <w:kern w:val="0"/>
          <w:sz w:val="21"/>
          <w:szCs w:val="21"/>
          <w:highlight w:val="none"/>
          <w:lang w:eastAsia="zh-CN"/>
        </w:rPr>
        <w:t>。</w:t>
      </w:r>
    </w:p>
    <w:p>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p>
    <w:p>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 保 银 行：</w:t>
      </w:r>
      <w:r>
        <w:rPr>
          <w:rFonts w:hint="eastAsia" w:ascii="宋体" w:hAnsi="宋体" w:eastAsia="宋体" w:cs="宋体"/>
          <w:color w:val="auto"/>
          <w:kern w:val="0"/>
          <w:szCs w:val="21"/>
          <w:highlight w:val="none"/>
          <w:u w:val="single"/>
        </w:rPr>
        <w:t xml:space="preserve">          银行全称          (盖章)   </w:t>
      </w:r>
    </w:p>
    <w:p>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hint="eastAsia" w:ascii="宋体" w:hAnsi="宋体" w:eastAsia="宋体" w:cs="宋体"/>
          <w:color w:val="auto"/>
          <w:kern w:val="0"/>
          <w:szCs w:val="21"/>
          <w:highlight w:val="none"/>
          <w:u w:val="single"/>
        </w:rPr>
        <w:t xml:space="preserve">       (职务)         </w:t>
      </w:r>
    </w:p>
    <w:p>
      <w:pPr>
        <w:widowControl/>
        <w:autoSpaceDE w:val="0"/>
        <w:autoSpaceDN w:val="0"/>
        <w:adjustRightInd w:val="0"/>
        <w:spacing w:line="360" w:lineRule="auto"/>
        <w:ind w:firstLine="5502" w:firstLineChars="262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(姓名)         </w:t>
      </w:r>
    </w:p>
    <w:p>
      <w:pPr>
        <w:widowControl/>
        <w:autoSpaceDE w:val="0"/>
        <w:autoSpaceDN w:val="0"/>
        <w:adjustRightInd w:val="0"/>
        <w:spacing w:line="360" w:lineRule="auto"/>
        <w:ind w:firstLine="5502" w:firstLineChars="262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(签章)         </w:t>
      </w:r>
    </w:p>
    <w:p>
      <w:pPr>
        <w:autoSpaceDE w:val="0"/>
        <w:autoSpaceDN w:val="0"/>
        <w:adjustRightInd w:val="0"/>
        <w:spacing w:line="360" w:lineRule="auto"/>
        <w:ind w:left="84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pPr>
        <w:autoSpaceDE w:val="0"/>
        <w:autoSpaceDN w:val="0"/>
        <w:adjustRightInd w:val="0"/>
        <w:spacing w:line="360" w:lineRule="auto"/>
        <w:ind w:right="368" w:rightChars="175"/>
        <w:jc w:val="left"/>
        <w:rPr>
          <w:rFonts w:hint="eastAsia" w:ascii="宋体" w:hAnsi="宋体" w:eastAsia="宋体" w:cs="宋体"/>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pPr>
        <w:numPr>
          <w:ilvl w:val="0"/>
          <w:numId w:val="0"/>
        </w:numPr>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bidi="ar-SA"/>
        </w:rPr>
        <w:t>二、</w:t>
      </w:r>
      <w:r>
        <w:rPr>
          <w:rFonts w:hint="eastAsia" w:ascii="宋体" w:hAnsi="宋体" w:eastAsia="宋体" w:cs="宋体"/>
          <w:b/>
          <w:color w:val="auto"/>
          <w:kern w:val="0"/>
          <w:sz w:val="28"/>
          <w:szCs w:val="28"/>
          <w:highlight w:val="none"/>
          <w:lang w:val="en-US" w:eastAsia="zh-CN"/>
        </w:rPr>
        <w:t>履约保证保险凭证格式</w:t>
      </w:r>
    </w:p>
    <w:p>
      <w:pPr>
        <w:autoSpaceDE w:val="0"/>
        <w:autoSpaceDN w:val="0"/>
        <w:adjustRightInd w:val="0"/>
        <w:jc w:val="center"/>
        <w:rPr>
          <w:rFonts w:hint="eastAsia" w:ascii="宋体" w:hAnsi="宋体" w:eastAsia="宋体" w:cs="宋体"/>
          <w:b/>
          <w:color w:val="auto"/>
          <w:kern w:val="0"/>
          <w:sz w:val="30"/>
          <w:szCs w:val="30"/>
          <w:highlight w:val="none"/>
          <w:lang w:val="en-US" w:eastAsia="zh-CN"/>
        </w:rPr>
      </w:pPr>
    </w:p>
    <w:p>
      <w:pPr>
        <w:autoSpaceDE w:val="0"/>
        <w:autoSpaceDN w:val="0"/>
        <w:adjustRightInd w:val="0"/>
        <w:jc w:val="cente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履约保证保险凭证</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。我方已接受申请人的请求，并出具《履约保证保险》保险单。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 ）。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宋体"/>
          <w:color w:val="auto"/>
          <w:kern w:val="0"/>
          <w:sz w:val="21"/>
          <w:szCs w:val="21"/>
          <w:highlight w:val="none"/>
        </w:rPr>
        <w:t>应</w:t>
      </w:r>
      <w:r>
        <w:rPr>
          <w:rFonts w:hint="eastAsia" w:ascii="宋体" w:hAnsi="宋体" w:eastAsia="宋体" w:cs="宋体"/>
          <w:color w:val="auto"/>
          <w:kern w:val="0"/>
          <w:szCs w:val="21"/>
          <w:highlight w:val="none"/>
        </w:rPr>
        <w:t>自</w:t>
      </w:r>
      <w:r>
        <w:rPr>
          <w:rFonts w:hint="eastAsia" w:ascii="宋体" w:hAnsi="宋体" w:eastAsia="宋体" w:cs="宋体"/>
          <w:color w:val="auto"/>
          <w:kern w:val="0"/>
          <w:sz w:val="21"/>
          <w:szCs w:val="21"/>
          <w:highlight w:val="none"/>
        </w:rPr>
        <w:t>合同签订之日起至</w:t>
      </w:r>
      <w:r>
        <w:rPr>
          <w:rFonts w:hint="eastAsia" w:ascii="宋体" w:hAnsi="宋体" w:eastAsia="宋体" w:cs="宋体"/>
          <w:color w:val="auto"/>
          <w:kern w:val="0"/>
          <w:sz w:val="21"/>
          <w:szCs w:val="21"/>
          <w:highlight w:val="none"/>
          <w:lang w:eastAsia="zh-CN"/>
        </w:rPr>
        <w:t>合同期限届满并完成合同全部服务义务</w:t>
      </w:r>
      <w:r>
        <w:rPr>
          <w:rFonts w:hint="eastAsia" w:ascii="宋体" w:hAnsi="宋体" w:eastAsia="宋体" w:cs="宋体"/>
          <w:color w:val="auto"/>
          <w:kern w:val="0"/>
          <w:sz w:val="21"/>
          <w:szCs w:val="21"/>
          <w:highlight w:val="none"/>
        </w:rPr>
        <w:t>后二十八（28）日内保持有效</w:t>
      </w:r>
      <w:r>
        <w:rPr>
          <w:rFonts w:hint="eastAsia" w:ascii="宋体" w:hAnsi="宋体" w:eastAsia="宋体" w:cs="宋体"/>
          <w:color w:val="auto"/>
          <w:kern w:val="0"/>
          <w:sz w:val="21"/>
          <w:szCs w:val="21"/>
          <w:highlight w:val="none"/>
          <w:lang w:eastAsia="zh-CN"/>
        </w:rPr>
        <w:t>。</w:t>
      </w:r>
    </w:p>
    <w:p>
      <w:pPr>
        <w:numPr>
          <w:ilvl w:val="0"/>
          <w:numId w:val="0"/>
        </w:numPr>
        <w:outlineLvl w:val="9"/>
        <w:rPr>
          <w:rFonts w:hint="eastAsia" w:ascii="宋体" w:hAnsi="宋体" w:eastAsia="宋体" w:cs="宋体"/>
          <w:color w:val="auto"/>
          <w:highlight w:val="none"/>
          <w:lang w:val="en-US" w:eastAsia="zh-CN"/>
        </w:rPr>
      </w:pP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附：《XXX 保险有限公司履约保证保险（X 款）条款》及保单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法定代表人或授权代理人：________ </w:t>
      </w:r>
    </w:p>
    <w:p>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 月 日</w:t>
      </w:r>
    </w:p>
    <w:p>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pPr>
        <w:autoSpaceDE w:val="0"/>
        <w:autoSpaceDN w:val="0"/>
        <w:adjustRightInd w:val="0"/>
        <w:spacing w:after="120" w:afterLines="50" w:line="360" w:lineRule="auto"/>
        <w:jc w:val="left"/>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rPr>
        <w:t>三</w:t>
      </w:r>
      <w:r>
        <w:rPr>
          <w:rFonts w:hint="eastAsia" w:ascii="宋体" w:hAnsi="宋体" w:eastAsia="宋体" w:cs="宋体"/>
          <w:b/>
          <w:color w:val="auto"/>
          <w:kern w:val="0"/>
          <w:sz w:val="28"/>
          <w:szCs w:val="28"/>
          <w:highlight w:val="none"/>
        </w:rPr>
        <w:t>、担保公司履约担保书格式</w:t>
      </w:r>
    </w:p>
    <w:p>
      <w:pPr>
        <w:autoSpaceDE w:val="0"/>
        <w:autoSpaceDN w:val="0"/>
        <w:adjustRightInd w:val="0"/>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担保公司履约担保书</w:t>
      </w:r>
    </w:p>
    <w:p>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合同（招标文件）中规定的义务履行合同。</w:t>
      </w:r>
    </w:p>
    <w:p>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w:t>
      </w:r>
      <w:r>
        <w:rPr>
          <w:rFonts w:hint="eastAsia" w:ascii="宋体" w:hAnsi="宋体" w:eastAsia="宋体" w:cs="宋体"/>
          <w:bCs/>
          <w:color w:val="auto"/>
          <w:kern w:val="0"/>
          <w:szCs w:val="21"/>
          <w:highlight w:val="none"/>
        </w:rPr>
        <w:t>不可撤销</w:t>
      </w:r>
      <w:r>
        <w:rPr>
          <w:rFonts w:hint="eastAsia" w:ascii="宋体" w:hAnsi="宋体" w:eastAsia="宋体" w:cs="宋体"/>
          <w:color w:val="auto"/>
          <w:kern w:val="0"/>
          <w:szCs w:val="21"/>
          <w:highlight w:val="none"/>
        </w:rPr>
        <w:t>履约担保，作为申请人履行上述合同的担保，</w:t>
      </w:r>
      <w:r>
        <w:rPr>
          <w:rFonts w:hint="eastAsia" w:ascii="宋体" w:hAnsi="宋体" w:eastAsia="宋体" w:cs="宋体"/>
          <w:color w:val="auto"/>
          <w:kern w:val="0"/>
          <w:szCs w:val="21"/>
          <w:highlight w:val="none"/>
          <w:lang w:eastAsia="zh-Hans"/>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，受申请人的委托，无条件和不可撤销地在受益人出具本担保书原件且提出因申请人没有履行上述合同规定，在担保书限额内向受益人支付不超过人民币（大写）_________（¥_______元）的款项。</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我方还同意，任何受益人与申请人之间可能对合同条款的修改、规范或其他合同文件的变动补充，都不能免除我方按本担保函所承担的责任。因此，有关上述变动、补充和修改无须通知或征得我方同意。</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w:t>
      </w:r>
      <w:r>
        <w:rPr>
          <w:rFonts w:hint="eastAsia" w:ascii="宋体" w:hAnsi="宋体" w:eastAsia="宋体" w:cs="宋体"/>
          <w:color w:val="auto"/>
          <w:kern w:val="0"/>
          <w:sz w:val="21"/>
          <w:szCs w:val="21"/>
          <w:highlight w:val="none"/>
        </w:rPr>
        <w:t>应</w:t>
      </w:r>
      <w:r>
        <w:rPr>
          <w:rFonts w:hint="eastAsia" w:ascii="宋体" w:hAnsi="宋体" w:eastAsia="宋体" w:cs="宋体"/>
          <w:color w:val="auto"/>
          <w:kern w:val="0"/>
          <w:szCs w:val="21"/>
          <w:highlight w:val="none"/>
        </w:rPr>
        <w:t>自</w:t>
      </w:r>
      <w:r>
        <w:rPr>
          <w:rFonts w:hint="eastAsia" w:ascii="宋体" w:hAnsi="宋体" w:eastAsia="宋体" w:cs="宋体"/>
          <w:color w:val="auto"/>
          <w:kern w:val="0"/>
          <w:sz w:val="21"/>
          <w:szCs w:val="21"/>
          <w:highlight w:val="none"/>
        </w:rPr>
        <w:t>合同签订之日起至</w:t>
      </w:r>
      <w:r>
        <w:rPr>
          <w:rFonts w:hint="eastAsia" w:ascii="宋体" w:hAnsi="宋体" w:eastAsia="宋体" w:cs="宋体"/>
          <w:color w:val="auto"/>
          <w:kern w:val="0"/>
          <w:sz w:val="21"/>
          <w:szCs w:val="21"/>
          <w:highlight w:val="none"/>
          <w:lang w:eastAsia="zh-CN"/>
        </w:rPr>
        <w:t>合同期限届满并完成合同全部服务义务</w:t>
      </w:r>
      <w:r>
        <w:rPr>
          <w:rFonts w:hint="eastAsia" w:ascii="宋体" w:hAnsi="宋体" w:eastAsia="宋体" w:cs="宋体"/>
          <w:color w:val="auto"/>
          <w:kern w:val="0"/>
          <w:sz w:val="21"/>
          <w:szCs w:val="21"/>
          <w:highlight w:val="none"/>
        </w:rPr>
        <w:t>后二十八（28）日内保持有效</w:t>
      </w:r>
      <w:r>
        <w:rPr>
          <w:rFonts w:hint="eastAsia" w:ascii="宋体" w:hAnsi="宋体" w:eastAsia="宋体" w:cs="宋体"/>
          <w:color w:val="auto"/>
          <w:kern w:val="0"/>
          <w:sz w:val="21"/>
          <w:szCs w:val="21"/>
          <w:highlight w:val="none"/>
          <w:lang w:eastAsia="zh-CN"/>
        </w:rPr>
        <w:t>。</w:t>
      </w:r>
    </w:p>
    <w:p>
      <w:pPr>
        <w:autoSpaceDE w:val="0"/>
        <w:autoSpaceDN w:val="0"/>
        <w:adjustRightInd w:val="0"/>
        <w:spacing w:line="360" w:lineRule="auto"/>
        <w:jc w:val="left"/>
        <w:rPr>
          <w:rFonts w:hint="eastAsia" w:ascii="宋体" w:hAnsi="宋体" w:eastAsia="宋体" w:cs="宋体"/>
          <w:color w:val="auto"/>
          <w:kern w:val="0"/>
          <w:szCs w:val="21"/>
          <w:highlight w:val="none"/>
        </w:rPr>
      </w:pPr>
    </w:p>
    <w:p>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法定代表人或其授权的代理人：（签字或盖私章）</w:t>
      </w:r>
    </w:p>
    <w:p>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担保公司盖章：</w:t>
      </w:r>
    </w:p>
    <w:p>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p>
    <w:p>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p>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pPr>
        <w:autoSpaceDE w:val="0"/>
        <w:autoSpaceDN w:val="0"/>
        <w:adjustRightInd w:val="0"/>
        <w:spacing w:line="360" w:lineRule="auto"/>
        <w:ind w:right="368" w:rightChars="175"/>
        <w:jc w:val="left"/>
        <w:rPr>
          <w:rFonts w:hint="eastAsia" w:ascii="宋体" w:hAnsi="宋体" w:eastAsia="宋体" w:cs="宋体"/>
          <w:color w:val="auto"/>
          <w:kern w:val="0"/>
          <w:szCs w:val="21"/>
          <w:highlight w:val="none"/>
        </w:rPr>
      </w:pPr>
    </w:p>
    <w:p>
      <w:pPr>
        <w:autoSpaceDE w:val="0"/>
        <w:autoSpaceDN w:val="0"/>
        <w:adjustRightInd w:val="0"/>
        <w:spacing w:line="360" w:lineRule="auto"/>
        <w:jc w:val="left"/>
        <w:rPr>
          <w:rFonts w:hint="eastAsia" w:ascii="宋体" w:hAnsi="宋体" w:eastAsia="宋体" w:cs="宋体"/>
          <w:color w:val="auto"/>
          <w:kern w:val="0"/>
          <w:szCs w:val="21"/>
          <w:highlight w:val="none"/>
        </w:rPr>
      </w:pPr>
    </w:p>
    <w:p>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rPr>
      </w:pPr>
      <w:bookmarkStart w:id="490" w:name="_Toc30700"/>
      <w:bookmarkStart w:id="491" w:name="_Toc9840"/>
      <w:bookmarkStart w:id="492" w:name="_Toc15817"/>
      <w:bookmarkStart w:id="493" w:name="_Toc22538"/>
      <w:bookmarkStart w:id="494" w:name="_Toc32761_WPSOffice_Level1"/>
      <w:bookmarkStart w:id="495" w:name="_Toc486167708"/>
      <w:bookmarkStart w:id="496" w:name="_Toc142508361"/>
      <w:bookmarkStart w:id="497" w:name="_Toc450662895"/>
      <w:bookmarkStart w:id="498" w:name="_Toc14958"/>
      <w:r>
        <w:rPr>
          <w:rFonts w:hint="eastAsia" w:ascii="宋体" w:hAnsi="宋体" w:eastAsia="宋体" w:cs="宋体"/>
          <w:b/>
          <w:bCs/>
          <w:color w:val="auto"/>
          <w:kern w:val="44"/>
          <w:sz w:val="32"/>
          <w:szCs w:val="32"/>
          <w:highlight w:val="none"/>
          <w:lang w:val="zh-CN"/>
        </w:rPr>
        <w:t>第六篇 投标文件格式</w:t>
      </w:r>
      <w:bookmarkEnd w:id="490"/>
      <w:bookmarkEnd w:id="491"/>
      <w:bookmarkEnd w:id="492"/>
      <w:bookmarkEnd w:id="493"/>
      <w:bookmarkEnd w:id="494"/>
      <w:bookmarkEnd w:id="495"/>
      <w:bookmarkEnd w:id="496"/>
      <w:bookmarkEnd w:id="497"/>
      <w:bookmarkEnd w:id="498"/>
    </w:p>
    <w:p>
      <w:pPr>
        <w:rPr>
          <w:rFonts w:hint="eastAsia" w:ascii="宋体" w:hAnsi="宋体" w:eastAsia="宋体" w:cs="宋体"/>
          <w:color w:val="auto"/>
          <w:sz w:val="84"/>
          <w:highlight w:val="none"/>
        </w:rPr>
      </w:pPr>
      <w:bookmarkStart w:id="499" w:name="_Toc102860411"/>
      <w:bookmarkStart w:id="500" w:name="_Toc1977721"/>
      <w:bookmarkStart w:id="501" w:name="_Toc94107202"/>
      <w:bookmarkStart w:id="502" w:name="_Toc21133_WPSOffice_Level2"/>
      <w:bookmarkStart w:id="503" w:name="_Toc486167709"/>
      <w:bookmarkStart w:id="504" w:name="_Toc533708121"/>
      <w:bookmarkStart w:id="505" w:name="_Toc140596921"/>
      <w:bookmarkStart w:id="506" w:name="_Toc102860067"/>
      <w:bookmarkStart w:id="507" w:name="_Toc142508362"/>
      <w:bookmarkStart w:id="508" w:name="_Toc104991868"/>
      <w:r>
        <w:rPr>
          <w:rFonts w:hint="eastAsia" w:ascii="宋体" w:hAnsi="宋体" w:eastAsia="宋体" w:cs="宋体"/>
          <w:color w:val="auto"/>
          <w:sz w:val="84"/>
          <w:highlight w:val="none"/>
        </w:rPr>
        <w:br w:type="page"/>
      </w:r>
    </w:p>
    <w:p>
      <w:pPr>
        <w:rPr>
          <w:rFonts w:hint="eastAsia" w:ascii="宋体" w:hAnsi="宋体" w:eastAsia="宋体" w:cs="宋体"/>
          <w:color w:val="auto"/>
          <w:sz w:val="84"/>
          <w:highlight w:val="none"/>
        </w:rPr>
      </w:pPr>
    </w:p>
    <w:p>
      <w:pPr>
        <w:pStyle w:val="19"/>
        <w:spacing w:line="360" w:lineRule="auto"/>
        <w:jc w:val="center"/>
        <w:rPr>
          <w:rFonts w:hint="eastAsia" w:ascii="宋体" w:hAnsi="宋体" w:eastAsia="宋体" w:cs="宋体"/>
          <w:color w:val="auto"/>
          <w:sz w:val="84"/>
          <w:highlight w:val="none"/>
        </w:rPr>
      </w:pPr>
    </w:p>
    <w:p>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p>
    <w:p>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19"/>
        <w:spacing w:line="360" w:lineRule="auto"/>
        <w:rPr>
          <w:rFonts w:hint="eastAsia" w:ascii="宋体" w:hAnsi="宋体" w:eastAsia="宋体" w:cs="宋体"/>
          <w:color w:val="auto"/>
          <w:highlight w:val="none"/>
        </w:rPr>
      </w:pPr>
    </w:p>
    <w:p>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57"/>
        <w:gridCol w:w="40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0" w:type="pct"/>
            <w:vAlign w:val="center"/>
          </w:tcPr>
          <w:p>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7" w:type="pct"/>
            <w:tcBorders>
              <w:left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040"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pPr>
              <w:rPr>
                <w:rFonts w:hint="eastAsia" w:ascii="宋体" w:hAnsi="宋体" w:eastAsia="宋体" w:cs="宋体"/>
                <w:bCs/>
                <w:color w:val="auto"/>
                <w:szCs w:val="21"/>
                <w:highlight w:val="none"/>
              </w:rPr>
            </w:pPr>
          </w:p>
        </w:tc>
        <w:tc>
          <w:tcPr>
            <w:tcW w:w="1337" w:type="pct"/>
            <w:vAlign w:val="center"/>
          </w:tcPr>
          <w:p>
            <w:pPr>
              <w:rPr>
                <w:rFonts w:hint="eastAsia" w:ascii="宋体" w:hAnsi="宋体" w:eastAsia="宋体" w:cs="宋体"/>
                <w:bCs/>
                <w:color w:val="auto"/>
                <w:szCs w:val="21"/>
                <w:highlight w:val="none"/>
              </w:rPr>
            </w:pPr>
          </w:p>
        </w:tc>
        <w:tc>
          <w:tcPr>
            <w:tcW w:w="1040" w:type="pct"/>
            <w:vAlign w:val="center"/>
          </w:tcPr>
          <w:p>
            <w:pPr>
              <w:rPr>
                <w:rFonts w:hint="eastAsia" w:ascii="宋体" w:hAnsi="宋体" w:eastAsia="宋体" w:cs="宋体"/>
                <w:bCs/>
                <w:color w:val="auto"/>
                <w:szCs w:val="21"/>
                <w:highlight w:val="none"/>
              </w:rPr>
            </w:pPr>
          </w:p>
        </w:tc>
        <w:tc>
          <w:tcPr>
            <w:tcW w:w="1957" w:type="pct"/>
            <w:tcBorders>
              <w:left w:val="single" w:color="auto" w:sz="4" w:space="0"/>
            </w:tcBorders>
            <w:vAlign w:val="center"/>
          </w:tcPr>
          <w:p>
            <w:pPr>
              <w:adjustRightInd w:val="0"/>
              <w:snapToGrid w:val="0"/>
              <w:spacing w:line="360" w:lineRule="auto"/>
              <w:ind w:firstLine="105" w:firstLineChars="5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pPr>
              <w:adjustRightInd w:val="0"/>
              <w:snapToGrid w:val="0"/>
              <w:spacing w:line="360" w:lineRule="auto"/>
              <w:rPr>
                <w:rFonts w:hint="eastAsia" w:ascii="宋体" w:hAnsi="宋体" w:eastAsia="宋体" w:cs="宋体"/>
                <w:bCs/>
                <w:color w:val="auto"/>
                <w:szCs w:val="21"/>
                <w:highlight w:val="none"/>
              </w:rPr>
            </w:pPr>
          </w:p>
        </w:tc>
        <w:tc>
          <w:tcPr>
            <w:tcW w:w="1040"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tcBorders>
            <w:vAlign w:val="center"/>
          </w:tcPr>
          <w:p>
            <w:pPr>
              <w:spacing w:line="360" w:lineRule="auto"/>
              <w:ind w:firstLine="8" w:firstLineChars="4"/>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c>
          <w:tcPr>
            <w:tcW w:w="1040"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0" w:type="pct"/>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bottom w:val="single" w:color="auto" w:sz="4" w:space="0"/>
            </w:tcBorders>
            <w:vAlign w:val="center"/>
          </w:tcPr>
          <w:p>
            <w:pPr>
              <w:spacing w:line="360" w:lineRule="auto"/>
              <w:jc w:val="center"/>
              <w:rPr>
                <w:rFonts w:hint="eastAsia" w:ascii="宋体" w:hAnsi="宋体" w:eastAsia="宋体" w:cs="宋体"/>
                <w:bCs/>
                <w:color w:val="auto"/>
                <w:szCs w:val="21"/>
                <w:highlight w:val="none"/>
              </w:rPr>
            </w:pPr>
          </w:p>
        </w:tc>
      </w:tr>
    </w:tbl>
    <w:p>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rPr>
      </w:pPr>
      <w:bookmarkStart w:id="509" w:name="_Toc27679"/>
      <w:bookmarkStart w:id="510" w:name="_Toc25224"/>
      <w:bookmarkStart w:id="511" w:name="_Toc26936"/>
      <w:bookmarkStart w:id="512" w:name="_Toc13281"/>
      <w:bookmarkStart w:id="513" w:name="_Toc23782"/>
      <w:r>
        <w:rPr>
          <w:rFonts w:hint="eastAsia" w:ascii="宋体" w:hAnsi="宋体" w:eastAsia="宋体" w:cs="宋体"/>
          <w:b/>
          <w:color w:val="auto"/>
          <w:kern w:val="0"/>
          <w:sz w:val="32"/>
          <w:szCs w:val="32"/>
          <w:highlight w:val="none"/>
        </w:rPr>
        <w:t>一、投标函格式</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pPr>
        <w:autoSpaceDE w:val="0"/>
        <w:autoSpaceDN w:val="0"/>
        <w:adjustRightInd w:val="0"/>
        <w:spacing w:line="360" w:lineRule="auto"/>
        <w:jc w:val="center"/>
        <w:rPr>
          <w:rFonts w:hint="eastAsia" w:ascii="宋体" w:hAnsi="宋体" w:eastAsia="宋体" w:cs="宋体"/>
          <w:b/>
          <w:bCs/>
          <w:color w:val="auto"/>
          <w:sz w:val="30"/>
          <w:szCs w:val="30"/>
          <w:highlight w:val="none"/>
        </w:rPr>
      </w:pPr>
      <w:bookmarkStart w:id="514" w:name="_Toc16695_WPSOffice_Level3"/>
      <w:r>
        <w:rPr>
          <w:rFonts w:hint="eastAsia" w:ascii="宋体" w:hAnsi="宋体" w:eastAsia="宋体" w:cs="宋体"/>
          <w:b/>
          <w:bCs/>
          <w:color w:val="auto"/>
          <w:sz w:val="30"/>
          <w:szCs w:val="30"/>
          <w:highlight w:val="none"/>
          <w:lang w:val="zh-CN"/>
        </w:rPr>
        <w:t>投 标 函</w:t>
      </w:r>
      <w:bookmarkEnd w:id="514"/>
    </w:p>
    <w:p>
      <w:pPr>
        <w:autoSpaceDE w:val="0"/>
        <w:autoSpaceDN w:val="0"/>
        <w:adjustRightInd w:val="0"/>
        <w:spacing w:line="360" w:lineRule="auto"/>
        <w:rPr>
          <w:rFonts w:hint="eastAsia" w:ascii="宋体" w:hAnsi="宋体" w:eastAsia="宋体" w:cs="宋体"/>
          <w:color w:val="auto"/>
          <w:szCs w:val="21"/>
          <w:highlight w:val="none"/>
          <w:lang w:val="zh-CN"/>
        </w:rPr>
      </w:pPr>
    </w:p>
    <w:p>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东莞市利源有机资源再生利用有限公司</w:t>
      </w:r>
    </w:p>
    <w:p>
      <w:pPr>
        <w:autoSpaceDE w:val="0"/>
        <w:autoSpaceDN w:val="0"/>
        <w:adjustRightInd w:val="0"/>
        <w:spacing w:line="360" w:lineRule="auto"/>
        <w:rPr>
          <w:rFonts w:hint="eastAsia" w:ascii="宋体" w:hAnsi="宋体" w:eastAsia="宋体" w:cs="宋体"/>
          <w:color w:val="auto"/>
          <w:szCs w:val="21"/>
          <w:highlight w:val="none"/>
        </w:rPr>
      </w:pPr>
    </w:p>
    <w:p>
      <w:pPr>
        <w:wordWrap w:val="0"/>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东莞市利源有机资源再生利用有限公司2024-2025年餐厨垃圾收运服务采购项目（重新招标）</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0832-SFCX24DG024C-1</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pPr>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（—）唱标信封【</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份】（含投标文件电子文件）；</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（二）投标文件【正本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份，副本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w:t>
      </w:r>
    </w:p>
    <w:p>
      <w:pPr>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（—）我方决定参加招标编号为</w:t>
      </w:r>
      <w:r>
        <w:rPr>
          <w:rFonts w:hint="eastAsia" w:ascii="宋体" w:hAnsi="宋体" w:eastAsia="宋体" w:cs="宋体"/>
          <w:color w:val="auto"/>
          <w:szCs w:val="21"/>
          <w:highlight w:val="none"/>
          <w:u w:val="single"/>
          <w:lang w:val="zh-CN"/>
        </w:rPr>
        <w:t>0832-SFCX24DG024C-1</w:t>
      </w:r>
      <w:r>
        <w:rPr>
          <w:rFonts w:hint="eastAsia" w:ascii="宋体" w:hAnsi="宋体" w:eastAsia="宋体" w:cs="宋体"/>
          <w:color w:val="auto"/>
          <w:szCs w:val="21"/>
          <w:highlight w:val="none"/>
          <w:lang w:val="zh-CN"/>
        </w:rPr>
        <w:t>的投标；</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pPr>
        <w:autoSpaceDE w:val="0"/>
        <w:autoSpaceDN w:val="0"/>
        <w:adjustRightInd w:val="0"/>
        <w:spacing w:line="360" w:lineRule="auto"/>
        <w:ind w:left="395" w:leftChars="-12" w:hanging="420" w:hangingChars="200"/>
        <w:rPr>
          <w:rFonts w:hint="eastAsia" w:ascii="宋体" w:hAnsi="宋体" w:eastAsia="宋体" w:cs="宋体"/>
          <w:color w:val="auto"/>
          <w:szCs w:val="21"/>
          <w:highlight w:val="none"/>
          <w:u w:val="single"/>
          <w:lang w:val="zh-CN"/>
        </w:rPr>
      </w:pPr>
    </w:p>
    <w:p>
      <w:pPr>
        <w:autoSpaceDE w:val="0"/>
        <w:autoSpaceDN w:val="0"/>
        <w:adjustRightInd w:val="0"/>
        <w:spacing w:line="360" w:lineRule="auto"/>
        <w:ind w:firstLine="420" w:firstLineChars="200"/>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pPr>
        <w:autoSpaceDE w:val="0"/>
        <w:autoSpaceDN w:val="0"/>
        <w:adjustRightIn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rPr>
          <w:rFonts w:hint="eastAsia" w:ascii="宋体" w:hAnsi="宋体" w:eastAsia="宋体" w:cs="宋体"/>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515" w:name="_Toc12417"/>
      <w:bookmarkStart w:id="516" w:name="_Toc140596922"/>
      <w:bookmarkStart w:id="517" w:name="_Toc28613_WPSOffice_Level2"/>
      <w:bookmarkStart w:id="518" w:name="_Toc533708122"/>
      <w:bookmarkStart w:id="519" w:name="_Toc3104"/>
      <w:bookmarkStart w:id="520" w:name="_Toc30995"/>
      <w:bookmarkStart w:id="521" w:name="_Toc94107203"/>
      <w:bookmarkStart w:id="522" w:name="_Toc102860068"/>
      <w:bookmarkStart w:id="523" w:name="_Toc22281"/>
      <w:bookmarkStart w:id="524" w:name="_Toc142508363"/>
      <w:bookmarkStart w:id="525" w:name="_Toc104991869"/>
      <w:bookmarkStart w:id="526" w:name="_Toc102860412"/>
      <w:bookmarkStart w:id="527" w:name="_Toc1977722"/>
      <w:bookmarkStart w:id="528" w:name="_Toc486167710"/>
      <w:bookmarkStart w:id="529" w:name="_Toc23889"/>
      <w:r>
        <w:rPr>
          <w:rFonts w:hint="eastAsia" w:ascii="宋体" w:hAnsi="宋体" w:eastAsia="宋体" w:cs="宋体"/>
          <w:b/>
          <w:color w:val="auto"/>
          <w:kern w:val="0"/>
          <w:sz w:val="32"/>
          <w:szCs w:val="32"/>
          <w:highlight w:val="none"/>
        </w:rPr>
        <w:t>二、投标承诺书格式</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投标承诺书</w:t>
      </w:r>
    </w:p>
    <w:p>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（投标人名称）已完整阅读了</w:t>
      </w:r>
      <w:r>
        <w:rPr>
          <w:rFonts w:hint="eastAsia" w:ascii="宋体" w:hAnsi="宋体" w:eastAsia="宋体" w:cs="宋体"/>
          <w:color w:val="auto"/>
          <w:kern w:val="0"/>
          <w:szCs w:val="21"/>
          <w:highlight w:val="none"/>
          <w:u w:val="single"/>
          <w:lang w:eastAsia="zh-CN"/>
        </w:rPr>
        <w:t>东莞市利源有机资源再生利用有限公司2024-2025年餐厨垃圾收运服务采购项目（重新招标）</w:t>
      </w:r>
      <w:r>
        <w:rPr>
          <w:rFonts w:hint="eastAsia" w:ascii="宋体" w:hAnsi="宋体" w:eastAsia="宋体" w:cs="宋体"/>
          <w:color w:val="auto"/>
          <w:kern w:val="0"/>
          <w:szCs w:val="21"/>
          <w:highlight w:val="none"/>
        </w:rPr>
        <w:t>（招标编号：</w:t>
      </w:r>
      <w:r>
        <w:rPr>
          <w:rFonts w:hint="eastAsia" w:ascii="宋体" w:hAnsi="宋体" w:eastAsia="宋体" w:cs="宋体"/>
          <w:color w:val="auto"/>
          <w:kern w:val="0"/>
          <w:szCs w:val="21"/>
          <w:highlight w:val="none"/>
          <w:lang w:eastAsia="zh-CN"/>
        </w:rPr>
        <w:t>0832-SFCX24DG024C-1</w:t>
      </w:r>
      <w:r>
        <w:rPr>
          <w:rFonts w:hint="eastAsia" w:ascii="宋体" w:hAnsi="宋体" w:eastAsia="宋体" w:cs="宋体"/>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宋体"/>
          <w:color w:val="auto"/>
          <w:kern w:val="0"/>
          <w:szCs w:val="21"/>
          <w:highlight w:val="none"/>
          <w:lang w:eastAsia="zh-CN"/>
        </w:rPr>
        <w:t>异议</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cr/>
      </w:r>
      <w:r>
        <w:rPr>
          <w:rFonts w:hint="eastAsia" w:ascii="宋体" w:hAnsi="宋体" w:eastAsia="宋体" w:cs="宋体"/>
          <w:color w:val="auto"/>
          <w:kern w:val="0"/>
          <w:szCs w:val="21"/>
          <w:highlight w:val="none"/>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29.2款约定按时提供原件核查的，因此导致我方无法参与东莞市水务集团有限公司相关招标采购活动的，由我方自行承担全部后果。</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pPr>
        <w:autoSpaceDE w:val="0"/>
        <w:autoSpaceDN w:val="0"/>
        <w:adjustRightInd w:val="0"/>
        <w:spacing w:line="360" w:lineRule="auto"/>
        <w:jc w:val="left"/>
        <w:rPr>
          <w:rFonts w:hint="eastAsia" w:ascii="宋体" w:hAnsi="宋体" w:eastAsia="宋体" w:cs="宋体"/>
          <w:color w:val="auto"/>
          <w:kern w:val="0"/>
          <w:sz w:val="24"/>
          <w:szCs w:val="24"/>
          <w:highlight w:val="none"/>
        </w:rPr>
      </w:pPr>
    </w:p>
    <w:p>
      <w:pPr>
        <w:autoSpaceDE w:val="0"/>
        <w:autoSpaceDN w:val="0"/>
        <w:adjustRightInd w:val="0"/>
        <w:spacing w:line="360" w:lineRule="auto"/>
        <w:jc w:val="left"/>
        <w:rPr>
          <w:rFonts w:hint="eastAsia" w:ascii="宋体" w:hAnsi="宋体" w:eastAsia="宋体" w:cs="宋体"/>
          <w:color w:val="auto"/>
          <w:kern w:val="0"/>
          <w:sz w:val="24"/>
          <w:szCs w:val="24"/>
          <w:highlight w:val="none"/>
        </w:rPr>
      </w:pPr>
    </w:p>
    <w:p>
      <w:pPr>
        <w:autoSpaceDE w:val="0"/>
        <w:autoSpaceDN w:val="0"/>
        <w:adjustRightInd w:val="0"/>
        <w:spacing w:line="360" w:lineRule="auto"/>
        <w:ind w:firstLine="504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pPr>
        <w:autoSpaceDE w:val="0"/>
        <w:autoSpaceDN w:val="0"/>
        <w:adjustRightInd w:val="0"/>
        <w:spacing w:line="360" w:lineRule="auto"/>
        <w:ind w:firstLine="504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pPr>
        <w:autoSpaceDE w:val="0"/>
        <w:autoSpaceDN w:val="0"/>
        <w:adjustRightInd w:val="0"/>
        <w:spacing w:line="360" w:lineRule="auto"/>
        <w:ind w:firstLine="5040"/>
        <w:rPr>
          <w:rFonts w:hint="eastAsia" w:ascii="宋体" w:hAnsi="宋体" w:eastAsia="宋体" w:cs="宋体"/>
          <w:color w:val="auto"/>
          <w:sz w:val="24"/>
          <w:szCs w:val="24"/>
          <w:highlight w:val="none"/>
          <w:lang w:val="zh-CN"/>
        </w:rPr>
      </w:pPr>
      <w:r>
        <w:rPr>
          <w:rFonts w:hint="eastAsia" w:ascii="宋体" w:hAnsi="宋体" w:eastAsia="宋体" w:cs="宋体"/>
          <w:color w:val="auto"/>
          <w:szCs w:val="24"/>
          <w:highlight w:val="none"/>
          <w:lang w:val="zh-CN"/>
        </w:rPr>
        <w:t>日期：   年   月   日</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p>
    <w:p>
      <w:pPr>
        <w:autoSpaceDE w:val="0"/>
        <w:autoSpaceDN w:val="0"/>
        <w:adjustRightInd w:val="0"/>
        <w:spacing w:line="360" w:lineRule="auto"/>
        <w:jc w:val="left"/>
        <w:rPr>
          <w:rFonts w:hint="eastAsia" w:ascii="宋体" w:hAnsi="宋体" w:eastAsia="宋体" w:cs="宋体"/>
          <w:color w:val="auto"/>
          <w:kern w:val="0"/>
          <w:sz w:val="24"/>
          <w:szCs w:val="24"/>
          <w:highlight w:val="none"/>
        </w:rPr>
      </w:pPr>
    </w:p>
    <w:p>
      <w:pPr>
        <w:autoSpaceDE w:val="0"/>
        <w:autoSpaceDN w:val="0"/>
        <w:adjustRightInd w:val="0"/>
        <w:spacing w:line="360" w:lineRule="auto"/>
        <w:jc w:val="left"/>
        <w:rPr>
          <w:rFonts w:hint="eastAsia" w:ascii="宋体" w:hAnsi="宋体" w:eastAsia="宋体" w:cs="宋体"/>
          <w:color w:val="auto"/>
          <w:kern w:val="0"/>
          <w:sz w:val="24"/>
          <w:szCs w:val="24"/>
          <w:highlight w:val="none"/>
        </w:rPr>
      </w:pPr>
      <w:bookmarkStart w:id="530" w:name="_Toc311032584"/>
      <w:bookmarkStart w:id="531" w:name="_Toc326768876"/>
      <w:bookmarkStart w:id="532" w:name="_Toc316896755"/>
    </w:p>
    <w:p>
      <w:pPr>
        <w:pageBreakBefore/>
        <w:autoSpaceDE w:val="0"/>
        <w:autoSpaceDN w:val="0"/>
        <w:adjustRightInd w:val="0"/>
        <w:spacing w:line="360" w:lineRule="auto"/>
        <w:jc w:val="left"/>
        <w:outlineLvl w:val="2"/>
        <w:rPr>
          <w:rFonts w:hint="eastAsia" w:ascii="宋体" w:hAnsi="宋体" w:eastAsia="宋体" w:cs="宋体"/>
          <w:b/>
          <w:color w:val="auto"/>
          <w:kern w:val="44"/>
          <w:sz w:val="32"/>
          <w:szCs w:val="32"/>
          <w:highlight w:val="none"/>
        </w:rPr>
      </w:pPr>
      <w:bookmarkStart w:id="533" w:name="_Toc94107204"/>
      <w:bookmarkStart w:id="534" w:name="_Toc102860069"/>
      <w:bookmarkStart w:id="535" w:name="_Toc142508364"/>
      <w:bookmarkStart w:id="536" w:name="_Toc102860413"/>
      <w:bookmarkStart w:id="537" w:name="_Toc140596923"/>
      <w:bookmarkStart w:id="538" w:name="_Toc27016"/>
      <w:bookmarkStart w:id="539" w:name="_Toc24507"/>
      <w:bookmarkStart w:id="540" w:name="_Toc104991870"/>
      <w:bookmarkStart w:id="541" w:name="_Toc5075"/>
      <w:bookmarkStart w:id="542" w:name="_Toc29910"/>
      <w:bookmarkStart w:id="543" w:name="_Toc24336"/>
      <w:bookmarkStart w:id="544" w:name="_Toc86764083"/>
      <w:bookmarkStart w:id="545" w:name="_Toc82182546"/>
      <w:bookmarkStart w:id="546" w:name="_Toc533708123"/>
      <w:bookmarkStart w:id="547" w:name="_Toc486167711"/>
      <w:bookmarkStart w:id="548" w:name="_Toc1977723"/>
      <w:bookmarkStart w:id="549" w:name="_Toc7024_WPSOffice_Level2"/>
      <w:r>
        <w:rPr>
          <w:rFonts w:hint="eastAsia" w:ascii="宋体" w:hAnsi="宋体" w:eastAsia="宋体" w:cs="宋体"/>
          <w:b/>
          <w:color w:val="auto"/>
          <w:kern w:val="44"/>
          <w:sz w:val="32"/>
          <w:szCs w:val="32"/>
          <w:highlight w:val="none"/>
        </w:rPr>
        <w:t>三、供货及/或提供服务过程承诺函格式</w:t>
      </w:r>
      <w:bookmarkEnd w:id="533"/>
      <w:bookmarkEnd w:id="534"/>
      <w:bookmarkEnd w:id="535"/>
      <w:bookmarkEnd w:id="536"/>
      <w:bookmarkEnd w:id="537"/>
      <w:bookmarkEnd w:id="538"/>
      <w:bookmarkEnd w:id="539"/>
      <w:bookmarkEnd w:id="540"/>
      <w:bookmarkEnd w:id="541"/>
      <w:bookmarkEnd w:id="542"/>
      <w:bookmarkEnd w:id="543"/>
      <w:bookmarkEnd w:id="544"/>
      <w:bookmarkEnd w:id="545"/>
    </w:p>
    <w:p>
      <w:pPr>
        <w:autoSpaceDE w:val="0"/>
        <w:autoSpaceDN w:val="0"/>
        <w:adjustRightInd w:val="0"/>
        <w:spacing w:line="360" w:lineRule="auto"/>
        <w:jc w:val="center"/>
        <w:rPr>
          <w:rFonts w:hint="eastAsia"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东莞市利源有机资源再生利用有限公司</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kern w:val="0"/>
          <w:szCs w:val="21"/>
          <w:highlight w:val="none"/>
          <w:lang w:eastAsia="zh-CN"/>
        </w:rPr>
        <w:t>东莞市利源有机资源再生利用有限公司2024-2025年餐厨垃圾收运服务采购项目（重新招标）</w:t>
      </w:r>
      <w:r>
        <w:rPr>
          <w:rFonts w:hint="eastAsia" w:ascii="宋体" w:hAnsi="宋体" w:eastAsia="宋体" w:cs="宋体"/>
          <w:color w:val="auto"/>
          <w:kern w:val="0"/>
          <w:szCs w:val="21"/>
          <w:highlight w:val="none"/>
        </w:rPr>
        <w:t>(招标编号：</w:t>
      </w:r>
      <w:r>
        <w:rPr>
          <w:rFonts w:hint="eastAsia" w:ascii="宋体" w:hAnsi="宋体" w:eastAsia="宋体" w:cs="宋体"/>
          <w:color w:val="auto"/>
          <w:szCs w:val="21"/>
          <w:highlight w:val="none"/>
          <w:lang w:val="zh-CN"/>
        </w:rPr>
        <w:t>0832-SFCX24DG024C-1</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pPr>
        <w:autoSpaceDE w:val="0"/>
        <w:autoSpaceDN w:val="0"/>
        <w:adjustRightInd w:val="0"/>
        <w:spacing w:line="360" w:lineRule="auto"/>
        <w:ind w:firstLine="504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firstLine="504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pPr>
        <w:autoSpaceDE w:val="0"/>
        <w:autoSpaceDN w:val="0"/>
        <w:adjustRightInd w:val="0"/>
        <w:spacing w:line="360" w:lineRule="auto"/>
        <w:ind w:firstLine="504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pPr>
        <w:autoSpaceDE w:val="0"/>
        <w:autoSpaceDN w:val="0"/>
        <w:adjustRightInd w:val="0"/>
        <w:spacing w:line="360" w:lineRule="auto"/>
        <w:ind w:right="420" w:firstLine="5040" w:firstLineChars="2400"/>
        <w:jc w:val="left"/>
        <w:rPr>
          <w:rFonts w:hint="eastAsia"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pPr>
        <w:pageBreakBefore/>
        <w:autoSpaceDE w:val="0"/>
        <w:autoSpaceDN w:val="0"/>
        <w:adjustRightInd w:val="0"/>
        <w:spacing w:line="360" w:lineRule="auto"/>
        <w:jc w:val="left"/>
        <w:outlineLvl w:val="2"/>
        <w:rPr>
          <w:rFonts w:hint="eastAsia" w:ascii="宋体" w:hAnsi="宋体" w:eastAsia="宋体" w:cs="宋体"/>
          <w:b/>
          <w:color w:val="auto"/>
          <w:kern w:val="0"/>
          <w:sz w:val="32"/>
          <w:szCs w:val="32"/>
          <w:highlight w:val="none"/>
        </w:rPr>
      </w:pPr>
      <w:bookmarkStart w:id="550" w:name="_Toc13416"/>
      <w:bookmarkStart w:id="551" w:name="_Toc142508366"/>
      <w:bookmarkStart w:id="552" w:name="_Toc22602"/>
      <w:bookmarkStart w:id="553" w:name="_Toc140596925"/>
      <w:bookmarkStart w:id="554" w:name="_Toc1140"/>
      <w:bookmarkStart w:id="555" w:name="_Toc7734"/>
      <w:bookmarkStart w:id="556" w:name="_Toc18346"/>
      <w:bookmarkStart w:id="557" w:name="_Toc94107206"/>
      <w:bookmarkStart w:id="558" w:name="_Toc104991872"/>
      <w:bookmarkStart w:id="559" w:name="_Toc102860415"/>
      <w:bookmarkStart w:id="560" w:name="_Toc102860071"/>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、投标报价表格式</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pPr>
        <w:tabs>
          <w:tab w:val="left" w:pos="567"/>
        </w:tabs>
        <w:autoSpaceDE w:val="0"/>
        <w:autoSpaceDN w:val="0"/>
        <w:adjustRightInd w:val="0"/>
        <w:spacing w:line="360" w:lineRule="auto"/>
        <w:ind w:left="711" w:hanging="711" w:hangingChars="236"/>
        <w:jc w:val="left"/>
        <w:outlineLvl w:val="2"/>
        <w:rPr>
          <w:rFonts w:hint="eastAsia" w:ascii="宋体" w:hAnsi="宋体" w:eastAsia="宋体" w:cs="宋体"/>
          <w:b/>
          <w:color w:val="auto"/>
          <w:kern w:val="0"/>
          <w:sz w:val="30"/>
          <w:szCs w:val="30"/>
          <w:highlight w:val="none"/>
        </w:rPr>
      </w:pPr>
      <w:bookmarkStart w:id="561" w:name="_Toc94107207"/>
      <w:bookmarkStart w:id="562" w:name="_Toc140596926"/>
      <w:bookmarkStart w:id="563" w:name="_Toc15425"/>
      <w:bookmarkStart w:id="564" w:name="_Toc1294"/>
      <w:bookmarkStart w:id="565" w:name="_Toc18201"/>
      <w:bookmarkStart w:id="566" w:name="_Toc102860072"/>
      <w:bookmarkStart w:id="567" w:name="_Toc104991873"/>
      <w:bookmarkStart w:id="568" w:name="_Toc142508367"/>
      <w:bookmarkStart w:id="569" w:name="_Toc2395_WPSOffice_Level3"/>
      <w:bookmarkStart w:id="570" w:name="_Toc102860416"/>
      <w:bookmarkStart w:id="571" w:name="_Toc24175"/>
      <w:bookmarkStart w:id="572" w:name="_Toc23397"/>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投标报价表</w:t>
      </w:r>
      <w:bookmarkEnd w:id="561"/>
      <w:bookmarkEnd w:id="562"/>
      <w:bookmarkEnd w:id="563"/>
      <w:bookmarkEnd w:id="564"/>
      <w:bookmarkEnd w:id="565"/>
      <w:bookmarkEnd w:id="566"/>
      <w:bookmarkEnd w:id="567"/>
      <w:bookmarkEnd w:id="568"/>
      <w:bookmarkEnd w:id="569"/>
      <w:bookmarkEnd w:id="570"/>
      <w:bookmarkEnd w:id="571"/>
      <w:bookmarkEnd w:id="572"/>
    </w:p>
    <w:p>
      <w:pPr>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东莞市利源有机资源再生利用有限公司2024-2025年餐厨垃圾收运服务采购项目（重新招标）</w:t>
      </w:r>
    </w:p>
    <w:p>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0832-SFCX24DG024C-1</w:t>
      </w:r>
    </w:p>
    <w:tbl>
      <w:tblPr>
        <w:tblStyle w:val="38"/>
        <w:tblW w:w="461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7"/>
        <w:gridCol w:w="4026"/>
        <w:gridCol w:w="3403"/>
        <w:gridCol w:w="13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43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2101"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名称</w:t>
            </w:r>
          </w:p>
        </w:tc>
        <w:tc>
          <w:tcPr>
            <w:tcW w:w="1776"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投标报价</w:t>
            </w:r>
          </w:p>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（不含销项税）</w:t>
            </w:r>
          </w:p>
        </w:tc>
        <w:tc>
          <w:tcPr>
            <w:tcW w:w="690"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7" w:hRule="atLeast"/>
        </w:trPr>
        <w:tc>
          <w:tcPr>
            <w:tcW w:w="432" w:type="pct"/>
            <w:tcBorders>
              <w:top w:val="single" w:color="auto" w:sz="4" w:space="0"/>
              <w:left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101" w:type="pct"/>
            <w:tcBorders>
              <w:top w:val="single" w:color="auto" w:sz="4" w:space="0"/>
              <w:left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东莞市利源有机资源再生利用有限公司2024-2025年餐厨垃圾收运服务采购项目（重新招标）</w:t>
            </w:r>
          </w:p>
        </w:tc>
        <w:tc>
          <w:tcPr>
            <w:tcW w:w="1776" w:type="pct"/>
            <w:tcBorders>
              <w:top w:val="single" w:color="auto" w:sz="4" w:space="0"/>
              <w:left w:val="single" w:color="auto" w:sz="4" w:space="0"/>
              <w:right w:val="single" w:color="auto" w:sz="4" w:space="0"/>
            </w:tcBorders>
            <w:vAlign w:val="center"/>
          </w:tcPr>
          <w:p>
            <w:pPr>
              <w:tabs>
                <w:tab w:val="left" w:pos="8610"/>
              </w:tabs>
              <w:spacing w:line="360" w:lineRule="auto"/>
              <w:rPr>
                <w:rFonts w:hint="eastAsia" w:ascii="宋体" w:hAnsi="宋体" w:eastAsia="宋体" w:cs="宋体"/>
                <w:color w:val="auto"/>
                <w:kern w:val="0"/>
                <w:szCs w:val="21"/>
                <w:highlight w:val="none"/>
              </w:rPr>
            </w:pPr>
            <w:r>
              <w:rPr>
                <w:rFonts w:hint="eastAsia" w:ascii="宋体" w:hAnsi="宋体" w:eastAsia="宋体" w:cs="宋体"/>
                <w:b w:val="0"/>
                <w:bCs w:val="0"/>
                <w:color w:val="auto"/>
                <w:szCs w:val="21"/>
                <w:highlight w:val="none"/>
                <w:u w:val="single"/>
                <w:lang w:val="zh-CN"/>
              </w:rPr>
              <w:t>餐厨垃圾收运服务不含税综合单价</w:t>
            </w:r>
            <w:r>
              <w:rPr>
                <w:rFonts w:hint="eastAsia" w:ascii="宋体" w:hAnsi="宋体" w:eastAsia="宋体" w:cs="宋体"/>
                <w:b w:val="0"/>
                <w:bCs w:val="0"/>
                <w:color w:val="auto"/>
                <w:szCs w:val="21"/>
                <w:highlight w:val="none"/>
                <w:u w:val="single"/>
                <w:lang w:val="en-US" w:eastAsia="zh-CN"/>
              </w:rPr>
              <w:t xml:space="preserve">：     </w:t>
            </w:r>
            <w:r>
              <w:rPr>
                <w:rFonts w:hint="eastAsia" w:ascii="宋体" w:hAnsi="宋体" w:eastAsia="宋体" w:cs="宋体"/>
                <w:b w:val="0"/>
                <w:bCs w:val="0"/>
                <w:color w:val="auto"/>
                <w:szCs w:val="21"/>
                <w:highlight w:val="none"/>
                <w:u w:val="single"/>
                <w:lang w:val="zh-CN"/>
              </w:rPr>
              <w:t>元</w:t>
            </w:r>
            <w:r>
              <w:rPr>
                <w:rFonts w:hint="eastAsia" w:ascii="宋体" w:hAnsi="宋体" w:eastAsia="宋体" w:cs="宋体"/>
                <w:b w:val="0"/>
                <w:bCs w:val="0"/>
                <w:color w:val="auto"/>
                <w:szCs w:val="21"/>
                <w:highlight w:val="none"/>
                <w:u w:val="single"/>
                <w:lang w:val="en-US" w:eastAsia="zh-CN"/>
              </w:rPr>
              <w:t>/吨</w:t>
            </w:r>
          </w:p>
        </w:tc>
        <w:tc>
          <w:tcPr>
            <w:tcW w:w="690" w:type="pct"/>
            <w:tcBorders>
              <w:top w:val="single" w:color="auto" w:sz="4" w:space="0"/>
              <w:left w:val="single" w:color="auto" w:sz="4" w:space="0"/>
              <w:right w:val="single" w:color="auto" w:sz="4" w:space="0"/>
            </w:tcBorders>
            <w:vAlign w:val="center"/>
          </w:tcPr>
          <w:p>
            <w:pPr>
              <w:tabs>
                <w:tab w:val="left" w:pos="8610"/>
              </w:tabs>
              <w:spacing w:line="360" w:lineRule="auto"/>
              <w:jc w:val="center"/>
              <w:rPr>
                <w:rFonts w:hint="eastAsia" w:ascii="宋体" w:hAnsi="宋体" w:eastAsia="宋体" w:cs="宋体"/>
                <w:color w:val="auto"/>
                <w:kern w:val="0"/>
                <w:szCs w:val="21"/>
                <w:highlight w:val="none"/>
              </w:rPr>
            </w:pPr>
          </w:p>
        </w:tc>
      </w:tr>
    </w:tbl>
    <w:p>
      <w:pPr>
        <w:rPr>
          <w:rFonts w:hint="eastAsia" w:ascii="宋体" w:hAnsi="宋体" w:eastAsia="宋体" w:cs="宋体"/>
          <w:color w:val="auto"/>
          <w:kern w:val="0"/>
          <w:sz w:val="20"/>
          <w:szCs w:val="21"/>
          <w:highlight w:val="none"/>
        </w:rPr>
      </w:pPr>
    </w:p>
    <w:p>
      <w:pPr>
        <w:autoSpaceDE w:val="0"/>
        <w:autoSpaceDN w:val="0"/>
        <w:adjustRightIn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pPr>
        <w:autoSpaceDE w:val="0"/>
        <w:autoSpaceDN w:val="0"/>
        <w:adjustRightInd w:val="0"/>
        <w:snapToGrid w:val="0"/>
        <w:spacing w:line="360" w:lineRule="auto"/>
        <w:ind w:left="607" w:leftChars="18" w:hanging="569" w:hangingChars="27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w:t>
      </w:r>
      <w:r>
        <w:rPr>
          <w:rFonts w:hint="eastAsia" w:ascii="宋体" w:hAnsi="宋体" w:eastAsia="宋体" w:cs="宋体"/>
          <w:b/>
          <w:color w:val="auto"/>
          <w:kern w:val="0"/>
          <w:szCs w:val="21"/>
          <w:highlight w:val="none"/>
          <w:u w:val="single"/>
        </w:rPr>
        <w:t>本项目投标报价为不含税价，即为《中华人民共和国增值税暂行条例》（国务院令第691号修订版）规定的销售额</w:t>
      </w:r>
      <w:r>
        <w:rPr>
          <w:rFonts w:hint="eastAsia" w:ascii="宋体" w:hAnsi="宋体" w:eastAsia="宋体" w:cs="宋体"/>
          <w:color w:val="auto"/>
          <w:kern w:val="0"/>
          <w:szCs w:val="21"/>
          <w:highlight w:val="none"/>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宋体"/>
          <w:color w:val="auto"/>
          <w:szCs w:val="21"/>
          <w:highlight w:val="none"/>
          <w:lang w:val="zh-CN"/>
        </w:rPr>
        <w:t>本采购项目的销项税额由招标人承担</w:t>
      </w:r>
      <w:r>
        <w:rPr>
          <w:rFonts w:hint="eastAsia" w:ascii="宋体" w:hAnsi="宋体" w:eastAsia="宋体" w:cs="宋体"/>
          <w:color w:val="auto"/>
          <w:kern w:val="0"/>
          <w:szCs w:val="21"/>
          <w:highlight w:val="none"/>
        </w:rPr>
        <w:t>，不计入投标报价。</w:t>
      </w:r>
    </w:p>
    <w:p>
      <w:pPr>
        <w:autoSpaceDE w:val="0"/>
        <w:autoSpaceDN w:val="0"/>
        <w:adjustRightInd w:val="0"/>
        <w:snapToGrid w:val="0"/>
        <w:spacing w:line="360" w:lineRule="auto"/>
        <w:ind w:left="607" w:leftChars="18" w:hanging="569" w:hangingChars="27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Times New Roman"/>
          <w:b/>
          <w:bCs/>
          <w:color w:val="auto"/>
          <w:kern w:val="0"/>
          <w:szCs w:val="21"/>
          <w:highlight w:val="none"/>
          <w:u w:val="single"/>
        </w:rPr>
        <w:t>投标人的投标报价高于</w:t>
      </w:r>
      <w:r>
        <w:rPr>
          <w:rFonts w:hint="eastAsia" w:ascii="宋体" w:hAnsi="宋体" w:eastAsia="宋体" w:cs="Times New Roman"/>
          <w:b/>
          <w:bCs/>
          <w:color w:val="auto"/>
          <w:kern w:val="0"/>
          <w:szCs w:val="24"/>
          <w:highlight w:val="none"/>
          <w:u w:val="single"/>
        </w:rPr>
        <w:t>最高</w:t>
      </w:r>
      <w:r>
        <w:rPr>
          <w:rFonts w:hint="eastAsia" w:ascii="宋体" w:hAnsi="宋体" w:eastAsia="宋体" w:cs="Times New Roman"/>
          <w:b/>
          <w:bCs/>
          <w:color w:val="auto"/>
          <w:kern w:val="0"/>
          <w:szCs w:val="24"/>
          <w:highlight w:val="none"/>
          <w:u w:val="single"/>
          <w:lang w:val="en-US" w:eastAsia="zh-CN"/>
        </w:rPr>
        <w:t>投标</w:t>
      </w:r>
      <w:r>
        <w:rPr>
          <w:rFonts w:hint="eastAsia" w:ascii="宋体" w:hAnsi="宋体" w:eastAsia="宋体" w:cs="Times New Roman"/>
          <w:b/>
          <w:bCs/>
          <w:color w:val="auto"/>
          <w:kern w:val="0"/>
          <w:szCs w:val="24"/>
          <w:highlight w:val="none"/>
          <w:u w:val="single"/>
        </w:rPr>
        <w:t>限价</w:t>
      </w:r>
      <w:r>
        <w:rPr>
          <w:rFonts w:hint="eastAsia" w:ascii="宋体" w:hAnsi="宋体" w:eastAsia="宋体" w:cs="Times New Roman"/>
          <w:b/>
          <w:bCs/>
          <w:color w:val="auto"/>
          <w:kern w:val="0"/>
          <w:szCs w:val="21"/>
          <w:highlight w:val="none"/>
          <w:u w:val="single"/>
        </w:rPr>
        <w:t>的</w:t>
      </w:r>
      <w:r>
        <w:rPr>
          <w:rFonts w:hint="eastAsia" w:ascii="宋体" w:hAnsi="宋体" w:eastAsia="宋体" w:cs="宋体"/>
          <w:b/>
          <w:bCs/>
          <w:color w:val="auto"/>
          <w:kern w:val="0"/>
          <w:szCs w:val="21"/>
          <w:highlight w:val="none"/>
          <w:u w:val="single"/>
        </w:rPr>
        <w:t>，该投标人的投标文件将被视为无效投标</w:t>
      </w:r>
      <w:r>
        <w:rPr>
          <w:rFonts w:hint="eastAsia" w:ascii="宋体" w:hAnsi="宋体" w:eastAsia="宋体" w:cs="宋体"/>
          <w:b/>
          <w:bCs/>
          <w:color w:val="auto"/>
          <w:kern w:val="0"/>
          <w:szCs w:val="21"/>
          <w:highlight w:val="none"/>
        </w:rPr>
        <w:t>。</w:t>
      </w:r>
    </w:p>
    <w:p>
      <w:pPr>
        <w:autoSpaceDE w:val="0"/>
        <w:autoSpaceDN w:val="0"/>
        <w:adjustRightInd w:val="0"/>
        <w:snapToGrid w:val="0"/>
        <w:spacing w:line="360" w:lineRule="auto"/>
        <w:ind w:left="607" w:leftChars="18" w:hanging="569" w:hangingChars="27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u w:val="single"/>
        </w:rPr>
        <w:t>餐厨垃圾预处理车间分拣的生活垃圾收运服务单价等于餐厨垃圾收运服务不含税综合单价，不单独报价。</w:t>
      </w:r>
    </w:p>
    <w:p>
      <w:pPr>
        <w:autoSpaceDE w:val="0"/>
        <w:autoSpaceDN w:val="0"/>
        <w:adjustRightInd w:val="0"/>
        <w:snapToGrid w:val="0"/>
        <w:spacing w:line="360" w:lineRule="auto"/>
        <w:ind w:left="605" w:leftChars="18"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）本投标报价表报价与分项报价明细表报价不一致的，以本投标报价表为准。对不同文字文本投标文件的解释发生异议的，以中文文本为准。</w:t>
      </w:r>
    </w:p>
    <w:p>
      <w:pPr>
        <w:autoSpaceDE w:val="0"/>
        <w:autoSpaceDN w:val="0"/>
        <w:adjustRightInd w:val="0"/>
        <w:snapToGrid w:val="0"/>
        <w:spacing w:line="360" w:lineRule="auto"/>
        <w:ind w:left="607" w:leftChars="18" w:hanging="569" w:hangingChars="270"/>
        <w:jc w:val="left"/>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5</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u w:val="single"/>
          <w:lang w:val="zh-CN"/>
        </w:rPr>
        <w:t>本表一式二份，一份随唱标信封一起提交，一份编入投标文件商务文件</w:t>
      </w:r>
      <w:r>
        <w:rPr>
          <w:rFonts w:hint="eastAsia" w:ascii="宋体" w:hAnsi="宋体" w:eastAsia="宋体" w:cs="宋体"/>
          <w:b/>
          <w:bCs/>
          <w:color w:val="auto"/>
          <w:kern w:val="0"/>
          <w:szCs w:val="21"/>
          <w:highlight w:val="none"/>
          <w:lang w:val="zh-CN"/>
        </w:rPr>
        <w:t>。</w:t>
      </w:r>
    </w:p>
    <w:p>
      <w:pPr>
        <w:autoSpaceDE w:val="0"/>
        <w:autoSpaceDN w:val="0"/>
        <w:adjustRightInd w:val="0"/>
        <w:snapToGrid w:val="0"/>
        <w:spacing w:line="360" w:lineRule="auto"/>
        <w:ind w:left="605" w:leftChars="18" w:hanging="567" w:hangingChars="270"/>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w:t>
      </w: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Cs w:val="21"/>
          <w:highlight w:val="none"/>
          <w:lang w:val="zh-CN"/>
        </w:rPr>
        <w:t>）</w:t>
      </w:r>
      <w:r>
        <w:rPr>
          <w:rFonts w:hint="eastAsia" w:ascii="宋体" w:hAnsi="宋体" w:eastAsia="宋体" w:cs="宋体"/>
          <w:color w:val="auto"/>
          <w:kern w:val="0"/>
          <w:szCs w:val="21"/>
          <w:highlight w:val="none"/>
        </w:rPr>
        <w:t>报价保留小数点后两位。</w:t>
      </w:r>
    </w:p>
    <w:p>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73" w:name="_Toc23083"/>
      <w:bookmarkStart w:id="574" w:name="_Toc140596928"/>
      <w:bookmarkStart w:id="575" w:name="_Toc102860418"/>
      <w:bookmarkStart w:id="576" w:name="_Toc1977725"/>
      <w:bookmarkStart w:id="577" w:name="_Toc94107209"/>
      <w:bookmarkStart w:id="578" w:name="_Toc102860074"/>
      <w:bookmarkStart w:id="579" w:name="_Toc26516"/>
      <w:bookmarkStart w:id="580" w:name="_Toc14010"/>
      <w:bookmarkStart w:id="581" w:name="_Toc6190"/>
      <w:bookmarkStart w:id="582" w:name="_Toc104991875"/>
      <w:bookmarkStart w:id="583" w:name="_Toc142508369"/>
      <w:bookmarkStart w:id="584" w:name="_Toc12866"/>
      <w:bookmarkStart w:id="585" w:name="_Toc20759_WPSOffice_Level2"/>
      <w:bookmarkStart w:id="586" w:name="_Toc486167712"/>
      <w:bookmarkStart w:id="587" w:name="_Toc533708124"/>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573"/>
      <w:bookmarkEnd w:id="574"/>
      <w:bookmarkEnd w:id="575"/>
      <w:bookmarkEnd w:id="576"/>
      <w:bookmarkEnd w:id="577"/>
      <w:bookmarkEnd w:id="578"/>
      <w:bookmarkEnd w:id="579"/>
      <w:bookmarkEnd w:id="580"/>
      <w:bookmarkEnd w:id="581"/>
      <w:bookmarkEnd w:id="582"/>
      <w:bookmarkEnd w:id="583"/>
      <w:bookmarkEnd w:id="584"/>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588" w:name="_Toc17358"/>
      <w:bookmarkStart w:id="589" w:name="_Toc104991876"/>
      <w:bookmarkStart w:id="590" w:name="_Toc140596929"/>
      <w:bookmarkStart w:id="591" w:name="_Toc94107210"/>
      <w:bookmarkStart w:id="592" w:name="_Toc25267"/>
      <w:bookmarkStart w:id="593" w:name="_Toc29874"/>
      <w:bookmarkStart w:id="594" w:name="_Toc14680"/>
      <w:bookmarkStart w:id="595" w:name="_Toc102860419"/>
      <w:bookmarkStart w:id="596" w:name="_Toc142508370"/>
      <w:bookmarkStart w:id="597" w:name="_Toc102860075"/>
      <w:bookmarkStart w:id="598" w:name="_Toc31924"/>
      <w:bookmarkStart w:id="599"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588"/>
      <w:bookmarkEnd w:id="589"/>
      <w:bookmarkEnd w:id="590"/>
      <w:bookmarkEnd w:id="591"/>
      <w:bookmarkEnd w:id="592"/>
      <w:bookmarkEnd w:id="593"/>
      <w:bookmarkEnd w:id="594"/>
      <w:bookmarkEnd w:id="595"/>
      <w:bookmarkEnd w:id="596"/>
      <w:bookmarkEnd w:id="597"/>
      <w:bookmarkEnd w:id="598"/>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pPr>
        <w:tabs>
          <w:tab w:val="left" w:pos="567"/>
        </w:tabs>
        <w:autoSpaceDE w:val="0"/>
        <w:autoSpaceDN w:val="0"/>
        <w:adjustRightInd w:val="0"/>
        <w:spacing w:line="360" w:lineRule="auto"/>
        <w:ind w:firstLine="316" w:firstLineChars="150"/>
        <w:jc w:val="left"/>
        <w:outlineLvl w:val="2"/>
        <w:rPr>
          <w:rFonts w:hint="eastAsia"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600" w:name="_Toc142508371"/>
      <w:bookmarkStart w:id="601" w:name="_Toc140596930"/>
      <w:bookmarkStart w:id="602" w:name="_Toc25013"/>
      <w:bookmarkStart w:id="603" w:name="_Toc7120"/>
      <w:bookmarkStart w:id="604" w:name="_Toc7756"/>
      <w:bookmarkStart w:id="605" w:name="_Toc104991877"/>
      <w:bookmarkStart w:id="606" w:name="_Toc30063"/>
      <w:bookmarkStart w:id="607" w:name="_Toc27861"/>
      <w:bookmarkStart w:id="608" w:name="_Toc102860420"/>
      <w:bookmarkStart w:id="609" w:name="_Toc94107211"/>
      <w:bookmarkStart w:id="610" w:name="_Toc10286007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600"/>
      <w:bookmarkEnd w:id="601"/>
      <w:bookmarkEnd w:id="602"/>
      <w:bookmarkEnd w:id="603"/>
      <w:bookmarkEnd w:id="604"/>
      <w:bookmarkEnd w:id="605"/>
      <w:bookmarkEnd w:id="606"/>
      <w:bookmarkEnd w:id="607"/>
      <w:bookmarkEnd w:id="608"/>
      <w:bookmarkEnd w:id="609"/>
      <w:bookmarkEnd w:id="610"/>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Cs w:val="21"/>
          <w:highlight w:val="none"/>
        </w:rPr>
      </w:pPr>
      <w:r>
        <w:rPr>
          <w:rFonts w:hint="eastAsia" w:ascii="宋体" w:hAnsi="宋体" w:eastAsia="宋体" w:cs="宋体"/>
          <w:b/>
          <w:color w:val="auto"/>
          <w:kern w:val="0"/>
          <w:sz w:val="30"/>
          <w:szCs w:val="30"/>
          <w:highlight w:val="none"/>
        </w:rPr>
        <w:br w:type="page"/>
      </w:r>
      <w:bookmarkStart w:id="611" w:name="_Toc102860077"/>
      <w:bookmarkStart w:id="612" w:name="_Toc140596931"/>
      <w:bookmarkStart w:id="613" w:name="_Toc6691"/>
      <w:bookmarkStart w:id="614" w:name="_Toc94107212"/>
      <w:bookmarkStart w:id="615" w:name="_Toc142508372"/>
      <w:bookmarkStart w:id="616" w:name="_Toc4474"/>
      <w:bookmarkStart w:id="617" w:name="_Toc17499"/>
      <w:bookmarkStart w:id="618" w:name="_Toc9132"/>
      <w:bookmarkStart w:id="619" w:name="_Toc102860421"/>
      <w:bookmarkStart w:id="620" w:name="_Toc7441"/>
      <w:bookmarkStart w:id="621" w:name="_Toc104991878"/>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 法定代表人身份证明书原件、法定代表人授权书原件格式（法定代表人投标时只需提供法定代表人身份证明书，委托他人为投标代表或签署投标文件时需同时提供法定代表人授权书）</w:t>
      </w:r>
      <w:bookmarkEnd w:id="611"/>
      <w:bookmarkEnd w:id="612"/>
      <w:bookmarkEnd w:id="613"/>
      <w:bookmarkEnd w:id="614"/>
      <w:bookmarkEnd w:id="615"/>
      <w:bookmarkEnd w:id="616"/>
      <w:bookmarkEnd w:id="617"/>
      <w:bookmarkEnd w:id="618"/>
      <w:bookmarkEnd w:id="619"/>
      <w:bookmarkEnd w:id="620"/>
      <w:bookmarkEnd w:id="621"/>
    </w:p>
    <w:p>
      <w:pPr>
        <w:spacing w:before="120" w:after="120" w:line="360" w:lineRule="auto"/>
        <w:ind w:firstLine="426" w:firstLineChars="20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585"/>
      <w:bookmarkEnd w:id="586"/>
      <w:bookmarkEnd w:id="587"/>
      <w:bookmarkEnd w:id="599"/>
    </w:p>
    <w:p>
      <w:pPr>
        <w:spacing w:before="120" w:after="120" w:line="360" w:lineRule="auto"/>
        <w:ind w:firstLine="608" w:firstLineChars="202"/>
        <w:jc w:val="center"/>
        <w:rPr>
          <w:rFonts w:hint="eastAsia" w:ascii="宋体" w:hAnsi="宋体" w:eastAsia="宋体" w:cs="宋体"/>
          <w:b/>
          <w:color w:val="auto"/>
          <w:sz w:val="30"/>
          <w:szCs w:val="30"/>
          <w:highlight w:val="none"/>
        </w:rPr>
      </w:pPr>
    </w:p>
    <w:p>
      <w:pPr>
        <w:spacing w:before="120" w:after="120" w:line="360" w:lineRule="auto"/>
        <w:ind w:firstLine="608" w:firstLineChars="202"/>
        <w:jc w:val="center"/>
        <w:rPr>
          <w:rFonts w:hint="eastAsia" w:ascii="宋体" w:hAnsi="宋体" w:eastAsia="宋体" w:cs="宋体"/>
          <w:b/>
          <w:bCs/>
          <w:color w:val="auto"/>
          <w:sz w:val="30"/>
          <w:szCs w:val="30"/>
          <w:highlight w:val="none"/>
        </w:rPr>
      </w:pPr>
      <w:bookmarkStart w:id="622" w:name="_Toc11033_WPSOffice_Level3"/>
      <w:r>
        <w:rPr>
          <w:rFonts w:hint="eastAsia" w:ascii="宋体" w:hAnsi="宋体" w:eastAsia="宋体" w:cs="宋体"/>
          <w:b/>
          <w:color w:val="auto"/>
          <w:sz w:val="30"/>
          <w:szCs w:val="30"/>
          <w:highlight w:val="none"/>
        </w:rPr>
        <w:t>法定代</w:t>
      </w:r>
      <w:bookmarkStart w:id="623" w:name="_Toc36971359"/>
      <w:bookmarkStart w:id="624" w:name="_Toc45995270"/>
      <w:r>
        <w:rPr>
          <w:rFonts w:hint="eastAsia" w:ascii="宋体" w:hAnsi="宋体" w:eastAsia="宋体" w:cs="宋体"/>
          <w:b/>
          <w:color w:val="auto"/>
          <w:sz w:val="30"/>
          <w:szCs w:val="30"/>
          <w:highlight w:val="none"/>
        </w:rPr>
        <w:t>表人身份证明书</w:t>
      </w:r>
      <w:bookmarkEnd w:id="622"/>
    </w:p>
    <w:bookmarkEnd w:id="623"/>
    <w:bookmarkEnd w:id="624"/>
    <w:p>
      <w:pPr>
        <w:spacing w:before="120" w:after="120"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pPr>
        <w:spacing w:before="120" w:after="120" w:line="360" w:lineRule="auto"/>
        <w:ind w:left="340" w:leftChars="162" w:firstLine="474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pPr>
        <w:autoSpaceDE w:val="0"/>
        <w:autoSpaceDN w:val="0"/>
        <w:adjustRightInd w:val="0"/>
        <w:spacing w:line="360" w:lineRule="auto"/>
        <w:ind w:right="1010" w:rightChars="481" w:firstLine="6090" w:firstLineChars="2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pPr>
        <w:autoSpaceDE w:val="0"/>
        <w:autoSpaceDN w:val="0"/>
        <w:adjustRightIn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Pr>
                              <w:rPr>
                                <w:rFonts w:eastAsia="+中文正文"/>
                              </w:rPr>
                            </w:pPr>
                          </w:p>
                          <w:p/>
                          <w:p/>
                          <w:p/>
                          <w:p>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pPr>
                        <w:rPr>
                          <w:rFonts w:eastAsia="+中文正文"/>
                        </w:rPr>
                      </w:pPr>
                    </w:p>
                    <w:p/>
                    <w:p/>
                    <w:p/>
                    <w:p>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法定代表人身份证反面</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法定代表人身份证反面</w:t>
                      </w:r>
                    </w:p>
                    <w:p>
                      <w:pPr>
                        <w:jc w:val="center"/>
                        <w:rPr>
                          <w:szCs w:val="21"/>
                        </w:rPr>
                      </w:pP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p/>
                    <w:p/>
                    <w:p/>
                    <w:p>
                      <w:pPr>
                        <w:jc w:val="center"/>
                      </w:pPr>
                      <w:r>
                        <w:rPr>
                          <w:rFonts w:hint="eastAsia"/>
                        </w:rPr>
                        <w:t>身份证正面</w:t>
                      </w:r>
                    </w:p>
                  </w:txbxContent>
                </v:textbox>
              </v:shape>
            </w:pict>
          </mc:Fallback>
        </mc:AlternateContent>
      </w: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b/>
          <w:color w:val="auto"/>
          <w:kern w:val="0"/>
          <w:szCs w:val="21"/>
          <w:highlight w:val="none"/>
        </w:rPr>
      </w:pPr>
    </w:p>
    <w:p>
      <w:pPr>
        <w:autoSpaceDE w:val="0"/>
        <w:autoSpaceDN w:val="0"/>
        <w:adjustRightInd w:val="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pPr>
        <w:autoSpaceDE w:val="0"/>
        <w:autoSpaceDN w:val="0"/>
        <w:adjustRightInd w:val="0"/>
        <w:jc w:val="left"/>
        <w:rPr>
          <w:rFonts w:hint="eastAsia" w:ascii="宋体" w:hAnsi="宋体" w:eastAsia="宋体" w:cs="宋体"/>
          <w:color w:val="auto"/>
          <w:kern w:val="0"/>
          <w:szCs w:val="21"/>
          <w:highlight w:val="none"/>
        </w:rPr>
      </w:pPr>
    </w:p>
    <w:p>
      <w:pPr>
        <w:spacing w:before="120" w:after="120" w:line="360" w:lineRule="auto"/>
        <w:ind w:firstLine="424" w:firstLineChars="202"/>
        <w:rPr>
          <w:rFonts w:hint="eastAsia"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530"/>
      <w:bookmarkEnd w:id="531"/>
      <w:bookmarkEnd w:id="532"/>
      <w:bookmarkStart w:id="625" w:name="_Toc486167713"/>
      <w:bookmarkStart w:id="626" w:name="_Toc533708125"/>
      <w:bookmarkStart w:id="627" w:name="_Toc6240_WPSOffice_Level2"/>
      <w:bookmarkStart w:id="628" w:name="_Toc1977727"/>
      <w:r>
        <w:rPr>
          <w:rFonts w:hint="eastAsia" w:ascii="宋体" w:hAnsi="宋体" w:eastAsia="宋体" w:cs="宋体"/>
          <w:b/>
          <w:color w:val="auto"/>
          <w:szCs w:val="24"/>
          <w:highlight w:val="none"/>
        </w:rPr>
        <w:t>（2）法定代表人授权书格式</w:t>
      </w:r>
      <w:bookmarkEnd w:id="625"/>
      <w:bookmarkEnd w:id="626"/>
      <w:bookmarkEnd w:id="627"/>
      <w:bookmarkEnd w:id="628"/>
    </w:p>
    <w:p>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p>
    <w:p>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bookmarkStart w:id="629" w:name="_Toc29146_WPSOffice_Level3"/>
      <w:r>
        <w:rPr>
          <w:rFonts w:hint="eastAsia" w:ascii="宋体" w:hAnsi="宋体" w:eastAsia="宋体" w:cs="宋体"/>
          <w:b/>
          <w:bCs/>
          <w:color w:val="auto"/>
          <w:sz w:val="30"/>
          <w:szCs w:val="30"/>
          <w:highlight w:val="none"/>
          <w:lang w:val="zh-CN"/>
        </w:rPr>
        <w:t>法定代表人授权书</w:t>
      </w:r>
      <w:bookmarkEnd w:id="629"/>
    </w:p>
    <w:p>
      <w:pPr>
        <w:autoSpaceDE w:val="0"/>
        <w:autoSpaceDN w:val="0"/>
        <w:adjustRightInd w:val="0"/>
        <w:spacing w:line="360" w:lineRule="auto"/>
        <w:jc w:val="center"/>
        <w:rPr>
          <w:rFonts w:hint="eastAsia" w:ascii="宋体" w:hAnsi="宋体" w:eastAsia="宋体" w:cs="宋体"/>
          <w:color w:val="auto"/>
          <w:szCs w:val="28"/>
          <w:highlight w:val="none"/>
          <w:lang w:val="zh-CN"/>
        </w:rPr>
      </w:pPr>
    </w:p>
    <w:p>
      <w:pPr>
        <w:spacing w:before="120" w:after="120"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致：东莞市利源有机资源再生利用有限公司</w:t>
      </w:r>
    </w:p>
    <w:p>
      <w:pPr>
        <w:spacing w:before="120" w:after="120"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东莞市利源有机资源再生利用有限公司2024-2025年餐厨垃圾收运服务采购项目（重新招标）</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0832-SFCX24DG024C-1</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pPr>
        <w:spacing w:before="120" w:after="12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pPr>
        <w:spacing w:before="120" w:after="120" w:line="360" w:lineRule="auto"/>
        <w:ind w:left="348" w:leftChars="136" w:hanging="62"/>
        <w:rPr>
          <w:rFonts w:hint="eastAsia" w:ascii="宋体" w:hAnsi="宋体" w:eastAsia="宋体" w:cs="宋体"/>
          <w:color w:val="auto"/>
          <w:szCs w:val="24"/>
          <w:highlight w:val="none"/>
        </w:rPr>
      </w:pP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法定代表人身份证反面</w:t>
                      </w:r>
                    </w:p>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法定代表人身份证正面</w:t>
                      </w:r>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2" w:firstLineChars="200"/>
        <w:textAlignment w:val="bottom"/>
        <w:rPr>
          <w:rFonts w:hint="eastAsia"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pPr>
        <w:pStyle w:val="5"/>
        <w:pageBreakBefore/>
        <w:spacing w:line="360" w:lineRule="auto"/>
        <w:rPr>
          <w:rFonts w:hint="eastAsia" w:ascii="宋体" w:hAnsi="宋体" w:eastAsia="宋体" w:cs="宋体"/>
          <w:b/>
          <w:color w:val="auto"/>
          <w:sz w:val="30"/>
          <w:szCs w:val="30"/>
          <w:highlight w:val="none"/>
          <w:lang w:val="zh-CN"/>
        </w:rPr>
      </w:pPr>
      <w:bookmarkStart w:id="630" w:name="_Toc32328"/>
      <w:bookmarkStart w:id="631" w:name="_Toc16211"/>
      <w:bookmarkStart w:id="632" w:name="_Toc16360"/>
      <w:bookmarkStart w:id="633" w:name="_Toc15716"/>
      <w:bookmarkStart w:id="634" w:name="_Toc12400"/>
      <w:bookmarkStart w:id="635" w:name="_Toc140596933"/>
      <w:bookmarkStart w:id="636" w:name="_Toc142508373"/>
      <w:bookmarkStart w:id="637" w:name="_Toc1977730"/>
      <w:bookmarkStart w:id="638" w:name="_Toc104991880"/>
      <w:bookmarkStart w:id="639" w:name="_Toc94107214"/>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 xml:space="preserve">.4 </w:t>
      </w:r>
      <w:r>
        <w:rPr>
          <w:rFonts w:hint="eastAsia" w:ascii="宋体" w:hAnsi="宋体" w:eastAsia="宋体" w:cs="宋体"/>
          <w:b/>
          <w:bCs/>
          <w:color w:val="auto"/>
          <w:kern w:val="2"/>
          <w:sz w:val="32"/>
          <w:szCs w:val="32"/>
          <w:highlight w:val="none"/>
        </w:rPr>
        <w:t>资格业绩</w:t>
      </w:r>
      <w:r>
        <w:rPr>
          <w:rFonts w:hint="eastAsia" w:ascii="宋体" w:hAnsi="宋体" w:eastAsia="宋体" w:cs="宋体"/>
          <w:b/>
          <w:bCs/>
          <w:color w:val="auto"/>
          <w:sz w:val="32"/>
          <w:szCs w:val="32"/>
          <w:highlight w:val="none"/>
        </w:rPr>
        <w:t>【投标人提供一份</w:t>
      </w:r>
      <w:r>
        <w:rPr>
          <w:rFonts w:hint="eastAsia" w:ascii="宋体" w:hAnsi="宋体" w:eastAsia="宋体" w:cs="宋体"/>
          <w:b/>
          <w:bCs/>
          <w:color w:val="auto"/>
          <w:sz w:val="32"/>
          <w:szCs w:val="32"/>
          <w:highlight w:val="none"/>
          <w:lang w:val="en-US" w:eastAsia="zh-CN"/>
        </w:rPr>
        <w:t>2021</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日以来</w:t>
      </w:r>
      <w:r>
        <w:rPr>
          <w:rFonts w:hint="eastAsia" w:hAnsi="宋体" w:cs="宋体"/>
          <w:b/>
          <w:bCs/>
          <w:color w:val="auto"/>
          <w:sz w:val="32"/>
          <w:szCs w:val="32"/>
          <w:highlight w:val="none"/>
          <w:lang w:val="en-US" w:eastAsia="zh-CN"/>
        </w:rPr>
        <w:t>具有</w:t>
      </w:r>
      <w:r>
        <w:rPr>
          <w:rFonts w:hint="eastAsia" w:hAnsi="宋体" w:cs="宋体"/>
          <w:b/>
          <w:bCs/>
          <w:color w:val="auto"/>
          <w:sz w:val="32"/>
          <w:szCs w:val="32"/>
          <w:highlight w:val="none"/>
          <w:lang w:eastAsia="zh-CN"/>
        </w:rPr>
        <w:t>餐厨废弃物或生活垃圾收运服务</w:t>
      </w:r>
      <w:r>
        <w:rPr>
          <w:rFonts w:hint="eastAsia" w:ascii="宋体" w:hAnsi="宋体" w:eastAsia="宋体" w:cs="宋体"/>
          <w:b/>
          <w:bCs/>
          <w:color w:val="auto"/>
          <w:sz w:val="32"/>
          <w:szCs w:val="32"/>
          <w:highlight w:val="none"/>
        </w:rPr>
        <w:t>业绩（合同签订日期为</w:t>
      </w:r>
      <w:r>
        <w:rPr>
          <w:rFonts w:hint="eastAsia" w:ascii="宋体" w:hAnsi="宋体" w:eastAsia="宋体" w:cs="宋体"/>
          <w:b/>
          <w:bCs/>
          <w:color w:val="auto"/>
          <w:sz w:val="32"/>
          <w:szCs w:val="32"/>
          <w:highlight w:val="none"/>
          <w:lang w:val="en-US" w:eastAsia="zh-CN"/>
        </w:rPr>
        <w:t>2021</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日或以后）</w:t>
      </w:r>
      <w:bookmarkEnd w:id="630"/>
      <w:bookmarkEnd w:id="631"/>
      <w:bookmarkEnd w:id="632"/>
      <w:bookmarkEnd w:id="633"/>
      <w:bookmarkEnd w:id="634"/>
      <w:r>
        <w:rPr>
          <w:rFonts w:hint="eastAsia" w:ascii="宋体" w:hAnsi="宋体" w:eastAsia="宋体" w:cs="宋体"/>
          <w:b/>
          <w:bCs/>
          <w:color w:val="auto"/>
          <w:sz w:val="32"/>
          <w:szCs w:val="32"/>
          <w:highlight w:val="none"/>
          <w:lang w:eastAsia="zh-CN"/>
        </w:rPr>
        <w:t>】</w:t>
      </w:r>
    </w:p>
    <w:p>
      <w:pPr>
        <w:spacing w:line="360" w:lineRule="auto"/>
        <w:rPr>
          <w:rFonts w:hint="eastAsia" w:ascii="宋体" w:hAnsi="宋体" w:eastAsia="宋体" w:cs="宋体"/>
          <w:b/>
          <w:color w:val="auto"/>
          <w:szCs w:val="21"/>
          <w:highlight w:val="none"/>
          <w:lang w:val="zh-CN"/>
        </w:rPr>
      </w:pPr>
    </w:p>
    <w:tbl>
      <w:tblPr>
        <w:tblStyle w:val="38"/>
        <w:tblW w:w="44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805"/>
        <w:gridCol w:w="1174"/>
        <w:gridCol w:w="1440"/>
        <w:gridCol w:w="1111"/>
        <w:gridCol w:w="1373"/>
        <w:gridCol w:w="1178"/>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460" w:hRule="exact"/>
          <w:jc w:val="center"/>
        </w:trPr>
        <w:tc>
          <w:tcPr>
            <w:tcW w:w="500"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28"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893"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689" w:type="pct"/>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收运</w:t>
            </w:r>
            <w:r>
              <w:rPr>
                <w:rFonts w:hint="eastAsia" w:ascii="宋体" w:hAnsi="宋体" w:eastAsia="宋体" w:cs="宋体"/>
                <w:color w:val="auto"/>
                <w:sz w:val="21"/>
                <w:szCs w:val="21"/>
                <w:highlight w:val="none"/>
                <w:lang w:val="en-US" w:eastAsia="zh-CN"/>
              </w:rPr>
              <w:t>垃圾类别</w:t>
            </w:r>
          </w:p>
        </w:tc>
        <w:tc>
          <w:tcPr>
            <w:tcW w:w="852"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731"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604"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82" w:hRule="exact"/>
          <w:jc w:val="center"/>
        </w:trPr>
        <w:tc>
          <w:tcPr>
            <w:tcW w:w="500" w:type="pct"/>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28" w:type="pct"/>
            <w:noWrap w:val="0"/>
            <w:vAlign w:val="center"/>
          </w:tcPr>
          <w:p>
            <w:pPr>
              <w:jc w:val="center"/>
              <w:rPr>
                <w:rFonts w:hint="eastAsia" w:ascii="宋体" w:hAnsi="宋体" w:eastAsia="宋体" w:cs="宋体"/>
                <w:color w:val="auto"/>
                <w:sz w:val="21"/>
                <w:szCs w:val="21"/>
                <w:highlight w:val="none"/>
              </w:rPr>
            </w:pPr>
          </w:p>
        </w:tc>
        <w:tc>
          <w:tcPr>
            <w:tcW w:w="893" w:type="pct"/>
            <w:noWrap w:val="0"/>
            <w:vAlign w:val="center"/>
          </w:tcPr>
          <w:p>
            <w:pPr>
              <w:jc w:val="center"/>
              <w:rPr>
                <w:rFonts w:hint="eastAsia" w:ascii="宋体" w:hAnsi="宋体" w:eastAsia="宋体" w:cs="宋体"/>
                <w:color w:val="auto"/>
                <w:sz w:val="21"/>
                <w:szCs w:val="21"/>
                <w:highlight w:val="none"/>
              </w:rPr>
            </w:pPr>
          </w:p>
        </w:tc>
        <w:tc>
          <w:tcPr>
            <w:tcW w:w="689" w:type="pct"/>
            <w:noWrap w:val="0"/>
            <w:vAlign w:val="center"/>
          </w:tcPr>
          <w:p>
            <w:pPr>
              <w:jc w:val="center"/>
              <w:rPr>
                <w:rFonts w:hint="eastAsia" w:ascii="宋体" w:hAnsi="宋体" w:eastAsia="宋体" w:cs="宋体"/>
                <w:color w:val="auto"/>
                <w:sz w:val="21"/>
                <w:szCs w:val="21"/>
                <w:highlight w:val="none"/>
              </w:rPr>
            </w:pPr>
          </w:p>
        </w:tc>
        <w:tc>
          <w:tcPr>
            <w:tcW w:w="852" w:type="pct"/>
            <w:noWrap w:val="0"/>
            <w:vAlign w:val="center"/>
          </w:tcPr>
          <w:p>
            <w:pPr>
              <w:jc w:val="center"/>
              <w:rPr>
                <w:rFonts w:hint="eastAsia" w:ascii="宋体" w:hAnsi="宋体" w:eastAsia="宋体" w:cs="宋体"/>
                <w:color w:val="auto"/>
                <w:sz w:val="21"/>
                <w:szCs w:val="21"/>
                <w:highlight w:val="none"/>
              </w:rPr>
            </w:pPr>
          </w:p>
        </w:tc>
        <w:tc>
          <w:tcPr>
            <w:tcW w:w="731" w:type="pct"/>
            <w:noWrap w:val="0"/>
            <w:vAlign w:val="center"/>
          </w:tcPr>
          <w:p>
            <w:pPr>
              <w:jc w:val="center"/>
              <w:rPr>
                <w:rFonts w:hint="eastAsia" w:ascii="宋体" w:hAnsi="宋体" w:eastAsia="宋体" w:cs="宋体"/>
                <w:color w:val="auto"/>
                <w:sz w:val="21"/>
                <w:szCs w:val="21"/>
                <w:highlight w:val="none"/>
              </w:rPr>
            </w:pPr>
          </w:p>
        </w:tc>
        <w:tc>
          <w:tcPr>
            <w:tcW w:w="604" w:type="pct"/>
            <w:noWrap w:val="0"/>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82" w:hRule="exact"/>
          <w:jc w:val="center"/>
        </w:trPr>
        <w:tc>
          <w:tcPr>
            <w:tcW w:w="500" w:type="pct"/>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28" w:type="pct"/>
            <w:noWrap w:val="0"/>
            <w:vAlign w:val="center"/>
          </w:tcPr>
          <w:p>
            <w:pPr>
              <w:jc w:val="center"/>
              <w:rPr>
                <w:rFonts w:hint="eastAsia" w:ascii="宋体" w:hAnsi="宋体" w:eastAsia="宋体" w:cs="宋体"/>
                <w:color w:val="auto"/>
                <w:sz w:val="21"/>
                <w:szCs w:val="21"/>
                <w:highlight w:val="none"/>
              </w:rPr>
            </w:pPr>
          </w:p>
        </w:tc>
        <w:tc>
          <w:tcPr>
            <w:tcW w:w="893" w:type="pct"/>
            <w:noWrap w:val="0"/>
            <w:vAlign w:val="center"/>
          </w:tcPr>
          <w:p>
            <w:pPr>
              <w:jc w:val="center"/>
              <w:rPr>
                <w:rFonts w:hint="eastAsia" w:ascii="宋体" w:hAnsi="宋体" w:eastAsia="宋体" w:cs="宋体"/>
                <w:color w:val="auto"/>
                <w:sz w:val="21"/>
                <w:szCs w:val="21"/>
                <w:highlight w:val="none"/>
              </w:rPr>
            </w:pPr>
          </w:p>
        </w:tc>
        <w:tc>
          <w:tcPr>
            <w:tcW w:w="689" w:type="pct"/>
            <w:noWrap w:val="0"/>
            <w:vAlign w:val="center"/>
          </w:tcPr>
          <w:p>
            <w:pPr>
              <w:jc w:val="center"/>
              <w:rPr>
                <w:rFonts w:hint="eastAsia" w:ascii="宋体" w:hAnsi="宋体" w:eastAsia="宋体" w:cs="宋体"/>
                <w:color w:val="auto"/>
                <w:sz w:val="21"/>
                <w:szCs w:val="21"/>
                <w:highlight w:val="none"/>
              </w:rPr>
            </w:pPr>
          </w:p>
        </w:tc>
        <w:tc>
          <w:tcPr>
            <w:tcW w:w="852" w:type="pct"/>
            <w:noWrap w:val="0"/>
            <w:vAlign w:val="center"/>
          </w:tcPr>
          <w:p>
            <w:pPr>
              <w:jc w:val="center"/>
              <w:rPr>
                <w:rFonts w:hint="eastAsia" w:ascii="宋体" w:hAnsi="宋体" w:eastAsia="宋体" w:cs="宋体"/>
                <w:color w:val="auto"/>
                <w:sz w:val="21"/>
                <w:szCs w:val="21"/>
                <w:highlight w:val="none"/>
              </w:rPr>
            </w:pPr>
          </w:p>
        </w:tc>
        <w:tc>
          <w:tcPr>
            <w:tcW w:w="731" w:type="pct"/>
            <w:noWrap w:val="0"/>
            <w:vAlign w:val="center"/>
          </w:tcPr>
          <w:p>
            <w:pPr>
              <w:jc w:val="center"/>
              <w:rPr>
                <w:rFonts w:hint="eastAsia" w:ascii="宋体" w:hAnsi="宋体" w:eastAsia="宋体" w:cs="宋体"/>
                <w:color w:val="auto"/>
                <w:sz w:val="21"/>
                <w:szCs w:val="21"/>
                <w:highlight w:val="none"/>
              </w:rPr>
            </w:pPr>
          </w:p>
        </w:tc>
        <w:tc>
          <w:tcPr>
            <w:tcW w:w="604" w:type="pct"/>
            <w:noWrap w:val="0"/>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82" w:hRule="exact"/>
          <w:jc w:val="center"/>
        </w:trPr>
        <w:tc>
          <w:tcPr>
            <w:tcW w:w="500" w:type="pct"/>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728" w:type="pct"/>
            <w:noWrap w:val="0"/>
            <w:vAlign w:val="center"/>
          </w:tcPr>
          <w:p>
            <w:pPr>
              <w:jc w:val="center"/>
              <w:rPr>
                <w:rFonts w:hint="eastAsia" w:ascii="宋体" w:hAnsi="宋体" w:eastAsia="宋体" w:cs="宋体"/>
                <w:color w:val="auto"/>
                <w:sz w:val="21"/>
                <w:szCs w:val="21"/>
                <w:highlight w:val="none"/>
              </w:rPr>
            </w:pPr>
          </w:p>
        </w:tc>
        <w:tc>
          <w:tcPr>
            <w:tcW w:w="893" w:type="pct"/>
            <w:noWrap w:val="0"/>
            <w:vAlign w:val="center"/>
          </w:tcPr>
          <w:p>
            <w:pPr>
              <w:jc w:val="center"/>
              <w:rPr>
                <w:rFonts w:hint="eastAsia" w:ascii="宋体" w:hAnsi="宋体" w:eastAsia="宋体" w:cs="宋体"/>
                <w:color w:val="auto"/>
                <w:sz w:val="21"/>
                <w:szCs w:val="21"/>
                <w:highlight w:val="none"/>
              </w:rPr>
            </w:pPr>
          </w:p>
        </w:tc>
        <w:tc>
          <w:tcPr>
            <w:tcW w:w="689" w:type="pct"/>
            <w:noWrap w:val="0"/>
            <w:vAlign w:val="center"/>
          </w:tcPr>
          <w:p>
            <w:pPr>
              <w:jc w:val="center"/>
              <w:rPr>
                <w:rFonts w:hint="eastAsia" w:ascii="宋体" w:hAnsi="宋体" w:eastAsia="宋体" w:cs="宋体"/>
                <w:color w:val="auto"/>
                <w:sz w:val="21"/>
                <w:szCs w:val="21"/>
                <w:highlight w:val="none"/>
              </w:rPr>
            </w:pPr>
          </w:p>
        </w:tc>
        <w:tc>
          <w:tcPr>
            <w:tcW w:w="852" w:type="pct"/>
            <w:noWrap w:val="0"/>
            <w:vAlign w:val="center"/>
          </w:tcPr>
          <w:p>
            <w:pPr>
              <w:jc w:val="center"/>
              <w:rPr>
                <w:rFonts w:hint="eastAsia" w:ascii="宋体" w:hAnsi="宋体" w:eastAsia="宋体" w:cs="宋体"/>
                <w:color w:val="auto"/>
                <w:sz w:val="21"/>
                <w:szCs w:val="21"/>
                <w:highlight w:val="none"/>
              </w:rPr>
            </w:pPr>
          </w:p>
        </w:tc>
        <w:tc>
          <w:tcPr>
            <w:tcW w:w="731" w:type="pct"/>
            <w:noWrap w:val="0"/>
            <w:vAlign w:val="center"/>
          </w:tcPr>
          <w:p>
            <w:pPr>
              <w:jc w:val="center"/>
              <w:rPr>
                <w:rFonts w:hint="eastAsia" w:ascii="宋体" w:hAnsi="宋体" w:eastAsia="宋体" w:cs="宋体"/>
                <w:color w:val="auto"/>
                <w:sz w:val="21"/>
                <w:szCs w:val="21"/>
                <w:highlight w:val="none"/>
              </w:rPr>
            </w:pPr>
          </w:p>
        </w:tc>
        <w:tc>
          <w:tcPr>
            <w:tcW w:w="604" w:type="pct"/>
            <w:noWrap w:val="0"/>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01" w:hRule="exact"/>
          <w:jc w:val="center"/>
        </w:trPr>
        <w:tc>
          <w:tcPr>
            <w:tcW w:w="500"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rPr>
              <w:t>…</w:t>
            </w:r>
          </w:p>
        </w:tc>
        <w:tc>
          <w:tcPr>
            <w:tcW w:w="728" w:type="pct"/>
            <w:noWrap w:val="0"/>
            <w:vAlign w:val="center"/>
          </w:tcPr>
          <w:p>
            <w:pPr>
              <w:jc w:val="center"/>
              <w:rPr>
                <w:rFonts w:hint="eastAsia" w:ascii="宋体" w:hAnsi="宋体" w:eastAsia="宋体" w:cs="宋体"/>
                <w:color w:val="auto"/>
                <w:sz w:val="21"/>
                <w:szCs w:val="21"/>
                <w:highlight w:val="none"/>
              </w:rPr>
            </w:pPr>
          </w:p>
        </w:tc>
        <w:tc>
          <w:tcPr>
            <w:tcW w:w="893" w:type="pct"/>
            <w:noWrap w:val="0"/>
            <w:vAlign w:val="center"/>
          </w:tcPr>
          <w:p>
            <w:pPr>
              <w:jc w:val="center"/>
              <w:rPr>
                <w:rFonts w:hint="eastAsia" w:ascii="宋体" w:hAnsi="宋体" w:eastAsia="宋体" w:cs="宋体"/>
                <w:color w:val="auto"/>
                <w:sz w:val="21"/>
                <w:szCs w:val="21"/>
                <w:highlight w:val="none"/>
              </w:rPr>
            </w:pPr>
          </w:p>
        </w:tc>
        <w:tc>
          <w:tcPr>
            <w:tcW w:w="689" w:type="pct"/>
            <w:noWrap w:val="0"/>
            <w:vAlign w:val="center"/>
          </w:tcPr>
          <w:p>
            <w:pPr>
              <w:jc w:val="center"/>
              <w:rPr>
                <w:rFonts w:hint="eastAsia" w:ascii="宋体" w:hAnsi="宋体" w:eastAsia="宋体" w:cs="宋体"/>
                <w:color w:val="auto"/>
                <w:sz w:val="21"/>
                <w:szCs w:val="21"/>
                <w:highlight w:val="none"/>
              </w:rPr>
            </w:pPr>
          </w:p>
        </w:tc>
        <w:tc>
          <w:tcPr>
            <w:tcW w:w="852" w:type="pct"/>
            <w:noWrap w:val="0"/>
            <w:vAlign w:val="center"/>
          </w:tcPr>
          <w:p>
            <w:pPr>
              <w:jc w:val="center"/>
              <w:rPr>
                <w:rFonts w:hint="eastAsia" w:ascii="宋体" w:hAnsi="宋体" w:eastAsia="宋体" w:cs="宋体"/>
                <w:color w:val="auto"/>
                <w:sz w:val="21"/>
                <w:szCs w:val="21"/>
                <w:highlight w:val="none"/>
              </w:rPr>
            </w:pPr>
          </w:p>
        </w:tc>
        <w:tc>
          <w:tcPr>
            <w:tcW w:w="731" w:type="pct"/>
            <w:noWrap w:val="0"/>
            <w:vAlign w:val="center"/>
          </w:tcPr>
          <w:p>
            <w:pPr>
              <w:jc w:val="center"/>
              <w:rPr>
                <w:rFonts w:hint="eastAsia" w:ascii="宋体" w:hAnsi="宋体" w:eastAsia="宋体" w:cs="宋体"/>
                <w:color w:val="auto"/>
                <w:sz w:val="21"/>
                <w:szCs w:val="21"/>
                <w:highlight w:val="none"/>
              </w:rPr>
            </w:pPr>
          </w:p>
        </w:tc>
        <w:tc>
          <w:tcPr>
            <w:tcW w:w="604" w:type="pct"/>
            <w:noWrap w:val="0"/>
            <w:vAlign w:val="center"/>
          </w:tcPr>
          <w:p>
            <w:pPr>
              <w:jc w:val="center"/>
              <w:rPr>
                <w:rFonts w:hint="eastAsia" w:ascii="宋体" w:hAnsi="宋体" w:eastAsia="宋体" w:cs="宋体"/>
                <w:color w:val="auto"/>
                <w:sz w:val="21"/>
                <w:szCs w:val="21"/>
                <w:highlight w:val="none"/>
              </w:rPr>
            </w:pPr>
          </w:p>
        </w:tc>
      </w:tr>
    </w:tbl>
    <w:p>
      <w:pPr>
        <w:spacing w:line="360" w:lineRule="auto"/>
        <w:ind w:left="424" w:hanging="424" w:hangingChars="201"/>
        <w:rPr>
          <w:rFonts w:hint="eastAsia" w:ascii="宋体" w:hAnsi="宋体" w:eastAsia="宋体" w:cs="宋体"/>
          <w:b/>
          <w:color w:val="auto"/>
          <w:szCs w:val="21"/>
          <w:highlight w:val="none"/>
          <w:lang w:val="zh-CN"/>
        </w:rPr>
      </w:pPr>
    </w:p>
    <w:p>
      <w:pPr>
        <w:spacing w:line="360" w:lineRule="auto"/>
        <w:ind w:left="424" w:hanging="424" w:hangingChars="201"/>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pPr>
        <w:snapToGrid w:val="0"/>
        <w:spacing w:line="360" w:lineRule="auto"/>
        <w:ind w:left="399" w:leftChars="-58" w:hanging="521" w:hangingChars="247"/>
        <w:outlineLvl w:val="9"/>
        <w:rPr>
          <w:rFonts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rPr>
        <w:t>（1）</w:t>
      </w:r>
      <w:r>
        <w:rPr>
          <w:rFonts w:hint="eastAsia" w:ascii="宋体" w:hAnsi="宋体" w:eastAsia="宋体" w:cs="宋体"/>
          <w:b/>
          <w:bCs w:val="0"/>
          <w:color w:val="auto"/>
          <w:szCs w:val="21"/>
          <w:highlight w:val="none"/>
          <w:u w:val="single"/>
        </w:rPr>
        <w:t>作为投标人资格条件证明的业绩放置在此处。</w:t>
      </w:r>
    </w:p>
    <w:p>
      <w:pPr>
        <w:snapToGrid w:val="0"/>
        <w:spacing w:line="360" w:lineRule="auto"/>
        <w:ind w:left="399" w:leftChars="-58" w:hanging="521" w:hangingChars="247"/>
        <w:outlineLvl w:val="9"/>
        <w:rPr>
          <w:rFonts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rPr>
        <w:t>（2）</w:t>
      </w:r>
      <w:r>
        <w:rPr>
          <w:rFonts w:hint="eastAsia" w:ascii="宋体" w:hAnsi="宋体" w:eastAsia="宋体" w:cs="宋体"/>
          <w:b/>
          <w:bCs w:val="0"/>
          <w:color w:val="auto"/>
          <w:szCs w:val="21"/>
          <w:highlight w:val="none"/>
          <w:u w:val="single"/>
        </w:rPr>
        <w:t>业绩必须附合同复印件。</w:t>
      </w:r>
      <w:r>
        <w:rPr>
          <w:rFonts w:hint="eastAsia" w:ascii="宋体" w:hAnsi="宋体" w:eastAsia="宋体" w:cs="宋体"/>
          <w:b/>
          <w:bCs w:val="0"/>
          <w:color w:val="auto"/>
          <w:szCs w:val="21"/>
          <w:highlight w:val="none"/>
          <w:u w:val="single"/>
          <w:lang w:val="zh-CN"/>
        </w:rPr>
        <w:t>若合同无法反映合同签订时间、合同</w:t>
      </w:r>
      <w:r>
        <w:rPr>
          <w:rFonts w:hint="eastAsia" w:ascii="宋体" w:hAnsi="宋体" w:eastAsia="宋体" w:cs="宋体"/>
          <w:b/>
          <w:bCs w:val="0"/>
          <w:color w:val="auto"/>
          <w:szCs w:val="21"/>
          <w:highlight w:val="none"/>
          <w:u w:val="single"/>
        </w:rPr>
        <w:t>服务内容</w:t>
      </w:r>
      <w:r>
        <w:rPr>
          <w:rFonts w:hint="eastAsia" w:ascii="宋体" w:hAnsi="宋体" w:eastAsia="宋体" w:cs="宋体"/>
          <w:b/>
          <w:bCs w:val="0"/>
          <w:color w:val="auto"/>
          <w:szCs w:val="21"/>
          <w:highlight w:val="none"/>
          <w:u w:val="single"/>
          <w:lang w:eastAsia="zh-CN"/>
        </w:rPr>
        <w:t>、</w:t>
      </w:r>
      <w:r>
        <w:rPr>
          <w:rFonts w:hint="eastAsia" w:ascii="宋体" w:hAnsi="宋体" w:eastAsia="宋体" w:cs="宋体"/>
          <w:b/>
          <w:bCs w:val="0"/>
          <w:color w:val="auto"/>
          <w:sz w:val="21"/>
          <w:szCs w:val="21"/>
          <w:highlight w:val="none"/>
          <w:u w:val="single"/>
        </w:rPr>
        <w:t>收运</w:t>
      </w:r>
      <w:r>
        <w:rPr>
          <w:rFonts w:hint="eastAsia" w:ascii="宋体" w:hAnsi="宋体" w:eastAsia="宋体" w:cs="宋体"/>
          <w:b/>
          <w:bCs w:val="0"/>
          <w:color w:val="auto"/>
          <w:sz w:val="21"/>
          <w:szCs w:val="21"/>
          <w:highlight w:val="none"/>
          <w:u w:val="single"/>
          <w:lang w:val="en-US" w:eastAsia="zh-CN"/>
        </w:rPr>
        <w:t>垃圾类别</w:t>
      </w:r>
      <w:r>
        <w:rPr>
          <w:rFonts w:hint="eastAsia" w:ascii="宋体" w:hAnsi="宋体" w:eastAsia="宋体" w:cs="宋体"/>
          <w:b/>
          <w:bCs w:val="0"/>
          <w:color w:val="auto"/>
          <w:szCs w:val="21"/>
          <w:highlight w:val="none"/>
          <w:u w:val="single"/>
        </w:rPr>
        <w:t>的</w:t>
      </w:r>
      <w:r>
        <w:rPr>
          <w:rFonts w:hint="eastAsia" w:ascii="宋体" w:hAnsi="宋体" w:eastAsia="宋体" w:cs="宋体"/>
          <w:b/>
          <w:bCs w:val="0"/>
          <w:color w:val="auto"/>
          <w:szCs w:val="21"/>
          <w:highlight w:val="none"/>
          <w:u w:val="single"/>
          <w:lang w:val="zh-CN"/>
        </w:rPr>
        <w:t>，还需</w:t>
      </w:r>
      <w:r>
        <w:rPr>
          <w:rFonts w:hint="eastAsia" w:ascii="宋体" w:hAnsi="宋体" w:eastAsia="宋体" w:cs="宋体"/>
          <w:b/>
          <w:bCs w:val="0"/>
          <w:color w:val="auto"/>
          <w:szCs w:val="21"/>
          <w:highlight w:val="none"/>
          <w:u w:val="single"/>
        </w:rPr>
        <w:t>提供服务购买方出具的书面补充情况说明文件复印件</w:t>
      </w:r>
      <w:r>
        <w:rPr>
          <w:rFonts w:hint="eastAsia" w:ascii="宋体" w:hAnsi="宋体" w:eastAsia="宋体" w:cs="宋体"/>
          <w:b/>
          <w:bCs w:val="0"/>
          <w:color w:val="auto"/>
          <w:szCs w:val="21"/>
          <w:highlight w:val="none"/>
          <w:u w:val="single"/>
          <w:lang w:val="zh-CN"/>
        </w:rPr>
        <w:t>作为辅助证明。</w:t>
      </w:r>
    </w:p>
    <w:p>
      <w:pPr>
        <w:snapToGrid w:val="0"/>
        <w:spacing w:line="360" w:lineRule="auto"/>
        <w:ind w:left="399" w:leftChars="-58" w:hanging="521" w:hangingChars="247"/>
        <w:outlineLvl w:val="9"/>
        <w:rPr>
          <w:rFonts w:ascii="宋体" w:hAnsi="宋体" w:eastAsia="宋体" w:cs="宋体"/>
          <w:b/>
          <w:bCs w:val="0"/>
          <w:color w:val="auto"/>
          <w:szCs w:val="21"/>
          <w:highlight w:val="none"/>
        </w:rPr>
      </w:pPr>
      <w:r>
        <w:rPr>
          <w:rFonts w:hint="eastAsia" w:ascii="宋体" w:hAnsi="宋体" w:eastAsia="宋体" w:cs="宋体"/>
          <w:b/>
          <w:bCs w:val="0"/>
          <w:color w:val="auto"/>
          <w:szCs w:val="21"/>
          <w:highlight w:val="none"/>
        </w:rPr>
        <w:t>（3）</w:t>
      </w:r>
      <w:r>
        <w:rPr>
          <w:rFonts w:hint="eastAsia" w:ascii="宋体" w:hAnsi="宋体" w:eastAsia="宋体" w:cs="宋体"/>
          <w:b/>
          <w:bCs w:val="0"/>
          <w:color w:val="auto"/>
          <w:szCs w:val="21"/>
          <w:highlight w:val="none"/>
          <w:u w:val="single"/>
        </w:rPr>
        <w:t>合同业绩证明材料必须满足下列条件：①合同签订日期为202</w:t>
      </w:r>
      <w:r>
        <w:rPr>
          <w:rFonts w:hint="eastAsia" w:ascii="宋体" w:hAnsi="宋体" w:eastAsia="宋体" w:cs="宋体"/>
          <w:b/>
          <w:bCs w:val="0"/>
          <w:color w:val="auto"/>
          <w:szCs w:val="21"/>
          <w:highlight w:val="none"/>
          <w:u w:val="single"/>
          <w:lang w:val="en-US" w:eastAsia="zh-CN"/>
        </w:rPr>
        <w:t>1</w:t>
      </w:r>
      <w:r>
        <w:rPr>
          <w:rFonts w:hint="eastAsia" w:ascii="宋体" w:hAnsi="宋体" w:eastAsia="宋体" w:cs="宋体"/>
          <w:b/>
          <w:bCs w:val="0"/>
          <w:color w:val="auto"/>
          <w:szCs w:val="21"/>
          <w:highlight w:val="none"/>
          <w:u w:val="single"/>
        </w:rPr>
        <w:t>年1月1日或以后；②合同服务内容</w:t>
      </w:r>
      <w:r>
        <w:rPr>
          <w:rFonts w:hint="eastAsia" w:ascii="宋体" w:hAnsi="宋体" w:eastAsia="宋体" w:cs="宋体"/>
          <w:b/>
          <w:bCs w:val="0"/>
          <w:color w:val="auto"/>
          <w:szCs w:val="21"/>
          <w:highlight w:val="none"/>
          <w:u w:val="single"/>
          <w:lang w:val="en-US" w:eastAsia="zh-CN"/>
        </w:rPr>
        <w:t>包含</w:t>
      </w:r>
      <w:r>
        <w:rPr>
          <w:rFonts w:hint="eastAsia" w:ascii="宋体" w:hAnsi="宋体" w:eastAsia="宋体" w:cs="宋体"/>
          <w:b/>
          <w:bCs/>
          <w:color w:val="auto"/>
          <w:sz w:val="21"/>
          <w:szCs w:val="21"/>
          <w:highlight w:val="none"/>
          <w:u w:val="single"/>
          <w:lang w:eastAsia="zh-CN"/>
        </w:rPr>
        <w:t>餐厨废弃物或生活垃圾收运服务</w:t>
      </w:r>
      <w:r>
        <w:rPr>
          <w:rFonts w:hint="eastAsia" w:ascii="宋体" w:hAnsi="宋体" w:eastAsia="宋体" w:cs="宋体"/>
          <w:b/>
          <w:bCs w:val="0"/>
          <w:color w:val="auto"/>
          <w:szCs w:val="21"/>
          <w:highlight w:val="none"/>
          <w:u w:val="single"/>
        </w:rPr>
        <w:t>。</w:t>
      </w:r>
    </w:p>
    <w:p>
      <w:pPr>
        <w:tabs>
          <w:tab w:val="left" w:pos="567"/>
        </w:tabs>
        <w:autoSpaceDE/>
        <w:autoSpaceDN/>
        <w:adjustRightInd w:val="0"/>
        <w:spacing w:line="360" w:lineRule="auto"/>
        <w:ind w:left="401" w:leftChars="-57" w:hanging="521" w:hangingChars="247"/>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bCs w:val="0"/>
          <w:color w:val="auto"/>
          <w:szCs w:val="21"/>
          <w:highlight w:val="none"/>
          <w:lang w:val="zh-CN"/>
        </w:rPr>
        <w:t>（4）</w:t>
      </w:r>
      <w:r>
        <w:rPr>
          <w:rFonts w:hint="eastAsia" w:ascii="宋体" w:hAnsi="宋体" w:eastAsia="宋体" w:cs="宋体"/>
          <w:b/>
          <w:bCs w:val="0"/>
          <w:color w:val="auto"/>
          <w:szCs w:val="21"/>
          <w:highlight w:val="none"/>
          <w:u w:val="single"/>
          <w:lang w:val="zh-CN"/>
        </w:rPr>
        <w:t>未按上述要求在此格式下提供证明材料的业绩，或在此格式下所附材料无法证明符合资格要求的业绩，按无效投标文件处理。</w:t>
      </w:r>
    </w:p>
    <w:p>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pPr>
        <w:tabs>
          <w:tab w:val="left" w:pos="567"/>
        </w:tabs>
        <w:autoSpaceDE w:val="0"/>
        <w:autoSpaceDN w:val="0"/>
        <w:adjustRightInd w:val="0"/>
        <w:spacing w:line="360" w:lineRule="auto"/>
        <w:jc w:val="left"/>
        <w:outlineLvl w:val="2"/>
        <w:rPr>
          <w:rFonts w:hint="eastAsia" w:ascii="宋体" w:hAnsi="宋体" w:eastAsia="宋体" w:cs="宋体"/>
          <w:b/>
          <w:bCs/>
          <w:color w:val="auto"/>
          <w:sz w:val="32"/>
          <w:szCs w:val="32"/>
          <w:highlight w:val="none"/>
          <w:lang w:val="zh-CN"/>
        </w:rPr>
      </w:pPr>
      <w:bookmarkStart w:id="640" w:name="_Toc7508"/>
      <w:bookmarkStart w:id="641" w:name="_Toc31766"/>
      <w:bookmarkStart w:id="642" w:name="_Toc8300"/>
      <w:bookmarkStart w:id="643" w:name="_Toc8121"/>
      <w:bookmarkStart w:id="644" w:name="_Toc21843"/>
      <w:r>
        <w:rPr>
          <w:rFonts w:hint="eastAsia" w:ascii="宋体" w:hAnsi="宋体" w:eastAsia="宋体" w:cs="宋体"/>
          <w:b/>
          <w:color w:val="auto"/>
          <w:kern w:val="0"/>
          <w:sz w:val="30"/>
          <w:szCs w:val="30"/>
          <w:highlight w:val="none"/>
          <w:lang w:val="en-US" w:eastAsia="zh-CN"/>
        </w:rPr>
        <w:t xml:space="preserve">5.5 </w:t>
      </w:r>
      <w:r>
        <w:rPr>
          <w:rFonts w:hint="eastAsia" w:ascii="宋体" w:hAnsi="宋体" w:eastAsia="宋体" w:cs="宋体"/>
          <w:b/>
          <w:color w:val="auto"/>
          <w:kern w:val="0"/>
          <w:sz w:val="30"/>
          <w:szCs w:val="30"/>
          <w:highlight w:val="none"/>
        </w:rPr>
        <w:t>最近3年投标人牵涉的其他（失信和违法）处罚说明格式</w:t>
      </w:r>
      <w:bookmarkEnd w:id="635"/>
      <w:bookmarkEnd w:id="636"/>
      <w:bookmarkEnd w:id="637"/>
      <w:bookmarkEnd w:id="638"/>
      <w:bookmarkEnd w:id="639"/>
      <w:bookmarkEnd w:id="640"/>
      <w:bookmarkEnd w:id="641"/>
      <w:bookmarkEnd w:id="642"/>
      <w:bookmarkEnd w:id="643"/>
      <w:bookmarkEnd w:id="644"/>
    </w:p>
    <w:p>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4253"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事项名称</w:t>
            </w:r>
          </w:p>
        </w:tc>
        <w:tc>
          <w:tcPr>
            <w:tcW w:w="1417"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r>
    </w:tbl>
    <w:p>
      <w:pPr>
        <w:autoSpaceDE w:val="0"/>
        <w:autoSpaceDN w:val="0"/>
        <w:adjustRightInd w:val="0"/>
        <w:spacing w:line="360" w:lineRule="auto"/>
        <w:jc w:val="left"/>
        <w:rPr>
          <w:rFonts w:hint="eastAsia" w:ascii="宋体" w:hAnsi="宋体" w:eastAsia="宋体" w:cs="宋体"/>
          <w:color w:val="auto"/>
          <w:kern w:val="0"/>
          <w:szCs w:val="21"/>
          <w:highlight w:val="none"/>
        </w:rPr>
      </w:pPr>
    </w:p>
    <w:p>
      <w:pPr>
        <w:autoSpaceDE w:val="0"/>
        <w:autoSpaceDN w:val="0"/>
        <w:adjustRightInd w:val="0"/>
        <w:spacing w:line="360" w:lineRule="auto"/>
        <w:jc w:val="left"/>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pPr>
        <w:autoSpaceDE w:val="0"/>
        <w:autoSpaceDN w:val="0"/>
        <w:adjustRightInd w:val="0"/>
        <w:ind w:right="-23" w:rightChars="-11"/>
        <w:jc w:val="left"/>
        <w:rPr>
          <w:rFonts w:hint="eastAsia" w:ascii="宋体" w:hAnsi="宋体" w:eastAsia="宋体" w:cs="宋体"/>
          <w:b/>
          <w:bCs/>
          <w:color w:val="auto"/>
          <w:kern w:val="0"/>
          <w:szCs w:val="21"/>
          <w:highlight w:val="none"/>
          <w:lang w:val="zh-CN"/>
        </w:rPr>
      </w:pPr>
    </w:p>
    <w:p>
      <w:pPr>
        <w:autoSpaceDE w:val="0"/>
        <w:autoSpaceDN w:val="0"/>
        <w:adjustRightInd w:val="0"/>
        <w:spacing w:line="360" w:lineRule="auto"/>
        <w:jc w:val="center"/>
        <w:rPr>
          <w:rFonts w:hint="eastAsia" w:ascii="宋体" w:hAnsi="宋体" w:eastAsia="宋体" w:cs="宋体"/>
          <w:color w:val="auto"/>
          <w:kern w:val="0"/>
          <w:sz w:val="24"/>
          <w:szCs w:val="24"/>
          <w:highlight w:val="none"/>
        </w:rPr>
      </w:pPr>
    </w:p>
    <w:p>
      <w:pPr>
        <w:spacing w:line="360" w:lineRule="auto"/>
        <w:ind w:firstLine="494" w:firstLineChars="206"/>
        <w:rPr>
          <w:rFonts w:hint="eastAsia" w:ascii="宋体" w:hAnsi="宋体" w:eastAsia="宋体" w:cs="宋体"/>
          <w:color w:val="auto"/>
          <w:kern w:val="0"/>
          <w:sz w:val="24"/>
          <w:szCs w:val="24"/>
          <w:highlight w:val="none"/>
        </w:rPr>
      </w:pPr>
    </w:p>
    <w:p>
      <w:pPr>
        <w:spacing w:line="360" w:lineRule="auto"/>
        <w:ind w:firstLine="494" w:firstLineChars="206"/>
        <w:rPr>
          <w:rFonts w:hint="eastAsia" w:ascii="宋体" w:hAnsi="宋体" w:eastAsia="宋体" w:cs="宋体"/>
          <w:color w:val="auto"/>
          <w:kern w:val="0"/>
          <w:sz w:val="24"/>
          <w:szCs w:val="24"/>
          <w:highlight w:val="none"/>
        </w:rPr>
      </w:pPr>
    </w:p>
    <w:p>
      <w:pPr>
        <w:spacing w:line="360" w:lineRule="auto"/>
        <w:ind w:firstLine="494" w:firstLineChars="206"/>
        <w:rPr>
          <w:rFonts w:hint="eastAsia" w:ascii="宋体" w:hAnsi="宋体" w:eastAsia="宋体" w:cs="宋体"/>
          <w:color w:val="auto"/>
          <w:kern w:val="0"/>
          <w:sz w:val="24"/>
          <w:szCs w:val="24"/>
          <w:highlight w:val="none"/>
        </w:rPr>
      </w:pPr>
    </w:p>
    <w:p>
      <w:pPr>
        <w:spacing w:line="360" w:lineRule="auto"/>
        <w:ind w:right="368" w:rightChars="175" w:firstLine="5460" w:firstLineChars="26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right="781" w:rightChars="372" w:firstLine="2811" w:firstLineChars="133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日  期：   年  月  日</w:t>
      </w:r>
    </w:p>
    <w:p>
      <w:pPr>
        <w:rPr>
          <w:rFonts w:hint="eastAsia" w:ascii="宋体" w:hAnsi="宋体" w:eastAsia="宋体" w:cs="宋体"/>
          <w:color w:val="auto"/>
          <w:szCs w:val="24"/>
          <w:highlight w:val="none"/>
          <w:lang w:val="zh-CN"/>
        </w:rPr>
      </w:pPr>
      <w:bookmarkStart w:id="645" w:name="_Toc1977731"/>
      <w:bookmarkStart w:id="646" w:name="_Toc533708126"/>
      <w:bookmarkStart w:id="647" w:name="_Toc486167714"/>
      <w:bookmarkStart w:id="648" w:name="_Toc94107215"/>
      <w:bookmarkStart w:id="649" w:name="_Toc102860079"/>
      <w:bookmarkStart w:id="650" w:name="_Toc2031_WPSOffice_Level2"/>
      <w:bookmarkStart w:id="651" w:name="_Toc142508374"/>
      <w:bookmarkStart w:id="652" w:name="_Toc140596934"/>
      <w:bookmarkStart w:id="653" w:name="_Toc102860423"/>
      <w:bookmarkStart w:id="654" w:name="_Toc30939"/>
      <w:bookmarkStart w:id="655" w:name="_Toc6412"/>
      <w:bookmarkStart w:id="656" w:name="_Toc104991881"/>
      <w:r>
        <w:rPr>
          <w:rFonts w:hint="eastAsia" w:ascii="宋体" w:hAnsi="宋体" w:eastAsia="宋体" w:cs="宋体"/>
          <w:color w:val="auto"/>
          <w:szCs w:val="24"/>
          <w:highlight w:val="none"/>
          <w:lang w:val="zh-CN"/>
        </w:rPr>
        <w:br w:type="page"/>
      </w:r>
    </w:p>
    <w:p>
      <w:pPr>
        <w:tabs>
          <w:tab w:val="left" w:pos="567"/>
        </w:tabs>
        <w:autoSpaceDE w:val="0"/>
        <w:autoSpaceDN w:val="0"/>
        <w:adjustRightInd w:val="0"/>
        <w:spacing w:line="360" w:lineRule="auto"/>
        <w:jc w:val="left"/>
        <w:outlineLvl w:val="2"/>
        <w:rPr>
          <w:rFonts w:hint="eastAsia" w:ascii="宋体" w:hAnsi="宋体" w:eastAsia="宋体" w:cs="宋体"/>
          <w:color w:val="auto"/>
          <w:kern w:val="0"/>
          <w:szCs w:val="21"/>
          <w:highlight w:val="none"/>
          <w:u w:val="single"/>
        </w:rPr>
      </w:pPr>
      <w:bookmarkStart w:id="657" w:name="_Toc5064"/>
      <w:bookmarkStart w:id="658" w:name="_Toc17508"/>
      <w:bookmarkStart w:id="659" w:name="_Toc19120"/>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pPr>
        <w:autoSpaceDE w:val="0"/>
        <w:autoSpaceDN w:val="0"/>
        <w:adjustRightInd w:val="0"/>
        <w:spacing w:line="360" w:lineRule="auto"/>
        <w:jc w:val="center"/>
        <w:rPr>
          <w:rFonts w:hint="eastAsia" w:ascii="宋体" w:hAnsi="宋体" w:eastAsia="宋体" w:cs="宋体"/>
          <w:b/>
          <w:bCs/>
          <w:color w:val="auto"/>
          <w:sz w:val="30"/>
          <w:szCs w:val="30"/>
          <w:highlight w:val="none"/>
        </w:rPr>
      </w:pPr>
      <w:bookmarkStart w:id="660" w:name="_Toc2773_WPSOffice_Level3"/>
      <w:r>
        <w:rPr>
          <w:rFonts w:hint="eastAsia" w:ascii="宋体" w:hAnsi="宋体" w:eastAsia="宋体" w:cs="宋体"/>
          <w:b/>
          <w:bCs/>
          <w:color w:val="auto"/>
          <w:sz w:val="30"/>
          <w:szCs w:val="30"/>
          <w:highlight w:val="none"/>
          <w:lang w:val="zh-CN"/>
        </w:rPr>
        <w:t>投标人基本情况一览表</w:t>
      </w:r>
      <w:bookmarkEnd w:id="660"/>
    </w:p>
    <w:p>
      <w:pPr>
        <w:autoSpaceDE w:val="0"/>
        <w:autoSpaceDN w:val="0"/>
        <w:adjustRightIn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pPr>
        <w:autoSpaceDE w:val="0"/>
        <w:autoSpaceDN w:val="0"/>
        <w:adjustRightInd w:val="0"/>
        <w:spacing w:line="360" w:lineRule="auto"/>
        <w:ind w:firstLine="66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pPr>
        <w:autoSpaceDE w:val="0"/>
        <w:autoSpaceDN w:val="0"/>
        <w:adjustRightInd w:val="0"/>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pPr>
        <w:autoSpaceDE w:val="0"/>
        <w:autoSpaceDN w:val="0"/>
        <w:adjustRightInd w:val="0"/>
        <w:spacing w:line="360" w:lineRule="auto"/>
        <w:ind w:firstLine="630" w:firstLineChars="3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pPr>
        <w:autoSpaceDE w:val="0"/>
        <w:autoSpaceDN w:val="0"/>
        <w:adjustRightInd w:val="0"/>
        <w:spacing w:line="360" w:lineRule="auto"/>
        <w:ind w:firstLine="1155" w:firstLineChars="55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pPr>
        <w:autoSpaceDE w:val="0"/>
        <w:autoSpaceDN w:val="0"/>
        <w:adjustRightInd w:val="0"/>
        <w:spacing w:line="360" w:lineRule="auto"/>
        <w:ind w:firstLine="630" w:firstLineChars="3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pPr>
        <w:autoSpaceDE w:val="0"/>
        <w:autoSpaceDN w:val="0"/>
        <w:adjustRightInd w:val="0"/>
        <w:spacing w:line="360" w:lineRule="auto"/>
        <w:ind w:firstLine="1155" w:firstLineChars="55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pPr>
        <w:autoSpaceDE w:val="0"/>
        <w:autoSpaceDN w:val="0"/>
        <w:adjustRightInd w:val="0"/>
        <w:spacing w:line="360" w:lineRule="auto"/>
        <w:ind w:left="836" w:leftChars="137" w:hanging="548" w:hangingChars="261"/>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pPr>
        <w:autoSpaceDE w:val="0"/>
        <w:autoSpaceDN w:val="0"/>
        <w:adjustRightInd w:val="0"/>
        <w:spacing w:line="360" w:lineRule="auto"/>
        <w:ind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pPr>
        <w:autoSpaceDE w:val="0"/>
        <w:autoSpaceDN w:val="0"/>
        <w:adjustRightInd w:val="0"/>
        <w:spacing w:line="360" w:lineRule="auto"/>
        <w:ind w:firstLine="420" w:firstLineChars="200"/>
        <w:rPr>
          <w:rFonts w:hint="eastAsia" w:ascii="宋体" w:hAnsi="宋体" w:eastAsia="宋体" w:cs="宋体"/>
          <w:color w:val="auto"/>
          <w:szCs w:val="24"/>
          <w:highlight w:val="none"/>
        </w:rPr>
      </w:pPr>
    </w:p>
    <w:p>
      <w:pPr>
        <w:autoSpaceDE w:val="0"/>
        <w:autoSpaceDN w:val="0"/>
        <w:adjustRightInd w:val="0"/>
        <w:spacing w:line="360" w:lineRule="auto"/>
        <w:ind w:right="368" w:rightChars="175"/>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right="368" w:rightChars="175" w:firstLine="6237"/>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661" w:name="_Toc4023"/>
      <w:bookmarkStart w:id="662" w:name="_Toc140596935"/>
      <w:bookmarkStart w:id="663" w:name="_Toc102860080"/>
      <w:bookmarkStart w:id="664" w:name="_Toc102860424"/>
      <w:bookmarkStart w:id="665" w:name="_Toc142508375"/>
      <w:bookmarkStart w:id="666" w:name="_Toc29014"/>
      <w:bookmarkStart w:id="667" w:name="_Toc24115"/>
      <w:bookmarkStart w:id="668" w:name="_Toc10443"/>
      <w:bookmarkStart w:id="669" w:name="_Toc28255"/>
      <w:bookmarkStart w:id="670" w:name="_Toc104991882"/>
      <w:bookmarkStart w:id="671" w:name="_Toc94107216"/>
      <w:bookmarkStart w:id="672" w:name="_Toc1977733"/>
      <w:bookmarkStart w:id="673" w:name="_Toc533708128"/>
      <w:bookmarkStart w:id="674" w:name="_Toc486167715"/>
      <w:bookmarkStart w:id="675" w:name="_Toc9051_WPSOffice_Level2"/>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661"/>
      <w:bookmarkEnd w:id="662"/>
      <w:bookmarkEnd w:id="663"/>
      <w:bookmarkEnd w:id="664"/>
      <w:bookmarkEnd w:id="665"/>
      <w:bookmarkEnd w:id="666"/>
      <w:bookmarkEnd w:id="667"/>
      <w:bookmarkEnd w:id="668"/>
      <w:bookmarkEnd w:id="669"/>
      <w:bookmarkEnd w:id="670"/>
      <w:bookmarkEnd w:id="671"/>
    </w:p>
    <w:p>
      <w:pPr>
        <w:autoSpaceDE w:val="0"/>
        <w:autoSpaceDN w:val="0"/>
        <w:adjustRightInd w:val="0"/>
        <w:spacing w:line="360" w:lineRule="auto"/>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pPr>
        <w:autoSpaceDE w:val="0"/>
        <w:autoSpaceDN w:val="0"/>
        <w:adjustRightInd w:val="0"/>
        <w:spacing w:line="360" w:lineRule="auto"/>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6" w:hRule="atLeast"/>
          <w:jc w:val="center"/>
        </w:trPr>
        <w:tc>
          <w:tcPr>
            <w:tcW w:w="1166"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2020</w:t>
            </w:r>
          </w:p>
        </w:tc>
        <w:tc>
          <w:tcPr>
            <w:tcW w:w="1944"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713"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2021</w:t>
            </w:r>
          </w:p>
        </w:tc>
        <w:tc>
          <w:tcPr>
            <w:tcW w:w="1944"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713" w:type="dxa"/>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713" w:type="dxa"/>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hint="eastAsia" w:ascii="宋体" w:hAnsi="宋体" w:eastAsia="宋体" w:cs="宋体"/>
                <w:color w:val="auto"/>
                <w:kern w:val="0"/>
                <w:szCs w:val="21"/>
                <w:highlight w:val="none"/>
              </w:rPr>
            </w:pPr>
          </w:p>
        </w:tc>
      </w:tr>
    </w:tbl>
    <w:p>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pPr>
        <w:autoSpaceDE w:val="0"/>
        <w:autoSpaceDN w:val="0"/>
        <w:adjustRightInd w:val="0"/>
        <w:spacing w:line="360" w:lineRule="auto"/>
        <w:ind w:firstLine="5409" w:firstLineChars="2576"/>
        <w:rPr>
          <w:rFonts w:hint="eastAsia" w:ascii="宋体" w:hAnsi="宋体" w:eastAsia="宋体" w:cs="宋体"/>
          <w:color w:val="auto"/>
          <w:szCs w:val="24"/>
          <w:highlight w:val="none"/>
          <w:lang w:val="zh-CN"/>
        </w:rPr>
      </w:pPr>
    </w:p>
    <w:p>
      <w:pPr>
        <w:autoSpaceDE w:val="0"/>
        <w:autoSpaceDN w:val="0"/>
        <w:adjustRightInd w:val="0"/>
        <w:spacing w:line="360" w:lineRule="auto"/>
        <w:ind w:firstLine="5409" w:firstLineChars="2576"/>
        <w:rPr>
          <w:rFonts w:hint="eastAsia" w:ascii="宋体" w:hAnsi="宋体" w:eastAsia="宋体" w:cs="宋体"/>
          <w:color w:val="auto"/>
          <w:szCs w:val="24"/>
          <w:highlight w:val="none"/>
          <w:lang w:val="zh-CN"/>
        </w:rPr>
      </w:pPr>
    </w:p>
    <w:p>
      <w:pPr>
        <w:autoSpaceDE w:val="0"/>
        <w:autoSpaceDN w:val="0"/>
        <w:adjustRightInd w:val="0"/>
        <w:spacing w:line="360" w:lineRule="auto"/>
        <w:ind w:firstLine="5409" w:firstLineChars="2576"/>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pPr>
        <w:autoSpaceDE w:val="0"/>
        <w:autoSpaceDN w:val="0"/>
        <w:adjustRightInd w:val="0"/>
        <w:spacing w:line="360" w:lineRule="auto"/>
        <w:ind w:firstLine="6249" w:firstLineChars="2976"/>
        <w:rPr>
          <w:rFonts w:hint="eastAsia" w:ascii="宋体" w:hAnsi="宋体" w:eastAsia="宋体" w:cs="宋体"/>
          <w:b/>
          <w:bCs/>
          <w:color w:val="auto"/>
          <w:kern w:val="0"/>
          <w:szCs w:val="21"/>
          <w:highlight w:val="none"/>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none"/>
        </w:rPr>
        <w:t>日</w:t>
      </w:r>
    </w:p>
    <w:bookmarkEnd w:id="672"/>
    <w:bookmarkEnd w:id="673"/>
    <w:bookmarkEnd w:id="674"/>
    <w:bookmarkEnd w:id="675"/>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lang w:val="zh-CN"/>
        </w:rPr>
      </w:pPr>
      <w:bookmarkStart w:id="676" w:name="_Toc94107217"/>
      <w:bookmarkStart w:id="677" w:name="_Toc142508376"/>
      <w:bookmarkStart w:id="678" w:name="_Toc102860425"/>
      <w:bookmarkStart w:id="679" w:name="_Toc533708130"/>
      <w:bookmarkStart w:id="680" w:name="_Toc102860081"/>
      <w:bookmarkStart w:id="681" w:name="_Toc17995"/>
      <w:bookmarkStart w:id="682" w:name="_Toc486167716"/>
      <w:bookmarkStart w:id="683" w:name="_Toc26821"/>
      <w:bookmarkStart w:id="684" w:name="_Toc3596"/>
      <w:bookmarkStart w:id="685" w:name="_Toc20695"/>
      <w:bookmarkStart w:id="686" w:name="_Toc104991883"/>
      <w:bookmarkStart w:id="687" w:name="_Toc1977736"/>
      <w:bookmarkStart w:id="688" w:name="_Toc739_WPSOffice_Level2"/>
      <w:bookmarkStart w:id="689" w:name="_Toc333"/>
      <w:bookmarkStart w:id="690" w:name="_Toc140596936"/>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、标准化体系认证</w:t>
      </w:r>
    </w:p>
    <w:p>
      <w:pPr>
        <w:autoSpaceDE/>
        <w:autoSpaceDN/>
        <w:adjustRightInd/>
        <w:spacing w:line="360" w:lineRule="auto"/>
        <w:ind w:firstLine="420" w:firstLineChars="200"/>
        <w:jc w:val="left"/>
        <w:outlineLvl w:val="9"/>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val="0"/>
          <w:color w:val="auto"/>
          <w:kern w:val="2"/>
          <w:sz w:val="21"/>
          <w:szCs w:val="21"/>
          <w:highlight w:val="none"/>
          <w:lang w:val="en-US" w:eastAsia="zh-CN"/>
        </w:rPr>
        <w:t>备注：投标人应提供上述证书复印件及能显示证书有效状态的全国认证认可信息公共服务平台（http://cx.cnca.cn/）查询结果凭证{凭证界面需显示有“全国认证认可信息公共服务平台”或“认证证书（需显示网址cx.cnca.cn）”}。</w:t>
      </w:r>
      <w:r>
        <w:rPr>
          <w:rFonts w:hint="eastAsia" w:ascii="宋体" w:hAnsi="宋体" w:eastAsia="宋体" w:cs="宋体"/>
          <w:b/>
          <w:color w:val="auto"/>
          <w:kern w:val="0"/>
          <w:sz w:val="32"/>
          <w:szCs w:val="32"/>
          <w:highlight w:val="none"/>
          <w:lang w:val="en-US" w:eastAsia="zh-CN"/>
        </w:rPr>
        <w:br w:type="page"/>
      </w: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lang w:val="zh-CN"/>
        </w:rPr>
        <w:t>、合同条款偏离表格式</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pPr>
        <w:autoSpaceDE w:val="0"/>
        <w:autoSpaceDN w:val="0"/>
        <w:adjustRightInd w:val="0"/>
        <w:spacing w:line="360" w:lineRule="auto"/>
        <w:jc w:val="center"/>
        <w:rPr>
          <w:rFonts w:hint="eastAsia" w:ascii="宋体" w:hAnsi="宋体" w:eastAsia="宋体" w:cs="宋体"/>
          <w:b/>
          <w:bCs/>
          <w:color w:val="auto"/>
          <w:kern w:val="0"/>
          <w:sz w:val="28"/>
          <w:szCs w:val="30"/>
          <w:highlight w:val="none"/>
          <w:lang w:val="zh-CN"/>
        </w:rPr>
      </w:pPr>
      <w:bookmarkStart w:id="691" w:name="_Toc26412_WPSOffice_Level3"/>
      <w:r>
        <w:rPr>
          <w:rFonts w:hint="eastAsia" w:ascii="宋体" w:hAnsi="宋体" w:eastAsia="宋体" w:cs="宋体"/>
          <w:b/>
          <w:bCs/>
          <w:color w:val="auto"/>
          <w:kern w:val="0"/>
          <w:sz w:val="28"/>
          <w:szCs w:val="30"/>
          <w:highlight w:val="none"/>
          <w:lang w:val="zh-CN"/>
        </w:rPr>
        <w:t>东莞市利源有机资源再生利用有限公司2024-2025年餐厨垃圾收运服务采购项目（重新招标）</w:t>
      </w:r>
    </w:p>
    <w:p>
      <w:pPr>
        <w:autoSpaceDE w:val="0"/>
        <w:autoSpaceDN w:val="0"/>
        <w:adjustRightInd w:val="0"/>
        <w:spacing w:line="360" w:lineRule="auto"/>
        <w:jc w:val="center"/>
        <w:rPr>
          <w:rFonts w:hint="eastAsia" w:ascii="宋体" w:hAnsi="宋体" w:eastAsia="宋体" w:cs="宋体"/>
          <w:b/>
          <w:bCs/>
          <w:color w:val="auto"/>
          <w:kern w:val="0"/>
          <w:sz w:val="28"/>
          <w:szCs w:val="30"/>
          <w:highlight w:val="none"/>
          <w:lang w:val="zh-CN"/>
        </w:rPr>
      </w:pPr>
      <w:r>
        <w:rPr>
          <w:rFonts w:hint="eastAsia" w:ascii="宋体" w:hAnsi="宋体" w:eastAsia="宋体" w:cs="宋体"/>
          <w:b/>
          <w:bCs/>
          <w:color w:val="auto"/>
          <w:kern w:val="0"/>
          <w:sz w:val="28"/>
          <w:szCs w:val="30"/>
          <w:highlight w:val="none"/>
          <w:lang w:val="zh-CN"/>
        </w:rPr>
        <w:t>合同条款偏离表</w:t>
      </w:r>
      <w:bookmarkEnd w:id="691"/>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1425"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w:t>
            </w:r>
          </w:p>
        </w:tc>
        <w:tc>
          <w:tcPr>
            <w:tcW w:w="305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条</w:t>
            </w:r>
          </w:p>
        </w:tc>
        <w:tc>
          <w:tcPr>
            <w:tcW w:w="305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服务地点及期限</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条</w:t>
            </w:r>
          </w:p>
        </w:tc>
        <w:tc>
          <w:tcPr>
            <w:tcW w:w="305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合同价款及支付方式</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条</w:t>
            </w:r>
          </w:p>
        </w:tc>
        <w:tc>
          <w:tcPr>
            <w:tcW w:w="305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eastAsia="zh-CN"/>
              </w:rPr>
              <w:t>要求</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rPr>
              <w:t>条</w:t>
            </w:r>
          </w:p>
        </w:tc>
        <w:tc>
          <w:tcPr>
            <w:tcW w:w="305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甲方权利与义务</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条</w:t>
            </w:r>
          </w:p>
        </w:tc>
        <w:tc>
          <w:tcPr>
            <w:tcW w:w="305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乙方权利与义务</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eastAsia="zh-CN"/>
              </w:rPr>
              <w:t>七</w:t>
            </w:r>
            <w:r>
              <w:rPr>
                <w:rFonts w:hint="eastAsia" w:ascii="宋体" w:hAnsi="宋体" w:eastAsia="宋体" w:cs="宋体"/>
                <w:color w:val="auto"/>
                <w:sz w:val="21"/>
                <w:szCs w:val="21"/>
                <w:highlight w:val="none"/>
              </w:rPr>
              <w:t>条</w:t>
            </w:r>
          </w:p>
        </w:tc>
        <w:tc>
          <w:tcPr>
            <w:tcW w:w="305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eastAsia="zh-CN"/>
              </w:rPr>
              <w:t>八</w:t>
            </w:r>
            <w:r>
              <w:rPr>
                <w:rFonts w:hint="eastAsia" w:ascii="宋体" w:hAnsi="宋体" w:eastAsia="宋体" w:cs="宋体"/>
                <w:color w:val="auto"/>
                <w:sz w:val="21"/>
                <w:szCs w:val="21"/>
                <w:highlight w:val="none"/>
              </w:rPr>
              <w:t>条</w:t>
            </w:r>
          </w:p>
        </w:tc>
        <w:tc>
          <w:tcPr>
            <w:tcW w:w="305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权利保证</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eastAsia="zh-CN"/>
              </w:rPr>
              <w:t>九</w:t>
            </w:r>
            <w:r>
              <w:rPr>
                <w:rFonts w:hint="eastAsia" w:ascii="宋体" w:hAnsi="宋体" w:eastAsia="宋体" w:cs="宋体"/>
                <w:color w:val="auto"/>
                <w:sz w:val="21"/>
                <w:szCs w:val="21"/>
                <w:highlight w:val="none"/>
              </w:rPr>
              <w:t>条</w:t>
            </w:r>
          </w:p>
        </w:tc>
        <w:tc>
          <w:tcPr>
            <w:tcW w:w="305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违约责任</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eastAsia="zh-CN"/>
              </w:rPr>
              <w:t>十</w:t>
            </w:r>
            <w:r>
              <w:rPr>
                <w:rFonts w:hint="eastAsia" w:ascii="宋体" w:hAnsi="宋体" w:eastAsia="宋体" w:cs="宋体"/>
                <w:color w:val="auto"/>
                <w:sz w:val="21"/>
                <w:szCs w:val="21"/>
                <w:highlight w:val="none"/>
              </w:rPr>
              <w:t>条</w:t>
            </w:r>
          </w:p>
        </w:tc>
        <w:tc>
          <w:tcPr>
            <w:tcW w:w="305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不可抗力</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eastAsia="zh-CN"/>
              </w:rPr>
              <w:t>十一</w:t>
            </w:r>
            <w:r>
              <w:rPr>
                <w:rFonts w:hint="eastAsia" w:ascii="宋体" w:hAnsi="宋体" w:eastAsia="宋体" w:cs="宋体"/>
                <w:color w:val="auto"/>
                <w:sz w:val="21"/>
                <w:szCs w:val="21"/>
                <w:highlight w:val="none"/>
              </w:rPr>
              <w:t>条</w:t>
            </w:r>
          </w:p>
        </w:tc>
        <w:tc>
          <w:tcPr>
            <w:tcW w:w="305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争议解决</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eastAsia="zh-CN"/>
              </w:rPr>
              <w:t>十二</w:t>
            </w:r>
            <w:r>
              <w:rPr>
                <w:rFonts w:hint="eastAsia" w:ascii="宋体" w:hAnsi="宋体" w:eastAsia="宋体" w:cs="宋体"/>
                <w:color w:val="auto"/>
                <w:sz w:val="21"/>
                <w:szCs w:val="21"/>
                <w:highlight w:val="none"/>
              </w:rPr>
              <w:t>条</w:t>
            </w:r>
          </w:p>
        </w:tc>
        <w:tc>
          <w:tcPr>
            <w:tcW w:w="305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合同生效及份数</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13</w:t>
            </w:r>
          </w:p>
        </w:tc>
        <w:tc>
          <w:tcPr>
            <w:tcW w:w="142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1</w:t>
            </w:r>
          </w:p>
        </w:tc>
        <w:tc>
          <w:tcPr>
            <w:tcW w:w="305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廉洁协议书</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14</w:t>
            </w:r>
          </w:p>
        </w:tc>
        <w:tc>
          <w:tcPr>
            <w:tcW w:w="1425" w:type="dxa"/>
            <w:vAlign w:val="center"/>
          </w:tcPr>
          <w:p>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3</w:t>
            </w:r>
          </w:p>
        </w:tc>
        <w:tc>
          <w:tcPr>
            <w:tcW w:w="3055" w:type="dxa"/>
            <w:vAlign w:val="center"/>
          </w:tcPr>
          <w:p>
            <w:pPr>
              <w:snapToGrid w:val="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sz w:val="21"/>
                <w:szCs w:val="21"/>
                <w:highlight w:val="none"/>
              </w:rPr>
              <w:t>安全管理协议</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15</w:t>
            </w:r>
          </w:p>
        </w:tc>
        <w:tc>
          <w:tcPr>
            <w:tcW w:w="1425" w:type="dxa"/>
            <w:vAlign w:val="center"/>
          </w:tcPr>
          <w:p>
            <w:pPr>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4</w:t>
            </w:r>
          </w:p>
        </w:tc>
        <w:tc>
          <w:tcPr>
            <w:tcW w:w="305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餐厨垃圾收运服务月度考核表</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16</w:t>
            </w:r>
          </w:p>
        </w:tc>
        <w:tc>
          <w:tcPr>
            <w:tcW w:w="1425" w:type="dxa"/>
            <w:vAlign w:val="center"/>
          </w:tcPr>
          <w:p>
            <w:pPr>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5</w:t>
            </w:r>
          </w:p>
        </w:tc>
        <w:tc>
          <w:tcPr>
            <w:tcW w:w="305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上岗责任承诺书</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pPr>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6</w:t>
            </w:r>
          </w:p>
        </w:tc>
        <w:tc>
          <w:tcPr>
            <w:tcW w:w="305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试车考核项目</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pPr>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7</w:t>
            </w:r>
          </w:p>
        </w:tc>
        <w:tc>
          <w:tcPr>
            <w:tcW w:w="305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餐厨垃圾收运服务人员体检要求</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pPr>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8</w:t>
            </w:r>
          </w:p>
        </w:tc>
        <w:tc>
          <w:tcPr>
            <w:tcW w:w="305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餐厨垃圾收运服务人员职业健康体检要求</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25" w:type="dxa"/>
            <w:vAlign w:val="center"/>
          </w:tcPr>
          <w:p>
            <w:pPr>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一</w:t>
            </w:r>
          </w:p>
        </w:tc>
        <w:tc>
          <w:tcPr>
            <w:tcW w:w="305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不可撤销银行履约保函</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425" w:type="dxa"/>
            <w:vAlign w:val="center"/>
          </w:tcPr>
          <w:p>
            <w:pPr>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二</w:t>
            </w:r>
          </w:p>
        </w:tc>
        <w:tc>
          <w:tcPr>
            <w:tcW w:w="3055" w:type="dxa"/>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履约保证保险凭证</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1425" w:type="dxa"/>
            <w:vAlign w:val="center"/>
          </w:tcPr>
          <w:p>
            <w:pPr>
              <w:autoSpaceDE w:val="0"/>
              <w:autoSpaceDN w:val="0"/>
              <w:adjustRightInd w:val="0"/>
              <w:spacing w:line="400" w:lineRule="exact"/>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Cs w:val="21"/>
                <w:highlight w:val="none"/>
                <w:lang w:val="en-US" w:eastAsia="zh-CN"/>
              </w:rPr>
              <w:t>三</w:t>
            </w:r>
          </w:p>
        </w:tc>
        <w:tc>
          <w:tcPr>
            <w:tcW w:w="3055" w:type="dxa"/>
            <w:vAlign w:val="center"/>
          </w:tcPr>
          <w:p>
            <w:pPr>
              <w:autoSpaceDE w:val="0"/>
              <w:autoSpaceDN w:val="0"/>
              <w:adjustRightIn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担保公司履约担保书</w:t>
            </w:r>
          </w:p>
        </w:tc>
        <w:tc>
          <w:tcPr>
            <w:tcW w:w="1346"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p>
        </w:tc>
      </w:tr>
    </w:tbl>
    <w:p>
      <w:pPr>
        <w:autoSpaceDE w:val="0"/>
        <w:autoSpaceDN w:val="0"/>
        <w:adjustRightInd w:val="0"/>
        <w:snapToGrid w:val="0"/>
        <w:spacing w:line="360" w:lineRule="auto"/>
        <w:ind w:left="186" w:leftChars="-158" w:hanging="518" w:hangingChars="247"/>
        <w:jc w:val="left"/>
        <w:rPr>
          <w:rFonts w:hint="eastAsia" w:ascii="宋体" w:hAnsi="宋体" w:eastAsia="宋体" w:cs="宋体"/>
          <w:color w:val="auto"/>
          <w:szCs w:val="24"/>
          <w:highlight w:val="none"/>
          <w:lang w:val="zh-CN"/>
        </w:rPr>
      </w:pPr>
    </w:p>
    <w:p>
      <w:pPr>
        <w:autoSpaceDE w:val="0"/>
        <w:autoSpaceDN w:val="0"/>
        <w:adjustRightInd w:val="0"/>
        <w:snapToGrid w:val="0"/>
        <w:spacing w:line="360" w:lineRule="auto"/>
        <w:ind w:left="166" w:leftChars="-101" w:hanging="378" w:hangingChars="18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pPr>
        <w:spacing w:line="360" w:lineRule="auto"/>
        <w:ind w:left="607" w:leftChars="18" w:hanging="569" w:hangingChars="27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w:t>
      </w:r>
      <w:r>
        <w:rPr>
          <w:rFonts w:hint="eastAsia" w:ascii="宋体" w:hAnsi="宋体" w:eastAsia="宋体" w:cs="宋体"/>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auto"/>
          <w:kern w:val="0"/>
          <w:szCs w:val="21"/>
          <w:highlight w:val="none"/>
        </w:rPr>
        <w:t>。</w:t>
      </w:r>
    </w:p>
    <w:p>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（3）招标文件“第五篇 相关保函格式”作为重要的商务条款，投标人的响应情况列入本合同条款偏离表。</w:t>
      </w:r>
    </w:p>
    <w:p>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（4）如投标人差异内容较多可另附页说明，并在本偏离表“具体偏离内容”项注明其在投标文件中的具体页码。</w:t>
      </w:r>
    </w:p>
    <w:p>
      <w:pPr>
        <w:spacing w:line="360" w:lineRule="auto"/>
        <w:ind w:left="357" w:leftChars="-100" w:hanging="567" w:hangingChars="270"/>
        <w:rPr>
          <w:rFonts w:hint="eastAsia" w:ascii="宋体" w:hAnsi="宋体" w:eastAsia="宋体" w:cs="宋体"/>
          <w:color w:val="auto"/>
          <w:szCs w:val="21"/>
          <w:highlight w:val="none"/>
        </w:rPr>
      </w:pPr>
    </w:p>
    <w:p>
      <w:pPr>
        <w:spacing w:line="360" w:lineRule="auto"/>
        <w:ind w:left="357" w:leftChars="-100" w:hanging="567" w:hangingChars="270"/>
        <w:rPr>
          <w:rFonts w:hint="eastAsia" w:ascii="宋体" w:hAnsi="宋体" w:eastAsia="宋体" w:cs="宋体"/>
          <w:color w:val="auto"/>
          <w:szCs w:val="21"/>
          <w:highlight w:val="none"/>
        </w:rPr>
      </w:pPr>
    </w:p>
    <w:p>
      <w:pPr>
        <w:spacing w:line="360" w:lineRule="auto"/>
        <w:ind w:left="357" w:leftChars="-100" w:hanging="567" w:hangingChars="270"/>
        <w:rPr>
          <w:rFonts w:hint="eastAsia" w:ascii="宋体" w:hAnsi="宋体" w:eastAsia="宋体" w:cs="宋体"/>
          <w:color w:val="auto"/>
          <w:szCs w:val="21"/>
          <w:highlight w:val="none"/>
        </w:rPr>
      </w:pPr>
    </w:p>
    <w:p>
      <w:pPr>
        <w:spacing w:line="360" w:lineRule="auto"/>
        <w:ind w:right="368" w:rightChars="175" w:firstLine="5355" w:firstLineChars="255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firstLine="5355" w:firstLineChars="255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692" w:name="_Toc140596937"/>
      <w:bookmarkStart w:id="693" w:name="_Toc13179"/>
      <w:bookmarkStart w:id="694" w:name="_Toc9031"/>
      <w:bookmarkStart w:id="695" w:name="_Toc142508377"/>
      <w:bookmarkStart w:id="696" w:name="_Toc26656"/>
      <w:bookmarkStart w:id="697" w:name="_Toc102860082"/>
      <w:bookmarkStart w:id="698" w:name="_Toc5473"/>
      <w:bookmarkStart w:id="699" w:name="_Toc104991884"/>
      <w:bookmarkStart w:id="700" w:name="_Toc94107218"/>
      <w:bookmarkStart w:id="701" w:name="_Toc102860426"/>
      <w:bookmarkStart w:id="702" w:name="_Toc29505"/>
      <w:bookmarkStart w:id="703" w:name="_Toc486167717"/>
      <w:bookmarkStart w:id="704" w:name="_Toc27980_WPSOffice_Level2"/>
      <w:r>
        <w:rPr>
          <w:rFonts w:hint="eastAsia" w:ascii="宋体" w:hAnsi="宋体" w:eastAsia="宋体" w:cs="宋体"/>
          <w:b/>
          <w:color w:val="auto"/>
          <w:kern w:val="0"/>
          <w:sz w:val="32"/>
          <w:szCs w:val="32"/>
          <w:highlight w:val="none"/>
          <w:lang w:val="en-US" w:eastAsia="zh-CN"/>
        </w:rPr>
        <w:t>十</w:t>
      </w:r>
      <w:r>
        <w:rPr>
          <w:rFonts w:hint="eastAsia" w:ascii="宋体" w:hAnsi="宋体" w:eastAsia="宋体" w:cs="宋体"/>
          <w:b/>
          <w:color w:val="auto"/>
          <w:kern w:val="0"/>
          <w:sz w:val="32"/>
          <w:szCs w:val="32"/>
          <w:highlight w:val="none"/>
        </w:rPr>
        <w:t>、业绩表格式</w:t>
      </w:r>
      <w:bookmarkEnd w:id="692"/>
      <w:bookmarkEnd w:id="693"/>
      <w:bookmarkEnd w:id="694"/>
      <w:bookmarkEnd w:id="695"/>
      <w:bookmarkEnd w:id="696"/>
      <w:bookmarkEnd w:id="697"/>
      <w:bookmarkEnd w:id="698"/>
      <w:bookmarkEnd w:id="699"/>
      <w:bookmarkEnd w:id="700"/>
      <w:bookmarkEnd w:id="701"/>
      <w:bookmarkEnd w:id="702"/>
    </w:p>
    <w:p>
      <w:pPr>
        <w:autoSpaceDE w:val="0"/>
        <w:autoSpaceDN w:val="0"/>
        <w:adjustRightInd w:val="0"/>
        <w:spacing w:line="360" w:lineRule="auto"/>
        <w:ind w:firstLine="602"/>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投标人202</w:t>
      </w:r>
      <w:r>
        <w:rPr>
          <w:rFonts w:hint="eastAsia" w:ascii="宋体" w:hAnsi="宋体" w:eastAsia="宋体" w:cs="宋体"/>
          <w:b/>
          <w:bCs/>
          <w:color w:val="auto"/>
          <w:sz w:val="30"/>
          <w:szCs w:val="30"/>
          <w:highlight w:val="none"/>
          <w:lang w:val="en-US" w:eastAsia="zh-CN"/>
        </w:rPr>
        <w:t>1</w:t>
      </w:r>
      <w:r>
        <w:rPr>
          <w:rFonts w:hint="eastAsia" w:ascii="宋体" w:hAnsi="宋体" w:eastAsia="宋体" w:cs="宋体"/>
          <w:b/>
          <w:bCs/>
          <w:color w:val="auto"/>
          <w:sz w:val="30"/>
          <w:szCs w:val="30"/>
          <w:highlight w:val="none"/>
          <w:lang w:val="zh-CN"/>
        </w:rPr>
        <w:t>年1月1日（以合同签订时间为准）至今</w:t>
      </w:r>
      <w:r>
        <w:rPr>
          <w:rFonts w:hint="eastAsia" w:ascii="宋体" w:hAnsi="宋体" w:eastAsia="宋体"/>
          <w:b/>
          <w:bCs/>
          <w:color w:val="auto"/>
          <w:sz w:val="30"/>
          <w:szCs w:val="30"/>
          <w:highlight w:val="none"/>
          <w:lang w:val="en-US" w:eastAsia="zh-CN"/>
        </w:rPr>
        <w:t>承接</w:t>
      </w:r>
      <w:r>
        <w:rPr>
          <w:rFonts w:hint="eastAsia" w:ascii="宋体" w:hAnsi="宋体" w:eastAsia="宋体" w:cs="宋体"/>
          <w:b/>
          <w:bCs/>
          <w:color w:val="auto"/>
          <w:sz w:val="30"/>
          <w:szCs w:val="30"/>
          <w:highlight w:val="none"/>
          <w:lang w:val="zh-CN"/>
        </w:rPr>
        <w:t>的</w:t>
      </w:r>
      <w:r>
        <w:rPr>
          <w:rFonts w:hint="eastAsia" w:ascii="宋体" w:hAnsi="宋体" w:eastAsia="宋体" w:cs="宋体"/>
          <w:b/>
          <w:bCs/>
          <w:color w:val="auto"/>
          <w:sz w:val="32"/>
          <w:szCs w:val="32"/>
          <w:highlight w:val="none"/>
          <w:lang w:eastAsia="zh-CN"/>
        </w:rPr>
        <w:t>餐厨废弃物或生活垃圾收运服务</w:t>
      </w:r>
      <w:r>
        <w:rPr>
          <w:rFonts w:hint="eastAsia" w:ascii="宋体" w:hAnsi="宋体" w:eastAsia="宋体" w:cs="宋体"/>
          <w:b/>
          <w:bCs/>
          <w:color w:val="auto"/>
          <w:sz w:val="30"/>
          <w:szCs w:val="30"/>
          <w:highlight w:val="none"/>
          <w:lang w:val="zh-CN"/>
        </w:rPr>
        <w:t>业绩情况表</w:t>
      </w:r>
    </w:p>
    <w:tbl>
      <w:tblPr>
        <w:tblStyle w:val="38"/>
        <w:tblW w:w="44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792"/>
        <w:gridCol w:w="1151"/>
        <w:gridCol w:w="1155"/>
        <w:gridCol w:w="1467"/>
        <w:gridCol w:w="1035"/>
        <w:gridCol w:w="1347"/>
        <w:gridCol w:w="1155"/>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539" w:hRule="exact"/>
          <w:jc w:val="center"/>
        </w:trPr>
        <w:tc>
          <w:tcPr>
            <w:tcW w:w="437"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35"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37"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809"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571"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收运</w:t>
            </w:r>
            <w:r>
              <w:rPr>
                <w:rFonts w:hint="eastAsia" w:ascii="宋体" w:hAnsi="宋体" w:eastAsia="宋体" w:cs="宋体"/>
                <w:color w:val="auto"/>
                <w:sz w:val="21"/>
                <w:szCs w:val="21"/>
                <w:highlight w:val="none"/>
                <w:lang w:val="en-US" w:eastAsia="zh-CN"/>
              </w:rPr>
              <w:t>垃圾类别</w:t>
            </w:r>
          </w:p>
        </w:tc>
        <w:tc>
          <w:tcPr>
            <w:tcW w:w="743"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637"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526"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19" w:hRule="exact"/>
          <w:jc w:val="center"/>
        </w:trPr>
        <w:tc>
          <w:tcPr>
            <w:tcW w:w="437" w:type="pct"/>
            <w:noWrap w:val="0"/>
            <w:vAlign w:val="center"/>
          </w:tcPr>
          <w:p>
            <w:pPr>
              <w:jc w:val="center"/>
              <w:rPr>
                <w:rFonts w:hint="eastAsia" w:ascii="宋体" w:hAnsi="宋体" w:eastAsia="宋体" w:cs="宋体"/>
                <w:color w:val="auto"/>
                <w:sz w:val="21"/>
                <w:szCs w:val="21"/>
                <w:highlight w:val="none"/>
              </w:rPr>
            </w:pPr>
          </w:p>
        </w:tc>
        <w:tc>
          <w:tcPr>
            <w:tcW w:w="635" w:type="pct"/>
            <w:noWrap w:val="0"/>
            <w:vAlign w:val="center"/>
          </w:tcPr>
          <w:p>
            <w:pPr>
              <w:jc w:val="center"/>
              <w:rPr>
                <w:rFonts w:hint="eastAsia" w:ascii="宋体" w:hAnsi="宋体" w:eastAsia="宋体" w:cs="宋体"/>
                <w:color w:val="auto"/>
                <w:sz w:val="21"/>
                <w:szCs w:val="21"/>
                <w:highlight w:val="none"/>
              </w:rPr>
            </w:pPr>
          </w:p>
        </w:tc>
        <w:tc>
          <w:tcPr>
            <w:tcW w:w="637" w:type="pct"/>
            <w:noWrap w:val="0"/>
            <w:vAlign w:val="center"/>
          </w:tcPr>
          <w:p>
            <w:pPr>
              <w:jc w:val="center"/>
              <w:rPr>
                <w:rFonts w:hint="eastAsia" w:ascii="宋体" w:hAnsi="宋体" w:eastAsia="宋体" w:cs="宋体"/>
                <w:color w:val="auto"/>
                <w:sz w:val="21"/>
                <w:szCs w:val="21"/>
                <w:highlight w:val="none"/>
              </w:rPr>
            </w:pPr>
          </w:p>
        </w:tc>
        <w:tc>
          <w:tcPr>
            <w:tcW w:w="809" w:type="pct"/>
            <w:noWrap w:val="0"/>
            <w:vAlign w:val="center"/>
          </w:tcPr>
          <w:p>
            <w:pPr>
              <w:jc w:val="center"/>
              <w:rPr>
                <w:rFonts w:hint="eastAsia" w:ascii="宋体" w:hAnsi="宋体" w:eastAsia="宋体" w:cs="宋体"/>
                <w:color w:val="auto"/>
                <w:sz w:val="21"/>
                <w:szCs w:val="21"/>
                <w:highlight w:val="none"/>
              </w:rPr>
            </w:pPr>
          </w:p>
        </w:tc>
        <w:tc>
          <w:tcPr>
            <w:tcW w:w="571" w:type="pct"/>
            <w:noWrap w:val="0"/>
            <w:vAlign w:val="center"/>
          </w:tcPr>
          <w:p>
            <w:pPr>
              <w:jc w:val="center"/>
              <w:rPr>
                <w:rFonts w:hint="eastAsia" w:ascii="宋体" w:hAnsi="宋体" w:eastAsia="宋体" w:cs="宋体"/>
                <w:color w:val="auto"/>
                <w:sz w:val="21"/>
                <w:szCs w:val="21"/>
                <w:highlight w:val="none"/>
              </w:rPr>
            </w:pPr>
          </w:p>
        </w:tc>
        <w:tc>
          <w:tcPr>
            <w:tcW w:w="743" w:type="pct"/>
            <w:noWrap w:val="0"/>
            <w:vAlign w:val="center"/>
          </w:tcPr>
          <w:p>
            <w:pPr>
              <w:jc w:val="center"/>
              <w:rPr>
                <w:rFonts w:hint="eastAsia" w:ascii="宋体" w:hAnsi="宋体" w:eastAsia="宋体" w:cs="宋体"/>
                <w:color w:val="auto"/>
                <w:sz w:val="21"/>
                <w:szCs w:val="21"/>
                <w:highlight w:val="none"/>
              </w:rPr>
            </w:pPr>
          </w:p>
        </w:tc>
        <w:tc>
          <w:tcPr>
            <w:tcW w:w="637" w:type="pct"/>
            <w:noWrap w:val="0"/>
            <w:vAlign w:val="center"/>
          </w:tcPr>
          <w:p>
            <w:pPr>
              <w:jc w:val="center"/>
              <w:rPr>
                <w:rFonts w:hint="eastAsia" w:ascii="宋体" w:hAnsi="宋体" w:eastAsia="宋体" w:cs="宋体"/>
                <w:color w:val="auto"/>
                <w:sz w:val="21"/>
                <w:szCs w:val="21"/>
                <w:highlight w:val="none"/>
              </w:rPr>
            </w:pPr>
          </w:p>
        </w:tc>
        <w:tc>
          <w:tcPr>
            <w:tcW w:w="526" w:type="pct"/>
            <w:noWrap w:val="0"/>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19" w:hRule="exact"/>
          <w:jc w:val="center"/>
        </w:trPr>
        <w:tc>
          <w:tcPr>
            <w:tcW w:w="437" w:type="pct"/>
            <w:noWrap w:val="0"/>
            <w:vAlign w:val="center"/>
          </w:tcPr>
          <w:p>
            <w:pPr>
              <w:jc w:val="center"/>
              <w:rPr>
                <w:rFonts w:hint="eastAsia" w:ascii="宋体" w:hAnsi="宋体" w:eastAsia="宋体" w:cs="宋体"/>
                <w:color w:val="auto"/>
                <w:sz w:val="21"/>
                <w:szCs w:val="21"/>
                <w:highlight w:val="none"/>
              </w:rPr>
            </w:pPr>
          </w:p>
        </w:tc>
        <w:tc>
          <w:tcPr>
            <w:tcW w:w="635" w:type="pct"/>
            <w:noWrap w:val="0"/>
            <w:vAlign w:val="center"/>
          </w:tcPr>
          <w:p>
            <w:pPr>
              <w:jc w:val="center"/>
              <w:rPr>
                <w:rFonts w:hint="eastAsia" w:ascii="宋体" w:hAnsi="宋体" w:eastAsia="宋体" w:cs="宋体"/>
                <w:color w:val="auto"/>
                <w:sz w:val="21"/>
                <w:szCs w:val="21"/>
                <w:highlight w:val="none"/>
              </w:rPr>
            </w:pPr>
          </w:p>
        </w:tc>
        <w:tc>
          <w:tcPr>
            <w:tcW w:w="637" w:type="pct"/>
            <w:noWrap w:val="0"/>
            <w:vAlign w:val="center"/>
          </w:tcPr>
          <w:p>
            <w:pPr>
              <w:jc w:val="center"/>
              <w:rPr>
                <w:rFonts w:hint="eastAsia" w:ascii="宋体" w:hAnsi="宋体" w:eastAsia="宋体" w:cs="宋体"/>
                <w:color w:val="auto"/>
                <w:sz w:val="21"/>
                <w:szCs w:val="21"/>
                <w:highlight w:val="none"/>
              </w:rPr>
            </w:pPr>
          </w:p>
        </w:tc>
        <w:tc>
          <w:tcPr>
            <w:tcW w:w="809" w:type="pct"/>
            <w:noWrap w:val="0"/>
            <w:vAlign w:val="center"/>
          </w:tcPr>
          <w:p>
            <w:pPr>
              <w:jc w:val="center"/>
              <w:rPr>
                <w:rFonts w:hint="eastAsia" w:ascii="宋体" w:hAnsi="宋体" w:eastAsia="宋体" w:cs="宋体"/>
                <w:color w:val="auto"/>
                <w:sz w:val="21"/>
                <w:szCs w:val="21"/>
                <w:highlight w:val="none"/>
              </w:rPr>
            </w:pPr>
          </w:p>
        </w:tc>
        <w:tc>
          <w:tcPr>
            <w:tcW w:w="571" w:type="pct"/>
            <w:noWrap w:val="0"/>
            <w:vAlign w:val="center"/>
          </w:tcPr>
          <w:p>
            <w:pPr>
              <w:jc w:val="center"/>
              <w:rPr>
                <w:rFonts w:hint="eastAsia" w:ascii="宋体" w:hAnsi="宋体" w:eastAsia="宋体" w:cs="宋体"/>
                <w:color w:val="auto"/>
                <w:sz w:val="21"/>
                <w:szCs w:val="21"/>
                <w:highlight w:val="none"/>
              </w:rPr>
            </w:pPr>
          </w:p>
        </w:tc>
        <w:tc>
          <w:tcPr>
            <w:tcW w:w="743" w:type="pct"/>
            <w:noWrap w:val="0"/>
            <w:vAlign w:val="center"/>
          </w:tcPr>
          <w:p>
            <w:pPr>
              <w:jc w:val="center"/>
              <w:rPr>
                <w:rFonts w:hint="eastAsia" w:ascii="宋体" w:hAnsi="宋体" w:eastAsia="宋体" w:cs="宋体"/>
                <w:color w:val="auto"/>
                <w:sz w:val="21"/>
                <w:szCs w:val="21"/>
                <w:highlight w:val="none"/>
              </w:rPr>
            </w:pPr>
          </w:p>
        </w:tc>
        <w:tc>
          <w:tcPr>
            <w:tcW w:w="637" w:type="pct"/>
            <w:noWrap w:val="0"/>
            <w:vAlign w:val="center"/>
          </w:tcPr>
          <w:p>
            <w:pPr>
              <w:jc w:val="center"/>
              <w:rPr>
                <w:rFonts w:hint="eastAsia" w:ascii="宋体" w:hAnsi="宋体" w:eastAsia="宋体" w:cs="宋体"/>
                <w:color w:val="auto"/>
                <w:sz w:val="21"/>
                <w:szCs w:val="21"/>
                <w:highlight w:val="none"/>
              </w:rPr>
            </w:pPr>
          </w:p>
        </w:tc>
        <w:tc>
          <w:tcPr>
            <w:tcW w:w="526" w:type="pct"/>
            <w:noWrap w:val="0"/>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19" w:hRule="exact"/>
          <w:jc w:val="center"/>
        </w:trPr>
        <w:tc>
          <w:tcPr>
            <w:tcW w:w="437" w:type="pct"/>
            <w:noWrap w:val="0"/>
            <w:vAlign w:val="center"/>
          </w:tcPr>
          <w:p>
            <w:pPr>
              <w:jc w:val="center"/>
              <w:rPr>
                <w:rFonts w:hint="eastAsia" w:ascii="宋体" w:hAnsi="宋体" w:eastAsia="宋体" w:cs="宋体"/>
                <w:color w:val="auto"/>
                <w:sz w:val="21"/>
                <w:szCs w:val="21"/>
                <w:highlight w:val="none"/>
              </w:rPr>
            </w:pPr>
          </w:p>
        </w:tc>
        <w:tc>
          <w:tcPr>
            <w:tcW w:w="635" w:type="pct"/>
            <w:noWrap w:val="0"/>
            <w:vAlign w:val="center"/>
          </w:tcPr>
          <w:p>
            <w:pPr>
              <w:jc w:val="center"/>
              <w:rPr>
                <w:rFonts w:hint="eastAsia" w:ascii="宋体" w:hAnsi="宋体" w:eastAsia="宋体" w:cs="宋体"/>
                <w:color w:val="auto"/>
                <w:sz w:val="21"/>
                <w:szCs w:val="21"/>
                <w:highlight w:val="none"/>
              </w:rPr>
            </w:pPr>
          </w:p>
        </w:tc>
        <w:tc>
          <w:tcPr>
            <w:tcW w:w="637" w:type="pct"/>
            <w:noWrap w:val="0"/>
            <w:vAlign w:val="center"/>
          </w:tcPr>
          <w:p>
            <w:pPr>
              <w:jc w:val="center"/>
              <w:rPr>
                <w:rFonts w:hint="eastAsia" w:ascii="宋体" w:hAnsi="宋体" w:eastAsia="宋体" w:cs="宋体"/>
                <w:color w:val="auto"/>
                <w:sz w:val="21"/>
                <w:szCs w:val="21"/>
                <w:highlight w:val="none"/>
              </w:rPr>
            </w:pPr>
          </w:p>
        </w:tc>
        <w:tc>
          <w:tcPr>
            <w:tcW w:w="809" w:type="pct"/>
            <w:noWrap w:val="0"/>
            <w:vAlign w:val="center"/>
          </w:tcPr>
          <w:p>
            <w:pPr>
              <w:jc w:val="center"/>
              <w:rPr>
                <w:rFonts w:hint="eastAsia" w:ascii="宋体" w:hAnsi="宋体" w:eastAsia="宋体" w:cs="宋体"/>
                <w:color w:val="auto"/>
                <w:sz w:val="21"/>
                <w:szCs w:val="21"/>
                <w:highlight w:val="none"/>
              </w:rPr>
            </w:pPr>
          </w:p>
        </w:tc>
        <w:tc>
          <w:tcPr>
            <w:tcW w:w="571" w:type="pct"/>
            <w:noWrap w:val="0"/>
            <w:vAlign w:val="center"/>
          </w:tcPr>
          <w:p>
            <w:pPr>
              <w:jc w:val="center"/>
              <w:rPr>
                <w:rFonts w:hint="eastAsia" w:ascii="宋体" w:hAnsi="宋体" w:eastAsia="宋体" w:cs="宋体"/>
                <w:color w:val="auto"/>
                <w:sz w:val="21"/>
                <w:szCs w:val="21"/>
                <w:highlight w:val="none"/>
              </w:rPr>
            </w:pPr>
          </w:p>
        </w:tc>
        <w:tc>
          <w:tcPr>
            <w:tcW w:w="743" w:type="pct"/>
            <w:noWrap w:val="0"/>
            <w:vAlign w:val="center"/>
          </w:tcPr>
          <w:p>
            <w:pPr>
              <w:jc w:val="center"/>
              <w:rPr>
                <w:rFonts w:hint="eastAsia" w:ascii="宋体" w:hAnsi="宋体" w:eastAsia="宋体" w:cs="宋体"/>
                <w:color w:val="auto"/>
                <w:sz w:val="21"/>
                <w:szCs w:val="21"/>
                <w:highlight w:val="none"/>
              </w:rPr>
            </w:pPr>
          </w:p>
        </w:tc>
        <w:tc>
          <w:tcPr>
            <w:tcW w:w="637" w:type="pct"/>
            <w:noWrap w:val="0"/>
            <w:vAlign w:val="center"/>
          </w:tcPr>
          <w:p>
            <w:pPr>
              <w:jc w:val="center"/>
              <w:rPr>
                <w:rFonts w:hint="eastAsia" w:ascii="宋体" w:hAnsi="宋体" w:eastAsia="宋体" w:cs="宋体"/>
                <w:color w:val="auto"/>
                <w:sz w:val="21"/>
                <w:szCs w:val="21"/>
                <w:highlight w:val="none"/>
              </w:rPr>
            </w:pPr>
          </w:p>
        </w:tc>
        <w:tc>
          <w:tcPr>
            <w:tcW w:w="526" w:type="pct"/>
            <w:noWrap w:val="0"/>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29" w:hRule="exact"/>
          <w:jc w:val="center"/>
        </w:trPr>
        <w:tc>
          <w:tcPr>
            <w:tcW w:w="437" w:type="pct"/>
            <w:noWrap w:val="0"/>
            <w:vAlign w:val="center"/>
          </w:tcPr>
          <w:p>
            <w:pPr>
              <w:jc w:val="center"/>
              <w:rPr>
                <w:rFonts w:hint="eastAsia" w:ascii="宋体" w:hAnsi="宋体" w:eastAsia="宋体" w:cs="宋体"/>
                <w:color w:val="auto"/>
                <w:sz w:val="21"/>
                <w:szCs w:val="21"/>
                <w:highlight w:val="none"/>
              </w:rPr>
            </w:pPr>
          </w:p>
        </w:tc>
        <w:tc>
          <w:tcPr>
            <w:tcW w:w="635" w:type="pct"/>
            <w:noWrap w:val="0"/>
            <w:vAlign w:val="center"/>
          </w:tcPr>
          <w:p>
            <w:pPr>
              <w:jc w:val="center"/>
              <w:rPr>
                <w:rFonts w:hint="eastAsia" w:ascii="宋体" w:hAnsi="宋体" w:eastAsia="宋体" w:cs="宋体"/>
                <w:color w:val="auto"/>
                <w:sz w:val="21"/>
                <w:szCs w:val="21"/>
                <w:highlight w:val="none"/>
              </w:rPr>
            </w:pPr>
          </w:p>
        </w:tc>
        <w:tc>
          <w:tcPr>
            <w:tcW w:w="637" w:type="pct"/>
            <w:noWrap w:val="0"/>
            <w:vAlign w:val="center"/>
          </w:tcPr>
          <w:p>
            <w:pPr>
              <w:jc w:val="center"/>
              <w:rPr>
                <w:rFonts w:hint="eastAsia" w:ascii="宋体" w:hAnsi="宋体" w:eastAsia="宋体" w:cs="宋体"/>
                <w:color w:val="auto"/>
                <w:sz w:val="21"/>
                <w:szCs w:val="21"/>
                <w:highlight w:val="none"/>
              </w:rPr>
            </w:pPr>
          </w:p>
        </w:tc>
        <w:tc>
          <w:tcPr>
            <w:tcW w:w="809" w:type="pct"/>
            <w:noWrap w:val="0"/>
            <w:vAlign w:val="center"/>
          </w:tcPr>
          <w:p>
            <w:pPr>
              <w:jc w:val="center"/>
              <w:rPr>
                <w:rFonts w:hint="eastAsia" w:ascii="宋体" w:hAnsi="宋体" w:eastAsia="宋体" w:cs="宋体"/>
                <w:color w:val="auto"/>
                <w:sz w:val="21"/>
                <w:szCs w:val="21"/>
                <w:highlight w:val="none"/>
              </w:rPr>
            </w:pPr>
          </w:p>
        </w:tc>
        <w:tc>
          <w:tcPr>
            <w:tcW w:w="571" w:type="pct"/>
            <w:noWrap w:val="0"/>
            <w:vAlign w:val="center"/>
          </w:tcPr>
          <w:p>
            <w:pPr>
              <w:jc w:val="center"/>
              <w:rPr>
                <w:rFonts w:hint="eastAsia" w:ascii="宋体" w:hAnsi="宋体" w:eastAsia="宋体" w:cs="宋体"/>
                <w:color w:val="auto"/>
                <w:sz w:val="21"/>
                <w:szCs w:val="21"/>
                <w:highlight w:val="none"/>
              </w:rPr>
            </w:pPr>
          </w:p>
        </w:tc>
        <w:tc>
          <w:tcPr>
            <w:tcW w:w="743" w:type="pct"/>
            <w:noWrap w:val="0"/>
            <w:vAlign w:val="center"/>
          </w:tcPr>
          <w:p>
            <w:pPr>
              <w:jc w:val="center"/>
              <w:rPr>
                <w:rFonts w:hint="eastAsia" w:ascii="宋体" w:hAnsi="宋体" w:eastAsia="宋体" w:cs="宋体"/>
                <w:color w:val="auto"/>
                <w:sz w:val="21"/>
                <w:szCs w:val="21"/>
                <w:highlight w:val="none"/>
              </w:rPr>
            </w:pPr>
          </w:p>
        </w:tc>
        <w:tc>
          <w:tcPr>
            <w:tcW w:w="637" w:type="pct"/>
            <w:noWrap w:val="0"/>
            <w:vAlign w:val="center"/>
          </w:tcPr>
          <w:p>
            <w:pPr>
              <w:jc w:val="center"/>
              <w:rPr>
                <w:rFonts w:hint="eastAsia" w:ascii="宋体" w:hAnsi="宋体" w:eastAsia="宋体" w:cs="宋体"/>
                <w:color w:val="auto"/>
                <w:sz w:val="21"/>
                <w:szCs w:val="21"/>
                <w:highlight w:val="none"/>
              </w:rPr>
            </w:pPr>
          </w:p>
        </w:tc>
        <w:tc>
          <w:tcPr>
            <w:tcW w:w="526" w:type="pct"/>
            <w:noWrap w:val="0"/>
            <w:vAlign w:val="center"/>
          </w:tcPr>
          <w:p>
            <w:pPr>
              <w:jc w:val="center"/>
              <w:rPr>
                <w:rFonts w:hint="eastAsia" w:ascii="宋体" w:hAnsi="宋体" w:eastAsia="宋体" w:cs="宋体"/>
                <w:color w:val="auto"/>
                <w:sz w:val="21"/>
                <w:szCs w:val="21"/>
                <w:highlight w:val="none"/>
              </w:rPr>
            </w:pPr>
          </w:p>
        </w:tc>
      </w:tr>
    </w:tbl>
    <w:p>
      <w:pPr>
        <w:autoSpaceDE w:val="0"/>
        <w:autoSpaceDN w:val="0"/>
        <w:adjustRightInd w:val="0"/>
        <w:snapToGrid w:val="0"/>
        <w:spacing w:line="360" w:lineRule="auto"/>
        <w:ind w:left="186" w:leftChars="-158" w:hanging="518" w:hangingChars="247"/>
        <w:jc w:val="left"/>
        <w:rPr>
          <w:rFonts w:hint="eastAsia" w:ascii="宋体" w:hAnsi="宋体" w:eastAsia="宋体" w:cs="宋体"/>
          <w:color w:val="auto"/>
          <w:szCs w:val="24"/>
          <w:highlight w:val="none"/>
          <w:lang w:val="zh-CN"/>
        </w:rPr>
      </w:pPr>
    </w:p>
    <w:p>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pPr>
        <w:autoSpaceDE w:val="0"/>
        <w:autoSpaceDN w:val="0"/>
        <w:adjustRightInd w:val="0"/>
        <w:snapToGrid w:val="0"/>
        <w:spacing w:line="360" w:lineRule="auto"/>
        <w:ind w:left="481" w:leftChars="-41" w:hanging="567" w:hangingChars="270"/>
        <w:jc w:val="left"/>
        <w:rPr>
          <w:rFonts w:hint="eastAsia" w:ascii="宋体" w:hAnsi="宋体" w:eastAsia="宋体" w:cs="宋体"/>
          <w:b/>
          <w:bCs/>
          <w:color w:val="auto"/>
          <w:szCs w:val="24"/>
          <w:highlight w:val="none"/>
          <w:u w:val="single"/>
          <w:lang w:val="zh-CN"/>
        </w:rPr>
      </w:pPr>
      <w:r>
        <w:rPr>
          <w:rFonts w:hint="eastAsia" w:ascii="宋体" w:hAnsi="宋体" w:eastAsia="宋体" w:cs="宋体"/>
          <w:color w:val="auto"/>
          <w:szCs w:val="24"/>
          <w:highlight w:val="none"/>
          <w:lang w:val="zh-CN"/>
        </w:rPr>
        <w:t>（1）业绩按单项合同采购金额从高到低的方式排列；</w:t>
      </w:r>
      <w:r>
        <w:rPr>
          <w:rFonts w:hint="eastAsia" w:ascii="宋体" w:hAnsi="宋体" w:eastAsia="宋体" w:cs="宋体"/>
          <w:b/>
          <w:bCs/>
          <w:color w:val="auto"/>
          <w:szCs w:val="24"/>
          <w:highlight w:val="none"/>
          <w:u w:val="single"/>
          <w:lang w:val="zh-CN"/>
        </w:rPr>
        <w:t>同一个单项合同的业绩可以同时在资格业绩和评分业绩重复放置。</w:t>
      </w:r>
    </w:p>
    <w:p>
      <w:pPr>
        <w:autoSpaceDE w:val="0"/>
        <w:autoSpaceDN w:val="0"/>
        <w:adjustRightInd w:val="0"/>
        <w:snapToGrid w:val="0"/>
        <w:spacing w:line="360" w:lineRule="auto"/>
        <w:ind w:left="483" w:leftChars="-41" w:hanging="569" w:hangingChars="270"/>
        <w:jc w:val="left"/>
        <w:rPr>
          <w:rFonts w:hint="eastAsia" w:ascii="宋体" w:hAnsi="宋体" w:eastAsia="宋体" w:cs="宋体"/>
          <w:b/>
          <w:bCs/>
          <w:color w:val="auto"/>
          <w:highlight w:val="none"/>
          <w:lang w:val="zh-CN"/>
        </w:rPr>
      </w:pPr>
      <w:r>
        <w:rPr>
          <w:rFonts w:hint="eastAsia" w:ascii="宋体" w:hAnsi="宋体" w:eastAsia="宋体" w:cs="宋体"/>
          <w:b/>
          <w:bCs/>
          <w:color w:val="auto"/>
          <w:szCs w:val="24"/>
          <w:highlight w:val="none"/>
          <w:lang w:val="zh-CN"/>
        </w:rPr>
        <w:t>（</w:t>
      </w:r>
      <w:r>
        <w:rPr>
          <w:rFonts w:hint="eastAsia" w:ascii="宋体" w:hAnsi="宋体" w:eastAsia="宋体" w:cs="宋体"/>
          <w:b/>
          <w:bCs/>
          <w:color w:val="auto"/>
          <w:szCs w:val="24"/>
          <w:highlight w:val="none"/>
          <w:lang w:val="en-US" w:eastAsia="zh-CN"/>
        </w:rPr>
        <w:t>2</w:t>
      </w:r>
      <w:r>
        <w:rPr>
          <w:rFonts w:hint="eastAsia" w:ascii="宋体" w:hAnsi="宋体" w:eastAsia="宋体" w:cs="宋体"/>
          <w:b/>
          <w:bCs/>
          <w:color w:val="auto"/>
          <w:szCs w:val="24"/>
          <w:highlight w:val="none"/>
          <w:lang w:val="zh-CN"/>
        </w:rPr>
        <w:t>）</w:t>
      </w:r>
      <w:r>
        <w:rPr>
          <w:rFonts w:hint="eastAsia" w:ascii="宋体" w:hAnsi="宋体" w:eastAsia="宋体" w:cs="宋体"/>
          <w:b/>
          <w:bCs/>
          <w:color w:val="auto"/>
          <w:highlight w:val="none"/>
          <w:u w:val="single"/>
          <w:lang w:val="zh-CN"/>
        </w:rPr>
        <w:t>业绩必须附合同复印件（</w:t>
      </w:r>
      <w:r>
        <w:rPr>
          <w:rFonts w:hint="eastAsia" w:ascii="宋体" w:hAnsi="宋体" w:eastAsia="宋体" w:cs="宋体"/>
          <w:b/>
          <w:bCs/>
          <w:color w:val="auto"/>
          <w:highlight w:val="none"/>
          <w:u w:val="single"/>
        </w:rPr>
        <w:t>合同服务提供方为投标人</w:t>
      </w:r>
      <w:r>
        <w:rPr>
          <w:rFonts w:hint="eastAsia" w:ascii="宋体" w:hAnsi="宋体" w:eastAsia="宋体" w:cs="宋体"/>
          <w:b/>
          <w:bCs/>
          <w:color w:val="auto"/>
          <w:highlight w:val="none"/>
          <w:u w:val="single"/>
          <w:lang w:val="zh-CN"/>
        </w:rPr>
        <w:t>）。合同必须能反映评分条件（</w:t>
      </w:r>
      <w:r>
        <w:rPr>
          <w:rFonts w:hint="eastAsia" w:ascii="宋体" w:hAnsi="宋体" w:eastAsia="宋体" w:cs="宋体"/>
          <w:b/>
          <w:bCs/>
          <w:color w:val="auto"/>
          <w:highlight w:val="none"/>
          <w:u w:val="single"/>
        </w:rPr>
        <w:t>合同签订日期、服务内容、</w:t>
      </w:r>
      <w:r>
        <w:rPr>
          <w:rFonts w:hint="eastAsia" w:ascii="宋体" w:hAnsi="宋体" w:eastAsia="宋体" w:cs="宋体"/>
          <w:b/>
          <w:bCs/>
          <w:color w:val="auto"/>
          <w:sz w:val="21"/>
          <w:szCs w:val="21"/>
          <w:highlight w:val="none"/>
          <w:u w:val="single"/>
        </w:rPr>
        <w:t>收运</w:t>
      </w:r>
      <w:r>
        <w:rPr>
          <w:rFonts w:hint="eastAsia" w:ascii="宋体" w:hAnsi="宋体" w:eastAsia="宋体" w:cs="宋体"/>
          <w:b/>
          <w:bCs/>
          <w:color w:val="auto"/>
          <w:sz w:val="21"/>
          <w:szCs w:val="21"/>
          <w:highlight w:val="none"/>
          <w:u w:val="single"/>
          <w:lang w:val="en-US" w:eastAsia="zh-CN"/>
        </w:rPr>
        <w:t>垃圾类别、</w:t>
      </w:r>
      <w:r>
        <w:rPr>
          <w:rFonts w:hint="eastAsia" w:ascii="宋体" w:hAnsi="宋体" w:eastAsia="宋体" w:cs="宋体"/>
          <w:b/>
          <w:bCs/>
          <w:color w:val="auto"/>
          <w:szCs w:val="21"/>
          <w:highlight w:val="none"/>
          <w:u w:val="single"/>
          <w:lang w:val="en-US" w:eastAsia="zh-CN"/>
        </w:rPr>
        <w:t>合同金额</w:t>
      </w:r>
      <w:r>
        <w:rPr>
          <w:rFonts w:hint="eastAsia" w:ascii="宋体" w:hAnsi="宋体" w:eastAsia="宋体" w:cs="宋体"/>
          <w:b/>
          <w:bCs/>
          <w:color w:val="auto"/>
          <w:highlight w:val="none"/>
          <w:u w:val="single"/>
          <w:lang w:val="zh-CN"/>
        </w:rPr>
        <w:t>），否则，需同时提供服务购买方出具的书面补充情况说明文件复印件（</w:t>
      </w:r>
      <w:r>
        <w:rPr>
          <w:rFonts w:hint="eastAsia" w:ascii="宋体" w:hAnsi="宋体" w:eastAsia="宋体" w:cs="宋体"/>
          <w:b/>
          <w:bCs/>
          <w:color w:val="auto"/>
          <w:highlight w:val="none"/>
          <w:u w:val="single"/>
        </w:rPr>
        <w:t>需加盖服务购买方公章，即复印件能显示服务购买方公章</w:t>
      </w:r>
      <w:r>
        <w:rPr>
          <w:rFonts w:hint="eastAsia" w:ascii="宋体" w:hAnsi="宋体" w:eastAsia="宋体" w:cs="宋体"/>
          <w:b/>
          <w:bCs/>
          <w:color w:val="auto"/>
          <w:highlight w:val="none"/>
          <w:u w:val="single"/>
          <w:lang w:val="zh-CN"/>
        </w:rPr>
        <w:t>），</w:t>
      </w:r>
      <w:r>
        <w:rPr>
          <w:rFonts w:hint="eastAsia" w:ascii="宋体" w:hAnsi="宋体" w:eastAsia="宋体" w:cs="宋体"/>
          <w:b/>
          <w:bCs/>
          <w:color w:val="auto"/>
          <w:highlight w:val="none"/>
          <w:u w:val="single"/>
        </w:rPr>
        <w:t>否则不得分</w:t>
      </w:r>
      <w:r>
        <w:rPr>
          <w:rFonts w:hint="eastAsia" w:ascii="宋体" w:hAnsi="宋体" w:eastAsia="宋体" w:cs="宋体"/>
          <w:b/>
          <w:bCs/>
          <w:color w:val="auto"/>
          <w:highlight w:val="none"/>
          <w:lang w:val="zh-CN"/>
        </w:rPr>
        <w:t>。</w:t>
      </w:r>
    </w:p>
    <w:p>
      <w:pPr>
        <w:snapToGrid w:val="0"/>
        <w:spacing w:line="360" w:lineRule="auto"/>
        <w:ind w:left="483" w:leftChars="-41" w:hanging="569" w:hangingChars="270"/>
        <w:jc w:val="left"/>
        <w:rPr>
          <w:rFonts w:hint="eastAsia" w:ascii="宋体" w:hAnsi="宋体" w:eastAsia="宋体" w:cs="宋体"/>
          <w:b/>
          <w:bCs/>
          <w:color w:val="auto"/>
          <w:highlight w:val="none"/>
          <w:lang w:eastAsia="zh-CN"/>
        </w:rPr>
      </w:pPr>
      <w:r>
        <w:rPr>
          <w:rFonts w:hint="eastAsia" w:ascii="宋体" w:hAnsi="宋体" w:eastAsia="宋体" w:cs="宋体"/>
          <w:b/>
          <w:bCs/>
          <w:color w:val="auto"/>
          <w:szCs w:val="24"/>
          <w:highlight w:val="none"/>
          <w:lang w:val="zh-CN"/>
        </w:rPr>
        <w:t>（</w:t>
      </w:r>
      <w:r>
        <w:rPr>
          <w:rFonts w:hint="eastAsia" w:ascii="宋体" w:hAnsi="宋体" w:eastAsia="宋体" w:cs="宋体"/>
          <w:b/>
          <w:bCs/>
          <w:color w:val="auto"/>
          <w:szCs w:val="24"/>
          <w:highlight w:val="none"/>
          <w:lang w:val="en-US" w:eastAsia="zh-CN"/>
        </w:rPr>
        <w:t>3</w:t>
      </w:r>
      <w:r>
        <w:rPr>
          <w:rFonts w:hint="eastAsia" w:ascii="宋体" w:hAnsi="宋体" w:eastAsia="宋体" w:cs="宋体"/>
          <w:b/>
          <w:bCs/>
          <w:color w:val="auto"/>
          <w:szCs w:val="24"/>
          <w:highlight w:val="none"/>
          <w:lang w:val="zh-CN"/>
        </w:rPr>
        <w:t>）</w:t>
      </w:r>
      <w:r>
        <w:rPr>
          <w:rFonts w:hint="eastAsia" w:ascii="宋体" w:hAnsi="宋体" w:eastAsia="宋体"/>
          <w:b/>
          <w:bCs/>
          <w:color w:val="auto"/>
          <w:sz w:val="21"/>
          <w:szCs w:val="21"/>
          <w:highlight w:val="none"/>
          <w:u w:val="single"/>
        </w:rPr>
        <w:t>若合同业绩内容为非单一类型</w:t>
      </w:r>
      <w:r>
        <w:rPr>
          <w:rFonts w:hint="eastAsia" w:ascii="宋体" w:hAnsi="宋体" w:eastAsia="宋体"/>
          <w:b/>
          <w:bCs/>
          <w:color w:val="auto"/>
          <w:sz w:val="21"/>
          <w:szCs w:val="21"/>
          <w:highlight w:val="none"/>
          <w:u w:val="single"/>
          <w:lang w:eastAsia="zh-CN"/>
        </w:rPr>
        <w:t>（如业绩合同包括清扫、收运、处置等全过程服务）</w:t>
      </w:r>
      <w:r>
        <w:rPr>
          <w:rFonts w:hint="eastAsia" w:ascii="宋体" w:hAnsi="宋体" w:eastAsia="宋体"/>
          <w:b/>
          <w:bCs/>
          <w:color w:val="auto"/>
          <w:sz w:val="21"/>
          <w:szCs w:val="21"/>
          <w:highlight w:val="none"/>
          <w:u w:val="single"/>
        </w:rPr>
        <w:t>，且合同内容无法反应符合本项目评审要求（</w:t>
      </w:r>
      <w:r>
        <w:rPr>
          <w:rFonts w:hint="eastAsia" w:ascii="宋体" w:hAnsi="宋体" w:eastAsia="宋体"/>
          <w:b/>
          <w:bCs/>
          <w:color w:val="auto"/>
          <w:sz w:val="21"/>
          <w:szCs w:val="21"/>
          <w:highlight w:val="none"/>
          <w:u w:val="single"/>
          <w:lang w:eastAsia="zh-CN"/>
        </w:rPr>
        <w:t>生活垃圾收运服务</w:t>
      </w:r>
      <w:r>
        <w:rPr>
          <w:rFonts w:hint="eastAsia" w:ascii="宋体" w:hAnsi="宋体" w:eastAsia="宋体"/>
          <w:b/>
          <w:bCs/>
          <w:color w:val="auto"/>
          <w:sz w:val="21"/>
          <w:szCs w:val="21"/>
          <w:highlight w:val="none"/>
          <w:u w:val="single"/>
        </w:rPr>
        <w:t>）的合同金额，需须同时提供服务购买方出具的书面补充情况说明文件复印件</w:t>
      </w:r>
      <w:r>
        <w:rPr>
          <w:rFonts w:hint="eastAsia" w:ascii="宋体" w:hAnsi="宋体" w:eastAsia="宋体" w:cs="宋体"/>
          <w:b/>
          <w:bCs/>
          <w:color w:val="auto"/>
          <w:highlight w:val="none"/>
          <w:u w:val="single"/>
        </w:rPr>
        <w:t>,否则在评标时将不予考虑</w:t>
      </w:r>
      <w:r>
        <w:rPr>
          <w:rFonts w:hint="eastAsia" w:ascii="宋体" w:hAnsi="宋体" w:eastAsia="宋体" w:cs="宋体"/>
          <w:b/>
          <w:bCs/>
          <w:color w:val="auto"/>
          <w:highlight w:val="none"/>
          <w:lang w:eastAsia="zh-CN"/>
        </w:rPr>
        <w:t>。</w:t>
      </w:r>
    </w:p>
    <w:p>
      <w:pPr>
        <w:snapToGrid w:val="0"/>
        <w:spacing w:line="360" w:lineRule="auto"/>
        <w:ind w:left="483" w:leftChars="-41" w:hanging="569" w:hangingChars="270"/>
        <w:jc w:val="left"/>
        <w:rPr>
          <w:rFonts w:hint="eastAsia" w:eastAsia="+中文正文"/>
          <w:b/>
          <w:bCs/>
          <w:color w:val="auto"/>
          <w:highlight w:val="none"/>
          <w:lang w:val="zh-CN"/>
        </w:rPr>
      </w:pP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u w:val="single"/>
          <w:lang w:val="zh-CN"/>
        </w:rPr>
        <w:t>餐厨废弃物为餐饮垃圾或厨余垃圾</w:t>
      </w:r>
      <w:r>
        <w:rPr>
          <w:rFonts w:hint="eastAsia" w:ascii="宋体" w:hAnsi="宋体" w:eastAsia="宋体" w:cs="宋体"/>
          <w:b/>
          <w:bCs/>
          <w:color w:val="auto"/>
          <w:szCs w:val="21"/>
          <w:highlight w:val="none"/>
          <w:lang w:val="zh-CN"/>
        </w:rPr>
        <w:t>。</w:t>
      </w:r>
    </w:p>
    <w:p>
      <w:pPr>
        <w:autoSpaceDE w:val="0"/>
        <w:autoSpaceDN w:val="0"/>
        <w:adjustRightInd w:val="0"/>
        <w:snapToGrid w:val="0"/>
        <w:spacing w:line="360" w:lineRule="auto"/>
        <w:ind w:left="483" w:leftChars="-41" w:hanging="569" w:hangingChars="270"/>
        <w:jc w:val="left"/>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w:t>
      </w:r>
      <w:r>
        <w:rPr>
          <w:rFonts w:hint="eastAsia" w:ascii="宋体" w:hAnsi="宋体" w:eastAsia="宋体" w:cs="宋体"/>
          <w:b/>
          <w:bCs/>
          <w:color w:val="auto"/>
          <w:szCs w:val="24"/>
          <w:highlight w:val="none"/>
          <w:lang w:val="en-US" w:eastAsia="zh-CN"/>
        </w:rPr>
        <w:t>5</w:t>
      </w:r>
      <w:r>
        <w:rPr>
          <w:rFonts w:hint="eastAsia" w:ascii="宋体" w:hAnsi="宋体" w:eastAsia="宋体" w:cs="宋体"/>
          <w:b/>
          <w:bCs/>
          <w:color w:val="auto"/>
          <w:szCs w:val="24"/>
          <w:highlight w:val="none"/>
          <w:lang w:val="zh-CN"/>
        </w:rPr>
        <w:t>）</w:t>
      </w:r>
      <w:r>
        <w:rPr>
          <w:rFonts w:hint="eastAsia" w:ascii="宋体" w:hAnsi="宋体" w:eastAsia="宋体" w:cs="宋体"/>
          <w:b/>
          <w:bCs/>
          <w:color w:val="auto"/>
          <w:szCs w:val="21"/>
          <w:highlight w:val="none"/>
          <w:u w:val="single"/>
          <w:lang w:val="zh-CN"/>
        </w:rPr>
        <w:t>若业绩为框架式协议或资格入围无明确金额的合同，必须同时提供合同期限内已服务发票金额统计表和发票复印件</w:t>
      </w:r>
      <w:r>
        <w:rPr>
          <w:rFonts w:hint="eastAsia" w:ascii="宋体" w:hAnsi="宋体" w:eastAsia="宋体" w:cs="宋体"/>
          <w:b/>
          <w:bCs/>
          <w:color w:val="auto"/>
          <w:szCs w:val="24"/>
          <w:highlight w:val="none"/>
          <w:lang w:val="zh-CN"/>
        </w:rPr>
        <w:t>；</w:t>
      </w:r>
    </w:p>
    <w:p>
      <w:pPr>
        <w:autoSpaceDE w:val="0"/>
        <w:autoSpaceDN w:val="0"/>
        <w:adjustRightInd w:val="0"/>
        <w:snapToGrid w:val="0"/>
        <w:spacing w:line="360" w:lineRule="auto"/>
        <w:ind w:left="483" w:leftChars="-41" w:hanging="569" w:hangingChars="27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szCs w:val="24"/>
          <w:highlight w:val="none"/>
          <w:lang w:val="zh-CN"/>
        </w:rPr>
        <w:t>（</w:t>
      </w:r>
      <w:r>
        <w:rPr>
          <w:rFonts w:hint="eastAsia" w:ascii="宋体" w:hAnsi="宋体" w:eastAsia="宋体" w:cs="宋体"/>
          <w:b/>
          <w:bCs/>
          <w:color w:val="auto"/>
          <w:szCs w:val="24"/>
          <w:highlight w:val="none"/>
          <w:lang w:val="en-US" w:eastAsia="zh-CN"/>
        </w:rPr>
        <w:t>6</w:t>
      </w:r>
      <w:r>
        <w:rPr>
          <w:rFonts w:hint="eastAsia" w:ascii="宋体" w:hAnsi="宋体" w:eastAsia="宋体" w:cs="宋体"/>
          <w:b/>
          <w:bCs/>
          <w:color w:val="auto"/>
          <w:szCs w:val="24"/>
          <w:highlight w:val="none"/>
          <w:lang w:val="zh-CN"/>
        </w:rPr>
        <w:t>）</w:t>
      </w:r>
      <w:r>
        <w:rPr>
          <w:rFonts w:hint="eastAsia" w:ascii="宋体" w:hAnsi="宋体" w:eastAsia="宋体" w:cs="宋体"/>
          <w:b/>
          <w:bCs/>
          <w:color w:val="auto"/>
          <w:szCs w:val="24"/>
          <w:highlight w:val="none"/>
          <w:u w:val="single"/>
          <w:lang w:val="zh-CN"/>
        </w:rPr>
        <w:t>未按上述要求在此格式下提供证明材料的业绩，或在此格式下</w:t>
      </w:r>
      <w:r>
        <w:rPr>
          <w:rFonts w:hint="eastAsia" w:ascii="宋体" w:hAnsi="宋体" w:eastAsia="宋体" w:cs="宋体"/>
          <w:b/>
          <w:bCs/>
          <w:color w:val="auto"/>
          <w:highlight w:val="none"/>
          <w:u w:val="single"/>
        </w:rPr>
        <w:t>所附材料无法证明填报项目属投标人完成的或不符合本项评分要求的业绩</w:t>
      </w:r>
      <w:r>
        <w:rPr>
          <w:rFonts w:hint="eastAsia" w:ascii="宋体" w:hAnsi="宋体" w:eastAsia="宋体" w:cs="宋体"/>
          <w:b/>
          <w:bCs/>
          <w:color w:val="auto"/>
          <w:szCs w:val="24"/>
          <w:highlight w:val="none"/>
          <w:u w:val="single"/>
          <w:lang w:val="zh-CN"/>
        </w:rPr>
        <w:t>，在评标时将不予考虑</w:t>
      </w:r>
      <w:r>
        <w:rPr>
          <w:rFonts w:hint="eastAsia" w:ascii="宋体" w:hAnsi="宋体" w:eastAsia="宋体" w:cs="宋体"/>
          <w:b/>
          <w:bCs/>
          <w:color w:val="auto"/>
          <w:kern w:val="0"/>
          <w:szCs w:val="21"/>
          <w:highlight w:val="none"/>
        </w:rPr>
        <w:t>。</w:t>
      </w:r>
    </w:p>
    <w:p>
      <w:pPr>
        <w:snapToGrid w:val="0"/>
        <w:spacing w:line="360" w:lineRule="auto"/>
        <w:ind w:left="399" w:leftChars="-58" w:hanging="521" w:hangingChars="247"/>
        <w:outlineLvl w:val="9"/>
        <w:rPr>
          <w:rFonts w:ascii="宋体" w:hAnsi="宋体" w:eastAsia="宋体" w:cs="宋体"/>
          <w:b/>
          <w:bCs/>
          <w:color w:val="auto"/>
          <w:highlight w:val="none"/>
          <w:lang w:val="zh-CN"/>
        </w:rPr>
      </w:pPr>
      <w:r>
        <w:rPr>
          <w:rFonts w:hint="eastAsia" w:ascii="宋体" w:hAnsi="宋体" w:eastAsia="宋体" w:cs="宋体"/>
          <w:b/>
          <w:bCs/>
          <w:color w:val="auto"/>
          <w:highlight w:val="none"/>
          <w:lang w:val="zh-CN"/>
        </w:rPr>
        <w:t>（</w:t>
      </w:r>
      <w:r>
        <w:rPr>
          <w:rFonts w:hint="eastAsia" w:ascii="宋体" w:hAnsi="宋体" w:eastAsia="宋体" w:cs="宋体"/>
          <w:b/>
          <w:bCs/>
          <w:color w:val="auto"/>
          <w:highlight w:val="none"/>
          <w:lang w:val="en-US" w:eastAsia="zh-CN"/>
        </w:rPr>
        <w:t>7</w:t>
      </w:r>
      <w:r>
        <w:rPr>
          <w:rFonts w:hint="eastAsia" w:ascii="宋体" w:hAnsi="宋体" w:eastAsia="宋体" w:cs="宋体"/>
          <w:b/>
          <w:bCs/>
          <w:color w:val="auto"/>
          <w:highlight w:val="none"/>
          <w:lang w:val="zh-CN"/>
        </w:rPr>
        <w:t>）</w:t>
      </w:r>
      <w:r>
        <w:rPr>
          <w:rFonts w:hint="eastAsia" w:ascii="宋体" w:hAnsi="宋体" w:eastAsia="宋体" w:cs="宋体"/>
          <w:b/>
          <w:bCs/>
          <w:color w:val="auto"/>
          <w:highlight w:val="none"/>
          <w:u w:val="single"/>
          <w:lang w:val="zh-CN"/>
        </w:rPr>
        <w:t>招标人有权对投标人提供的业绩进行核查，若发现弄虚作假，有权按照评标委员会推荐的中标候选人名单排序依次确定其他中标候选人为中标人或重新招标，并不予退还投标保证金；若合同履行过程中发现弄虚作假，将没收履约担保，并将上报监督管理部门，从严处理</w:t>
      </w:r>
      <w:r>
        <w:rPr>
          <w:rFonts w:hint="eastAsia" w:ascii="宋体" w:hAnsi="宋体" w:eastAsia="宋体" w:cs="宋体"/>
          <w:b/>
          <w:bCs/>
          <w:color w:val="auto"/>
          <w:highlight w:val="none"/>
          <w:lang w:val="zh-CN"/>
        </w:rPr>
        <w:t>。</w:t>
      </w:r>
    </w:p>
    <w:p>
      <w:pPr>
        <w:autoSpaceDE/>
        <w:autoSpaceDN/>
        <w:adjustRightInd w:val="0"/>
        <w:snapToGrid w:val="0"/>
        <w:spacing w:line="360" w:lineRule="auto"/>
        <w:ind w:left="525" w:leftChars="-41" w:hanging="611" w:hangingChars="290"/>
        <w:jc w:val="left"/>
        <w:rPr>
          <w:rFonts w:hint="eastAsia" w:ascii="宋体" w:hAnsi="宋体" w:eastAsia="宋体" w:cs="宋体"/>
          <w:color w:val="auto"/>
          <w:kern w:val="0"/>
          <w:szCs w:val="21"/>
          <w:highlight w:val="none"/>
        </w:rPr>
      </w:pPr>
      <w:r>
        <w:rPr>
          <w:rFonts w:hint="eastAsia" w:ascii="宋体" w:hAnsi="宋体" w:eastAsia="宋体" w:cs="宋体"/>
          <w:b/>
          <w:bCs/>
          <w:color w:val="auto"/>
          <w:highlight w:val="none"/>
          <w:lang w:val="zh-CN"/>
        </w:rPr>
        <w:t>（</w:t>
      </w:r>
      <w:r>
        <w:rPr>
          <w:rFonts w:hint="eastAsia" w:ascii="宋体" w:hAnsi="宋体" w:eastAsia="宋体" w:cs="宋体"/>
          <w:b/>
          <w:bCs/>
          <w:color w:val="auto"/>
          <w:highlight w:val="none"/>
          <w:lang w:val="en-US" w:eastAsia="zh-CN"/>
        </w:rPr>
        <w:t>8</w:t>
      </w:r>
      <w:r>
        <w:rPr>
          <w:rFonts w:hint="eastAsia" w:ascii="宋体" w:hAnsi="宋体" w:eastAsia="宋体" w:cs="宋体"/>
          <w:b/>
          <w:bCs/>
          <w:color w:val="auto"/>
          <w:highlight w:val="none"/>
          <w:lang w:val="zh-CN"/>
        </w:rPr>
        <w:t>）</w:t>
      </w:r>
      <w:r>
        <w:rPr>
          <w:rFonts w:hint="eastAsia" w:ascii="宋体" w:hAnsi="宋体" w:eastAsia="宋体" w:cs="宋体"/>
          <w:b/>
          <w:bCs/>
          <w:color w:val="auto"/>
          <w:highlight w:val="none"/>
          <w:u w:val="single"/>
        </w:rPr>
        <w:t>在接到招标人通知之日起3个工作日内</w:t>
      </w:r>
      <w:r>
        <w:rPr>
          <w:rFonts w:hint="eastAsia" w:ascii="宋体" w:hAnsi="宋体" w:eastAsia="宋体" w:cs="宋体"/>
          <w:b/>
          <w:bCs/>
          <w:color w:val="auto"/>
          <w:highlight w:val="none"/>
          <w:u w:val="single"/>
          <w:lang w:val="zh-CN"/>
        </w:rPr>
        <w:t>，</w:t>
      </w:r>
      <w:r>
        <w:rPr>
          <w:rFonts w:hint="eastAsia" w:ascii="宋体" w:hAnsi="宋体" w:eastAsia="宋体" w:cs="宋体"/>
          <w:b/>
          <w:bCs/>
          <w:color w:val="auto"/>
          <w:highlight w:val="none"/>
          <w:u w:val="single"/>
        </w:rPr>
        <w:t>投标人必须提供上述合同及其证明材料的原件供招标人核对其真实性</w:t>
      </w:r>
      <w:r>
        <w:rPr>
          <w:rFonts w:hint="eastAsia" w:ascii="宋体" w:hAnsi="宋体" w:eastAsia="宋体" w:cs="宋体"/>
          <w:color w:val="auto"/>
          <w:highlight w:val="none"/>
        </w:rPr>
        <w:t>。</w:t>
      </w:r>
    </w:p>
    <w:p>
      <w:pPr>
        <w:autoSpaceDE w:val="0"/>
        <w:autoSpaceDN w:val="0"/>
        <w:adjustRightInd w:val="0"/>
        <w:spacing w:line="360" w:lineRule="auto"/>
        <w:ind w:firstLine="5040" w:firstLineChars="2400"/>
        <w:jc w:val="left"/>
        <w:rPr>
          <w:rFonts w:hint="eastAsia" w:ascii="宋体" w:hAnsi="宋体" w:eastAsia="宋体" w:cs="宋体"/>
          <w:color w:val="auto"/>
          <w:szCs w:val="24"/>
          <w:highlight w:val="none"/>
          <w:lang w:val="zh-CN"/>
        </w:rPr>
      </w:pPr>
    </w:p>
    <w:p>
      <w:pPr>
        <w:autoSpaceDE w:val="0"/>
        <w:autoSpaceDN w:val="0"/>
        <w:adjustRightInd w:val="0"/>
        <w:spacing w:line="360" w:lineRule="auto"/>
        <w:ind w:firstLine="5040" w:firstLineChars="2400"/>
        <w:jc w:val="left"/>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投标人：（加盖投标人法人公章）</w:t>
      </w:r>
    </w:p>
    <w:p>
      <w:pPr>
        <w:autoSpaceDE w:val="0"/>
        <w:autoSpaceDN w:val="0"/>
        <w:adjustRightInd w:val="0"/>
        <w:spacing w:line="360" w:lineRule="auto"/>
        <w:ind w:firstLine="5040" w:firstLineChars="240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   年   月   日</w:t>
      </w:r>
    </w:p>
    <w:p>
      <w:pPr>
        <w:autoSpaceDE/>
        <w:autoSpaceDN/>
        <w:adjustRightInd/>
        <w:spacing w:line="240" w:lineRule="auto"/>
        <w:ind w:firstLine="0" w:firstLineChars="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pPr>
        <w:pStyle w:val="47"/>
        <w:spacing w:line="360" w:lineRule="auto"/>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附表：已服务发票金额统计表</w:t>
      </w:r>
    </w:p>
    <w:tbl>
      <w:tblPr>
        <w:tblStyle w:val="38"/>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586"/>
        <w:gridCol w:w="1274"/>
        <w:gridCol w:w="1558"/>
        <w:gridCol w:w="1241"/>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r>
              <w:rPr>
                <w:rFonts w:hint="eastAsia" w:ascii="宋体" w:hAnsi="宋体"/>
                <w:color w:val="auto"/>
                <w:sz w:val="21"/>
                <w:szCs w:val="21"/>
                <w:highlight w:val="none"/>
              </w:rPr>
              <w:t>项目名称</w:t>
            </w:r>
          </w:p>
        </w:tc>
        <w:tc>
          <w:tcPr>
            <w:tcW w:w="5668" w:type="dxa"/>
            <w:gridSpan w:val="5"/>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r>
              <w:rPr>
                <w:rFonts w:hint="eastAsia" w:ascii="宋体" w:hAnsi="宋体"/>
                <w:color w:val="auto"/>
                <w:sz w:val="21"/>
                <w:szCs w:val="21"/>
                <w:highlight w:val="none"/>
              </w:rPr>
              <w:t>合同约定的供货期</w:t>
            </w:r>
          </w:p>
        </w:tc>
        <w:tc>
          <w:tcPr>
            <w:tcW w:w="5668" w:type="dxa"/>
            <w:gridSpan w:val="5"/>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r>
              <w:rPr>
                <w:rFonts w:hint="eastAsia" w:ascii="宋体" w:hAnsi="宋体"/>
                <w:color w:val="auto"/>
                <w:sz w:val="21"/>
                <w:szCs w:val="21"/>
                <w:highlight w:val="none"/>
              </w:rPr>
              <w:t>发票抬头（合同购买方）</w:t>
            </w:r>
          </w:p>
        </w:tc>
        <w:tc>
          <w:tcPr>
            <w:tcW w:w="5668" w:type="dxa"/>
            <w:gridSpan w:val="5"/>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3202"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发票名目</w:t>
            </w:r>
          </w:p>
        </w:tc>
        <w:tc>
          <w:tcPr>
            <w:tcW w:w="1586"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发票金额</w:t>
            </w:r>
          </w:p>
        </w:tc>
        <w:tc>
          <w:tcPr>
            <w:tcW w:w="1274"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发票号码</w:t>
            </w:r>
          </w:p>
        </w:tc>
        <w:tc>
          <w:tcPr>
            <w:tcW w:w="1558"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发票所属时期</w:t>
            </w:r>
          </w:p>
        </w:tc>
        <w:tc>
          <w:tcPr>
            <w:tcW w:w="1241"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jc w:val="center"/>
              <w:rPr>
                <w:rFonts w:ascii="宋体" w:hAnsi="宋体"/>
                <w:color w:val="auto"/>
                <w:sz w:val="21"/>
                <w:szCs w:val="21"/>
                <w:highlight w:val="none"/>
              </w:rPr>
            </w:pPr>
            <w:r>
              <w:rPr>
                <w:rFonts w:ascii="宋体" w:hAnsi="宋体"/>
                <w:color w:val="auto"/>
                <w:sz w:val="21"/>
                <w:szCs w:val="21"/>
                <w:highlight w:val="none"/>
              </w:rPr>
              <w:t>1</w:t>
            </w:r>
          </w:p>
        </w:tc>
        <w:tc>
          <w:tcPr>
            <w:tcW w:w="3202"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jc w:val="center"/>
              <w:rPr>
                <w:rFonts w:ascii="宋体" w:hAnsi="宋体"/>
                <w:color w:val="auto"/>
                <w:sz w:val="21"/>
                <w:szCs w:val="21"/>
                <w:highlight w:val="none"/>
              </w:rPr>
            </w:pPr>
            <w:r>
              <w:rPr>
                <w:rFonts w:ascii="宋体" w:hAnsi="宋体"/>
                <w:color w:val="auto"/>
                <w:sz w:val="21"/>
                <w:szCs w:val="21"/>
                <w:highlight w:val="none"/>
              </w:rPr>
              <w:t>2</w:t>
            </w:r>
          </w:p>
        </w:tc>
        <w:tc>
          <w:tcPr>
            <w:tcW w:w="3202"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jc w:val="center"/>
              <w:rPr>
                <w:rFonts w:ascii="宋体" w:hAnsi="宋体"/>
                <w:color w:val="auto"/>
                <w:sz w:val="21"/>
                <w:szCs w:val="21"/>
                <w:highlight w:val="none"/>
              </w:rPr>
            </w:pPr>
            <w:r>
              <w:rPr>
                <w:rFonts w:ascii="宋体" w:hAnsi="宋体"/>
                <w:color w:val="auto"/>
                <w:sz w:val="21"/>
                <w:szCs w:val="21"/>
                <w:highlight w:val="none"/>
              </w:rPr>
              <w:t>3</w:t>
            </w:r>
          </w:p>
        </w:tc>
        <w:tc>
          <w:tcPr>
            <w:tcW w:w="3202"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jc w:val="center"/>
              <w:rPr>
                <w:rFonts w:ascii="宋体" w:hAnsi="宋体"/>
                <w:color w:val="auto"/>
                <w:sz w:val="21"/>
                <w:szCs w:val="21"/>
                <w:highlight w:val="none"/>
              </w:rPr>
            </w:pPr>
            <w:r>
              <w:rPr>
                <w:rFonts w:ascii="宋体" w:hAnsi="宋体"/>
                <w:color w:val="auto"/>
                <w:sz w:val="21"/>
                <w:szCs w:val="21"/>
                <w:highlight w:val="none"/>
              </w:rPr>
              <w:t>...</w:t>
            </w:r>
          </w:p>
        </w:tc>
        <w:tc>
          <w:tcPr>
            <w:tcW w:w="3202"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4079" w:type="dxa"/>
            <w:gridSpan w:val="2"/>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发票金额合计</w:t>
            </w:r>
          </w:p>
        </w:tc>
        <w:tc>
          <w:tcPr>
            <w:tcW w:w="1586"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pStyle w:val="19"/>
              <w:snapToGrid w:val="0"/>
              <w:spacing w:line="360" w:lineRule="auto"/>
              <w:ind w:left="0" w:leftChars="0" w:firstLine="210"/>
              <w:jc w:val="center"/>
              <w:rPr>
                <w:rFonts w:ascii="宋体" w:hAnsi="宋体"/>
                <w:color w:val="auto"/>
                <w:sz w:val="21"/>
                <w:szCs w:val="21"/>
                <w:highlight w:val="none"/>
              </w:rPr>
            </w:pPr>
          </w:p>
        </w:tc>
      </w:tr>
    </w:tbl>
    <w:p>
      <w:pPr>
        <w:snapToGrid w:val="0"/>
        <w:spacing w:line="360" w:lineRule="auto"/>
        <w:ind w:left="491" w:leftChars="-57" w:hanging="611" w:hangingChars="291"/>
        <w:rPr>
          <w:rFonts w:hAnsi="宋体" w:eastAsia="+中文正文"/>
          <w:color w:val="auto"/>
          <w:sz w:val="21"/>
          <w:szCs w:val="21"/>
          <w:highlight w:val="none"/>
        </w:rPr>
      </w:pPr>
    </w:p>
    <w:p>
      <w:pPr>
        <w:snapToGrid w:val="0"/>
        <w:spacing w:line="360" w:lineRule="auto"/>
        <w:ind w:left="491" w:leftChars="-57" w:hanging="611" w:hangingChars="29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snapToGrid w:val="0"/>
        <w:spacing w:line="360" w:lineRule="auto"/>
        <w:ind w:left="548" w:leftChars="59" w:hanging="424" w:hanging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（1）投标人提供框架式协议或资格入围无明确金额的合同时，须同时提供本统计表及服务发票复印件，本统计表及发票复印件应后附于合同复印件。</w:t>
      </w:r>
    </w:p>
    <w:p>
      <w:pPr>
        <w:snapToGrid w:val="0"/>
        <w:spacing w:line="360" w:lineRule="auto"/>
        <w:ind w:left="548" w:leftChars="59" w:hanging="424" w:hanging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（2）发票抬头应为合同购买方，收款人应为投标人，且发票名目、所属时期应与合同约定内容一致，否则不计分。</w:t>
      </w:r>
    </w:p>
    <w:p>
      <w:pPr>
        <w:snapToGrid w:val="0"/>
        <w:spacing w:line="360" w:lineRule="auto"/>
        <w:ind w:left="548" w:leftChars="59" w:hanging="424" w:hanging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（3）发票合计金额视为投标人所提供该项服务业绩的金额，并按此金额进行评审。</w:t>
      </w:r>
    </w:p>
    <w:p>
      <w:pPr>
        <w:autoSpaceDE w:val="0"/>
        <w:autoSpaceDN w:val="0"/>
        <w:adjustRightInd w:val="0"/>
        <w:spacing w:line="360" w:lineRule="auto"/>
        <w:ind w:firstLine="5040" w:firstLineChars="2400"/>
        <w:jc w:val="left"/>
        <w:rPr>
          <w:rFonts w:hint="eastAsia" w:ascii="宋体" w:hAnsi="宋体" w:eastAsia="宋体" w:cs="宋体"/>
          <w:color w:val="auto"/>
          <w:szCs w:val="24"/>
          <w:highlight w:val="none"/>
          <w:lang w:val="zh-CN"/>
        </w:rPr>
      </w:pPr>
    </w:p>
    <w:bookmarkEnd w:id="703"/>
    <w:bookmarkEnd w:id="704"/>
    <w:p>
      <w:pPr>
        <w:pageBreakBefore/>
        <w:spacing w:before="120" w:after="120" w:line="360" w:lineRule="auto"/>
        <w:jc w:val="left"/>
        <w:outlineLvl w:val="2"/>
        <w:rPr>
          <w:rFonts w:hint="eastAsia" w:ascii="宋体" w:hAnsi="宋体" w:eastAsia="宋体" w:cs="宋体"/>
          <w:b/>
          <w:bCs/>
          <w:color w:val="auto"/>
          <w:kern w:val="0"/>
          <w:sz w:val="32"/>
          <w:szCs w:val="32"/>
          <w:highlight w:val="none"/>
          <w:lang w:val="zh-CN"/>
        </w:rPr>
      </w:pPr>
      <w:bookmarkStart w:id="705" w:name="_Toc140596938"/>
      <w:bookmarkStart w:id="706" w:name="_Toc104991885"/>
      <w:bookmarkStart w:id="707" w:name="_Toc19890"/>
      <w:bookmarkStart w:id="708" w:name="_Toc94107220"/>
      <w:bookmarkStart w:id="709" w:name="_Toc533708132"/>
      <w:bookmarkStart w:id="710" w:name="_Toc18175_WPSOffice_Level2"/>
      <w:bookmarkStart w:id="711" w:name="_Toc18413"/>
      <w:bookmarkStart w:id="712" w:name="_Toc486167719"/>
      <w:bookmarkStart w:id="713" w:name="_Toc16185"/>
      <w:bookmarkStart w:id="714" w:name="_Toc1977737"/>
      <w:bookmarkStart w:id="715" w:name="_Toc102860083"/>
      <w:bookmarkStart w:id="716" w:name="_Toc102860427"/>
      <w:bookmarkStart w:id="717" w:name="_Toc2433"/>
      <w:bookmarkStart w:id="718" w:name="_Toc31965"/>
      <w:bookmarkStart w:id="719" w:name="_Toc142508378"/>
      <w:r>
        <w:rPr>
          <w:rFonts w:hint="eastAsia" w:ascii="宋体" w:hAnsi="宋体" w:eastAsia="宋体" w:cs="宋体"/>
          <w:b/>
          <w:bCs/>
          <w:color w:val="auto"/>
          <w:kern w:val="0"/>
          <w:sz w:val="32"/>
          <w:szCs w:val="32"/>
          <w:highlight w:val="none"/>
          <w:lang w:val="zh-CN"/>
        </w:rPr>
        <w:t>十一、投标保证金汇入情况说明</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pPr>
        <w:autoSpaceDE w:val="0"/>
        <w:autoSpaceDN w:val="0"/>
        <w:adjustRightInd w:val="0"/>
        <w:spacing w:line="360" w:lineRule="auto"/>
        <w:jc w:val="left"/>
        <w:rPr>
          <w:rFonts w:hint="eastAsia" w:ascii="宋体" w:hAnsi="宋体" w:eastAsia="宋体" w:cs="宋体"/>
          <w:color w:val="auto"/>
          <w:szCs w:val="24"/>
          <w:highlight w:val="none"/>
        </w:rPr>
      </w:pPr>
    </w:p>
    <w:p>
      <w:pPr>
        <w:autoSpaceDE w:val="0"/>
        <w:autoSpaceDN w:val="0"/>
        <w:adjustRightInd w:val="0"/>
        <w:spacing w:line="360" w:lineRule="auto"/>
        <w:jc w:val="center"/>
        <w:rPr>
          <w:rFonts w:hint="eastAsia" w:ascii="宋体" w:hAnsi="宋体" w:eastAsia="宋体" w:cs="宋体"/>
          <w:b/>
          <w:bCs/>
          <w:color w:val="auto"/>
          <w:kern w:val="0"/>
          <w:sz w:val="24"/>
          <w:szCs w:val="24"/>
          <w:highlight w:val="none"/>
        </w:rPr>
      </w:pPr>
      <w:bookmarkStart w:id="720" w:name="_Toc31832_WPSOffice_Level3"/>
      <w:r>
        <w:rPr>
          <w:rFonts w:hint="eastAsia" w:ascii="宋体" w:hAnsi="宋体" w:eastAsia="宋体" w:cs="宋体"/>
          <w:b/>
          <w:bCs/>
          <w:color w:val="auto"/>
          <w:kern w:val="0"/>
          <w:sz w:val="24"/>
          <w:szCs w:val="24"/>
          <w:highlight w:val="none"/>
        </w:rPr>
        <w:t>投标保证金汇入情况说明</w:t>
      </w:r>
      <w:bookmarkEnd w:id="720"/>
    </w:p>
    <w:p>
      <w:pPr>
        <w:autoSpaceDE w:val="0"/>
        <w:autoSpaceDN w:val="0"/>
        <w:adjustRightInd w:val="0"/>
        <w:spacing w:line="360" w:lineRule="auto"/>
        <w:jc w:val="center"/>
        <w:rPr>
          <w:rFonts w:hint="eastAsia" w:ascii="宋体" w:hAnsi="宋体" w:eastAsia="宋体" w:cs="宋体"/>
          <w:b/>
          <w:bCs/>
          <w:color w:val="auto"/>
          <w:kern w:val="0"/>
          <w:szCs w:val="24"/>
          <w:highlight w:val="none"/>
        </w:rPr>
      </w:pP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东莞市利源有机资源再生利用有限公司</w:t>
      </w:r>
      <w:r>
        <w:rPr>
          <w:rFonts w:hint="eastAsia" w:ascii="宋体" w:hAnsi="宋体" w:eastAsia="宋体" w:cs="宋体"/>
          <w:color w:val="auto"/>
          <w:szCs w:val="21"/>
          <w:highlight w:val="none"/>
        </w:rPr>
        <w:t>：</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东莞市利源有机资源再生利用有限公司2024-2025年餐厨垃圾收运服务采购项目（重新招标）</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0832-SFCX24DG024C-1</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省         市         </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pPr>
        <w:spacing w:line="360" w:lineRule="auto"/>
        <w:ind w:right="844" w:rightChars="402" w:firstLine="424" w:firstLineChars="202"/>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pPr>
        <w:spacing w:line="360" w:lineRule="auto"/>
        <w:ind w:right="628" w:rightChars="299" w:firstLine="7774" w:firstLineChars="3702"/>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年   月   日</w:t>
      </w:r>
    </w:p>
    <w:p>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单位名称：</w:t>
      </w:r>
    </w:p>
    <w:p>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单位地址：</w:t>
      </w:r>
    </w:p>
    <w:p>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w:t>
      </w:r>
    </w:p>
    <w:p>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联系人手机：</w:t>
      </w:r>
    </w:p>
    <w:p>
      <w:pPr>
        <w:spacing w:line="360" w:lineRule="auto"/>
        <w:ind w:left="340" w:leftChars="162" w:firstLine="425"/>
        <w:rPr>
          <w:rFonts w:hint="eastAsia" w:ascii="宋体" w:hAnsi="宋体" w:eastAsia="宋体" w:cs="宋体"/>
          <w:b/>
          <w:bCs/>
          <w:color w:val="auto"/>
          <w:szCs w:val="21"/>
          <w:highlight w:val="none"/>
        </w:rPr>
      </w:pPr>
      <w:bookmarkStart w:id="721" w:name="_Toc26208_WPSOffice_Level3"/>
      <w:r>
        <w:rPr>
          <w:rFonts w:hint="eastAsia" w:ascii="宋体" w:hAnsi="宋体" w:eastAsia="宋体" w:cs="宋体"/>
          <w:b/>
          <w:bCs/>
          <w:color w:val="auto"/>
          <w:szCs w:val="21"/>
          <w:highlight w:val="none"/>
        </w:rPr>
        <w:t>附：1、我方投标保证金汇款凭证（复印件）</w:t>
      </w:r>
      <w:bookmarkEnd w:id="721"/>
    </w:p>
    <w:p>
      <w:pPr>
        <w:spacing w:line="360" w:lineRule="auto"/>
        <w:ind w:left="340" w:leftChars="162" w:firstLine="839" w:firstLineChars="398"/>
        <w:rPr>
          <w:rFonts w:hint="eastAsia" w:ascii="宋体" w:hAnsi="宋体" w:eastAsia="宋体" w:cs="宋体"/>
          <w:b/>
          <w:bCs/>
          <w:color w:val="auto"/>
          <w:szCs w:val="21"/>
          <w:highlight w:val="none"/>
        </w:rPr>
      </w:pPr>
      <w:bookmarkStart w:id="722" w:name="_Toc12992_WPSOffice_Level3"/>
      <w:r>
        <w:rPr>
          <w:rFonts w:hint="eastAsia" w:ascii="宋体" w:hAnsi="宋体" w:eastAsia="宋体" w:cs="宋体"/>
          <w:b/>
          <w:bCs/>
          <w:color w:val="auto"/>
          <w:szCs w:val="21"/>
          <w:highlight w:val="none"/>
        </w:rPr>
        <w:t>2、我方基本账户开户许可证（复印件）</w:t>
      </w:r>
      <w:bookmarkEnd w:id="722"/>
    </w:p>
    <w:p>
      <w:pPr>
        <w:spacing w:line="360" w:lineRule="auto"/>
        <w:ind w:left="340" w:leftChars="162" w:firstLine="736" w:firstLineChars="34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pPr>
        <w:autoSpaceDE w:val="0"/>
        <w:autoSpaceDN w:val="0"/>
        <w:adjustRightInd w:val="0"/>
        <w:spacing w:line="360" w:lineRule="auto"/>
        <w:ind w:firstLine="5145" w:firstLineChars="2450"/>
        <w:rPr>
          <w:rFonts w:hint="eastAsia" w:ascii="宋体" w:hAnsi="宋体" w:eastAsia="宋体" w:cs="宋体"/>
          <w:color w:val="auto"/>
          <w:szCs w:val="24"/>
          <w:highlight w:val="none"/>
          <w:lang w:val="zh-CN"/>
        </w:rPr>
      </w:pPr>
    </w:p>
    <w:p>
      <w:pPr>
        <w:spacing w:line="360" w:lineRule="auto"/>
        <w:rPr>
          <w:rFonts w:hint="eastAsia" w:ascii="宋体" w:hAnsi="宋体" w:eastAsia="宋体" w:cs="宋体"/>
          <w:b/>
          <w:color w:val="auto"/>
          <w:kern w:val="0"/>
          <w:szCs w:val="21"/>
          <w:highlight w:val="none"/>
        </w:rPr>
      </w:pPr>
      <w:bookmarkStart w:id="723" w:name="_Toc533708134"/>
      <w:bookmarkStart w:id="724" w:name="_Toc486167721"/>
    </w:p>
    <w:p>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bookmarkStart w:id="725" w:name="_Toc1977738"/>
      <w:bookmarkStart w:id="726" w:name="_Toc104991886"/>
      <w:bookmarkStart w:id="727" w:name="_Toc94107221"/>
      <w:bookmarkStart w:id="728" w:name="_Toc142508379"/>
      <w:bookmarkStart w:id="729" w:name="_Toc24616"/>
      <w:bookmarkStart w:id="730" w:name="_Toc140596939"/>
      <w:bookmarkStart w:id="731" w:name="_Toc102860428"/>
      <w:bookmarkStart w:id="732" w:name="_Toc102860084"/>
    </w:p>
    <w:p>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733" w:name="_Toc7420"/>
      <w:bookmarkStart w:id="734" w:name="_Toc2007"/>
      <w:bookmarkStart w:id="735" w:name="_Toc29652"/>
      <w:bookmarkStart w:id="736" w:name="_Toc11074"/>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二</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725"/>
      <w:bookmarkEnd w:id="726"/>
      <w:bookmarkEnd w:id="727"/>
      <w:bookmarkEnd w:id="728"/>
      <w:bookmarkEnd w:id="729"/>
      <w:bookmarkEnd w:id="730"/>
      <w:bookmarkEnd w:id="731"/>
      <w:bookmarkEnd w:id="732"/>
      <w:bookmarkEnd w:id="733"/>
      <w:bookmarkEnd w:id="734"/>
      <w:bookmarkEnd w:id="735"/>
      <w:bookmarkEnd w:id="736"/>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rPr>
      </w:pPr>
      <w:bookmarkStart w:id="737" w:name="_Toc1977739"/>
      <w:bookmarkStart w:id="738" w:name="_Toc140596940"/>
      <w:bookmarkStart w:id="739" w:name="_Toc31916"/>
      <w:bookmarkStart w:id="740" w:name="_Toc142508380"/>
      <w:bookmarkStart w:id="741" w:name="_Toc94107222"/>
      <w:bookmarkStart w:id="742" w:name="_Toc102860085"/>
      <w:bookmarkStart w:id="743" w:name="_Toc31389"/>
      <w:bookmarkStart w:id="744" w:name="_Toc104991887"/>
      <w:bookmarkStart w:id="745" w:name="_Toc102860429"/>
      <w:bookmarkStart w:id="746" w:name="_Toc10308"/>
      <w:bookmarkStart w:id="747" w:name="_Toc27482"/>
      <w:bookmarkStart w:id="748" w:name="_Toc18038"/>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、技术响应文件格式</w:t>
      </w:r>
      <w:bookmarkEnd w:id="723"/>
      <w:bookmarkEnd w:id="737"/>
      <w:bookmarkEnd w:id="738"/>
      <w:bookmarkEnd w:id="739"/>
      <w:bookmarkEnd w:id="740"/>
      <w:bookmarkEnd w:id="741"/>
      <w:bookmarkEnd w:id="742"/>
      <w:bookmarkEnd w:id="743"/>
      <w:bookmarkEnd w:id="744"/>
      <w:bookmarkEnd w:id="745"/>
      <w:bookmarkEnd w:id="746"/>
      <w:bookmarkEnd w:id="747"/>
      <w:bookmarkEnd w:id="748"/>
    </w:p>
    <w:p>
      <w:pPr>
        <w:tabs>
          <w:tab w:val="left" w:pos="864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w:t>
      </w:r>
      <w:r>
        <w:rPr>
          <w:rFonts w:hint="eastAsia" w:ascii="宋体" w:hAnsi="宋体" w:eastAsia="宋体" w:cs="宋体"/>
          <w:color w:val="auto"/>
          <w:kern w:val="0"/>
          <w:szCs w:val="21"/>
          <w:highlight w:val="none"/>
          <w:lang w:val="en-US" w:eastAsia="zh-CN"/>
        </w:rPr>
        <w:t>13</w:t>
      </w:r>
      <w:r>
        <w:rPr>
          <w:rFonts w:hint="eastAsia" w:ascii="宋体" w:hAnsi="宋体" w:eastAsia="宋体" w:cs="宋体"/>
          <w:color w:val="auto"/>
          <w:kern w:val="0"/>
          <w:szCs w:val="21"/>
          <w:highlight w:val="none"/>
        </w:rPr>
        <w:t>.1用户需求偏离表格式）；</w:t>
      </w:r>
    </w:p>
    <w:p>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2、总体服务方案；</w:t>
      </w:r>
    </w:p>
    <w:p>
      <w:pPr>
        <w:spacing w:line="360" w:lineRule="auto"/>
        <w:ind w:left="443" w:leftChars="77" w:hanging="281" w:hangingChars="134"/>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拟投入的人员情况</w:t>
      </w:r>
      <w:r>
        <w:rPr>
          <w:rFonts w:hint="eastAsia" w:ascii="宋体" w:hAnsi="宋体" w:eastAsia="宋体" w:cs="宋体"/>
          <w:color w:val="auto"/>
          <w:kern w:val="0"/>
          <w:szCs w:val="21"/>
          <w:highlight w:val="none"/>
          <w:lang w:eastAsia="zh-CN"/>
        </w:rPr>
        <w:t>；</w:t>
      </w:r>
    </w:p>
    <w:p>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安全管理方案</w:t>
      </w:r>
      <w:r>
        <w:rPr>
          <w:rFonts w:hint="eastAsia" w:ascii="宋体" w:hAnsi="宋体" w:eastAsia="宋体" w:cs="宋体"/>
          <w:color w:val="auto"/>
          <w:kern w:val="0"/>
          <w:szCs w:val="21"/>
          <w:highlight w:val="none"/>
        </w:rPr>
        <w:t>；</w:t>
      </w:r>
    </w:p>
    <w:p>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应急预案和保障措施</w:t>
      </w:r>
      <w:r>
        <w:rPr>
          <w:rFonts w:hint="eastAsia" w:ascii="宋体" w:hAnsi="宋体" w:eastAsia="宋体" w:cs="宋体"/>
          <w:color w:val="auto"/>
          <w:kern w:val="0"/>
          <w:szCs w:val="21"/>
          <w:highlight w:val="none"/>
        </w:rPr>
        <w:t>；</w:t>
      </w:r>
    </w:p>
    <w:p>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pPr>
        <w:pStyle w:val="19"/>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724"/>
      <w:bookmarkStart w:id="749" w:name="_Toc142508381"/>
      <w:bookmarkStart w:id="750" w:name="_Toc533708135"/>
      <w:bookmarkStart w:id="751" w:name="_Toc1977740"/>
      <w:bookmarkStart w:id="752" w:name="_Toc104991888"/>
      <w:bookmarkStart w:id="753" w:name="_Toc102860430"/>
      <w:bookmarkStart w:id="754" w:name="_Toc102860086"/>
      <w:bookmarkStart w:id="755" w:name="_Toc140596941"/>
      <w:bookmarkStart w:id="756" w:name="_Toc94107223"/>
    </w:p>
    <w:p>
      <w:pPr>
        <w:pStyle w:val="19"/>
        <w:spacing w:line="360" w:lineRule="auto"/>
        <w:jc w:val="center"/>
        <w:rPr>
          <w:rFonts w:hint="eastAsia" w:ascii="宋体" w:hAnsi="宋体" w:eastAsia="宋体" w:cs="宋体"/>
          <w:b/>
          <w:color w:val="auto"/>
          <w:kern w:val="0"/>
          <w:szCs w:val="21"/>
          <w:highlight w:val="none"/>
        </w:rPr>
      </w:pPr>
    </w:p>
    <w:p>
      <w:pPr>
        <w:pStyle w:val="19"/>
        <w:spacing w:line="360" w:lineRule="auto"/>
        <w:jc w:val="center"/>
        <w:rPr>
          <w:rFonts w:hint="eastAsia" w:ascii="宋体" w:hAnsi="宋体" w:eastAsia="宋体" w:cs="宋体"/>
          <w:b/>
          <w:color w:val="auto"/>
          <w:kern w:val="0"/>
          <w:szCs w:val="21"/>
          <w:highlight w:val="none"/>
        </w:rPr>
      </w:pPr>
    </w:p>
    <w:p>
      <w:pPr>
        <w:pStyle w:val="19"/>
        <w:spacing w:line="360" w:lineRule="auto"/>
        <w:jc w:val="center"/>
        <w:rPr>
          <w:rFonts w:hint="eastAsia" w:ascii="宋体" w:hAnsi="宋体" w:eastAsia="宋体" w:cs="宋体"/>
          <w:b/>
          <w:color w:val="auto"/>
          <w:kern w:val="0"/>
          <w:szCs w:val="21"/>
          <w:highlight w:val="none"/>
        </w:rPr>
      </w:pPr>
    </w:p>
    <w:p>
      <w:pPr>
        <w:pStyle w:val="19"/>
        <w:spacing w:line="360" w:lineRule="auto"/>
        <w:jc w:val="center"/>
        <w:rPr>
          <w:rFonts w:hint="eastAsia" w:ascii="宋体" w:hAnsi="宋体" w:eastAsia="宋体" w:cs="宋体"/>
          <w:b/>
          <w:color w:val="auto"/>
          <w:kern w:val="0"/>
          <w:szCs w:val="21"/>
          <w:highlight w:val="none"/>
        </w:rPr>
      </w:pPr>
    </w:p>
    <w:p>
      <w:pPr>
        <w:pStyle w:val="19"/>
        <w:spacing w:line="360" w:lineRule="auto"/>
        <w:jc w:val="center"/>
        <w:rPr>
          <w:rFonts w:hint="eastAsia" w:ascii="宋体" w:hAnsi="宋体" w:eastAsia="宋体" w:cs="宋体"/>
          <w:b/>
          <w:color w:val="auto"/>
          <w:kern w:val="0"/>
          <w:szCs w:val="21"/>
          <w:highlight w:val="none"/>
        </w:rPr>
      </w:pPr>
    </w:p>
    <w:p>
      <w:pPr>
        <w:pStyle w:val="19"/>
        <w:spacing w:line="360" w:lineRule="auto"/>
        <w:jc w:val="center"/>
        <w:rPr>
          <w:rFonts w:hint="eastAsia" w:ascii="宋体" w:hAnsi="宋体" w:eastAsia="宋体" w:cs="宋体"/>
          <w:b/>
          <w:color w:val="auto"/>
          <w:kern w:val="0"/>
          <w:szCs w:val="21"/>
          <w:highlight w:val="none"/>
        </w:rPr>
      </w:pPr>
    </w:p>
    <w:p>
      <w:pPr>
        <w:pStyle w:val="19"/>
        <w:spacing w:line="360" w:lineRule="auto"/>
        <w:jc w:val="center"/>
        <w:rPr>
          <w:rFonts w:hint="eastAsia" w:ascii="宋体" w:hAnsi="宋体" w:eastAsia="宋体" w:cs="宋体"/>
          <w:b/>
          <w:color w:val="auto"/>
          <w:kern w:val="0"/>
          <w:szCs w:val="21"/>
          <w:highlight w:val="none"/>
        </w:rPr>
      </w:pPr>
    </w:p>
    <w:p>
      <w:pPr>
        <w:pStyle w:val="19"/>
        <w:spacing w:line="360" w:lineRule="auto"/>
        <w:jc w:val="center"/>
        <w:rPr>
          <w:rFonts w:hint="eastAsia" w:ascii="宋体" w:hAnsi="宋体" w:eastAsia="宋体" w:cs="宋体"/>
          <w:b/>
          <w:color w:val="auto"/>
          <w:kern w:val="0"/>
          <w:szCs w:val="21"/>
          <w:highlight w:val="none"/>
        </w:rPr>
      </w:pPr>
    </w:p>
    <w:p>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p>
    <w:p>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eastAsia="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19"/>
        <w:spacing w:line="360" w:lineRule="auto"/>
        <w:rPr>
          <w:rFonts w:hint="eastAsia" w:ascii="宋体" w:hAnsi="宋体" w:eastAsia="宋体" w:cs="宋体"/>
          <w:color w:val="auto"/>
          <w:highlight w:val="none"/>
        </w:rPr>
      </w:pPr>
    </w:p>
    <w:p>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253"/>
        <w:gridCol w:w="2522"/>
        <w:gridCol w:w="1975"/>
        <w:gridCol w:w="36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7" w:type="pct"/>
            <w:vAlign w:val="center"/>
          </w:tcPr>
          <w:p>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0" w:type="pct"/>
            <w:tcBorders>
              <w:left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047"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pPr>
              <w:rPr>
                <w:rFonts w:hint="eastAsia" w:ascii="宋体" w:hAnsi="宋体" w:eastAsia="宋体" w:cs="宋体"/>
                <w:bCs/>
                <w:color w:val="auto"/>
                <w:szCs w:val="21"/>
                <w:highlight w:val="none"/>
              </w:rPr>
            </w:pPr>
          </w:p>
        </w:tc>
        <w:tc>
          <w:tcPr>
            <w:tcW w:w="1337" w:type="pct"/>
            <w:vAlign w:val="center"/>
          </w:tcPr>
          <w:p>
            <w:pPr>
              <w:rPr>
                <w:rFonts w:hint="eastAsia" w:ascii="宋体" w:hAnsi="宋体" w:eastAsia="宋体" w:cs="宋体"/>
                <w:bCs/>
                <w:color w:val="auto"/>
                <w:szCs w:val="21"/>
                <w:highlight w:val="none"/>
              </w:rPr>
            </w:pPr>
          </w:p>
        </w:tc>
        <w:tc>
          <w:tcPr>
            <w:tcW w:w="1047" w:type="pct"/>
            <w:vAlign w:val="center"/>
          </w:tcPr>
          <w:p>
            <w:pPr>
              <w:rPr>
                <w:rFonts w:hint="eastAsia" w:ascii="宋体" w:hAnsi="宋体" w:eastAsia="宋体" w:cs="宋体"/>
                <w:bCs/>
                <w:color w:val="auto"/>
                <w:szCs w:val="21"/>
                <w:highlight w:val="none"/>
              </w:rPr>
            </w:pPr>
          </w:p>
        </w:tc>
        <w:tc>
          <w:tcPr>
            <w:tcW w:w="1950" w:type="pct"/>
            <w:tcBorders>
              <w:left w:val="single" w:color="auto" w:sz="4" w:space="0"/>
            </w:tcBorders>
            <w:vAlign w:val="center"/>
          </w:tcPr>
          <w:p>
            <w:pPr>
              <w:adjustRightInd w:val="0"/>
              <w:snapToGrid w:val="0"/>
              <w:spacing w:line="360" w:lineRule="auto"/>
              <w:ind w:firstLine="105" w:firstLineChars="5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pPr>
              <w:adjustRightInd w:val="0"/>
              <w:snapToGrid w:val="0"/>
              <w:spacing w:line="360" w:lineRule="auto"/>
              <w:rPr>
                <w:rFonts w:hint="eastAsia" w:ascii="宋体" w:hAnsi="宋体" w:eastAsia="宋体" w:cs="宋体"/>
                <w:bCs/>
                <w:color w:val="auto"/>
                <w:szCs w:val="21"/>
                <w:highlight w:val="none"/>
              </w:rPr>
            </w:pPr>
          </w:p>
        </w:tc>
        <w:tc>
          <w:tcPr>
            <w:tcW w:w="1047"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tcBorders>
            <w:vAlign w:val="center"/>
          </w:tcPr>
          <w:p>
            <w:pPr>
              <w:spacing w:line="360" w:lineRule="auto"/>
              <w:ind w:firstLine="8" w:firstLineChars="4"/>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c>
          <w:tcPr>
            <w:tcW w:w="1047"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7" w:type="pct"/>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bottom w:val="single" w:color="auto" w:sz="4" w:space="0"/>
            </w:tcBorders>
            <w:vAlign w:val="center"/>
          </w:tcPr>
          <w:p>
            <w:pPr>
              <w:spacing w:line="360" w:lineRule="auto"/>
              <w:jc w:val="center"/>
              <w:rPr>
                <w:rFonts w:hint="eastAsia" w:ascii="宋体" w:hAnsi="宋体" w:eastAsia="宋体" w:cs="宋体"/>
                <w:bCs/>
                <w:color w:val="auto"/>
                <w:szCs w:val="21"/>
                <w:highlight w:val="none"/>
              </w:rPr>
            </w:pPr>
          </w:p>
        </w:tc>
      </w:tr>
    </w:tbl>
    <w:p>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757" w:name="_Toc27934"/>
      <w:bookmarkStart w:id="758" w:name="_Toc11447"/>
      <w:bookmarkStart w:id="759" w:name="_Toc18999"/>
      <w:bookmarkStart w:id="760" w:name="_Toc30448"/>
      <w:bookmarkStart w:id="761" w:name="_Toc23512"/>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.1 用户需求偏离表格式</w:t>
      </w:r>
      <w:bookmarkEnd w:id="749"/>
      <w:bookmarkEnd w:id="750"/>
      <w:bookmarkEnd w:id="751"/>
      <w:bookmarkEnd w:id="752"/>
      <w:bookmarkEnd w:id="753"/>
      <w:bookmarkEnd w:id="754"/>
      <w:bookmarkEnd w:id="755"/>
      <w:bookmarkEnd w:id="756"/>
      <w:bookmarkEnd w:id="757"/>
      <w:bookmarkEnd w:id="758"/>
      <w:bookmarkEnd w:id="759"/>
      <w:bookmarkEnd w:id="760"/>
      <w:bookmarkEnd w:id="761"/>
    </w:p>
    <w:p>
      <w:pPr>
        <w:spacing w:before="120" w:after="120" w:line="360" w:lineRule="auto"/>
        <w:jc w:val="center"/>
        <w:rPr>
          <w:rFonts w:ascii="宋体" w:hAnsi="宋体" w:eastAsia="宋体" w:cs="Times New Roman"/>
          <w:color w:val="auto"/>
          <w:kern w:val="0"/>
          <w:szCs w:val="21"/>
          <w:highlight w:val="none"/>
        </w:rPr>
      </w:pPr>
      <w:bookmarkStart w:id="762" w:name="_Toc17449_WPSOffice_Level3"/>
      <w:r>
        <w:rPr>
          <w:rFonts w:hint="eastAsia" w:ascii="宋体" w:hAnsi="宋体" w:eastAsia="宋体" w:cs="宋体"/>
          <w:b/>
          <w:color w:val="auto"/>
          <w:kern w:val="0"/>
          <w:sz w:val="30"/>
          <w:szCs w:val="30"/>
          <w:highlight w:val="none"/>
          <w:lang w:val="zh-CN"/>
        </w:rPr>
        <w:t>用户需求偏离表</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
        <w:gridCol w:w="866"/>
        <w:gridCol w:w="5832"/>
        <w:gridCol w:w="656"/>
        <w:gridCol w:w="790"/>
        <w:gridCol w:w="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90" w:type="pct"/>
            <w:vMerge w:val="restart"/>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551" w:type="pct"/>
            <w:gridSpan w:val="2"/>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159" w:type="pct"/>
            <w:gridSpan w:val="3"/>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90" w:type="pct"/>
            <w:vMerge w:val="continue"/>
            <w:vAlign w:val="center"/>
          </w:tcPr>
          <w:p>
            <w:pPr>
              <w:keepNext/>
              <w:keepLines/>
              <w:spacing w:line="400" w:lineRule="exact"/>
              <w:jc w:val="center"/>
              <w:outlineLvl w:val="0"/>
              <w:rPr>
                <w:rFonts w:ascii="宋体" w:hAnsi="宋体" w:eastAsia="宋体" w:cs="宋体"/>
                <w:color w:val="auto"/>
                <w:kern w:val="0"/>
                <w:sz w:val="18"/>
                <w:szCs w:val="18"/>
                <w:highlight w:val="none"/>
              </w:rPr>
            </w:pPr>
          </w:p>
        </w:tc>
        <w:tc>
          <w:tcPr>
            <w:tcW w:w="459" w:type="pct"/>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092" w:type="pct"/>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348" w:type="pct"/>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419" w:type="pct"/>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92" w:type="pct"/>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90" w:type="pct"/>
            <w:vAlign w:val="center"/>
          </w:tcPr>
          <w:p>
            <w:pPr>
              <w:spacing w:line="400" w:lineRule="exact"/>
              <w:jc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w:t>
            </w:r>
          </w:p>
        </w:tc>
        <w:tc>
          <w:tcPr>
            <w:tcW w:w="952" w:type="dxa"/>
            <w:vAlign w:val="center"/>
          </w:tcPr>
          <w:p>
            <w:pPr>
              <w:spacing w:line="400" w:lineRule="exact"/>
              <w:jc w:val="center"/>
              <w:rPr>
                <w:rFonts w:ascii="宋体" w:hAnsi="宋体" w:eastAsia="宋体" w:cs="Times New Roman"/>
                <w:b/>
                <w:color w:val="auto"/>
                <w:kern w:val="0"/>
                <w:sz w:val="18"/>
                <w:szCs w:val="18"/>
                <w:highlight w:val="none"/>
              </w:rPr>
            </w:pPr>
          </w:p>
        </w:tc>
        <w:tc>
          <w:tcPr>
            <w:tcW w:w="6413" w:type="dxa"/>
            <w:vAlign w:val="center"/>
          </w:tcPr>
          <w:p>
            <w:pPr>
              <w:autoSpaceDE w:val="0"/>
              <w:autoSpaceDN w:val="0"/>
              <w:adjustRightInd w:val="0"/>
              <w:spacing w:line="400" w:lineRule="exact"/>
              <w:jc w:val="left"/>
              <w:rPr>
                <w:rFonts w:ascii="宋体" w:hAnsi="宋体" w:eastAsia="宋体" w:cs="Times New Roman"/>
                <w:color w:val="auto"/>
                <w:kern w:val="0"/>
                <w:sz w:val="18"/>
                <w:szCs w:val="18"/>
                <w:highlight w:val="none"/>
              </w:rPr>
            </w:pPr>
          </w:p>
        </w:tc>
        <w:tc>
          <w:tcPr>
            <w:tcW w:w="348" w:type="pct"/>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419" w:type="pct"/>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392" w:type="pct"/>
            <w:vAlign w:val="center"/>
          </w:tcPr>
          <w:p>
            <w:pPr>
              <w:keepNext/>
              <w:keepLines/>
              <w:spacing w:line="400" w:lineRule="exact"/>
              <w:jc w:val="center"/>
              <w:outlineLvl w:val="2"/>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952" w:type="dxa"/>
            <w:vAlign w:val="center"/>
          </w:tcPr>
          <w:p>
            <w:pPr>
              <w:spacing w:line="400" w:lineRule="exact"/>
              <w:jc w:val="center"/>
              <w:rPr>
                <w:rFonts w:ascii="宋体" w:hAnsi="宋体" w:eastAsia="宋体" w:cs="Times New Roman"/>
                <w:color w:val="auto"/>
                <w:kern w:val="0"/>
                <w:sz w:val="18"/>
                <w:szCs w:val="18"/>
                <w:highlight w:val="none"/>
                <w:lang w:val="zh-CN"/>
              </w:rPr>
            </w:pPr>
          </w:p>
        </w:tc>
        <w:tc>
          <w:tcPr>
            <w:tcW w:w="6413" w:type="dxa"/>
            <w:vAlign w:val="center"/>
          </w:tcPr>
          <w:p>
            <w:pPr>
              <w:autoSpaceDE w:val="0"/>
              <w:autoSpaceDN w:val="0"/>
              <w:adjustRightInd w:val="0"/>
              <w:spacing w:line="400" w:lineRule="exact"/>
              <w:jc w:val="left"/>
              <w:rPr>
                <w:rFonts w:ascii="宋体" w:hAnsi="宋体" w:eastAsia="宋体" w:cs="Times New Roman"/>
                <w:color w:val="auto"/>
                <w:sz w:val="18"/>
                <w:szCs w:val="18"/>
                <w:highlight w:val="none"/>
              </w:rPr>
            </w:pPr>
          </w:p>
        </w:tc>
        <w:tc>
          <w:tcPr>
            <w:tcW w:w="348" w:type="pct"/>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419" w:type="pct"/>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392" w:type="pct"/>
            <w:vAlign w:val="center"/>
          </w:tcPr>
          <w:p>
            <w:pPr>
              <w:keepNext/>
              <w:keepLines/>
              <w:spacing w:line="400" w:lineRule="exact"/>
              <w:jc w:val="center"/>
              <w:outlineLvl w:val="2"/>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952" w:type="dxa"/>
            <w:vAlign w:val="center"/>
          </w:tcPr>
          <w:p>
            <w:pPr>
              <w:spacing w:line="400" w:lineRule="exact"/>
              <w:jc w:val="center"/>
              <w:rPr>
                <w:rFonts w:ascii="宋体" w:hAnsi="宋体" w:eastAsia="宋体"/>
                <w:b/>
                <w:color w:val="auto"/>
                <w:sz w:val="18"/>
                <w:szCs w:val="18"/>
                <w:highlight w:val="none"/>
                <w:lang w:val="zh-CN"/>
              </w:rPr>
            </w:pPr>
          </w:p>
        </w:tc>
        <w:tc>
          <w:tcPr>
            <w:tcW w:w="6413" w:type="dxa"/>
            <w:vAlign w:val="center"/>
          </w:tcPr>
          <w:p>
            <w:pPr>
              <w:autoSpaceDE w:val="0"/>
              <w:autoSpaceDN w:val="0"/>
              <w:adjustRightInd w:val="0"/>
              <w:spacing w:line="400" w:lineRule="exact"/>
              <w:jc w:val="left"/>
              <w:rPr>
                <w:rFonts w:ascii="宋体" w:hAnsi="宋体" w:eastAsia="宋体"/>
                <w:color w:val="auto"/>
                <w:sz w:val="18"/>
                <w:szCs w:val="18"/>
                <w:highlight w:val="none"/>
              </w:rPr>
            </w:pPr>
          </w:p>
        </w:tc>
        <w:tc>
          <w:tcPr>
            <w:tcW w:w="348" w:type="pct"/>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419" w:type="pct"/>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392" w:type="pct"/>
            <w:vAlign w:val="center"/>
          </w:tcPr>
          <w:p>
            <w:pPr>
              <w:keepNext/>
              <w:keepLines/>
              <w:spacing w:line="400" w:lineRule="exact"/>
              <w:jc w:val="center"/>
              <w:outlineLvl w:val="2"/>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952" w:type="dxa"/>
            <w:vAlign w:val="center"/>
          </w:tcPr>
          <w:p>
            <w:pPr>
              <w:spacing w:line="400" w:lineRule="exact"/>
              <w:jc w:val="center"/>
              <w:rPr>
                <w:rFonts w:ascii="宋体" w:hAnsi="宋体" w:eastAsia="宋体"/>
                <w:b/>
                <w:color w:val="auto"/>
                <w:sz w:val="18"/>
                <w:szCs w:val="18"/>
                <w:highlight w:val="none"/>
                <w:lang w:val="zh-CN"/>
              </w:rPr>
            </w:pPr>
          </w:p>
        </w:tc>
        <w:tc>
          <w:tcPr>
            <w:tcW w:w="6413" w:type="dxa"/>
            <w:vAlign w:val="center"/>
          </w:tcPr>
          <w:p>
            <w:pPr>
              <w:autoSpaceDE w:val="0"/>
              <w:autoSpaceDN w:val="0"/>
              <w:adjustRightInd w:val="0"/>
              <w:spacing w:line="400" w:lineRule="exact"/>
              <w:jc w:val="left"/>
              <w:rPr>
                <w:rFonts w:ascii="宋体" w:hAnsi="宋体" w:eastAsia="宋体"/>
                <w:color w:val="auto"/>
                <w:sz w:val="18"/>
                <w:szCs w:val="18"/>
                <w:highlight w:val="none"/>
              </w:rPr>
            </w:pPr>
          </w:p>
        </w:tc>
        <w:tc>
          <w:tcPr>
            <w:tcW w:w="348" w:type="pct"/>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419" w:type="pct"/>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392" w:type="pct"/>
            <w:vAlign w:val="center"/>
          </w:tcPr>
          <w:p>
            <w:pPr>
              <w:keepNext/>
              <w:keepLines/>
              <w:spacing w:line="400" w:lineRule="exact"/>
              <w:jc w:val="center"/>
              <w:outlineLvl w:val="2"/>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952" w:type="dxa"/>
            <w:vAlign w:val="center"/>
          </w:tcPr>
          <w:p>
            <w:pPr>
              <w:spacing w:line="400" w:lineRule="exact"/>
              <w:jc w:val="center"/>
              <w:rPr>
                <w:rFonts w:ascii="宋体" w:hAnsi="宋体" w:eastAsia="宋体" w:cs="Times New Roman"/>
                <w:color w:val="auto"/>
                <w:kern w:val="0"/>
                <w:sz w:val="18"/>
                <w:szCs w:val="18"/>
                <w:highlight w:val="none"/>
              </w:rPr>
            </w:pPr>
          </w:p>
        </w:tc>
        <w:tc>
          <w:tcPr>
            <w:tcW w:w="6413" w:type="dxa"/>
            <w:vAlign w:val="center"/>
          </w:tcPr>
          <w:p>
            <w:pPr>
              <w:autoSpaceDE w:val="0"/>
              <w:autoSpaceDN w:val="0"/>
              <w:adjustRightInd w:val="0"/>
              <w:spacing w:line="400" w:lineRule="exact"/>
              <w:jc w:val="left"/>
              <w:rPr>
                <w:rFonts w:ascii="宋体" w:hAnsi="宋体" w:eastAsia="宋体"/>
                <w:color w:val="auto"/>
                <w:sz w:val="18"/>
                <w:szCs w:val="18"/>
                <w:highlight w:val="none"/>
              </w:rPr>
            </w:pPr>
          </w:p>
        </w:tc>
        <w:tc>
          <w:tcPr>
            <w:tcW w:w="348" w:type="pct"/>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419" w:type="pct"/>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392" w:type="pct"/>
            <w:vAlign w:val="center"/>
          </w:tcPr>
          <w:p>
            <w:pPr>
              <w:keepNext/>
              <w:keepLines/>
              <w:spacing w:line="400" w:lineRule="exact"/>
              <w:jc w:val="center"/>
              <w:outlineLvl w:val="2"/>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w:t>
            </w:r>
          </w:p>
        </w:tc>
        <w:tc>
          <w:tcPr>
            <w:tcW w:w="952" w:type="dxa"/>
            <w:vAlign w:val="center"/>
          </w:tcPr>
          <w:p>
            <w:pPr>
              <w:spacing w:line="400" w:lineRule="exact"/>
              <w:jc w:val="center"/>
              <w:rPr>
                <w:rFonts w:ascii="宋体" w:hAnsi="宋体" w:eastAsia="宋体" w:cs="Times New Roman"/>
                <w:color w:val="auto"/>
                <w:kern w:val="0"/>
                <w:sz w:val="18"/>
                <w:szCs w:val="18"/>
                <w:highlight w:val="none"/>
              </w:rPr>
            </w:pPr>
          </w:p>
        </w:tc>
        <w:tc>
          <w:tcPr>
            <w:tcW w:w="6413" w:type="dxa"/>
            <w:vAlign w:val="center"/>
          </w:tcPr>
          <w:p>
            <w:pPr>
              <w:autoSpaceDE w:val="0"/>
              <w:autoSpaceDN w:val="0"/>
              <w:adjustRightInd w:val="0"/>
              <w:spacing w:line="400" w:lineRule="exact"/>
              <w:jc w:val="left"/>
              <w:rPr>
                <w:rFonts w:ascii="宋体" w:hAnsi="宋体" w:eastAsia="宋体"/>
                <w:color w:val="auto"/>
                <w:sz w:val="18"/>
                <w:szCs w:val="18"/>
                <w:highlight w:val="none"/>
              </w:rPr>
            </w:pPr>
          </w:p>
        </w:tc>
        <w:tc>
          <w:tcPr>
            <w:tcW w:w="348" w:type="pct"/>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419" w:type="pct"/>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392" w:type="pct"/>
            <w:vAlign w:val="center"/>
          </w:tcPr>
          <w:p>
            <w:pPr>
              <w:keepNext/>
              <w:keepLines/>
              <w:spacing w:line="400" w:lineRule="exact"/>
              <w:jc w:val="center"/>
              <w:outlineLvl w:val="2"/>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pPr>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952" w:type="dxa"/>
            <w:vAlign w:val="center"/>
          </w:tcPr>
          <w:p>
            <w:pPr>
              <w:spacing w:line="400" w:lineRule="exact"/>
              <w:jc w:val="center"/>
              <w:rPr>
                <w:rFonts w:hint="default" w:ascii="宋体" w:hAnsi="宋体" w:eastAsia="宋体" w:cs="宋体"/>
                <w:color w:val="auto"/>
                <w:kern w:val="0"/>
                <w:sz w:val="21"/>
                <w:szCs w:val="21"/>
                <w:highlight w:val="none"/>
                <w:lang w:val="en-US" w:eastAsia="zh-CN"/>
              </w:rPr>
            </w:pPr>
          </w:p>
        </w:tc>
        <w:tc>
          <w:tcPr>
            <w:tcW w:w="6413" w:type="dxa"/>
            <w:vAlign w:val="center"/>
          </w:tcPr>
          <w:p>
            <w:pPr>
              <w:autoSpaceDE w:val="0"/>
              <w:autoSpaceDN w:val="0"/>
              <w:adjustRightInd w:val="0"/>
              <w:spacing w:line="400" w:lineRule="exact"/>
              <w:jc w:val="left"/>
              <w:rPr>
                <w:rFonts w:hint="eastAsia" w:ascii="宋体" w:hAnsi="宋体" w:eastAsia="宋体" w:cs="宋体"/>
                <w:color w:val="auto"/>
                <w:kern w:val="0"/>
                <w:sz w:val="21"/>
                <w:szCs w:val="21"/>
                <w:highlight w:val="none"/>
              </w:rPr>
            </w:pPr>
          </w:p>
        </w:tc>
        <w:tc>
          <w:tcPr>
            <w:tcW w:w="348" w:type="pct"/>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419" w:type="pct"/>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392" w:type="pct"/>
            <w:vAlign w:val="center"/>
          </w:tcPr>
          <w:p>
            <w:pPr>
              <w:keepNext/>
              <w:keepLines/>
              <w:spacing w:line="400" w:lineRule="exact"/>
              <w:jc w:val="center"/>
              <w:outlineLvl w:val="2"/>
              <w:rPr>
                <w:rFonts w:ascii="宋体" w:hAnsi="宋体" w:eastAsia="宋体" w:cs="宋体"/>
                <w:color w:val="auto"/>
                <w:kern w:val="0"/>
                <w:sz w:val="18"/>
                <w:szCs w:val="18"/>
                <w:highlight w:val="none"/>
              </w:rPr>
            </w:pPr>
          </w:p>
        </w:tc>
      </w:tr>
      <w:bookmarkEnd w:id="762"/>
    </w:tbl>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pPr>
        <w:spacing w:line="360" w:lineRule="auto"/>
        <w:ind w:left="607" w:leftChars="18" w:hanging="569" w:hangingChars="270"/>
        <w:rPr>
          <w:rFonts w:hint="eastAsia" w:ascii="宋体" w:hAnsi="宋体" w:eastAsia="宋体" w:cs="宋体"/>
          <w:b/>
          <w:bCs w:val="0"/>
          <w:color w:val="auto"/>
          <w:szCs w:val="21"/>
          <w:highlight w:val="none"/>
          <w:u w:val="single"/>
        </w:rPr>
      </w:pPr>
      <w:r>
        <w:rPr>
          <w:rFonts w:hint="eastAsia" w:ascii="宋体" w:hAnsi="宋体" w:eastAsia="宋体" w:cs="宋体"/>
          <w:b/>
          <w:bCs/>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宋体"/>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pPr>
        <w:spacing w:line="360" w:lineRule="auto"/>
        <w:ind w:left="607" w:leftChars="18" w:hanging="569" w:hangingChars="270"/>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宋体"/>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宋体"/>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宋体"/>
          <w:b/>
          <w:color w:val="auto"/>
          <w:kern w:val="0"/>
          <w:szCs w:val="21"/>
          <w:highlight w:val="none"/>
          <w:u w:val="single"/>
          <w:lang w:val="en-US" w:eastAsia="zh-CN"/>
        </w:rPr>
        <w:t>服务能力</w:t>
      </w:r>
      <w:r>
        <w:rPr>
          <w:rFonts w:hint="eastAsia" w:ascii="宋体" w:hAnsi="宋体" w:eastAsia="宋体" w:cs="宋体"/>
          <w:b/>
          <w:color w:val="auto"/>
          <w:kern w:val="0"/>
          <w:szCs w:val="21"/>
          <w:highlight w:val="none"/>
          <w:u w:val="single"/>
        </w:rPr>
        <w:t>的技术支持资料作为本表的附件，并在本偏离表“对应证明材料页码”项内注明其在投标文件中的具体页码。</w:t>
      </w:r>
    </w:p>
    <w:p>
      <w:pPr>
        <w:spacing w:line="360" w:lineRule="auto"/>
        <w:ind w:left="607" w:leftChars="18" w:hanging="569" w:hangingChars="270"/>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（4）</w:t>
      </w:r>
      <w:r>
        <w:rPr>
          <w:rFonts w:hint="eastAsia" w:ascii="宋体" w:hAnsi="宋体" w:eastAsia="宋体" w:cs="宋体"/>
          <w:b/>
          <w:color w:val="auto"/>
          <w:kern w:val="0"/>
          <w:szCs w:val="21"/>
          <w:highlight w:val="none"/>
          <w:u w:val="single"/>
        </w:rPr>
        <w:t>凡标有“★”的地方均被视为重要的技术指标要求或性能要求。投标人要特别加以注意，必须对此回答并完全满足这些要求，否则若有一项带“★”的指标未响应或不满足，将按无效投标处</w:t>
      </w:r>
      <w:r>
        <w:rPr>
          <w:rFonts w:hint="eastAsia" w:ascii="宋体" w:hAnsi="宋体" w:eastAsia="宋体" w:cs="宋体"/>
          <w:b/>
          <w:bCs w:val="0"/>
          <w:color w:val="auto"/>
          <w:kern w:val="0"/>
          <w:szCs w:val="21"/>
          <w:highlight w:val="none"/>
          <w:u w:val="single"/>
        </w:rPr>
        <w:t>理</w:t>
      </w:r>
      <w:r>
        <w:rPr>
          <w:rFonts w:hint="eastAsia" w:ascii="宋体" w:hAnsi="宋体" w:eastAsia="宋体" w:cs="宋体"/>
          <w:b/>
          <w:bCs w:val="0"/>
          <w:color w:val="auto"/>
          <w:kern w:val="0"/>
          <w:sz w:val="24"/>
          <w:szCs w:val="21"/>
          <w:highlight w:val="none"/>
          <w:u w:val="single"/>
          <w:lang w:val="zh-CN"/>
        </w:rPr>
        <w:t>。</w:t>
      </w:r>
    </w:p>
    <w:p>
      <w:pPr>
        <w:spacing w:line="360" w:lineRule="auto"/>
        <w:rPr>
          <w:rFonts w:hint="eastAsia" w:ascii="宋体" w:hAnsi="宋体" w:eastAsia="宋体" w:cs="宋体"/>
          <w:color w:val="auto"/>
          <w:szCs w:val="21"/>
          <w:highlight w:val="none"/>
        </w:rPr>
      </w:pPr>
    </w:p>
    <w:p>
      <w:pPr>
        <w:autoSpaceDE w:val="0"/>
        <w:autoSpaceDN w:val="0"/>
        <w:adjustRightIn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pPr>
        <w:autoSpaceDE w:val="0"/>
        <w:autoSpaceDN w:val="0"/>
        <w:adjustRightInd w:val="0"/>
        <w:ind w:left="15" w:leftChars="-50" w:hanging="1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  期：   年  月  日</w:t>
      </w:r>
    </w:p>
    <w:p>
      <w:pPr>
        <w:tabs>
          <w:tab w:val="left" w:pos="567"/>
        </w:tabs>
        <w:autoSpaceDE w:val="0"/>
        <w:autoSpaceDN w:val="0"/>
        <w:adjustRightInd w:val="0"/>
        <w:spacing w:line="360" w:lineRule="auto"/>
        <w:jc w:val="left"/>
        <w:outlineLvl w:val="2"/>
        <w:rPr>
          <w:rFonts w:eastAsia="+中文正文"/>
          <w:color w:val="auto"/>
          <w:highlight w:val="none"/>
        </w:rPr>
      </w:pPr>
      <w:r>
        <w:rPr>
          <w:rFonts w:hint="eastAsia" w:ascii="宋体" w:hAnsi="宋体" w:eastAsia="宋体" w:cs="宋体"/>
          <w:b/>
          <w:color w:val="auto"/>
          <w:kern w:val="0"/>
          <w:sz w:val="30"/>
          <w:szCs w:val="30"/>
          <w:highlight w:val="none"/>
        </w:rPr>
        <w:br w:type="page"/>
      </w:r>
      <w:bookmarkStart w:id="763" w:name="_Toc102860431"/>
      <w:bookmarkStart w:id="764" w:name="_Toc104991889"/>
      <w:bookmarkStart w:id="765" w:name="_Toc5046"/>
      <w:bookmarkStart w:id="766" w:name="_Toc23150"/>
      <w:bookmarkStart w:id="767" w:name="_Toc3593"/>
      <w:bookmarkStart w:id="768" w:name="_Toc94107224"/>
      <w:bookmarkStart w:id="769" w:name="_Toc102860087"/>
      <w:bookmarkStart w:id="770" w:name="_Toc142508382"/>
      <w:bookmarkStart w:id="771" w:name="_Toc140596942"/>
      <w:bookmarkStart w:id="772" w:name="_Toc1581"/>
      <w:bookmarkStart w:id="773" w:name="_Toc27955"/>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 xml:space="preserve">.2 </w:t>
      </w:r>
      <w:bookmarkEnd w:id="763"/>
      <w:bookmarkEnd w:id="764"/>
      <w:bookmarkEnd w:id="765"/>
      <w:bookmarkEnd w:id="766"/>
      <w:bookmarkEnd w:id="767"/>
      <w:bookmarkEnd w:id="768"/>
      <w:bookmarkEnd w:id="769"/>
      <w:bookmarkEnd w:id="770"/>
      <w:bookmarkEnd w:id="771"/>
      <w:r>
        <w:rPr>
          <w:rFonts w:hint="eastAsia" w:ascii="宋体" w:hAnsi="宋体" w:eastAsia="宋体" w:cs="宋体"/>
          <w:b/>
          <w:color w:val="auto"/>
          <w:kern w:val="0"/>
          <w:sz w:val="30"/>
          <w:szCs w:val="30"/>
          <w:highlight w:val="none"/>
          <w:lang w:eastAsia="zh-CN"/>
        </w:rPr>
        <w:t>总体服务方案</w:t>
      </w:r>
      <w:bookmarkEnd w:id="772"/>
      <w:bookmarkEnd w:id="773"/>
    </w:p>
    <w:p>
      <w:pPr>
        <w:spacing w:before="120" w:beforeLines="50"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说明：投标人应根据本项目采购内容和评标工作大纲技术评审细则的要求，自行编制，总体服务方案主要包括但不限于以下内容：</w:t>
      </w:r>
    </w:p>
    <w:p>
      <w:pPr>
        <w:spacing w:before="120" w:beforeLines="50" w:line="360" w:lineRule="auto"/>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（1）针对本项目服务的组织实施方案；</w:t>
      </w:r>
    </w:p>
    <w:p>
      <w:pPr>
        <w:spacing w:before="120" w:beforeLines="50"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（格式自拟，包括对项目的理解、服务的重点及难点等内容。）</w:t>
      </w:r>
    </w:p>
    <w:p>
      <w:pPr>
        <w:spacing w:before="120" w:beforeLines="50" w:line="360" w:lineRule="auto"/>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收运服务</w:t>
      </w:r>
      <w:r>
        <w:rPr>
          <w:rFonts w:hint="eastAsia" w:ascii="宋体" w:hAnsi="宋体" w:eastAsia="宋体" w:cs="宋体"/>
          <w:b/>
          <w:bCs/>
          <w:color w:val="auto"/>
          <w:szCs w:val="21"/>
          <w:highlight w:val="none"/>
        </w:rPr>
        <w:t>方案、服务质量保证措施；</w:t>
      </w:r>
    </w:p>
    <w:p>
      <w:pPr>
        <w:spacing w:before="120" w:beforeLines="50"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（格式自拟，包括设立的组织机构、收运服务方案、服务质量管理方案及与之配套的管理制度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投入的</w:t>
      </w:r>
      <w:r>
        <w:rPr>
          <w:rFonts w:hint="eastAsia" w:ascii="宋体" w:hAnsi="宋体" w:eastAsia="宋体" w:cs="宋体"/>
          <w:color w:val="auto"/>
          <w:szCs w:val="21"/>
          <w:highlight w:val="none"/>
          <w:lang w:eastAsia="zh-CN"/>
        </w:rPr>
        <w:t>资源情况和</w:t>
      </w:r>
      <w:r>
        <w:rPr>
          <w:rFonts w:hint="eastAsia" w:ascii="宋体" w:hAnsi="宋体" w:eastAsia="宋体" w:cs="Times New Roman"/>
          <w:color w:val="auto"/>
          <w:kern w:val="2"/>
          <w:sz w:val="21"/>
          <w:szCs w:val="21"/>
          <w:highlight w:val="none"/>
          <w:lang w:val="zh-CN"/>
        </w:rPr>
        <w:t>服务质量保证措施</w:t>
      </w:r>
      <w:r>
        <w:rPr>
          <w:rFonts w:hint="eastAsia" w:eastAsia="+中文正文"/>
          <w:color w:val="auto"/>
          <w:highlight w:val="none"/>
          <w:lang w:val="en-US" w:eastAsia="zh-CN"/>
        </w:rPr>
        <w:t>等</w:t>
      </w:r>
      <w:r>
        <w:rPr>
          <w:rFonts w:hint="eastAsia" w:ascii="宋体" w:hAnsi="宋体" w:eastAsia="宋体" w:cs="宋体"/>
          <w:color w:val="auto"/>
          <w:szCs w:val="21"/>
          <w:highlight w:val="none"/>
        </w:rPr>
        <w:t>内容。）</w:t>
      </w:r>
    </w:p>
    <w:p>
      <w:pPr>
        <w:widowControl/>
        <w:jc w:val="left"/>
        <w:rPr>
          <w:rFonts w:hint="eastAsia" w:ascii="宋体" w:hAnsi="宋体" w:eastAsia="宋体" w:cs="宋体"/>
          <w:color w:val="auto"/>
          <w:kern w:val="0"/>
          <w:szCs w:val="21"/>
          <w:highlight w:val="none"/>
        </w:rPr>
      </w:pPr>
      <w:bookmarkStart w:id="774" w:name="_Toc94107225"/>
      <w:r>
        <w:rPr>
          <w:rFonts w:hint="eastAsia" w:ascii="宋体" w:hAnsi="宋体" w:eastAsia="宋体" w:cs="宋体"/>
          <w:color w:val="auto"/>
          <w:kern w:val="0"/>
          <w:szCs w:val="21"/>
          <w:highlight w:val="none"/>
        </w:rPr>
        <w:br w:type="page"/>
      </w:r>
    </w:p>
    <w:bookmarkEnd w:id="774"/>
    <w:p>
      <w:pPr>
        <w:rPr>
          <w:rFonts w:hint="eastAsia" w:ascii="宋体" w:hAnsi="宋体" w:eastAsia="宋体" w:cs="宋体"/>
          <w:b/>
          <w:color w:val="auto"/>
          <w:kern w:val="0"/>
          <w:sz w:val="30"/>
          <w:szCs w:val="30"/>
          <w:highlight w:val="none"/>
          <w:lang w:eastAsia="zh-CN"/>
        </w:rPr>
      </w:pPr>
      <w:bookmarkStart w:id="775" w:name="_Toc104991896"/>
      <w:bookmarkStart w:id="776" w:name="_Toc140596949"/>
      <w:bookmarkStart w:id="777" w:name="_Toc102860438"/>
      <w:bookmarkStart w:id="778" w:name="_Toc142508389"/>
      <w:bookmarkStart w:id="779" w:name="_Toc102860094"/>
      <w:bookmarkStart w:id="780" w:name="_Toc533708139"/>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 xml:space="preserve"> </w:t>
      </w:r>
      <w:r>
        <w:rPr>
          <w:rFonts w:hint="eastAsia" w:ascii="宋体" w:hAnsi="宋体" w:eastAsia="宋体" w:cs="宋体"/>
          <w:b/>
          <w:bCs/>
          <w:color w:val="auto"/>
          <w:sz w:val="30"/>
          <w:szCs w:val="30"/>
          <w:highlight w:val="none"/>
        </w:rPr>
        <w:t>拟投入的人员情况</w:t>
      </w:r>
    </w:p>
    <w:p>
      <w:pPr>
        <w:autoSpaceDE w:val="0"/>
        <w:autoSpaceDN w:val="0"/>
        <w:adjustRightInd w:val="0"/>
        <w:spacing w:before="120" w:beforeLines="50" w:line="360" w:lineRule="auto"/>
        <w:jc w:val="center"/>
        <w:rPr>
          <w:rFonts w:hint="eastAsia"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拟投入本项目的收运司机情况一览表</w:t>
      </w:r>
    </w:p>
    <w:tbl>
      <w:tblPr>
        <w:tblStyle w:val="38"/>
        <w:tblW w:w="48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1387"/>
        <w:gridCol w:w="802"/>
        <w:gridCol w:w="802"/>
        <w:gridCol w:w="1348"/>
        <w:gridCol w:w="1409"/>
        <w:gridCol w:w="1579"/>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41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序号</w:t>
            </w:r>
          </w:p>
        </w:tc>
        <w:tc>
          <w:tcPr>
            <w:tcW w:w="752"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姓名</w:t>
            </w:r>
          </w:p>
        </w:tc>
        <w:tc>
          <w:tcPr>
            <w:tcW w:w="43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性别</w:t>
            </w:r>
          </w:p>
        </w:tc>
        <w:tc>
          <w:tcPr>
            <w:tcW w:w="43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年龄</w:t>
            </w:r>
          </w:p>
        </w:tc>
        <w:tc>
          <w:tcPr>
            <w:tcW w:w="731"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驾驶证类型</w:t>
            </w:r>
          </w:p>
        </w:tc>
        <w:tc>
          <w:tcPr>
            <w:tcW w:w="764"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取得驾驶证日期</w:t>
            </w:r>
          </w:p>
        </w:tc>
        <w:tc>
          <w:tcPr>
            <w:tcW w:w="856"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驾龄(年)</w:t>
            </w:r>
          </w:p>
        </w:tc>
        <w:tc>
          <w:tcPr>
            <w:tcW w:w="609"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41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52"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43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43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31"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64"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856" w:type="pct"/>
            <w:noWrap w:val="0"/>
            <w:vAlign w:val="center"/>
          </w:tcPr>
          <w:p>
            <w:pPr>
              <w:autoSpaceDE w:val="0"/>
              <w:autoSpaceDN w:val="0"/>
              <w:adjustRightInd w:val="0"/>
              <w:spacing w:line="360" w:lineRule="auto"/>
              <w:jc w:val="center"/>
              <w:rPr>
                <w:rFonts w:ascii="宋体" w:hAnsi="宋体" w:eastAsia="宋体" w:cs="Times New Roman"/>
                <w:color w:val="auto"/>
                <w:kern w:val="0"/>
                <w:sz w:val="21"/>
                <w:szCs w:val="21"/>
                <w:highlight w:val="none"/>
              </w:rPr>
            </w:pPr>
          </w:p>
        </w:tc>
        <w:tc>
          <w:tcPr>
            <w:tcW w:w="609"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1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52"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43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43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31"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64"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856"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609"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1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52"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43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43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31"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64"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856"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609"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1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52"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43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43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31"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64"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856"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609"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1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52"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43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43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31"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64"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856"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609"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1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52"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43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43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31"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64"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856"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609"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1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52"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43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43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31"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64"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856"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609"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41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52"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43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43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31"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64"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856"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609"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41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52"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43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435"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31"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764"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856"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c>
          <w:tcPr>
            <w:tcW w:w="609" w:type="pct"/>
            <w:noWrap w:val="0"/>
            <w:vAlign w:val="center"/>
          </w:tcPr>
          <w:p>
            <w:pPr>
              <w:autoSpaceDE w:val="0"/>
              <w:autoSpaceDN w:val="0"/>
              <w:adjustRightInd w:val="0"/>
              <w:spacing w:line="360" w:lineRule="auto"/>
              <w:jc w:val="center"/>
              <w:rPr>
                <w:rFonts w:hint="eastAsia" w:ascii="宋体" w:hAnsi="宋体" w:eastAsia="宋体" w:cs="Times New Roman"/>
                <w:color w:val="auto"/>
                <w:kern w:val="0"/>
                <w:sz w:val="21"/>
                <w:szCs w:val="21"/>
                <w:highlight w:val="none"/>
              </w:rPr>
            </w:pPr>
          </w:p>
        </w:tc>
      </w:tr>
    </w:tbl>
    <w:p>
      <w:pPr>
        <w:overflowPunct w:val="0"/>
        <w:autoSpaceDE/>
        <w:autoSpaceDN/>
        <w:adjustRightInd/>
        <w:spacing w:before="120" w:line="360" w:lineRule="auto"/>
        <w:ind w:left="267" w:leftChars="-73" w:hanging="420" w:hangingChars="200"/>
        <w:jc w:val="left"/>
        <w:rPr>
          <w:rFonts w:hint="eastAsia" w:ascii="宋体" w:hAnsi="宋体" w:eastAsia="宋体" w:cs="Times New Roman"/>
          <w:color w:val="auto"/>
          <w:kern w:val="2"/>
          <w:sz w:val="21"/>
          <w:szCs w:val="21"/>
          <w:highlight w:val="none"/>
        </w:rPr>
      </w:pPr>
    </w:p>
    <w:p>
      <w:pPr>
        <w:overflowPunct w:val="0"/>
        <w:autoSpaceDE/>
        <w:autoSpaceDN/>
        <w:adjustRightInd/>
        <w:spacing w:before="120" w:line="360" w:lineRule="auto"/>
        <w:ind w:left="267" w:leftChars="-73" w:hanging="420" w:hangingChars="200"/>
        <w:jc w:val="left"/>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备注：</w:t>
      </w:r>
    </w:p>
    <w:p>
      <w:pPr>
        <w:numPr>
          <w:ilvl w:val="0"/>
          <w:numId w:val="3"/>
        </w:numPr>
        <w:overflowPunct w:val="0"/>
        <w:autoSpaceDE/>
        <w:autoSpaceDN/>
        <w:adjustRightInd/>
        <w:spacing w:before="120" w:line="360" w:lineRule="auto"/>
        <w:ind w:left="267" w:leftChars="-73" w:hanging="420" w:hangingChars="200"/>
        <w:jc w:val="left"/>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此表格式供参照，投标人可以根据本表格式内容自行划表填写。</w:t>
      </w:r>
    </w:p>
    <w:p>
      <w:pPr>
        <w:numPr>
          <w:ilvl w:val="0"/>
          <w:numId w:val="3"/>
        </w:numPr>
        <w:overflowPunct w:val="0"/>
        <w:autoSpaceDE/>
        <w:autoSpaceDN/>
        <w:adjustRightInd/>
        <w:spacing w:before="120" w:line="360" w:lineRule="auto"/>
        <w:ind w:left="269" w:leftChars="-73" w:hanging="422" w:hangingChars="200"/>
        <w:jc w:val="left"/>
        <w:rPr>
          <w:rFonts w:hint="eastAsia" w:ascii="宋体" w:hAnsi="宋体" w:eastAsia="宋体" w:cs="Times New Roman"/>
          <w:color w:val="auto"/>
          <w:kern w:val="2"/>
          <w:sz w:val="21"/>
          <w:szCs w:val="21"/>
          <w:highlight w:val="none"/>
        </w:rPr>
      </w:pPr>
      <w:r>
        <w:rPr>
          <w:rFonts w:hint="eastAsia" w:ascii="宋体" w:hAnsi="宋体" w:eastAsia="宋体" w:cs="Times New Roman"/>
          <w:b/>
          <w:bCs/>
          <w:color w:val="auto"/>
          <w:kern w:val="2"/>
          <w:sz w:val="21"/>
          <w:szCs w:val="21"/>
          <w:highlight w:val="none"/>
          <w:u w:val="single"/>
        </w:rPr>
        <w:t>驾龄按取得B2或A2或A1驾驶证的年份计算，驾龄不足2年的运输人员数量不列入评审。</w:t>
      </w:r>
    </w:p>
    <w:p>
      <w:pPr>
        <w:numPr>
          <w:ilvl w:val="0"/>
          <w:numId w:val="3"/>
        </w:numPr>
        <w:overflowPunct w:val="0"/>
        <w:autoSpaceDE/>
        <w:autoSpaceDN/>
        <w:adjustRightInd/>
        <w:spacing w:before="120" w:line="360" w:lineRule="auto"/>
        <w:ind w:left="269" w:leftChars="-73" w:hanging="422" w:hangingChars="200"/>
        <w:jc w:val="left"/>
        <w:rPr>
          <w:rFonts w:ascii="宋体" w:hAnsi="宋体" w:eastAsia="宋体" w:cs="Times New Roman"/>
          <w:color w:val="auto"/>
          <w:kern w:val="2"/>
          <w:sz w:val="21"/>
          <w:szCs w:val="21"/>
          <w:highlight w:val="none"/>
        </w:rPr>
      </w:pPr>
      <w:r>
        <w:rPr>
          <w:rFonts w:hint="eastAsia" w:ascii="宋体" w:hAnsi="宋体" w:eastAsia="宋体" w:cs="Times New Roman"/>
          <w:b/>
          <w:bCs/>
          <w:color w:val="auto"/>
          <w:kern w:val="2"/>
          <w:sz w:val="21"/>
          <w:szCs w:val="21"/>
          <w:highlight w:val="none"/>
          <w:u w:val="single"/>
        </w:rPr>
        <w:t>上述人员需提供上述人员的身份证、劳动合同的复印件、人力资源和社会保障部门（或税务部门）出具的近六个月（</w:t>
      </w:r>
      <w:r>
        <w:rPr>
          <w:rFonts w:hint="eastAsia" w:ascii="宋体" w:hAnsi="宋体" w:eastAsia="宋体" w:cs="宋体"/>
          <w:b/>
          <w:bCs/>
          <w:color w:val="auto"/>
          <w:szCs w:val="21"/>
          <w:highlight w:val="none"/>
          <w:u w:val="single"/>
          <w:lang w:val="en-US" w:eastAsia="zh-CN"/>
        </w:rPr>
        <w:t>2023年9月、</w:t>
      </w:r>
      <w:r>
        <w:rPr>
          <w:rFonts w:hint="eastAsia" w:ascii="宋体" w:hAnsi="宋体" w:eastAsia="宋体" w:cs="宋体"/>
          <w:b/>
          <w:bCs/>
          <w:color w:val="auto"/>
          <w:szCs w:val="21"/>
          <w:highlight w:val="none"/>
          <w:u w:val="single"/>
          <w:lang w:val="zh-CN"/>
        </w:rPr>
        <w:t>2023年</w:t>
      </w:r>
      <w:r>
        <w:rPr>
          <w:rFonts w:hint="eastAsia" w:ascii="宋体" w:hAnsi="宋体" w:eastAsia="宋体" w:cs="宋体"/>
          <w:b/>
          <w:bCs/>
          <w:color w:val="auto"/>
          <w:szCs w:val="21"/>
          <w:highlight w:val="none"/>
          <w:u w:val="single"/>
        </w:rPr>
        <w:t>10</w:t>
      </w:r>
      <w:r>
        <w:rPr>
          <w:rFonts w:hint="eastAsia" w:ascii="宋体" w:hAnsi="宋体" w:eastAsia="宋体" w:cs="宋体"/>
          <w:b/>
          <w:bCs/>
          <w:color w:val="auto"/>
          <w:szCs w:val="21"/>
          <w:highlight w:val="none"/>
          <w:u w:val="single"/>
          <w:lang w:val="zh-CN"/>
        </w:rPr>
        <w:t>月、2023年</w:t>
      </w:r>
      <w:r>
        <w:rPr>
          <w:rFonts w:hint="eastAsia" w:ascii="宋体" w:hAnsi="宋体" w:eastAsia="宋体" w:cs="宋体"/>
          <w:b/>
          <w:bCs/>
          <w:color w:val="auto"/>
          <w:szCs w:val="21"/>
          <w:highlight w:val="none"/>
          <w:u w:val="single"/>
        </w:rPr>
        <w:t>11</w:t>
      </w:r>
      <w:r>
        <w:rPr>
          <w:rFonts w:hint="eastAsia" w:ascii="宋体" w:hAnsi="宋体" w:eastAsia="宋体" w:cs="宋体"/>
          <w:b/>
          <w:bCs/>
          <w:color w:val="auto"/>
          <w:szCs w:val="21"/>
          <w:highlight w:val="none"/>
          <w:u w:val="single"/>
          <w:lang w:val="zh-CN"/>
        </w:rPr>
        <w:t>月、2023年</w:t>
      </w:r>
      <w:r>
        <w:rPr>
          <w:rFonts w:hint="eastAsia" w:ascii="宋体" w:hAnsi="宋体" w:eastAsia="宋体" w:cs="宋体"/>
          <w:b/>
          <w:bCs/>
          <w:color w:val="auto"/>
          <w:szCs w:val="21"/>
          <w:highlight w:val="none"/>
          <w:u w:val="single"/>
        </w:rPr>
        <w:t>12</w:t>
      </w:r>
      <w:r>
        <w:rPr>
          <w:rFonts w:hint="eastAsia" w:ascii="宋体" w:hAnsi="宋体" w:eastAsia="宋体" w:cs="宋体"/>
          <w:b/>
          <w:bCs/>
          <w:color w:val="auto"/>
          <w:szCs w:val="21"/>
          <w:highlight w:val="none"/>
          <w:u w:val="single"/>
          <w:lang w:val="zh-CN"/>
        </w:rPr>
        <w:t>月、</w:t>
      </w:r>
      <w:r>
        <w:rPr>
          <w:rFonts w:hint="eastAsia" w:ascii="宋体" w:hAnsi="宋体" w:eastAsia="宋体" w:cs="宋体"/>
          <w:b/>
          <w:bCs/>
          <w:color w:val="auto"/>
          <w:szCs w:val="21"/>
          <w:highlight w:val="none"/>
          <w:u w:val="single"/>
          <w:lang w:val="en-US" w:eastAsia="zh-CN"/>
        </w:rPr>
        <w:t>2024年1月、2024年2月</w:t>
      </w:r>
      <w:r>
        <w:rPr>
          <w:rFonts w:hint="eastAsia" w:ascii="宋体" w:hAnsi="宋体" w:eastAsia="宋体" w:cs="Times New Roman"/>
          <w:b/>
          <w:bCs/>
          <w:color w:val="auto"/>
          <w:kern w:val="2"/>
          <w:sz w:val="21"/>
          <w:szCs w:val="21"/>
          <w:highlight w:val="none"/>
          <w:u w:val="single"/>
        </w:rPr>
        <w:t>）投标人为其缴纳的社保证明复印件</w:t>
      </w:r>
      <w:r>
        <w:rPr>
          <w:rFonts w:hint="eastAsia" w:ascii="宋体" w:hAnsi="宋体" w:eastAsia="宋体" w:cs="Times New Roman"/>
          <w:b/>
          <w:bCs/>
          <w:color w:val="auto"/>
          <w:kern w:val="2"/>
          <w:sz w:val="21"/>
          <w:szCs w:val="21"/>
          <w:highlight w:val="none"/>
          <w:u w:val="single"/>
          <w:lang w:eastAsia="zh-CN"/>
        </w:rPr>
        <w:t>、</w:t>
      </w:r>
      <w:r>
        <w:rPr>
          <w:rFonts w:hint="eastAsia" w:ascii="宋体" w:hAnsi="宋体" w:eastAsia="宋体" w:cs="Times New Roman"/>
          <w:b/>
          <w:bCs/>
          <w:color w:val="auto"/>
          <w:kern w:val="2"/>
          <w:sz w:val="21"/>
          <w:szCs w:val="21"/>
          <w:highlight w:val="none"/>
          <w:u w:val="single"/>
        </w:rPr>
        <w:t>驾驶证复印件，提供的</w:t>
      </w:r>
      <w:r>
        <w:rPr>
          <w:rFonts w:hint="eastAsia" w:ascii="宋体" w:hAnsi="宋体" w:eastAsia="宋体" w:cs="Times New Roman"/>
          <w:b/>
          <w:bCs/>
          <w:color w:val="auto"/>
          <w:kern w:val="2"/>
          <w:sz w:val="21"/>
          <w:szCs w:val="21"/>
          <w:highlight w:val="none"/>
          <w:u w:val="single"/>
          <w:lang w:val="zh-CN"/>
        </w:rPr>
        <w:t>身份证、劳动合同、</w:t>
      </w:r>
      <w:r>
        <w:rPr>
          <w:rFonts w:hint="eastAsia" w:ascii="宋体" w:hAnsi="宋体" w:eastAsia="宋体" w:cs="Times New Roman"/>
          <w:b/>
          <w:bCs/>
          <w:color w:val="auto"/>
          <w:kern w:val="2"/>
          <w:sz w:val="21"/>
          <w:szCs w:val="21"/>
          <w:highlight w:val="none"/>
          <w:u w:val="single"/>
        </w:rPr>
        <w:t>驾驶证</w:t>
      </w:r>
      <w:r>
        <w:rPr>
          <w:rFonts w:hint="eastAsia" w:ascii="宋体" w:hAnsi="宋体" w:eastAsia="宋体" w:cs="Times New Roman"/>
          <w:b/>
          <w:bCs/>
          <w:color w:val="auto"/>
          <w:kern w:val="2"/>
          <w:sz w:val="21"/>
          <w:szCs w:val="21"/>
          <w:highlight w:val="none"/>
          <w:u w:val="single"/>
          <w:lang w:val="zh-CN"/>
        </w:rPr>
        <w:t>、社保证明的人员名称需一致时才统计得分，不提供或人员名称不一致不得分</w:t>
      </w:r>
      <w:r>
        <w:rPr>
          <w:rFonts w:hint="eastAsia" w:ascii="宋体" w:hAnsi="宋体" w:eastAsia="宋体" w:cs="Times New Roman"/>
          <w:color w:val="auto"/>
          <w:kern w:val="2"/>
          <w:sz w:val="21"/>
          <w:szCs w:val="21"/>
          <w:highlight w:val="none"/>
        </w:rPr>
        <w:t>。</w:t>
      </w:r>
    </w:p>
    <w:p>
      <w:pPr>
        <w:autoSpaceDE/>
        <w:autoSpaceDN/>
        <w:adjustRightInd/>
        <w:spacing w:line="360" w:lineRule="auto"/>
        <w:ind w:right="420" w:firstLine="4935" w:firstLineChars="2350"/>
        <w:jc w:val="left"/>
        <w:rPr>
          <w:rFonts w:hint="eastAsia" w:ascii="宋体" w:hAnsi="宋体" w:eastAsia="宋体" w:cs="Times New Roman"/>
          <w:color w:val="auto"/>
          <w:kern w:val="2"/>
          <w:sz w:val="21"/>
          <w:szCs w:val="21"/>
          <w:highlight w:val="none"/>
          <w:lang w:val="zh-CN"/>
        </w:rPr>
      </w:pPr>
    </w:p>
    <w:p>
      <w:pPr>
        <w:autoSpaceDE/>
        <w:autoSpaceDN/>
        <w:adjustRightInd/>
        <w:spacing w:line="360" w:lineRule="auto"/>
        <w:ind w:right="420" w:firstLine="4935" w:firstLineChars="2350"/>
        <w:jc w:val="left"/>
        <w:rPr>
          <w:rFonts w:ascii="宋体" w:hAnsi="宋体" w:eastAsia="宋体" w:cs="Times New Roman"/>
          <w:color w:val="auto"/>
          <w:kern w:val="2"/>
          <w:sz w:val="21"/>
          <w:szCs w:val="21"/>
          <w:highlight w:val="none"/>
          <w:lang w:val="zh-CN"/>
        </w:rPr>
      </w:pPr>
      <w:r>
        <w:rPr>
          <w:rFonts w:hint="eastAsia" w:ascii="宋体" w:hAnsi="宋体" w:eastAsia="宋体" w:cs="Times New Roman"/>
          <w:color w:val="auto"/>
          <w:kern w:val="2"/>
          <w:sz w:val="21"/>
          <w:szCs w:val="21"/>
          <w:highlight w:val="none"/>
          <w:lang w:val="zh-CN"/>
        </w:rPr>
        <w:t>投标人：</w:t>
      </w:r>
      <w:r>
        <w:rPr>
          <w:rFonts w:hint="eastAsia" w:ascii="宋体" w:hAnsi="宋体" w:eastAsia="宋体" w:cs="Times New Roman"/>
          <w:color w:val="auto"/>
          <w:kern w:val="0"/>
          <w:sz w:val="21"/>
          <w:szCs w:val="21"/>
          <w:highlight w:val="none"/>
          <w:lang w:val="zh-CN"/>
        </w:rPr>
        <w:t>（加盖投标人法人公章）</w:t>
      </w:r>
    </w:p>
    <w:p>
      <w:pPr>
        <w:autoSpaceDE w:val="0"/>
        <w:autoSpaceDN w:val="0"/>
        <w:adjustRightInd w:val="0"/>
        <w:spacing w:line="360" w:lineRule="auto"/>
        <w:ind w:firstLine="4935" w:firstLineChars="2350"/>
        <w:jc w:val="both"/>
        <w:rPr>
          <w:rFonts w:ascii="宋体" w:hAnsi="宋体" w:eastAsia="宋体" w:cs="Times New Roman"/>
          <w:color w:val="auto"/>
          <w:kern w:val="2"/>
          <w:sz w:val="21"/>
          <w:szCs w:val="24"/>
          <w:highlight w:val="none"/>
          <w:lang w:val="zh-CN"/>
        </w:rPr>
      </w:pPr>
      <w:r>
        <w:rPr>
          <w:rFonts w:hint="eastAsia" w:ascii="宋体" w:hAnsi="宋体" w:eastAsia="宋体" w:cs="Times New Roman"/>
          <w:color w:val="auto"/>
          <w:kern w:val="0"/>
          <w:sz w:val="21"/>
          <w:szCs w:val="21"/>
          <w:highlight w:val="none"/>
        </w:rPr>
        <w:t xml:space="preserve">日  期：  </w:t>
      </w:r>
      <w:r>
        <w:rPr>
          <w:rFonts w:hint="eastAsia" w:ascii="宋体" w:hAnsi="宋体" w:eastAsia="宋体" w:cs="Times New Roman"/>
          <w:color w:val="auto"/>
          <w:kern w:val="2"/>
          <w:sz w:val="21"/>
          <w:szCs w:val="24"/>
          <w:highlight w:val="none"/>
          <w:lang w:val="zh-CN"/>
        </w:rPr>
        <w:t>年</w:t>
      </w:r>
      <w:r>
        <w:rPr>
          <w:rFonts w:ascii="宋体" w:hAnsi="宋体" w:eastAsia="宋体" w:cs="Times New Roman"/>
          <w:color w:val="auto"/>
          <w:kern w:val="2"/>
          <w:sz w:val="21"/>
          <w:szCs w:val="24"/>
          <w:highlight w:val="none"/>
          <w:lang w:val="zh-CN"/>
        </w:rPr>
        <w:t xml:space="preserve">  </w:t>
      </w:r>
      <w:r>
        <w:rPr>
          <w:rFonts w:hint="eastAsia" w:ascii="宋体" w:hAnsi="宋体" w:eastAsia="宋体" w:cs="Times New Roman"/>
          <w:color w:val="auto"/>
          <w:kern w:val="2"/>
          <w:sz w:val="21"/>
          <w:szCs w:val="24"/>
          <w:highlight w:val="none"/>
          <w:lang w:val="zh-CN"/>
        </w:rPr>
        <w:t>月</w:t>
      </w:r>
      <w:r>
        <w:rPr>
          <w:rFonts w:ascii="宋体" w:hAnsi="宋体" w:eastAsia="宋体" w:cs="Times New Roman"/>
          <w:color w:val="auto"/>
          <w:kern w:val="2"/>
          <w:sz w:val="21"/>
          <w:szCs w:val="24"/>
          <w:highlight w:val="none"/>
          <w:lang w:val="zh-CN"/>
        </w:rPr>
        <w:t xml:space="preserve">  </w:t>
      </w:r>
      <w:r>
        <w:rPr>
          <w:rFonts w:hint="eastAsia" w:ascii="宋体" w:hAnsi="宋体" w:eastAsia="宋体" w:cs="Times New Roman"/>
          <w:color w:val="auto"/>
          <w:kern w:val="2"/>
          <w:sz w:val="21"/>
          <w:szCs w:val="24"/>
          <w:highlight w:val="none"/>
          <w:lang w:val="zh-CN"/>
        </w:rPr>
        <w:t>日</w:t>
      </w:r>
    </w:p>
    <w:p>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pPr>
        <w:rPr>
          <w:rFonts w:eastAsia="+中文正文"/>
          <w:color w:val="auto"/>
          <w:highlight w:val="none"/>
        </w:rPr>
      </w:pPr>
      <w:r>
        <w:rPr>
          <w:rFonts w:hint="eastAsia" w:ascii="宋体" w:hAnsi="宋体" w:eastAsia="宋体" w:cs="宋体"/>
          <w:b/>
          <w:color w:val="auto"/>
          <w:kern w:val="0"/>
          <w:sz w:val="30"/>
          <w:szCs w:val="30"/>
          <w:highlight w:val="none"/>
          <w:lang w:val="en-US" w:eastAsia="zh-CN"/>
        </w:rPr>
        <w:t>13.4 安全管理方案</w:t>
      </w:r>
    </w:p>
    <w:p>
      <w:pPr>
        <w:spacing w:line="360" w:lineRule="auto"/>
        <w:ind w:firstLine="420" w:firstLineChars="200"/>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val="0"/>
          <w:color w:val="auto"/>
          <w:szCs w:val="21"/>
          <w:highlight w:val="none"/>
        </w:rPr>
        <w:t>说明：投标人自行编制，格式不限。内容包括</w:t>
      </w:r>
      <w:r>
        <w:rPr>
          <w:rFonts w:hint="eastAsia" w:ascii="宋体" w:hAnsi="宋体" w:eastAsia="宋体"/>
          <w:color w:val="auto"/>
          <w:sz w:val="21"/>
          <w:szCs w:val="21"/>
          <w:highlight w:val="none"/>
          <w:lang w:val="zh-CN"/>
        </w:rPr>
        <w:t>垃圾收运安全操作、管理的手段和措施、作业防护措施、安全管理制度及贯彻</w:t>
      </w:r>
      <w:r>
        <w:rPr>
          <w:rFonts w:hint="eastAsia" w:ascii="宋体" w:hAnsi="宋体" w:eastAsia="宋体" w:cs="宋体"/>
          <w:color w:val="auto"/>
          <w:szCs w:val="21"/>
          <w:highlight w:val="none"/>
        </w:rPr>
        <w:t>等内容</w:t>
      </w:r>
      <w:r>
        <w:rPr>
          <w:rFonts w:hint="eastAsia" w:ascii="宋体" w:hAnsi="宋体" w:eastAsia="宋体" w:cs="宋体"/>
          <w:b w:val="0"/>
          <w:color w:val="auto"/>
          <w:szCs w:val="21"/>
          <w:highlight w:val="none"/>
        </w:rPr>
        <w:t>。</w:t>
      </w:r>
      <w:r>
        <w:rPr>
          <w:rFonts w:hint="eastAsia" w:ascii="宋体" w:hAnsi="宋体" w:eastAsia="宋体" w:cs="宋体"/>
          <w:b/>
          <w:color w:val="auto"/>
          <w:kern w:val="0"/>
          <w:sz w:val="30"/>
          <w:szCs w:val="30"/>
          <w:highlight w:val="none"/>
          <w:lang w:val="en-US" w:eastAsia="zh-CN"/>
        </w:rPr>
        <w:br w:type="page"/>
      </w:r>
    </w:p>
    <w:p>
      <w:pPr>
        <w:rPr>
          <w:rFonts w:eastAsia="+中文正文"/>
          <w:color w:val="auto"/>
          <w:highlight w:val="none"/>
        </w:rPr>
      </w:pPr>
      <w:r>
        <w:rPr>
          <w:rFonts w:hint="eastAsia" w:ascii="宋体" w:hAnsi="宋体" w:eastAsia="宋体" w:cs="宋体"/>
          <w:b/>
          <w:color w:val="auto"/>
          <w:kern w:val="0"/>
          <w:sz w:val="30"/>
          <w:szCs w:val="30"/>
          <w:highlight w:val="none"/>
          <w:lang w:val="en-US" w:eastAsia="zh-CN"/>
        </w:rPr>
        <w:t xml:space="preserve">13.5 </w:t>
      </w:r>
      <w:r>
        <w:rPr>
          <w:rFonts w:hint="eastAsia" w:ascii="宋体" w:hAnsi="宋体" w:eastAsia="宋体" w:cs="宋体"/>
          <w:b/>
          <w:bCs/>
          <w:color w:val="auto"/>
          <w:sz w:val="32"/>
          <w:szCs w:val="32"/>
          <w:highlight w:val="none"/>
        </w:rPr>
        <w:t>应急预案和保障措施</w:t>
      </w:r>
    </w:p>
    <w:p>
      <w:pPr>
        <w:pStyle w:val="47"/>
        <w:spacing w:before="240" w:beforeLines="100" w:line="360" w:lineRule="auto"/>
        <w:ind w:firstLine="420" w:firstLineChars="200"/>
        <w:jc w:val="left"/>
        <w:outlineLvl w:val="9"/>
        <w:rPr>
          <w:rFonts w:ascii="宋体" w:hAnsi="宋体" w:eastAsia="宋体" w:cs="宋体"/>
          <w:color w:val="auto"/>
          <w:szCs w:val="21"/>
          <w:highlight w:val="none"/>
          <w:lang w:val="zh-CN"/>
        </w:rPr>
        <w:sectPr>
          <w:pgSz w:w="11907" w:h="16839"/>
          <w:pgMar w:top="1417" w:right="1276" w:bottom="1417" w:left="1417" w:header="720" w:footer="1003" w:gutter="0"/>
          <w:cols w:space="720" w:num="1"/>
          <w:titlePg/>
          <w:docGrid w:linePitch="326" w:charSpace="0"/>
        </w:sectPr>
      </w:pPr>
      <w:r>
        <w:rPr>
          <w:rFonts w:hint="eastAsia" w:ascii="宋体" w:hAnsi="宋体" w:eastAsia="宋体" w:cs="宋体"/>
          <w:b w:val="0"/>
          <w:color w:val="auto"/>
          <w:szCs w:val="21"/>
          <w:highlight w:val="none"/>
        </w:rPr>
        <w:t>说明：投标人自行编制，格式不限。内容包括针对特殊天气、公共卫生事件、车辆故障、交通事故、人员应急调配、劳务纠纷、工伤事故等的应急方案和保障措施。</w:t>
      </w:r>
    </w:p>
    <w:p>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781" w:name="_Toc3750"/>
      <w:bookmarkStart w:id="782" w:name="_Toc18180"/>
      <w:bookmarkStart w:id="783" w:name="_Toc28973"/>
      <w:bookmarkStart w:id="784" w:name="_Toc30545"/>
      <w:bookmarkStart w:id="785" w:name="_Toc30794"/>
      <w:r>
        <w:rPr>
          <w:rFonts w:hint="eastAsia" w:ascii="宋体" w:hAnsi="宋体" w:eastAsia="宋体" w:cs="宋体"/>
          <w:b/>
          <w:color w:val="auto"/>
          <w:kern w:val="0"/>
          <w:sz w:val="30"/>
          <w:szCs w:val="30"/>
          <w:highlight w:val="none"/>
          <w:lang w:val="en-US" w:eastAsia="zh-CN"/>
        </w:rPr>
        <w:t xml:space="preserve">13.6 </w:t>
      </w:r>
      <w:r>
        <w:rPr>
          <w:rFonts w:hint="eastAsia" w:ascii="宋体" w:hAnsi="宋体" w:eastAsia="宋体" w:cs="宋体"/>
          <w:b/>
          <w:color w:val="auto"/>
          <w:kern w:val="0"/>
          <w:sz w:val="30"/>
          <w:szCs w:val="30"/>
          <w:highlight w:val="none"/>
        </w:rPr>
        <w:t>投标人认为有必要提供的其它材料（不做强制要求）</w:t>
      </w:r>
      <w:bookmarkEnd w:id="775"/>
      <w:bookmarkEnd w:id="776"/>
      <w:bookmarkEnd w:id="777"/>
      <w:bookmarkEnd w:id="778"/>
      <w:bookmarkEnd w:id="779"/>
      <w:bookmarkEnd w:id="781"/>
      <w:bookmarkEnd w:id="782"/>
      <w:bookmarkEnd w:id="783"/>
      <w:bookmarkEnd w:id="784"/>
      <w:bookmarkEnd w:id="785"/>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pPr>
        <w:autoSpaceDE w:val="0"/>
        <w:autoSpaceDN w:val="0"/>
        <w:adjustRightInd w:val="0"/>
        <w:jc w:val="left"/>
        <w:rPr>
          <w:rFonts w:hint="eastAsia" w:ascii="宋体" w:hAnsi="宋体" w:eastAsia="宋体" w:cs="宋体"/>
          <w:color w:val="auto"/>
          <w:kern w:val="0"/>
          <w:sz w:val="24"/>
          <w:szCs w:val="24"/>
          <w:highlight w:val="none"/>
        </w:rPr>
      </w:pPr>
    </w:p>
    <w:p>
      <w:pPr>
        <w:tabs>
          <w:tab w:val="left" w:pos="1080"/>
        </w:tabs>
        <w:autoSpaceDE w:val="0"/>
        <w:autoSpaceDN w:val="0"/>
        <w:adjustRightInd w:val="0"/>
        <w:spacing w:line="360" w:lineRule="auto"/>
        <w:jc w:val="left"/>
        <w:outlineLvl w:val="0"/>
        <w:rPr>
          <w:rFonts w:hint="eastAsia" w:ascii="宋体" w:hAnsi="宋体" w:eastAsia="宋体" w:cs="宋体"/>
          <w:b/>
          <w:bCs/>
          <w:color w:val="auto"/>
          <w:kern w:val="44"/>
          <w:sz w:val="32"/>
          <w:szCs w:val="32"/>
          <w:highlight w:val="none"/>
          <w:lang w:val="zh-CN"/>
        </w:rPr>
      </w:pPr>
      <w:bookmarkStart w:id="786" w:name="_Toc142508390"/>
      <w:bookmarkStart w:id="787" w:name="_Toc14977"/>
      <w:bookmarkStart w:id="788" w:name="_Toc30605"/>
      <w:bookmarkStart w:id="789" w:name="_Toc21059"/>
      <w:bookmarkStart w:id="790" w:name="_Toc30548"/>
      <w:bookmarkStart w:id="791" w:name="_Toc19877"/>
      <w:bookmarkStart w:id="792" w:name="_Toc522047402"/>
      <w:bookmarkStart w:id="793" w:name="_Toc22601_WPSOffice_Level1"/>
      <w:bookmarkStart w:id="794" w:name="_Toc521918141"/>
      <w:r>
        <w:rPr>
          <w:rFonts w:hint="eastAsia" w:ascii="宋体" w:hAnsi="宋体" w:eastAsia="宋体" w:cs="宋体"/>
          <w:b/>
          <w:bCs/>
          <w:color w:val="auto"/>
          <w:kern w:val="44"/>
          <w:sz w:val="32"/>
          <w:szCs w:val="32"/>
          <w:highlight w:val="none"/>
          <w:lang w:val="zh-CN"/>
        </w:rPr>
        <w:t>附件一：评标工作大纲</w:t>
      </w:r>
      <w:bookmarkEnd w:id="786"/>
      <w:bookmarkEnd w:id="787"/>
      <w:bookmarkEnd w:id="788"/>
      <w:bookmarkEnd w:id="789"/>
      <w:bookmarkEnd w:id="790"/>
      <w:bookmarkEnd w:id="791"/>
    </w:p>
    <w:p>
      <w:pPr>
        <w:autoSpaceDE w:val="0"/>
        <w:autoSpaceDN w:val="0"/>
        <w:adjustRightInd w:val="0"/>
        <w:spacing w:line="400" w:lineRule="atLeast"/>
        <w:jc w:val="center"/>
        <w:rPr>
          <w:rFonts w:hint="eastAsia" w:ascii="宋体" w:hAnsi="宋体" w:eastAsia="宋体" w:cs="宋体"/>
          <w:b/>
          <w:bCs/>
          <w:color w:val="auto"/>
          <w:szCs w:val="21"/>
          <w:highlight w:val="none"/>
        </w:rPr>
      </w:pPr>
    </w:p>
    <w:p>
      <w:pPr>
        <w:autoSpaceDE w:val="0"/>
        <w:autoSpaceDN w:val="0"/>
        <w:adjustRightInd w:val="0"/>
        <w:spacing w:line="400" w:lineRule="atLeast"/>
        <w:jc w:val="center"/>
        <w:rPr>
          <w:rFonts w:hint="eastAsia" w:ascii="宋体" w:hAnsi="宋体" w:eastAsia="宋体" w:cs="宋体"/>
          <w:b/>
          <w:bCs/>
          <w:color w:val="auto"/>
          <w:szCs w:val="21"/>
          <w:highlight w:val="none"/>
        </w:rPr>
      </w:pPr>
    </w:p>
    <w:p>
      <w:pPr>
        <w:autoSpaceDE w:val="0"/>
        <w:autoSpaceDN w:val="0"/>
        <w:adjustRightInd w:val="0"/>
        <w:spacing w:line="400" w:lineRule="atLeast"/>
        <w:jc w:val="center"/>
        <w:rPr>
          <w:rFonts w:hint="eastAsia" w:ascii="宋体" w:hAnsi="宋体" w:eastAsia="宋体" w:cs="宋体"/>
          <w:b/>
          <w:bCs/>
          <w:color w:val="auto"/>
          <w:szCs w:val="21"/>
          <w:highlight w:val="none"/>
        </w:rPr>
      </w:pPr>
    </w:p>
    <w:p>
      <w:pPr>
        <w:autoSpaceDE w:val="0"/>
        <w:autoSpaceDN w:val="0"/>
        <w:adjustRightInd w:val="0"/>
        <w:spacing w:line="400" w:lineRule="atLeast"/>
        <w:jc w:val="center"/>
        <w:rPr>
          <w:rFonts w:hint="eastAsia" w:ascii="宋体" w:hAnsi="宋体" w:eastAsia="宋体" w:cs="宋体"/>
          <w:b/>
          <w:bCs/>
          <w:color w:val="auto"/>
          <w:szCs w:val="21"/>
          <w:highlight w:val="none"/>
        </w:rPr>
      </w:pPr>
    </w:p>
    <w:p>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东莞市利源有机资源再生利用有限公司2024-2025年餐厨垃圾收运服务采购项目（重新招标）</w:t>
      </w:r>
    </w:p>
    <w:p>
      <w:pPr>
        <w:autoSpaceDE w:val="0"/>
        <w:autoSpaceDN w:val="0"/>
        <w:adjustRightInd w:val="0"/>
        <w:spacing w:line="360" w:lineRule="auto"/>
        <w:jc w:val="center"/>
        <w:rPr>
          <w:rFonts w:hint="eastAsia" w:ascii="宋体" w:hAnsi="宋体" w:eastAsia="宋体" w:cs="宋体"/>
          <w:b/>
          <w:bCs/>
          <w:color w:val="auto"/>
          <w:sz w:val="36"/>
          <w:szCs w:val="36"/>
          <w:highlight w:val="none"/>
        </w:rPr>
      </w:pPr>
      <w:bookmarkStart w:id="795" w:name="_Toc14752_WPSOffice_Level1"/>
      <w:r>
        <w:rPr>
          <w:rFonts w:hint="eastAsia" w:ascii="宋体" w:hAnsi="宋体" w:eastAsia="宋体" w:cs="宋体"/>
          <w:b/>
          <w:bCs/>
          <w:color w:val="auto"/>
          <w:sz w:val="36"/>
          <w:szCs w:val="36"/>
          <w:highlight w:val="none"/>
          <w:lang w:val="zh-CN"/>
        </w:rPr>
        <w:t>（招标编号：0832-SFCX24DG024C-1）</w:t>
      </w:r>
      <w:bookmarkEnd w:id="795"/>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72"/>
          <w:szCs w:val="72"/>
          <w:highlight w:val="none"/>
          <w:lang w:val="zh-CN"/>
        </w:rPr>
      </w:pPr>
      <w:bookmarkStart w:id="796" w:name="_Toc18947_WPSOffice_Level2"/>
      <w:r>
        <w:rPr>
          <w:rFonts w:hint="eastAsia" w:ascii="宋体" w:hAnsi="宋体" w:eastAsia="宋体" w:cs="宋体"/>
          <w:b/>
          <w:bCs/>
          <w:color w:val="auto"/>
          <w:sz w:val="72"/>
          <w:szCs w:val="72"/>
          <w:highlight w:val="none"/>
          <w:lang w:val="zh-CN"/>
        </w:rPr>
        <w:t>评标工作大纲</w:t>
      </w:r>
      <w:bookmarkEnd w:id="796"/>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pPr>
        <w:autoSpaceDE w:val="0"/>
        <w:autoSpaceDN w:val="0"/>
        <w:adjustRightInd w:val="0"/>
        <w:spacing w:line="400" w:lineRule="atLeast"/>
        <w:rPr>
          <w:rFonts w:hint="eastAsia"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三方诚信招标有限公司</w:t>
      </w:r>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797" w:name="_Toc32395_WPSOffice_Level1"/>
      <w:r>
        <w:rPr>
          <w:rFonts w:hint="eastAsia" w:ascii="宋体" w:hAnsi="宋体" w:eastAsia="宋体" w:cs="宋体"/>
          <w:b/>
          <w:bCs/>
          <w:color w:val="auto"/>
          <w:sz w:val="36"/>
          <w:szCs w:val="36"/>
          <w:highlight w:val="none"/>
          <w:lang w:val="zh-CN"/>
        </w:rPr>
        <w:t>目录</w:t>
      </w:r>
      <w:bookmarkEnd w:id="797"/>
    </w:p>
    <w:p>
      <w:pPr>
        <w:autoSpaceDE w:val="0"/>
        <w:autoSpaceDN w:val="0"/>
        <w:adjustRightInd w:val="0"/>
        <w:spacing w:line="400" w:lineRule="atLeast"/>
        <w:jc w:val="center"/>
        <w:rPr>
          <w:rFonts w:hint="eastAsia" w:ascii="宋体" w:hAnsi="宋体" w:eastAsia="宋体" w:cs="宋体"/>
          <w:color w:val="auto"/>
          <w:sz w:val="44"/>
          <w:szCs w:val="44"/>
          <w:highlight w:val="none"/>
        </w:rPr>
      </w:pPr>
    </w:p>
    <w:p>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98"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798"/>
    </w:p>
    <w:p>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99"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799"/>
    </w:p>
    <w:p>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800"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800"/>
    </w:p>
    <w:p>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801" w:name="_Toc1206_WPSOffice_Level1"/>
      <w:r>
        <w:rPr>
          <w:rFonts w:hint="eastAsia" w:ascii="宋体" w:hAnsi="宋体" w:eastAsia="宋体" w:cs="宋体"/>
          <w:color w:val="auto"/>
          <w:szCs w:val="30"/>
          <w:highlight w:val="none"/>
        </w:rPr>
        <w:t>四、 比较和评价</w:t>
      </w:r>
      <w:bookmarkEnd w:id="801"/>
    </w:p>
    <w:p>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802"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802"/>
    </w:p>
    <w:p>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803"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803"/>
    </w:p>
    <w:p>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804"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804"/>
    </w:p>
    <w:p>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pPr>
        <w:tabs>
          <w:tab w:val="left" w:pos="1080"/>
          <w:tab w:val="right" w:pos="7320"/>
        </w:tabs>
        <w:autoSpaceDE w:val="0"/>
        <w:autoSpaceDN w:val="0"/>
        <w:adjustRightInd w:val="0"/>
        <w:spacing w:line="400" w:lineRule="atLeast"/>
        <w:ind w:left="720" w:hanging="720"/>
        <w:rPr>
          <w:rFonts w:hint="eastAsia" w:ascii="宋体" w:hAnsi="宋体" w:eastAsia="宋体" w:cs="宋体"/>
          <w:color w:val="auto"/>
          <w:szCs w:val="30"/>
          <w:highlight w:val="none"/>
        </w:rPr>
      </w:pPr>
    </w:p>
    <w:p>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805"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805"/>
    </w:p>
    <w:p>
      <w:pPr>
        <w:tabs>
          <w:tab w:val="left" w:pos="567"/>
          <w:tab w:val="left" w:pos="600"/>
        </w:tabs>
        <w:autoSpaceDE w:val="0"/>
        <w:autoSpaceDN w:val="0"/>
        <w:adjustRightInd w:val="0"/>
        <w:spacing w:line="360" w:lineRule="auto"/>
        <w:ind w:left="600" w:hanging="60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pPr>
        <w:autoSpaceDE w:val="0"/>
        <w:autoSpaceDN w:val="0"/>
        <w:adjustRightInd w:val="0"/>
        <w:spacing w:line="360" w:lineRule="auto"/>
        <w:ind w:left="567" w:hanging="567"/>
        <w:rPr>
          <w:rFonts w:hint="eastAsia"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东莞市利源有机资源再生利用有限公司2024-2025年餐厨垃圾收运服务采购项目（重新招标）</w:t>
      </w:r>
      <w:r>
        <w:rPr>
          <w:rFonts w:hint="eastAsia" w:ascii="宋体" w:hAnsi="宋体" w:eastAsia="宋体" w:cs="宋体"/>
          <w:color w:val="auto"/>
          <w:szCs w:val="21"/>
          <w:highlight w:val="none"/>
          <w:lang w:val="zh-CN"/>
        </w:rPr>
        <w:t>(招标编号：0832-SFCX24DG024C-1</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三方诚信招标有限公司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pPr>
        <w:numPr>
          <w:ilvl w:val="1"/>
          <w:numId w:val="4"/>
        </w:numPr>
        <w:autoSpaceDE w:val="0"/>
        <w:autoSpaceDN w:val="0"/>
        <w:adjustRightInd w:val="0"/>
        <w:spacing w:line="360" w:lineRule="auto"/>
        <w:ind w:left="565" w:hanging="564" w:hangingChars="269"/>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pPr>
        <w:autoSpaceDE w:val="0"/>
        <w:autoSpaceDN w:val="0"/>
        <w:adjustRightInd w:val="0"/>
        <w:spacing w:line="360" w:lineRule="auto"/>
        <w:rPr>
          <w:rFonts w:hint="eastAsia" w:ascii="宋体" w:hAnsi="宋体" w:eastAsia="宋体" w:cs="宋体"/>
          <w:color w:val="auto"/>
          <w:sz w:val="24"/>
          <w:szCs w:val="24"/>
          <w:highlight w:val="none"/>
          <w:lang w:val="zh-CN"/>
        </w:rPr>
      </w:pPr>
    </w:p>
    <w:p>
      <w:pPr>
        <w:tabs>
          <w:tab w:val="left" w:pos="360"/>
          <w:tab w:val="left" w:pos="600"/>
        </w:tabs>
        <w:autoSpaceDE w:val="0"/>
        <w:autoSpaceDN w:val="0"/>
        <w:adjustRightInd w:val="0"/>
        <w:spacing w:line="360" w:lineRule="auto"/>
        <w:ind w:left="600" w:hanging="60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w:t>
      </w:r>
      <w:r>
        <w:rPr>
          <w:rFonts w:hint="eastAsia" w:ascii="宋体" w:hAnsi="宋体" w:eastAsia="宋体" w:cs="宋体"/>
          <w:b w:val="0"/>
          <w:bCs w:val="0"/>
          <w:color w:val="auto"/>
          <w:kern w:val="0"/>
          <w:szCs w:val="24"/>
          <w:highlight w:val="none"/>
        </w:rPr>
        <w:t>为5人以上（含5人）单数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pPr>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pPr>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pPr>
        <w:autoSpaceDE w:val="0"/>
        <w:autoSpaceDN w:val="0"/>
        <w:adjustRightInd w:val="0"/>
        <w:spacing w:line="360" w:lineRule="auto"/>
        <w:rPr>
          <w:rFonts w:hint="eastAsia" w:ascii="宋体" w:hAnsi="宋体" w:eastAsia="宋体" w:cs="宋体"/>
          <w:color w:val="auto"/>
          <w:sz w:val="24"/>
          <w:szCs w:val="24"/>
          <w:highlight w:val="none"/>
          <w:lang w:val="zh-CN"/>
        </w:rPr>
      </w:pPr>
    </w:p>
    <w:p>
      <w:pPr>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p>
    <w:p>
      <w:pPr>
        <w:tabs>
          <w:tab w:val="left" w:pos="720"/>
        </w:tabs>
        <w:autoSpaceDE w:val="0"/>
        <w:autoSpaceDN w:val="0"/>
        <w:adjustRightInd w:val="0"/>
        <w:spacing w:line="360" w:lineRule="auto"/>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pPr>
        <w:tabs>
          <w:tab w:val="left" w:pos="720"/>
        </w:tabs>
        <w:autoSpaceDE w:val="0"/>
        <w:autoSpaceDN w:val="0"/>
        <w:adjustRightInd w:val="0"/>
        <w:spacing w:line="360" w:lineRule="auto"/>
        <w:rPr>
          <w:rFonts w:hint="eastAsia" w:ascii="宋体" w:hAnsi="宋体" w:eastAsia="宋体" w:cs="宋体"/>
          <w:color w:val="auto"/>
          <w:sz w:val="24"/>
          <w:szCs w:val="24"/>
          <w:highlight w:val="none"/>
          <w:lang w:val="zh-CN"/>
        </w:rPr>
      </w:pPr>
    </w:p>
    <w:p>
      <w:pPr>
        <w:tabs>
          <w:tab w:val="left" w:pos="1547"/>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bCs/>
          <w:color w:val="auto"/>
          <w:szCs w:val="21"/>
          <w:highlight w:val="none"/>
          <w:lang w:val="zh-CN"/>
        </w:rPr>
        <w:t>5、评审程序</w:t>
      </w:r>
    </w:p>
    <w:p>
      <w:pPr>
        <w:autoSpaceDE w:val="0"/>
        <w:autoSpaceDN w:val="0"/>
        <w:adjustRightInd w:val="0"/>
        <w:spacing w:line="360" w:lineRule="auto"/>
        <w:ind w:left="567" w:hanging="567"/>
        <w:rPr>
          <w:rFonts w:hint="eastAsia"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5.1</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评审首先由评标委员会对投标人的</w:t>
      </w:r>
      <w:r>
        <w:rPr>
          <w:rFonts w:hint="eastAsia" w:ascii="宋体" w:hAnsi="宋体" w:eastAsia="宋体" w:cs="宋体"/>
          <w:color w:val="auto"/>
          <w:szCs w:val="24"/>
          <w:highlight w:val="none"/>
          <w:lang w:val="zh-CN"/>
        </w:rPr>
        <w:t>投标</w:t>
      </w:r>
      <w:r>
        <w:rPr>
          <w:rFonts w:hint="eastAsia" w:ascii="宋体" w:hAnsi="宋体" w:eastAsia="宋体" w:cs="宋体"/>
          <w:bCs/>
          <w:color w:val="auto"/>
          <w:szCs w:val="24"/>
          <w:highlight w:val="none"/>
          <w:lang w:val="zh-CN"/>
        </w:rPr>
        <w:t>文件做初审，对未能通过初审的投标文件不再进入下一阶段评审。</w:t>
      </w:r>
    </w:p>
    <w:p>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5.2</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评标</w:t>
      </w:r>
      <w:r>
        <w:rPr>
          <w:rFonts w:hint="eastAsia" w:ascii="宋体" w:hAnsi="宋体" w:eastAsia="宋体" w:cs="宋体"/>
          <w:color w:val="auto"/>
          <w:szCs w:val="24"/>
          <w:highlight w:val="none"/>
          <w:lang w:val="zh-CN"/>
        </w:rPr>
        <w:t>委员会对通过初审的投标人的投标文件进行详细的比较和评价。如需要，进行必要的澄清工作。</w:t>
      </w:r>
    </w:p>
    <w:p>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5.3  依据评分标准以及各项权重，各位评标委员会成员单独就每个投标人的商务状况、技术状况进行比较和评价，分别评出其商务得分和技术得分。</w:t>
      </w:r>
    </w:p>
    <w:p>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5.4</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对有效投标人的投标报价进行审查和价格评分。</w:t>
      </w:r>
    </w:p>
    <w:p>
      <w:pPr>
        <w:autoSpaceDE w:val="0"/>
        <w:autoSpaceDN w:val="0"/>
        <w:adjustRightInd w:val="0"/>
        <w:spacing w:line="360" w:lineRule="auto"/>
        <w:ind w:left="567" w:hanging="567"/>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5.5  将各</w:t>
      </w:r>
      <w:r>
        <w:rPr>
          <w:rFonts w:hint="eastAsia" w:ascii="宋体" w:hAnsi="宋体" w:eastAsia="宋体" w:cs="宋体"/>
          <w:color w:val="auto"/>
          <w:szCs w:val="24"/>
          <w:highlight w:val="none"/>
          <w:lang w:val="zh-CN"/>
        </w:rPr>
        <w:t>评委对</w:t>
      </w:r>
      <w:r>
        <w:rPr>
          <w:rFonts w:hint="eastAsia" w:ascii="宋体" w:hAnsi="宋体" w:eastAsia="宋体" w:cs="宋体"/>
          <w:color w:val="auto"/>
          <w:kern w:val="0"/>
          <w:szCs w:val="24"/>
          <w:highlight w:val="none"/>
          <w:lang w:val="zh-CN"/>
        </w:rPr>
        <w:t>投标人的技术打分的最终综合得分、商务打分的算术平均值和价格得分相加得出投标人的总分。</w:t>
      </w:r>
    </w:p>
    <w:p>
      <w:pPr>
        <w:autoSpaceDE w:val="0"/>
        <w:autoSpaceDN w:val="0"/>
        <w:adjustRightInd w:val="0"/>
        <w:spacing w:line="360" w:lineRule="auto"/>
        <w:ind w:left="567" w:hanging="567"/>
        <w:rPr>
          <w:rFonts w:hint="eastAsia" w:ascii="宋体" w:hAnsi="宋体" w:eastAsia="宋体" w:cs="宋体"/>
          <w:color w:val="auto"/>
          <w:kern w:val="0"/>
          <w:szCs w:val="21"/>
          <w:highlight w:val="none"/>
        </w:rPr>
      </w:pPr>
      <w:r>
        <w:rPr>
          <w:rFonts w:hint="eastAsia" w:ascii="宋体" w:hAnsi="宋体" w:eastAsia="宋体" w:cs="宋体"/>
          <w:bCs/>
          <w:color w:val="auto"/>
          <w:kern w:val="0"/>
          <w:szCs w:val="24"/>
          <w:highlight w:val="none"/>
        </w:rPr>
        <w:t xml:space="preserve">5.6  </w:t>
      </w:r>
      <w:r>
        <w:rPr>
          <w:rFonts w:hint="eastAsia" w:ascii="宋体" w:hAnsi="宋体" w:eastAsia="宋体" w:cs="宋体"/>
          <w:color w:val="auto"/>
          <w:kern w:val="0"/>
          <w:szCs w:val="21"/>
          <w:highlight w:val="none"/>
        </w:rPr>
        <w:t>评标委员会将向招标人推荐评标最后综合得分最高的前二名投标人为中标候选人，并标明排列顺序。</w:t>
      </w:r>
    </w:p>
    <w:p>
      <w:pPr>
        <w:autoSpaceDE w:val="0"/>
        <w:autoSpaceDN w:val="0"/>
        <w:adjustRightInd w:val="0"/>
        <w:spacing w:line="360" w:lineRule="auto"/>
        <w:ind w:left="525" w:hanging="525" w:hangingChars="250"/>
        <w:jc w:val="left"/>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5.</w:t>
      </w:r>
      <w:r>
        <w:rPr>
          <w:rFonts w:hint="eastAsia" w:ascii="宋体" w:hAnsi="宋体" w:eastAsia="宋体" w:cs="宋体"/>
          <w:color w:val="auto"/>
          <w:szCs w:val="24"/>
          <w:highlight w:val="none"/>
          <w:lang w:val="zh-CN"/>
        </w:rPr>
        <w:t>7</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评标委员会</w:t>
      </w:r>
      <w:r>
        <w:rPr>
          <w:rFonts w:hint="eastAsia" w:ascii="宋体" w:hAnsi="宋体" w:eastAsia="宋体" w:cs="宋体"/>
          <w:color w:val="auto"/>
          <w:szCs w:val="24"/>
          <w:highlight w:val="none"/>
          <w:lang w:val="zh-CN"/>
        </w:rPr>
        <w:t>根据评审结果编写评标报告。</w:t>
      </w:r>
    </w:p>
    <w:p>
      <w:pPr>
        <w:autoSpaceDE w:val="0"/>
        <w:autoSpaceDN w:val="0"/>
        <w:adjustRightInd w:val="0"/>
        <w:spacing w:line="360" w:lineRule="auto"/>
        <w:ind w:left="525" w:hanging="525" w:hangingChars="250"/>
        <w:jc w:val="left"/>
        <w:rPr>
          <w:rFonts w:hint="eastAsia" w:ascii="宋体" w:hAnsi="宋体" w:eastAsia="宋体" w:cs="宋体"/>
          <w:color w:val="auto"/>
          <w:szCs w:val="24"/>
          <w:highlight w:val="none"/>
          <w:lang w:val="zh-CN"/>
        </w:rPr>
      </w:pPr>
    </w:p>
    <w:p>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bookmarkStart w:id="806" w:name="_Toc19435_WPSOffice_Level1"/>
      <w:r>
        <w:rPr>
          <w:rFonts w:hint="eastAsia" w:ascii="宋体" w:hAnsi="宋体" w:eastAsia="宋体" w:cs="宋体"/>
          <w:b/>
          <w:bCs/>
          <w:color w:val="auto"/>
          <w:sz w:val="28"/>
          <w:szCs w:val="28"/>
          <w:highlight w:val="none"/>
          <w:lang w:val="zh-CN"/>
        </w:rPr>
        <w:t>二、投标文件的初审</w:t>
      </w:r>
      <w:bookmarkEnd w:id="806"/>
    </w:p>
    <w:p>
      <w:pPr>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pPr>
        <w:autoSpaceDE w:val="0"/>
        <w:autoSpaceDN w:val="0"/>
        <w:adjustRightInd w:val="0"/>
        <w:spacing w:line="360" w:lineRule="auto"/>
        <w:ind w:firstLine="840" w:firstLine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u w:val="singl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u w:val="single"/>
          <w:lang w:val="en-US" w:eastAsia="zh-CN"/>
        </w:rPr>
        <w:t>从</w:t>
      </w:r>
      <w:r>
        <w:rPr>
          <w:rFonts w:hint="eastAsia" w:ascii="宋体" w:hAnsi="宋体" w:eastAsia="宋体" w:cs="宋体"/>
          <w:b/>
          <w:color w:val="auto"/>
          <w:szCs w:val="24"/>
          <w:highlight w:val="none"/>
          <w:u w:val="single"/>
          <w:lang w:val="zh-CN"/>
        </w:rPr>
        <w:t>多数的原则，获多数表决通过的投标人才有资格进入下一阶段的评审,否则将被认定为无效投标文件</w:t>
      </w:r>
      <w:r>
        <w:rPr>
          <w:rFonts w:hint="eastAsia" w:ascii="宋体" w:hAnsi="宋体" w:eastAsia="宋体" w:cs="宋体"/>
          <w:b/>
          <w:color w:val="auto"/>
          <w:szCs w:val="24"/>
          <w:highlight w:val="none"/>
          <w:lang w:val="zh-CN"/>
        </w:rPr>
        <w:t>。</w:t>
      </w:r>
    </w:p>
    <w:p>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7.1  </w:t>
      </w:r>
      <w:r>
        <w:rPr>
          <w:rFonts w:hint="eastAsia" w:ascii="宋体" w:hAnsi="宋体" w:eastAsia="宋体" w:cs="宋体"/>
          <w:b/>
          <w:bCs/>
          <w:color w:val="auto"/>
          <w:kern w:val="0"/>
          <w:szCs w:val="21"/>
          <w:highlight w:val="none"/>
          <w:u w:val="single"/>
        </w:rPr>
        <w:t>投标人未按招标文件要求交纳投标保证金的</w:t>
      </w:r>
      <w:r>
        <w:rPr>
          <w:rFonts w:hint="eastAsia" w:ascii="宋体" w:hAnsi="宋体" w:eastAsia="宋体" w:cs="宋体"/>
          <w:b/>
          <w:bCs/>
          <w:color w:val="auto"/>
          <w:kern w:val="0"/>
          <w:szCs w:val="21"/>
          <w:highlight w:val="none"/>
        </w:rPr>
        <w:t>；</w:t>
      </w:r>
    </w:p>
    <w:p>
      <w:pPr>
        <w:tabs>
          <w:tab w:val="left" w:pos="567"/>
        </w:tabs>
        <w:spacing w:line="360" w:lineRule="auto"/>
        <w:ind w:left="632" w:hanging="632" w:hangingChars="3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u w:val="single"/>
        </w:rPr>
        <w:t>投标文件中的投标报价高于</w:t>
      </w:r>
      <w:r>
        <w:rPr>
          <w:rFonts w:hint="eastAsia" w:ascii="宋体" w:hAnsi="宋体" w:eastAsia="宋体" w:cs="Times New Roman"/>
          <w:b/>
          <w:bCs/>
          <w:color w:val="auto"/>
          <w:kern w:val="0"/>
          <w:szCs w:val="24"/>
          <w:highlight w:val="none"/>
          <w:u w:val="single"/>
        </w:rPr>
        <w:t>最高</w:t>
      </w:r>
      <w:r>
        <w:rPr>
          <w:rFonts w:hint="eastAsia" w:ascii="宋体" w:hAnsi="宋体" w:eastAsia="宋体" w:cs="Times New Roman"/>
          <w:b/>
          <w:bCs/>
          <w:color w:val="auto"/>
          <w:kern w:val="0"/>
          <w:szCs w:val="24"/>
          <w:highlight w:val="none"/>
          <w:u w:val="single"/>
          <w:lang w:val="en-US" w:eastAsia="zh-CN"/>
        </w:rPr>
        <w:t>投标</w:t>
      </w:r>
      <w:r>
        <w:rPr>
          <w:rFonts w:hint="eastAsia" w:ascii="宋体" w:hAnsi="宋体" w:eastAsia="宋体" w:cs="Times New Roman"/>
          <w:b/>
          <w:bCs/>
          <w:color w:val="auto"/>
          <w:kern w:val="0"/>
          <w:szCs w:val="24"/>
          <w:highlight w:val="none"/>
          <w:u w:val="single"/>
        </w:rPr>
        <w:t>限价</w:t>
      </w:r>
      <w:r>
        <w:rPr>
          <w:rFonts w:hint="eastAsia" w:ascii="宋体" w:hAnsi="宋体" w:eastAsia="宋体" w:cs="宋体"/>
          <w:b/>
          <w:color w:val="auto"/>
          <w:kern w:val="0"/>
          <w:szCs w:val="21"/>
          <w:highlight w:val="none"/>
          <w:u w:val="single"/>
        </w:rPr>
        <w:t>的</w:t>
      </w:r>
      <w:r>
        <w:rPr>
          <w:rFonts w:hint="eastAsia" w:ascii="宋体" w:hAnsi="宋体" w:eastAsia="宋体" w:cs="宋体"/>
          <w:b/>
          <w:bCs/>
          <w:color w:val="auto"/>
          <w:kern w:val="0"/>
          <w:szCs w:val="21"/>
          <w:highlight w:val="none"/>
        </w:rPr>
        <w:t>；</w:t>
      </w:r>
    </w:p>
    <w:p>
      <w:pPr>
        <w:tabs>
          <w:tab w:val="left" w:pos="567"/>
        </w:tabs>
        <w:spacing w:line="360" w:lineRule="auto"/>
        <w:ind w:left="632"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7.3  </w:t>
      </w:r>
      <w:r>
        <w:rPr>
          <w:rFonts w:hint="eastAsia" w:ascii="宋体" w:hAnsi="宋体" w:eastAsia="宋体" w:cs="宋体"/>
          <w:b/>
          <w:color w:val="auto"/>
          <w:kern w:val="0"/>
          <w:szCs w:val="21"/>
          <w:highlight w:val="none"/>
          <w:u w:val="single"/>
        </w:rPr>
        <w:t>投标人以低于企业成本价报价，且投标人不能合理说明或不能提供相关证明材料</w:t>
      </w:r>
      <w:r>
        <w:rPr>
          <w:rFonts w:hint="eastAsia" w:ascii="宋体" w:hAnsi="宋体" w:eastAsia="宋体" w:cs="宋体"/>
          <w:b/>
          <w:color w:val="auto"/>
          <w:kern w:val="0"/>
          <w:szCs w:val="21"/>
          <w:highlight w:val="none"/>
        </w:rPr>
        <w:t>；</w:t>
      </w:r>
    </w:p>
    <w:p>
      <w:pPr>
        <w:tabs>
          <w:tab w:val="left" w:pos="567"/>
        </w:tabs>
        <w:spacing w:line="360" w:lineRule="auto"/>
        <w:ind w:left="632"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7.4  </w:t>
      </w:r>
      <w:r>
        <w:rPr>
          <w:rFonts w:hint="eastAsia" w:ascii="宋体" w:hAnsi="宋体" w:eastAsia="宋体" w:cs="宋体"/>
          <w:b/>
          <w:color w:val="auto"/>
          <w:kern w:val="0"/>
          <w:szCs w:val="21"/>
          <w:highlight w:val="none"/>
          <w:u w:val="single"/>
        </w:rPr>
        <w:t>投标人递交两份或多份内容不同的投标文件，或在一份投标文件中报有两个或多个报价，且未书面声明哪一个有效</w:t>
      </w:r>
      <w:r>
        <w:rPr>
          <w:rFonts w:hint="eastAsia" w:ascii="宋体" w:hAnsi="宋体" w:eastAsia="宋体" w:cs="宋体"/>
          <w:b/>
          <w:color w:val="auto"/>
          <w:kern w:val="0"/>
          <w:szCs w:val="21"/>
          <w:highlight w:val="none"/>
        </w:rPr>
        <w:t>；</w:t>
      </w:r>
    </w:p>
    <w:p>
      <w:pPr>
        <w:tabs>
          <w:tab w:val="left" w:pos="567"/>
        </w:tabs>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u w:val="singl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u w:val="single"/>
          <w:lang w:val="en-US" w:eastAsia="zh-CN"/>
        </w:rPr>
        <w:t>政府采购</w:t>
      </w:r>
      <w:r>
        <w:rPr>
          <w:rFonts w:hint="eastAsia" w:ascii="宋体" w:hAnsi="宋体" w:eastAsia="宋体" w:cs="宋体"/>
          <w:b/>
          <w:color w:val="auto"/>
          <w:kern w:val="0"/>
          <w:szCs w:val="21"/>
          <w:highlight w:val="none"/>
          <w:u w:val="single"/>
        </w:rPr>
        <w:t>严重违法失信行为记录名单（处罚期限届满的除外）]</w:t>
      </w:r>
      <w:r>
        <w:rPr>
          <w:rFonts w:hint="eastAsia" w:ascii="宋体" w:hAnsi="宋体" w:eastAsia="宋体" w:cs="宋体"/>
          <w:b/>
          <w:color w:val="auto"/>
          <w:kern w:val="0"/>
          <w:szCs w:val="21"/>
          <w:highlight w:val="none"/>
        </w:rPr>
        <w:t>；</w:t>
      </w:r>
    </w:p>
    <w:p>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w:t>
      </w:r>
      <w:r>
        <w:rPr>
          <w:rFonts w:hint="eastAsia" w:ascii="宋体" w:hAnsi="宋体" w:eastAsia="宋体" w:cs="宋体"/>
          <w:b/>
          <w:bCs/>
          <w:color w:val="auto"/>
          <w:kern w:val="0"/>
          <w:szCs w:val="21"/>
          <w:highlight w:val="none"/>
          <w:u w:val="single"/>
        </w:rPr>
        <w:t>投标文件未按照招标文件规定要求密封；投标文件无法定代表人或其授权代表签字（或盖私章），或签字人无法定代表人有效授权的；签字盖章不符合招标文件要求的</w:t>
      </w:r>
      <w:r>
        <w:rPr>
          <w:rFonts w:hint="eastAsia" w:ascii="宋体" w:hAnsi="宋体" w:eastAsia="宋体" w:cs="宋体"/>
          <w:b/>
          <w:bCs/>
          <w:color w:val="auto"/>
          <w:kern w:val="0"/>
          <w:szCs w:val="21"/>
          <w:highlight w:val="none"/>
        </w:rPr>
        <w:t xml:space="preserve">； </w:t>
      </w:r>
    </w:p>
    <w:p>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7.7  </w:t>
      </w:r>
      <w:r>
        <w:rPr>
          <w:rFonts w:hint="eastAsia" w:ascii="宋体" w:hAnsi="宋体" w:eastAsia="宋体" w:cs="宋体"/>
          <w:b/>
          <w:bCs/>
          <w:color w:val="auto"/>
          <w:kern w:val="0"/>
          <w:szCs w:val="21"/>
          <w:highlight w:val="none"/>
          <w:u w:val="single"/>
        </w:rPr>
        <w:t>投标有效期限不符合要求</w:t>
      </w:r>
      <w:r>
        <w:rPr>
          <w:rFonts w:hint="eastAsia" w:ascii="宋体" w:hAnsi="宋体" w:eastAsia="宋体" w:cs="宋体"/>
          <w:b/>
          <w:bCs/>
          <w:color w:val="auto"/>
          <w:kern w:val="0"/>
          <w:szCs w:val="21"/>
          <w:highlight w:val="none"/>
        </w:rPr>
        <w:t>；</w:t>
      </w:r>
    </w:p>
    <w:p>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7.8  </w:t>
      </w:r>
      <w:r>
        <w:rPr>
          <w:rFonts w:hint="eastAsia" w:ascii="宋体" w:hAnsi="宋体" w:eastAsia="宋体" w:cs="宋体"/>
          <w:b/>
          <w:bCs/>
          <w:color w:val="auto"/>
          <w:kern w:val="0"/>
          <w:szCs w:val="21"/>
          <w:highlight w:val="none"/>
          <w:u w:val="single"/>
        </w:rPr>
        <w:t>投标文件未对招标范围内的全部内容进行投标报价</w:t>
      </w:r>
      <w:r>
        <w:rPr>
          <w:rFonts w:hint="eastAsia" w:ascii="宋体" w:hAnsi="宋体" w:eastAsia="宋体" w:cs="宋体"/>
          <w:b/>
          <w:color w:val="auto"/>
          <w:kern w:val="0"/>
          <w:szCs w:val="21"/>
          <w:highlight w:val="none"/>
          <w:u w:val="single"/>
        </w:rPr>
        <w:t>或投标方案不是唯一</w:t>
      </w:r>
      <w:r>
        <w:rPr>
          <w:rFonts w:hint="eastAsia" w:ascii="宋体" w:hAnsi="宋体" w:eastAsia="宋体" w:cs="宋体"/>
          <w:b/>
          <w:bCs/>
          <w:color w:val="auto"/>
          <w:kern w:val="0"/>
          <w:szCs w:val="21"/>
          <w:highlight w:val="none"/>
        </w:rPr>
        <w:t>；</w:t>
      </w:r>
    </w:p>
    <w:p>
      <w:pPr>
        <w:spacing w:line="360" w:lineRule="auto"/>
        <w:ind w:left="413" w:hanging="413" w:hanging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7.9  </w:t>
      </w:r>
      <w:r>
        <w:rPr>
          <w:rFonts w:hint="eastAsia" w:ascii="宋体" w:hAnsi="宋体" w:eastAsia="宋体" w:cs="宋体"/>
          <w:b/>
          <w:color w:val="auto"/>
          <w:kern w:val="0"/>
          <w:szCs w:val="21"/>
          <w:highlight w:val="none"/>
          <w:u w:val="single"/>
        </w:rPr>
        <w:t>未提供或虚假填写《合同条款偏离表》，或对《合同条款偏离表》有负偏离的</w:t>
      </w:r>
      <w:r>
        <w:rPr>
          <w:rFonts w:hint="eastAsia" w:ascii="宋体" w:hAnsi="宋体" w:eastAsia="宋体" w:cs="宋体"/>
          <w:b/>
          <w:color w:val="auto"/>
          <w:kern w:val="0"/>
          <w:szCs w:val="21"/>
          <w:highlight w:val="none"/>
        </w:rPr>
        <w:t>；</w:t>
      </w:r>
    </w:p>
    <w:p>
      <w:pPr>
        <w:spacing w:line="360" w:lineRule="auto"/>
        <w:ind w:left="413" w:hanging="413" w:hanging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7.10  </w:t>
      </w:r>
      <w:r>
        <w:rPr>
          <w:rFonts w:hint="eastAsia" w:ascii="宋体" w:hAnsi="宋体" w:eastAsia="宋体" w:cs="宋体"/>
          <w:b/>
          <w:color w:val="auto"/>
          <w:kern w:val="0"/>
          <w:szCs w:val="21"/>
          <w:highlight w:val="none"/>
          <w:u w:val="single"/>
        </w:rPr>
        <w:t>未填写或虚假填写《用户需求偏离表》的</w:t>
      </w:r>
      <w:r>
        <w:rPr>
          <w:rFonts w:hint="eastAsia" w:ascii="宋体" w:hAnsi="宋体" w:eastAsia="宋体" w:cs="宋体"/>
          <w:b/>
          <w:color w:val="auto"/>
          <w:kern w:val="0"/>
          <w:szCs w:val="21"/>
          <w:highlight w:val="none"/>
        </w:rPr>
        <w:t>；</w:t>
      </w:r>
    </w:p>
    <w:p>
      <w:pPr>
        <w:spacing w:line="360" w:lineRule="auto"/>
        <w:ind w:left="413" w:hanging="413" w:hanging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7.11 </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color w:val="auto"/>
          <w:kern w:val="0"/>
          <w:szCs w:val="21"/>
          <w:highlight w:val="none"/>
          <w:u w:val="single"/>
        </w:rPr>
        <w:t>未响应招标文件提出的实质性要求和条件（标注★的条款）</w:t>
      </w:r>
      <w:r>
        <w:rPr>
          <w:rFonts w:hint="eastAsia" w:ascii="宋体" w:hAnsi="宋体" w:eastAsia="宋体" w:cs="宋体"/>
          <w:b/>
          <w:color w:val="auto"/>
          <w:kern w:val="0"/>
          <w:szCs w:val="21"/>
          <w:highlight w:val="none"/>
        </w:rPr>
        <w:t>。</w:t>
      </w:r>
    </w:p>
    <w:p>
      <w:pPr>
        <w:autoSpaceDE w:val="0"/>
        <w:autoSpaceDN w:val="0"/>
        <w:adjustRightInd w:val="0"/>
        <w:spacing w:line="360" w:lineRule="auto"/>
        <w:ind w:left="315" w:hanging="315" w:hangingChars="150"/>
        <w:rPr>
          <w:rFonts w:hint="eastAsia"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pPr>
        <w:spacing w:line="360" w:lineRule="auto"/>
        <w:ind w:left="480"/>
        <w:rPr>
          <w:rFonts w:hint="eastAsia" w:ascii="宋体" w:hAnsi="宋体" w:eastAsia="宋体" w:cs="宋体"/>
          <w:b/>
          <w:color w:val="auto"/>
          <w:kern w:val="0"/>
          <w:szCs w:val="21"/>
          <w:highlight w:val="none"/>
        </w:rPr>
      </w:pPr>
    </w:p>
    <w:p>
      <w:pPr>
        <w:tabs>
          <w:tab w:val="left" w:pos="1140"/>
        </w:tabs>
        <w:autoSpaceDE w:val="0"/>
        <w:autoSpaceDN w:val="0"/>
        <w:adjustRightInd w:val="0"/>
        <w:spacing w:line="360" w:lineRule="auto"/>
        <w:ind w:firstLine="3528" w:firstLineChars="1255"/>
        <w:jc w:val="left"/>
        <w:rPr>
          <w:rFonts w:hint="eastAsia" w:ascii="宋体" w:hAnsi="宋体" w:eastAsia="宋体" w:cs="宋体"/>
          <w:b/>
          <w:bCs/>
          <w:color w:val="auto"/>
          <w:sz w:val="28"/>
          <w:szCs w:val="28"/>
          <w:highlight w:val="none"/>
        </w:rPr>
      </w:pPr>
      <w:bookmarkStart w:id="807" w:name="_Toc4109_WPSOffice_Level1"/>
      <w:r>
        <w:rPr>
          <w:rFonts w:hint="eastAsia" w:ascii="宋体" w:hAnsi="宋体" w:eastAsia="宋体" w:cs="宋体"/>
          <w:b/>
          <w:bCs/>
          <w:color w:val="auto"/>
          <w:sz w:val="28"/>
          <w:szCs w:val="28"/>
          <w:highlight w:val="none"/>
          <w:lang w:val="zh-CN"/>
        </w:rPr>
        <w:t>三、澄清有关问题</w:t>
      </w:r>
      <w:bookmarkEnd w:id="807"/>
    </w:p>
    <w:p>
      <w:pPr>
        <w:autoSpaceDE w:val="0"/>
        <w:autoSpaceDN w:val="0"/>
        <w:adjustRightInd w:val="0"/>
        <w:spacing w:line="360" w:lineRule="auto"/>
        <w:ind w:left="315" w:hanging="315" w:hangingChars="15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pPr>
        <w:autoSpaceDE w:val="0"/>
        <w:autoSpaceDN w:val="0"/>
        <w:adjustRightInd w:val="0"/>
        <w:spacing w:line="360" w:lineRule="auto"/>
        <w:ind w:left="529" w:right="18"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pPr>
        <w:spacing w:line="360" w:lineRule="auto"/>
        <w:ind w:left="424" w:hanging="424" w:hangingChars="20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pPr>
        <w:autoSpaceDE/>
        <w:autoSpaceDN/>
        <w:adjustRightInd/>
        <w:spacing w:line="360" w:lineRule="auto"/>
        <w:ind w:left="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pPr>
        <w:autoSpaceDE/>
        <w:autoSpaceDN/>
        <w:adjustRightInd/>
        <w:spacing w:line="360" w:lineRule="auto"/>
        <w:ind w:left="0" w:firstLine="42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pPr>
        <w:spacing w:line="360" w:lineRule="auto"/>
        <w:ind w:left="567" w:hanging="567" w:hangingChars="270"/>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pPr>
        <w:spacing w:line="360" w:lineRule="auto"/>
        <w:ind w:left="567" w:hanging="567" w:hangingChars="27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u w:val="single"/>
          <w:lang w:val="zh-CN"/>
        </w:rPr>
        <w:t>若投标人不能合理说明或不能提供相关证明材料的，评标委员会将认定其投标报价低于成本，同时否决其投标</w:t>
      </w:r>
      <w:r>
        <w:rPr>
          <w:rFonts w:hint="eastAsia" w:ascii="宋体" w:hAnsi="宋体" w:eastAsia="宋体" w:cs="宋体"/>
          <w:b/>
          <w:color w:val="auto"/>
          <w:szCs w:val="21"/>
          <w:highlight w:val="none"/>
          <w:lang w:val="zh-CN"/>
        </w:rPr>
        <w:t>。</w:t>
      </w:r>
    </w:p>
    <w:p>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bookmarkStart w:id="808" w:name="_Toc8518_WPSOffice_Level1"/>
    </w:p>
    <w:p>
      <w:pPr>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808"/>
    </w:p>
    <w:p>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p>
    <w:p>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pPr>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11.1 参加评分的评委应尽力体现客观、实事求是，避免学派偏见和个人偏好。</w:t>
      </w:r>
    </w:p>
    <w:p>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11.2 衡量、对比的依据，应以招标文件、投标文件、提供的正式试验数据、开标澄清中的文字为准，口头回答和收集的资料只作为参考。</w:t>
      </w:r>
    </w:p>
    <w:p>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11.3 评分主要是为比较各投标人的商务、技术</w:t>
      </w:r>
      <w:r>
        <w:rPr>
          <w:rFonts w:hint="eastAsia" w:ascii="宋体" w:hAnsi="宋体" w:eastAsia="宋体" w:cs="宋体"/>
          <w:color w:val="auto"/>
          <w:szCs w:val="24"/>
          <w:highlight w:val="none"/>
          <w:lang w:val="en-US" w:eastAsia="zh-CN"/>
        </w:rPr>
        <w:t>和</w:t>
      </w:r>
      <w:r>
        <w:rPr>
          <w:rFonts w:hint="eastAsia" w:ascii="宋体" w:hAnsi="宋体" w:eastAsia="宋体" w:cs="宋体"/>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pPr>
        <w:tabs>
          <w:tab w:val="left" w:pos="600"/>
        </w:tabs>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11.4 评标委员会打分采取记名形式。</w:t>
      </w:r>
    </w:p>
    <w:p>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11.5 各评委根据秘书组提供的打分表严格按照评标大纲内的评分标准独立自主打分，任何人不得要求评委统一打分或统一确定等次顺序。</w:t>
      </w:r>
    </w:p>
    <w:p>
      <w:pPr>
        <w:autoSpaceDE w:val="0"/>
        <w:autoSpaceDN w:val="0"/>
        <w:adjustRightInd w:val="0"/>
        <w:spacing w:line="360" w:lineRule="auto"/>
        <w:ind w:left="426" w:hanging="426"/>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11.6 对打分表中的每项条款，各评委应根据投标文件、澄清材料、招标文件要求，按满足的程度给投标人打分。</w:t>
      </w:r>
    </w:p>
    <w:p>
      <w:pPr>
        <w:tabs>
          <w:tab w:val="left" w:pos="600"/>
        </w:tabs>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11.7 评分程序</w:t>
      </w:r>
    </w:p>
    <w:p>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（1）就投标人的投标文件对照整理出商务、技术评标因素对比表、偏差表，并在经过校核的基础上逐项打分。</w:t>
      </w:r>
    </w:p>
    <w:p>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（2）各评委独立完成打分后，将统计好的评分表交给招标代理机构秘书组复核。</w:t>
      </w:r>
    </w:p>
    <w:p>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（3）评分统计表中各投标人技术得分应为最终综合得分，商务和价格得分应为评委打分的算术平均值。</w:t>
      </w:r>
    </w:p>
    <w:p>
      <w:pPr>
        <w:autoSpaceDE w:val="0"/>
        <w:autoSpaceDN w:val="0"/>
        <w:adjustRightInd w:val="0"/>
        <w:spacing w:line="360" w:lineRule="auto"/>
        <w:rPr>
          <w:rFonts w:hint="eastAsia" w:ascii="宋体" w:hAnsi="宋体" w:eastAsia="宋体" w:cs="宋体"/>
          <w:color w:val="auto"/>
          <w:szCs w:val="24"/>
          <w:highlight w:val="none"/>
          <w:lang w:val="zh-CN"/>
        </w:rPr>
      </w:pPr>
    </w:p>
    <w:p>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p>
        </w:tc>
      </w:tr>
    </w:tbl>
    <w:p>
      <w:pPr>
        <w:tabs>
          <w:tab w:val="left" w:pos="585"/>
        </w:tabs>
        <w:autoSpaceDE w:val="0"/>
        <w:autoSpaceDN w:val="0"/>
        <w:adjustRightInd w:val="0"/>
        <w:spacing w:line="360" w:lineRule="auto"/>
        <w:rPr>
          <w:rFonts w:hint="eastAsia" w:ascii="宋体" w:hAnsi="宋体" w:eastAsia="宋体" w:cs="宋体"/>
          <w:b/>
          <w:color w:val="auto"/>
          <w:szCs w:val="21"/>
          <w:highlight w:val="none"/>
        </w:rPr>
      </w:pPr>
      <w:bookmarkStart w:id="809" w:name="_Toc18349_WPSOffice_Level2"/>
    </w:p>
    <w:p>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809"/>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8"/>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1"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theme="minorBidi"/>
                <w:color w:val="auto"/>
                <w:kern w:val="2"/>
                <w:sz w:val="21"/>
                <w:szCs w:val="21"/>
                <w:highlight w:val="none"/>
                <w:lang w:val="zh-CN" w:eastAsia="zh-CN" w:bidi="ar-SA"/>
              </w:rPr>
            </w:pPr>
            <w:r>
              <w:rPr>
                <w:rFonts w:hint="eastAsia" w:ascii="宋体" w:hAnsi="宋体" w:eastAsia="宋体" w:cs="黑体"/>
                <w:color w:val="auto"/>
                <w:sz w:val="21"/>
                <w:szCs w:val="21"/>
                <w:highlight w:val="none"/>
                <w:lang w:val="zh-CN"/>
              </w:rPr>
              <w:t>财务状况</w:t>
            </w:r>
          </w:p>
        </w:tc>
        <w:tc>
          <w:tcPr>
            <w:tcW w:w="3691"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both"/>
              <w:rPr>
                <w:rFonts w:ascii="宋体" w:hAnsi="宋体" w:eastAsia="宋体" w:cs="黑体"/>
                <w:color w:val="auto"/>
                <w:sz w:val="21"/>
                <w:szCs w:val="21"/>
                <w:highlight w:val="none"/>
                <w:lang w:val="zh-CN"/>
              </w:rPr>
            </w:pPr>
            <w:r>
              <w:rPr>
                <w:rFonts w:hint="eastAsia" w:ascii="宋体" w:hAnsi="宋体" w:eastAsia="宋体" w:cs="黑体"/>
                <w:color w:val="auto"/>
                <w:sz w:val="21"/>
                <w:szCs w:val="21"/>
                <w:highlight w:val="none"/>
                <w:lang w:val="zh-CN"/>
              </w:rPr>
              <w:t>投标人20</w:t>
            </w:r>
            <w:r>
              <w:rPr>
                <w:rFonts w:hint="eastAsia" w:ascii="宋体" w:hAnsi="宋体" w:eastAsia="宋体" w:cs="黑体"/>
                <w:color w:val="auto"/>
                <w:sz w:val="21"/>
                <w:szCs w:val="21"/>
                <w:highlight w:val="none"/>
                <w:lang w:val="en-US" w:eastAsia="zh-CN"/>
              </w:rPr>
              <w:t>20</w:t>
            </w:r>
            <w:r>
              <w:rPr>
                <w:rFonts w:hint="eastAsia" w:ascii="宋体" w:hAnsi="宋体" w:eastAsia="宋体" w:cs="黑体"/>
                <w:color w:val="auto"/>
                <w:sz w:val="21"/>
                <w:szCs w:val="21"/>
                <w:highlight w:val="none"/>
                <w:lang w:val="zh-CN"/>
              </w:rPr>
              <w:t>年-20</w:t>
            </w:r>
            <w:r>
              <w:rPr>
                <w:rFonts w:ascii="宋体" w:hAnsi="宋体" w:eastAsia="宋体" w:cs="黑体"/>
                <w:color w:val="auto"/>
                <w:sz w:val="21"/>
                <w:szCs w:val="21"/>
                <w:highlight w:val="none"/>
              </w:rPr>
              <w:t>2</w:t>
            </w:r>
            <w:r>
              <w:rPr>
                <w:rFonts w:hint="eastAsia" w:ascii="宋体" w:hAnsi="宋体" w:eastAsia="宋体" w:cs="黑体"/>
                <w:color w:val="auto"/>
                <w:sz w:val="21"/>
                <w:szCs w:val="21"/>
                <w:highlight w:val="none"/>
                <w:lang w:val="en-US" w:eastAsia="zh-CN"/>
              </w:rPr>
              <w:t>2</w:t>
            </w:r>
            <w:r>
              <w:rPr>
                <w:rFonts w:hint="eastAsia" w:ascii="宋体" w:hAnsi="宋体" w:eastAsia="宋体" w:cs="黑体"/>
                <w:color w:val="auto"/>
                <w:sz w:val="21"/>
                <w:szCs w:val="21"/>
                <w:highlight w:val="none"/>
                <w:lang w:val="zh-CN"/>
              </w:rPr>
              <w:t>年三个年度，每具有1个年度盈利的得1分，满分</w:t>
            </w:r>
            <w:r>
              <w:rPr>
                <w:rFonts w:hint="eastAsia" w:ascii="宋体" w:hAnsi="宋体" w:eastAsia="宋体" w:cs="黑体"/>
                <w:color w:val="auto"/>
                <w:sz w:val="21"/>
                <w:szCs w:val="21"/>
                <w:highlight w:val="none"/>
              </w:rPr>
              <w:t>3</w:t>
            </w:r>
            <w:r>
              <w:rPr>
                <w:rFonts w:hint="eastAsia" w:ascii="宋体" w:hAnsi="宋体" w:eastAsia="宋体" w:cs="黑体"/>
                <w:color w:val="auto"/>
                <w:sz w:val="21"/>
                <w:szCs w:val="21"/>
                <w:highlight w:val="none"/>
                <w:lang w:val="zh-CN"/>
              </w:rPr>
              <w:t>分。</w:t>
            </w:r>
          </w:p>
          <w:p>
            <w:pPr>
              <w:snapToGrid w:val="0"/>
              <w:spacing w:line="360" w:lineRule="auto"/>
              <w:jc w:val="both"/>
              <w:rPr>
                <w:rFonts w:hint="eastAsia" w:ascii="宋体" w:hAnsi="宋体" w:eastAsia="宋体" w:cs="黑体"/>
                <w:b/>
                <w:color w:val="auto"/>
                <w:sz w:val="21"/>
                <w:szCs w:val="21"/>
                <w:highlight w:val="none"/>
                <w:lang w:val="zh-CN"/>
              </w:rPr>
            </w:pPr>
            <w:r>
              <w:rPr>
                <w:rFonts w:hint="eastAsia" w:ascii="宋体" w:hAnsi="宋体" w:eastAsia="宋体" w:cs="黑体"/>
                <w:b/>
                <w:color w:val="auto"/>
                <w:sz w:val="21"/>
                <w:szCs w:val="21"/>
                <w:highlight w:val="none"/>
                <w:lang w:val="zh-CN"/>
              </w:rPr>
              <w:t>备注：</w:t>
            </w:r>
          </w:p>
          <w:p>
            <w:pPr>
              <w:snapToGrid w:val="0"/>
              <w:spacing w:line="360" w:lineRule="auto"/>
              <w:jc w:val="both"/>
              <w:rPr>
                <w:rFonts w:hint="eastAsia" w:ascii="宋体" w:hAnsi="宋体" w:eastAsia="宋体" w:cstheme="minorBidi"/>
                <w:color w:val="auto"/>
                <w:kern w:val="2"/>
                <w:sz w:val="21"/>
                <w:szCs w:val="21"/>
                <w:highlight w:val="none"/>
                <w:lang w:val="zh-CN" w:eastAsia="zh-CN" w:bidi="ar-SA"/>
              </w:rPr>
            </w:pPr>
            <w:r>
              <w:rPr>
                <w:rFonts w:hint="eastAsia" w:ascii="宋体" w:hAnsi="宋体" w:eastAsia="宋体" w:cs="黑体"/>
                <w:bCs/>
                <w:color w:val="auto"/>
                <w:sz w:val="21"/>
                <w:szCs w:val="21"/>
                <w:highlight w:val="none"/>
                <w:lang w:val="zh-CN"/>
              </w:rPr>
              <w:t>盈利指净利润为正数（非零、非负数），投标人应提供2020年、2021年、2022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theme="minorBidi"/>
                <w:color w:val="auto"/>
                <w:kern w:val="2"/>
                <w:sz w:val="21"/>
                <w:szCs w:val="21"/>
                <w:highlight w:val="none"/>
                <w:lang w:val="en-US" w:eastAsia="zh-CN" w:bidi="ar-SA"/>
              </w:rPr>
            </w:pPr>
            <w:r>
              <w:rPr>
                <w:rFonts w:ascii="宋体" w:hAnsi="宋体" w:eastAsia="宋体"/>
                <w:color w:val="auto"/>
                <w:sz w:val="21"/>
                <w:szCs w:val="21"/>
                <w:highlight w:val="none"/>
              </w:rPr>
              <w:t>3</w:t>
            </w:r>
            <w:r>
              <w:rPr>
                <w:rFonts w:hint="eastAsia" w:ascii="宋体" w:hAnsi="宋体" w:eastAsia="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8"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theme="minorBidi"/>
                <w:color w:val="auto"/>
                <w:kern w:val="2"/>
                <w:sz w:val="21"/>
                <w:szCs w:val="21"/>
                <w:highlight w:val="none"/>
                <w:lang w:val="zh-CN" w:eastAsia="zh-CN" w:bidi="ar-SA"/>
              </w:rPr>
            </w:pPr>
            <w:r>
              <w:rPr>
                <w:rFonts w:hint="eastAsia" w:ascii="宋体" w:hAnsi="宋体" w:eastAsia="宋体" w:cs="黑体"/>
                <w:color w:val="auto"/>
                <w:sz w:val="21"/>
                <w:szCs w:val="21"/>
                <w:highlight w:val="none"/>
              </w:rPr>
              <w:t>标准化程度</w:t>
            </w:r>
          </w:p>
        </w:tc>
        <w:tc>
          <w:tcPr>
            <w:tcW w:w="3691"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both"/>
              <w:rPr>
                <w:rFonts w:hint="eastAsia" w:ascii="宋体" w:hAnsi="宋体" w:eastAsia="宋体" w:cs="黑体"/>
                <w:color w:val="auto"/>
                <w:sz w:val="21"/>
                <w:szCs w:val="21"/>
                <w:highlight w:val="none"/>
                <w:lang w:val="zh-CN"/>
              </w:rPr>
            </w:pPr>
            <w:r>
              <w:rPr>
                <w:rFonts w:hint="eastAsia" w:ascii="宋体" w:hAnsi="宋体" w:eastAsia="宋体" w:cs="黑体"/>
                <w:color w:val="auto"/>
                <w:sz w:val="21"/>
                <w:szCs w:val="21"/>
                <w:highlight w:val="none"/>
                <w:lang w:val="zh-CN"/>
              </w:rPr>
              <w:t>（1）投标人具有有效期内的ISO9001质量管理体系认证证书得1分；</w:t>
            </w:r>
          </w:p>
          <w:p>
            <w:pPr>
              <w:snapToGrid w:val="0"/>
              <w:spacing w:line="360" w:lineRule="auto"/>
              <w:jc w:val="both"/>
              <w:rPr>
                <w:rFonts w:hint="eastAsia" w:ascii="宋体" w:hAnsi="宋体" w:eastAsia="宋体" w:cs="黑体"/>
                <w:color w:val="auto"/>
                <w:sz w:val="21"/>
                <w:szCs w:val="21"/>
                <w:highlight w:val="none"/>
                <w:lang w:val="zh-CN"/>
              </w:rPr>
            </w:pPr>
            <w:r>
              <w:rPr>
                <w:rFonts w:hint="eastAsia" w:ascii="宋体" w:hAnsi="宋体" w:eastAsia="宋体" w:cs="黑体"/>
                <w:color w:val="auto"/>
                <w:sz w:val="21"/>
                <w:szCs w:val="21"/>
                <w:highlight w:val="none"/>
                <w:lang w:val="zh-CN"/>
              </w:rPr>
              <w:t>（2</w:t>
            </w:r>
            <w:r>
              <w:rPr>
                <w:rFonts w:hint="eastAsia" w:ascii="宋体" w:hAnsi="宋体" w:eastAsia="宋体" w:cs="黑体"/>
                <w:color w:val="auto"/>
                <w:sz w:val="21"/>
                <w:szCs w:val="21"/>
                <w:highlight w:val="none"/>
                <w:lang w:val="zh-CN" w:eastAsia="zh-CN"/>
              </w:rPr>
              <w:t>）</w:t>
            </w:r>
            <w:r>
              <w:rPr>
                <w:rFonts w:hint="eastAsia" w:ascii="宋体" w:hAnsi="宋体" w:eastAsia="宋体" w:cs="黑体"/>
                <w:color w:val="auto"/>
                <w:sz w:val="21"/>
                <w:szCs w:val="21"/>
                <w:highlight w:val="none"/>
                <w:lang w:val="zh-CN"/>
              </w:rPr>
              <w:t>投标人具有有效期内的ISO14001环境管理体系认证证书得1分；</w:t>
            </w:r>
          </w:p>
          <w:p>
            <w:pPr>
              <w:snapToGrid w:val="0"/>
              <w:spacing w:line="360" w:lineRule="auto"/>
              <w:jc w:val="both"/>
              <w:rPr>
                <w:rFonts w:hint="eastAsia" w:ascii="宋体" w:hAnsi="宋体" w:eastAsia="宋体" w:cs="黑体"/>
                <w:color w:val="auto"/>
                <w:sz w:val="21"/>
                <w:szCs w:val="21"/>
                <w:highlight w:val="none"/>
                <w:lang w:val="zh-CN"/>
              </w:rPr>
            </w:pPr>
            <w:r>
              <w:rPr>
                <w:rFonts w:hint="eastAsia" w:ascii="宋体" w:hAnsi="宋体" w:eastAsia="宋体" w:cs="黑体"/>
                <w:color w:val="auto"/>
                <w:sz w:val="21"/>
                <w:szCs w:val="21"/>
                <w:highlight w:val="none"/>
                <w:lang w:val="zh-CN"/>
              </w:rPr>
              <w:t>（3）投标人具有有效期内的OHSAS18001（或GB/T45001-2020，或IS045001）职业健康安全管理体系认证证书得1分。</w:t>
            </w:r>
          </w:p>
          <w:p>
            <w:pPr>
              <w:snapToGrid w:val="0"/>
              <w:spacing w:line="360" w:lineRule="auto"/>
              <w:jc w:val="both"/>
              <w:rPr>
                <w:rFonts w:ascii="宋体" w:hAnsi="宋体" w:eastAsia="宋体"/>
                <w:b/>
                <w:color w:val="auto"/>
                <w:sz w:val="21"/>
                <w:szCs w:val="21"/>
                <w:highlight w:val="none"/>
              </w:rPr>
            </w:pPr>
            <w:r>
              <w:rPr>
                <w:rFonts w:ascii="宋体" w:hAnsi="宋体" w:eastAsia="宋体"/>
                <w:b/>
                <w:color w:val="auto"/>
                <w:sz w:val="21"/>
                <w:szCs w:val="21"/>
                <w:highlight w:val="none"/>
              </w:rPr>
              <w:t>备注：</w:t>
            </w:r>
          </w:p>
          <w:p>
            <w:pPr>
              <w:snapToGrid w:val="0"/>
              <w:spacing w:line="360" w:lineRule="auto"/>
              <w:jc w:val="both"/>
              <w:rPr>
                <w:rFonts w:hint="eastAsia" w:ascii="宋体" w:hAnsi="宋体" w:eastAsia="宋体" w:cstheme="minorBidi"/>
                <w:b/>
                <w:color w:val="auto"/>
                <w:kern w:val="2"/>
                <w:sz w:val="21"/>
                <w:szCs w:val="21"/>
                <w:highlight w:val="none"/>
                <w:lang w:val="zh-CN" w:eastAsia="zh-CN" w:bidi="ar-SA"/>
              </w:rPr>
            </w:pPr>
            <w:r>
              <w:rPr>
                <w:rFonts w:hint="eastAsia" w:ascii="宋体" w:hAnsi="宋体" w:eastAsia="宋体" w:cs="宋体"/>
                <w:b w:val="0"/>
                <w:bCs/>
                <w:color w:val="auto"/>
                <w:sz w:val="21"/>
                <w:szCs w:val="21"/>
                <w:highlight w:val="none"/>
                <w:lang w:eastAsia="zh-CN"/>
              </w:rPr>
              <w:t>投标人应提供上述有效证书复印件及能显示证书有效状态的全国认证认可信息公共服务平台（http://cx.cnca.cn/）查询结果凭证{凭证界面需显示有“全国认证认可信息公共服务平台”或“认证证书（需显示网址cx.cnca.cn）”}，否则不得分。</w:t>
            </w:r>
          </w:p>
        </w:tc>
        <w:tc>
          <w:tcPr>
            <w:tcW w:w="437"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theme="minorBidi"/>
                <w:color w:val="auto"/>
                <w:kern w:val="2"/>
                <w:sz w:val="21"/>
                <w:szCs w:val="21"/>
                <w:highlight w:val="none"/>
                <w:lang w:val="en-US" w:eastAsia="zh-CN" w:bidi="ar-SA"/>
              </w:rPr>
            </w:pPr>
            <w:r>
              <w:rPr>
                <w:rFonts w:ascii="宋体" w:hAnsi="宋体" w:eastAsia="宋体"/>
                <w:color w:val="auto"/>
                <w:sz w:val="21"/>
                <w:szCs w:val="21"/>
                <w:highlight w:val="none"/>
              </w:rPr>
              <w:t>3</w:t>
            </w:r>
            <w:r>
              <w:rPr>
                <w:rFonts w:hint="eastAsia" w:ascii="宋体" w:hAnsi="宋体" w:eastAsia="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bookmarkStart w:id="810" w:name="_Hlk104987354"/>
            <w:r>
              <w:rPr>
                <w:rFonts w:hint="eastAsia" w:ascii="宋体" w:hAnsi="宋体" w:eastAsia="宋体" w:cs="宋体"/>
                <w:color w:val="auto"/>
                <w:kern w:val="0"/>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pPr>
              <w:autoSpaceDE/>
              <w:autoSpaceDN/>
              <w:adjustRightInd/>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olor w:val="auto"/>
                <w:sz w:val="21"/>
                <w:szCs w:val="21"/>
                <w:highlight w:val="none"/>
              </w:rPr>
              <w:t>业绩</w:t>
            </w:r>
          </w:p>
        </w:tc>
        <w:tc>
          <w:tcPr>
            <w:tcW w:w="3691"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Cs w:val="21"/>
                <w:highlight w:val="none"/>
                <w:lang w:val="zh-CN"/>
              </w:rPr>
              <w:t>（</w:t>
            </w:r>
            <w:r>
              <w:rPr>
                <w:rFonts w:hint="eastAsia" w:ascii="宋体" w:hAnsi="宋体" w:eastAsia="宋体" w:cs="宋体"/>
                <w:b w:val="0"/>
                <w:bCs w:val="0"/>
                <w:color w:val="auto"/>
                <w:szCs w:val="21"/>
                <w:highlight w:val="none"/>
              </w:rPr>
              <w:t>1</w:t>
            </w:r>
            <w:r>
              <w:rPr>
                <w:rFonts w:hint="eastAsia" w:ascii="宋体" w:hAnsi="宋体" w:eastAsia="宋体" w:cs="宋体"/>
                <w:b w:val="0"/>
                <w:bCs w:val="0"/>
                <w:color w:val="auto"/>
                <w:szCs w:val="21"/>
                <w:highlight w:val="none"/>
                <w:lang w:val="zh-CN"/>
              </w:rPr>
              <w:t>）</w:t>
            </w:r>
            <w:r>
              <w:rPr>
                <w:rFonts w:hint="eastAsia" w:ascii="宋体" w:hAnsi="宋体" w:eastAsia="宋体" w:cs="宋体"/>
                <w:color w:val="auto"/>
                <w:sz w:val="21"/>
                <w:szCs w:val="21"/>
                <w:highlight w:val="none"/>
                <w:lang w:val="en-US" w:eastAsia="zh-CN"/>
              </w:rPr>
              <w:t>对</w:t>
            </w:r>
            <w:r>
              <w:rPr>
                <w:rFonts w:hint="eastAsia" w:ascii="宋体" w:hAnsi="宋体" w:eastAsia="宋体" w:cs="宋体"/>
                <w:color w:val="auto"/>
                <w:sz w:val="21"/>
                <w:szCs w:val="21"/>
                <w:highlight w:val="none"/>
              </w:rPr>
              <w:t>投标人202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年1月1日（以合同签订日期为准）至今</w:t>
            </w:r>
            <w:r>
              <w:rPr>
                <w:rFonts w:hint="eastAsia" w:ascii="宋体" w:hAnsi="宋体" w:eastAsia="宋体" w:cs="宋体"/>
                <w:color w:val="auto"/>
                <w:sz w:val="21"/>
                <w:szCs w:val="21"/>
                <w:highlight w:val="none"/>
                <w:lang w:val="en-US" w:eastAsia="zh-CN"/>
              </w:rPr>
              <w:t>承接</w:t>
            </w:r>
            <w:r>
              <w:rPr>
                <w:rFonts w:hint="eastAsia" w:ascii="宋体" w:hAnsi="宋体" w:eastAsia="宋体" w:cs="宋体"/>
                <w:color w:val="auto"/>
                <w:sz w:val="21"/>
                <w:szCs w:val="21"/>
                <w:highlight w:val="none"/>
              </w:rPr>
              <w:t>的生活垃圾</w:t>
            </w:r>
            <w:r>
              <w:rPr>
                <w:rFonts w:hint="eastAsia" w:ascii="宋体" w:hAnsi="宋体" w:eastAsia="宋体" w:cs="宋体"/>
                <w:color w:val="auto"/>
                <w:sz w:val="21"/>
                <w:szCs w:val="21"/>
                <w:highlight w:val="none"/>
                <w:lang w:eastAsia="zh-CN"/>
              </w:rPr>
              <w:t>收运服务</w:t>
            </w:r>
            <w:r>
              <w:rPr>
                <w:rFonts w:hint="eastAsia" w:ascii="宋体" w:hAnsi="宋体" w:eastAsia="宋体" w:cs="宋体"/>
                <w:color w:val="auto"/>
                <w:sz w:val="21"/>
                <w:szCs w:val="21"/>
                <w:highlight w:val="none"/>
              </w:rPr>
              <w:t>业绩</w:t>
            </w:r>
            <w:r>
              <w:rPr>
                <w:rFonts w:hint="eastAsia" w:ascii="宋体" w:hAnsi="宋体" w:eastAsia="宋体" w:cs="宋体"/>
                <w:color w:val="auto"/>
                <w:kern w:val="0"/>
                <w:szCs w:val="21"/>
                <w:highlight w:val="none"/>
                <w:lang w:val="en-US" w:eastAsia="zh-CN"/>
              </w:rPr>
              <w:t>进行评审</w:t>
            </w:r>
            <w:r>
              <w:rPr>
                <w:rFonts w:hint="eastAsia" w:ascii="宋体" w:hAnsi="宋体" w:eastAsia="宋体" w:cs="宋体"/>
                <w:color w:val="auto"/>
                <w:sz w:val="21"/>
                <w:szCs w:val="21"/>
                <w:highlight w:val="none"/>
              </w:rPr>
              <w:t>，本小项满分</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highlight w:val="none"/>
              </w:rPr>
              <w:t>①</w:t>
            </w:r>
            <w:r>
              <w:rPr>
                <w:rFonts w:hint="eastAsia" w:ascii="宋体" w:hAnsi="宋体" w:eastAsia="宋体" w:cs="宋体"/>
                <w:color w:val="auto"/>
                <w:sz w:val="21"/>
                <w:szCs w:val="21"/>
                <w:highlight w:val="none"/>
              </w:rPr>
              <w:t>【单项合同金额≥</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00万元】的前述业绩的，每项得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highlight w:val="none"/>
              </w:rPr>
              <w:t>②</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200</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00万元】的前述业绩的，每项得2分；</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highlight w:val="none"/>
              </w:rPr>
              <w:t>③</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en-US"/>
              </w:rPr>
              <w:t>0</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200</w:t>
            </w:r>
            <w:r>
              <w:rPr>
                <w:rFonts w:hint="eastAsia" w:ascii="宋体" w:hAnsi="宋体" w:eastAsia="宋体" w:cs="宋体"/>
                <w:color w:val="auto"/>
                <w:sz w:val="21"/>
                <w:szCs w:val="21"/>
                <w:highlight w:val="none"/>
              </w:rPr>
              <w:t>万元】的前述业绩的，每项得1分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本子项</w:t>
            </w:r>
            <w:r>
              <w:rPr>
                <w:rFonts w:hint="eastAsia" w:ascii="宋体" w:hAnsi="宋体" w:eastAsia="宋体" w:cs="宋体"/>
                <w:color w:val="auto"/>
                <w:sz w:val="21"/>
                <w:szCs w:val="21"/>
                <w:highlight w:val="none"/>
                <w:lang w:val="en-US" w:eastAsia="zh-CN"/>
              </w:rPr>
              <w:t>最高得10</w:t>
            </w:r>
            <w:r>
              <w:rPr>
                <w:rFonts w:hint="eastAsia" w:ascii="宋体" w:hAnsi="宋体" w:eastAsia="宋体" w:cs="宋体"/>
                <w:color w:val="auto"/>
                <w:sz w:val="21"/>
                <w:szCs w:val="21"/>
                <w:highlight w:val="none"/>
              </w:rPr>
              <w:t>分。</w:t>
            </w:r>
          </w:p>
          <w:p>
            <w:pPr>
              <w:spacing w:line="360" w:lineRule="auto"/>
              <w:rPr>
                <w:rFonts w:hint="eastAsia"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lang w:val="zh-CN"/>
              </w:rPr>
              <w:t>（2）投标人提供的上述第(1)项业绩服务内容全部</w:t>
            </w:r>
            <w:r>
              <w:rPr>
                <w:rFonts w:hint="default" w:ascii="宋体" w:hAnsi="宋体" w:eastAsia="宋体" w:cs="宋体"/>
                <w:b w:val="0"/>
                <w:bCs w:val="0"/>
                <w:color w:val="auto"/>
                <w:szCs w:val="21"/>
                <w:highlight w:val="none"/>
                <w:lang w:val="en-US"/>
              </w:rPr>
              <w:t>为</w:t>
            </w:r>
            <w:r>
              <w:rPr>
                <w:rFonts w:hint="eastAsia" w:ascii="宋体" w:hAnsi="宋体" w:eastAsia="宋体" w:cs="宋体"/>
                <w:b w:val="0"/>
                <w:bCs w:val="0"/>
                <w:color w:val="auto"/>
                <w:szCs w:val="21"/>
                <w:highlight w:val="none"/>
                <w:lang w:val="zh-CN"/>
              </w:rPr>
              <w:t>餐厨废弃物收运服务</w:t>
            </w:r>
            <w:r>
              <w:rPr>
                <w:rFonts w:hint="eastAsia" w:ascii="宋体" w:hAnsi="宋体" w:eastAsia="宋体" w:cs="宋体"/>
                <w:b w:val="0"/>
                <w:bCs w:val="0"/>
                <w:color w:val="auto"/>
                <w:szCs w:val="21"/>
                <w:highlight w:val="none"/>
                <w:lang w:val="en-US" w:eastAsia="zh-CN"/>
              </w:rPr>
              <w:t>的</w:t>
            </w:r>
            <w:r>
              <w:rPr>
                <w:rFonts w:hint="eastAsia" w:ascii="宋体" w:hAnsi="宋体" w:eastAsia="宋体" w:cs="宋体"/>
                <w:b w:val="0"/>
                <w:bCs w:val="0"/>
                <w:color w:val="auto"/>
                <w:szCs w:val="21"/>
                <w:highlight w:val="none"/>
                <w:lang w:val="zh-CN"/>
              </w:rPr>
              <w:t>业绩，在上述得分基础上进行加1分，本小项满分</w:t>
            </w:r>
            <w:r>
              <w:rPr>
                <w:rFonts w:hint="eastAsia" w:ascii="宋体" w:hAnsi="宋体" w:eastAsia="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lang w:val="zh-CN"/>
              </w:rPr>
              <w:t>分。</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pPr>
              <w:spacing w:line="360" w:lineRule="auto"/>
              <w:outlineLvl w:val="9"/>
              <w:rPr>
                <w:rFonts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lang w:val="zh-CN"/>
              </w:rPr>
              <w:t>（</w:t>
            </w:r>
            <w:r>
              <w:rPr>
                <w:rFonts w:hint="eastAsia" w:ascii="宋体" w:hAnsi="宋体" w:eastAsia="宋体" w:cs="宋体"/>
                <w:b w:val="0"/>
                <w:bCs w:val="0"/>
                <w:color w:val="auto"/>
                <w:szCs w:val="21"/>
                <w:highlight w:val="none"/>
              </w:rPr>
              <w:t>1</w:t>
            </w:r>
            <w:r>
              <w:rPr>
                <w:rFonts w:hint="eastAsia" w:ascii="宋体" w:hAnsi="宋体" w:eastAsia="宋体" w:cs="宋体"/>
                <w:b w:val="0"/>
                <w:bCs w:val="0"/>
                <w:color w:val="auto"/>
                <w:szCs w:val="21"/>
                <w:highlight w:val="none"/>
                <w:lang w:val="zh-CN"/>
              </w:rPr>
              <w:t>）业绩必须附合同复印件（</w:t>
            </w:r>
            <w:r>
              <w:rPr>
                <w:rFonts w:hint="eastAsia" w:ascii="宋体" w:hAnsi="宋体" w:eastAsia="宋体" w:cs="宋体"/>
                <w:b w:val="0"/>
                <w:bCs w:val="0"/>
                <w:color w:val="auto"/>
                <w:szCs w:val="21"/>
                <w:highlight w:val="none"/>
              </w:rPr>
              <w:t>合同服务提供方为投标人</w:t>
            </w:r>
            <w:r>
              <w:rPr>
                <w:rFonts w:hint="eastAsia" w:ascii="宋体" w:hAnsi="宋体" w:eastAsia="宋体" w:cs="宋体"/>
                <w:b w:val="0"/>
                <w:bCs w:val="0"/>
                <w:color w:val="auto"/>
                <w:szCs w:val="21"/>
                <w:highlight w:val="none"/>
                <w:lang w:val="zh-CN"/>
              </w:rPr>
              <w:t>）。合同必须能反映评分条件（</w:t>
            </w:r>
            <w:r>
              <w:rPr>
                <w:rFonts w:hint="eastAsia" w:ascii="宋体" w:hAnsi="宋体" w:eastAsia="宋体" w:cs="宋体"/>
                <w:b w:val="0"/>
                <w:bCs w:val="0"/>
                <w:color w:val="auto"/>
                <w:szCs w:val="21"/>
                <w:highlight w:val="none"/>
              </w:rPr>
              <w:t>合同签订日期、服务内容、</w:t>
            </w:r>
            <w:r>
              <w:rPr>
                <w:rFonts w:hint="eastAsia" w:ascii="宋体" w:hAnsi="宋体" w:eastAsia="宋体" w:cs="宋体"/>
                <w:color w:val="auto"/>
                <w:sz w:val="21"/>
                <w:szCs w:val="21"/>
                <w:highlight w:val="none"/>
              </w:rPr>
              <w:t>收运</w:t>
            </w:r>
            <w:r>
              <w:rPr>
                <w:rFonts w:hint="eastAsia" w:ascii="宋体" w:hAnsi="宋体" w:eastAsia="宋体" w:cs="宋体"/>
                <w:color w:val="auto"/>
                <w:sz w:val="21"/>
                <w:szCs w:val="21"/>
                <w:highlight w:val="none"/>
                <w:lang w:val="en-US" w:eastAsia="zh-CN"/>
              </w:rPr>
              <w:t>垃圾类别、</w:t>
            </w:r>
            <w:r>
              <w:rPr>
                <w:rFonts w:hint="eastAsia" w:ascii="宋体" w:hAnsi="宋体" w:eastAsia="宋体" w:cs="宋体"/>
                <w:b w:val="0"/>
                <w:bCs w:val="0"/>
                <w:color w:val="auto"/>
                <w:szCs w:val="21"/>
                <w:highlight w:val="none"/>
                <w:lang w:val="en-US" w:eastAsia="zh-CN"/>
              </w:rPr>
              <w:t>合同金额</w:t>
            </w:r>
            <w:r>
              <w:rPr>
                <w:rFonts w:hint="eastAsia" w:ascii="宋体" w:hAnsi="宋体" w:eastAsia="宋体" w:cs="宋体"/>
                <w:b w:val="0"/>
                <w:bCs w:val="0"/>
                <w:color w:val="auto"/>
                <w:szCs w:val="21"/>
                <w:highlight w:val="none"/>
                <w:lang w:val="zh-CN"/>
              </w:rPr>
              <w:t>），否则，需同时提供服务购买方出具的书面补充情况说明文件复印件（</w:t>
            </w:r>
            <w:r>
              <w:rPr>
                <w:rFonts w:hint="eastAsia" w:ascii="宋体" w:hAnsi="宋体" w:eastAsia="宋体" w:cs="宋体"/>
                <w:b w:val="0"/>
                <w:bCs w:val="0"/>
                <w:color w:val="auto"/>
                <w:szCs w:val="21"/>
                <w:highlight w:val="none"/>
              </w:rPr>
              <w:t>需加盖服务购买方公章，即复印件能显示服务购买方公章</w:t>
            </w:r>
            <w:r>
              <w:rPr>
                <w:rFonts w:hint="eastAsia" w:ascii="宋体" w:hAnsi="宋体" w:eastAsia="宋体" w:cs="宋体"/>
                <w:b w:val="0"/>
                <w:bCs w:val="0"/>
                <w:color w:val="auto"/>
                <w:szCs w:val="21"/>
                <w:highlight w:val="none"/>
                <w:lang w:val="zh-CN"/>
              </w:rPr>
              <w:t>），</w:t>
            </w:r>
            <w:r>
              <w:rPr>
                <w:rFonts w:hint="eastAsia" w:ascii="宋体" w:hAnsi="宋体" w:eastAsia="宋体" w:cs="宋体"/>
                <w:b w:val="0"/>
                <w:bCs w:val="0"/>
                <w:color w:val="auto"/>
                <w:szCs w:val="21"/>
                <w:highlight w:val="none"/>
              </w:rPr>
              <w:t>否则不得分</w:t>
            </w:r>
            <w:r>
              <w:rPr>
                <w:rFonts w:hint="eastAsia" w:ascii="宋体" w:hAnsi="宋体" w:eastAsia="宋体" w:cs="宋体"/>
                <w:b w:val="0"/>
                <w:bCs w:val="0"/>
                <w:color w:val="auto"/>
                <w:szCs w:val="21"/>
                <w:highlight w:val="none"/>
                <w:lang w:val="zh-CN"/>
              </w:rPr>
              <w:t>。</w:t>
            </w:r>
          </w:p>
          <w:p>
            <w:pPr>
              <w:spacing w:line="360" w:lineRule="auto"/>
              <w:rPr>
                <w:rFonts w:hint="eastAsia" w:ascii="宋体" w:hAnsi="宋体" w:eastAsia="宋体" w:cs="宋体"/>
                <w:color w:val="auto"/>
                <w:highlight w:val="none"/>
                <w:lang w:eastAsia="zh-CN"/>
              </w:rPr>
            </w:pPr>
            <w:r>
              <w:rPr>
                <w:rFonts w:hint="eastAsia" w:ascii="宋体" w:hAnsi="宋体" w:eastAsia="宋体" w:cs="宋体"/>
                <w:b w:val="0"/>
                <w:bCs w:val="0"/>
                <w:color w:val="auto"/>
                <w:szCs w:val="21"/>
                <w:highlight w:val="none"/>
                <w:lang w:val="zh-CN"/>
              </w:rPr>
              <w:t>（</w:t>
            </w:r>
            <w:r>
              <w:rPr>
                <w:rFonts w:hint="eastAsia" w:ascii="宋体" w:hAnsi="宋体" w:eastAsia="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lang w:val="zh-CN"/>
              </w:rPr>
              <w:t>）</w:t>
            </w:r>
            <w:r>
              <w:rPr>
                <w:rFonts w:hint="eastAsia" w:ascii="宋体" w:hAnsi="宋体" w:eastAsia="宋体"/>
                <w:b w:val="0"/>
                <w:bCs w:val="0"/>
                <w:color w:val="auto"/>
                <w:sz w:val="21"/>
                <w:szCs w:val="21"/>
                <w:highlight w:val="none"/>
              </w:rPr>
              <w:t>若合同业绩内容为非单一类型</w:t>
            </w:r>
            <w:r>
              <w:rPr>
                <w:rFonts w:hint="eastAsia" w:ascii="宋体" w:hAnsi="宋体" w:eastAsia="宋体"/>
                <w:b w:val="0"/>
                <w:bCs w:val="0"/>
                <w:color w:val="auto"/>
                <w:sz w:val="21"/>
                <w:szCs w:val="21"/>
                <w:highlight w:val="none"/>
                <w:lang w:eastAsia="zh-CN"/>
              </w:rPr>
              <w:t>（如业绩合同包括清扫、收运、处置等全过程服务）</w:t>
            </w:r>
            <w:r>
              <w:rPr>
                <w:rFonts w:hint="eastAsia" w:ascii="宋体" w:hAnsi="宋体" w:eastAsia="宋体"/>
                <w:b w:val="0"/>
                <w:bCs w:val="0"/>
                <w:color w:val="auto"/>
                <w:sz w:val="21"/>
                <w:szCs w:val="21"/>
                <w:highlight w:val="none"/>
              </w:rPr>
              <w:t>，且合同内容无法反应符合本项目评审要求（</w:t>
            </w:r>
            <w:r>
              <w:rPr>
                <w:rFonts w:hint="eastAsia" w:ascii="宋体" w:hAnsi="宋体" w:eastAsia="宋体"/>
                <w:color w:val="auto"/>
                <w:sz w:val="21"/>
                <w:szCs w:val="21"/>
                <w:highlight w:val="none"/>
                <w:lang w:eastAsia="zh-CN"/>
              </w:rPr>
              <w:t>生活垃圾收运服务</w:t>
            </w:r>
            <w:r>
              <w:rPr>
                <w:rFonts w:hint="eastAsia" w:ascii="宋体" w:hAnsi="宋体" w:eastAsia="宋体"/>
                <w:b w:val="0"/>
                <w:bCs w:val="0"/>
                <w:color w:val="auto"/>
                <w:sz w:val="21"/>
                <w:szCs w:val="21"/>
                <w:highlight w:val="none"/>
              </w:rPr>
              <w:t>）的合同金额，需须同时提供服务购买方出具的书面补充情况说明文件复印件</w:t>
            </w:r>
            <w:r>
              <w:rPr>
                <w:rFonts w:hint="eastAsia" w:ascii="宋体" w:hAnsi="宋体" w:eastAsia="宋体" w:cs="宋体"/>
                <w:color w:val="auto"/>
                <w:highlight w:val="none"/>
              </w:rPr>
              <w:t>,否则在评标时将不予考虑</w:t>
            </w:r>
            <w:r>
              <w:rPr>
                <w:rFonts w:hint="eastAsia" w:ascii="宋体" w:hAnsi="宋体" w:eastAsia="宋体" w:cs="宋体"/>
                <w:color w:val="auto"/>
                <w:highlight w:val="none"/>
                <w:lang w:eastAsia="zh-CN"/>
              </w:rPr>
              <w:t>。</w:t>
            </w:r>
          </w:p>
          <w:p>
            <w:pPr>
              <w:pStyle w:val="47"/>
              <w:spacing w:line="360" w:lineRule="auto"/>
              <w:jc w:val="left"/>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zh-CN"/>
              </w:rPr>
              <w:t>（</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lang w:val="zh-CN"/>
              </w:rPr>
              <w:t>）餐厨废弃物</w:t>
            </w:r>
            <w:r>
              <w:rPr>
                <w:rFonts w:hint="eastAsia" w:ascii="宋体" w:hAnsi="宋体" w:eastAsia="宋体" w:cs="宋体"/>
                <w:b w:val="0"/>
                <w:bCs/>
                <w:color w:val="auto"/>
                <w:szCs w:val="21"/>
                <w:highlight w:val="none"/>
                <w:lang w:val="en-US" w:eastAsia="zh-CN"/>
              </w:rPr>
              <w:t>为餐饮垃圾或厨余垃圾。</w:t>
            </w:r>
          </w:p>
          <w:p>
            <w:pPr>
              <w:spacing w:line="360" w:lineRule="auto"/>
              <w:jc w:val="left"/>
              <w:rPr>
                <w:rFonts w:hint="eastAsia" w:ascii="宋体" w:hAnsi="宋体" w:eastAsia="宋体" w:cs="宋体"/>
                <w:b w:val="0"/>
                <w:bCs w:val="0"/>
                <w:color w:val="auto"/>
                <w:szCs w:val="21"/>
                <w:highlight w:val="none"/>
                <w:lang w:val="zh-CN"/>
              </w:rPr>
            </w:pPr>
            <w:r>
              <w:rPr>
                <w:rFonts w:hint="eastAsia" w:ascii="宋体" w:hAnsi="宋体" w:eastAsia="宋体" w:cs="宋体"/>
                <w:b w:val="0"/>
                <w:bCs/>
                <w:color w:val="auto"/>
                <w:szCs w:val="21"/>
                <w:highlight w:val="none"/>
                <w:lang w:val="zh-CN"/>
              </w:rPr>
              <w:t>（</w:t>
            </w:r>
            <w:r>
              <w:rPr>
                <w:rFonts w:hint="eastAsia" w:ascii="宋体" w:hAnsi="宋体" w:eastAsia="宋体" w:cs="宋体"/>
                <w:b w:val="0"/>
                <w:bCs/>
                <w:color w:val="auto"/>
                <w:szCs w:val="21"/>
                <w:highlight w:val="none"/>
                <w:lang w:val="en-US" w:eastAsia="zh-CN"/>
              </w:rPr>
              <w:t>4</w:t>
            </w:r>
            <w:r>
              <w:rPr>
                <w:rFonts w:hint="eastAsia" w:ascii="宋体" w:hAnsi="宋体" w:eastAsia="宋体" w:cs="宋体"/>
                <w:b w:val="0"/>
                <w:bCs/>
                <w:color w:val="auto"/>
                <w:szCs w:val="21"/>
                <w:highlight w:val="none"/>
                <w:lang w:val="zh-CN"/>
              </w:rPr>
              <w:t>）</w:t>
            </w:r>
            <w:r>
              <w:rPr>
                <w:rFonts w:hint="eastAsia" w:ascii="宋体" w:hAnsi="宋体" w:eastAsia="宋体" w:cs="宋体"/>
                <w:b w:val="0"/>
                <w:bCs w:val="0"/>
                <w:color w:val="auto"/>
                <w:szCs w:val="21"/>
                <w:highlight w:val="none"/>
                <w:lang w:val="zh-CN"/>
              </w:rPr>
              <w:t>若业绩为框架式协议或资格入围无明确金额的合同，必须同时提供合同期限内已服务发票金额统计表和发票复印件。</w:t>
            </w:r>
          </w:p>
          <w:p>
            <w:pPr>
              <w:spacing w:line="360" w:lineRule="auto"/>
              <w:rPr>
                <w:rFonts w:hint="eastAsia" w:ascii="宋体" w:hAnsi="宋体" w:eastAsia="宋体"/>
                <w:b w:val="0"/>
                <w:bCs w:val="0"/>
                <w:color w:val="auto"/>
                <w:sz w:val="21"/>
                <w:szCs w:val="21"/>
                <w:highlight w:val="none"/>
              </w:rPr>
            </w:pPr>
            <w:r>
              <w:rPr>
                <w:rFonts w:hint="eastAsia" w:ascii="宋体" w:hAnsi="宋体" w:eastAsia="宋体" w:cs="宋体"/>
                <w:b w:val="0"/>
                <w:bCs w:val="0"/>
                <w:color w:val="auto"/>
                <w:szCs w:val="21"/>
                <w:highlight w:val="none"/>
                <w:lang w:val="zh-CN"/>
              </w:rPr>
              <w:t>（</w:t>
            </w:r>
            <w:r>
              <w:rPr>
                <w:rFonts w:hint="eastAsia" w:ascii="宋体" w:hAnsi="宋体" w:eastAsia="宋体" w:cs="宋体"/>
                <w:b w:val="0"/>
                <w:bCs w:val="0"/>
                <w:color w:val="auto"/>
                <w:szCs w:val="21"/>
                <w:highlight w:val="none"/>
                <w:lang w:val="en-US" w:eastAsia="zh-CN"/>
              </w:rPr>
              <w:t>5</w:t>
            </w:r>
            <w:r>
              <w:rPr>
                <w:rFonts w:hint="eastAsia" w:ascii="宋体" w:hAnsi="宋体" w:eastAsia="宋体" w:cs="宋体"/>
                <w:b w:val="0"/>
                <w:bCs w:val="0"/>
                <w:color w:val="auto"/>
                <w:szCs w:val="21"/>
                <w:highlight w:val="none"/>
                <w:lang w:val="zh-CN"/>
              </w:rPr>
              <w:t>）</w:t>
            </w:r>
            <w:r>
              <w:rPr>
                <w:rFonts w:hint="eastAsia" w:ascii="宋体" w:hAnsi="宋体" w:eastAsia="宋体"/>
                <w:b w:val="0"/>
                <w:bCs w:val="0"/>
                <w:color w:val="auto"/>
                <w:sz w:val="21"/>
                <w:szCs w:val="21"/>
                <w:highlight w:val="none"/>
              </w:rPr>
              <w:t>未按上述要求提供证明材料的业绩，</w:t>
            </w:r>
            <w:r>
              <w:rPr>
                <w:rFonts w:hint="eastAsia" w:ascii="宋体" w:hAnsi="宋体" w:eastAsia="宋体" w:cs="宋体"/>
                <w:color w:val="auto"/>
                <w:szCs w:val="21"/>
                <w:highlight w:val="none"/>
                <w:lang w:val="zh-CN"/>
              </w:rPr>
              <w:t>或所附材料无法证明填报项目属投标人完成的或不符合本项评分要求的业绩</w:t>
            </w:r>
            <w:r>
              <w:rPr>
                <w:rFonts w:hint="eastAsia" w:ascii="宋体" w:hAnsi="宋体" w:eastAsia="宋体"/>
                <w:b w:val="0"/>
                <w:bCs w:val="0"/>
                <w:color w:val="auto"/>
                <w:sz w:val="21"/>
                <w:szCs w:val="21"/>
                <w:highlight w:val="none"/>
              </w:rPr>
              <w:t>，在评标时将不予考虑。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Cs w:val="24"/>
                <w:highlight w:val="none"/>
              </w:rPr>
            </w:pPr>
            <w:r>
              <w:rPr>
                <w:rFonts w:hint="eastAsia" w:ascii="宋体" w:hAnsi="宋体" w:eastAsia="宋体"/>
                <w:color w:val="auto"/>
                <w:sz w:val="21"/>
                <w:szCs w:val="21"/>
                <w:highlight w:val="none"/>
              </w:rPr>
              <w:t>2</w:t>
            </w: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rPr>
              <w:t>分</w:t>
            </w:r>
          </w:p>
        </w:tc>
      </w:tr>
      <w:bookmarkEnd w:id="810"/>
    </w:tbl>
    <w:p>
      <w:pPr>
        <w:autoSpaceDE w:val="0"/>
        <w:autoSpaceDN w:val="0"/>
        <w:adjustRightInd w:val="0"/>
        <w:ind w:right="-26" w:firstLine="480"/>
        <w:jc w:val="center"/>
        <w:rPr>
          <w:rFonts w:hint="eastAsia" w:ascii="宋体" w:hAnsi="宋体" w:eastAsia="宋体" w:cs="宋体"/>
          <w:b/>
          <w:bCs/>
          <w:color w:val="auto"/>
          <w:kern w:val="0"/>
          <w:sz w:val="24"/>
          <w:szCs w:val="24"/>
          <w:highlight w:val="none"/>
        </w:rPr>
      </w:pPr>
      <w:bookmarkStart w:id="811" w:name="_Toc11639_WPSOffice_Level2"/>
    </w:p>
    <w:p>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811"/>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134"/>
        <w:gridCol w:w="7655"/>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b/>
                <w:color w:val="auto"/>
                <w:kern w:val="0"/>
                <w:szCs w:val="21"/>
                <w:highlight w:val="none"/>
              </w:rPr>
            </w:pPr>
            <w:bookmarkStart w:id="812" w:name="_Hlk104987779"/>
            <w:r>
              <w:rPr>
                <w:rFonts w:hint="eastAsia" w:ascii="宋体" w:hAnsi="宋体" w:eastAsia="宋体" w:cs="宋体"/>
                <w:b/>
                <w:color w:val="auto"/>
                <w:kern w:val="0"/>
                <w:szCs w:val="21"/>
                <w:highlight w:val="none"/>
              </w:rPr>
              <w:t>序号</w:t>
            </w:r>
          </w:p>
        </w:tc>
        <w:tc>
          <w:tcPr>
            <w:tcW w:w="54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olor w:val="auto"/>
                <w:sz w:val="21"/>
                <w:szCs w:val="21"/>
                <w:highlight w:val="none"/>
              </w:rPr>
              <w:t>用户需求的响应程度</w:t>
            </w:r>
          </w:p>
        </w:tc>
        <w:tc>
          <w:tcPr>
            <w:tcW w:w="76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olor w:val="auto"/>
                <w:sz w:val="21"/>
                <w:szCs w:val="21"/>
                <w:highlight w:val="none"/>
                <w:lang w:val="zh-CN"/>
              </w:rPr>
              <w:t>对用户需求偏离表的偏离情况进行评审计分，完全满足用户需求书的要求得满分；每一处负偏离扣1分；同时参照其投标文件中其它部分的内容进行对比，每发现一处投标人填写为无偏离或正偏离，但评标委员会评审认定其为负偏离的，每处扣5分；本项最低分为0分。</w:t>
            </w:r>
          </w:p>
        </w:tc>
        <w:tc>
          <w:tcPr>
            <w:tcW w:w="90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总体服务方案</w:t>
            </w:r>
          </w:p>
        </w:tc>
        <w:tc>
          <w:tcPr>
            <w:tcW w:w="76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olor w:val="auto"/>
                <w:sz w:val="21"/>
                <w:szCs w:val="21"/>
                <w:highlight w:val="none"/>
              </w:rPr>
              <w:t>根据各投标人提供的总体服务方案（包括针对本项目服务的组织实施方案、</w:t>
            </w:r>
            <w:r>
              <w:rPr>
                <w:rFonts w:hint="eastAsia" w:ascii="宋体" w:hAnsi="宋体" w:eastAsia="宋体" w:cstheme="minorBidi"/>
                <w:color w:val="auto"/>
                <w:szCs w:val="21"/>
                <w:highlight w:val="none"/>
                <w:lang w:val="en-US" w:eastAsia="zh-CN"/>
              </w:rPr>
              <w:t>收运服务</w:t>
            </w:r>
            <w:r>
              <w:rPr>
                <w:rFonts w:hint="eastAsia" w:ascii="宋体" w:hAnsi="宋体" w:eastAsia="宋体"/>
                <w:color w:val="auto"/>
                <w:sz w:val="21"/>
                <w:szCs w:val="21"/>
                <w:highlight w:val="none"/>
              </w:rPr>
              <w:t>方案</w:t>
            </w:r>
            <w:r>
              <w:rPr>
                <w:rFonts w:hint="eastAsia" w:ascii="宋体" w:hAnsi="宋体" w:eastAsia="宋体"/>
                <w:color w:val="auto"/>
                <w:sz w:val="21"/>
                <w:szCs w:val="21"/>
                <w:highlight w:val="none"/>
                <w:lang w:eastAsia="zh-CN"/>
              </w:rPr>
              <w:t>、</w:t>
            </w:r>
            <w:r>
              <w:rPr>
                <w:rFonts w:hint="eastAsia" w:ascii="宋体" w:hAnsi="宋体" w:eastAsia="宋体" w:cstheme="minorBidi"/>
                <w:color w:val="auto"/>
                <w:kern w:val="2"/>
                <w:sz w:val="21"/>
                <w:szCs w:val="21"/>
                <w:highlight w:val="none"/>
                <w:lang w:val="zh-CN"/>
              </w:rPr>
              <w:t>服务质量保证措施</w:t>
            </w:r>
            <w:r>
              <w:rPr>
                <w:rFonts w:hint="eastAsia" w:ascii="宋体" w:hAnsi="宋体" w:eastAsia="宋体"/>
                <w:color w:val="auto"/>
                <w:sz w:val="21"/>
                <w:szCs w:val="21"/>
                <w:highlight w:val="none"/>
              </w:rPr>
              <w:t>等）进行横向对比，按优</w:t>
            </w:r>
            <w:r>
              <w:rPr>
                <w:rFonts w:hint="eastAsia" w:ascii="宋体" w:hAnsi="宋体" w:eastAsia="宋体" w:cstheme="minorBidi"/>
                <w:color w:val="auto"/>
                <w:szCs w:val="21"/>
                <w:highlight w:val="none"/>
              </w:rPr>
              <w:t>[</w:t>
            </w:r>
            <w:r>
              <w:rPr>
                <w:rFonts w:hint="eastAsia" w:ascii="宋体" w:hAnsi="宋体" w:eastAsia="宋体" w:cstheme="minorBidi"/>
                <w:color w:val="auto"/>
                <w:szCs w:val="21"/>
                <w:highlight w:val="none"/>
                <w:lang w:val="en-US" w:eastAsia="zh-CN"/>
              </w:rPr>
              <w:t>8</w:t>
            </w:r>
            <w:r>
              <w:rPr>
                <w:rFonts w:hint="eastAsia" w:ascii="宋体" w:hAnsi="宋体" w:eastAsia="宋体" w:cstheme="minorBidi"/>
                <w:color w:val="auto"/>
                <w:szCs w:val="21"/>
                <w:highlight w:val="none"/>
              </w:rPr>
              <w:t>-</w:t>
            </w:r>
            <w:r>
              <w:rPr>
                <w:rFonts w:hint="eastAsia" w:ascii="宋体" w:hAnsi="宋体" w:eastAsia="宋体" w:cstheme="minorBidi"/>
                <w:color w:val="auto"/>
                <w:szCs w:val="21"/>
                <w:highlight w:val="none"/>
                <w:lang w:val="en-US" w:eastAsia="zh-CN"/>
              </w:rPr>
              <w:t>6</w:t>
            </w:r>
            <w:r>
              <w:rPr>
                <w:rFonts w:hint="eastAsia" w:ascii="宋体" w:hAnsi="宋体" w:eastAsia="宋体" w:cstheme="minorBidi"/>
                <w:color w:val="auto"/>
                <w:szCs w:val="21"/>
                <w:highlight w:val="none"/>
              </w:rPr>
              <w:t>分]、良（</w:t>
            </w:r>
            <w:r>
              <w:rPr>
                <w:rFonts w:hint="eastAsia" w:ascii="宋体" w:hAnsi="宋体" w:eastAsia="宋体" w:cstheme="minorBidi"/>
                <w:color w:val="auto"/>
                <w:szCs w:val="21"/>
                <w:highlight w:val="none"/>
                <w:lang w:val="en-US" w:eastAsia="zh-CN"/>
              </w:rPr>
              <w:t>6</w:t>
            </w:r>
            <w:r>
              <w:rPr>
                <w:rFonts w:hint="eastAsia" w:ascii="宋体" w:hAnsi="宋体" w:eastAsia="宋体" w:cstheme="minorBidi"/>
                <w:color w:val="auto"/>
                <w:szCs w:val="21"/>
                <w:highlight w:val="none"/>
              </w:rPr>
              <w:t>-</w:t>
            </w:r>
            <w:r>
              <w:rPr>
                <w:rFonts w:hint="eastAsia" w:ascii="宋体" w:hAnsi="宋体" w:eastAsia="宋体" w:cstheme="minorBidi"/>
                <w:color w:val="auto"/>
                <w:szCs w:val="21"/>
                <w:highlight w:val="none"/>
                <w:lang w:val="en-US" w:eastAsia="zh-CN"/>
              </w:rPr>
              <w:t>4</w:t>
            </w:r>
            <w:r>
              <w:rPr>
                <w:rFonts w:hint="eastAsia" w:ascii="宋体" w:hAnsi="宋体" w:eastAsia="宋体" w:cstheme="minorBidi"/>
                <w:color w:val="auto"/>
                <w:szCs w:val="21"/>
                <w:highlight w:val="none"/>
              </w:rPr>
              <w:t>分]、中（</w:t>
            </w:r>
            <w:r>
              <w:rPr>
                <w:rFonts w:hint="eastAsia" w:ascii="宋体" w:hAnsi="宋体" w:eastAsia="宋体" w:cstheme="minorBidi"/>
                <w:color w:val="auto"/>
                <w:szCs w:val="21"/>
                <w:highlight w:val="none"/>
                <w:lang w:val="en-US" w:eastAsia="zh-CN"/>
              </w:rPr>
              <w:t>4</w:t>
            </w:r>
            <w:r>
              <w:rPr>
                <w:rFonts w:hint="eastAsia" w:ascii="宋体" w:hAnsi="宋体" w:eastAsia="宋体" w:cstheme="minorBidi"/>
                <w:color w:val="auto"/>
                <w:szCs w:val="21"/>
                <w:highlight w:val="none"/>
              </w:rPr>
              <w:t>-2分]、差（2-0分]</w:t>
            </w:r>
            <w:r>
              <w:rPr>
                <w:rFonts w:hint="eastAsia" w:ascii="宋体" w:hAnsi="宋体" w:eastAsia="宋体"/>
                <w:color w:val="auto"/>
                <w:sz w:val="21"/>
                <w:szCs w:val="21"/>
                <w:highlight w:val="none"/>
              </w:rPr>
              <w:t>进行评审。</w:t>
            </w:r>
          </w:p>
        </w:tc>
        <w:tc>
          <w:tcPr>
            <w:tcW w:w="90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8</w:t>
            </w:r>
            <w:r>
              <w:rPr>
                <w:rFonts w:hint="eastAsia" w:ascii="宋体" w:hAnsi="宋体" w:eastAsia="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Cs w:val="21"/>
                <w:highlight w:val="none"/>
              </w:rPr>
              <w:t>拟投入的人员情况</w:t>
            </w:r>
          </w:p>
        </w:tc>
        <w:tc>
          <w:tcPr>
            <w:tcW w:w="765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对投标人拟投入本项目的收运</w:t>
            </w:r>
            <w:r>
              <w:rPr>
                <w:rFonts w:hint="eastAsia" w:ascii="宋体" w:hAnsi="宋体" w:eastAsia="宋体" w:cs="宋体"/>
                <w:color w:val="auto"/>
                <w:highlight w:val="none"/>
                <w:lang w:val="en-US" w:eastAsia="zh-CN"/>
              </w:rPr>
              <w:t>司机中</w:t>
            </w:r>
            <w:r>
              <w:rPr>
                <w:rFonts w:hint="eastAsia" w:ascii="宋体" w:hAnsi="宋体" w:eastAsia="宋体" w:cs="宋体"/>
                <w:color w:val="auto"/>
                <w:highlight w:val="none"/>
              </w:rPr>
              <w:t>，投入驾龄超过</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年(含</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年)的</w:t>
            </w:r>
            <w:r>
              <w:rPr>
                <w:rFonts w:hint="eastAsia" w:ascii="宋体" w:hAnsi="宋体" w:eastAsia="宋体" w:cs="宋体"/>
                <w:color w:val="auto"/>
                <w:highlight w:val="none"/>
                <w:lang w:val="en-US" w:eastAsia="zh-CN"/>
              </w:rPr>
              <w:t>收运司机</w:t>
            </w:r>
            <w:r>
              <w:rPr>
                <w:rFonts w:hint="eastAsia" w:ascii="宋体" w:hAnsi="宋体" w:eastAsia="宋体" w:cs="宋体"/>
                <w:color w:val="auto"/>
                <w:highlight w:val="none"/>
              </w:rPr>
              <w:t>数量进行评审，每一位驾龄超过</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年(含</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年)的运输人员得</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分，满分为</w:t>
            </w:r>
            <w:r>
              <w:rPr>
                <w:rFonts w:hint="eastAsia" w:ascii="宋体" w:hAnsi="宋体" w:eastAsia="宋体" w:cs="宋体"/>
                <w:color w:val="auto"/>
                <w:highlight w:val="none"/>
                <w:lang w:val="en-US" w:eastAsia="zh-CN"/>
              </w:rPr>
              <w:t>7分。</w:t>
            </w:r>
          </w:p>
          <w:p>
            <w:pPr>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备注:</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(1)驾龄按取得</w:t>
            </w:r>
            <w:r>
              <w:rPr>
                <w:rFonts w:hint="eastAsia" w:ascii="宋体" w:hAnsi="宋体" w:eastAsia="宋体" w:cs="宋体"/>
                <w:color w:val="auto"/>
                <w:highlight w:val="none"/>
                <w:lang w:val="en-US" w:eastAsia="zh-CN"/>
              </w:rPr>
              <w:t>B</w:t>
            </w: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或A2或A1</w:t>
            </w:r>
            <w:r>
              <w:rPr>
                <w:rFonts w:hint="eastAsia" w:ascii="宋体" w:hAnsi="宋体" w:eastAsia="宋体" w:cs="宋体"/>
                <w:color w:val="auto"/>
                <w:highlight w:val="none"/>
              </w:rPr>
              <w:t>驾驶证的年份计算，驾龄不足</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年的运输人员数量不列入评审。</w:t>
            </w:r>
          </w:p>
          <w:p>
            <w:pPr>
              <w:autoSpaceDE w:val="0"/>
              <w:autoSpaceDN w:val="0"/>
              <w:spacing w:line="360" w:lineRule="auto"/>
              <w:rPr>
                <w:rFonts w:hint="eastAsia" w:ascii="宋体" w:hAnsi="宋体" w:eastAsia="宋体"/>
                <w:color w:val="auto"/>
                <w:sz w:val="21"/>
                <w:szCs w:val="21"/>
                <w:highlight w:val="none"/>
                <w:lang w:val="zh-CN"/>
              </w:rPr>
            </w:pPr>
            <w:r>
              <w:rPr>
                <w:rFonts w:hint="eastAsia" w:ascii="宋体" w:hAnsi="宋体" w:eastAsia="宋体" w:cs="宋体"/>
                <w:color w:val="auto"/>
                <w:highlight w:val="none"/>
              </w:rPr>
              <w:t>(2)</w:t>
            </w:r>
            <w:r>
              <w:rPr>
                <w:rFonts w:hint="eastAsia" w:ascii="宋体" w:hAnsi="宋体" w:eastAsia="宋体" w:cs="宋体"/>
                <w:color w:val="auto"/>
                <w:kern w:val="0"/>
                <w:szCs w:val="21"/>
                <w:highlight w:val="none"/>
              </w:rPr>
              <w:t>需提供上述人员</w:t>
            </w:r>
            <w:r>
              <w:rPr>
                <w:rFonts w:hint="eastAsia" w:ascii="宋体" w:hAnsi="宋体" w:eastAsia="宋体" w:cs="宋体"/>
                <w:color w:val="auto"/>
                <w:kern w:val="0"/>
                <w:szCs w:val="21"/>
                <w:highlight w:val="none"/>
                <w:lang w:val="en-US" w:eastAsia="zh-CN"/>
              </w:rPr>
              <w:t>的</w:t>
            </w:r>
            <w:r>
              <w:rPr>
                <w:rFonts w:hint="eastAsia" w:ascii="宋体" w:hAnsi="宋体" w:eastAsia="宋体" w:cs="宋体"/>
                <w:color w:val="auto"/>
                <w:szCs w:val="21"/>
                <w:highlight w:val="none"/>
                <w:lang w:val="zh-CN"/>
              </w:rPr>
              <w:t>身份证、劳动合同的复印件、人力资源和社会保障部门（或税务部门）出具的近</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lang w:val="zh-CN"/>
              </w:rPr>
              <w:t>个月（</w:t>
            </w:r>
            <w:r>
              <w:rPr>
                <w:rFonts w:hint="eastAsia" w:ascii="宋体" w:hAnsi="宋体" w:eastAsia="宋体" w:cs="宋体"/>
                <w:color w:val="auto"/>
                <w:szCs w:val="21"/>
                <w:highlight w:val="none"/>
                <w:lang w:val="en-US" w:eastAsia="zh-CN"/>
              </w:rPr>
              <w:t>2023年9月、</w:t>
            </w:r>
            <w:r>
              <w:rPr>
                <w:rFonts w:hint="eastAsia" w:ascii="宋体" w:hAnsi="宋体" w:eastAsia="宋体" w:cs="宋体"/>
                <w:color w:val="auto"/>
                <w:szCs w:val="21"/>
                <w:highlight w:val="none"/>
                <w:lang w:val="zh-CN"/>
              </w:rPr>
              <w:t>2023年</w:t>
            </w: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zh-CN"/>
              </w:rPr>
              <w:t>月、2023年</w:t>
            </w: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zh-CN"/>
              </w:rPr>
              <w:t>月、2023年</w:t>
            </w: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lang w:val="en-US" w:eastAsia="zh-CN"/>
              </w:rPr>
              <w:t>2024年1月、2024年2月</w:t>
            </w:r>
            <w:r>
              <w:rPr>
                <w:rFonts w:hint="eastAsia" w:ascii="宋体" w:hAnsi="宋体" w:eastAsia="宋体" w:cs="宋体"/>
                <w:color w:val="auto"/>
                <w:szCs w:val="21"/>
                <w:highlight w:val="none"/>
                <w:lang w:val="zh-CN"/>
              </w:rPr>
              <w:t>）投标人为其缴纳的社保证明复印件</w:t>
            </w:r>
            <w:r>
              <w:rPr>
                <w:rFonts w:hint="eastAsia" w:ascii="宋体" w:hAnsi="宋体" w:eastAsia="宋体" w:cs="宋体"/>
                <w:color w:val="auto"/>
                <w:highlight w:val="none"/>
              </w:rPr>
              <w:t>、驾驶证复印件，提供的</w:t>
            </w:r>
            <w:r>
              <w:rPr>
                <w:rFonts w:hint="eastAsia" w:ascii="宋体" w:hAnsi="宋体" w:eastAsia="宋体" w:cs="宋体"/>
                <w:color w:val="auto"/>
                <w:szCs w:val="21"/>
                <w:highlight w:val="none"/>
                <w:lang w:val="zh-CN"/>
              </w:rPr>
              <w:t>身份证、劳动合同、</w:t>
            </w:r>
            <w:r>
              <w:rPr>
                <w:rFonts w:hint="eastAsia" w:ascii="宋体" w:hAnsi="宋体" w:eastAsia="宋体" w:cs="宋体"/>
                <w:color w:val="auto"/>
                <w:highlight w:val="none"/>
              </w:rPr>
              <w:t>驾驶证</w:t>
            </w:r>
            <w:r>
              <w:rPr>
                <w:rFonts w:hint="eastAsia" w:ascii="宋体" w:hAnsi="宋体" w:eastAsia="宋体" w:cs="宋体"/>
                <w:color w:val="auto"/>
                <w:szCs w:val="21"/>
                <w:highlight w:val="none"/>
                <w:lang w:val="zh-CN"/>
              </w:rPr>
              <w:t>、社保证明的人员名称需一致时才统计得分，不提供或人员名称不一致不得分。</w:t>
            </w:r>
          </w:p>
        </w:tc>
        <w:tc>
          <w:tcPr>
            <w:tcW w:w="90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1134" w:type="dxa"/>
            <w:tcBorders>
              <w:top w:val="single" w:color="auto" w:sz="4" w:space="0"/>
              <w:left w:val="single" w:color="auto" w:sz="4" w:space="0"/>
              <w:bottom w:val="single" w:color="auto" w:sz="4" w:space="0"/>
              <w:right w:val="single" w:color="auto" w:sz="4" w:space="0"/>
            </w:tcBorders>
            <w:vAlign w:val="center"/>
          </w:tcPr>
          <w:p>
            <w:pPr>
              <w:pStyle w:val="65"/>
              <w:spacing w:line="360" w:lineRule="auto"/>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zh-CN"/>
              </w:rPr>
              <w:t>安全管理方案</w:t>
            </w:r>
          </w:p>
        </w:tc>
        <w:tc>
          <w:tcPr>
            <w:tcW w:w="76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olor w:val="auto"/>
                <w:sz w:val="21"/>
                <w:szCs w:val="21"/>
                <w:highlight w:val="none"/>
                <w:lang w:val="zh-CN"/>
              </w:rPr>
            </w:pPr>
            <w:r>
              <w:rPr>
                <w:rFonts w:hint="eastAsia" w:ascii="宋体" w:hAnsi="宋体" w:eastAsia="宋体"/>
                <w:color w:val="auto"/>
                <w:sz w:val="21"/>
                <w:szCs w:val="21"/>
                <w:highlight w:val="none"/>
                <w:lang w:val="zh-CN"/>
              </w:rPr>
              <w:t>横向比较各投标人垃圾收运安全操作、管理的手段和措施、作业防护措施、安全管理制度及贯彻，根据方案及措施切合实际的程度、详细具体的程度及承诺情况，按优</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分]、良（</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分]、中（</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-1分]、差（1-0分]</w:t>
            </w:r>
            <w:r>
              <w:rPr>
                <w:rFonts w:hint="eastAsia" w:ascii="宋体" w:hAnsi="宋体" w:eastAsia="宋体"/>
                <w:color w:val="auto"/>
                <w:sz w:val="21"/>
                <w:szCs w:val="21"/>
                <w:highlight w:val="none"/>
                <w:lang w:val="zh-CN"/>
              </w:rPr>
              <w:t>进行评审。</w:t>
            </w:r>
          </w:p>
        </w:tc>
        <w:tc>
          <w:tcPr>
            <w:tcW w:w="90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547" w:type="pct"/>
            <w:tcBorders>
              <w:top w:val="single" w:color="auto" w:sz="4" w:space="0"/>
              <w:left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highlight w:val="none"/>
                <w:lang w:val="en-US" w:eastAsia="zh-CN"/>
              </w:rPr>
              <w:t>应急预案和保障措施</w:t>
            </w:r>
          </w:p>
        </w:tc>
        <w:tc>
          <w:tcPr>
            <w:tcW w:w="3691" w:type="pct"/>
            <w:tcBorders>
              <w:top w:val="single" w:color="auto" w:sz="4" w:space="0"/>
              <w:left w:val="single" w:color="auto" w:sz="4" w:space="0"/>
              <w:right w:val="single" w:color="auto" w:sz="4" w:space="0"/>
            </w:tcBorders>
            <w:vAlign w:val="center"/>
          </w:tcPr>
          <w:p>
            <w:pPr>
              <w:snapToGri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highlight w:val="none"/>
                <w:lang w:val="en-US" w:eastAsia="zh-CN"/>
              </w:rPr>
              <w:t>横向比较各投标人应急预案和保障措施，包括针对特殊天气、公共卫生事件、车辆故障、交通事故、人员应急调配、劳务纠纷、工伤事故等的应急方案和保障措施切合实际的程度、详细具体的程度及可操作性情况</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rPr>
              <w:t>按优[</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分]、良（</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分]、中（</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-1分]、差（1-0分]进行评审</w:t>
            </w:r>
            <w:r>
              <w:rPr>
                <w:rFonts w:hint="eastAsia" w:ascii="宋体" w:hAnsi="宋体" w:eastAsia="宋体" w:cs="宋体"/>
                <w:color w:val="auto"/>
                <w:sz w:val="21"/>
                <w:szCs w:val="21"/>
                <w:highlight w:val="none"/>
                <w:lang w:val="zh-CN"/>
              </w:rPr>
              <w:t>。</w:t>
            </w:r>
          </w:p>
        </w:tc>
        <w:tc>
          <w:tcPr>
            <w:tcW w:w="437" w:type="pct"/>
            <w:tcBorders>
              <w:top w:val="single" w:color="auto" w:sz="4" w:space="0"/>
              <w:left w:val="single" w:color="auto" w:sz="4" w:space="0"/>
              <w:right w:val="single" w:color="auto" w:sz="4" w:space="0"/>
            </w:tcBorders>
            <w:vAlign w:val="center"/>
          </w:tcPr>
          <w:p>
            <w:pPr>
              <w:snapToGrid w:val="0"/>
              <w:spacing w:line="4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rPr>
              <w:t>分</w:t>
            </w:r>
          </w:p>
        </w:tc>
      </w:tr>
      <w:bookmarkEnd w:id="812"/>
    </w:tbl>
    <w:p>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①表中“[”代表闭区间，“]”代表闭区间，如[0，1]代表该分数段范围为大于等于0且小于等于1。表中“（”代表开区间，“]”代表闭区间，如（1，2]代表该分数段范围为大于1且小于等于2。</w:t>
      </w:r>
    </w:p>
    <w:p>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②分数出现小数点，保留小数点后2位，从小数点后第3位四舍五入。</w:t>
      </w:r>
    </w:p>
    <w:p>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③上述“评分项目”中按“优、良、中、差”区间评审的，若低于该项满分分值60%时，评标专家需详细填写该项低分的充分理由，例如：该项目内容存在违反国家有关标准和规范或与项目实际不符等原则性问题。</w:t>
      </w:r>
    </w:p>
    <w:p>
      <w:pPr>
        <w:autoSpaceDE w:val="0"/>
        <w:autoSpaceDN w:val="0"/>
        <w:adjustRightInd w:val="0"/>
        <w:spacing w:line="360" w:lineRule="auto"/>
        <w:ind w:left="420" w:leftChars="200" w:firstLine="422" w:firstLineChars="200"/>
        <w:rPr>
          <w:rFonts w:hint="eastAsia" w:ascii="宋体" w:hAnsi="宋体" w:eastAsia="宋体" w:cs="宋体"/>
          <w:color w:val="auto"/>
          <w:kern w:val="0"/>
          <w:szCs w:val="21"/>
          <w:highlight w:val="none"/>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pPr>
        <w:spacing w:line="360" w:lineRule="auto"/>
        <w:ind w:left="480" w:firstLine="211" w:firstLineChars="100"/>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pPr>
        <w:spacing w:line="360" w:lineRule="auto"/>
        <w:ind w:left="420" w:leftChars="200"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pPr>
        <w:spacing w:line="360" w:lineRule="auto"/>
        <w:ind w:left="420" w:leftChars="200" w:firstLine="422" w:firstLineChars="200"/>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pPr>
        <w:spacing w:line="360" w:lineRule="auto"/>
        <w:ind w:left="420" w:leftChars="200" w:firstLine="420" w:firstLineChars="200"/>
        <w:rPr>
          <w:rFonts w:hint="eastAsia" w:ascii="宋体" w:hAnsi="宋体" w:eastAsia="宋体" w:cs="宋体"/>
          <w:color w:val="auto"/>
          <w:kern w:val="0"/>
          <w:szCs w:val="21"/>
          <w:highlight w:val="none"/>
          <w:lang w:val="zh-CN"/>
        </w:rPr>
      </w:pPr>
    </w:p>
    <w:p>
      <w:pPr>
        <w:spacing w:line="360" w:lineRule="auto"/>
        <w:ind w:left="480" w:firstLine="211" w:firstLineChars="1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color w:val="auto"/>
          <w:szCs w:val="21"/>
          <w:highlight w:val="none"/>
          <w:lang w:val="en-US" w:eastAsia="zh-CN"/>
        </w:rPr>
        <w:t>40</w:t>
      </w:r>
      <w:r>
        <w:rPr>
          <w:rFonts w:hint="eastAsia" w:ascii="宋体" w:hAnsi="宋体" w:eastAsia="宋体" w:cs="宋体"/>
          <w:b/>
          <w:bCs/>
          <w:color w:val="auto"/>
          <w:kern w:val="0"/>
          <w:szCs w:val="21"/>
          <w:highlight w:val="none"/>
          <w:lang w:val="zh-CN"/>
        </w:rPr>
        <w:t>分</w:t>
      </w:r>
    </w:p>
    <w:p>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40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40</w:t>
      </w:r>
    </w:p>
    <w:p>
      <w:pPr>
        <w:autoSpaceDN w:val="0"/>
        <w:adjustRightInd w:val="0"/>
        <w:snapToGrid w:val="0"/>
        <w:spacing w:line="360" w:lineRule="auto"/>
        <w:ind w:firstLine="210" w:firstLine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pPr>
        <w:tabs>
          <w:tab w:val="left" w:pos="585"/>
        </w:tabs>
        <w:autoSpaceDE w:val="0"/>
        <w:autoSpaceDN w:val="0"/>
        <w:adjustRightInd w:val="0"/>
        <w:spacing w:line="400" w:lineRule="exac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pPr>
        <w:spacing w:line="400" w:lineRule="exact"/>
        <w:ind w:firstLine="848" w:firstLineChars="404"/>
        <w:rPr>
          <w:rFonts w:hint="eastAsia" w:ascii="宋体" w:hAnsi="宋体" w:eastAsia="宋体" w:cs="宋体"/>
          <w:color w:val="auto"/>
          <w:kern w:val="0"/>
          <w:szCs w:val="28"/>
          <w:highlight w:val="none"/>
          <w:lang w:val="zh-CN"/>
        </w:rPr>
      </w:pPr>
      <w:bookmarkStart w:id="813" w:name="_Toc31624_WPSOffice_Level2"/>
      <w:r>
        <w:rPr>
          <w:rFonts w:hint="eastAsia" w:ascii="宋体" w:hAnsi="宋体" w:eastAsia="宋体" w:cs="宋体"/>
          <w:color w:val="auto"/>
          <w:kern w:val="0"/>
          <w:szCs w:val="28"/>
          <w:highlight w:val="none"/>
          <w:lang w:val="zh-CN"/>
        </w:rPr>
        <w:t>评标总得分=F1＋F2＋……+Fn</w:t>
      </w:r>
      <w:bookmarkEnd w:id="813"/>
    </w:p>
    <w:p>
      <w:pPr>
        <w:widowControl/>
        <w:autoSpaceDE w:val="0"/>
        <w:autoSpaceDN w:val="0"/>
        <w:adjustRightInd w:val="0"/>
        <w:spacing w:line="400" w:lineRule="exact"/>
        <w:ind w:firstLine="840" w:firstLineChars="400"/>
        <w:jc w:val="left"/>
        <w:rPr>
          <w:rFonts w:hint="eastAsia" w:ascii="宋体" w:hAnsi="宋体" w:eastAsia="宋体" w:cs="宋体"/>
          <w:color w:val="auto"/>
          <w:kern w:val="0"/>
          <w:szCs w:val="21"/>
          <w:highlight w:val="none"/>
        </w:rPr>
      </w:pPr>
      <w:bookmarkStart w:id="814" w:name="_Toc13236_WPSOffice_Level2"/>
      <w:r>
        <w:rPr>
          <w:rFonts w:hint="eastAsia" w:ascii="宋体" w:hAnsi="宋体" w:eastAsia="宋体" w:cs="宋体"/>
          <w:color w:val="auto"/>
          <w:kern w:val="0"/>
          <w:szCs w:val="21"/>
          <w:highlight w:val="none"/>
        </w:rPr>
        <w:t>F1、F2、……Fn分别为各项评分因素的得分</w:t>
      </w:r>
      <w:bookmarkEnd w:id="814"/>
      <w:r>
        <w:rPr>
          <w:rFonts w:hint="eastAsia" w:ascii="宋体" w:hAnsi="宋体" w:eastAsia="宋体" w:cs="宋体"/>
          <w:color w:val="auto"/>
          <w:kern w:val="0"/>
          <w:szCs w:val="21"/>
          <w:highlight w:val="none"/>
        </w:rPr>
        <w:t>。</w:t>
      </w:r>
    </w:p>
    <w:p>
      <w:pPr>
        <w:autoSpaceDE w:val="0"/>
        <w:autoSpaceDN w:val="0"/>
        <w:adjustRightInd w:val="0"/>
        <w:spacing w:line="360" w:lineRule="auto"/>
        <w:ind w:left="564" w:leftChars="1" w:hanging="562" w:hangingChars="200"/>
        <w:rPr>
          <w:rFonts w:hint="eastAsia" w:ascii="宋体" w:hAnsi="宋体" w:eastAsia="宋体" w:cs="宋体"/>
          <w:b/>
          <w:bCs/>
          <w:color w:val="auto"/>
          <w:sz w:val="28"/>
          <w:szCs w:val="28"/>
          <w:highlight w:val="none"/>
        </w:rPr>
      </w:pPr>
    </w:p>
    <w:p>
      <w:pPr>
        <w:autoSpaceDE w:val="0"/>
        <w:autoSpaceDN w:val="0"/>
        <w:adjustRightInd w:val="0"/>
        <w:spacing w:line="360" w:lineRule="auto"/>
        <w:jc w:val="center"/>
        <w:rPr>
          <w:rFonts w:hint="eastAsia" w:ascii="宋体" w:hAnsi="宋体" w:eastAsia="宋体" w:cs="宋体"/>
          <w:b/>
          <w:bCs/>
          <w:color w:val="auto"/>
          <w:sz w:val="28"/>
          <w:szCs w:val="28"/>
          <w:highlight w:val="none"/>
        </w:rPr>
      </w:pPr>
      <w:bookmarkStart w:id="815" w:name="_Toc518_WPSOffice_Level1"/>
      <w:r>
        <w:rPr>
          <w:rFonts w:hint="eastAsia" w:ascii="宋体" w:hAnsi="宋体" w:eastAsia="宋体" w:cs="宋体"/>
          <w:b/>
          <w:bCs/>
          <w:color w:val="auto"/>
          <w:sz w:val="28"/>
          <w:szCs w:val="28"/>
          <w:highlight w:val="none"/>
          <w:lang w:val="zh-CN"/>
        </w:rPr>
        <w:t>五、推荐中标人</w:t>
      </w:r>
      <w:bookmarkEnd w:id="815"/>
    </w:p>
    <w:p>
      <w:pPr>
        <w:autoSpaceDE w:val="0"/>
        <w:autoSpaceDN w:val="0"/>
        <w:adjustRightInd w:val="0"/>
        <w:spacing w:line="360" w:lineRule="auto"/>
        <w:ind w:left="420" w:hanging="420" w:hanging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r>
        <w:rPr>
          <w:rFonts w:hint="eastAsia" w:ascii="宋体" w:hAnsi="宋体" w:eastAsia="宋体" w:cs="宋体"/>
          <w:color w:val="auto"/>
          <w:szCs w:val="24"/>
          <w:highlight w:val="none"/>
          <w:lang w:val="zh-CN"/>
        </w:rPr>
        <w:t>评标委员会按评审后得分由高到低顺序排列</w:t>
      </w:r>
      <w:r>
        <w:rPr>
          <w:rFonts w:hint="eastAsia" w:ascii="宋体" w:hAnsi="宋体" w:eastAsia="宋体" w:cs="宋体"/>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pPr>
        <w:autoSpaceDE w:val="0"/>
        <w:autoSpaceDN w:val="0"/>
        <w:adjustRightInd w:val="0"/>
        <w:spacing w:line="360" w:lineRule="auto"/>
        <w:ind w:left="420" w:leftChars="200" w:firstLine="420" w:firstLineChars="200"/>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1"/>
          <w:highlight w:val="none"/>
        </w:rPr>
        <w:t>如果有两个或以上的投标人的最后综合得分相同，则在最后综合得分相同的投标人中按投标报价</w:t>
      </w:r>
      <w:r>
        <w:rPr>
          <w:rFonts w:hint="eastAsia" w:ascii="宋体" w:hAnsi="宋体" w:eastAsia="宋体" w:cs="宋体"/>
          <w:color w:val="auto"/>
          <w:kern w:val="0"/>
          <w:szCs w:val="21"/>
          <w:highlight w:val="none"/>
          <w:lang w:val="zh-CN"/>
        </w:rPr>
        <w:t>由低到高顺序排出次序，报价低的排前，报价高的排后。</w:t>
      </w:r>
      <w:r>
        <w:rPr>
          <w:rFonts w:hint="eastAsia" w:ascii="宋体" w:hAnsi="宋体" w:eastAsia="宋体" w:cs="宋体"/>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pPr>
        <w:widowControl/>
        <w:spacing w:line="360" w:lineRule="auto"/>
        <w:jc w:val="left"/>
        <w:rPr>
          <w:rFonts w:hint="eastAsia" w:ascii="宋体" w:hAnsi="宋体" w:eastAsia="宋体" w:cs="宋体"/>
          <w:color w:val="auto"/>
          <w:kern w:val="0"/>
          <w:szCs w:val="21"/>
          <w:highlight w:val="none"/>
        </w:rPr>
      </w:pPr>
    </w:p>
    <w:p>
      <w:pPr>
        <w:autoSpaceDE w:val="0"/>
        <w:autoSpaceDN w:val="0"/>
        <w:adjustRightInd w:val="0"/>
        <w:spacing w:line="360" w:lineRule="auto"/>
        <w:ind w:left="185" w:leftChars="88" w:firstLine="3443" w:firstLineChars="1225"/>
        <w:rPr>
          <w:rFonts w:hint="eastAsia" w:ascii="宋体" w:hAnsi="宋体" w:eastAsia="宋体" w:cs="宋体"/>
          <w:b/>
          <w:bCs/>
          <w:color w:val="auto"/>
          <w:sz w:val="28"/>
          <w:szCs w:val="28"/>
          <w:highlight w:val="none"/>
          <w:lang w:val="zh-CN"/>
        </w:rPr>
      </w:pPr>
      <w:bookmarkStart w:id="816" w:name="_Toc22724_WPSOffice_Level1"/>
      <w:r>
        <w:rPr>
          <w:rFonts w:hint="eastAsia" w:ascii="宋体" w:hAnsi="宋体" w:eastAsia="宋体" w:cs="宋体"/>
          <w:b/>
          <w:bCs/>
          <w:color w:val="auto"/>
          <w:sz w:val="28"/>
          <w:szCs w:val="28"/>
          <w:highlight w:val="none"/>
          <w:lang w:val="zh-CN"/>
        </w:rPr>
        <w:t>六、编写评标报告</w:t>
      </w:r>
      <w:bookmarkEnd w:id="816"/>
    </w:p>
    <w:p>
      <w:pPr>
        <w:autoSpaceDE w:val="0"/>
        <w:autoSpaceDN w:val="0"/>
        <w:adjustRightInd w:val="0"/>
        <w:spacing w:line="360" w:lineRule="auto"/>
        <w:ind w:left="420" w:hanging="420" w:hangingChars="200"/>
        <w:jc w:val="left"/>
        <w:rPr>
          <w:rFonts w:hint="eastAsia"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14、评标委员会根据评审结果撰写评标报告。评标报告是评标委员会根据全体评标委员会成员签字的原始评审记录和评审结果编写的报告，其主要内容包括：</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pPr>
        <w:autoSpaceDE w:val="0"/>
        <w:autoSpaceDN w:val="0"/>
        <w:adjustRightInd w:val="0"/>
        <w:spacing w:line="360" w:lineRule="auto"/>
        <w:jc w:val="left"/>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bookmarkStart w:id="817" w:name="_Toc23773_WPSOffice_Level1"/>
      <w:r>
        <w:rPr>
          <w:rFonts w:hint="eastAsia" w:ascii="宋体" w:hAnsi="宋体" w:eastAsia="宋体" w:cs="宋体"/>
          <w:b/>
          <w:bCs/>
          <w:color w:val="auto"/>
          <w:sz w:val="28"/>
          <w:szCs w:val="28"/>
          <w:highlight w:val="none"/>
          <w:lang w:val="zh-CN"/>
        </w:rPr>
        <w:t>七、注意事项</w:t>
      </w:r>
      <w:bookmarkEnd w:id="817"/>
    </w:p>
    <w:p>
      <w:pPr>
        <w:autoSpaceDE w:val="0"/>
        <w:autoSpaceDN w:val="0"/>
        <w:adjustRightInd w:val="0"/>
        <w:spacing w:line="360" w:lineRule="auto"/>
        <w:ind w:left="420" w:hanging="420" w:hanging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15、为确保评审工作的顺利进行，防止因泄密或其它意外而造成的不良后果及影响，凡参加评审工作的人员都必须认真执行本规定：</w:t>
      </w:r>
    </w:p>
    <w:p>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pPr>
        <w:widowControl/>
        <w:jc w:val="left"/>
        <w:rPr>
          <w:rFonts w:hint="eastAsia" w:ascii="宋体" w:hAnsi="宋体" w:eastAsia="宋体" w:cs="宋体"/>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780"/>
    <w:bookmarkEnd w:id="792"/>
    <w:bookmarkEnd w:id="793"/>
    <w:bookmarkEnd w:id="794"/>
    <w:p>
      <w:pPr>
        <w:widowControl/>
        <w:jc w:val="left"/>
        <w:rPr>
          <w:rFonts w:hint="eastAsia" w:ascii="宋体" w:hAnsi="宋体" w:eastAsia="宋体" w:cs="宋体"/>
          <w:color w:val="auto"/>
          <w:szCs w:val="24"/>
          <w:highlight w:val="none"/>
          <w:lang w:val="zh-CN"/>
        </w:rPr>
      </w:pPr>
    </w:p>
    <w:p>
      <w:pPr>
        <w:rPr>
          <w:rFonts w:eastAsia="+中文正文"/>
          <w:color w:val="auto"/>
          <w:highlight w:val="none"/>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中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1C7295"/>
    <w:multiLevelType w:val="singleLevel"/>
    <w:tmpl w:val="A91C7295"/>
    <w:lvl w:ilvl="0" w:tentative="0">
      <w:start w:val="3"/>
      <w:numFmt w:val="chineseCounting"/>
      <w:suff w:val="nothing"/>
      <w:lvlText w:val="（%1）"/>
      <w:lvlJc w:val="left"/>
      <w:rPr>
        <w:rFonts w:hint="eastAsia"/>
      </w:rPr>
    </w:lvl>
  </w:abstractNum>
  <w:abstractNum w:abstractNumId="1">
    <w:nsid w:val="0DBEAF8D"/>
    <w:multiLevelType w:val="singleLevel"/>
    <w:tmpl w:val="0DBEAF8D"/>
    <w:lvl w:ilvl="0" w:tentative="0">
      <w:start w:val="1"/>
      <w:numFmt w:val="decimal"/>
      <w:suff w:val="nothing"/>
      <w:lvlText w:val="（%1）"/>
      <w:lvlJc w:val="left"/>
      <w:rPr>
        <w:rFonts w:hint="default"/>
        <w:sz w:val="21"/>
        <w:szCs w:val="21"/>
      </w:rPr>
    </w:lvl>
  </w:abstractNum>
  <w:abstractNum w:abstractNumId="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kZGMxMDkyNjQ5NTkzOTgyYjBmMjI5NGM0NGU3Zjc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348"/>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54589"/>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494E"/>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017684"/>
    <w:rsid w:val="012313A8"/>
    <w:rsid w:val="01473520"/>
    <w:rsid w:val="01487DF2"/>
    <w:rsid w:val="018F2A41"/>
    <w:rsid w:val="01F23A04"/>
    <w:rsid w:val="01F96365"/>
    <w:rsid w:val="022F3839"/>
    <w:rsid w:val="0256408D"/>
    <w:rsid w:val="027222F2"/>
    <w:rsid w:val="036335EF"/>
    <w:rsid w:val="03DE77A1"/>
    <w:rsid w:val="03EF1BF3"/>
    <w:rsid w:val="040E11D0"/>
    <w:rsid w:val="040E4592"/>
    <w:rsid w:val="04446205"/>
    <w:rsid w:val="04582192"/>
    <w:rsid w:val="04AC7FD5"/>
    <w:rsid w:val="04B74C29"/>
    <w:rsid w:val="04E2157A"/>
    <w:rsid w:val="058F7720"/>
    <w:rsid w:val="059459D8"/>
    <w:rsid w:val="05C80A15"/>
    <w:rsid w:val="06707CA1"/>
    <w:rsid w:val="069D39AB"/>
    <w:rsid w:val="06A75D00"/>
    <w:rsid w:val="071874D5"/>
    <w:rsid w:val="07195727"/>
    <w:rsid w:val="07697D31"/>
    <w:rsid w:val="07F75D8B"/>
    <w:rsid w:val="08010F28"/>
    <w:rsid w:val="08B651F8"/>
    <w:rsid w:val="08D35DAA"/>
    <w:rsid w:val="08D85501"/>
    <w:rsid w:val="09061ADF"/>
    <w:rsid w:val="09267C87"/>
    <w:rsid w:val="095E1B17"/>
    <w:rsid w:val="09630EDC"/>
    <w:rsid w:val="096609CC"/>
    <w:rsid w:val="096B5FE2"/>
    <w:rsid w:val="09CD35A1"/>
    <w:rsid w:val="09E0077E"/>
    <w:rsid w:val="09E638BB"/>
    <w:rsid w:val="0A83110A"/>
    <w:rsid w:val="0B321D87"/>
    <w:rsid w:val="0C3C3C66"/>
    <w:rsid w:val="0CB43521"/>
    <w:rsid w:val="0D220D94"/>
    <w:rsid w:val="0D9553DC"/>
    <w:rsid w:val="0DC65E1C"/>
    <w:rsid w:val="0DCB6F7B"/>
    <w:rsid w:val="0DE0102D"/>
    <w:rsid w:val="0EAB141B"/>
    <w:rsid w:val="0EE23AFE"/>
    <w:rsid w:val="0F241091"/>
    <w:rsid w:val="0F331D95"/>
    <w:rsid w:val="0F8971C2"/>
    <w:rsid w:val="0FDC3796"/>
    <w:rsid w:val="1004348A"/>
    <w:rsid w:val="100E02A6"/>
    <w:rsid w:val="109930D0"/>
    <w:rsid w:val="10B8790D"/>
    <w:rsid w:val="10BC03C7"/>
    <w:rsid w:val="10DB7792"/>
    <w:rsid w:val="11457119"/>
    <w:rsid w:val="121511E1"/>
    <w:rsid w:val="127952CC"/>
    <w:rsid w:val="12E2395B"/>
    <w:rsid w:val="12F11306"/>
    <w:rsid w:val="130F4A87"/>
    <w:rsid w:val="13511DA5"/>
    <w:rsid w:val="137B1518"/>
    <w:rsid w:val="137B32C6"/>
    <w:rsid w:val="14237C67"/>
    <w:rsid w:val="147A360C"/>
    <w:rsid w:val="154020D1"/>
    <w:rsid w:val="15935443"/>
    <w:rsid w:val="15A13C38"/>
    <w:rsid w:val="15AC3C0A"/>
    <w:rsid w:val="15AD5965"/>
    <w:rsid w:val="16266CC9"/>
    <w:rsid w:val="16565924"/>
    <w:rsid w:val="168D0A72"/>
    <w:rsid w:val="16B60189"/>
    <w:rsid w:val="16DB6903"/>
    <w:rsid w:val="16F12E9F"/>
    <w:rsid w:val="174D6D27"/>
    <w:rsid w:val="182745FA"/>
    <w:rsid w:val="189173D4"/>
    <w:rsid w:val="18CF15C5"/>
    <w:rsid w:val="194B4C86"/>
    <w:rsid w:val="196B7938"/>
    <w:rsid w:val="19704F4F"/>
    <w:rsid w:val="1AB31597"/>
    <w:rsid w:val="1B0940FF"/>
    <w:rsid w:val="1B444FAC"/>
    <w:rsid w:val="1B55264E"/>
    <w:rsid w:val="1BB9498B"/>
    <w:rsid w:val="1BC021BE"/>
    <w:rsid w:val="1BD16DFE"/>
    <w:rsid w:val="1CAD0D86"/>
    <w:rsid w:val="1CE65C54"/>
    <w:rsid w:val="1D3B6217"/>
    <w:rsid w:val="1DA17DCD"/>
    <w:rsid w:val="1E0812B2"/>
    <w:rsid w:val="1E552DAD"/>
    <w:rsid w:val="1E8714F2"/>
    <w:rsid w:val="1EA54681"/>
    <w:rsid w:val="1EB761DF"/>
    <w:rsid w:val="1ED146E2"/>
    <w:rsid w:val="1FA45268"/>
    <w:rsid w:val="1FB5190D"/>
    <w:rsid w:val="1FD91AA0"/>
    <w:rsid w:val="20575FF4"/>
    <w:rsid w:val="207A1985"/>
    <w:rsid w:val="21607FF0"/>
    <w:rsid w:val="21771570"/>
    <w:rsid w:val="220F258C"/>
    <w:rsid w:val="226715E5"/>
    <w:rsid w:val="22C62CF4"/>
    <w:rsid w:val="22EF001E"/>
    <w:rsid w:val="23531B69"/>
    <w:rsid w:val="23A06120"/>
    <w:rsid w:val="23AB5501"/>
    <w:rsid w:val="23EF086D"/>
    <w:rsid w:val="243C319A"/>
    <w:rsid w:val="25787E99"/>
    <w:rsid w:val="268C17A5"/>
    <w:rsid w:val="26CF3B68"/>
    <w:rsid w:val="26D134D1"/>
    <w:rsid w:val="2751016E"/>
    <w:rsid w:val="2756665E"/>
    <w:rsid w:val="27EB5B6C"/>
    <w:rsid w:val="286E02B3"/>
    <w:rsid w:val="288B57BC"/>
    <w:rsid w:val="28AC24C6"/>
    <w:rsid w:val="28C301EC"/>
    <w:rsid w:val="28CA3E69"/>
    <w:rsid w:val="28CD7B64"/>
    <w:rsid w:val="28DA73F5"/>
    <w:rsid w:val="29017971"/>
    <w:rsid w:val="29AE6B2F"/>
    <w:rsid w:val="29F86FC6"/>
    <w:rsid w:val="2A612DBE"/>
    <w:rsid w:val="2A8B37C2"/>
    <w:rsid w:val="2A9A007E"/>
    <w:rsid w:val="2A9E4307"/>
    <w:rsid w:val="2B4A69C0"/>
    <w:rsid w:val="2C387B4E"/>
    <w:rsid w:val="2C78619D"/>
    <w:rsid w:val="2CB65D01"/>
    <w:rsid w:val="2CED26E7"/>
    <w:rsid w:val="2CFC2BFE"/>
    <w:rsid w:val="2E1415D6"/>
    <w:rsid w:val="2E4D6FF7"/>
    <w:rsid w:val="2E7B1F74"/>
    <w:rsid w:val="2E9F2106"/>
    <w:rsid w:val="2F882B9B"/>
    <w:rsid w:val="2FA057DA"/>
    <w:rsid w:val="2FAA40AC"/>
    <w:rsid w:val="2FB562DA"/>
    <w:rsid w:val="2FF24A22"/>
    <w:rsid w:val="2FFA0B39"/>
    <w:rsid w:val="2FFD0E93"/>
    <w:rsid w:val="30174E58"/>
    <w:rsid w:val="306E5A5C"/>
    <w:rsid w:val="30F32296"/>
    <w:rsid w:val="314D028A"/>
    <w:rsid w:val="31927D00"/>
    <w:rsid w:val="321220BF"/>
    <w:rsid w:val="32340DB8"/>
    <w:rsid w:val="32C95F7D"/>
    <w:rsid w:val="33155659"/>
    <w:rsid w:val="33171483"/>
    <w:rsid w:val="333A41AC"/>
    <w:rsid w:val="3352118A"/>
    <w:rsid w:val="338D3BB2"/>
    <w:rsid w:val="33C9525A"/>
    <w:rsid w:val="33E71452"/>
    <w:rsid w:val="34705484"/>
    <w:rsid w:val="3482405C"/>
    <w:rsid w:val="34AE2B9F"/>
    <w:rsid w:val="34E645EB"/>
    <w:rsid w:val="35145B72"/>
    <w:rsid w:val="355530AA"/>
    <w:rsid w:val="359A6C78"/>
    <w:rsid w:val="35A11836"/>
    <w:rsid w:val="35FC5E78"/>
    <w:rsid w:val="362B7D80"/>
    <w:rsid w:val="36405F7D"/>
    <w:rsid w:val="364631D7"/>
    <w:rsid w:val="368928C2"/>
    <w:rsid w:val="36EC3EEB"/>
    <w:rsid w:val="371D2C7C"/>
    <w:rsid w:val="37850378"/>
    <w:rsid w:val="37B07132"/>
    <w:rsid w:val="37D83F93"/>
    <w:rsid w:val="38165564"/>
    <w:rsid w:val="38657F1D"/>
    <w:rsid w:val="38AE3672"/>
    <w:rsid w:val="38CB784F"/>
    <w:rsid w:val="38F00B77"/>
    <w:rsid w:val="395064D7"/>
    <w:rsid w:val="3ADB2718"/>
    <w:rsid w:val="3B027CA5"/>
    <w:rsid w:val="3B1F29B6"/>
    <w:rsid w:val="3B6C511E"/>
    <w:rsid w:val="3BB014AF"/>
    <w:rsid w:val="3C7E335B"/>
    <w:rsid w:val="3CBC13D6"/>
    <w:rsid w:val="3CCB0C01"/>
    <w:rsid w:val="3CE67488"/>
    <w:rsid w:val="3D671B6F"/>
    <w:rsid w:val="3DAB60B8"/>
    <w:rsid w:val="3DD62C43"/>
    <w:rsid w:val="3DE43056"/>
    <w:rsid w:val="3DE87A75"/>
    <w:rsid w:val="3E317B0A"/>
    <w:rsid w:val="3E524A9F"/>
    <w:rsid w:val="3E7E5396"/>
    <w:rsid w:val="3EBC0434"/>
    <w:rsid w:val="3F22611D"/>
    <w:rsid w:val="3F4934CD"/>
    <w:rsid w:val="3F5B255F"/>
    <w:rsid w:val="3FF83CE6"/>
    <w:rsid w:val="40B030CD"/>
    <w:rsid w:val="40DC5A18"/>
    <w:rsid w:val="41406E31"/>
    <w:rsid w:val="41742F7F"/>
    <w:rsid w:val="41767F8A"/>
    <w:rsid w:val="41A05590"/>
    <w:rsid w:val="41FB36A0"/>
    <w:rsid w:val="4242307D"/>
    <w:rsid w:val="42ED361D"/>
    <w:rsid w:val="43B50E83"/>
    <w:rsid w:val="43E315D1"/>
    <w:rsid w:val="440A2AAE"/>
    <w:rsid w:val="44110F59"/>
    <w:rsid w:val="44137BF5"/>
    <w:rsid w:val="442962A2"/>
    <w:rsid w:val="44337121"/>
    <w:rsid w:val="44703F84"/>
    <w:rsid w:val="45483A10"/>
    <w:rsid w:val="46421E66"/>
    <w:rsid w:val="46865662"/>
    <w:rsid w:val="472B77C3"/>
    <w:rsid w:val="474E0314"/>
    <w:rsid w:val="47574ED5"/>
    <w:rsid w:val="475F022D"/>
    <w:rsid w:val="47B448F0"/>
    <w:rsid w:val="47EE25B8"/>
    <w:rsid w:val="481E1E96"/>
    <w:rsid w:val="48DC4216"/>
    <w:rsid w:val="490D72F8"/>
    <w:rsid w:val="494E2307"/>
    <w:rsid w:val="49641B2B"/>
    <w:rsid w:val="496A5A4B"/>
    <w:rsid w:val="498E4E99"/>
    <w:rsid w:val="49A11F60"/>
    <w:rsid w:val="49BD6D9E"/>
    <w:rsid w:val="49DB7A8B"/>
    <w:rsid w:val="4A264C7E"/>
    <w:rsid w:val="4A6A4F1F"/>
    <w:rsid w:val="4B8D1D61"/>
    <w:rsid w:val="4BC8467F"/>
    <w:rsid w:val="4BF421C1"/>
    <w:rsid w:val="4CAA5AA7"/>
    <w:rsid w:val="4CAD5597"/>
    <w:rsid w:val="4CFE53E3"/>
    <w:rsid w:val="4D60282D"/>
    <w:rsid w:val="4DAC2EF1"/>
    <w:rsid w:val="4F0A4599"/>
    <w:rsid w:val="4F532425"/>
    <w:rsid w:val="4F9662AF"/>
    <w:rsid w:val="4F9D1D84"/>
    <w:rsid w:val="4FBE01E7"/>
    <w:rsid w:val="4FC275AB"/>
    <w:rsid w:val="4FE63648"/>
    <w:rsid w:val="5015335A"/>
    <w:rsid w:val="5165679A"/>
    <w:rsid w:val="51DA532E"/>
    <w:rsid w:val="51F960F8"/>
    <w:rsid w:val="51FC3B59"/>
    <w:rsid w:val="524644C3"/>
    <w:rsid w:val="52727066"/>
    <w:rsid w:val="52946FDD"/>
    <w:rsid w:val="52B36040"/>
    <w:rsid w:val="52C957D5"/>
    <w:rsid w:val="535A6478"/>
    <w:rsid w:val="539E0CF4"/>
    <w:rsid w:val="541E18DB"/>
    <w:rsid w:val="54B43966"/>
    <w:rsid w:val="54C17E31"/>
    <w:rsid w:val="54F06565"/>
    <w:rsid w:val="54FE5C21"/>
    <w:rsid w:val="553E2F3E"/>
    <w:rsid w:val="56281660"/>
    <w:rsid w:val="56813D1C"/>
    <w:rsid w:val="56867584"/>
    <w:rsid w:val="56B37004"/>
    <w:rsid w:val="56BA5480"/>
    <w:rsid w:val="578F06BB"/>
    <w:rsid w:val="57CF0AB7"/>
    <w:rsid w:val="58637281"/>
    <w:rsid w:val="58B06B3A"/>
    <w:rsid w:val="58CD3249"/>
    <w:rsid w:val="5934151A"/>
    <w:rsid w:val="59441031"/>
    <w:rsid w:val="59633BAD"/>
    <w:rsid w:val="5991071A"/>
    <w:rsid w:val="59957B00"/>
    <w:rsid w:val="59E335E6"/>
    <w:rsid w:val="59FB128F"/>
    <w:rsid w:val="5A8E4C59"/>
    <w:rsid w:val="5B01542B"/>
    <w:rsid w:val="5BB72341"/>
    <w:rsid w:val="5BE12FA3"/>
    <w:rsid w:val="5BF04500"/>
    <w:rsid w:val="5C043425"/>
    <w:rsid w:val="5C08347F"/>
    <w:rsid w:val="5C205D85"/>
    <w:rsid w:val="5C330F82"/>
    <w:rsid w:val="5C376EBF"/>
    <w:rsid w:val="5C425CFC"/>
    <w:rsid w:val="5C4D6613"/>
    <w:rsid w:val="5CB07453"/>
    <w:rsid w:val="5CC6692D"/>
    <w:rsid w:val="5D8866EC"/>
    <w:rsid w:val="5E451AD3"/>
    <w:rsid w:val="5E586465"/>
    <w:rsid w:val="5EBF421E"/>
    <w:rsid w:val="5F8E329E"/>
    <w:rsid w:val="5FD50C35"/>
    <w:rsid w:val="5FED3BFE"/>
    <w:rsid w:val="60635F5E"/>
    <w:rsid w:val="614C4F26"/>
    <w:rsid w:val="61CB6941"/>
    <w:rsid w:val="62103631"/>
    <w:rsid w:val="626C104E"/>
    <w:rsid w:val="629152E7"/>
    <w:rsid w:val="62B13874"/>
    <w:rsid w:val="62CA6D41"/>
    <w:rsid w:val="62E33669"/>
    <w:rsid w:val="63343EC4"/>
    <w:rsid w:val="635E15FA"/>
    <w:rsid w:val="63672753"/>
    <w:rsid w:val="63791AC3"/>
    <w:rsid w:val="64E828F6"/>
    <w:rsid w:val="655D74FA"/>
    <w:rsid w:val="65E62E7A"/>
    <w:rsid w:val="661C580F"/>
    <w:rsid w:val="66212E26"/>
    <w:rsid w:val="66276B36"/>
    <w:rsid w:val="664D101B"/>
    <w:rsid w:val="66551CC6"/>
    <w:rsid w:val="667B46D9"/>
    <w:rsid w:val="66EC7F6C"/>
    <w:rsid w:val="674C7A2E"/>
    <w:rsid w:val="67BB5990"/>
    <w:rsid w:val="67E759FE"/>
    <w:rsid w:val="67F307F2"/>
    <w:rsid w:val="68095396"/>
    <w:rsid w:val="68264723"/>
    <w:rsid w:val="68CE4375"/>
    <w:rsid w:val="68D0643D"/>
    <w:rsid w:val="69807E63"/>
    <w:rsid w:val="698711F2"/>
    <w:rsid w:val="69F452BC"/>
    <w:rsid w:val="6A860C13"/>
    <w:rsid w:val="6AAD178D"/>
    <w:rsid w:val="6AB73874"/>
    <w:rsid w:val="6ADA7BBA"/>
    <w:rsid w:val="6AE54422"/>
    <w:rsid w:val="6B315A3D"/>
    <w:rsid w:val="6B3D6996"/>
    <w:rsid w:val="6B4849B1"/>
    <w:rsid w:val="6B855C05"/>
    <w:rsid w:val="6BC248E3"/>
    <w:rsid w:val="6BEE2337"/>
    <w:rsid w:val="6C9368FF"/>
    <w:rsid w:val="6CC649E7"/>
    <w:rsid w:val="6CFF5543"/>
    <w:rsid w:val="6D880556"/>
    <w:rsid w:val="6D903FDF"/>
    <w:rsid w:val="6DDA5CDD"/>
    <w:rsid w:val="6DDB103E"/>
    <w:rsid w:val="6E9F559F"/>
    <w:rsid w:val="6EC951C0"/>
    <w:rsid w:val="6F196D90"/>
    <w:rsid w:val="6F5F71DE"/>
    <w:rsid w:val="6FC4095F"/>
    <w:rsid w:val="70586ED8"/>
    <w:rsid w:val="7087340C"/>
    <w:rsid w:val="70C1148D"/>
    <w:rsid w:val="7116346D"/>
    <w:rsid w:val="711F4406"/>
    <w:rsid w:val="719577D3"/>
    <w:rsid w:val="71EF453A"/>
    <w:rsid w:val="72897D89"/>
    <w:rsid w:val="735B4424"/>
    <w:rsid w:val="73A56E44"/>
    <w:rsid w:val="73A66718"/>
    <w:rsid w:val="73DA2785"/>
    <w:rsid w:val="74370D14"/>
    <w:rsid w:val="744D3DFA"/>
    <w:rsid w:val="74B12652"/>
    <w:rsid w:val="74DD616A"/>
    <w:rsid w:val="75036546"/>
    <w:rsid w:val="751D3132"/>
    <w:rsid w:val="76930B91"/>
    <w:rsid w:val="76A10B1C"/>
    <w:rsid w:val="76BD6253"/>
    <w:rsid w:val="76EC6F5D"/>
    <w:rsid w:val="770164D0"/>
    <w:rsid w:val="77281627"/>
    <w:rsid w:val="774023AA"/>
    <w:rsid w:val="775A7F45"/>
    <w:rsid w:val="77716FA4"/>
    <w:rsid w:val="778E1F92"/>
    <w:rsid w:val="77992A0A"/>
    <w:rsid w:val="78206963"/>
    <w:rsid w:val="786372CE"/>
    <w:rsid w:val="78AE0F69"/>
    <w:rsid w:val="78C80EDF"/>
    <w:rsid w:val="790243F1"/>
    <w:rsid w:val="790D22C6"/>
    <w:rsid w:val="795006A8"/>
    <w:rsid w:val="79C81004"/>
    <w:rsid w:val="79C93E35"/>
    <w:rsid w:val="79EF6B22"/>
    <w:rsid w:val="7A1F45B1"/>
    <w:rsid w:val="7AF406B1"/>
    <w:rsid w:val="7C4B60AF"/>
    <w:rsid w:val="7C81735D"/>
    <w:rsid w:val="7CFE5817"/>
    <w:rsid w:val="7D0F532E"/>
    <w:rsid w:val="7D1B4125"/>
    <w:rsid w:val="7D362A5B"/>
    <w:rsid w:val="7D592F5B"/>
    <w:rsid w:val="7D630A43"/>
    <w:rsid w:val="7D6457E7"/>
    <w:rsid w:val="7E186464"/>
    <w:rsid w:val="7E5F744D"/>
    <w:rsid w:val="7F635305"/>
    <w:rsid w:val="7F654C19"/>
    <w:rsid w:val="7FA3174E"/>
    <w:rsid w:val="7FFD0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2"/>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50"/>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6"/>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52"/>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4"/>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4"/>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5"/>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6"/>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7"/>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120"/>
    <w:autoRedefine/>
    <w:qFormat/>
    <w:uiPriority w:val="99"/>
    <w:pPr>
      <w:autoSpaceDE w:val="0"/>
      <w:autoSpaceDN w:val="0"/>
      <w:adjustRightInd w:val="0"/>
      <w:ind w:right="-26"/>
      <w:jc w:val="center"/>
    </w:pPr>
    <w:rPr>
      <w:rFonts w:ascii="宋体" w:eastAsia="宋体"/>
      <w:b/>
      <w:bCs/>
      <w:sz w:val="84"/>
      <w:szCs w:val="84"/>
      <w:lang w:val="zh-CN"/>
    </w:rPr>
  </w:style>
  <w:style w:type="paragraph" w:customStyle="1" w:styleId="9">
    <w:name w:val="模板正文"/>
    <w:basedOn w:val="1"/>
    <w:link w:val="96"/>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5"/>
    <w:autoRedefine/>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8"/>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65"/>
    <w:autoRedefine/>
    <w:unhideWhenUsed/>
    <w:qFormat/>
    <w:uiPriority w:val="99"/>
    <w:pPr>
      <w:jc w:val="left"/>
    </w:pPr>
  </w:style>
  <w:style w:type="paragraph" w:styleId="18">
    <w:name w:val="Body Text 3"/>
    <w:basedOn w:val="1"/>
    <w:link w:val="158"/>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Indent"/>
    <w:basedOn w:val="1"/>
    <w:next w:val="2"/>
    <w:link w:val="94"/>
    <w:autoRedefine/>
    <w:qFormat/>
    <w:uiPriority w:val="0"/>
    <w:pPr>
      <w:ind w:left="567" w:leftChars="270"/>
    </w:pPr>
    <w:rPr>
      <w:rFonts w:ascii="Times New Roman" w:hAnsi="Times New Roman" w:eastAsia="宋体" w:cs="Times New Roman"/>
      <w:szCs w:val="20"/>
    </w:rPr>
  </w:style>
  <w:style w:type="paragraph" w:styleId="20">
    <w:name w:val="toc 3"/>
    <w:basedOn w:val="1"/>
    <w:next w:val="1"/>
    <w:autoRedefine/>
    <w:unhideWhenUsed/>
    <w:qFormat/>
    <w:uiPriority w:val="39"/>
    <w:pPr>
      <w:tabs>
        <w:tab w:val="right" w:leader="dot" w:pos="10144"/>
      </w:tabs>
      <w:ind w:left="840" w:leftChars="400"/>
    </w:pPr>
  </w:style>
  <w:style w:type="paragraph" w:styleId="21">
    <w:name w:val="Plain Text"/>
    <w:basedOn w:val="1"/>
    <w:link w:val="102"/>
    <w:autoRedefine/>
    <w:qFormat/>
    <w:uiPriority w:val="0"/>
    <w:rPr>
      <w:rFonts w:ascii="宋体" w:hAnsi="Courier New" w:eastAsia="宋体"/>
    </w:rPr>
  </w:style>
  <w:style w:type="paragraph" w:styleId="22">
    <w:name w:val="Date"/>
    <w:basedOn w:val="1"/>
    <w:next w:val="1"/>
    <w:link w:val="110"/>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03"/>
    <w:autoRedefine/>
    <w:qFormat/>
    <w:uiPriority w:val="0"/>
    <w:pPr>
      <w:tabs>
        <w:tab w:val="left" w:pos="8640"/>
      </w:tabs>
      <w:ind w:left="1260"/>
    </w:pPr>
    <w:rPr>
      <w:rFonts w:ascii="宋体" w:hAnsi="Times New Roman" w:eastAsia="宋体" w:cs="Times New Roman"/>
      <w:szCs w:val="20"/>
    </w:rPr>
  </w:style>
  <w:style w:type="paragraph" w:styleId="24">
    <w:name w:val="Balloon Text"/>
    <w:basedOn w:val="1"/>
    <w:link w:val="76"/>
    <w:autoRedefine/>
    <w:qFormat/>
    <w:uiPriority w:val="0"/>
    <w:rPr>
      <w:rFonts w:ascii="Times New Roman" w:hAnsi="Times New Roman" w:eastAsia="宋体" w:cs="Times New Roman"/>
      <w:sz w:val="18"/>
      <w:szCs w:val="18"/>
    </w:rPr>
  </w:style>
  <w:style w:type="paragraph" w:styleId="25">
    <w:name w:val="footer"/>
    <w:basedOn w:val="1"/>
    <w:link w:val="80"/>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22"/>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autoRedefine/>
    <w:unhideWhenUsed/>
    <w:qFormat/>
    <w:uiPriority w:val="39"/>
  </w:style>
  <w:style w:type="paragraph" w:styleId="28">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6"/>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toc 2"/>
    <w:basedOn w:val="1"/>
    <w:next w:val="1"/>
    <w:autoRedefine/>
    <w:semiHidden/>
    <w:unhideWhenUsed/>
    <w:qFormat/>
    <w:uiPriority w:val="39"/>
    <w:pPr>
      <w:ind w:left="420" w:leftChars="200"/>
    </w:pPr>
  </w:style>
  <w:style w:type="paragraph" w:styleId="31">
    <w:name w:val="Body Text 2"/>
    <w:basedOn w:val="1"/>
    <w:link w:val="145"/>
    <w:autoRedefine/>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8"/>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5"/>
    <w:autoRedefine/>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60"/>
    <w:autoRedefine/>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7"/>
    <w:next w:val="17"/>
    <w:link w:val="112"/>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w:basedOn w:val="2"/>
    <w:link w:val="203"/>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37">
    <w:name w:val="Body Text First Indent 2"/>
    <w:basedOn w:val="19"/>
    <w:next w:val="13"/>
    <w:autoRedefine/>
    <w:qFormat/>
    <w:uiPriority w:val="0"/>
    <w:pPr>
      <w:ind w:firstLine="420" w:firstLineChars="200"/>
    </w:pPr>
    <w:rPr>
      <w:szCs w:val="24"/>
    </w:rPr>
  </w:style>
  <w:style w:type="table" w:styleId="39">
    <w:name w:val="Table Grid"/>
    <w:basedOn w:val="38"/>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autoRedefine/>
    <w:qFormat/>
    <w:uiPriority w:val="0"/>
    <w:rPr>
      <w:b/>
      <w:bCs/>
    </w:rPr>
  </w:style>
  <w:style w:type="character" w:styleId="42">
    <w:name w:val="FollowedHyperlink"/>
    <w:autoRedefine/>
    <w:unhideWhenUsed/>
    <w:qFormat/>
    <w:uiPriority w:val="99"/>
    <w:rPr>
      <w:color w:val="954F72"/>
      <w:u w:val="single"/>
    </w:rPr>
  </w:style>
  <w:style w:type="character" w:styleId="43">
    <w:name w:val="Emphasis"/>
    <w:autoRedefine/>
    <w:qFormat/>
    <w:uiPriority w:val="0"/>
    <w:rPr>
      <w:i/>
      <w:iCs/>
    </w:rPr>
  </w:style>
  <w:style w:type="character" w:styleId="44">
    <w:name w:val="Hyperlink"/>
    <w:basedOn w:val="40"/>
    <w:autoRedefine/>
    <w:qFormat/>
    <w:uiPriority w:val="99"/>
    <w:rPr>
      <w:rFonts w:hint="default" w:ascii="Arial" w:hAnsi="Arial" w:cs="Arial"/>
      <w:color w:val="000000"/>
      <w:sz w:val="20"/>
      <w:szCs w:val="20"/>
      <w:u w:val="none"/>
    </w:rPr>
  </w:style>
  <w:style w:type="character" w:styleId="45">
    <w:name w:val="HTML Code"/>
    <w:basedOn w:val="40"/>
    <w:autoRedefine/>
    <w:semiHidden/>
    <w:unhideWhenUsed/>
    <w:qFormat/>
    <w:uiPriority w:val="99"/>
    <w:rPr>
      <w:rFonts w:ascii="Courier New" w:hAnsi="Courier New"/>
      <w:sz w:val="20"/>
    </w:rPr>
  </w:style>
  <w:style w:type="character" w:styleId="46">
    <w:name w:val="annotation reference"/>
    <w:basedOn w:val="40"/>
    <w:autoRedefine/>
    <w:qFormat/>
    <w:uiPriority w:val="99"/>
    <w:rPr>
      <w:sz w:val="21"/>
      <w:szCs w:val="21"/>
    </w:rPr>
  </w:style>
  <w:style w:type="paragraph" w:customStyle="1" w:styleId="47">
    <w:name w:val="样式 宋体 行距: 1.5 倍行距"/>
    <w:basedOn w:val="1"/>
    <w:autoRedefine/>
    <w:qFormat/>
    <w:uiPriority w:val="0"/>
    <w:pPr>
      <w:jc w:val="center"/>
    </w:pPr>
    <w:rPr>
      <w:rFonts w:ascii="Times New Roman"/>
      <w:b/>
    </w:rPr>
  </w:style>
  <w:style w:type="paragraph" w:customStyle="1" w:styleId="48">
    <w:name w:val="首行缩进"/>
    <w:basedOn w:val="1"/>
    <w:autoRedefine/>
    <w:qFormat/>
    <w:uiPriority w:val="0"/>
    <w:pPr>
      <w:ind w:firstLine="480" w:firstLineChars="200"/>
    </w:pPr>
    <w:rPr>
      <w:lang w:val="zh-CN"/>
    </w:rPr>
  </w:style>
  <w:style w:type="character" w:customStyle="1" w:styleId="49">
    <w:name w:val="标题 1 字符"/>
    <w:basedOn w:val="40"/>
    <w:autoRedefine/>
    <w:qFormat/>
    <w:uiPriority w:val="0"/>
    <w:rPr>
      <w:b/>
      <w:bCs/>
      <w:kern w:val="44"/>
      <w:sz w:val="44"/>
      <w:szCs w:val="44"/>
    </w:rPr>
  </w:style>
  <w:style w:type="character" w:customStyle="1" w:styleId="50">
    <w:name w:val="标题 2 Char"/>
    <w:basedOn w:val="40"/>
    <w:link w:val="4"/>
    <w:autoRedefine/>
    <w:qFormat/>
    <w:uiPriority w:val="0"/>
    <w:rPr>
      <w:rFonts w:ascii="宋体" w:hAnsi="Calibri" w:eastAsia="宋体" w:cs="Times New Roman"/>
      <w:kern w:val="0"/>
      <w:sz w:val="24"/>
      <w:szCs w:val="24"/>
    </w:rPr>
  </w:style>
  <w:style w:type="character" w:customStyle="1" w:styleId="51">
    <w:name w:val="标题 3 字符"/>
    <w:basedOn w:val="40"/>
    <w:autoRedefine/>
    <w:qFormat/>
    <w:uiPriority w:val="0"/>
    <w:rPr>
      <w:b/>
      <w:bCs/>
      <w:sz w:val="32"/>
      <w:szCs w:val="32"/>
    </w:rPr>
  </w:style>
  <w:style w:type="character" w:customStyle="1" w:styleId="52">
    <w:name w:val="标题 4 Char1"/>
    <w:basedOn w:val="40"/>
    <w:link w:val="6"/>
    <w:autoRedefine/>
    <w:qFormat/>
    <w:uiPriority w:val="9"/>
    <w:rPr>
      <w:rFonts w:ascii="Arial" w:hAnsi="Arial" w:eastAsia="黑体" w:cs="Times New Roman"/>
      <w:b/>
      <w:bCs/>
      <w:kern w:val="0"/>
      <w:sz w:val="28"/>
      <w:szCs w:val="28"/>
    </w:rPr>
  </w:style>
  <w:style w:type="character" w:customStyle="1" w:styleId="53">
    <w:name w:val="标题 5 字符"/>
    <w:basedOn w:val="40"/>
    <w:autoRedefine/>
    <w:qFormat/>
    <w:uiPriority w:val="9"/>
    <w:rPr>
      <w:b/>
      <w:bCs/>
      <w:sz w:val="28"/>
      <w:szCs w:val="28"/>
    </w:rPr>
  </w:style>
  <w:style w:type="character" w:customStyle="1" w:styleId="54">
    <w:name w:val="标题 6 字符"/>
    <w:basedOn w:val="40"/>
    <w:autoRedefine/>
    <w:qFormat/>
    <w:uiPriority w:val="0"/>
    <w:rPr>
      <w:rFonts w:asciiTheme="majorHAnsi" w:hAnsiTheme="majorHAnsi" w:eastAsiaTheme="majorEastAsia" w:cstheme="majorBidi"/>
      <w:b/>
      <w:bCs/>
      <w:sz w:val="24"/>
      <w:szCs w:val="24"/>
    </w:rPr>
  </w:style>
  <w:style w:type="character" w:customStyle="1" w:styleId="55">
    <w:name w:val="标题 7 Char"/>
    <w:basedOn w:val="40"/>
    <w:link w:val="10"/>
    <w:autoRedefine/>
    <w:qFormat/>
    <w:uiPriority w:val="9"/>
    <w:rPr>
      <w:rFonts w:ascii="Times New Roman" w:hAnsi="Calibri" w:eastAsia="黑体" w:cs="Times New Roman"/>
      <w:b/>
      <w:bCs/>
      <w:kern w:val="0"/>
      <w:sz w:val="28"/>
      <w:szCs w:val="24"/>
    </w:rPr>
  </w:style>
  <w:style w:type="character" w:customStyle="1" w:styleId="56">
    <w:name w:val="标题 8 Char"/>
    <w:basedOn w:val="40"/>
    <w:link w:val="11"/>
    <w:autoRedefine/>
    <w:qFormat/>
    <w:uiPriority w:val="9"/>
    <w:rPr>
      <w:rFonts w:ascii="Times New Roman" w:hAnsi="Calibri" w:eastAsia="黑体" w:cs="Times New Roman"/>
      <w:b/>
      <w:kern w:val="0"/>
      <w:sz w:val="28"/>
      <w:szCs w:val="24"/>
    </w:rPr>
  </w:style>
  <w:style w:type="character" w:customStyle="1" w:styleId="57">
    <w:name w:val="标题 9 Char"/>
    <w:basedOn w:val="40"/>
    <w:link w:val="12"/>
    <w:autoRedefine/>
    <w:qFormat/>
    <w:uiPriority w:val="9"/>
    <w:rPr>
      <w:rFonts w:ascii="Times New Roman" w:hAnsi="Calibri" w:eastAsia="黑体" w:cs="Times New Roman"/>
      <w:b/>
      <w:kern w:val="0"/>
      <w:sz w:val="28"/>
      <w:szCs w:val="24"/>
    </w:rPr>
  </w:style>
  <w:style w:type="character" w:customStyle="1" w:styleId="58">
    <w:name w:val="正文文本缩进 字符"/>
    <w:autoRedefine/>
    <w:qFormat/>
    <w:uiPriority w:val="0"/>
    <w:rPr>
      <w:rFonts w:ascii="Times New Roman" w:hAnsi="Times New Roman" w:eastAsia="宋体" w:cs="Times New Roman"/>
      <w:szCs w:val="20"/>
    </w:rPr>
  </w:style>
  <w:style w:type="character" w:customStyle="1" w:styleId="59">
    <w:name w:val="普通(网站) Char"/>
    <w:autoRedefine/>
    <w:qFormat/>
    <w:locked/>
    <w:uiPriority w:val="0"/>
    <w:rPr>
      <w:rFonts w:ascii="宋体" w:hAnsi="宋体"/>
      <w:sz w:val="15"/>
      <w:szCs w:val="15"/>
    </w:rPr>
  </w:style>
  <w:style w:type="character" w:customStyle="1" w:styleId="60">
    <w:name w:val="标题 Char"/>
    <w:link w:val="34"/>
    <w:autoRedefine/>
    <w:qFormat/>
    <w:uiPriority w:val="10"/>
    <w:rPr>
      <w:rFonts w:ascii="等线 Light" w:hAnsi="等线 Light" w:eastAsia="仿宋"/>
      <w:b/>
      <w:bCs/>
      <w:sz w:val="28"/>
      <w:szCs w:val="32"/>
    </w:rPr>
  </w:style>
  <w:style w:type="character" w:customStyle="1" w:styleId="61">
    <w:name w:val="日期 Char"/>
    <w:autoRedefine/>
    <w:semiHidden/>
    <w:qFormat/>
    <w:uiPriority w:val="99"/>
    <w:rPr>
      <w:kern w:val="2"/>
      <w:sz w:val="21"/>
    </w:rPr>
  </w:style>
  <w:style w:type="character" w:customStyle="1" w:styleId="62">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3">
    <w:name w:val="批注文字 Char"/>
    <w:autoRedefine/>
    <w:semiHidden/>
    <w:qFormat/>
    <w:uiPriority w:val="99"/>
    <w:rPr>
      <w:kern w:val="2"/>
      <w:sz w:val="21"/>
    </w:rPr>
  </w:style>
  <w:style w:type="character" w:customStyle="1" w:styleId="64">
    <w:name w:val="正文缩进2格 Char"/>
    <w:link w:val="65"/>
    <w:autoRedefine/>
    <w:qFormat/>
    <w:uiPriority w:val="0"/>
    <w:rPr>
      <w:rFonts w:ascii="仿宋_GB2312" w:hAnsi="宋体" w:eastAsia="仿宋_GB2312"/>
      <w:sz w:val="31"/>
      <w:szCs w:val="28"/>
    </w:rPr>
  </w:style>
  <w:style w:type="paragraph" w:customStyle="1" w:styleId="65">
    <w:name w:val="正文缩进2格"/>
    <w:basedOn w:val="1"/>
    <w:link w:val="64"/>
    <w:autoRedefine/>
    <w:qFormat/>
    <w:uiPriority w:val="0"/>
    <w:pPr>
      <w:spacing w:line="600" w:lineRule="exact"/>
      <w:ind w:firstLine="639" w:firstLineChars="206"/>
    </w:pPr>
    <w:rPr>
      <w:rFonts w:ascii="仿宋_GB2312" w:hAnsi="宋体" w:eastAsia="仿宋_GB2312"/>
      <w:sz w:val="31"/>
      <w:szCs w:val="28"/>
    </w:rPr>
  </w:style>
  <w:style w:type="character" w:customStyle="1" w:styleId="66">
    <w:name w:val="批注文字 字符"/>
    <w:autoRedefine/>
    <w:semiHidden/>
    <w:qFormat/>
    <w:uiPriority w:val="99"/>
    <w:rPr>
      <w:rFonts w:ascii="Times New Roman" w:hAnsi="Times New Roman"/>
      <w:kern w:val="2"/>
      <w:sz w:val="24"/>
      <w:szCs w:val="24"/>
    </w:rPr>
  </w:style>
  <w:style w:type="character" w:customStyle="1" w:styleId="67">
    <w:name w:val="正文文本缩进 Char"/>
    <w:autoRedefine/>
    <w:qFormat/>
    <w:uiPriority w:val="0"/>
    <w:rPr>
      <w:rFonts w:ascii="Times New Roman" w:hAnsi="Times New Roman" w:eastAsia="宋体" w:cs="Times New Roman"/>
      <w:szCs w:val="20"/>
      <w:lang w:val="en-US" w:eastAsia="zh-CN"/>
    </w:rPr>
  </w:style>
  <w:style w:type="character" w:customStyle="1" w:styleId="68">
    <w:name w:val="批注框文本 字符1"/>
    <w:autoRedefine/>
    <w:semiHidden/>
    <w:qFormat/>
    <w:uiPriority w:val="99"/>
    <w:rPr>
      <w:rFonts w:ascii="宋体" w:hAnsi="Calibri" w:eastAsia="宋体" w:cs="Times New Roman"/>
      <w:kern w:val="0"/>
      <w:sz w:val="18"/>
      <w:szCs w:val="18"/>
    </w:rPr>
  </w:style>
  <w:style w:type="character" w:customStyle="1" w:styleId="69">
    <w:name w:val="List Paragraph Char"/>
    <w:link w:val="70"/>
    <w:autoRedefine/>
    <w:qFormat/>
    <w:uiPriority w:val="34"/>
    <w:rPr>
      <w:rFonts w:ascii="Calibri" w:hAnsi="Calibri"/>
    </w:rPr>
  </w:style>
  <w:style w:type="paragraph" w:customStyle="1" w:styleId="70">
    <w:name w:val="列出段落1"/>
    <w:basedOn w:val="1"/>
    <w:link w:val="69"/>
    <w:autoRedefine/>
    <w:qFormat/>
    <w:uiPriority w:val="34"/>
    <w:pPr>
      <w:ind w:firstLine="420" w:firstLineChars="200"/>
    </w:pPr>
    <w:rPr>
      <w:rFonts w:ascii="Calibri" w:hAnsi="Calibri"/>
    </w:rPr>
  </w:style>
  <w:style w:type="character" w:customStyle="1" w:styleId="71">
    <w:name w:val="标书正文 字符"/>
    <w:link w:val="72"/>
    <w:autoRedefine/>
    <w:qFormat/>
    <w:uiPriority w:val="0"/>
    <w:rPr>
      <w:rFonts w:ascii="Calibri" w:hAnsi="Calibri" w:eastAsia="仿宋"/>
      <w:sz w:val="24"/>
      <w:szCs w:val="21"/>
    </w:rPr>
  </w:style>
  <w:style w:type="paragraph" w:customStyle="1" w:styleId="72">
    <w:name w:val="标书正文"/>
    <w:basedOn w:val="1"/>
    <w:link w:val="71"/>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3">
    <w:name w:val="正文文本 字符"/>
    <w:autoRedefine/>
    <w:semiHidden/>
    <w:qFormat/>
    <w:uiPriority w:val="99"/>
    <w:rPr>
      <w:rFonts w:ascii="Times New Roman" w:hAnsi="Times New Roman"/>
      <w:kern w:val="2"/>
      <w:sz w:val="24"/>
      <w:szCs w:val="24"/>
    </w:rPr>
  </w:style>
  <w:style w:type="character" w:customStyle="1" w:styleId="74">
    <w:name w:val="页脚 Char"/>
    <w:autoRedefine/>
    <w:qFormat/>
    <w:uiPriority w:val="0"/>
    <w:rPr>
      <w:kern w:val="2"/>
      <w:sz w:val="18"/>
      <w:szCs w:val="18"/>
    </w:rPr>
  </w:style>
  <w:style w:type="character" w:customStyle="1" w:styleId="75">
    <w:name w:val="neir1"/>
    <w:autoRedefine/>
    <w:qFormat/>
    <w:uiPriority w:val="0"/>
    <w:rPr>
      <w:rFonts w:hint="default" w:ascii="ˎ̥" w:hAnsi="ˎ̥"/>
      <w:color w:val="333333"/>
      <w:sz w:val="21"/>
      <w:szCs w:val="21"/>
      <w:u w:val="none"/>
    </w:rPr>
  </w:style>
  <w:style w:type="character" w:customStyle="1" w:styleId="76">
    <w:name w:val="批注框文本 Char1"/>
    <w:link w:val="24"/>
    <w:autoRedefine/>
    <w:qFormat/>
    <w:uiPriority w:val="0"/>
    <w:rPr>
      <w:rFonts w:ascii="Times New Roman" w:hAnsi="Times New Roman" w:eastAsia="宋体" w:cs="Times New Roman"/>
      <w:sz w:val="18"/>
      <w:szCs w:val="18"/>
    </w:rPr>
  </w:style>
  <w:style w:type="character" w:customStyle="1" w:styleId="77">
    <w:name w:val="正文文本 3 字符1"/>
    <w:autoRedefine/>
    <w:semiHidden/>
    <w:qFormat/>
    <w:uiPriority w:val="99"/>
    <w:rPr>
      <w:rFonts w:ascii="宋体" w:hAnsi="Calibri" w:eastAsia="宋体" w:cs="Times New Roman"/>
      <w:kern w:val="0"/>
      <w:sz w:val="16"/>
      <w:szCs w:val="16"/>
    </w:rPr>
  </w:style>
  <w:style w:type="character" w:customStyle="1" w:styleId="78">
    <w:name w:val="正文文本 字符3"/>
    <w:autoRedefine/>
    <w:semiHidden/>
    <w:qFormat/>
    <w:uiPriority w:val="99"/>
    <w:rPr>
      <w:rFonts w:ascii="宋体" w:hAnsi="Calibri" w:eastAsia="宋体" w:cs="Times New Roman"/>
      <w:kern w:val="0"/>
      <w:sz w:val="24"/>
      <w:szCs w:val="24"/>
    </w:rPr>
  </w:style>
  <w:style w:type="character" w:customStyle="1" w:styleId="79">
    <w:name w:val="日期 字符1"/>
    <w:autoRedefine/>
    <w:semiHidden/>
    <w:qFormat/>
    <w:uiPriority w:val="99"/>
    <w:rPr>
      <w:rFonts w:ascii="宋体" w:hAnsi="Calibri" w:eastAsia="宋体" w:cs="Times New Roman"/>
      <w:kern w:val="0"/>
      <w:sz w:val="24"/>
      <w:szCs w:val="24"/>
    </w:rPr>
  </w:style>
  <w:style w:type="character" w:customStyle="1" w:styleId="80">
    <w:name w:val="页脚 Char2"/>
    <w:link w:val="25"/>
    <w:autoRedefine/>
    <w:qFormat/>
    <w:uiPriority w:val="99"/>
    <w:rPr>
      <w:rFonts w:ascii="宋体" w:eastAsia="宋体"/>
      <w:sz w:val="18"/>
      <w:szCs w:val="18"/>
    </w:rPr>
  </w:style>
  <w:style w:type="character" w:customStyle="1" w:styleId="81">
    <w:name w:val="吉奥正文 Char"/>
    <w:link w:val="82"/>
    <w:autoRedefine/>
    <w:qFormat/>
    <w:locked/>
    <w:uiPriority w:val="0"/>
    <w:rPr>
      <w:rFonts w:eastAsia="仿宋_GB2312"/>
      <w:sz w:val="28"/>
    </w:rPr>
  </w:style>
  <w:style w:type="paragraph" w:customStyle="1" w:styleId="82">
    <w:name w:val="吉奥正文"/>
    <w:basedOn w:val="1"/>
    <w:link w:val="81"/>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3">
    <w:name w:val="页脚 Char1"/>
    <w:autoRedefine/>
    <w:qFormat/>
    <w:uiPriority w:val="99"/>
    <w:rPr>
      <w:rFonts w:ascii="宋体" w:hAnsi="Times New Roman" w:eastAsia="宋体" w:cs="Times New Roman"/>
      <w:kern w:val="0"/>
      <w:sz w:val="18"/>
      <w:szCs w:val="18"/>
    </w:rPr>
  </w:style>
  <w:style w:type="character" w:customStyle="1" w:styleId="84">
    <w:name w:val="标题 字符"/>
    <w:autoRedefine/>
    <w:qFormat/>
    <w:uiPriority w:val="10"/>
    <w:rPr>
      <w:rFonts w:ascii="Cambria" w:hAnsi="Cambria" w:eastAsia="宋体" w:cs="Times New Roman"/>
      <w:b/>
      <w:bCs/>
      <w:kern w:val="0"/>
      <w:sz w:val="32"/>
      <w:szCs w:val="32"/>
      <w:lang w:val="en-US" w:eastAsia="zh-CN"/>
    </w:rPr>
  </w:style>
  <w:style w:type="character" w:customStyle="1" w:styleId="85">
    <w:name w:val="题注 Char"/>
    <w:link w:val="14"/>
    <w:autoRedefine/>
    <w:qFormat/>
    <w:uiPriority w:val="0"/>
    <w:rPr>
      <w:rFonts w:ascii="Arial" w:hAnsi="Arial" w:eastAsia="黑体" w:cs="Arial"/>
    </w:rPr>
  </w:style>
  <w:style w:type="character" w:customStyle="1" w:styleId="86">
    <w:name w:val="批注文字 字符2"/>
    <w:autoRedefine/>
    <w:qFormat/>
    <w:uiPriority w:val="99"/>
    <w:rPr>
      <w:rFonts w:ascii="宋体" w:hAnsi="Times New Roman" w:eastAsia="宋体" w:cs="Times New Roman"/>
      <w:kern w:val="0"/>
      <w:sz w:val="24"/>
      <w:szCs w:val="24"/>
    </w:rPr>
  </w:style>
  <w:style w:type="character" w:customStyle="1" w:styleId="87">
    <w:name w:val="批注主题 字符1"/>
    <w:autoRedefine/>
    <w:semiHidden/>
    <w:qFormat/>
    <w:uiPriority w:val="99"/>
    <w:rPr>
      <w:rFonts w:ascii="宋体" w:hAnsi="Calibri" w:eastAsia="宋体" w:cs="Times New Roman"/>
      <w:b/>
      <w:bCs/>
      <w:kern w:val="0"/>
      <w:sz w:val="24"/>
      <w:szCs w:val="24"/>
    </w:rPr>
  </w:style>
  <w:style w:type="character" w:customStyle="1" w:styleId="88">
    <w:name w:val="HTML 预设格式 Char"/>
    <w:link w:val="32"/>
    <w:autoRedefine/>
    <w:qFormat/>
    <w:uiPriority w:val="99"/>
    <w:rPr>
      <w:rFonts w:ascii="Arial" w:hAnsi="Arial" w:eastAsia="宋体" w:cs="Arial"/>
      <w:szCs w:val="21"/>
    </w:rPr>
  </w:style>
  <w:style w:type="character" w:customStyle="1" w:styleId="89">
    <w:name w:val="标题 3.1 Char"/>
    <w:link w:val="90"/>
    <w:autoRedefine/>
    <w:qFormat/>
    <w:uiPriority w:val="0"/>
    <w:rPr>
      <w:rFonts w:ascii="宋体" w:hAnsi="宋体"/>
      <w:b/>
      <w:bCs/>
      <w:sz w:val="32"/>
      <w:szCs w:val="32"/>
    </w:rPr>
  </w:style>
  <w:style w:type="paragraph" w:customStyle="1" w:styleId="90">
    <w:name w:val="标题 3.1"/>
    <w:basedOn w:val="5"/>
    <w:link w:val="89"/>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1">
    <w:name w:val="HTML 预设格式 Char1"/>
    <w:autoRedefine/>
    <w:semiHidden/>
    <w:qFormat/>
    <w:uiPriority w:val="99"/>
    <w:rPr>
      <w:rFonts w:ascii="Courier New" w:hAnsi="Courier New" w:eastAsia="宋体" w:cs="Courier New"/>
      <w:kern w:val="0"/>
      <w:sz w:val="20"/>
      <w:szCs w:val="20"/>
    </w:rPr>
  </w:style>
  <w:style w:type="character" w:customStyle="1" w:styleId="92">
    <w:name w:val="批注文字 字符1"/>
    <w:autoRedefine/>
    <w:qFormat/>
    <w:uiPriority w:val="0"/>
    <w:rPr>
      <w:rFonts w:eastAsia="宋体"/>
      <w:kern w:val="2"/>
      <w:sz w:val="24"/>
      <w:szCs w:val="24"/>
      <w:lang w:val="en-US" w:eastAsia="zh-CN" w:bidi="ar-SA"/>
    </w:rPr>
  </w:style>
  <w:style w:type="character" w:customStyle="1" w:styleId="93">
    <w:name w:val="正文文本缩进 字符2"/>
    <w:autoRedefine/>
    <w:semiHidden/>
    <w:qFormat/>
    <w:uiPriority w:val="99"/>
    <w:rPr>
      <w:rFonts w:ascii="宋体" w:hAnsi="Calibri" w:eastAsia="宋体" w:cs="Times New Roman"/>
      <w:kern w:val="0"/>
      <w:sz w:val="24"/>
      <w:szCs w:val="24"/>
    </w:rPr>
  </w:style>
  <w:style w:type="character" w:customStyle="1" w:styleId="94">
    <w:name w:val="正文文本缩进 Char1"/>
    <w:link w:val="19"/>
    <w:autoRedefine/>
    <w:qFormat/>
    <w:uiPriority w:val="0"/>
    <w:rPr>
      <w:rFonts w:ascii="Times New Roman" w:hAnsi="Times New Roman" w:eastAsia="宋体" w:cs="Times New Roman"/>
      <w:szCs w:val="20"/>
    </w:rPr>
  </w:style>
  <w:style w:type="character" w:customStyle="1" w:styleId="95">
    <w:name w:val="普通(网站) Char1"/>
    <w:link w:val="33"/>
    <w:autoRedefine/>
    <w:qFormat/>
    <w:locked/>
    <w:uiPriority w:val="0"/>
    <w:rPr>
      <w:rFonts w:ascii="宋体" w:hAnsi="宋体"/>
      <w:sz w:val="15"/>
      <w:szCs w:val="15"/>
    </w:rPr>
  </w:style>
  <w:style w:type="character" w:customStyle="1" w:styleId="96">
    <w:name w:val="模板正文 Char"/>
    <w:link w:val="9"/>
    <w:autoRedefine/>
    <w:qFormat/>
    <w:uiPriority w:val="0"/>
    <w:rPr>
      <w:rFonts w:ascii="宋体" w:eastAsia="仿宋"/>
      <w:sz w:val="24"/>
      <w:szCs w:val="21"/>
    </w:rPr>
  </w:style>
  <w:style w:type="character" w:customStyle="1" w:styleId="97">
    <w:name w:val="批注主题 Char"/>
    <w:autoRedefine/>
    <w:semiHidden/>
    <w:qFormat/>
    <w:uiPriority w:val="99"/>
    <w:rPr>
      <w:b/>
      <w:bCs/>
      <w:kern w:val="2"/>
      <w:sz w:val="21"/>
    </w:rPr>
  </w:style>
  <w:style w:type="character" w:customStyle="1" w:styleId="98">
    <w:name w:val="正文文本 Char1"/>
    <w:autoRedefine/>
    <w:qFormat/>
    <w:uiPriority w:val="0"/>
    <w:rPr>
      <w:rFonts w:ascii="宋体" w:hAnsi="Times New Roman" w:eastAsia="宋体" w:cs="Times New Roman"/>
      <w:kern w:val="0"/>
      <w:sz w:val="24"/>
      <w:szCs w:val="24"/>
    </w:rPr>
  </w:style>
  <w:style w:type="character" w:customStyle="1" w:styleId="99">
    <w:name w:val="正文文本 字符1"/>
    <w:autoRedefine/>
    <w:qFormat/>
    <w:uiPriority w:val="99"/>
    <w:rPr>
      <w:rFonts w:ascii="宋体" w:eastAsia="宋体"/>
      <w:b/>
      <w:bCs/>
      <w:sz w:val="84"/>
      <w:szCs w:val="84"/>
      <w:lang w:val="zh-CN"/>
    </w:rPr>
  </w:style>
  <w:style w:type="character" w:customStyle="1" w:styleId="100">
    <w:name w:val="标题 1 Char"/>
    <w:autoRedefine/>
    <w:qFormat/>
    <w:uiPriority w:val="9"/>
    <w:rPr>
      <w:rFonts w:ascii="宋体" w:hAnsi="Times New Roman" w:eastAsia="宋体" w:cs="Times New Roman"/>
      <w:kern w:val="0"/>
      <w:sz w:val="24"/>
      <w:szCs w:val="24"/>
    </w:rPr>
  </w:style>
  <w:style w:type="character" w:customStyle="1" w:styleId="101">
    <w:name w:val="正文文本 Char2"/>
    <w:autoRedefine/>
    <w:qFormat/>
    <w:uiPriority w:val="99"/>
    <w:rPr>
      <w:rFonts w:ascii="宋体" w:eastAsia="宋体"/>
      <w:b/>
      <w:bCs/>
      <w:sz w:val="84"/>
      <w:szCs w:val="84"/>
      <w:lang w:val="zh-CN"/>
    </w:rPr>
  </w:style>
  <w:style w:type="character" w:customStyle="1" w:styleId="102">
    <w:name w:val="纯文本 Char2"/>
    <w:link w:val="21"/>
    <w:autoRedefine/>
    <w:qFormat/>
    <w:uiPriority w:val="0"/>
    <w:rPr>
      <w:rFonts w:ascii="宋体" w:hAnsi="Courier New" w:eastAsia="宋体"/>
    </w:rPr>
  </w:style>
  <w:style w:type="character" w:customStyle="1" w:styleId="103">
    <w:name w:val="正文文本缩进 2 Char"/>
    <w:link w:val="23"/>
    <w:autoRedefine/>
    <w:qFormat/>
    <w:uiPriority w:val="0"/>
    <w:rPr>
      <w:rFonts w:ascii="宋体" w:hAnsi="Times New Roman" w:eastAsia="宋体" w:cs="Times New Roman"/>
      <w:szCs w:val="20"/>
    </w:rPr>
  </w:style>
  <w:style w:type="character" w:customStyle="1" w:styleId="104">
    <w:name w:val="HTML Markup"/>
    <w:autoRedefine/>
    <w:qFormat/>
    <w:uiPriority w:val="0"/>
    <w:rPr>
      <w:vanish/>
      <w:color w:val="FF0000"/>
    </w:rPr>
  </w:style>
  <w:style w:type="character" w:customStyle="1" w:styleId="105">
    <w:name w:val="页眉 Char1"/>
    <w:autoRedefine/>
    <w:qFormat/>
    <w:uiPriority w:val="0"/>
    <w:rPr>
      <w:rFonts w:ascii="宋体" w:hAnsi="Times New Roman" w:eastAsia="宋体" w:cs="Times New Roman"/>
      <w:kern w:val="0"/>
      <w:sz w:val="18"/>
      <w:szCs w:val="18"/>
    </w:rPr>
  </w:style>
  <w:style w:type="character" w:customStyle="1" w:styleId="106">
    <w:name w:val="font11"/>
    <w:basedOn w:val="40"/>
    <w:autoRedefine/>
    <w:qFormat/>
    <w:uiPriority w:val="0"/>
    <w:rPr>
      <w:rFonts w:hint="eastAsia" w:ascii="宋体" w:hAnsi="宋体" w:eastAsia="宋体" w:cs="宋体"/>
      <w:color w:val="FF0000"/>
      <w:sz w:val="22"/>
      <w:szCs w:val="22"/>
      <w:u w:val="none"/>
    </w:rPr>
  </w:style>
  <w:style w:type="character" w:customStyle="1" w:styleId="107">
    <w:name w:val="style61"/>
    <w:autoRedefine/>
    <w:qFormat/>
    <w:uiPriority w:val="0"/>
    <w:rPr>
      <w:b/>
      <w:bCs/>
    </w:rPr>
  </w:style>
  <w:style w:type="character" w:customStyle="1" w:styleId="108">
    <w:name w:val="表头文字 Char"/>
    <w:link w:val="109"/>
    <w:autoRedefine/>
    <w:qFormat/>
    <w:uiPriority w:val="0"/>
    <w:rPr>
      <w:rFonts w:eastAsia="仿宋_GB2312"/>
      <w:b/>
      <w:sz w:val="28"/>
      <w:szCs w:val="21"/>
    </w:rPr>
  </w:style>
  <w:style w:type="paragraph" w:customStyle="1" w:styleId="109">
    <w:name w:val="表头文字"/>
    <w:basedOn w:val="1"/>
    <w:link w:val="108"/>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10">
    <w:name w:val="日期 Char1"/>
    <w:link w:val="22"/>
    <w:autoRedefine/>
    <w:qFormat/>
    <w:uiPriority w:val="99"/>
    <w:rPr>
      <w:rFonts w:ascii="宋体" w:hAnsi="Times New Roman" w:eastAsia="宋体" w:cs="Times New Roman"/>
      <w:b/>
      <w:bCs/>
      <w:szCs w:val="21"/>
      <w:lang w:val="zh-CN"/>
    </w:rPr>
  </w:style>
  <w:style w:type="character" w:customStyle="1" w:styleId="111">
    <w:name w:val="纯文本 Char1"/>
    <w:autoRedefine/>
    <w:qFormat/>
    <w:uiPriority w:val="0"/>
    <w:rPr>
      <w:rFonts w:ascii="宋体" w:hAnsi="Courier New" w:eastAsia="宋体" w:cs="Courier New"/>
      <w:kern w:val="0"/>
      <w:szCs w:val="21"/>
    </w:rPr>
  </w:style>
  <w:style w:type="character" w:customStyle="1" w:styleId="112">
    <w:name w:val="批注主题 Char1"/>
    <w:link w:val="35"/>
    <w:autoRedefine/>
    <w:qFormat/>
    <w:uiPriority w:val="99"/>
    <w:rPr>
      <w:rFonts w:ascii="宋体" w:hAnsi="Times New Roman" w:eastAsia="宋体" w:cs="Times New Roman"/>
      <w:b/>
      <w:bCs/>
      <w:kern w:val="0"/>
      <w:sz w:val="24"/>
      <w:szCs w:val="24"/>
    </w:rPr>
  </w:style>
  <w:style w:type="character" w:customStyle="1" w:styleId="113">
    <w:name w:val="纯文本 字符"/>
    <w:autoRedefine/>
    <w:qFormat/>
    <w:uiPriority w:val="99"/>
    <w:rPr>
      <w:rFonts w:ascii="宋体" w:hAnsi="Courier New" w:eastAsia="宋体" w:cs="Times New Roman"/>
      <w:szCs w:val="20"/>
      <w:lang w:val="en-US" w:eastAsia="zh-CN"/>
    </w:rPr>
  </w:style>
  <w:style w:type="character" w:customStyle="1" w:styleId="114">
    <w:name w:val="font71"/>
    <w:autoRedefine/>
    <w:qFormat/>
    <w:uiPriority w:val="0"/>
    <w:rPr>
      <w:rFonts w:hint="eastAsia" w:ascii="宋体" w:hAnsi="宋体" w:eastAsia="宋体" w:cs="宋体"/>
      <w:color w:val="FF0000"/>
      <w:sz w:val="18"/>
      <w:szCs w:val="18"/>
      <w:u w:val="none"/>
    </w:rPr>
  </w:style>
  <w:style w:type="character" w:customStyle="1" w:styleId="115">
    <w:name w:val="font21"/>
    <w:autoRedefine/>
    <w:qFormat/>
    <w:uiPriority w:val="0"/>
    <w:rPr>
      <w:rFonts w:hint="eastAsia" w:ascii="宋体" w:hAnsi="宋体" w:eastAsia="宋体" w:cs="宋体"/>
      <w:b/>
      <w:color w:val="000000"/>
      <w:sz w:val="21"/>
      <w:szCs w:val="21"/>
      <w:u w:val="none"/>
    </w:rPr>
  </w:style>
  <w:style w:type="character" w:customStyle="1" w:styleId="116">
    <w:name w:val="纯文本 字符3"/>
    <w:autoRedefine/>
    <w:semiHidden/>
    <w:qFormat/>
    <w:uiPriority w:val="99"/>
    <w:rPr>
      <w:rFonts w:ascii="等线" w:hAnsi="Courier New" w:cs="Courier New"/>
      <w:kern w:val="0"/>
      <w:sz w:val="24"/>
      <w:szCs w:val="24"/>
    </w:rPr>
  </w:style>
  <w:style w:type="character" w:customStyle="1" w:styleId="117">
    <w:name w:val="font31"/>
    <w:autoRedefine/>
    <w:qFormat/>
    <w:uiPriority w:val="0"/>
    <w:rPr>
      <w:rFonts w:hint="eastAsia" w:ascii="宋体" w:hAnsi="宋体" w:eastAsia="宋体" w:cs="宋体"/>
      <w:color w:val="000000"/>
      <w:sz w:val="18"/>
      <w:szCs w:val="18"/>
      <w:u w:val="none"/>
    </w:rPr>
  </w:style>
  <w:style w:type="character" w:customStyle="1" w:styleId="118">
    <w:name w:val="文档结构图 Char"/>
    <w:link w:val="15"/>
    <w:autoRedefine/>
    <w:semiHidden/>
    <w:qFormat/>
    <w:uiPriority w:val="99"/>
    <w:rPr>
      <w:rFonts w:ascii="宋体" w:hAnsi="Times New Roman" w:eastAsia="宋体" w:cs="Times New Roman"/>
      <w:kern w:val="0"/>
      <w:sz w:val="24"/>
      <w:szCs w:val="24"/>
      <w:shd w:val="clear" w:color="auto" w:fill="000080"/>
    </w:rPr>
  </w:style>
  <w:style w:type="character" w:customStyle="1" w:styleId="119">
    <w:name w:val="普通(网站) 字符1"/>
    <w:autoRedefine/>
    <w:qFormat/>
    <w:locked/>
    <w:uiPriority w:val="0"/>
    <w:rPr>
      <w:rFonts w:ascii="宋体" w:hAnsi="宋体"/>
      <w:sz w:val="15"/>
      <w:szCs w:val="15"/>
    </w:rPr>
  </w:style>
  <w:style w:type="character" w:customStyle="1" w:styleId="120">
    <w:name w:val="正文文本 Char3"/>
    <w:link w:val="2"/>
    <w:autoRedefine/>
    <w:qFormat/>
    <w:uiPriority w:val="99"/>
    <w:rPr>
      <w:rFonts w:ascii="宋体" w:eastAsia="宋体"/>
      <w:b/>
      <w:bCs/>
      <w:sz w:val="84"/>
      <w:szCs w:val="84"/>
      <w:lang w:val="zh-CN"/>
    </w:rPr>
  </w:style>
  <w:style w:type="character" w:customStyle="1" w:styleId="121">
    <w:name w:val="标题 5 Char"/>
    <w:autoRedefine/>
    <w:semiHidden/>
    <w:qFormat/>
    <w:uiPriority w:val="9"/>
    <w:rPr>
      <w:b/>
      <w:bCs/>
      <w:kern w:val="2"/>
      <w:sz w:val="28"/>
      <w:szCs w:val="28"/>
    </w:rPr>
  </w:style>
  <w:style w:type="character" w:customStyle="1" w:styleId="122">
    <w:name w:val="页眉 Char2"/>
    <w:link w:val="26"/>
    <w:autoRedefine/>
    <w:qFormat/>
    <w:uiPriority w:val="99"/>
    <w:rPr>
      <w:rFonts w:ascii="宋体" w:eastAsia="宋体"/>
      <w:sz w:val="18"/>
      <w:szCs w:val="18"/>
    </w:rPr>
  </w:style>
  <w:style w:type="character" w:customStyle="1" w:styleId="123">
    <w:name w:val="表格文字 Char"/>
    <w:link w:val="124"/>
    <w:autoRedefine/>
    <w:qFormat/>
    <w:uiPriority w:val="0"/>
    <w:rPr>
      <w:rFonts w:eastAsia="仿宋_GB2312"/>
      <w:sz w:val="28"/>
      <w:szCs w:val="24"/>
    </w:rPr>
  </w:style>
  <w:style w:type="paragraph" w:customStyle="1" w:styleId="124">
    <w:name w:val="表格文字"/>
    <w:basedOn w:val="1"/>
    <w:link w:val="123"/>
    <w:autoRedefine/>
    <w:qFormat/>
    <w:uiPriority w:val="0"/>
    <w:rPr>
      <w:rFonts w:eastAsia="仿宋_GB2312"/>
      <w:sz w:val="28"/>
      <w:szCs w:val="24"/>
    </w:rPr>
  </w:style>
  <w:style w:type="character" w:customStyle="1" w:styleId="125">
    <w:name w:val="标题 字符2"/>
    <w:autoRedefine/>
    <w:qFormat/>
    <w:uiPriority w:val="10"/>
    <w:rPr>
      <w:rFonts w:ascii="等线 Light" w:hAnsi="等线 Light" w:eastAsia="等线 Light" w:cs="Times New Roman"/>
      <w:b/>
      <w:bCs/>
      <w:kern w:val="0"/>
      <w:sz w:val="32"/>
      <w:szCs w:val="32"/>
    </w:rPr>
  </w:style>
  <w:style w:type="character" w:customStyle="1" w:styleId="126">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27">
    <w:name w:val="小 Char"/>
    <w:autoRedefine/>
    <w:qFormat/>
    <w:uiPriority w:val="0"/>
    <w:rPr>
      <w:rFonts w:ascii="宋体" w:hAnsi="Courier New" w:eastAsia="宋体"/>
      <w:kern w:val="2"/>
      <w:sz w:val="21"/>
      <w:lang w:val="en-US" w:eastAsia="zh-CN" w:bidi="ar-SA"/>
    </w:rPr>
  </w:style>
  <w:style w:type="character" w:customStyle="1" w:styleId="128">
    <w:name w:val="themebody1"/>
    <w:autoRedefine/>
    <w:qFormat/>
    <w:uiPriority w:val="0"/>
    <w:rPr>
      <w:color w:val="FFFFFF"/>
    </w:rPr>
  </w:style>
  <w:style w:type="character" w:customStyle="1" w:styleId="129">
    <w:name w:val="页脚 字符1"/>
    <w:autoRedefine/>
    <w:semiHidden/>
    <w:qFormat/>
    <w:uiPriority w:val="99"/>
    <w:rPr>
      <w:rFonts w:ascii="宋体" w:hAnsi="Calibri" w:eastAsia="宋体" w:cs="Times New Roman"/>
      <w:kern w:val="0"/>
      <w:sz w:val="18"/>
      <w:szCs w:val="18"/>
    </w:rPr>
  </w:style>
  <w:style w:type="character" w:customStyle="1" w:styleId="130">
    <w:name w:val="列出段落 Char"/>
    <w:link w:val="131"/>
    <w:autoRedefine/>
    <w:qFormat/>
    <w:uiPriority w:val="34"/>
    <w:rPr>
      <w:kern w:val="2"/>
      <w:sz w:val="21"/>
      <w:szCs w:val="22"/>
    </w:rPr>
  </w:style>
  <w:style w:type="paragraph" w:styleId="131">
    <w:name w:val="List Paragraph"/>
    <w:basedOn w:val="1"/>
    <w:link w:val="130"/>
    <w:autoRedefine/>
    <w:qFormat/>
    <w:uiPriority w:val="34"/>
    <w:pPr>
      <w:ind w:firstLine="420" w:firstLineChars="200"/>
    </w:pPr>
  </w:style>
  <w:style w:type="character" w:customStyle="1" w:styleId="132">
    <w:name w:val="正文文本 Char"/>
    <w:autoRedefine/>
    <w:qFormat/>
    <w:uiPriority w:val="99"/>
    <w:rPr>
      <w:rFonts w:ascii="宋体" w:eastAsia="宋体"/>
      <w:b/>
      <w:bCs/>
      <w:sz w:val="84"/>
      <w:szCs w:val="84"/>
      <w:lang w:val="zh-CN"/>
    </w:rPr>
  </w:style>
  <w:style w:type="character" w:customStyle="1" w:styleId="133">
    <w:name w:val="页眉 字符1"/>
    <w:autoRedefine/>
    <w:semiHidden/>
    <w:qFormat/>
    <w:uiPriority w:val="99"/>
    <w:rPr>
      <w:rFonts w:ascii="宋体" w:hAnsi="Calibri" w:eastAsia="宋体" w:cs="Times New Roman"/>
      <w:kern w:val="0"/>
      <w:sz w:val="18"/>
      <w:szCs w:val="18"/>
    </w:rPr>
  </w:style>
  <w:style w:type="character" w:customStyle="1" w:styleId="134">
    <w:name w:val="标题 5 Char1"/>
    <w:link w:val="7"/>
    <w:autoRedefine/>
    <w:qFormat/>
    <w:uiPriority w:val="9"/>
    <w:rPr>
      <w:rFonts w:ascii="宋体" w:hAnsi="Calibri" w:eastAsia="宋体" w:cs="Times New Roman"/>
      <w:b/>
      <w:bCs/>
      <w:kern w:val="0"/>
      <w:sz w:val="28"/>
      <w:szCs w:val="28"/>
    </w:rPr>
  </w:style>
  <w:style w:type="character" w:customStyle="1" w:styleId="135">
    <w:name w:val="keyfeatures1"/>
    <w:autoRedefine/>
    <w:qFormat/>
    <w:uiPriority w:val="0"/>
    <w:rPr>
      <w:rFonts w:hint="default" w:ascii="Arial" w:hAnsi="Arial" w:cs="Arial"/>
      <w:color w:val="003366"/>
      <w:sz w:val="17"/>
      <w:szCs w:val="17"/>
      <w:u w:val="none"/>
    </w:rPr>
  </w:style>
  <w:style w:type="character" w:customStyle="1" w:styleId="136">
    <w:name w:val="题注 字符"/>
    <w:autoRedefine/>
    <w:qFormat/>
    <w:uiPriority w:val="0"/>
    <w:rPr>
      <w:rFonts w:ascii="宋体" w:hAnsi="宋体" w:eastAsia="黑体" w:cs="Times New Roman"/>
      <w:b/>
      <w:szCs w:val="21"/>
    </w:rPr>
  </w:style>
  <w:style w:type="character" w:customStyle="1" w:styleId="137">
    <w:name w:val="标题 4 Char"/>
    <w:autoRedefine/>
    <w:qFormat/>
    <w:uiPriority w:val="0"/>
    <w:rPr>
      <w:rFonts w:ascii="宋体" w:hAnsi="宋体" w:eastAsia="宋体"/>
      <w:b/>
      <w:kern w:val="2"/>
      <w:sz w:val="21"/>
      <w:szCs w:val="24"/>
      <w:lang w:val="en-US" w:eastAsia="zh-CN" w:bidi="ar-SA"/>
    </w:rPr>
  </w:style>
  <w:style w:type="character" w:customStyle="1" w:styleId="138">
    <w:name w:val="批注文字 字符3"/>
    <w:autoRedefine/>
    <w:semiHidden/>
    <w:qFormat/>
    <w:uiPriority w:val="99"/>
    <w:rPr>
      <w:rFonts w:ascii="宋体" w:hAnsi="Calibri" w:eastAsia="宋体" w:cs="Times New Roman"/>
      <w:kern w:val="0"/>
      <w:sz w:val="24"/>
      <w:szCs w:val="24"/>
    </w:rPr>
  </w:style>
  <w:style w:type="character" w:customStyle="1" w:styleId="139">
    <w:name w:val="纯文本 字符1"/>
    <w:autoRedefine/>
    <w:qFormat/>
    <w:uiPriority w:val="0"/>
    <w:rPr>
      <w:rFonts w:ascii="宋体" w:hAnsi="Courier New" w:eastAsia="宋体"/>
      <w:kern w:val="2"/>
      <w:sz w:val="21"/>
      <w:szCs w:val="24"/>
      <w:lang w:val="en-US" w:eastAsia="zh-CN" w:bidi="ar-SA"/>
    </w:rPr>
  </w:style>
  <w:style w:type="character" w:customStyle="1" w:styleId="140">
    <w:name w:val="列出段落 Char1"/>
    <w:autoRedefine/>
    <w:qFormat/>
    <w:uiPriority w:val="34"/>
    <w:rPr>
      <w:rFonts w:ascii="宋体"/>
      <w:sz w:val="24"/>
      <w:szCs w:val="24"/>
    </w:rPr>
  </w:style>
  <w:style w:type="character" w:customStyle="1" w:styleId="141">
    <w:name w:val="彩色列表 - 着色 1 字符"/>
    <w:link w:val="142"/>
    <w:autoRedefine/>
    <w:qFormat/>
    <w:uiPriority w:val="0"/>
    <w:rPr>
      <w:rFonts w:ascii="Calibri" w:hAnsi="Calibri"/>
    </w:rPr>
  </w:style>
  <w:style w:type="paragraph" w:customStyle="1" w:styleId="142">
    <w:name w:val="彩色列表 - 着色 11"/>
    <w:basedOn w:val="1"/>
    <w:link w:val="141"/>
    <w:autoRedefine/>
    <w:qFormat/>
    <w:uiPriority w:val="0"/>
    <w:pPr>
      <w:ind w:firstLine="420" w:firstLineChars="200"/>
    </w:pPr>
    <w:rPr>
      <w:rFonts w:ascii="Calibri" w:hAnsi="Calibri"/>
    </w:rPr>
  </w:style>
  <w:style w:type="character" w:customStyle="1" w:styleId="143">
    <w:name w:val="纯文本 Char"/>
    <w:autoRedefine/>
    <w:qFormat/>
    <w:uiPriority w:val="0"/>
    <w:rPr>
      <w:rFonts w:ascii="宋体" w:hAnsi="Courier New" w:eastAsia="宋体" w:cs="Times New Roman"/>
      <w:szCs w:val="20"/>
    </w:rPr>
  </w:style>
  <w:style w:type="character" w:customStyle="1" w:styleId="144">
    <w:name w:val="标题 6 Char"/>
    <w:link w:val="8"/>
    <w:autoRedefine/>
    <w:qFormat/>
    <w:uiPriority w:val="9"/>
    <w:rPr>
      <w:rFonts w:ascii="Times New Roman" w:hAnsi="Calibri" w:eastAsia="黑体" w:cs="Times New Roman"/>
      <w:b/>
      <w:bCs/>
      <w:kern w:val="0"/>
      <w:sz w:val="28"/>
      <w:szCs w:val="24"/>
    </w:rPr>
  </w:style>
  <w:style w:type="character" w:customStyle="1" w:styleId="145">
    <w:name w:val="正文文本 2 Char"/>
    <w:link w:val="31"/>
    <w:autoRedefine/>
    <w:qFormat/>
    <w:uiPriority w:val="0"/>
    <w:rPr>
      <w:rFonts w:ascii="Arial" w:hAnsi="Arial" w:eastAsia="宋体" w:cs="Times New Roman"/>
      <w:color w:val="000000"/>
      <w:szCs w:val="24"/>
    </w:rPr>
  </w:style>
  <w:style w:type="character" w:customStyle="1" w:styleId="146">
    <w:name w:val="标题 3 Char"/>
    <w:link w:val="5"/>
    <w:autoRedefine/>
    <w:qFormat/>
    <w:uiPriority w:val="0"/>
    <w:rPr>
      <w:rFonts w:ascii="宋体" w:hAnsi="Calibri" w:eastAsia="宋体" w:cs="Times New Roman"/>
      <w:kern w:val="0"/>
      <w:sz w:val="24"/>
      <w:szCs w:val="24"/>
    </w:rPr>
  </w:style>
  <w:style w:type="character" w:customStyle="1" w:styleId="147">
    <w:name w:val="正文文本缩进 2 字符1"/>
    <w:autoRedefine/>
    <w:semiHidden/>
    <w:qFormat/>
    <w:uiPriority w:val="99"/>
    <w:rPr>
      <w:rFonts w:ascii="宋体" w:hAnsi="Calibri" w:eastAsia="宋体" w:cs="Times New Roman"/>
      <w:kern w:val="0"/>
      <w:sz w:val="24"/>
      <w:szCs w:val="24"/>
    </w:rPr>
  </w:style>
  <w:style w:type="character" w:customStyle="1" w:styleId="148">
    <w:name w:val="正文文本缩进 3 字符1"/>
    <w:autoRedefine/>
    <w:semiHidden/>
    <w:qFormat/>
    <w:uiPriority w:val="99"/>
    <w:rPr>
      <w:rFonts w:ascii="宋体" w:hAnsi="Calibri" w:eastAsia="宋体" w:cs="Times New Roman"/>
      <w:kern w:val="0"/>
      <w:sz w:val="16"/>
      <w:szCs w:val="16"/>
    </w:rPr>
  </w:style>
  <w:style w:type="character" w:customStyle="1" w:styleId="149">
    <w:name w:val="正文文本 2 字符1"/>
    <w:autoRedefine/>
    <w:semiHidden/>
    <w:qFormat/>
    <w:uiPriority w:val="99"/>
    <w:rPr>
      <w:rFonts w:ascii="宋体" w:hAnsi="Calibri" w:eastAsia="宋体" w:cs="Times New Roman"/>
      <w:kern w:val="0"/>
      <w:sz w:val="24"/>
      <w:szCs w:val="24"/>
    </w:rPr>
  </w:style>
  <w:style w:type="character" w:customStyle="1" w:styleId="150">
    <w:name w:val="eschoolnr"/>
    <w:autoRedefine/>
    <w:qFormat/>
    <w:uiPriority w:val="0"/>
    <w:rPr>
      <w:sz w:val="23"/>
      <w:szCs w:val="23"/>
    </w:rPr>
  </w:style>
  <w:style w:type="character" w:customStyle="1" w:styleId="151">
    <w:name w:val="访问过的超链接1"/>
    <w:autoRedefine/>
    <w:qFormat/>
    <w:uiPriority w:val="0"/>
    <w:rPr>
      <w:rFonts w:ascii="Arial" w:hAnsi="Arial" w:cs="Arial"/>
      <w:color w:val="000000"/>
      <w:sz w:val="20"/>
      <w:szCs w:val="20"/>
      <w:u w:val="none"/>
    </w:rPr>
  </w:style>
  <w:style w:type="character" w:customStyle="1" w:styleId="152">
    <w:name w:val="标题 1 Char1"/>
    <w:link w:val="3"/>
    <w:autoRedefine/>
    <w:qFormat/>
    <w:uiPriority w:val="0"/>
    <w:rPr>
      <w:rFonts w:ascii="宋体" w:hAnsi="Calibri" w:eastAsia="宋体" w:cs="Times New Roman"/>
      <w:kern w:val="0"/>
      <w:sz w:val="24"/>
      <w:szCs w:val="24"/>
    </w:rPr>
  </w:style>
  <w:style w:type="character" w:customStyle="1" w:styleId="153">
    <w:name w:val="批注文字 Char1"/>
    <w:autoRedefine/>
    <w:qFormat/>
    <w:uiPriority w:val="0"/>
    <w:rPr>
      <w:kern w:val="2"/>
      <w:sz w:val="21"/>
      <w:szCs w:val="24"/>
    </w:rPr>
  </w:style>
  <w:style w:type="character" w:customStyle="1" w:styleId="154">
    <w:name w:val="批注框文本 Char"/>
    <w:autoRedefine/>
    <w:semiHidden/>
    <w:qFormat/>
    <w:uiPriority w:val="99"/>
    <w:rPr>
      <w:kern w:val="2"/>
      <w:sz w:val="18"/>
      <w:szCs w:val="18"/>
    </w:rPr>
  </w:style>
  <w:style w:type="character" w:customStyle="1" w:styleId="155">
    <w:name w:val="DAS正文 Char"/>
    <w:autoRedefine/>
    <w:qFormat/>
    <w:uiPriority w:val="0"/>
    <w:rPr>
      <w:rFonts w:ascii="Verdana" w:hAnsi="Verdana" w:eastAsia="宋体"/>
      <w:kern w:val="2"/>
      <w:sz w:val="21"/>
      <w:szCs w:val="21"/>
      <w:lang w:val="en-US" w:eastAsia="zh-CN" w:bidi="ar-SA"/>
    </w:rPr>
  </w:style>
  <w:style w:type="character" w:customStyle="1" w:styleId="156">
    <w:name w:val="正文文本缩进 3 Char"/>
    <w:link w:val="29"/>
    <w:autoRedefine/>
    <w:qFormat/>
    <w:uiPriority w:val="0"/>
    <w:rPr>
      <w:rFonts w:ascii="宋体" w:hAnsi="Times New Roman" w:eastAsia="宋体" w:cs="Times New Roman"/>
      <w:kern w:val="0"/>
      <w:sz w:val="24"/>
      <w:szCs w:val="24"/>
    </w:rPr>
  </w:style>
  <w:style w:type="character" w:customStyle="1" w:styleId="157">
    <w:name w:val="页眉 Char"/>
    <w:autoRedefine/>
    <w:qFormat/>
    <w:uiPriority w:val="99"/>
    <w:rPr>
      <w:kern w:val="2"/>
      <w:sz w:val="18"/>
      <w:szCs w:val="18"/>
    </w:rPr>
  </w:style>
  <w:style w:type="character" w:customStyle="1" w:styleId="158">
    <w:name w:val="正文文本 3 Char"/>
    <w:link w:val="18"/>
    <w:autoRedefine/>
    <w:qFormat/>
    <w:uiPriority w:val="0"/>
    <w:rPr>
      <w:rFonts w:ascii="宋体" w:hAnsi="Times New Roman" w:eastAsia="宋体" w:cs="Times New Roman"/>
      <w:b/>
      <w:bCs/>
      <w:color w:val="3366FF"/>
      <w:sz w:val="52"/>
      <w:szCs w:val="52"/>
      <w:lang w:val="zh-CN"/>
    </w:rPr>
  </w:style>
  <w:style w:type="character" w:customStyle="1" w:styleId="159">
    <w:name w:val="HTML 预设格式 字符1"/>
    <w:autoRedefine/>
    <w:semiHidden/>
    <w:qFormat/>
    <w:uiPriority w:val="99"/>
    <w:rPr>
      <w:rFonts w:ascii="Courier New" w:hAnsi="Courier New" w:eastAsia="宋体" w:cs="Courier New"/>
      <w:kern w:val="0"/>
      <w:sz w:val="20"/>
      <w:szCs w:val="20"/>
    </w:rPr>
  </w:style>
  <w:style w:type="character" w:customStyle="1" w:styleId="160">
    <w:name w:val="彩色列表 - 强调文字颜色 1 Char"/>
    <w:link w:val="161"/>
    <w:autoRedefine/>
    <w:qFormat/>
    <w:uiPriority w:val="0"/>
    <w:rPr>
      <w:rFonts w:ascii="宋体"/>
      <w:sz w:val="24"/>
      <w:szCs w:val="24"/>
    </w:rPr>
  </w:style>
  <w:style w:type="paragraph" w:customStyle="1" w:styleId="161">
    <w:name w:val="彩色列表 - 强调文字颜色 11"/>
    <w:basedOn w:val="1"/>
    <w:link w:val="160"/>
    <w:autoRedefine/>
    <w:qFormat/>
    <w:uiPriority w:val="0"/>
    <w:pPr>
      <w:autoSpaceDE w:val="0"/>
      <w:autoSpaceDN w:val="0"/>
      <w:adjustRightInd w:val="0"/>
      <w:ind w:firstLine="420" w:firstLineChars="200"/>
      <w:jc w:val="left"/>
    </w:pPr>
    <w:rPr>
      <w:rFonts w:ascii="宋体"/>
      <w:sz w:val="24"/>
      <w:szCs w:val="24"/>
    </w:rPr>
  </w:style>
  <w:style w:type="character" w:customStyle="1" w:styleId="162">
    <w:name w:val="普通(网站) 字符"/>
    <w:autoRedefine/>
    <w:qFormat/>
    <w:locked/>
    <w:uiPriority w:val="99"/>
    <w:rPr>
      <w:rFonts w:ascii="宋体" w:hAnsi="宋体" w:eastAsia="宋体" w:cs="Times New Roman"/>
      <w:kern w:val="0"/>
      <w:sz w:val="15"/>
      <w:szCs w:val="15"/>
      <w:lang w:val="en-US" w:eastAsia="zh-CN"/>
    </w:rPr>
  </w:style>
  <w:style w:type="paragraph" w:customStyle="1" w:styleId="163">
    <w:name w:val="_Style 123"/>
    <w:basedOn w:val="1"/>
    <w:next w:val="131"/>
    <w:autoRedefine/>
    <w:qFormat/>
    <w:uiPriority w:val="34"/>
    <w:pPr>
      <w:spacing w:line="360" w:lineRule="auto"/>
      <w:ind w:firstLine="420" w:firstLineChars="200"/>
    </w:pPr>
    <w:rPr>
      <w:rFonts w:ascii="Calibri" w:hAnsi="Calibri" w:eastAsia="宋体" w:cs="Times New Roman"/>
    </w:rPr>
  </w:style>
  <w:style w:type="character" w:customStyle="1" w:styleId="164">
    <w:name w:val="纯文本 字符4"/>
    <w:basedOn w:val="40"/>
    <w:autoRedefine/>
    <w:semiHidden/>
    <w:qFormat/>
    <w:uiPriority w:val="99"/>
    <w:rPr>
      <w:rFonts w:hAnsi="Courier New" w:cs="Courier New" w:asciiTheme="minorEastAsia"/>
    </w:rPr>
  </w:style>
  <w:style w:type="character" w:customStyle="1" w:styleId="165">
    <w:name w:val="批注文字 Char2"/>
    <w:basedOn w:val="40"/>
    <w:link w:val="17"/>
    <w:autoRedefine/>
    <w:semiHidden/>
    <w:qFormat/>
    <w:uiPriority w:val="99"/>
  </w:style>
  <w:style w:type="character" w:customStyle="1" w:styleId="166">
    <w:name w:val="批注主题 字符2"/>
    <w:basedOn w:val="165"/>
    <w:autoRedefine/>
    <w:semiHidden/>
    <w:qFormat/>
    <w:uiPriority w:val="99"/>
    <w:rPr>
      <w:b/>
      <w:bCs/>
    </w:rPr>
  </w:style>
  <w:style w:type="character" w:customStyle="1" w:styleId="167">
    <w:name w:val="标题 字符3"/>
    <w:basedOn w:val="40"/>
    <w:autoRedefine/>
    <w:qFormat/>
    <w:uiPriority w:val="10"/>
    <w:rPr>
      <w:rFonts w:asciiTheme="majorHAnsi" w:hAnsiTheme="majorHAnsi" w:eastAsiaTheme="majorEastAsia" w:cstheme="majorBidi"/>
      <w:b/>
      <w:bCs/>
      <w:sz w:val="32"/>
      <w:szCs w:val="32"/>
    </w:rPr>
  </w:style>
  <w:style w:type="character" w:customStyle="1" w:styleId="168">
    <w:name w:val="正文文本缩进 字符3"/>
    <w:basedOn w:val="40"/>
    <w:autoRedefine/>
    <w:semiHidden/>
    <w:qFormat/>
    <w:uiPriority w:val="99"/>
  </w:style>
  <w:style w:type="character" w:customStyle="1" w:styleId="169">
    <w:name w:val="正文文本 字符4"/>
    <w:basedOn w:val="40"/>
    <w:autoRedefine/>
    <w:semiHidden/>
    <w:qFormat/>
    <w:uiPriority w:val="99"/>
  </w:style>
  <w:style w:type="character" w:customStyle="1" w:styleId="170">
    <w:name w:val="正文文本缩进 3 字符2"/>
    <w:basedOn w:val="40"/>
    <w:autoRedefine/>
    <w:semiHidden/>
    <w:qFormat/>
    <w:uiPriority w:val="99"/>
    <w:rPr>
      <w:sz w:val="16"/>
      <w:szCs w:val="16"/>
    </w:rPr>
  </w:style>
  <w:style w:type="character" w:customStyle="1" w:styleId="171">
    <w:name w:val="页眉 字符2"/>
    <w:basedOn w:val="40"/>
    <w:autoRedefine/>
    <w:semiHidden/>
    <w:qFormat/>
    <w:uiPriority w:val="99"/>
    <w:rPr>
      <w:sz w:val="18"/>
      <w:szCs w:val="18"/>
    </w:rPr>
  </w:style>
  <w:style w:type="character" w:customStyle="1" w:styleId="172">
    <w:name w:val="批注框文本 字符2"/>
    <w:basedOn w:val="40"/>
    <w:autoRedefine/>
    <w:semiHidden/>
    <w:qFormat/>
    <w:uiPriority w:val="99"/>
    <w:rPr>
      <w:sz w:val="18"/>
      <w:szCs w:val="18"/>
    </w:rPr>
  </w:style>
  <w:style w:type="character" w:customStyle="1" w:styleId="173">
    <w:name w:val="HTML 预设格式 字符2"/>
    <w:basedOn w:val="40"/>
    <w:autoRedefine/>
    <w:semiHidden/>
    <w:qFormat/>
    <w:uiPriority w:val="99"/>
    <w:rPr>
      <w:rFonts w:ascii="Courier New" w:hAnsi="Courier New" w:cs="Courier New"/>
      <w:sz w:val="20"/>
      <w:szCs w:val="20"/>
    </w:rPr>
  </w:style>
  <w:style w:type="character" w:customStyle="1" w:styleId="174">
    <w:name w:val="页脚 字符2"/>
    <w:basedOn w:val="40"/>
    <w:autoRedefine/>
    <w:semiHidden/>
    <w:qFormat/>
    <w:uiPriority w:val="99"/>
    <w:rPr>
      <w:sz w:val="18"/>
      <w:szCs w:val="18"/>
    </w:rPr>
  </w:style>
  <w:style w:type="character" w:customStyle="1" w:styleId="175">
    <w:name w:val="正文文本缩进 2 字符2"/>
    <w:basedOn w:val="40"/>
    <w:autoRedefine/>
    <w:semiHidden/>
    <w:qFormat/>
    <w:uiPriority w:val="99"/>
  </w:style>
  <w:style w:type="character" w:customStyle="1" w:styleId="176">
    <w:name w:val="正文文本 3 字符2"/>
    <w:basedOn w:val="40"/>
    <w:autoRedefine/>
    <w:semiHidden/>
    <w:qFormat/>
    <w:uiPriority w:val="99"/>
    <w:rPr>
      <w:sz w:val="16"/>
      <w:szCs w:val="16"/>
    </w:rPr>
  </w:style>
  <w:style w:type="character" w:customStyle="1" w:styleId="177">
    <w:name w:val="正文文本 2 字符2"/>
    <w:basedOn w:val="40"/>
    <w:autoRedefine/>
    <w:semiHidden/>
    <w:qFormat/>
    <w:uiPriority w:val="99"/>
  </w:style>
  <w:style w:type="paragraph" w:customStyle="1" w:styleId="178">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9">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80">
    <w:name w:val="文档结构图 字符2"/>
    <w:basedOn w:val="40"/>
    <w:autoRedefine/>
    <w:semiHidden/>
    <w:qFormat/>
    <w:uiPriority w:val="99"/>
    <w:rPr>
      <w:rFonts w:ascii="Microsoft YaHei UI" w:eastAsia="Microsoft YaHei UI"/>
      <w:sz w:val="18"/>
      <w:szCs w:val="18"/>
    </w:rPr>
  </w:style>
  <w:style w:type="character" w:customStyle="1" w:styleId="181">
    <w:name w:val="日期 字符2"/>
    <w:basedOn w:val="40"/>
    <w:autoRedefine/>
    <w:semiHidden/>
    <w:qFormat/>
    <w:uiPriority w:val="99"/>
  </w:style>
  <w:style w:type="paragraph" w:customStyle="1" w:styleId="182">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183">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4">
    <w:name w:val="修订1"/>
    <w:autoRedefine/>
    <w:semiHidden/>
    <w:qFormat/>
    <w:uiPriority w:val="99"/>
    <w:rPr>
      <w:rFonts w:ascii="宋体" w:hAnsi="Calibri" w:eastAsia="宋体" w:cs="Times New Roman"/>
      <w:sz w:val="24"/>
      <w:szCs w:val="24"/>
      <w:lang w:val="en-US" w:eastAsia="zh-CN" w:bidi="ar-SA"/>
    </w:rPr>
  </w:style>
  <w:style w:type="paragraph" w:customStyle="1" w:styleId="185">
    <w:name w:val="图/图注"/>
    <w:basedOn w:val="9"/>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6">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7">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8">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9">
    <w:name w:val="p0"/>
    <w:basedOn w:val="1"/>
    <w:autoRedefine/>
    <w:qFormat/>
    <w:uiPriority w:val="0"/>
    <w:pPr>
      <w:widowControl/>
    </w:pPr>
    <w:rPr>
      <w:rFonts w:ascii="Times New Roman" w:hAnsi="Calibri" w:eastAsia="宋体" w:cs="Times New Roman"/>
      <w:kern w:val="0"/>
      <w:szCs w:val="20"/>
    </w:rPr>
  </w:style>
  <w:style w:type="paragraph" w:customStyle="1" w:styleId="190">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91">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92">
    <w:name w:val="网格表 32"/>
    <w:basedOn w:val="3"/>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3">
    <w:name w:val="WPSOffice手动目录 1"/>
    <w:autoRedefine/>
    <w:qFormat/>
    <w:uiPriority w:val="0"/>
    <w:rPr>
      <w:rFonts w:ascii="Calibri" w:hAnsi="Calibri" w:eastAsia="宋体" w:cs="Times New Roman"/>
      <w:lang w:val="en-US" w:eastAsia="zh-CN" w:bidi="ar-SA"/>
    </w:rPr>
  </w:style>
  <w:style w:type="paragraph" w:customStyle="1" w:styleId="194">
    <w:name w:val="_Style 69"/>
    <w:basedOn w:val="1"/>
    <w:next w:val="131"/>
    <w:autoRedefine/>
    <w:qFormat/>
    <w:uiPriority w:val="34"/>
    <w:pPr>
      <w:spacing w:line="360" w:lineRule="auto"/>
      <w:ind w:firstLine="420" w:firstLineChars="200"/>
    </w:pPr>
    <w:rPr>
      <w:rFonts w:ascii="Calibri" w:hAnsi="Calibri" w:eastAsia="宋体" w:cs="Times New Roman"/>
    </w:rPr>
  </w:style>
  <w:style w:type="paragraph" w:customStyle="1" w:styleId="195">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6">
    <w:name w:val="保留正文"/>
    <w:basedOn w:val="2"/>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7">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198">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199">
    <w:name w:val="网格表 31"/>
    <w:basedOn w:val="3"/>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0">
    <w:name w:val="表格文字居中"/>
    <w:basedOn w:val="124"/>
    <w:autoRedefine/>
    <w:qFormat/>
    <w:uiPriority w:val="0"/>
    <w:pPr>
      <w:jc w:val="center"/>
    </w:pPr>
    <w:rPr>
      <w:rFonts w:cs="宋体"/>
      <w:szCs w:val="20"/>
    </w:rPr>
  </w:style>
  <w:style w:type="paragraph" w:customStyle="1" w:styleId="201">
    <w:name w:val="正文缩进4格"/>
    <w:basedOn w:val="65"/>
    <w:autoRedefine/>
    <w:qFormat/>
    <w:uiPriority w:val="0"/>
    <w:pPr>
      <w:spacing w:line="360" w:lineRule="auto"/>
      <w:ind w:left="964" w:leftChars="314" w:hanging="210" w:hangingChars="100"/>
    </w:pPr>
    <w:rPr>
      <w:rFonts w:ascii="宋体" w:eastAsia="宋体"/>
      <w:sz w:val="21"/>
      <w:szCs w:val="21"/>
      <w:lang w:val="zh-CN"/>
    </w:rPr>
  </w:style>
  <w:style w:type="paragraph" w:customStyle="1" w:styleId="202">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3">
    <w:name w:val="正文首行缩进 Char"/>
    <w:basedOn w:val="120"/>
    <w:link w:val="36"/>
    <w:autoRedefine/>
    <w:semiHidden/>
    <w:qFormat/>
    <w:uiPriority w:val="99"/>
    <w:rPr>
      <w:rFonts w:ascii="宋体" w:eastAsia="宋体"/>
      <w:b w:val="0"/>
      <w:bCs w:val="0"/>
      <w:sz w:val="84"/>
      <w:szCs w:val="84"/>
      <w:lang w:val="zh-CN"/>
    </w:rPr>
  </w:style>
  <w:style w:type="paragraph" w:customStyle="1" w:styleId="204">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5">
    <w:name w:val="正文_0"/>
    <w:autoRedefine/>
    <w:qFormat/>
    <w:uiPriority w:val="0"/>
    <w:pPr>
      <w:adjustRightInd w:val="0"/>
      <w:snapToGrid w:val="0"/>
      <w:spacing w:after="200"/>
    </w:pPr>
    <w:rPr>
      <w:rFonts w:ascii="Tahoma" w:hAnsi="Tahoma" w:eastAsia="宋体" w:cs="Times New Roman"/>
      <w:sz w:val="22"/>
      <w:szCs w:val="22"/>
      <w:lang w:val="en-US" w:eastAsia="zh-CN" w:bidi="ar-SA"/>
    </w:rPr>
  </w:style>
  <w:style w:type="paragraph" w:customStyle="1" w:styleId="206">
    <w:name w:val="文档正文"/>
    <w:basedOn w:val="1"/>
    <w:autoRedefine/>
    <w:qFormat/>
    <w:uiPriority w:val="0"/>
    <w:pPr>
      <w:spacing w:line="360" w:lineRule="auto"/>
    </w:pPr>
    <w:rPr>
      <w:rFonts w:cs="Arial"/>
      <w:bCs/>
    </w:rPr>
  </w:style>
  <w:style w:type="character" w:customStyle="1" w:styleId="207">
    <w:name w:val="font61"/>
    <w:basedOn w:val="40"/>
    <w:autoRedefine/>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106</Pages>
  <Words>61552</Words>
  <Characters>64395</Characters>
  <Lines>314</Lines>
  <Paragraphs>88</Paragraphs>
  <TotalTime>4</TotalTime>
  <ScaleCrop>false</ScaleCrop>
  <LinksUpToDate>false</LinksUpToDate>
  <CharactersWithSpaces>67466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王工</cp:lastModifiedBy>
  <cp:lastPrinted>2024-03-29T11:05:00Z</cp:lastPrinted>
  <dcterms:modified xsi:type="dcterms:W3CDTF">2024-05-17T02:40:00Z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5E1EFC70B0314E3D968CDCC8EE2E7587_13</vt:lpwstr>
  </property>
</Properties>
</file>