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东莞市茶山镇污水处理厂改扩建项目第三方检测服务（不含桩基完整性检测）采购项目</w:t>
      </w:r>
    </w:p>
    <w:p>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pPr>
        <w:autoSpaceDE w:val="0"/>
        <w:autoSpaceDN w:val="0"/>
        <w:adjustRightInd w:val="0"/>
        <w:ind w:right="-23" w:rightChars="-11"/>
        <w:jc w:val="left"/>
        <w:rPr>
          <w:rFonts w:ascii="宋体" w:hAnsi="宋体" w:eastAsia="宋体" w:cs="宋体"/>
          <w:b/>
          <w:bCs/>
          <w:color w:val="auto"/>
          <w:sz w:val="44"/>
          <w:szCs w:val="44"/>
          <w:highlight w:val="none"/>
          <w:lang w:val="zh-CN"/>
        </w:rPr>
      </w:pPr>
    </w:p>
    <w:p>
      <w:pPr>
        <w:autoSpaceDE w:val="0"/>
        <w:autoSpaceDN w:val="0"/>
        <w:adjustRightInd w:val="0"/>
        <w:ind w:right="-23" w:rightChars="-11"/>
        <w:jc w:val="center"/>
        <w:rPr>
          <w:rFonts w:ascii="宋体" w:hAnsi="宋体" w:eastAsia="宋体" w:cs="Times New Roman"/>
          <w:b/>
          <w:bCs/>
          <w:color w:val="auto"/>
          <w:sz w:val="72"/>
          <w:szCs w:val="72"/>
          <w:highlight w:val="none"/>
          <w:lang w:val="zh-CN"/>
        </w:rPr>
      </w:pPr>
    </w:p>
    <w:p>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pPr>
        <w:autoSpaceDE w:val="0"/>
        <w:autoSpaceDN w:val="0"/>
        <w:adjustRightInd w:val="0"/>
        <w:ind w:right="-23" w:rightChars="-11"/>
        <w:jc w:val="center"/>
        <w:rPr>
          <w:rFonts w:ascii="宋体" w:hAnsi="宋体" w:eastAsia="宋体" w:cs="宋体"/>
          <w:b/>
          <w:bCs/>
          <w:color w:val="auto"/>
          <w:sz w:val="32"/>
          <w:szCs w:val="32"/>
          <w:highlight w:val="none"/>
          <w:lang w:val="zh-CN"/>
        </w:rPr>
      </w:pPr>
    </w:p>
    <w:p>
      <w:pPr>
        <w:autoSpaceDE w:val="0"/>
        <w:autoSpaceDN w:val="0"/>
        <w:adjustRightInd w:val="0"/>
        <w:ind w:right="-23" w:rightChars="-11"/>
        <w:jc w:val="center"/>
        <w:rPr>
          <w:rFonts w:ascii="宋体" w:hAnsi="宋体" w:eastAsia="宋体" w:cs="宋体"/>
          <w:b/>
          <w:bCs/>
          <w:color w:val="auto"/>
          <w:sz w:val="44"/>
          <w:szCs w:val="44"/>
          <w:highlight w:val="none"/>
          <w:lang w:val="zh-CN"/>
        </w:rPr>
      </w:pPr>
    </w:p>
    <w:p>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号：0832-SFCX24DG032C</w:t>
      </w: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人：东莞市水务集团建设管理有限公司</w:t>
      </w: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招标代理机构：三方诚信招标有限公司</w:t>
      </w:r>
    </w:p>
    <w:p>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pPr>
        <w:autoSpaceDE w:val="0"/>
        <w:autoSpaceDN w:val="0"/>
        <w:adjustRightInd w:val="0"/>
        <w:spacing w:line="360" w:lineRule="auto"/>
        <w:ind w:right="-23" w:rightChars="-11"/>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2024</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5</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17</w:t>
      </w:r>
      <w:r>
        <w:rPr>
          <w:rFonts w:hint="eastAsia" w:ascii="宋体" w:hAnsi="宋体" w:eastAsia="宋体" w:cs="宋体"/>
          <w:b/>
          <w:bCs/>
          <w:color w:val="auto"/>
          <w:sz w:val="32"/>
          <w:szCs w:val="32"/>
          <w:highlight w:val="none"/>
          <w:lang w:val="zh-CN"/>
        </w:rPr>
        <w:t>日</w:t>
      </w:r>
    </w:p>
    <w:p>
      <w:pPr>
        <w:tabs>
          <w:tab w:val="left" w:pos="9923"/>
          <w:tab w:val="left" w:pos="10206"/>
        </w:tabs>
        <w:autoSpaceDE w:val="0"/>
        <w:autoSpaceDN w:val="0"/>
        <w:adjustRightInd w:val="0"/>
        <w:spacing w:line="360" w:lineRule="auto"/>
        <w:jc w:val="center"/>
        <w:rPr>
          <w:rFonts w:ascii="宋体" w:hAnsi="宋体" w:eastAsia="宋体" w:cs="Times New Roman"/>
          <w:b/>
          <w:color w:val="auto"/>
          <w:kern w:val="0"/>
          <w:szCs w:val="21"/>
          <w:highlight w:val="none"/>
        </w:rPr>
      </w:pPr>
      <w:bookmarkStart w:id="0" w:name="_Toc29891_WPSOffice_Type3"/>
      <w:r>
        <w:rPr>
          <w:rFonts w:ascii="宋体" w:hAnsi="宋体" w:eastAsia="宋体" w:cs="Times New Roman"/>
          <w:b/>
          <w:color w:val="auto"/>
          <w:kern w:val="0"/>
          <w:szCs w:val="21"/>
          <w:highlight w:val="none"/>
        </w:rPr>
        <w:br w:type="page"/>
      </w:r>
      <w:r>
        <w:rPr>
          <w:rFonts w:ascii="宋体" w:hAnsi="宋体" w:eastAsia="宋体" w:cs="Times New Roman"/>
          <w:b/>
          <w:color w:val="auto"/>
          <w:kern w:val="0"/>
          <w:sz w:val="24"/>
          <w:szCs w:val="24"/>
          <w:highlight w:val="none"/>
        </w:rPr>
        <w:t>目</w:t>
      </w:r>
      <w:r>
        <w:rPr>
          <w:rFonts w:hint="eastAsia" w:ascii="宋体" w:hAnsi="宋体" w:eastAsia="宋体" w:cs="Times New Roman"/>
          <w:b/>
          <w:color w:val="auto"/>
          <w:kern w:val="0"/>
          <w:sz w:val="24"/>
          <w:szCs w:val="24"/>
          <w:highlight w:val="none"/>
          <w:lang w:val="en-US" w:eastAsia="zh-CN"/>
        </w:rPr>
        <w:t xml:space="preserve">  </w:t>
      </w:r>
      <w:r>
        <w:rPr>
          <w:rFonts w:ascii="宋体" w:hAnsi="宋体" w:eastAsia="宋体" w:cs="Times New Roman"/>
          <w:b/>
          <w:color w:val="auto"/>
          <w:kern w:val="0"/>
          <w:sz w:val="24"/>
          <w:szCs w:val="24"/>
          <w:highlight w:val="none"/>
        </w:rPr>
        <w:t>录</w:t>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TOC \o "1-3" \h \u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_Toc2266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第一篇 招标公告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_Toc2266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_Toc25872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第二篇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_Toc25872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210" w:firstLineChars="1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_Toc27426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_Toc27426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_Toc2684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 资金来源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_Toc2684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_Toc21162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_Toc21162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_Toc5793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3 合格的</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_Toc5793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_Toc1957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_Toc1957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210" w:firstLineChars="1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_Toc1674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_Toc1674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_Toc14841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_Toc14841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_Toc23939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_Toc23939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_Toc3794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_Toc3794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210" w:firstLineChars="1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_Toc26321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_Toc26321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_Toc7168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_Toc7168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_Toc538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_Toc538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_Toc18247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_Toc18247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_Toc14340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_Toc14340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_Toc28917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_Toc28917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_Toc213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_Toc213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_Toc19594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14 证明服务的合格性并符合招标文件规定的声明文件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_Toc19594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_Toc13600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_Toc13600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_Toc7983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_Toc7983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_Toc8381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17 投标文件的式样和签署</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_Toc8381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210" w:firstLineChars="1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_Toc6989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_Toc6989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_Toc12961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18 投标文件的密封和标记</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_Toc12961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_Toc2443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19 递交投标文件的截止日期</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_Toc2443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_Toc22606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20 迟交的投标文件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_Toc22606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_Toc13041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21 投标文件的修改和撤回</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_Toc13041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210" w:firstLineChars="1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_Toc18933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_Toc18933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_Toc23822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22 开标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_Toc23822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_Toc29829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_Toc29829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_Toc28746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24 评标委员会</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_Toc28746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_Toc22833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25 投标文件的初审</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_Toc22833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_Toc25036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26 投标文件的澄清</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_Toc25036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_Toc13882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27 对投标文件的比较和评价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_Toc13882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_Toc1442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28 评标原则及方法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_Toc1442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_Toc11011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_Toc11011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_Toc21256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_Toc21256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_Toc22960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_Toc22960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210" w:firstLineChars="1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_Toc13312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_Toc13312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_Toc23271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_Toc23271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_Toc668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_Toc668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_Toc15467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_Toc15467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_Toc10666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_Toc10666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_Toc18846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_Toc18846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_Toc19356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_Toc19356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_Toc5441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_Toc5441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_Toc10728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_Toc10728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_Toc6198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_Toc6198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_Toc29364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第三篇 用户需求书</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_Toc29364 \h </w:instrText>
      </w:r>
      <w:r>
        <w:rPr>
          <w:rFonts w:hint="eastAsia" w:ascii="宋体" w:hAnsi="宋体" w:eastAsia="宋体" w:cs="宋体"/>
          <w:color w:val="auto"/>
        </w:rPr>
        <w:fldChar w:fldCharType="separate"/>
      </w:r>
      <w:r>
        <w:rPr>
          <w:rFonts w:hint="eastAsia" w:ascii="宋体" w:hAnsi="宋体" w:eastAsia="宋体" w:cs="宋体"/>
          <w:color w:val="auto"/>
        </w:rPr>
        <w:t>22</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_Toc25099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第四篇 合同条款格式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_Toc25099 \h </w:instrText>
      </w:r>
      <w:r>
        <w:rPr>
          <w:rFonts w:hint="eastAsia" w:ascii="宋体" w:hAnsi="宋体" w:eastAsia="宋体" w:cs="宋体"/>
          <w:color w:val="auto"/>
        </w:rPr>
        <w:fldChar w:fldCharType="separate"/>
      </w:r>
      <w:r>
        <w:rPr>
          <w:rFonts w:hint="eastAsia" w:ascii="宋体" w:hAnsi="宋体" w:eastAsia="宋体" w:cs="宋体"/>
          <w:color w:val="auto"/>
        </w:rPr>
        <w:t>29</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_Toc19778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szCs w:val="32"/>
          <w:highlight w:val="none"/>
          <w:lang w:val="zh-CN"/>
        </w:rPr>
        <w:t>第五篇 相关保函格式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_Toc19778 \h </w:instrText>
      </w:r>
      <w:r>
        <w:rPr>
          <w:rFonts w:hint="eastAsia" w:ascii="宋体" w:hAnsi="宋体" w:eastAsia="宋体" w:cs="宋体"/>
          <w:color w:val="auto"/>
        </w:rPr>
        <w:fldChar w:fldCharType="separate"/>
      </w:r>
      <w:r>
        <w:rPr>
          <w:rFonts w:hint="eastAsia" w:ascii="宋体" w:hAnsi="宋体" w:eastAsia="宋体" w:cs="宋体"/>
          <w:color w:val="auto"/>
        </w:rPr>
        <w:t>61</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_Toc32476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第六篇 投标文件格式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_Toc32476 \h </w:instrText>
      </w:r>
      <w:r>
        <w:rPr>
          <w:rFonts w:hint="eastAsia" w:ascii="宋体" w:hAnsi="宋体" w:eastAsia="宋体" w:cs="宋体"/>
          <w:color w:val="auto"/>
        </w:rPr>
        <w:fldChar w:fldCharType="separate"/>
      </w:r>
      <w:r>
        <w:rPr>
          <w:rFonts w:hint="eastAsia" w:ascii="宋体" w:hAnsi="宋体" w:eastAsia="宋体" w:cs="宋体"/>
          <w:color w:val="auto"/>
        </w:rPr>
        <w:t>64</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_Toc32664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附件一：评标工作大纲</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_Toc32664 \h </w:instrText>
      </w:r>
      <w:r>
        <w:rPr>
          <w:rFonts w:hint="eastAsia" w:ascii="宋体" w:hAnsi="宋体" w:eastAsia="宋体" w:cs="宋体"/>
          <w:color w:val="auto"/>
        </w:rPr>
        <w:fldChar w:fldCharType="separate"/>
      </w:r>
      <w:r>
        <w:rPr>
          <w:rFonts w:hint="eastAsia" w:ascii="宋体" w:hAnsi="宋体" w:eastAsia="宋体" w:cs="宋体"/>
          <w:color w:val="auto"/>
        </w:rPr>
        <w:t>100</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pPr>
        <w:keepNext w:val="0"/>
        <w:keepLines w:val="0"/>
        <w:pageBreakBefore w:val="0"/>
        <w:widowControl w:val="0"/>
        <w:tabs>
          <w:tab w:val="left" w:pos="851"/>
          <w:tab w:val="right" w:leader="dot" w:pos="10206"/>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Cs w:val="21"/>
          <w:highlight w:val="none"/>
        </w:rPr>
        <w:fldChar w:fldCharType="end"/>
      </w:r>
    </w:p>
    <w:bookmarkEnd w:id="0"/>
    <w:p>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1" w:name="_Toc450662846"/>
      <w:bookmarkStart w:id="2" w:name="_Toc20249"/>
      <w:bookmarkStart w:id="3" w:name="_Toc2266"/>
      <w:bookmarkStart w:id="4" w:name="_Toc486167660"/>
      <w:bookmarkStart w:id="5" w:name="_Toc4869"/>
      <w:bookmarkStart w:id="6" w:name="_Toc2723_WPSOffice_Level1"/>
      <w:bookmarkStart w:id="7" w:name="_Toc142508310"/>
      <w:bookmarkStart w:id="8" w:name="_Toc17326"/>
      <w:r>
        <w:rPr>
          <w:rFonts w:ascii="宋体" w:hAnsi="宋体" w:eastAsia="宋体" w:cs="Times New Roman"/>
          <w:b/>
          <w:bCs/>
          <w:color w:val="auto"/>
          <w:kern w:val="44"/>
          <w:sz w:val="32"/>
          <w:szCs w:val="32"/>
          <w:highlight w:val="none"/>
          <w:lang w:val="zh-CN"/>
        </w:rPr>
        <w:t>第一篇 招标公告</w:t>
      </w:r>
      <w:bookmarkEnd w:id="1"/>
      <w:bookmarkEnd w:id="2"/>
      <w:bookmarkEnd w:id="3"/>
      <w:bookmarkEnd w:id="4"/>
      <w:bookmarkEnd w:id="5"/>
      <w:bookmarkEnd w:id="6"/>
      <w:bookmarkEnd w:id="7"/>
      <w:bookmarkEnd w:id="8"/>
    </w:p>
    <w:p>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三方诚信招标有限公司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东莞市水务集团建设管理有限公司</w:t>
      </w:r>
      <w:r>
        <w:rPr>
          <w:rFonts w:ascii="宋体" w:hAnsi="宋体" w:eastAsia="宋体" w:cs="Times New Roman"/>
          <w:color w:val="auto"/>
          <w:szCs w:val="21"/>
          <w:highlight w:val="none"/>
          <w:lang w:val="zh-CN"/>
        </w:rPr>
        <w:t>（以下简称“招标人”）的委托，对</w:t>
      </w:r>
      <w:bookmarkStart w:id="9" w:name="_Hlk41903390"/>
      <w:r>
        <w:rPr>
          <w:rFonts w:hint="eastAsia" w:ascii="宋体" w:hAnsi="宋体" w:eastAsia="宋体" w:cs="Times New Roman"/>
          <w:color w:val="auto"/>
          <w:kern w:val="0"/>
          <w:szCs w:val="21"/>
          <w:highlight w:val="none"/>
          <w:lang w:eastAsia="zh-CN"/>
        </w:rPr>
        <w:t>东莞市茶山镇污水处理厂改扩建项目第三方检测服务（不含桩基完整性检测）采购项目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0832-SFCX24DG032C</w:t>
      </w:r>
      <w:r>
        <w:rPr>
          <w:rFonts w:ascii="宋体" w:hAnsi="宋体" w:eastAsia="宋体" w:cs="Times New Roman"/>
          <w:color w:val="auto"/>
          <w:szCs w:val="21"/>
          <w:highlight w:val="none"/>
          <w:lang w:val="zh-CN"/>
        </w:rPr>
        <w:t>)</w:t>
      </w:r>
      <w:bookmarkEnd w:id="9"/>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r>
        <w:rPr>
          <w:rFonts w:hint="eastAsia" w:ascii="宋体" w:hAnsi="宋体" w:eastAsia="宋体" w:cs="Times New Roman"/>
          <w:color w:val="auto"/>
          <w:szCs w:val="21"/>
          <w:lang w:val="zh-CN"/>
        </w:rPr>
        <w:t>本项目由东莞市水务集团建设管理有限公司（以下简称“招标人”或“委托人”）采购一家检测服务单位（以下简称“中标人”或“检测人”）对东莞市石鼓净水有限公司（以下简称“项目业主”）委托招标人代建的</w:t>
      </w:r>
      <w:r>
        <w:rPr>
          <w:rFonts w:hint="eastAsia" w:ascii="宋体" w:hAnsi="宋体" w:eastAsia="宋体" w:cs="Times New Roman"/>
          <w:color w:val="auto"/>
          <w:kern w:val="0"/>
          <w:szCs w:val="21"/>
          <w:highlight w:val="none"/>
          <w:lang w:eastAsia="zh-CN"/>
        </w:rPr>
        <w:t>东莞市茶山镇污水处理厂改扩建项目</w:t>
      </w:r>
      <w:r>
        <w:rPr>
          <w:rFonts w:hint="eastAsia" w:ascii="宋体" w:hAnsi="宋体" w:eastAsia="宋体" w:cs="Times New Roman"/>
          <w:color w:val="auto"/>
          <w:szCs w:val="21"/>
          <w:lang w:val="zh-CN"/>
        </w:rPr>
        <w:t>（以下简称“本工程”）进行原材料、中间产品、地基基础工程检测及相关技术工作。</w:t>
      </w:r>
      <w:r>
        <w:rPr>
          <w:rFonts w:hint="eastAsia" w:ascii="宋体" w:hAnsi="宋体" w:eastAsia="宋体" w:cs="Times New Roman"/>
          <w:color w:val="auto"/>
          <w:szCs w:val="21"/>
          <w:highlight w:val="none"/>
          <w:lang w:val="zh-CN"/>
        </w:rPr>
        <w:t>（具体内容详见：第三篇用户需求书）。</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pPr>
        <w:pStyle w:val="157"/>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pPr>
        <w:pStyle w:val="157"/>
        <w:spacing w:line="360" w:lineRule="auto"/>
        <w:ind w:left="422" w:right="-29" w:rightChars="-14" w:hanging="422" w:hangingChars="200"/>
        <w:jc w:val="both"/>
        <w:rPr>
          <w:rFonts w:hAnsi="宋体" w:eastAsia="宋体"/>
          <w:b/>
          <w:color w:val="auto"/>
          <w:sz w:val="21"/>
          <w:szCs w:val="21"/>
          <w:lang w:val="zh-CN"/>
        </w:rPr>
      </w:pPr>
      <w:bookmarkStart w:id="10" w:name="_Toc25819"/>
      <w:r>
        <w:rPr>
          <w:rFonts w:hint="eastAsia" w:hAnsi="宋体" w:eastAsia="宋体"/>
          <w:b/>
          <w:color w:val="auto"/>
          <w:sz w:val="21"/>
          <w:szCs w:val="21"/>
          <w:lang w:val="zh-CN"/>
        </w:rPr>
        <w:t>2.2</w:t>
      </w:r>
      <w:r>
        <w:rPr>
          <w:rFonts w:hint="eastAsia" w:hAnsi="宋体" w:eastAsia="宋体"/>
          <w:b/>
          <w:color w:val="auto"/>
          <w:sz w:val="21"/>
          <w:szCs w:val="21"/>
        </w:rPr>
        <w:t xml:space="preserve"> </w:t>
      </w:r>
      <w:r>
        <w:rPr>
          <w:rFonts w:hint="eastAsia" w:hAnsi="宋体" w:eastAsia="宋体"/>
          <w:b/>
          <w:color w:val="auto"/>
          <w:sz w:val="21"/>
          <w:szCs w:val="21"/>
          <w:lang w:val="zh-CN"/>
        </w:rPr>
        <w:t>投标人须具备由住房和城乡建设部门颁发的并在有效期内的建设工程质量检测机构资质证书（须同时涵盖地基基础工程检测、主体结构工程现场检测、钢结构工程检测），或者是建设工程质量检测机构综合资质证书，或者是建设工程质量检测机构专项资质证书（须同时取得建筑材料及构配件、主体结构及装饰装修、钢结构、地基基础、市政工程材料、道路工程6个专项资质）；</w:t>
      </w:r>
    </w:p>
    <w:p>
      <w:pPr>
        <w:pStyle w:val="157"/>
        <w:spacing w:line="360" w:lineRule="auto"/>
        <w:ind w:right="-29" w:rightChars="-14" w:firstLine="0" w:firstLineChars="0"/>
        <w:jc w:val="both"/>
        <w:rPr>
          <w:rFonts w:hAnsi="宋体" w:eastAsia="宋体"/>
          <w:b/>
          <w:color w:val="auto"/>
          <w:sz w:val="21"/>
          <w:szCs w:val="21"/>
          <w:lang w:val="zh-CN"/>
        </w:rPr>
      </w:pPr>
      <w:r>
        <w:rPr>
          <w:rFonts w:hint="eastAsia" w:hAnsi="宋体" w:eastAsia="宋体"/>
          <w:b/>
          <w:color w:val="auto"/>
          <w:sz w:val="21"/>
          <w:szCs w:val="21"/>
        </w:rPr>
        <w:t xml:space="preserve">2.3 </w:t>
      </w:r>
      <w:r>
        <w:rPr>
          <w:rFonts w:hint="eastAsia" w:hAnsi="宋体" w:eastAsia="宋体"/>
          <w:b/>
          <w:color w:val="auto"/>
          <w:sz w:val="21"/>
          <w:szCs w:val="21"/>
          <w:lang w:val="zh-CN"/>
        </w:rPr>
        <w:t>投标人2021年</w:t>
      </w:r>
      <w:r>
        <w:rPr>
          <w:rFonts w:hAnsi="宋体" w:eastAsia="宋体"/>
          <w:b/>
          <w:color w:val="auto"/>
          <w:sz w:val="21"/>
          <w:szCs w:val="21"/>
          <w:lang w:val="zh-CN"/>
        </w:rPr>
        <w:t>1月1日以来具有一项市政工程检测业绩（合同签订日期为</w:t>
      </w:r>
      <w:r>
        <w:rPr>
          <w:rFonts w:hint="eastAsia" w:hAnsi="宋体" w:eastAsia="宋体"/>
          <w:b/>
          <w:color w:val="auto"/>
          <w:sz w:val="21"/>
          <w:szCs w:val="21"/>
          <w:lang w:val="zh-CN"/>
        </w:rPr>
        <w:t>2021年</w:t>
      </w:r>
      <w:r>
        <w:rPr>
          <w:rFonts w:hAnsi="宋体" w:eastAsia="宋体"/>
          <w:b/>
          <w:color w:val="auto"/>
          <w:sz w:val="21"/>
          <w:szCs w:val="21"/>
          <w:lang w:val="zh-CN"/>
        </w:rPr>
        <w:t>1月1日或以后）</w:t>
      </w:r>
      <w:r>
        <w:rPr>
          <w:rFonts w:hint="eastAsia" w:hAnsi="宋体" w:eastAsia="宋体"/>
          <w:b/>
          <w:color w:val="auto"/>
          <w:sz w:val="21"/>
          <w:szCs w:val="21"/>
          <w:lang w:val="zh-CN"/>
        </w:rPr>
        <w:t>；</w:t>
      </w:r>
    </w:p>
    <w:p>
      <w:pPr>
        <w:pStyle w:val="157"/>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10"/>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2024</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6</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7</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2024</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6</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7</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u w:val="single"/>
          <w:lang w:val="zh-CN"/>
        </w:rPr>
        <w:t>东莞市南城街道鸿福西路81号国际商会大厦601室</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网站（www.sfcx.cn</w:t>
      </w:r>
      <w:r>
        <w:rPr>
          <w:rFonts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pPr>
        <w:numPr>
          <w:ilvl w:val="0"/>
          <w:numId w:val="0"/>
        </w:numPr>
        <w:autoSpaceDE w:val="0"/>
        <w:autoSpaceDN w:val="0"/>
        <w:adjustRightInd w:val="0"/>
        <w:snapToGrid w:val="0"/>
        <w:spacing w:line="360" w:lineRule="auto"/>
        <w:ind w:leftChars="0" w:right="-34" w:rightChars="0"/>
        <w:jc w:val="left"/>
        <w:rPr>
          <w:rFonts w:ascii="宋体" w:hAnsi="宋体" w:eastAsia="宋体" w:cs="Times New Roman"/>
          <w:bCs/>
          <w:color w:val="auto"/>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东莞市水务集团建设管理有限公司</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lang w:eastAsia="zh-CN"/>
        </w:rPr>
        <w:t>广东省东莞市南城街道滨河路100号一期1号楼102室</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：陈方凯</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0769-22008759</w:t>
      </w:r>
    </w:p>
    <w:p>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11" w:name="_Toc486167661"/>
      <w:bookmarkStart w:id="12" w:name="_Toc450662847"/>
      <w:bookmarkStart w:id="13" w:name="_Toc31764_WPSOffice_Level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三方诚信招标有限公司</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宋体"/>
          <w:color w:val="auto"/>
          <w:szCs w:val="21"/>
          <w:highlight w:val="none"/>
          <w:lang w:val="zh-CN"/>
        </w:rPr>
        <w:t>东莞市南城街道鸿福西路81号国际商会大厦706室</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宋体"/>
          <w:color w:val="auto"/>
          <w:szCs w:val="21"/>
          <w:highlight w:val="none"/>
        </w:rPr>
        <w:t>卢静娴</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宋体"/>
          <w:color w:val="auto"/>
          <w:szCs w:val="21"/>
          <w:highlight w:val="none"/>
          <w:lang w:val="zh-CN"/>
        </w:rPr>
        <w:t>0769-216826</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0</w:t>
      </w:r>
    </w:p>
    <w:p>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4" w:name="_Toc18212"/>
      <w:bookmarkStart w:id="15" w:name="_Toc31498"/>
      <w:bookmarkStart w:id="16" w:name="_Toc142508311"/>
      <w:bookmarkStart w:id="17" w:name="_Toc25872"/>
      <w:bookmarkStart w:id="18" w:name="_Toc15111"/>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1"/>
      <w:bookmarkEnd w:id="12"/>
      <w:bookmarkEnd w:id="13"/>
      <w:bookmarkEnd w:id="14"/>
      <w:bookmarkEnd w:id="15"/>
      <w:bookmarkEnd w:id="16"/>
      <w:bookmarkEnd w:id="17"/>
      <w:bookmarkEnd w:id="18"/>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9" w:name="_Toc27426"/>
      <w:bookmarkStart w:id="20" w:name="_Toc140596871"/>
      <w:bookmarkStart w:id="21" w:name="_Toc142508312"/>
      <w:bookmarkStart w:id="22" w:name="_Toc11520"/>
      <w:bookmarkStart w:id="23" w:name="_Toc15366_WPSOffice_Level2"/>
      <w:bookmarkStart w:id="24" w:name="_Toc450662848"/>
      <w:bookmarkStart w:id="25" w:name="_Toc486167662"/>
      <w:bookmarkStart w:id="26" w:name="_Toc9555"/>
      <w:bookmarkStart w:id="27" w:name="_Toc24479"/>
      <w:r>
        <w:rPr>
          <w:rFonts w:hint="eastAsia" w:ascii="宋体" w:hAnsi="宋体" w:eastAsia="宋体" w:cs="宋体"/>
          <w:b/>
          <w:bCs/>
          <w:color w:val="auto"/>
          <w:kern w:val="44"/>
          <w:szCs w:val="21"/>
          <w:highlight w:val="none"/>
          <w:lang w:val="zh-CN"/>
        </w:rPr>
        <w:t>一、总则</w:t>
      </w:r>
      <w:bookmarkEnd w:id="19"/>
      <w:bookmarkEnd w:id="20"/>
      <w:bookmarkEnd w:id="21"/>
      <w:bookmarkEnd w:id="22"/>
      <w:bookmarkEnd w:id="23"/>
      <w:bookmarkEnd w:id="24"/>
      <w:bookmarkEnd w:id="25"/>
      <w:bookmarkEnd w:id="26"/>
      <w:bookmarkEnd w:id="27"/>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 w:name="_Toc2684"/>
      <w:bookmarkStart w:id="29" w:name="_Toc9608"/>
      <w:bookmarkStart w:id="30" w:name="_Toc486167663"/>
      <w:bookmarkStart w:id="31" w:name="_Toc23333"/>
      <w:bookmarkStart w:id="32" w:name="_Toc450662849"/>
      <w:bookmarkStart w:id="33" w:name="_Toc21710_WPSOffice_Level3"/>
      <w:bookmarkStart w:id="34" w:name="_Toc16303"/>
      <w:bookmarkStart w:id="35" w:name="_Toc14250831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8"/>
      <w:bookmarkEnd w:id="29"/>
      <w:bookmarkEnd w:id="30"/>
      <w:bookmarkEnd w:id="31"/>
      <w:bookmarkEnd w:id="32"/>
      <w:bookmarkEnd w:id="33"/>
      <w:bookmarkEnd w:id="34"/>
      <w:bookmarkEnd w:id="35"/>
    </w:p>
    <w:p>
      <w:pPr>
        <w:autoSpaceDE w:val="0"/>
        <w:autoSpaceDN w:val="0"/>
        <w:adjustRightInd w:val="0"/>
        <w:jc w:val="left"/>
        <w:rPr>
          <w:rFonts w:ascii="宋体" w:hAnsi="宋体" w:eastAsia="宋体" w:cs="宋体"/>
          <w:color w:val="auto"/>
          <w:kern w:val="0"/>
          <w:sz w:val="24"/>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6" w:name="_Toc18557"/>
      <w:bookmarkStart w:id="37" w:name="_Toc80_WPSOffice_Level3"/>
      <w:bookmarkStart w:id="38" w:name="_Toc21162"/>
      <w:bookmarkStart w:id="39" w:name="_Toc28698"/>
      <w:bookmarkStart w:id="40" w:name="_Toc486167664"/>
      <w:bookmarkStart w:id="41" w:name="_Toc450662850"/>
      <w:bookmarkStart w:id="42" w:name="_Toc32244"/>
      <w:bookmarkStart w:id="43" w:name="_Toc142508314"/>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6"/>
      <w:bookmarkEnd w:id="37"/>
      <w:bookmarkEnd w:id="38"/>
      <w:bookmarkEnd w:id="39"/>
      <w:bookmarkEnd w:id="40"/>
      <w:bookmarkEnd w:id="41"/>
      <w:bookmarkEnd w:id="42"/>
      <w:bookmarkEnd w:id="43"/>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款的通用要求。</w:t>
      </w:r>
    </w:p>
    <w:p>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44" w:name="_Toc23847_WPSOffice_Level3"/>
      <w:bookmarkStart w:id="45" w:name="_Toc142508315"/>
      <w:bookmarkStart w:id="46" w:name="_Toc11689"/>
      <w:bookmarkStart w:id="47" w:name="_Toc19774"/>
      <w:bookmarkStart w:id="48" w:name="_Toc5793"/>
      <w:bookmarkStart w:id="49" w:name="_Toc16100"/>
      <w:bookmarkStart w:id="50" w:name="_Toc486167665"/>
      <w:bookmarkStart w:id="51"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44"/>
      <w:bookmarkEnd w:id="45"/>
      <w:r>
        <w:rPr>
          <w:rFonts w:hint="eastAsia" w:ascii="宋体" w:hAnsi="宋体" w:eastAsia="宋体" w:cs="宋体"/>
          <w:b/>
          <w:color w:val="auto"/>
          <w:szCs w:val="21"/>
          <w:highlight w:val="none"/>
          <w:lang w:val="en-US" w:eastAsia="zh-CN"/>
        </w:rPr>
        <w:t>服务</w:t>
      </w:r>
      <w:bookmarkEnd w:id="46"/>
      <w:bookmarkEnd w:id="47"/>
      <w:bookmarkEnd w:id="48"/>
      <w:bookmarkEnd w:id="49"/>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“服务”是指投标人按招标文件规定完成的全部服务内容，其中包括完成服务所需的货物和工程，及须承担的技术支持、培训和其它伴随服务。</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2" w:name="_Toc1977663"/>
      <w:bookmarkStart w:id="53" w:name="_Toc533708063"/>
      <w:r>
        <w:rPr>
          <w:rFonts w:hint="eastAsia" w:ascii="宋体" w:hAnsi="宋体" w:eastAsia="宋体" w:cs="宋体"/>
          <w:color w:val="auto"/>
          <w:szCs w:val="21"/>
          <w:highlight w:val="none"/>
          <w:lang w:val="zh-CN"/>
        </w:rPr>
        <w:t xml:space="preserve">3.2  </w:t>
      </w:r>
      <w:bookmarkEnd w:id="52"/>
      <w:bookmarkEnd w:id="53"/>
      <w:bookmarkStart w:id="54" w:name="_Toc533708065"/>
      <w:bookmarkStart w:id="55"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或</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的任何部分均为最新正式版本</w:t>
      </w:r>
      <w:r>
        <w:rPr>
          <w:rFonts w:hint="eastAsia" w:ascii="宋体" w:hAnsi="宋体" w:eastAsia="宋体" w:cs="宋体"/>
          <w:color w:val="auto"/>
          <w:szCs w:val="21"/>
          <w:highlight w:val="none"/>
          <w:lang w:val="zh-CN"/>
        </w:rPr>
        <w:t>。</w:t>
      </w:r>
      <w:bookmarkEnd w:id="54"/>
      <w:bookmarkEnd w:id="55"/>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6" w:name="_Toc1977666"/>
      <w:bookmarkStart w:id="57"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56"/>
      <w:bookmarkEnd w:id="57"/>
      <w:bookmarkStart w:id="58" w:name="_Toc1977667"/>
      <w:bookmarkStart w:id="59" w:name="_Toc533708067"/>
      <w:r>
        <w:rPr>
          <w:rFonts w:hint="eastAsia" w:ascii="宋体" w:hAnsi="宋体" w:eastAsia="宋体" w:cs="宋体"/>
          <w:color w:val="auto"/>
          <w:szCs w:val="21"/>
          <w:highlight w:val="none"/>
          <w:lang w:val="zh-CN"/>
        </w:rPr>
        <w:t>投标人</w:t>
      </w:r>
      <w:r>
        <w:rPr>
          <w:rFonts w:hint="eastAsia" w:ascii="宋体" w:hAnsi="宋体" w:eastAsia="宋体" w:cs="Times New Roman"/>
          <w:color w:val="auto"/>
          <w:kern w:val="0"/>
          <w:szCs w:val="21"/>
          <w:highlight w:val="none"/>
        </w:rPr>
        <w:t>应保证招标人在中华人民共和国使用</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或</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8"/>
      <w:bookmarkEnd w:id="59"/>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0" w:name="_Toc533708068"/>
      <w:bookmarkStart w:id="61"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60"/>
      <w:bookmarkEnd w:id="61"/>
      <w:r>
        <w:rPr>
          <w:rFonts w:hint="eastAsia" w:ascii="宋体" w:hAnsi="宋体" w:eastAsia="宋体" w:cs="宋体"/>
          <w:color w:val="auto"/>
          <w:szCs w:val="21"/>
          <w:highlight w:val="none"/>
          <w:lang w:val="zh-CN"/>
        </w:rPr>
        <w:t>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pPr>
        <w:autoSpaceDE w:val="0"/>
        <w:autoSpaceDN w:val="0"/>
        <w:adjustRightInd w:val="0"/>
        <w:spacing w:line="360" w:lineRule="auto"/>
        <w:jc w:val="left"/>
        <w:rPr>
          <w:rFonts w:ascii="宋体" w:hAnsi="宋体" w:eastAsia="宋体" w:cs="宋体"/>
          <w:color w:val="auto"/>
          <w:szCs w:val="21"/>
          <w:highlight w:val="none"/>
          <w:lang w:val="zh-CN"/>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62" w:name="_Toc3404"/>
      <w:bookmarkStart w:id="63" w:name="_Toc1957"/>
      <w:bookmarkStart w:id="64" w:name="_Toc142508316"/>
      <w:bookmarkStart w:id="65" w:name="_Toc9753"/>
      <w:bookmarkStart w:id="66" w:name="_Toc11533"/>
      <w:bookmarkStart w:id="67" w:name="_Toc9658_WPSOffice_Level3"/>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62"/>
      <w:bookmarkEnd w:id="63"/>
      <w:bookmarkEnd w:id="64"/>
      <w:bookmarkEnd w:id="65"/>
      <w:bookmarkEnd w:id="66"/>
      <w:bookmarkEnd w:id="67"/>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8" w:name="_Toc1977670"/>
      <w:bookmarkStart w:id="69" w:name="_Toc533708070"/>
      <w:r>
        <w:rPr>
          <w:rFonts w:hint="eastAsia" w:ascii="宋体" w:hAnsi="宋体" w:eastAsia="宋体" w:cs="宋体"/>
          <w:color w:val="auto"/>
          <w:szCs w:val="21"/>
          <w:highlight w:val="none"/>
          <w:lang w:val="zh-CN"/>
        </w:rPr>
        <w:t>4.1  投标费用</w:t>
      </w:r>
      <w:bookmarkEnd w:id="68"/>
      <w:bookmarkEnd w:id="69"/>
    </w:p>
    <w:p>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70" w:name="_Toc533708072"/>
      <w:bookmarkStart w:id="71"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70"/>
      <w:bookmarkEnd w:id="71"/>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2" w:name="_Toc1977673"/>
      <w:bookmarkStart w:id="73" w:name="_Toc533708073"/>
      <w:r>
        <w:rPr>
          <w:rFonts w:hint="eastAsia" w:ascii="宋体" w:hAnsi="宋体" w:eastAsia="宋体" w:cs="宋体"/>
          <w:color w:val="auto"/>
          <w:szCs w:val="21"/>
          <w:highlight w:val="none"/>
          <w:lang w:val="zh-CN"/>
        </w:rPr>
        <w:t>4.2  踏勘现场</w:t>
      </w:r>
      <w:bookmarkEnd w:id="72"/>
      <w:bookmarkEnd w:id="73"/>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74" w:name="_Toc533708076"/>
      <w:bookmarkStart w:id="75" w:name="_Toc1977676"/>
      <w:r>
        <w:rPr>
          <w:rFonts w:hint="eastAsia" w:ascii="宋体" w:hAnsi="宋体" w:eastAsia="宋体" w:cs="Times New Roman"/>
          <w:color w:val="auto"/>
          <w:kern w:val="0"/>
          <w:szCs w:val="21"/>
          <w:highlight w:val="none"/>
        </w:rPr>
        <w:t>（1）本项目不组织集中踏勘现场和答疑，投标人应自行到实地踏勘考察。</w:t>
      </w:r>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50"/>
      <w:bookmarkEnd w:id="51"/>
      <w:bookmarkEnd w:id="74"/>
      <w:bookmarkEnd w:id="75"/>
    </w:p>
    <w:p>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76" w:name="_Toc142508317"/>
      <w:bookmarkStart w:id="77" w:name="_Toc23213"/>
      <w:bookmarkStart w:id="78" w:name="_Toc5395"/>
      <w:bookmarkStart w:id="79" w:name="_Toc140596876"/>
      <w:bookmarkStart w:id="80" w:name="_Toc450662853"/>
      <w:bookmarkStart w:id="81" w:name="_Toc486167667"/>
      <w:bookmarkStart w:id="82" w:name="_Toc1565"/>
      <w:bookmarkStart w:id="83" w:name="_Toc1674"/>
      <w:bookmarkStart w:id="84" w:name="_Toc30507_WPSOffice_Level2"/>
      <w:r>
        <w:rPr>
          <w:rFonts w:hint="eastAsia" w:ascii="宋体" w:hAnsi="宋体" w:eastAsia="宋体" w:cs="宋体"/>
          <w:b/>
          <w:bCs/>
          <w:color w:val="auto"/>
          <w:kern w:val="44"/>
          <w:szCs w:val="21"/>
          <w:highlight w:val="none"/>
          <w:lang w:val="zh-CN"/>
        </w:rPr>
        <w:t>二、招标文件</w:t>
      </w:r>
      <w:bookmarkEnd w:id="76"/>
      <w:bookmarkEnd w:id="77"/>
      <w:bookmarkEnd w:id="78"/>
      <w:bookmarkEnd w:id="79"/>
      <w:bookmarkEnd w:id="80"/>
      <w:bookmarkEnd w:id="81"/>
      <w:bookmarkEnd w:id="82"/>
      <w:bookmarkEnd w:id="83"/>
      <w:bookmarkEnd w:id="84"/>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5" w:name="_Toc2406"/>
      <w:bookmarkStart w:id="86" w:name="_Toc14841"/>
      <w:bookmarkStart w:id="87" w:name="_Toc142508318"/>
      <w:bookmarkStart w:id="88" w:name="_Toc28893"/>
      <w:bookmarkStart w:id="89" w:name="_Toc3978"/>
      <w:bookmarkStart w:id="90" w:name="_Toc450662854"/>
      <w:bookmarkStart w:id="91" w:name="_Toc26635_WPSOffice_Level3"/>
      <w:bookmarkStart w:id="92" w:name="_Toc486167668"/>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85"/>
      <w:bookmarkEnd w:id="86"/>
      <w:bookmarkEnd w:id="87"/>
      <w:bookmarkEnd w:id="88"/>
      <w:bookmarkEnd w:id="89"/>
      <w:bookmarkEnd w:id="90"/>
      <w:bookmarkEnd w:id="91"/>
      <w:bookmarkEnd w:id="92"/>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标志的部分为投标人、投标拟供服务必备的条件或重要指示），那么投标人的投标文件将有可能被拒绝接收或评审为无效投标文件</w:t>
      </w:r>
      <w:r>
        <w:rPr>
          <w:rFonts w:hint="eastAsia" w:ascii="宋体" w:hAnsi="宋体" w:eastAsia="宋体" w:cs="宋体"/>
          <w:b/>
          <w:bCs/>
          <w:color w:val="auto"/>
          <w:szCs w:val="21"/>
          <w:highlight w:val="none"/>
          <w:u w:val="single"/>
          <w:lang w:val="zh-CN"/>
        </w:rPr>
        <w:t>。</w:t>
      </w:r>
    </w:p>
    <w:p>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东莞市水务集团建设管理有限公司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rPr>
        <w:t>“项目业主”指</w:t>
      </w:r>
      <w:r>
        <w:rPr>
          <w:rFonts w:hint="eastAsia" w:ascii="宋体" w:hAnsi="宋体" w:eastAsia="宋体" w:cs="Times New Roman"/>
          <w:color w:val="auto"/>
          <w:kern w:val="0"/>
          <w:szCs w:val="21"/>
          <w:lang w:eastAsia="zh-CN"/>
        </w:rPr>
        <w:t>东莞市石鼓净水有限公司；</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三方诚信招标有限公司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“投标人”指</w:t>
      </w:r>
      <w:r>
        <w:rPr>
          <w:rFonts w:hint="eastAsia" w:ascii="宋体" w:hAnsi="宋体" w:eastAsia="宋体" w:cs="Times New Roman"/>
          <w:color w:val="auto"/>
          <w:kern w:val="0"/>
          <w:szCs w:val="21"/>
          <w:highlight w:val="none"/>
        </w:rPr>
        <w:t>在参加</w:t>
      </w:r>
      <w:r>
        <w:rPr>
          <w:rFonts w:hint="eastAsia" w:ascii="宋体" w:hAnsi="宋体" w:eastAsia="宋体" w:cs="Times New Roman"/>
          <w:color w:val="auto"/>
          <w:kern w:val="0"/>
          <w:szCs w:val="21"/>
          <w:highlight w:val="none"/>
          <w:lang w:eastAsia="zh-CN"/>
        </w:rPr>
        <w:t>东莞市茶山镇污水处理厂改扩建项目第三方检测服务（不含桩基完整性检测）采购项目</w:t>
      </w:r>
      <w:r>
        <w:rPr>
          <w:rFonts w:hint="eastAsia" w:ascii="宋体" w:hAnsi="宋体" w:eastAsia="宋体" w:cs="Times New Roman"/>
          <w:color w:val="auto"/>
          <w:kern w:val="0"/>
          <w:szCs w:val="21"/>
          <w:highlight w:val="none"/>
        </w:rPr>
        <w:t>所需的</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的投标，并向招标代理机构提交投标文件的当事人；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6</w:t>
      </w:r>
      <w:r>
        <w:rPr>
          <w:rFonts w:hint="eastAsia" w:ascii="宋体" w:hAnsi="宋体" w:eastAsia="宋体" w:cs="Times New Roman"/>
          <w:color w:val="auto"/>
          <w:kern w:val="0"/>
          <w:szCs w:val="21"/>
          <w:highlight w:val="none"/>
        </w:rPr>
        <w:t>）“中标人”指其投标被招标人接受，并与招标人签订合同的当事人；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7</w:t>
      </w:r>
      <w:r>
        <w:rPr>
          <w:rFonts w:hint="eastAsia" w:ascii="宋体" w:hAnsi="宋体" w:eastAsia="宋体" w:cs="Times New Roman"/>
          <w:color w:val="auto"/>
          <w:kern w:val="0"/>
          <w:szCs w:val="21"/>
          <w:highlight w:val="none"/>
        </w:rPr>
        <w:t>）“甲方”指在合同条款中指明的购买服务的单位，即</w:t>
      </w:r>
      <w:r>
        <w:rPr>
          <w:rFonts w:hint="eastAsia" w:ascii="宋体" w:hAnsi="宋体" w:eastAsia="宋体" w:cs="Times New Roman"/>
          <w:color w:val="auto"/>
          <w:kern w:val="0"/>
          <w:szCs w:val="21"/>
          <w:highlight w:val="none"/>
          <w:lang w:eastAsia="zh-CN"/>
        </w:rPr>
        <w:t>东莞市水务集团建设管理有限公司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8</w:t>
      </w:r>
      <w:r>
        <w:rPr>
          <w:rFonts w:hint="eastAsia" w:ascii="宋体" w:hAnsi="宋体" w:eastAsia="宋体" w:cs="Times New Roman"/>
          <w:color w:val="auto"/>
          <w:kern w:val="0"/>
          <w:szCs w:val="21"/>
          <w:highlight w:val="none"/>
        </w:rPr>
        <w:t>）“乙方”指在合同条款中指明的本合同项下提供服务的公司或实体；</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9</w:t>
      </w:r>
      <w:r>
        <w:rPr>
          <w:rFonts w:hint="eastAsia" w:ascii="宋体" w:hAnsi="宋体" w:eastAsia="宋体" w:cs="Times New Roman"/>
          <w:color w:val="auto"/>
          <w:kern w:val="0"/>
          <w:szCs w:val="21"/>
          <w:highlight w:val="none"/>
        </w:rPr>
        <w:t>）“招标文件”指由招标代理机构发出的本招标文件，包括全部章节和附件；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10</w:t>
      </w:r>
      <w:r>
        <w:rPr>
          <w:rFonts w:hint="eastAsia" w:ascii="宋体" w:hAnsi="宋体" w:eastAsia="宋体" w:cs="Times New Roman"/>
          <w:color w:val="auto"/>
          <w:kern w:val="0"/>
          <w:szCs w:val="21"/>
          <w:highlight w:val="none"/>
        </w:rPr>
        <w:t>）“投标文件”指投标人根据本招标文件向招标代理机构提交的全部文件；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rPr>
        <w:t>）“书面函件”指手写、打字或印刷的函件，包括电传、电报和传真；</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）“合同”指由本次招标所产生的合同或合约文件；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13</w:t>
      </w:r>
      <w:r>
        <w:rPr>
          <w:rFonts w:hint="eastAsia" w:ascii="宋体" w:hAnsi="宋体" w:eastAsia="宋体" w:cs="Times New Roman"/>
          <w:color w:val="auto"/>
          <w:kern w:val="0"/>
          <w:szCs w:val="21"/>
          <w:highlight w:val="none"/>
        </w:rPr>
        <w:t>）“日期”指公历日，“时间”指北京时间；</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14</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15</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w:t>
      </w:r>
      <w:r>
        <w:rPr>
          <w:rFonts w:hint="eastAsia" w:ascii="宋体" w:hAnsi="宋体" w:eastAsia="宋体" w:cs="Times New Roman"/>
          <w:color w:val="auto"/>
          <w:szCs w:val="21"/>
          <w:highlight w:val="none"/>
          <w:lang w:val="zh-CN"/>
        </w:rPr>
        <w:t>不含税</w:t>
      </w:r>
      <w:r>
        <w:rPr>
          <w:rFonts w:hint="eastAsia" w:ascii="宋体" w:hAnsi="宋体" w:eastAsia="宋体" w:cs="宋体"/>
          <w:color w:val="auto"/>
          <w:sz w:val="21"/>
          <w:szCs w:val="21"/>
          <w:highlight w:val="none"/>
        </w:rPr>
        <w:t>综合单价</w:t>
      </w:r>
      <w:r>
        <w:rPr>
          <w:rFonts w:hint="eastAsia" w:ascii="宋体" w:hAnsi="宋体" w:eastAsia="宋体" w:cs="Times New Roman"/>
          <w:color w:val="auto"/>
          <w:szCs w:val="21"/>
          <w:highlight w:val="none"/>
          <w:lang w:val="zh-CN"/>
        </w:rPr>
        <w:t>和</w:t>
      </w:r>
      <w:r>
        <w:rPr>
          <w:rFonts w:hint="eastAsia" w:ascii="宋体" w:hAnsi="宋体" w:eastAsia="宋体" w:cs="宋体"/>
          <w:color w:val="auto"/>
          <w:szCs w:val="21"/>
        </w:rPr>
        <w:t>暂定总合同价</w:t>
      </w:r>
      <w:r>
        <w:rPr>
          <w:rFonts w:hint="eastAsia" w:ascii="宋体" w:hAnsi="宋体" w:eastAsia="宋体" w:cs="Times New Roman"/>
          <w:color w:val="auto"/>
          <w:kern w:val="0"/>
          <w:szCs w:val="21"/>
          <w:highlight w:val="none"/>
        </w:rPr>
        <w:t>是指不含本采购项目投标人的销项税额，包含了投标人完成合同义务（含投标人代缴代扣、分包及委外服务、施工、采购货物等所产生的价税）的其他全部费用。本采购项目投标人的销项税额由</w:t>
      </w:r>
      <w:r>
        <w:rPr>
          <w:rFonts w:hint="eastAsia" w:ascii="宋体" w:hAnsi="宋体" w:eastAsia="宋体" w:cs="宋体"/>
          <w:color w:val="auto"/>
          <w:szCs w:val="21"/>
          <w:lang w:val="zh-CN"/>
        </w:rPr>
        <w:t>项目业主</w:t>
      </w:r>
      <w:r>
        <w:rPr>
          <w:rFonts w:hint="eastAsia" w:ascii="宋体" w:hAnsi="宋体" w:eastAsia="宋体" w:cs="Times New Roman"/>
          <w:color w:val="auto"/>
          <w:kern w:val="0"/>
          <w:szCs w:val="21"/>
          <w:highlight w:val="none"/>
        </w:rPr>
        <w:t>承担，不计入投标报价。</w:t>
      </w:r>
    </w:p>
    <w:p>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3" w:name="_Toc486167669"/>
      <w:bookmarkStart w:id="94" w:name="_Toc29125_WPSOffice_Level3"/>
      <w:bookmarkStart w:id="95" w:name="_Toc3727"/>
      <w:bookmarkStart w:id="96" w:name="_Toc11346"/>
      <w:bookmarkStart w:id="97" w:name="_Toc23939"/>
      <w:bookmarkStart w:id="98" w:name="_Toc142508319"/>
      <w:bookmarkStart w:id="99" w:name="_Toc1433"/>
      <w:bookmarkStart w:id="100" w:name="_Toc450662855"/>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93"/>
      <w:bookmarkEnd w:id="94"/>
      <w:bookmarkEnd w:id="95"/>
      <w:bookmarkEnd w:id="96"/>
      <w:bookmarkEnd w:id="97"/>
      <w:bookmarkEnd w:id="98"/>
      <w:bookmarkEnd w:id="99"/>
      <w:bookmarkEnd w:id="100"/>
    </w:p>
    <w:p>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1" w:name="_Toc23483_WPSOffice_Level3"/>
      <w:bookmarkStart w:id="102" w:name="_Toc486167670"/>
      <w:bookmarkStart w:id="103" w:name="_Toc17145"/>
      <w:bookmarkStart w:id="104" w:name="_Toc3794"/>
      <w:bookmarkStart w:id="105" w:name="_Toc39"/>
      <w:bookmarkStart w:id="106" w:name="_Toc142508320"/>
      <w:bookmarkStart w:id="107" w:name="_Toc29864"/>
      <w:bookmarkStart w:id="108" w:name="_Toc450662856"/>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01"/>
      <w:bookmarkEnd w:id="102"/>
      <w:bookmarkEnd w:id="103"/>
      <w:bookmarkEnd w:id="104"/>
      <w:bookmarkEnd w:id="105"/>
      <w:bookmarkEnd w:id="106"/>
      <w:bookmarkEnd w:id="107"/>
      <w:bookmarkEnd w:id="108"/>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招标文件的修改、补充通知在中国招标投标公共服务平台（</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"http://www.cebpubservice.com）、广东省招标投标监管"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www.cebpubservice.com）、</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东莞市水务集团有限公司网（</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"www.dgswjt.cn）、招标代理公司网站（http://%20%20%20%20%20%20%20%20%20%20%20%20%20%20）"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www.dgswjt.cn）、招标代理</w:t>
      </w:r>
      <w:r>
        <w:rPr>
          <w:rFonts w:hint="eastAsia" w:ascii="宋体" w:hAnsi="宋体" w:eastAsia="宋体" w:cs="宋体"/>
          <w:color w:val="auto"/>
          <w:szCs w:val="21"/>
          <w:highlight w:val="none"/>
          <w:lang w:val="en-US" w:eastAsia="zh-CN"/>
        </w:rPr>
        <w:t>机构</w:t>
      </w:r>
      <w:r>
        <w:rPr>
          <w:rFonts w:hint="eastAsia" w:ascii="宋体" w:hAnsi="宋体" w:eastAsia="宋体" w:cs="宋体"/>
          <w:color w:val="auto"/>
          <w:szCs w:val="21"/>
          <w:highlight w:val="none"/>
          <w:lang w:val="zh-CN"/>
        </w:rPr>
        <w:t>网站（www.sfcx.cn）</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公布，请各投标人密切留意。</w:t>
      </w:r>
    </w:p>
    <w:p>
      <w:pPr>
        <w:autoSpaceDE w:val="0"/>
        <w:autoSpaceDN w:val="0"/>
        <w:adjustRightInd w:val="0"/>
        <w:spacing w:line="360" w:lineRule="auto"/>
        <w:ind w:left="357" w:leftChars="-100" w:hanging="567"/>
        <w:rPr>
          <w:rFonts w:ascii="宋体" w:hAnsi="宋体" w:eastAsia="宋体" w:cs="宋体"/>
          <w:color w:val="auto"/>
          <w:szCs w:val="21"/>
          <w:highlight w:val="none"/>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9" w:name="_Toc8711"/>
      <w:bookmarkStart w:id="110" w:name="_Toc23342"/>
      <w:bookmarkStart w:id="111" w:name="_Toc29659_WPSOffice_Level2"/>
      <w:bookmarkStart w:id="112" w:name="_Toc140596880"/>
      <w:bookmarkStart w:id="113" w:name="_Toc26321"/>
      <w:bookmarkStart w:id="114" w:name="_Toc450662857"/>
      <w:bookmarkStart w:id="115" w:name="_Toc27196"/>
      <w:bookmarkStart w:id="116" w:name="_Toc486167671"/>
      <w:bookmarkStart w:id="117" w:name="_Toc142508321"/>
      <w:r>
        <w:rPr>
          <w:rFonts w:hint="eastAsia" w:ascii="宋体" w:hAnsi="宋体" w:eastAsia="宋体" w:cs="宋体"/>
          <w:b/>
          <w:bCs/>
          <w:color w:val="auto"/>
          <w:kern w:val="44"/>
          <w:szCs w:val="21"/>
          <w:highlight w:val="none"/>
          <w:lang w:val="zh-CN"/>
        </w:rPr>
        <w:t>三、投标文件的编制</w:t>
      </w:r>
      <w:bookmarkEnd w:id="109"/>
      <w:bookmarkEnd w:id="110"/>
      <w:bookmarkEnd w:id="111"/>
      <w:bookmarkEnd w:id="112"/>
      <w:bookmarkEnd w:id="113"/>
      <w:bookmarkEnd w:id="114"/>
      <w:bookmarkEnd w:id="115"/>
      <w:bookmarkEnd w:id="116"/>
      <w:bookmarkEnd w:id="117"/>
    </w:p>
    <w:p>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8" w:name="_Toc7168"/>
      <w:bookmarkStart w:id="119" w:name="_Toc31162"/>
      <w:bookmarkStart w:id="120" w:name="_Toc450662858"/>
      <w:bookmarkStart w:id="121" w:name="_Toc6244"/>
      <w:bookmarkStart w:id="122" w:name="_Toc3827"/>
      <w:bookmarkStart w:id="123" w:name="_Toc486167672"/>
      <w:bookmarkStart w:id="124" w:name="_Toc10015_WPSOffice_Level3"/>
      <w:bookmarkStart w:id="125" w:name="_Toc142508322"/>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18"/>
      <w:bookmarkEnd w:id="119"/>
      <w:bookmarkEnd w:id="120"/>
      <w:bookmarkEnd w:id="121"/>
      <w:bookmarkEnd w:id="122"/>
      <w:bookmarkEnd w:id="123"/>
      <w:bookmarkEnd w:id="124"/>
      <w:bookmarkEnd w:id="125"/>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pPr>
        <w:autoSpaceDE w:val="0"/>
        <w:autoSpaceDN w:val="0"/>
        <w:adjustRightInd w:val="0"/>
        <w:spacing w:line="360" w:lineRule="auto"/>
        <w:rPr>
          <w:rFonts w:ascii="宋体" w:hAnsi="宋体" w:eastAsia="宋体" w:cs="宋体"/>
          <w:color w:val="auto"/>
          <w:szCs w:val="21"/>
          <w:highlight w:val="none"/>
          <w:lang w:val="zh-CN"/>
        </w:rPr>
      </w:pPr>
    </w:p>
    <w:p>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26" w:name="_Toc142508323"/>
      <w:bookmarkStart w:id="127" w:name="_Toc14943"/>
      <w:bookmarkStart w:id="128" w:name="_Toc26462"/>
      <w:bookmarkStart w:id="129" w:name="_Toc7348"/>
      <w:bookmarkStart w:id="130" w:name="_Toc450662859"/>
      <w:bookmarkStart w:id="131" w:name="_Toc486167673"/>
      <w:bookmarkStart w:id="132" w:name="_Toc24916_WPSOffice_Level3"/>
      <w:bookmarkStart w:id="133" w:name="_Toc538"/>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6"/>
      <w:bookmarkEnd w:id="127"/>
      <w:bookmarkEnd w:id="128"/>
      <w:bookmarkEnd w:id="129"/>
      <w:bookmarkEnd w:id="130"/>
      <w:bookmarkEnd w:id="131"/>
      <w:bookmarkEnd w:id="132"/>
      <w:bookmarkEnd w:id="133"/>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）现场转换采购方式同意书；</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）供货及/或提供服务过程承诺函；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）投标报价表；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）投标人资格证明文件：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pPr>
        <w:tabs>
          <w:tab w:val="left" w:pos="1276"/>
        </w:tabs>
        <w:spacing w:line="360" w:lineRule="auto"/>
        <w:ind w:left="283" w:hanging="283" w:hangingChars="135"/>
        <w:rPr>
          <w:rFonts w:ascii="宋体" w:hAnsi="宋体" w:eastAsia="宋体" w:cs="Times New Roman"/>
          <w:color w:val="auto"/>
          <w:szCs w:val="21"/>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w:t>
      </w:r>
      <w:r>
        <w:rPr>
          <w:rFonts w:hint="eastAsia" w:ascii="宋体" w:hAnsi="宋体" w:eastAsia="宋体" w:cs="Times New Roman"/>
          <w:color w:val="auto"/>
          <w:szCs w:val="21"/>
        </w:rPr>
        <w:t>由住房和城乡建设部门颁发的并在有效期内的建设工程质量检测机构资质证书（须同时涵盖地基基础工程检测、主体结构工程现场检测、钢结构工程检测），或者是建设工程质量检测机构综合资质证书，或者是建设工程质量检测机构专项资质证书（须同时取得建筑材料及构配件、主体结构及装饰装修、钢结构、地基基础、市政工程材料、道路工程6个专项资质）复印件；</w:t>
      </w:r>
    </w:p>
    <w:p>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rPr>
        <w:t>5</w:t>
      </w:r>
      <w:r>
        <w:rPr>
          <w:rFonts w:hint="eastAsia" w:ascii="宋体" w:hAnsi="宋体" w:eastAsia="宋体" w:cs="宋体"/>
          <w:color w:val="auto"/>
          <w:szCs w:val="21"/>
        </w:rPr>
        <w:t>）</w:t>
      </w:r>
      <w:r>
        <w:rPr>
          <w:rFonts w:hint="eastAsia" w:ascii="宋体" w:hAnsi="宋体" w:eastAsia="宋体"/>
          <w:color w:val="auto"/>
          <w:szCs w:val="21"/>
        </w:rPr>
        <w:t>资格业绩</w:t>
      </w:r>
      <w:r>
        <w:rPr>
          <w:rFonts w:hint="default" w:ascii="宋体" w:hAnsi="宋体" w:eastAsia="宋体" w:cs="Times New Roman"/>
          <w:color w:val="auto"/>
          <w:szCs w:val="21"/>
          <w:lang w:val="zh-CN"/>
        </w:rPr>
        <w:t>【</w:t>
      </w:r>
      <w:r>
        <w:rPr>
          <w:rFonts w:hint="default" w:ascii="宋体" w:hAnsi="宋体" w:eastAsia="宋体" w:cs="Times New Roman"/>
          <w:color w:val="auto"/>
          <w:sz w:val="21"/>
          <w:szCs w:val="21"/>
          <w:lang w:val="zh-CN"/>
        </w:rPr>
        <w:t>投标人</w:t>
      </w:r>
      <w:r>
        <w:rPr>
          <w:rFonts w:hint="default" w:ascii="宋体" w:hAnsi="宋体" w:eastAsia="宋体" w:cs="Times New Roman"/>
          <w:color w:val="auto"/>
          <w:sz w:val="21"/>
          <w:szCs w:val="21"/>
          <w:lang w:val="zh-CN" w:eastAsia="zh-CN"/>
        </w:rPr>
        <w:t>2021年</w:t>
      </w:r>
      <w:r>
        <w:rPr>
          <w:rFonts w:hint="default" w:ascii="宋体" w:hAnsi="宋体" w:eastAsia="宋体" w:cs="Times New Roman"/>
          <w:color w:val="auto"/>
          <w:sz w:val="21"/>
          <w:szCs w:val="21"/>
          <w:lang w:val="zh-CN"/>
        </w:rPr>
        <w:t>1月1日以来具有一项市政工程检测业绩（合同签订日期为</w:t>
      </w:r>
      <w:r>
        <w:rPr>
          <w:rFonts w:hint="default" w:ascii="宋体" w:hAnsi="宋体" w:eastAsia="宋体" w:cs="Times New Roman"/>
          <w:color w:val="auto"/>
          <w:sz w:val="21"/>
          <w:szCs w:val="21"/>
          <w:lang w:val="zh-CN" w:eastAsia="zh-CN"/>
        </w:rPr>
        <w:t>2021年</w:t>
      </w:r>
      <w:r>
        <w:rPr>
          <w:rFonts w:hint="default" w:ascii="宋体" w:hAnsi="宋体" w:eastAsia="宋体" w:cs="Times New Roman"/>
          <w:color w:val="auto"/>
          <w:sz w:val="21"/>
          <w:szCs w:val="21"/>
          <w:lang w:val="zh-CN"/>
        </w:rPr>
        <w:t>1月1日或以后）</w:t>
      </w:r>
      <w:r>
        <w:rPr>
          <w:rFonts w:hint="default" w:ascii="宋体" w:hAnsi="宋体" w:eastAsia="宋体" w:cs="Times New Roman"/>
          <w:color w:val="auto"/>
          <w:szCs w:val="21"/>
          <w:lang w:val="zh-CN"/>
        </w:rPr>
        <w:t>，资格业绩证明材料提交要求详见招标文件第六篇投标文件格式</w:t>
      </w:r>
      <w:r>
        <w:rPr>
          <w:rFonts w:hint="eastAsia" w:ascii="宋体" w:hAnsi="宋体" w:eastAsia="宋体" w:cs="Times New Roman"/>
          <w:color w:val="auto"/>
          <w:szCs w:val="21"/>
          <w:u w:val="none"/>
          <w:lang w:val="en-US" w:eastAsia="zh-CN"/>
        </w:rPr>
        <w:t>6</w:t>
      </w:r>
      <w:r>
        <w:rPr>
          <w:rFonts w:hint="default" w:ascii="宋体" w:hAnsi="宋体" w:eastAsia="宋体" w:cs="Times New Roman"/>
          <w:color w:val="auto"/>
          <w:szCs w:val="21"/>
          <w:u w:val="none"/>
          <w:lang w:val="zh-CN"/>
        </w:rPr>
        <w:t>.</w:t>
      </w:r>
      <w:r>
        <w:rPr>
          <w:rFonts w:hint="eastAsia" w:ascii="宋体" w:hAnsi="宋体" w:eastAsia="宋体" w:cs="Times New Roman"/>
          <w:color w:val="auto"/>
          <w:szCs w:val="21"/>
          <w:u w:val="none"/>
          <w:lang w:val="en-US" w:eastAsia="zh-CN"/>
        </w:rPr>
        <w:t>5</w:t>
      </w:r>
      <w:r>
        <w:rPr>
          <w:rFonts w:hint="default" w:ascii="宋体" w:hAnsi="宋体" w:eastAsia="宋体" w:cs="Times New Roman"/>
          <w:color w:val="auto"/>
          <w:szCs w:val="21"/>
          <w:lang w:val="zh-CN"/>
        </w:rPr>
        <w:t>】</w:t>
      </w:r>
      <w:r>
        <w:rPr>
          <w:rFonts w:hint="eastAsia" w:ascii="宋体" w:hAnsi="宋体" w:eastAsia="宋体"/>
          <w:color w:val="auto"/>
          <w:szCs w:val="21"/>
          <w:highlight w:val="none"/>
          <w:lang w:eastAsia="zh-CN"/>
        </w:rPr>
        <w:t>；</w:t>
      </w:r>
    </w:p>
    <w:p>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）投标人基本情况一览表；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）投标人财务状况表；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）拟投入人员情况；</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）投标保证金汇入情况说明；</w:t>
      </w:r>
    </w:p>
    <w:p>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（1）用户需求响应程度（即用户需求偏离表格式）；</w:t>
      </w:r>
    </w:p>
    <w:p>
      <w:pPr>
        <w:spacing w:line="360" w:lineRule="auto"/>
        <w:ind w:left="315" w:leftChars="-100" w:hanging="525" w:hangingChars="250"/>
        <w:rPr>
          <w:rFonts w:ascii="宋体" w:hAnsi="宋体" w:eastAsia="宋体" w:cs="宋体"/>
          <w:color w:val="auto"/>
          <w:kern w:val="0"/>
          <w:szCs w:val="21"/>
        </w:rPr>
      </w:pPr>
      <w:r>
        <w:rPr>
          <w:rFonts w:hint="eastAsia" w:ascii="宋体" w:hAnsi="宋体" w:eastAsia="宋体" w:cs="宋体"/>
          <w:color w:val="auto"/>
          <w:kern w:val="0"/>
          <w:szCs w:val="21"/>
        </w:rPr>
        <w:t>（2）检测方案</w:t>
      </w:r>
      <w:r>
        <w:rPr>
          <w:rFonts w:hint="eastAsia" w:ascii="宋体" w:hAnsi="宋体" w:eastAsia="宋体" w:cs="Times New Roman"/>
          <w:color w:val="auto"/>
          <w:kern w:val="0"/>
          <w:szCs w:val="21"/>
          <w:lang w:val="zh-CN"/>
        </w:rPr>
        <w:t>；</w:t>
      </w:r>
    </w:p>
    <w:p>
      <w:pPr>
        <w:spacing w:line="360" w:lineRule="auto"/>
        <w:ind w:left="315" w:leftChars="-100" w:hanging="525" w:hangingChars="250"/>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检测成果准确性承诺书；</w:t>
      </w:r>
    </w:p>
    <w:p>
      <w:pPr>
        <w:spacing w:line="360" w:lineRule="auto"/>
        <w:ind w:left="315" w:leftChars="-100" w:hanging="525" w:hangingChars="250"/>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服务响应时间承诺书；</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（5）投标人认为有必要提供的其它材料（不做强制要求）。</w:t>
      </w:r>
    </w:p>
    <w:p>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4" w:name="_Toc486167674"/>
      <w:bookmarkStart w:id="135" w:name="_Toc8675_WPSOffice_Level3"/>
      <w:bookmarkStart w:id="136" w:name="_Toc13214"/>
      <w:bookmarkStart w:id="137" w:name="_Toc450662860"/>
      <w:bookmarkStart w:id="138" w:name="_Toc142508324"/>
      <w:bookmarkStart w:id="139" w:name="_Toc31771"/>
      <w:bookmarkStart w:id="140" w:name="_Toc11170"/>
      <w:bookmarkStart w:id="141" w:name="_Toc18247"/>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34"/>
      <w:bookmarkEnd w:id="135"/>
      <w:bookmarkEnd w:id="136"/>
      <w:bookmarkEnd w:id="137"/>
      <w:bookmarkEnd w:id="138"/>
      <w:bookmarkEnd w:id="139"/>
      <w:bookmarkEnd w:id="140"/>
      <w:bookmarkEnd w:id="141"/>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2" w:name="_Toc15427"/>
      <w:bookmarkStart w:id="143" w:name="_Toc142508325"/>
      <w:bookmarkStart w:id="144" w:name="_Toc20186"/>
      <w:bookmarkStart w:id="145" w:name="_Toc450662861"/>
      <w:bookmarkStart w:id="146" w:name="_Toc24311"/>
      <w:bookmarkStart w:id="147" w:name="_Toc486167675"/>
      <w:bookmarkStart w:id="148" w:name="_Toc14340"/>
      <w:bookmarkStart w:id="149" w:name="_Toc4385_WPSOffice_Level3"/>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42"/>
      <w:bookmarkEnd w:id="143"/>
      <w:bookmarkEnd w:id="144"/>
      <w:bookmarkEnd w:id="145"/>
      <w:bookmarkEnd w:id="146"/>
      <w:bookmarkEnd w:id="147"/>
      <w:bookmarkEnd w:id="148"/>
      <w:bookmarkEnd w:id="149"/>
    </w:p>
    <w:p>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11.1 </w:t>
      </w:r>
      <w:r>
        <w:rPr>
          <w:rFonts w:hint="eastAsia" w:ascii="宋体" w:hAnsi="宋体" w:eastAsia="宋体" w:cs="宋体"/>
          <w:b/>
          <w:color w:val="auto"/>
          <w:szCs w:val="21"/>
          <w:lang w:val="zh-CN"/>
        </w:rPr>
        <w:t>本项目的投标报价采用填报服务系数的方式，投标人须报出检测服务系数。</w:t>
      </w:r>
      <w:r>
        <w:rPr>
          <w:rFonts w:hint="eastAsia" w:ascii="宋体" w:hAnsi="宋体" w:eastAsia="宋体" w:cs="宋体"/>
          <w:b/>
          <w:color w:val="auto"/>
          <w:szCs w:val="21"/>
          <w:highlight w:val="none"/>
          <w:lang w:val="zh-CN"/>
        </w:rPr>
        <w:t>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szCs w:val="21"/>
          <w:lang w:val="zh-CN"/>
        </w:rPr>
        <w:t>本项目的投标报价采用检测服务系数报价，合同履约过程中，工程量清单计价表中检测项目</w:t>
      </w:r>
      <w:r>
        <w:rPr>
          <w:rFonts w:hint="eastAsia" w:ascii="宋体" w:hAnsi="宋体" w:eastAsia="宋体" w:cs="宋体"/>
          <w:color w:val="auto"/>
          <w:szCs w:val="21"/>
          <w:lang w:val="en-US" w:eastAsia="zh-CN"/>
        </w:rPr>
        <w:t>结算</w:t>
      </w:r>
      <w:r>
        <w:rPr>
          <w:rFonts w:hint="eastAsia" w:ascii="宋体" w:hAnsi="宋体" w:eastAsia="宋体" w:cs="宋体"/>
          <w:color w:val="auto"/>
          <w:szCs w:val="21"/>
          <w:lang w:val="zh-CN"/>
        </w:rPr>
        <w:t>不含税综合单价按以下方式计算：</w:t>
      </w:r>
      <w:r>
        <w:rPr>
          <w:rFonts w:hint="eastAsia" w:ascii="宋体" w:hAnsi="宋体" w:eastAsia="宋体" w:cs="宋体"/>
          <w:color w:val="auto"/>
          <w:szCs w:val="21"/>
          <w:lang w:val="en-US" w:eastAsia="zh-CN"/>
        </w:rPr>
        <w:t>结算</w:t>
      </w:r>
      <w:r>
        <w:rPr>
          <w:rFonts w:hint="eastAsia" w:ascii="宋体" w:hAnsi="宋体" w:eastAsia="宋体" w:cs="宋体"/>
          <w:color w:val="auto"/>
          <w:szCs w:val="21"/>
          <w:lang w:val="zh-CN"/>
        </w:rPr>
        <w:t>不含税综合单价=不含税综合单价×</w:t>
      </w:r>
      <w:r>
        <w:rPr>
          <w:rFonts w:hint="eastAsia" w:ascii="宋体" w:hAnsi="宋体" w:eastAsia="宋体" w:cs="宋体"/>
          <w:color w:val="auto"/>
          <w:szCs w:val="21"/>
          <w:lang w:val="en-US" w:eastAsia="zh-CN"/>
        </w:rPr>
        <w:t>中标</w:t>
      </w:r>
      <w:r>
        <w:rPr>
          <w:rFonts w:hint="eastAsia" w:ascii="宋体" w:hAnsi="宋体" w:eastAsia="宋体" w:cs="宋体"/>
          <w:color w:val="auto"/>
          <w:szCs w:val="21"/>
          <w:lang w:val="zh-CN"/>
        </w:rPr>
        <w:t>检测服务系数，以实际工作量进行结算，</w:t>
      </w:r>
      <w:r>
        <w:rPr>
          <w:rFonts w:hint="eastAsia" w:ascii="宋体" w:hAnsi="宋体" w:eastAsia="宋体" w:cs="宋体"/>
          <w:color w:val="auto"/>
          <w:szCs w:val="21"/>
          <w:lang w:val="en-US" w:eastAsia="zh-CN"/>
        </w:rPr>
        <w:t>结算</w:t>
      </w:r>
      <w:r>
        <w:rPr>
          <w:rFonts w:hint="eastAsia" w:ascii="宋体" w:hAnsi="宋体" w:eastAsia="宋体" w:cs="宋体"/>
          <w:color w:val="auto"/>
          <w:szCs w:val="21"/>
          <w:lang w:val="zh-CN"/>
        </w:rPr>
        <w:t>不含税综合单价出现小数点，保留小数点后两位，从小数点后第3位四舍五入。</w:t>
      </w:r>
      <w:r>
        <w:rPr>
          <w:rFonts w:hint="eastAsia" w:ascii="宋体" w:hAnsi="宋体" w:eastAsia="宋体" w:cs="Times New Roman"/>
          <w:color w:val="auto"/>
          <w:szCs w:val="21"/>
          <w:highlight w:val="none"/>
          <w:lang w:val="zh-CN"/>
        </w:rPr>
        <w:t>本招标文件所称的不含税</w:t>
      </w:r>
      <w:r>
        <w:rPr>
          <w:rFonts w:hint="eastAsia" w:ascii="宋体" w:hAnsi="宋体" w:eastAsia="宋体" w:cs="宋体"/>
          <w:color w:val="auto"/>
          <w:sz w:val="21"/>
          <w:szCs w:val="21"/>
          <w:highlight w:val="none"/>
        </w:rPr>
        <w:t>综合单价</w:t>
      </w:r>
      <w:r>
        <w:rPr>
          <w:rFonts w:hint="eastAsia" w:ascii="宋体" w:hAnsi="宋体" w:eastAsia="宋体" w:cs="Times New Roman"/>
          <w:color w:val="auto"/>
          <w:szCs w:val="21"/>
          <w:highlight w:val="none"/>
          <w:lang w:val="zh-CN"/>
        </w:rPr>
        <w:t>和</w:t>
      </w:r>
      <w:r>
        <w:rPr>
          <w:rFonts w:hint="eastAsia" w:ascii="宋体" w:hAnsi="宋体" w:eastAsia="宋体" w:cs="宋体"/>
          <w:color w:val="auto"/>
          <w:szCs w:val="21"/>
        </w:rPr>
        <w:t>暂定总合同价</w:t>
      </w:r>
      <w:r>
        <w:rPr>
          <w:rFonts w:hint="eastAsia" w:ascii="宋体" w:hAnsi="宋体" w:eastAsia="宋体" w:cs="Times New Roman"/>
          <w:color w:val="auto"/>
          <w:szCs w:val="21"/>
          <w:highlight w:val="none"/>
          <w:lang w:val="zh-CN"/>
        </w:rPr>
        <w:t>是指不含本采购项目投标人的销项税额，包含了投标人完成合同义务（含投标人代缴代扣、分包及委外服务、安装、采购货物等所产生的价税）的其他全部费用。本采购项目的销项税额由</w:t>
      </w:r>
      <w:r>
        <w:rPr>
          <w:rFonts w:hint="eastAsia" w:ascii="宋体" w:hAnsi="宋体" w:eastAsia="宋体" w:cs="宋体"/>
          <w:color w:val="auto"/>
          <w:szCs w:val="21"/>
          <w:lang w:val="zh-CN"/>
        </w:rPr>
        <w:t>项目业主</w:t>
      </w:r>
      <w:r>
        <w:rPr>
          <w:rFonts w:hint="eastAsia" w:ascii="宋体" w:hAnsi="宋体" w:eastAsia="宋体" w:cs="Times New Roman"/>
          <w:color w:val="auto"/>
          <w:szCs w:val="21"/>
          <w:highlight w:val="none"/>
          <w:lang w:val="zh-CN"/>
        </w:rPr>
        <w:t>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kern w:val="2"/>
          <w:sz w:val="21"/>
          <w:szCs w:val="21"/>
          <w:highlight w:val="none"/>
        </w:rPr>
        <w:t>人工（含雨季、高温、赶工和夜间作业加班费，以及现场检测或试验所需的辅助劳务）、材料、仪器设备、机械、试件加工、检测（试验）及其措施（含施工期间设施的照管及受损设施的修复等）、试坑开挖、桩头处理、加荷体吊装运输、重锤吊装及运输费、钻孔费、引孔费、道路修填、临时设施费、技术工作收费、安全措施、驻地项目部等完成全部检测（试验）工作所需费用及利润、检测人销项税额以外的税金</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报价过程产生的费用、办理履约担保费用、水电及进退场、差旅、驻地、办公设施、用品、食宿费、交通、通讯、施工配合费、保险费、风险费、检测方案的审查及专家论证费等完成本项目服务相关的直接及间接费用</w:t>
      </w:r>
      <w:r>
        <w:rPr>
          <w:rFonts w:hint="eastAsia" w:ascii="宋体" w:hAnsi="宋体" w:eastAsia="宋体" w:cs="宋体"/>
          <w:color w:val="auto"/>
          <w:szCs w:val="21"/>
          <w:highlight w:val="none"/>
          <w:lang w:val="zh-CN"/>
        </w:rPr>
        <w:t>；</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 w:val="21"/>
          <w:szCs w:val="21"/>
          <w:highlight w:val="none"/>
        </w:rPr>
        <w:t>检测时，如需土建施工单位配合或向其租借设备时，中标人自行与施工单位协调，配合及租借费用</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3</w:t>
      </w:r>
      <w:r>
        <w:rPr>
          <w:rFonts w:hint="eastAsia" w:ascii="宋体" w:hAnsi="宋体" w:eastAsia="宋体" w:cs="宋体"/>
          <w:color w:val="auto"/>
          <w:szCs w:val="21"/>
          <w:lang w:val="zh-CN"/>
        </w:rPr>
        <w:t>）法律法规、商业公认、招标文件规定由投标人承担的其他直接及间接费用。</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w:t>
      </w:r>
      <w:r>
        <w:rPr>
          <w:rFonts w:hint="eastAsia" w:ascii="宋体" w:hAnsi="宋体" w:eastAsia="宋体" w:cs="Times New Roman"/>
          <w:b/>
          <w:bCs/>
          <w:color w:val="auto"/>
          <w:szCs w:val="21"/>
          <w:highlight w:val="none"/>
          <w:lang w:val="en-US" w:eastAsia="zh-CN"/>
        </w:rPr>
        <w:t>相关</w:t>
      </w:r>
      <w:r>
        <w:rPr>
          <w:rFonts w:hint="eastAsia" w:ascii="宋体" w:hAnsi="宋体" w:eastAsia="宋体" w:cs="Times New Roman"/>
          <w:b/>
          <w:bCs/>
          <w:color w:val="auto"/>
          <w:szCs w:val="21"/>
          <w:highlight w:val="none"/>
          <w:lang w:val="zh-CN"/>
        </w:rPr>
        <w:t>服务所需的费用，投标人都应计入投标报价总价。</w:t>
      </w:r>
    </w:p>
    <w:p>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Times New Roman"/>
          <w:b/>
          <w:bCs/>
          <w:color w:val="auto"/>
          <w:szCs w:val="21"/>
          <w:u w:val="single"/>
        </w:rPr>
        <w:t>投标人</w:t>
      </w:r>
      <w:r>
        <w:rPr>
          <w:rFonts w:hint="eastAsia" w:ascii="宋体" w:hAnsi="宋体" w:eastAsia="宋体" w:cs="Times New Roman"/>
          <w:b/>
          <w:bCs/>
          <w:color w:val="auto"/>
          <w:szCs w:val="21"/>
          <w:u w:val="single"/>
          <w:lang w:val="en-US" w:eastAsia="zh-CN"/>
        </w:rPr>
        <w:t>检测</w:t>
      </w:r>
      <w:r>
        <w:rPr>
          <w:rFonts w:hint="eastAsia" w:ascii="宋体" w:hAnsi="宋体" w:eastAsia="宋体" w:cs="Times New Roman"/>
          <w:b/>
          <w:bCs/>
          <w:color w:val="auto"/>
          <w:szCs w:val="21"/>
          <w:u w:val="single"/>
        </w:rPr>
        <w:t>服务系数报价</w:t>
      </w:r>
      <w:r>
        <w:rPr>
          <w:rFonts w:hint="eastAsia" w:ascii="宋体" w:hAnsi="宋体" w:eastAsia="宋体" w:cs="Times New Roman"/>
          <w:b/>
          <w:bCs/>
          <w:color w:val="auto"/>
          <w:szCs w:val="21"/>
          <w:u w:val="single"/>
          <w:lang w:val="en-US" w:eastAsia="zh-CN"/>
        </w:rPr>
        <w:t>不得超过0.80</w:t>
      </w:r>
      <w:r>
        <w:rPr>
          <w:rFonts w:hint="eastAsia" w:ascii="宋体" w:hAnsi="宋体" w:eastAsia="宋体" w:cs="Times New Roman"/>
          <w:b/>
          <w:bCs/>
          <w:color w:val="auto"/>
          <w:szCs w:val="21"/>
          <w:u w:val="single"/>
        </w:rPr>
        <w:t>（保留小数点后2位）</w:t>
      </w:r>
      <w:r>
        <w:rPr>
          <w:rFonts w:hint="eastAsia" w:ascii="宋体" w:hAnsi="宋体" w:eastAsia="宋体" w:cs="Times New Roman"/>
          <w:b/>
          <w:bCs/>
          <w:color w:val="auto"/>
          <w:szCs w:val="21"/>
          <w:u w:val="single"/>
          <w:lang w:eastAsia="zh-CN"/>
        </w:rPr>
        <w:t>，</w:t>
      </w:r>
      <w:r>
        <w:rPr>
          <w:rFonts w:hint="eastAsia" w:ascii="宋体" w:hAnsi="宋体" w:eastAsia="宋体" w:cs="Times New Roman"/>
          <w:b/>
          <w:bCs/>
          <w:color w:val="auto"/>
          <w:szCs w:val="21"/>
          <w:u w:val="single"/>
        </w:rPr>
        <w:t>且不能为</w:t>
      </w:r>
      <w:r>
        <w:rPr>
          <w:rFonts w:hint="eastAsia" w:ascii="宋体" w:hAnsi="宋体" w:eastAsia="宋体" w:cs="Times New Roman"/>
          <w:b/>
          <w:bCs/>
          <w:color w:val="auto"/>
          <w:szCs w:val="21"/>
          <w:u w:val="single"/>
          <w:lang w:val="en-US" w:eastAsia="zh-CN"/>
        </w:rPr>
        <w:t>0.00或</w:t>
      </w:r>
      <w:r>
        <w:rPr>
          <w:rFonts w:hint="eastAsia" w:ascii="宋体" w:hAnsi="宋体" w:eastAsia="宋体" w:cs="Times New Roman"/>
          <w:b/>
          <w:bCs/>
          <w:color w:val="auto"/>
          <w:szCs w:val="21"/>
          <w:u w:val="single"/>
        </w:rPr>
        <w:t>负数</w:t>
      </w:r>
      <w:bookmarkStart w:id="782" w:name="_GoBack"/>
      <w:bookmarkEnd w:id="782"/>
      <w:r>
        <w:rPr>
          <w:rFonts w:hint="eastAsia" w:ascii="宋体" w:hAnsi="宋体" w:eastAsia="宋体" w:cs="Times New Roman"/>
          <w:b/>
          <w:bCs/>
          <w:color w:val="auto"/>
          <w:szCs w:val="21"/>
          <w:u w:val="single"/>
        </w:rPr>
        <w:t>，投标人未按招标文件要求进行检测服务系数报价的，将被视为无效投标。暂定含税总采购金额为1,441,009.53元（大写：人民币</w:t>
      </w:r>
      <w:r>
        <w:rPr>
          <w:rFonts w:hint="eastAsia" w:ascii="宋体" w:hAnsi="宋体" w:eastAsia="宋体" w:cs="Times New Roman"/>
          <w:b/>
          <w:bCs/>
          <w:color w:val="auto"/>
          <w:szCs w:val="21"/>
          <w:u w:val="single"/>
          <w:lang w:val="en-US" w:eastAsia="zh-CN"/>
        </w:rPr>
        <w:t>壹佰肆拾肆万壹仟零玖元伍角叁分</w:t>
      </w:r>
      <w:r>
        <w:rPr>
          <w:rFonts w:hint="eastAsia" w:ascii="宋体" w:hAnsi="宋体" w:eastAsia="宋体" w:cs="Times New Roman"/>
          <w:b/>
          <w:bCs/>
          <w:color w:val="auto"/>
          <w:szCs w:val="21"/>
          <w:u w:val="single"/>
        </w:rPr>
        <w:t>），暂定不含税总采购金额为 1,359,442.96元（大写：人民币</w:t>
      </w:r>
      <w:r>
        <w:rPr>
          <w:rFonts w:hint="eastAsia" w:ascii="宋体" w:hAnsi="宋体" w:eastAsia="宋体" w:cs="Times New Roman"/>
          <w:b/>
          <w:bCs/>
          <w:color w:val="auto"/>
          <w:szCs w:val="21"/>
          <w:u w:val="single"/>
          <w:lang w:val="en-US" w:eastAsia="zh-CN"/>
        </w:rPr>
        <w:t>壹佰叁拾伍万玖仟肆佰肆拾贰元玖角陆分</w:t>
      </w:r>
      <w:r>
        <w:rPr>
          <w:rFonts w:hint="eastAsia" w:ascii="宋体" w:hAnsi="宋体" w:eastAsia="宋体" w:cs="Times New Roman"/>
          <w:b/>
          <w:bCs/>
          <w:color w:val="auto"/>
          <w:szCs w:val="21"/>
          <w:u w:val="single"/>
        </w:rPr>
        <w:t>）</w:t>
      </w:r>
      <w:r>
        <w:rPr>
          <w:rFonts w:hint="eastAsia" w:ascii="宋体" w:hAnsi="宋体" w:eastAsia="宋体" w:cs="宋体"/>
          <w:b/>
          <w:color w:val="auto"/>
          <w:szCs w:val="21"/>
          <w:u w:val="singl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50" w:name="_Toc450662862"/>
      <w:bookmarkStart w:id="151" w:name="_Toc486167676"/>
      <w:bookmarkStart w:id="152" w:name="_Toc3469"/>
      <w:bookmarkStart w:id="153" w:name="_Toc30042_WPSOffice_Level3"/>
      <w:bookmarkStart w:id="154" w:name="_Toc20312"/>
      <w:bookmarkStart w:id="155" w:name="_Toc8937"/>
      <w:bookmarkStart w:id="156" w:name="_Toc142508326"/>
      <w:bookmarkStart w:id="157" w:name="_Toc28917"/>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50"/>
      <w:bookmarkEnd w:id="151"/>
      <w:bookmarkEnd w:id="152"/>
      <w:bookmarkEnd w:id="153"/>
      <w:bookmarkEnd w:id="154"/>
      <w:bookmarkEnd w:id="155"/>
      <w:bookmarkEnd w:id="156"/>
      <w:bookmarkEnd w:id="157"/>
    </w:p>
    <w:p>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Times New Roman"/>
          <w:b/>
          <w:color w:val="auto"/>
          <w:szCs w:val="21"/>
          <w:lang w:val="zh-CN"/>
        </w:rPr>
        <w:t>本项目投标报价或以投标报价换算的金额采用的币种为人民币</w:t>
      </w:r>
      <w:r>
        <w:rPr>
          <w:rFonts w:hint="eastAsia" w:ascii="宋体" w:hAnsi="宋体" w:eastAsia="宋体" w:cs="Times New Roman"/>
          <w:b/>
          <w:color w:val="auto"/>
          <w:szCs w:val="21"/>
          <w:highlight w:val="none"/>
          <w:lang w:val="zh-CN"/>
        </w:rPr>
        <w:t>，以其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265" w:leftChars="119" w:hanging="15"/>
        <w:rPr>
          <w:rFonts w:ascii="宋体" w:hAnsi="宋体" w:eastAsia="宋体" w:cs="宋体"/>
          <w:color w:val="auto"/>
          <w:szCs w:val="21"/>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8" w:name="_Toc450662863"/>
      <w:bookmarkStart w:id="159" w:name="_Toc213"/>
      <w:bookmarkStart w:id="160" w:name="_Toc142508327"/>
      <w:bookmarkStart w:id="161" w:name="_Toc3961"/>
      <w:bookmarkStart w:id="162" w:name="_Toc486167677"/>
      <w:bookmarkStart w:id="163" w:name="_Toc1091"/>
      <w:bookmarkStart w:id="164" w:name="_Toc20031"/>
      <w:bookmarkStart w:id="165" w:name="_Toc9411_WPSOffice_Level3"/>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58"/>
      <w:bookmarkEnd w:id="159"/>
      <w:bookmarkEnd w:id="160"/>
      <w:bookmarkEnd w:id="161"/>
      <w:bookmarkEnd w:id="162"/>
      <w:bookmarkEnd w:id="163"/>
      <w:bookmarkEnd w:id="164"/>
      <w:bookmarkEnd w:id="165"/>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6" w:name="_Toc486167678"/>
      <w:bookmarkStart w:id="167" w:name="_Toc19594"/>
      <w:bookmarkStart w:id="168" w:name="_Toc142508328"/>
      <w:bookmarkStart w:id="169" w:name="_Toc8615"/>
      <w:bookmarkStart w:id="170" w:name="_Toc450662864"/>
      <w:bookmarkStart w:id="171" w:name="_Toc27771_WPSOffice_Level3"/>
      <w:bookmarkStart w:id="172" w:name="_Toc16467"/>
      <w:bookmarkStart w:id="173" w:name="_Toc29754"/>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证明服务的合格性并符合招标文件规定的声明文件</w:t>
      </w:r>
      <w:bookmarkEnd w:id="166"/>
      <w:bookmarkEnd w:id="167"/>
      <w:bookmarkEnd w:id="168"/>
      <w:bookmarkEnd w:id="169"/>
      <w:bookmarkEnd w:id="170"/>
      <w:bookmarkEnd w:id="171"/>
      <w:bookmarkEnd w:id="172"/>
      <w:bookmarkEnd w:id="173"/>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pPr>
        <w:autoSpaceDE w:val="0"/>
        <w:autoSpaceDN w:val="0"/>
        <w:adjustRightInd w:val="0"/>
        <w:spacing w:line="360" w:lineRule="auto"/>
        <w:rPr>
          <w:rFonts w:ascii="宋体" w:hAnsi="宋体" w:eastAsia="宋体" w:cs="Times New Roman"/>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4" w:name="_Toc16828"/>
      <w:bookmarkStart w:id="175" w:name="_Toc486167679"/>
      <w:bookmarkStart w:id="176" w:name="_Toc8644"/>
      <w:bookmarkStart w:id="177" w:name="_Toc142508329"/>
      <w:bookmarkStart w:id="178" w:name="_Toc30555"/>
      <w:bookmarkStart w:id="179" w:name="_Toc13600"/>
      <w:bookmarkStart w:id="180" w:name="_Toc5356_WPSOffice_Level3"/>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74"/>
      <w:bookmarkEnd w:id="175"/>
      <w:bookmarkEnd w:id="176"/>
      <w:bookmarkEnd w:id="177"/>
      <w:bookmarkEnd w:id="178"/>
      <w:bookmarkEnd w:id="179"/>
      <w:bookmarkEnd w:id="180"/>
    </w:p>
    <w:p>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28</w:t>
      </w:r>
      <w:r>
        <w:rPr>
          <w:rFonts w:hint="eastAsia" w:ascii="宋体" w:hAnsi="宋体" w:eastAsia="宋体" w:cs="宋体"/>
          <w:b/>
          <w:bCs/>
          <w:color w:val="auto"/>
          <w:kern w:val="0"/>
          <w:szCs w:val="21"/>
          <w:highlight w:val="none"/>
          <w:u w:val="single"/>
          <w:lang w:val="zh-CN"/>
        </w:rPr>
        <w:t>,000.00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贰万捌仟元整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840" w:firstLineChars="400"/>
        <w:jc w:val="left"/>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开户名称：东莞市水务集团建设管理有限公司</w:t>
      </w:r>
    </w:p>
    <w:p>
      <w:pPr>
        <w:adjustRightInd w:val="0"/>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银行账号：2010021309200628330</w:t>
      </w:r>
    </w:p>
    <w:p>
      <w:pPr>
        <w:adjustRightInd w:val="0"/>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开户银行：中国工商银行股份有限公司东莞分行</w:t>
      </w:r>
    </w:p>
    <w:p>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1" w:name="_Toc1458"/>
      <w:bookmarkStart w:id="182" w:name="_Toc7983"/>
      <w:bookmarkStart w:id="183" w:name="_Toc29607"/>
      <w:bookmarkStart w:id="184" w:name="_Toc142508330"/>
      <w:bookmarkStart w:id="185" w:name="_Toc22649_WPSOffice_Level3"/>
      <w:bookmarkStart w:id="186" w:name="_Toc23267"/>
      <w:bookmarkStart w:id="187" w:name="_Toc486167680"/>
      <w:bookmarkStart w:id="188" w:name="_Toc450662865"/>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81"/>
      <w:bookmarkEnd w:id="182"/>
      <w:bookmarkEnd w:id="183"/>
      <w:bookmarkEnd w:id="184"/>
      <w:bookmarkEnd w:id="185"/>
      <w:bookmarkEnd w:id="186"/>
      <w:bookmarkEnd w:id="187"/>
      <w:bookmarkEnd w:id="188"/>
    </w:p>
    <w:p>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9" w:name="_Toc8381"/>
      <w:bookmarkStart w:id="190" w:name="_Toc25637_WPSOffice_Level3"/>
      <w:bookmarkStart w:id="191" w:name="_Toc20422"/>
      <w:bookmarkStart w:id="192" w:name="_Toc486167681"/>
      <w:bookmarkStart w:id="193" w:name="_Toc15544"/>
      <w:bookmarkStart w:id="194" w:name="_Toc142508331"/>
      <w:bookmarkStart w:id="195" w:name="_Toc450662866"/>
      <w:bookmarkStart w:id="196" w:name="_Toc932"/>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89"/>
      <w:bookmarkEnd w:id="190"/>
      <w:bookmarkEnd w:id="191"/>
      <w:bookmarkEnd w:id="192"/>
      <w:bookmarkEnd w:id="193"/>
      <w:bookmarkEnd w:id="194"/>
      <w:bookmarkEnd w:id="195"/>
      <w:bookmarkEnd w:id="196"/>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pPr>
        <w:autoSpaceDE w:val="0"/>
        <w:autoSpaceDN w:val="0"/>
        <w:adjustRightInd w:val="0"/>
        <w:jc w:val="left"/>
        <w:rPr>
          <w:rFonts w:ascii="宋体" w:hAnsi="宋体" w:eastAsia="宋体" w:cs="宋体"/>
          <w:color w:val="auto"/>
          <w:kern w:val="0"/>
          <w:sz w:val="24"/>
          <w:szCs w:val="24"/>
          <w:highlight w:val="none"/>
        </w:rPr>
      </w:pPr>
      <w:bookmarkStart w:id="197" w:name="_Toc450662867"/>
    </w:p>
    <w:p>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98" w:name="_Toc6989"/>
      <w:bookmarkStart w:id="199" w:name="_Toc16145"/>
      <w:bookmarkStart w:id="200" w:name="_Toc142508332"/>
      <w:bookmarkStart w:id="201" w:name="_Toc140596891"/>
      <w:bookmarkStart w:id="202" w:name="_Toc17199"/>
      <w:bookmarkStart w:id="203" w:name="_Toc486167682"/>
      <w:bookmarkStart w:id="204" w:name="_Toc26605"/>
      <w:bookmarkStart w:id="205" w:name="_Toc22356_WPSOffice_Level2"/>
      <w:r>
        <w:rPr>
          <w:rFonts w:hint="eastAsia" w:ascii="宋体" w:hAnsi="宋体" w:eastAsia="宋体" w:cs="宋体"/>
          <w:b/>
          <w:bCs/>
          <w:color w:val="auto"/>
          <w:kern w:val="44"/>
          <w:szCs w:val="21"/>
          <w:highlight w:val="none"/>
          <w:lang w:val="zh-CN"/>
        </w:rPr>
        <w:t>四、投标文件的递交</w:t>
      </w:r>
      <w:bookmarkEnd w:id="197"/>
      <w:bookmarkEnd w:id="198"/>
      <w:bookmarkEnd w:id="199"/>
      <w:bookmarkEnd w:id="200"/>
      <w:bookmarkEnd w:id="201"/>
      <w:bookmarkEnd w:id="202"/>
      <w:bookmarkEnd w:id="203"/>
      <w:bookmarkEnd w:id="204"/>
      <w:bookmarkEnd w:id="205"/>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6" w:name="_Toc12961"/>
      <w:bookmarkStart w:id="207" w:name="_Toc31551"/>
      <w:bookmarkStart w:id="208" w:name="_Toc12192_WPSOffice_Level3"/>
      <w:bookmarkStart w:id="209" w:name="_Toc29885"/>
      <w:bookmarkStart w:id="210" w:name="_Toc450662868"/>
      <w:bookmarkStart w:id="211" w:name="_Toc486167683"/>
      <w:bookmarkStart w:id="212" w:name="_Toc142508333"/>
      <w:bookmarkStart w:id="213" w:name="_Toc29038"/>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06"/>
      <w:bookmarkEnd w:id="207"/>
      <w:bookmarkEnd w:id="208"/>
      <w:bookmarkEnd w:id="209"/>
      <w:bookmarkEnd w:id="210"/>
      <w:bookmarkEnd w:id="211"/>
      <w:bookmarkEnd w:id="212"/>
      <w:bookmarkEnd w:id="213"/>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4" w:name="_Toc486167684"/>
      <w:bookmarkStart w:id="215" w:name="_Toc450662869"/>
      <w:bookmarkStart w:id="216" w:name="_Toc2443"/>
      <w:bookmarkStart w:id="217" w:name="_Toc4979"/>
      <w:bookmarkStart w:id="218" w:name="_Toc142508334"/>
      <w:bookmarkStart w:id="219" w:name="_Toc29665_WPSOffice_Level3"/>
      <w:bookmarkStart w:id="220" w:name="_Toc12582"/>
      <w:bookmarkStart w:id="221" w:name="_Toc23369"/>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14"/>
      <w:bookmarkEnd w:id="215"/>
      <w:bookmarkEnd w:id="216"/>
      <w:bookmarkEnd w:id="217"/>
      <w:bookmarkEnd w:id="218"/>
      <w:bookmarkEnd w:id="219"/>
      <w:bookmarkEnd w:id="220"/>
      <w:bookmarkEnd w:id="221"/>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22" w:name="_Toc486167685"/>
      <w:bookmarkStart w:id="223" w:name="_Toc450662870"/>
      <w:bookmarkStart w:id="224" w:name="_Toc30287"/>
      <w:bookmarkStart w:id="225" w:name="_Toc20835"/>
      <w:bookmarkStart w:id="226" w:name="_Toc142508335"/>
      <w:bookmarkStart w:id="227" w:name="_Toc21327"/>
      <w:bookmarkStart w:id="228" w:name="_Toc22606"/>
      <w:bookmarkStart w:id="229" w:name="_Toc22431_WPSOffice_Level3"/>
      <w:r>
        <w:rPr>
          <w:rFonts w:hint="eastAsia" w:ascii="宋体" w:hAnsi="宋体" w:eastAsia="宋体" w:cs="宋体"/>
          <w:color w:val="auto"/>
          <w:szCs w:val="21"/>
          <w:highlight w:val="none"/>
          <w:lang w:val="zh-CN"/>
        </w:rPr>
        <w:t>20 迟交的投标文件</w:t>
      </w:r>
      <w:bookmarkEnd w:id="222"/>
      <w:bookmarkEnd w:id="223"/>
      <w:bookmarkEnd w:id="224"/>
      <w:bookmarkEnd w:id="225"/>
      <w:bookmarkEnd w:id="226"/>
      <w:bookmarkEnd w:id="227"/>
      <w:bookmarkEnd w:id="228"/>
      <w:bookmarkEnd w:id="229"/>
    </w:p>
    <w:p>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pPr>
        <w:autoSpaceDE w:val="0"/>
        <w:autoSpaceDN w:val="0"/>
        <w:adjustRightInd w:val="0"/>
        <w:jc w:val="left"/>
        <w:rPr>
          <w:rFonts w:ascii="宋体" w:hAnsi="宋体" w:eastAsia="宋体" w:cs="宋体"/>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0" w:name="_Toc3814"/>
      <w:bookmarkStart w:id="231" w:name="_Toc142508336"/>
      <w:bookmarkStart w:id="232" w:name="_Toc4883_WPSOffice_Level3"/>
      <w:bookmarkStart w:id="233" w:name="_Toc486167686"/>
      <w:bookmarkStart w:id="234" w:name="_Toc24876"/>
      <w:bookmarkStart w:id="235" w:name="_Toc13041"/>
      <w:bookmarkStart w:id="236" w:name="_Toc450662871"/>
      <w:bookmarkStart w:id="237" w:name="_Toc27851"/>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30"/>
      <w:bookmarkEnd w:id="231"/>
      <w:bookmarkEnd w:id="232"/>
      <w:bookmarkEnd w:id="233"/>
      <w:bookmarkEnd w:id="234"/>
      <w:bookmarkEnd w:id="235"/>
      <w:bookmarkEnd w:id="236"/>
      <w:bookmarkEnd w:id="237"/>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38" w:name="_Toc18933"/>
      <w:bookmarkStart w:id="239" w:name="_Toc142508337"/>
      <w:bookmarkStart w:id="240" w:name="_Toc486167687"/>
      <w:bookmarkStart w:id="241" w:name="_Toc28824"/>
      <w:bookmarkStart w:id="242" w:name="_Toc140596896"/>
      <w:bookmarkStart w:id="243" w:name="_Toc450662872"/>
      <w:bookmarkStart w:id="244" w:name="_Toc20923"/>
      <w:bookmarkStart w:id="245" w:name="_Toc1049_WPSOffice_Level2"/>
      <w:bookmarkStart w:id="246" w:name="_Toc30428"/>
      <w:r>
        <w:rPr>
          <w:rFonts w:hint="eastAsia" w:ascii="宋体" w:hAnsi="宋体" w:eastAsia="宋体" w:cs="宋体"/>
          <w:b/>
          <w:bCs/>
          <w:color w:val="auto"/>
          <w:kern w:val="44"/>
          <w:szCs w:val="21"/>
          <w:highlight w:val="none"/>
          <w:lang w:val="zh-CN"/>
        </w:rPr>
        <w:t>五、开标与评标</w:t>
      </w:r>
      <w:bookmarkEnd w:id="238"/>
      <w:bookmarkEnd w:id="239"/>
      <w:bookmarkEnd w:id="240"/>
      <w:bookmarkEnd w:id="241"/>
      <w:bookmarkEnd w:id="242"/>
      <w:bookmarkEnd w:id="243"/>
      <w:bookmarkEnd w:id="244"/>
      <w:bookmarkEnd w:id="245"/>
      <w:bookmarkEnd w:id="246"/>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7" w:name="_Toc450662873"/>
      <w:bookmarkStart w:id="248" w:name="_Toc32206"/>
      <w:bookmarkStart w:id="249" w:name="_Toc8728"/>
      <w:bookmarkStart w:id="250" w:name="_Toc142508338"/>
      <w:bookmarkStart w:id="251" w:name="_Toc486167688"/>
      <w:bookmarkStart w:id="252" w:name="_Toc11256"/>
      <w:bookmarkStart w:id="253" w:name="_Toc23822"/>
      <w:bookmarkStart w:id="254" w:name="_Toc144_WPSOffice_Level3"/>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47"/>
      <w:bookmarkEnd w:id="248"/>
      <w:bookmarkEnd w:id="249"/>
      <w:bookmarkEnd w:id="250"/>
      <w:bookmarkEnd w:id="251"/>
      <w:bookmarkEnd w:id="252"/>
      <w:bookmarkEnd w:id="253"/>
      <w:bookmarkEnd w:id="254"/>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当以数字表示的报价系数与以文字表示的报价系数不一致时，以文字表示的报价系数为准。对不同文字文本投标文件的解释发生异议的，以中文文本为准。</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5" w:name="_Toc32534"/>
      <w:bookmarkStart w:id="256" w:name="_Toc142508339"/>
      <w:bookmarkStart w:id="257" w:name="_Toc23491"/>
      <w:bookmarkStart w:id="258" w:name="_Toc12165_WPSOffice_Level3"/>
      <w:bookmarkStart w:id="259" w:name="_Toc29829"/>
      <w:bookmarkStart w:id="260" w:name="_Toc486167689"/>
      <w:bookmarkStart w:id="261" w:name="_Toc450662874"/>
      <w:bookmarkStart w:id="262" w:name="_Toc23059"/>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55"/>
      <w:bookmarkEnd w:id="256"/>
      <w:bookmarkEnd w:id="257"/>
      <w:bookmarkEnd w:id="258"/>
      <w:bookmarkEnd w:id="259"/>
      <w:bookmarkEnd w:id="260"/>
      <w:bookmarkEnd w:id="261"/>
      <w:bookmarkEnd w:id="262"/>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3" w:name="_Toc450662875"/>
      <w:bookmarkStart w:id="264" w:name="_Toc15565_WPSOffice_Level3"/>
      <w:bookmarkStart w:id="265" w:name="_Toc142508340"/>
      <w:bookmarkStart w:id="266" w:name="_Toc16920"/>
      <w:bookmarkStart w:id="267" w:name="_Toc18693"/>
      <w:bookmarkStart w:id="268" w:name="_Toc800"/>
      <w:bookmarkStart w:id="269" w:name="_Toc28746"/>
      <w:bookmarkStart w:id="270" w:name="_Toc486167690"/>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63"/>
      <w:bookmarkEnd w:id="264"/>
      <w:bookmarkEnd w:id="265"/>
      <w:bookmarkEnd w:id="266"/>
      <w:bookmarkEnd w:id="267"/>
      <w:bookmarkEnd w:id="268"/>
      <w:bookmarkEnd w:id="269"/>
      <w:bookmarkEnd w:id="270"/>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71" w:name="_Toc12715"/>
      <w:bookmarkStart w:id="272" w:name="_Toc28910_WPSOffice_Level3"/>
      <w:bookmarkStart w:id="273" w:name="_Toc22833"/>
      <w:bookmarkStart w:id="274" w:name="_Toc18668"/>
      <w:bookmarkStart w:id="275" w:name="_Toc142508341"/>
      <w:bookmarkStart w:id="276" w:name="_Toc450662876"/>
      <w:bookmarkStart w:id="277" w:name="_Toc8908"/>
      <w:bookmarkStart w:id="278" w:name="_Toc486167691"/>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71"/>
      <w:bookmarkEnd w:id="272"/>
      <w:bookmarkEnd w:id="273"/>
      <w:bookmarkEnd w:id="274"/>
      <w:bookmarkEnd w:id="275"/>
      <w:bookmarkEnd w:id="276"/>
      <w:bookmarkEnd w:id="277"/>
      <w:bookmarkEnd w:id="278"/>
    </w:p>
    <w:p>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9" w:name="_Toc30225"/>
      <w:bookmarkStart w:id="280" w:name="_Toc4837"/>
      <w:bookmarkStart w:id="281" w:name="_Toc142508342"/>
      <w:bookmarkStart w:id="282" w:name="_Toc338_WPSOffice_Level3"/>
      <w:bookmarkStart w:id="283" w:name="_Toc486167692"/>
      <w:bookmarkStart w:id="284" w:name="_Toc19456"/>
      <w:bookmarkStart w:id="285" w:name="_Toc450662877"/>
      <w:bookmarkStart w:id="286" w:name="_Toc25036"/>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79"/>
      <w:bookmarkEnd w:id="280"/>
      <w:bookmarkEnd w:id="281"/>
      <w:bookmarkEnd w:id="282"/>
      <w:bookmarkEnd w:id="283"/>
      <w:bookmarkEnd w:id="284"/>
      <w:bookmarkEnd w:id="285"/>
      <w:bookmarkEnd w:id="286"/>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87"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287"/>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8" w:name="_Toc522047355"/>
      <w:bookmarkStart w:id="289" w:name="_Toc13882"/>
      <w:bookmarkStart w:id="290" w:name="_Toc22065"/>
      <w:bookmarkStart w:id="291" w:name="_Toc10967"/>
      <w:bookmarkStart w:id="292" w:name="_Toc142508343"/>
      <w:bookmarkStart w:id="293" w:name="_Toc6970"/>
      <w:bookmarkStart w:id="294" w:name="_Toc18368_WPSOffice_Level3"/>
      <w:bookmarkStart w:id="295" w:name="_Toc521918096"/>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88"/>
      <w:bookmarkEnd w:id="289"/>
      <w:bookmarkEnd w:id="290"/>
      <w:bookmarkEnd w:id="291"/>
      <w:bookmarkEnd w:id="292"/>
      <w:bookmarkEnd w:id="293"/>
      <w:bookmarkEnd w:id="294"/>
      <w:bookmarkEnd w:id="295"/>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96" w:name="_Toc521918097"/>
      <w:bookmarkStart w:id="297" w:name="_Toc522047356"/>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8" w:name="_Toc14804"/>
      <w:bookmarkStart w:id="299" w:name="_Toc21460_WPSOffice_Level3"/>
      <w:bookmarkStart w:id="300" w:name="_Toc16829"/>
      <w:bookmarkStart w:id="301" w:name="_Toc27026"/>
      <w:bookmarkStart w:id="302" w:name="_Toc142508344"/>
      <w:bookmarkStart w:id="303" w:name="_Toc1442"/>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96"/>
      <w:bookmarkEnd w:id="297"/>
      <w:bookmarkEnd w:id="298"/>
      <w:bookmarkEnd w:id="299"/>
      <w:bookmarkEnd w:id="300"/>
      <w:bookmarkEnd w:id="301"/>
      <w:bookmarkEnd w:id="302"/>
      <w:bookmarkEnd w:id="303"/>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pPr>
        <w:tabs>
          <w:tab w:val="left" w:pos="360"/>
        </w:tabs>
        <w:autoSpaceDE w:val="0"/>
        <w:autoSpaceDN w:val="0"/>
        <w:adjustRightInd w:val="0"/>
        <w:spacing w:line="360" w:lineRule="auto"/>
        <w:ind w:left="334" w:leftChars="-100" w:right="44" w:rightChars="21" w:hanging="544"/>
        <w:rPr>
          <w:rFonts w:ascii="宋体" w:hAnsi="宋体" w:eastAsia="宋体" w:cs="宋体"/>
          <w:color w:val="auto"/>
          <w:szCs w:val="21"/>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r>
        <w:rPr>
          <w:rFonts w:hint="eastAsia" w:ascii="宋体" w:hAnsi="宋体" w:eastAsia="宋体" w:cs="宋体"/>
          <w:color w:val="auto"/>
          <w:szCs w:val="21"/>
        </w:rPr>
        <w:t>本项目根据以下情况可以现场转换采购方式继续采购：</w:t>
      </w:r>
    </w:p>
    <w:p>
      <w:pPr>
        <w:spacing w:line="360" w:lineRule="auto"/>
        <w:ind w:left="542" w:hanging="541" w:hangingChars="258"/>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（1）当有效投标人只有</w:t>
      </w:r>
      <w:r>
        <w:rPr>
          <w:rFonts w:hint="eastAsia" w:ascii="宋体" w:hAnsi="宋体" w:eastAsia="宋体" w:cs="宋体"/>
          <w:b w:val="0"/>
          <w:bCs w:val="0"/>
          <w:color w:val="auto"/>
          <w:kern w:val="2"/>
          <w:sz w:val="21"/>
          <w:szCs w:val="21"/>
          <w:highlight w:val="none"/>
        </w:rPr>
        <w:t>2个时，</w:t>
      </w:r>
      <w:r>
        <w:rPr>
          <w:rFonts w:hint="eastAsia" w:ascii="宋体" w:hAnsi="宋体" w:eastAsia="宋体" w:cs="宋体"/>
          <w:b w:val="0"/>
          <w:bCs w:val="0"/>
          <w:color w:val="auto"/>
          <w:sz w:val="21"/>
          <w:szCs w:val="21"/>
          <w:highlight w:val="none"/>
          <w:lang w:val="en-US" w:eastAsia="zh-CN"/>
        </w:rPr>
        <w:t>经评标委员会论证，采购文件没有不合理条款、采购程序符合规定的，</w:t>
      </w:r>
      <w:r>
        <w:rPr>
          <w:rFonts w:hint="eastAsia" w:ascii="宋体" w:hAnsi="宋体" w:eastAsia="宋体" w:cs="宋体"/>
          <w:b w:val="0"/>
          <w:bCs w:val="0"/>
          <w:color w:val="auto"/>
          <w:kern w:val="2"/>
          <w:sz w:val="21"/>
          <w:szCs w:val="21"/>
          <w:highlight w:val="none"/>
        </w:rPr>
        <w:t>经招</w:t>
      </w:r>
      <w:r>
        <w:rPr>
          <w:rFonts w:hint="eastAsia" w:ascii="宋体" w:hAnsi="宋体" w:eastAsia="宋体" w:cs="宋体"/>
          <w:color w:val="auto"/>
          <w:kern w:val="2"/>
          <w:sz w:val="21"/>
          <w:szCs w:val="21"/>
          <w:highlight w:val="none"/>
        </w:rPr>
        <w:t>标人和作出实质性响应的投标人代表同意后，现场更改为竞争性谈判的方式继续采购。</w:t>
      </w:r>
    </w:p>
    <w:p>
      <w:pPr>
        <w:spacing w:line="360" w:lineRule="auto"/>
        <w:ind w:left="542" w:hanging="541" w:hangingChars="258"/>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（2）若有效投标人只有1个时，经评标委员会论证，采购文件没有不合理条款、采购程序符合规定的，经招标人和作出实质性响应的投标人代表同意后，现场更改为单一来源的方式继续采购。</w:t>
      </w:r>
    </w:p>
    <w:p>
      <w:pPr>
        <w:spacing w:line="360" w:lineRule="auto"/>
        <w:ind w:left="542" w:hanging="541" w:hangingChars="258"/>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rPr>
        <w:t>（3）若上述两种情况下不同意转换采购方式，退出投标的投标人，投标保证金按本须知15.5款的规定退还。</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4" w:name="_Toc32498_WPSOffice_Level3"/>
      <w:bookmarkStart w:id="305" w:name="_Toc29588"/>
      <w:bookmarkStart w:id="306" w:name="_Toc11011"/>
      <w:bookmarkStart w:id="307" w:name="_Toc465358969"/>
      <w:bookmarkStart w:id="308" w:name="_Toc4819"/>
      <w:bookmarkStart w:id="309" w:name="_Toc11615"/>
      <w:bookmarkStart w:id="310" w:name="_Toc466882017"/>
      <w:bookmarkStart w:id="311" w:name="_Toc142508345"/>
      <w:bookmarkStart w:id="312" w:name="_Toc486167694"/>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04"/>
      <w:bookmarkEnd w:id="305"/>
      <w:bookmarkEnd w:id="306"/>
      <w:bookmarkEnd w:id="307"/>
      <w:bookmarkEnd w:id="308"/>
      <w:bookmarkEnd w:id="309"/>
      <w:bookmarkEnd w:id="310"/>
      <w:bookmarkEnd w:id="311"/>
      <w:bookmarkEnd w:id="312"/>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13" w:name="_Toc465358970"/>
      <w:bookmarkStart w:id="314" w:name="_Toc21256"/>
      <w:bookmarkStart w:id="315" w:name="_Toc486167695"/>
      <w:bookmarkStart w:id="316" w:name="_Toc26354"/>
      <w:bookmarkStart w:id="317" w:name="_Toc3154"/>
      <w:bookmarkStart w:id="318" w:name="_Toc1848_WPSOffice_Level3"/>
      <w:bookmarkStart w:id="319" w:name="_Toc2077"/>
      <w:bookmarkStart w:id="320" w:name="_Toc466882018"/>
      <w:bookmarkStart w:id="321" w:name="_Toc142508346"/>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13"/>
      <w:bookmarkEnd w:id="314"/>
      <w:bookmarkEnd w:id="315"/>
      <w:bookmarkEnd w:id="316"/>
      <w:bookmarkEnd w:id="317"/>
      <w:bookmarkEnd w:id="318"/>
      <w:bookmarkEnd w:id="319"/>
      <w:bookmarkEnd w:id="320"/>
      <w:bookmarkEnd w:id="321"/>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pPr>
        <w:autoSpaceDE w:val="0"/>
        <w:autoSpaceDN w:val="0"/>
        <w:adjustRightInd w:val="0"/>
        <w:snapToGrid w:val="0"/>
        <w:spacing w:line="360" w:lineRule="auto"/>
        <w:jc w:val="left"/>
        <w:rPr>
          <w:rFonts w:ascii="宋体" w:hAnsi="宋体" w:eastAsia="宋体" w:cs="宋体"/>
          <w:color w:val="auto"/>
          <w:szCs w:val="21"/>
          <w:highlight w:val="none"/>
        </w:rPr>
      </w:pPr>
      <w:bookmarkStart w:id="322" w:name="_Toc465358971"/>
      <w:bookmarkStart w:id="323" w:name="_Toc466882019"/>
    </w:p>
    <w:p>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324" w:name="_Toc486167696"/>
      <w:bookmarkStart w:id="325" w:name="_Toc22960"/>
      <w:bookmarkStart w:id="326" w:name="_Toc10867_WPSOffice_Level3"/>
      <w:bookmarkStart w:id="327" w:name="_Toc142508347"/>
      <w:bookmarkStart w:id="328" w:name="_Toc15815"/>
      <w:bookmarkStart w:id="329" w:name="_Toc8654"/>
      <w:bookmarkStart w:id="330" w:name="_Toc23672"/>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22"/>
      <w:bookmarkEnd w:id="323"/>
      <w:bookmarkEnd w:id="324"/>
      <w:bookmarkEnd w:id="325"/>
      <w:bookmarkEnd w:id="326"/>
      <w:bookmarkEnd w:id="327"/>
      <w:bookmarkEnd w:id="328"/>
      <w:bookmarkEnd w:id="329"/>
      <w:bookmarkEnd w:id="330"/>
    </w:p>
    <w:p>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31" w:name="_Toc450662880"/>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32" w:name="_Toc16848_WPSOffice_Level2"/>
      <w:bookmarkStart w:id="333" w:name="_Toc142508348"/>
      <w:bookmarkStart w:id="334" w:name="_Toc11941"/>
      <w:bookmarkStart w:id="335" w:name="_Toc13312"/>
      <w:bookmarkStart w:id="336" w:name="_Toc16789"/>
      <w:bookmarkStart w:id="337" w:name="_Toc486167697"/>
      <w:bookmarkStart w:id="338" w:name="_Toc140596907"/>
      <w:bookmarkStart w:id="339" w:name="_Toc27936"/>
      <w:r>
        <w:rPr>
          <w:rFonts w:hint="eastAsia" w:ascii="宋体" w:hAnsi="宋体" w:eastAsia="宋体" w:cs="宋体"/>
          <w:b/>
          <w:bCs/>
          <w:color w:val="auto"/>
          <w:kern w:val="44"/>
          <w:szCs w:val="21"/>
          <w:highlight w:val="none"/>
          <w:lang w:val="zh-CN"/>
        </w:rPr>
        <w:t>六、授予合同</w:t>
      </w:r>
      <w:bookmarkEnd w:id="331"/>
      <w:bookmarkEnd w:id="332"/>
      <w:bookmarkEnd w:id="333"/>
      <w:bookmarkEnd w:id="334"/>
      <w:bookmarkEnd w:id="335"/>
      <w:bookmarkEnd w:id="336"/>
      <w:bookmarkEnd w:id="337"/>
      <w:bookmarkEnd w:id="338"/>
      <w:bookmarkEnd w:id="339"/>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0" w:name="_Toc6401_WPSOffice_Level3"/>
      <w:bookmarkStart w:id="341" w:name="_Toc31713"/>
      <w:bookmarkStart w:id="342" w:name="_Toc142508349"/>
      <w:bookmarkStart w:id="343" w:name="_Toc23271"/>
      <w:bookmarkStart w:id="344" w:name="_Toc9067"/>
      <w:bookmarkStart w:id="345" w:name="_Toc29383"/>
      <w:bookmarkStart w:id="346" w:name="_Toc486167698"/>
      <w:bookmarkStart w:id="347" w:name="_Toc450662881"/>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40"/>
      <w:bookmarkEnd w:id="341"/>
      <w:bookmarkEnd w:id="342"/>
      <w:bookmarkEnd w:id="343"/>
      <w:bookmarkEnd w:id="344"/>
      <w:bookmarkEnd w:id="345"/>
      <w:bookmarkEnd w:id="346"/>
      <w:bookmarkEnd w:id="347"/>
    </w:p>
    <w:p>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48" w:name="_Toc450662885"/>
    </w:p>
    <w:p>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9" w:name="_Toc18984"/>
      <w:bookmarkStart w:id="350" w:name="_Toc486167699"/>
      <w:bookmarkStart w:id="351" w:name="_Toc668"/>
      <w:bookmarkStart w:id="352" w:name="_Toc14377"/>
      <w:bookmarkStart w:id="353" w:name="_Toc6726_WPSOffice_Level3"/>
      <w:bookmarkStart w:id="354" w:name="_Toc142508350"/>
      <w:bookmarkStart w:id="355" w:name="_Toc8196"/>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48"/>
      <w:bookmarkEnd w:id="349"/>
      <w:bookmarkEnd w:id="350"/>
      <w:bookmarkEnd w:id="351"/>
      <w:bookmarkEnd w:id="352"/>
      <w:bookmarkEnd w:id="353"/>
      <w:bookmarkEnd w:id="354"/>
      <w:bookmarkEnd w:id="355"/>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56"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7" w:name="_Toc142508351"/>
      <w:bookmarkStart w:id="358" w:name="_Toc28020"/>
      <w:bookmarkStart w:id="359" w:name="_Toc486167700"/>
      <w:bookmarkStart w:id="360" w:name="_Toc19127"/>
      <w:bookmarkStart w:id="361" w:name="_Toc15467"/>
      <w:bookmarkStart w:id="362" w:name="_Toc1331"/>
      <w:bookmarkStart w:id="363" w:name="_Toc9694_WPSOffice_Level3"/>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56"/>
      <w:bookmarkEnd w:id="357"/>
      <w:bookmarkEnd w:id="358"/>
      <w:bookmarkEnd w:id="359"/>
      <w:bookmarkEnd w:id="360"/>
      <w:bookmarkEnd w:id="361"/>
      <w:bookmarkEnd w:id="362"/>
      <w:bookmarkEnd w:id="363"/>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64" w:name="_Toc10666"/>
      <w:bookmarkStart w:id="365" w:name="_Toc486167701"/>
      <w:bookmarkStart w:id="366" w:name="_Toc8181"/>
      <w:bookmarkStart w:id="367" w:name="_Toc3830"/>
      <w:bookmarkStart w:id="368" w:name="_Toc10513_WPSOffice_Level3"/>
      <w:bookmarkStart w:id="369" w:name="_Toc142508352"/>
      <w:bookmarkStart w:id="370" w:name="_Toc450662887"/>
      <w:bookmarkStart w:id="371" w:name="_Toc5304"/>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64"/>
      <w:bookmarkEnd w:id="365"/>
      <w:bookmarkEnd w:id="366"/>
      <w:bookmarkEnd w:id="367"/>
      <w:bookmarkEnd w:id="368"/>
      <w:bookmarkEnd w:id="369"/>
      <w:bookmarkEnd w:id="370"/>
      <w:bookmarkEnd w:id="371"/>
    </w:p>
    <w:p>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72" w:name="_Toc465358977"/>
      <w:bookmarkStart w:id="373"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其中，采用履约保证金（银行转账形式）的金额为暂定总合同价</w:t>
      </w:r>
      <w:r>
        <w:rPr>
          <w:rFonts w:hint="eastAsia" w:ascii="宋体" w:hAnsi="宋体" w:eastAsia="宋体" w:cs="Times New Roman"/>
          <w:b/>
          <w:bCs/>
          <w:color w:val="auto"/>
          <w:szCs w:val="21"/>
          <w:highlight w:val="none"/>
          <w:u w:val="single"/>
          <w:lang w:val="en-US" w:eastAsia="zh-CN"/>
        </w:rPr>
        <w:t>款（含税）</w:t>
      </w:r>
      <w:r>
        <w:rPr>
          <w:rFonts w:hint="eastAsia" w:ascii="宋体" w:hAnsi="宋体" w:eastAsia="宋体" w:cs="Times New Roman"/>
          <w:b/>
          <w:bCs/>
          <w:color w:val="auto"/>
          <w:szCs w:val="21"/>
          <w:highlight w:val="none"/>
          <w:u w:val="single"/>
          <w:lang w:val="zh-CN"/>
        </w:rPr>
        <w:t>的5%，采用不可撤销银行履约保函形式的金额为暂定总合同价</w:t>
      </w:r>
      <w:r>
        <w:rPr>
          <w:rFonts w:hint="eastAsia" w:ascii="宋体" w:hAnsi="宋体" w:eastAsia="宋体" w:cs="Times New Roman"/>
          <w:b/>
          <w:bCs/>
          <w:color w:val="auto"/>
          <w:szCs w:val="21"/>
          <w:highlight w:val="none"/>
          <w:u w:val="single"/>
          <w:lang w:val="en-US" w:eastAsia="zh-CN"/>
        </w:rPr>
        <w:t>款（含税）</w:t>
      </w:r>
      <w:r>
        <w:rPr>
          <w:rFonts w:hint="eastAsia" w:ascii="宋体" w:hAnsi="宋体" w:eastAsia="宋体" w:cs="Times New Roman"/>
          <w:b/>
          <w:bCs/>
          <w:color w:val="auto"/>
          <w:szCs w:val="21"/>
          <w:highlight w:val="none"/>
          <w:u w:val="single"/>
          <w:lang w:val="zh-CN"/>
        </w:rPr>
        <w:t>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形式的金额为暂定总合同价</w:t>
      </w:r>
      <w:r>
        <w:rPr>
          <w:rFonts w:hint="eastAsia" w:ascii="宋体" w:hAnsi="宋体" w:eastAsia="宋体" w:cs="Times New Roman"/>
          <w:b/>
          <w:bCs/>
          <w:color w:val="auto"/>
          <w:szCs w:val="21"/>
          <w:highlight w:val="none"/>
          <w:u w:val="single"/>
          <w:lang w:val="en-US" w:eastAsia="zh-CN"/>
        </w:rPr>
        <w:t>款（含税）</w:t>
      </w:r>
      <w:r>
        <w:rPr>
          <w:rFonts w:hint="eastAsia" w:ascii="宋体" w:hAnsi="宋体" w:eastAsia="宋体" w:cs="Times New Roman"/>
          <w:b/>
          <w:bCs/>
          <w:color w:val="auto"/>
          <w:szCs w:val="21"/>
          <w:highlight w:val="none"/>
          <w:u w:val="single"/>
          <w:lang w:val="zh-CN"/>
        </w:rPr>
        <w:t>的8%，采用担保公司履约担保书形式的金额为暂定总合同价</w:t>
      </w:r>
      <w:r>
        <w:rPr>
          <w:rFonts w:hint="eastAsia" w:ascii="宋体" w:hAnsi="宋体" w:eastAsia="宋体" w:cs="Times New Roman"/>
          <w:b/>
          <w:bCs/>
          <w:color w:val="auto"/>
          <w:szCs w:val="21"/>
          <w:highlight w:val="none"/>
          <w:u w:val="single"/>
          <w:lang w:val="en-US" w:eastAsia="zh-CN"/>
        </w:rPr>
        <w:t>款（含税）</w:t>
      </w:r>
      <w:r>
        <w:rPr>
          <w:rFonts w:hint="eastAsia" w:ascii="宋体" w:hAnsi="宋体" w:eastAsia="宋体" w:cs="Times New Roman"/>
          <w:b/>
          <w:bCs/>
          <w:color w:val="auto"/>
          <w:szCs w:val="21"/>
          <w:highlight w:val="none"/>
          <w:u w:val="single"/>
          <w:lang w:val="zh-CN"/>
        </w:rPr>
        <w:t>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w:t>
      </w:r>
      <w:r>
        <w:rPr>
          <w:rFonts w:hint="eastAsia" w:ascii="宋体" w:hAnsi="宋体" w:eastAsia="宋体" w:cs="Times New Roman"/>
          <w:color w:val="auto"/>
          <w:kern w:val="0"/>
          <w:szCs w:val="21"/>
          <w:highlight w:val="none"/>
          <w:lang w:eastAsia="zh-CN"/>
        </w:rPr>
        <w:t>从合同签订之日起至合同期限届满并履行完毕相关服务义务且结算完毕之后二十八（28）个日历天内保持有效</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Times New Roman"/>
          <w:b/>
          <w:color w:val="auto"/>
          <w:kern w:val="0"/>
          <w:szCs w:val="21"/>
          <w:highlight w:val="none"/>
        </w:rPr>
        <w:t>开户</w:t>
      </w:r>
      <w:r>
        <w:rPr>
          <w:rFonts w:hint="eastAsia" w:ascii="宋体" w:hAnsi="宋体" w:eastAsia="宋体" w:cs="宋体"/>
          <w:b/>
          <w:color w:val="auto"/>
          <w:kern w:val="0"/>
          <w:szCs w:val="21"/>
          <w:highlight w:val="none"/>
        </w:rPr>
        <w:t>名称：东莞市水务集团建设管理有限公司</w:t>
      </w:r>
    </w:p>
    <w:p>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银行账号：2010021309200628330</w:t>
      </w:r>
    </w:p>
    <w:p>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开户银行：中国工商银行股份有限公司东莞分行</w:t>
      </w:r>
    </w:p>
    <w:p>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中标人以履约保证金（银行转账形式）提供履约担保的在依法完成本项目的所有合同义务，且结算完毕之后二十八（28）个日历天</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4" w:name="_Toc142508353"/>
      <w:bookmarkStart w:id="375" w:name="_Toc9976"/>
      <w:bookmarkStart w:id="376" w:name="_Toc18846"/>
      <w:bookmarkStart w:id="377" w:name="_Toc27162"/>
      <w:bookmarkStart w:id="378" w:name="_Toc10548"/>
      <w:bookmarkStart w:id="379" w:name="_Toc486167702"/>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72"/>
      <w:bookmarkEnd w:id="373"/>
      <w:bookmarkEnd w:id="374"/>
      <w:bookmarkEnd w:id="375"/>
      <w:bookmarkEnd w:id="376"/>
      <w:bookmarkEnd w:id="377"/>
      <w:bookmarkEnd w:id="378"/>
      <w:bookmarkEnd w:id="379"/>
    </w:p>
    <w:p>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80" w:name="_Toc450662888"/>
    </w:p>
    <w:p>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1" w:name="_Toc142508354"/>
      <w:bookmarkStart w:id="382" w:name="_Toc28921_WPSOffice_Level3"/>
      <w:bookmarkStart w:id="383" w:name="_Toc26429"/>
      <w:bookmarkStart w:id="384" w:name="_Toc23218"/>
      <w:bookmarkStart w:id="385" w:name="_Toc486167703"/>
      <w:bookmarkStart w:id="386" w:name="_Toc2401"/>
      <w:bookmarkStart w:id="387" w:name="_Toc19356"/>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80"/>
      <w:bookmarkEnd w:id="381"/>
      <w:bookmarkEnd w:id="382"/>
      <w:bookmarkEnd w:id="383"/>
      <w:bookmarkEnd w:id="384"/>
      <w:bookmarkEnd w:id="385"/>
      <w:bookmarkEnd w:id="386"/>
      <w:bookmarkEnd w:id="387"/>
    </w:p>
    <w:p>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本项目中标服务费由项目业主向招标代理机构支付。</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88" w:name="_Toc450662889"/>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9" w:name="_Toc5441"/>
      <w:bookmarkStart w:id="390" w:name="_Toc6764_WPSOffice_Level3"/>
      <w:bookmarkStart w:id="391" w:name="_Toc21985"/>
      <w:bookmarkStart w:id="392" w:name="_Toc486167704"/>
      <w:bookmarkStart w:id="393" w:name="_Toc21757"/>
      <w:bookmarkStart w:id="394" w:name="_Toc142508355"/>
      <w:bookmarkStart w:id="395" w:name="_Toc6796"/>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88"/>
      <w:bookmarkEnd w:id="389"/>
      <w:bookmarkEnd w:id="390"/>
      <w:bookmarkEnd w:id="391"/>
      <w:bookmarkEnd w:id="392"/>
      <w:bookmarkEnd w:id="393"/>
      <w:bookmarkEnd w:id="394"/>
      <w:bookmarkEnd w:id="395"/>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396" w:name="_Toc31106_WPSOffice_Level3"/>
      <w:bookmarkStart w:id="397" w:name="_Toc486167705"/>
      <w:r>
        <w:rPr>
          <w:rFonts w:hint="eastAsia" w:ascii="宋体" w:hAnsi="宋体" w:eastAsia="宋体" w:cs="Times New Roman"/>
          <w:color w:val="auto"/>
          <w:szCs w:val="21"/>
          <w:highlight w:val="none"/>
          <w:lang w:val="zh-CN"/>
        </w:rPr>
        <w:t>该项目获得中标的中标人在执行合同过程中，向</w:t>
      </w:r>
      <w:r>
        <w:rPr>
          <w:rFonts w:hint="eastAsia" w:ascii="宋体" w:hAnsi="宋体" w:eastAsia="宋体" w:cs="宋体"/>
          <w:color w:val="auto"/>
          <w:szCs w:val="21"/>
          <w:highlight w:val="none"/>
          <w:lang w:val="zh-CN"/>
        </w:rPr>
        <w:t>项目业主</w:t>
      </w:r>
      <w:r>
        <w:rPr>
          <w:rFonts w:hint="eastAsia" w:ascii="宋体" w:hAnsi="宋体" w:eastAsia="宋体" w:cs="Times New Roman"/>
          <w:color w:val="auto"/>
          <w:szCs w:val="21"/>
          <w:highlight w:val="none"/>
          <w:lang w:val="zh-CN"/>
        </w:rPr>
        <w:t>出具的发票必须是由中标人开具，不得以其他单位或个人名义出具，本项目中标人向</w:t>
      </w:r>
      <w:r>
        <w:rPr>
          <w:rFonts w:hint="eastAsia" w:ascii="宋体" w:hAnsi="宋体" w:eastAsia="宋体" w:cs="宋体"/>
          <w:color w:val="auto"/>
          <w:szCs w:val="21"/>
          <w:highlight w:val="none"/>
          <w:lang w:val="zh-CN"/>
        </w:rPr>
        <w:t>项目业主</w:t>
      </w:r>
      <w:r>
        <w:rPr>
          <w:rFonts w:hint="eastAsia" w:ascii="宋体" w:hAnsi="宋体" w:eastAsia="宋体" w:cs="Times New Roman"/>
          <w:color w:val="auto"/>
          <w:szCs w:val="21"/>
          <w:highlight w:val="none"/>
          <w:lang w:val="zh-CN"/>
        </w:rPr>
        <w:t>出具的发票类型为增值税专用发票。</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98" w:name="_Toc24547"/>
      <w:bookmarkStart w:id="399" w:name="_Toc142508356"/>
      <w:bookmarkStart w:id="400" w:name="_Toc8619"/>
      <w:bookmarkStart w:id="401" w:name="_Toc27075"/>
      <w:bookmarkStart w:id="402" w:name="_Toc10728"/>
      <w:r>
        <w:rPr>
          <w:rFonts w:ascii="宋体" w:hAnsi="宋体" w:eastAsia="宋体" w:cs="宋体"/>
          <w:b/>
          <w:color w:val="auto"/>
          <w:szCs w:val="21"/>
          <w:highlight w:val="none"/>
        </w:rPr>
        <w:t>39 招标相关补充约定</w:t>
      </w:r>
      <w:bookmarkEnd w:id="398"/>
      <w:bookmarkEnd w:id="399"/>
      <w:bookmarkEnd w:id="400"/>
      <w:bookmarkEnd w:id="401"/>
      <w:bookmarkEnd w:id="402"/>
    </w:p>
    <w:p>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lang w:val="zh-CN"/>
        </w:rPr>
      </w:pPr>
      <w:bookmarkStart w:id="403" w:name="_Toc15481"/>
      <w:bookmarkStart w:id="404" w:name="_Toc17346"/>
      <w:bookmarkStart w:id="405" w:name="_Toc13789"/>
      <w:r>
        <w:rPr>
          <w:rFonts w:hint="eastAsia" w:ascii="宋体" w:hAnsi="宋体" w:eastAsia="宋体" w:cs="宋体"/>
          <w:b/>
          <w:color w:val="auto"/>
          <w:szCs w:val="21"/>
          <w:lang w:val="zh-CN"/>
        </w:rPr>
        <w:t>3</w:t>
      </w:r>
      <w:r>
        <w:rPr>
          <w:rFonts w:hint="eastAsia" w:ascii="宋体" w:hAnsi="宋体" w:eastAsia="宋体" w:cs="宋体"/>
          <w:b/>
          <w:color w:val="auto"/>
          <w:szCs w:val="21"/>
        </w:rPr>
        <w:t>9</w:t>
      </w:r>
      <w:r>
        <w:rPr>
          <w:rFonts w:hint="eastAsia" w:ascii="宋体" w:hAnsi="宋体" w:eastAsia="宋体" w:cs="宋体"/>
          <w:b/>
          <w:color w:val="auto"/>
          <w:szCs w:val="21"/>
          <w:lang w:val="zh-CN"/>
        </w:rPr>
        <w:t>.</w:t>
      </w:r>
      <w:r>
        <w:rPr>
          <w:rFonts w:hint="eastAsia" w:ascii="宋体" w:hAnsi="宋体" w:eastAsia="宋体" w:cs="宋体"/>
          <w:b/>
          <w:color w:val="auto"/>
          <w:szCs w:val="21"/>
        </w:rPr>
        <w:t>2</w:t>
      </w:r>
      <w:r>
        <w:rPr>
          <w:rFonts w:hint="eastAsia" w:ascii="宋体" w:hAnsi="宋体" w:eastAsia="宋体" w:cs="宋体"/>
          <w:b/>
          <w:color w:val="auto"/>
          <w:szCs w:val="21"/>
          <w:lang w:val="zh-CN"/>
        </w:rPr>
        <w:t xml:space="preserve"> 已参与本工程的勘察设计单位、</w:t>
      </w:r>
      <w:r>
        <w:rPr>
          <w:rFonts w:hint="eastAsia" w:ascii="宋体" w:hAnsi="宋体" w:eastAsia="宋体" w:cs="宋体"/>
          <w:b/>
          <w:color w:val="auto"/>
          <w:szCs w:val="21"/>
          <w:lang w:val="en-US" w:eastAsia="zh-CN"/>
        </w:rPr>
        <w:t>施工单位、施工监理单位、</w:t>
      </w:r>
      <w:r>
        <w:rPr>
          <w:rFonts w:hint="eastAsia" w:ascii="宋体" w:hAnsi="宋体" w:eastAsia="宋体" w:cs="宋体"/>
          <w:b/>
          <w:color w:val="auto"/>
          <w:szCs w:val="21"/>
          <w:lang w:val="zh-CN"/>
        </w:rPr>
        <w:t>桩基完整性检测单位（包括与该单位法定代表人或负责人为同一人的单位，或者与该单位存在控股、管理关系的单位）不得参与</w:t>
      </w:r>
      <w:r>
        <w:rPr>
          <w:rFonts w:hint="eastAsia" w:ascii="宋体" w:hAnsi="宋体" w:eastAsia="宋体" w:cs="宋体"/>
          <w:b/>
          <w:color w:val="auto"/>
          <w:szCs w:val="21"/>
        </w:rPr>
        <w:t>本</w:t>
      </w:r>
      <w:r>
        <w:rPr>
          <w:rFonts w:hint="eastAsia" w:ascii="宋体" w:hAnsi="宋体" w:eastAsia="宋体" w:cs="宋体"/>
          <w:b/>
          <w:color w:val="auto"/>
          <w:szCs w:val="21"/>
          <w:lang w:val="zh-CN"/>
        </w:rPr>
        <w:t>检测项目投标。</w:t>
      </w:r>
      <w:bookmarkEnd w:id="403"/>
      <w:bookmarkEnd w:id="404"/>
      <w:bookmarkEnd w:id="405"/>
    </w:p>
    <w:p>
      <w:pPr>
        <w:pStyle w:val="127"/>
        <w:numPr>
          <w:ilvl w:val="255"/>
          <w:numId w:val="0"/>
        </w:numPr>
        <w:tabs>
          <w:tab w:val="left" w:pos="426"/>
        </w:tabs>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本工程相关参建单位统计表</w:t>
      </w:r>
    </w:p>
    <w:tbl>
      <w:tblPr>
        <w:tblStyle w:val="3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8"/>
        <w:gridCol w:w="2609"/>
        <w:gridCol w:w="5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pct"/>
            <w:vMerge w:val="restart"/>
            <w:vAlign w:val="center"/>
          </w:tcPr>
          <w:p>
            <w:pPr>
              <w:pStyle w:val="127"/>
              <w:numPr>
                <w:ilvl w:val="255"/>
                <w:numId w:val="0"/>
              </w:numPr>
              <w:tabs>
                <w:tab w:val="left" w:pos="426"/>
              </w:tabs>
              <w:adjustRightInd w:val="0"/>
              <w:snapToGrid w:val="0"/>
              <w:spacing w:line="360" w:lineRule="auto"/>
              <w:jc w:val="center"/>
              <w:rPr>
                <w:rFonts w:ascii="宋体" w:hAnsi="宋体" w:eastAsia="宋体" w:cs="宋体"/>
                <w:color w:val="auto"/>
                <w:szCs w:val="21"/>
                <w:lang w:val="zh-CN"/>
              </w:rPr>
            </w:pPr>
            <w:bookmarkStart w:id="406" w:name="OLE_LINK1"/>
            <w:r>
              <w:rPr>
                <w:rFonts w:hint="eastAsia" w:ascii="宋体" w:hAnsi="宋体" w:eastAsia="宋体" w:cs="宋体"/>
                <w:b/>
                <w:bCs/>
                <w:color w:val="auto"/>
                <w:szCs w:val="21"/>
                <w:lang w:val="zh-CN"/>
              </w:rPr>
              <w:t>东莞市茶山镇污水处理厂改扩建项目</w:t>
            </w:r>
          </w:p>
        </w:tc>
        <w:tc>
          <w:tcPr>
            <w:tcW w:w="1258" w:type="pct"/>
            <w:vAlign w:val="center"/>
          </w:tcPr>
          <w:p>
            <w:pPr>
              <w:pStyle w:val="127"/>
              <w:numPr>
                <w:ilvl w:val="255"/>
                <w:numId w:val="0"/>
              </w:numPr>
              <w:tabs>
                <w:tab w:val="left" w:pos="426"/>
              </w:tabs>
              <w:adjustRightInd w:val="0"/>
              <w:snapToGrid w:val="0"/>
              <w:spacing w:line="360" w:lineRule="auto"/>
              <w:jc w:val="center"/>
              <w:rPr>
                <w:rFonts w:ascii="宋体" w:hAnsi="宋体" w:eastAsia="宋体" w:cs="宋体"/>
                <w:color w:val="auto"/>
                <w:szCs w:val="21"/>
                <w:lang w:val="zh-CN"/>
              </w:rPr>
            </w:pPr>
            <w:r>
              <w:rPr>
                <w:rFonts w:hint="eastAsia" w:ascii="宋体" w:hAnsi="宋体" w:eastAsia="宋体" w:cs="宋体"/>
                <w:b/>
                <w:bCs/>
                <w:color w:val="auto"/>
                <w:szCs w:val="21"/>
              </w:rPr>
              <w:t>勘察设计单位</w:t>
            </w:r>
          </w:p>
        </w:tc>
        <w:tc>
          <w:tcPr>
            <w:tcW w:w="2739" w:type="pct"/>
            <w:vAlign w:val="center"/>
          </w:tcPr>
          <w:p>
            <w:pPr>
              <w:pStyle w:val="127"/>
              <w:numPr>
                <w:ilvl w:val="255"/>
                <w:numId w:val="0"/>
              </w:numPr>
              <w:tabs>
                <w:tab w:val="left" w:pos="426"/>
              </w:tabs>
              <w:adjustRightInd w:val="0"/>
              <w:snapToGrid w:val="0"/>
              <w:spacing w:line="360" w:lineRule="auto"/>
              <w:jc w:val="center"/>
              <w:rPr>
                <w:rFonts w:ascii="宋体" w:hAnsi="宋体" w:eastAsia="宋体" w:cs="宋体"/>
                <w:b/>
                <w:bCs/>
                <w:color w:val="auto"/>
                <w:szCs w:val="21"/>
                <w:lang w:val="zh-CN"/>
              </w:rPr>
            </w:pPr>
            <w:r>
              <w:rPr>
                <w:rFonts w:hint="eastAsia" w:ascii="宋体" w:hAnsi="宋体" w:eastAsia="宋体" w:cs="宋体"/>
                <w:b/>
                <w:bCs/>
                <w:color w:val="auto"/>
                <w:szCs w:val="21"/>
                <w:lang w:val="zh-CN"/>
              </w:rPr>
              <w:t>中国市政工程中南设计研究总院有限公司,中兵勘察设计研究院有限公司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pct"/>
            <w:vMerge w:val="continue"/>
            <w:vAlign w:val="center"/>
          </w:tcPr>
          <w:p>
            <w:pPr>
              <w:pStyle w:val="127"/>
              <w:numPr>
                <w:ilvl w:val="255"/>
                <w:numId w:val="0"/>
              </w:numPr>
              <w:tabs>
                <w:tab w:val="left" w:pos="426"/>
              </w:tabs>
              <w:adjustRightInd w:val="0"/>
              <w:snapToGrid w:val="0"/>
              <w:spacing w:line="360" w:lineRule="auto"/>
              <w:jc w:val="center"/>
              <w:rPr>
                <w:rFonts w:ascii="宋体" w:hAnsi="宋体" w:eastAsia="宋体" w:cs="宋体"/>
                <w:color w:val="auto"/>
                <w:szCs w:val="21"/>
                <w:lang w:val="zh-CN"/>
              </w:rPr>
            </w:pPr>
          </w:p>
        </w:tc>
        <w:tc>
          <w:tcPr>
            <w:tcW w:w="1258" w:type="pct"/>
            <w:vAlign w:val="center"/>
          </w:tcPr>
          <w:p>
            <w:pPr>
              <w:pStyle w:val="127"/>
              <w:numPr>
                <w:ilvl w:val="255"/>
                <w:numId w:val="0"/>
              </w:numPr>
              <w:tabs>
                <w:tab w:val="left" w:pos="426"/>
              </w:tabs>
              <w:adjustRightInd w:val="0"/>
              <w:snapToGrid w:val="0"/>
              <w:spacing w:line="360" w:lineRule="auto"/>
              <w:jc w:val="center"/>
              <w:rPr>
                <w:color w:val="auto"/>
              </w:rPr>
            </w:pPr>
            <w:r>
              <w:rPr>
                <w:rFonts w:hint="eastAsia" w:ascii="宋体" w:hAnsi="宋体" w:eastAsia="宋体" w:cs="宋体"/>
                <w:b/>
                <w:bCs/>
                <w:color w:val="auto"/>
                <w:szCs w:val="21"/>
              </w:rPr>
              <w:t>桩基完整性</w:t>
            </w:r>
            <w:r>
              <w:rPr>
                <w:rFonts w:hint="eastAsia" w:ascii="宋体" w:hAnsi="宋体" w:eastAsia="宋体" w:cs="宋体"/>
                <w:b/>
                <w:bCs/>
                <w:color w:val="auto"/>
                <w:szCs w:val="21"/>
                <w:lang w:val="en-US" w:eastAsia="zh-CN"/>
              </w:rPr>
              <w:t>检测单位</w:t>
            </w:r>
          </w:p>
        </w:tc>
        <w:tc>
          <w:tcPr>
            <w:tcW w:w="2739" w:type="pct"/>
            <w:vAlign w:val="center"/>
          </w:tcPr>
          <w:p>
            <w:pPr>
              <w:pStyle w:val="127"/>
              <w:numPr>
                <w:ilvl w:val="255"/>
                <w:numId w:val="0"/>
              </w:numPr>
              <w:tabs>
                <w:tab w:val="left" w:pos="426"/>
              </w:tabs>
              <w:adjustRightInd w:val="0"/>
              <w:snapToGrid w:val="0"/>
              <w:spacing w:line="360" w:lineRule="auto"/>
              <w:jc w:val="center"/>
              <w:rPr>
                <w:rFonts w:hint="default" w:ascii="宋体" w:hAnsi="宋体" w:eastAsia="宋体" w:cs="宋体"/>
                <w:b/>
                <w:bCs/>
                <w:color w:val="auto"/>
                <w:szCs w:val="21"/>
                <w:lang w:val="en-US" w:eastAsia="zh-CN"/>
              </w:rPr>
            </w:pPr>
            <w:r>
              <w:rPr>
                <w:rFonts w:hint="default" w:ascii="宋体" w:hAnsi="宋体" w:eastAsia="宋体" w:cs="宋体"/>
                <w:b/>
                <w:bCs/>
                <w:color w:val="auto"/>
                <w:szCs w:val="21"/>
                <w:lang w:val="en-US" w:eastAsia="zh-CN"/>
              </w:rPr>
              <w:t>东莞市建设工程检测中心有限公司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pct"/>
            <w:vMerge w:val="continue"/>
            <w:vAlign w:val="center"/>
          </w:tcPr>
          <w:p>
            <w:pPr>
              <w:pStyle w:val="127"/>
              <w:numPr>
                <w:ilvl w:val="255"/>
                <w:numId w:val="0"/>
              </w:numPr>
              <w:tabs>
                <w:tab w:val="left" w:pos="426"/>
              </w:tabs>
              <w:adjustRightInd w:val="0"/>
              <w:snapToGrid w:val="0"/>
              <w:spacing w:line="360" w:lineRule="auto"/>
              <w:jc w:val="center"/>
              <w:rPr>
                <w:rFonts w:ascii="宋体" w:hAnsi="宋体" w:eastAsia="宋体" w:cs="宋体"/>
                <w:color w:val="auto"/>
                <w:szCs w:val="21"/>
                <w:lang w:val="zh-CN"/>
              </w:rPr>
            </w:pPr>
          </w:p>
        </w:tc>
        <w:tc>
          <w:tcPr>
            <w:tcW w:w="1258" w:type="pct"/>
            <w:vAlign w:val="center"/>
          </w:tcPr>
          <w:p>
            <w:pPr>
              <w:pStyle w:val="127"/>
              <w:numPr>
                <w:ilvl w:val="255"/>
                <w:numId w:val="0"/>
              </w:numPr>
              <w:tabs>
                <w:tab w:val="left" w:pos="426"/>
              </w:tabs>
              <w:adjustRightInd w:val="0"/>
              <w:snapToGrid w:val="0"/>
              <w:spacing w:line="360" w:lineRule="auto"/>
              <w:jc w:val="center"/>
              <w:rPr>
                <w:rFonts w:hint="eastAsia" w:ascii="宋体" w:hAnsi="宋体" w:eastAsia="宋体" w:cs="宋体"/>
                <w:b/>
                <w:bCs/>
                <w:color w:val="auto"/>
                <w:szCs w:val="21"/>
              </w:rPr>
            </w:pPr>
            <w:r>
              <w:rPr>
                <w:rFonts w:hint="eastAsia" w:ascii="宋体" w:hAnsi="宋体" w:eastAsia="宋体" w:cs="宋体"/>
                <w:b/>
                <w:color w:val="auto"/>
                <w:szCs w:val="21"/>
                <w:lang w:val="en-US" w:eastAsia="zh-CN"/>
              </w:rPr>
              <w:t>施工单位</w:t>
            </w:r>
          </w:p>
        </w:tc>
        <w:tc>
          <w:tcPr>
            <w:tcW w:w="2739" w:type="pct"/>
            <w:vAlign w:val="center"/>
          </w:tcPr>
          <w:p>
            <w:pPr>
              <w:pStyle w:val="127"/>
              <w:numPr>
                <w:ilvl w:val="255"/>
                <w:numId w:val="0"/>
              </w:numPr>
              <w:tabs>
                <w:tab w:val="left" w:pos="426"/>
              </w:tabs>
              <w:adjustRightInd w:val="0"/>
              <w:snapToGrid w:val="0"/>
              <w:spacing w:line="360" w:lineRule="auto"/>
              <w:jc w:val="center"/>
              <w:rPr>
                <w:rFonts w:hint="default"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pct"/>
            <w:vMerge w:val="continue"/>
            <w:vAlign w:val="center"/>
          </w:tcPr>
          <w:p>
            <w:pPr>
              <w:pStyle w:val="127"/>
              <w:numPr>
                <w:ilvl w:val="255"/>
                <w:numId w:val="0"/>
              </w:numPr>
              <w:tabs>
                <w:tab w:val="left" w:pos="426"/>
              </w:tabs>
              <w:adjustRightInd w:val="0"/>
              <w:snapToGrid w:val="0"/>
              <w:spacing w:line="360" w:lineRule="auto"/>
              <w:jc w:val="center"/>
              <w:rPr>
                <w:rFonts w:ascii="宋体" w:hAnsi="宋体" w:eastAsia="宋体" w:cs="宋体"/>
                <w:color w:val="auto"/>
                <w:szCs w:val="21"/>
                <w:lang w:val="zh-CN"/>
              </w:rPr>
            </w:pPr>
          </w:p>
        </w:tc>
        <w:tc>
          <w:tcPr>
            <w:tcW w:w="1258" w:type="pct"/>
            <w:vAlign w:val="center"/>
          </w:tcPr>
          <w:p>
            <w:pPr>
              <w:pStyle w:val="127"/>
              <w:numPr>
                <w:ilvl w:val="255"/>
                <w:numId w:val="0"/>
              </w:numPr>
              <w:tabs>
                <w:tab w:val="left" w:pos="426"/>
              </w:tabs>
              <w:adjustRightInd w:val="0"/>
              <w:snapToGrid w:val="0"/>
              <w:spacing w:line="360" w:lineRule="auto"/>
              <w:jc w:val="center"/>
              <w:rPr>
                <w:rFonts w:hint="eastAsia" w:ascii="宋体" w:hAnsi="宋体" w:eastAsia="宋体" w:cs="宋体"/>
                <w:b/>
                <w:bCs/>
                <w:color w:val="auto"/>
                <w:szCs w:val="21"/>
              </w:rPr>
            </w:pPr>
            <w:r>
              <w:rPr>
                <w:rFonts w:hint="eastAsia" w:ascii="宋体" w:hAnsi="宋体" w:eastAsia="宋体" w:cs="宋体"/>
                <w:b/>
                <w:color w:val="auto"/>
                <w:szCs w:val="21"/>
                <w:lang w:val="en-US" w:eastAsia="zh-CN"/>
              </w:rPr>
              <w:t>监理单位</w:t>
            </w:r>
          </w:p>
        </w:tc>
        <w:tc>
          <w:tcPr>
            <w:tcW w:w="2739" w:type="pct"/>
            <w:vAlign w:val="center"/>
          </w:tcPr>
          <w:p>
            <w:pPr>
              <w:pStyle w:val="127"/>
              <w:numPr>
                <w:ilvl w:val="255"/>
                <w:numId w:val="0"/>
              </w:numPr>
              <w:tabs>
                <w:tab w:val="left" w:pos="426"/>
              </w:tabs>
              <w:adjustRightInd w:val="0"/>
              <w:snapToGrid w:val="0"/>
              <w:spacing w:line="360" w:lineRule="auto"/>
              <w:jc w:val="center"/>
              <w:rPr>
                <w:rFonts w:hint="default" w:ascii="宋体" w:hAnsi="宋体" w:eastAsia="宋体" w:cs="宋体"/>
                <w:b/>
                <w:bCs/>
                <w:color w:val="auto"/>
                <w:szCs w:val="21"/>
                <w:lang w:val="en-US" w:eastAsia="zh-CN"/>
              </w:rPr>
            </w:pPr>
            <w:r>
              <w:rPr>
                <w:rFonts w:hint="default" w:ascii="宋体" w:hAnsi="宋体" w:eastAsia="宋体" w:cs="宋体"/>
                <w:b/>
                <w:bCs/>
                <w:color w:val="auto"/>
                <w:szCs w:val="21"/>
                <w:lang w:val="en-US" w:eastAsia="zh-CN"/>
              </w:rPr>
              <w:t>广东广信建筑工程监理有限公司</w:t>
            </w:r>
          </w:p>
        </w:tc>
      </w:tr>
      <w:bookmarkEnd w:id="406"/>
    </w:tbl>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407" w:name="_Toc26594"/>
      <w:bookmarkStart w:id="408" w:name="_Toc5205"/>
      <w:bookmarkStart w:id="409" w:name="_Toc142508357"/>
      <w:bookmarkStart w:id="410" w:name="_Toc6198"/>
      <w:bookmarkStart w:id="411" w:name="_Toc29758"/>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96"/>
      <w:bookmarkEnd w:id="397"/>
      <w:bookmarkEnd w:id="407"/>
      <w:bookmarkEnd w:id="408"/>
      <w:bookmarkEnd w:id="409"/>
      <w:bookmarkEnd w:id="410"/>
      <w:bookmarkEnd w:id="411"/>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12" w:name="_Toc142508358"/>
      <w:bookmarkStart w:id="413" w:name="_Toc4386"/>
      <w:bookmarkStart w:id="414" w:name="_Toc21446"/>
      <w:bookmarkStart w:id="415" w:name="_Toc486167706"/>
      <w:bookmarkStart w:id="416" w:name="_Toc27939_WPSOffice_Level1"/>
      <w:bookmarkStart w:id="417" w:name="_Toc14879"/>
      <w:bookmarkStart w:id="418" w:name="_Toc29364"/>
      <w:bookmarkStart w:id="419" w:name="_Toc450662891"/>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412"/>
      <w:bookmarkEnd w:id="413"/>
      <w:bookmarkEnd w:id="414"/>
      <w:bookmarkEnd w:id="415"/>
      <w:bookmarkEnd w:id="416"/>
      <w:bookmarkEnd w:id="417"/>
      <w:bookmarkEnd w:id="418"/>
      <w:bookmarkEnd w:id="419"/>
    </w:p>
    <w:p>
      <w:pPr>
        <w:adjustRightInd w:val="0"/>
        <w:snapToGrid w:val="0"/>
        <w:spacing w:line="360" w:lineRule="auto"/>
        <w:ind w:firstLine="422" w:firstLineChars="200"/>
        <w:contextualSpacing/>
        <w:rPr>
          <w:rFonts w:ascii="宋体" w:hAnsi="宋体" w:eastAsia="宋体" w:cs="宋体"/>
          <w:b/>
          <w:bCs/>
          <w:color w:val="auto"/>
          <w:szCs w:val="21"/>
        </w:rPr>
      </w:pPr>
      <w:r>
        <w:rPr>
          <w:rFonts w:hint="eastAsia" w:ascii="宋体" w:hAnsi="宋体" w:eastAsia="宋体" w:cs="宋体"/>
          <w:b/>
          <w:bCs/>
          <w:color w:val="auto"/>
          <w:szCs w:val="21"/>
          <w:lang w:eastAsia="zh-CN"/>
        </w:rPr>
        <w:t>东莞市石鼓净水有限公司</w:t>
      </w:r>
      <w:r>
        <w:rPr>
          <w:rFonts w:hint="eastAsia" w:ascii="宋体" w:hAnsi="宋体" w:eastAsia="宋体" w:cs="宋体"/>
          <w:b/>
          <w:bCs/>
          <w:color w:val="auto"/>
          <w:szCs w:val="21"/>
        </w:rPr>
        <w:t>（以下简称“项目业主”）为</w:t>
      </w:r>
      <w:r>
        <w:rPr>
          <w:rFonts w:hint="eastAsia" w:ascii="宋体" w:hAnsi="宋体" w:eastAsia="宋体" w:cs="宋体"/>
          <w:b/>
          <w:bCs/>
          <w:color w:val="auto"/>
          <w:szCs w:val="21"/>
          <w:lang w:eastAsia="zh-CN"/>
        </w:rPr>
        <w:t>东莞市茶山镇污水处理厂改扩建项目</w:t>
      </w:r>
      <w:r>
        <w:rPr>
          <w:rFonts w:hint="eastAsia" w:ascii="宋体" w:hAnsi="宋体" w:eastAsia="宋体" w:cs="宋体"/>
          <w:b/>
          <w:bCs/>
          <w:color w:val="auto"/>
          <w:szCs w:val="21"/>
        </w:rPr>
        <w:t>的项目业主，招标人为上述项目的代建单位，项目业主已将</w:t>
      </w:r>
      <w:r>
        <w:rPr>
          <w:rFonts w:hint="eastAsia" w:ascii="宋体" w:hAnsi="宋体" w:eastAsia="宋体" w:cs="宋体"/>
          <w:b/>
          <w:bCs/>
          <w:color w:val="auto"/>
          <w:szCs w:val="21"/>
          <w:lang w:eastAsia="zh-CN"/>
        </w:rPr>
        <w:t>东莞市茶山镇污水处理厂改扩建项目</w:t>
      </w:r>
      <w:r>
        <w:rPr>
          <w:rFonts w:hint="eastAsia" w:ascii="宋体" w:hAnsi="宋体" w:eastAsia="宋体" w:cs="宋体"/>
          <w:b/>
          <w:bCs/>
          <w:color w:val="auto"/>
          <w:szCs w:val="21"/>
        </w:rPr>
        <w:t>委托给招标人实施代建。</w:t>
      </w:r>
    </w:p>
    <w:p>
      <w:pPr>
        <w:pStyle w:val="127"/>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一、项目概况</w:t>
      </w:r>
    </w:p>
    <w:p>
      <w:pPr>
        <w:pStyle w:val="1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东莞市茶山镇污水处理厂改扩建项目位于东莞市茶山镇内,本工程扩容规模为4.5万m3/d，采用地上式建设形式，扩容后总规模达到9.5万m3/d，变化系数采用1.3，采用工艺为“五段式Bardenpho+MBR”工艺。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lang w:val="en-US" w:eastAsia="zh-CN" w:bidi="ar-SA"/>
        </w:rPr>
        <w:t>建设内容包括厂区主要构（建）筑物：粗格栅及进水泵房（改造）、细格栅及旋流沉砂池（新建）、精细格栅（新建）、五段式Bardenpho生物池（新建厌氧池+改造）、MBR膜池及设备间（新建）、紫外消毒渠（改造）、出水流量计井（新建）、鼓风机房及变配电间（改造）、脱水车间（改造）、生物除臭滤池（新建）以及厂区道路、绿化、电气及自控等辅助工程。</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二、总</w:t>
      </w:r>
      <w:r>
        <w:rPr>
          <w:rFonts w:hint="eastAsia" w:ascii="宋体" w:hAnsi="宋体" w:eastAsia="宋体" w:cs="宋体"/>
          <w:b/>
          <w:bCs w:val="0"/>
          <w:color w:val="auto"/>
          <w:sz w:val="21"/>
          <w:szCs w:val="21"/>
          <w:highlight w:val="none"/>
        </w:rPr>
        <w:t>体服务要求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（一）检测周期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lang w:val="en-US" w:eastAsia="zh-CN"/>
        </w:rPr>
        <w:t>东莞市茶山镇污水处理厂改扩建项目</w:t>
      </w:r>
      <w:r>
        <w:rPr>
          <w:rFonts w:hint="eastAsia" w:ascii="宋体" w:hAnsi="宋体" w:eastAsia="宋体" w:cs="宋体"/>
          <w:color w:val="auto"/>
          <w:sz w:val="21"/>
          <w:szCs w:val="21"/>
          <w:highlight w:val="none"/>
        </w:rPr>
        <w:t>开工至完成约定的各项检测及相关技术工作为止。</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bookmarkStart w:id="420" w:name="_Toc46812559"/>
      <w:r>
        <w:rPr>
          <w:rFonts w:hint="eastAsia" w:ascii="宋体" w:hAnsi="宋体" w:eastAsia="宋体" w:cs="宋体"/>
          <w:color w:val="auto"/>
          <w:sz w:val="21"/>
          <w:szCs w:val="21"/>
          <w:highlight w:val="none"/>
        </w:rPr>
        <w:t>（二）检测依据</w:t>
      </w:r>
      <w:bookmarkEnd w:id="420"/>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1、《建筑地基基础检测规范》（DBJ/T 15-60-2019）；</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2、《岩土工程勘察规范》(2009年版)（GB 50021-2001）；</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3、《建筑地基基础设计规范》（DBJ 15-31-2016）；</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4、《建筑地基检测技术规范》（JGJ 340-2015）；</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5、《钢结构工程施工质量验收标准》（GB 50205-2020）；</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6、《钢结构现场检测技术标准》（GB/T 50621-2010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7、《焊缝无损检测 超声检测 技术、检测等级和评定》（GB/T 11345-2013）；</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8、《城镇道路路面设计规范》（GJJ 169-2012）；</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9、《城镇道路工程施工与质量验收规范》（GJJ 1-2008）；</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10、《给水排水管道工程施工及验收规范 》（GB</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50268-2008）；</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11、《城市道路交通标志和标线设置规范》（GB 51038-2015）；</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12、《广东省建筑节能与绿色建筑工程施工质量验收规范》(DBJ 15-65-2021)；</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13、《建筑工程饰面砖粘结强度检验标准》(JGJ/T 110-2017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14、《建筑工程施工质量验收统一标准》（GB 50300-2013)；</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15、《民用建筑工程室内环境污染控制标准》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GB 50325-2020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16、《公共建筑节能检测标准》（JGJ/T177-2009）；</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17、《声学建筑和建筑构件隔声测量》（GB/T 19889.3-2005）；</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18、《关于加强东莞市建设工程质量检测机构监督管理的通知》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东建质安〔2018〕33号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19、《关于开展建设工程混凝土结构实体质量监督抽测工作的通知》（东建质安〔2016〕262号）</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20、东莞市建设工程质量检测服务手册（第一版）；</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21、《东莞市建设工程检测行业参考收费标准（2023版）》；</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22、《广东省房屋建筑和市政工程工程质量安全检测收费指导价》（粤建检协[2015]8号）；</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23、国家及省市建设主管部门的相关标准和规范；</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24、设计资料等。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以上规范若有更新版本，应按最新的版本执行。在合同执行期内，各专项施工的执行标准、规范，如未列举，则按国家、行业、地方颁布的相应的政策、法规、规范、标准等执行。</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（三）检测内容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检测内容包括但不限于：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1、地基基础工程质量检测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开展地基承载力、桩基的承载力、压实度检测。根据《关于加强东莞市建设工程质量检测机构监督管理的通知》（东建质安〔2018〕33 号）文件第三条第（一）点：“同一单位工程的基桩完整性检测与承载力检测应委托不同的检测机构实施，以便于基桩检测不同方法之间的相关验证”要求，声波透射、低应变、钻芯法等桩基完整性检测不在本次招标范围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2、钢结构焊缝检测及涂层厚度检测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开展焊缝的质量情况,以及防腐厚度</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检测。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3、原材料、道路等实体检测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开展混凝土原材料、道路工程、钻芯法检测混凝土强度、室内环境、防雷、外墙节能厚度钻芯、隔声噪声、后锚固件抗拔、饰面砖粘结强度等检测。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4、其它根据工程实际需要委托的检测项目。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5、根据相关法律、法规及主管部门的规定，必须另行独立采购的项目不包含在本次采购范围之内。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hr-HR"/>
        </w:rPr>
        <w:t>工程检测质量要求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（1）中标人</w:t>
      </w:r>
      <w:r>
        <w:rPr>
          <w:rFonts w:hint="eastAsia" w:ascii="宋体" w:hAnsi="宋体" w:eastAsia="宋体" w:cs="宋体"/>
          <w:color w:val="auto"/>
          <w:sz w:val="21"/>
          <w:szCs w:val="21"/>
          <w:highlight w:val="none"/>
          <w:lang w:val="hr-HR"/>
        </w:rPr>
        <w:t>提供检定合格、手续完备的检测（试验）仪器，及时出具具有法律</w:t>
      </w:r>
      <w:r>
        <w:rPr>
          <w:rFonts w:hint="eastAsia" w:ascii="宋体" w:hAnsi="宋体" w:eastAsia="宋体" w:cs="宋体"/>
          <w:color w:val="auto"/>
          <w:sz w:val="21"/>
          <w:szCs w:val="21"/>
          <w:highlight w:val="none"/>
        </w:rPr>
        <w:t>效力</w:t>
      </w:r>
      <w:r>
        <w:rPr>
          <w:rFonts w:hint="eastAsia" w:ascii="宋体" w:hAnsi="宋体" w:eastAsia="宋体" w:cs="宋体"/>
          <w:color w:val="auto"/>
          <w:sz w:val="21"/>
          <w:szCs w:val="21"/>
          <w:highlight w:val="none"/>
          <w:lang w:val="hr-HR"/>
        </w:rPr>
        <w:t>的检测（试验）报告。</w:t>
      </w: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lang w:val="hr-HR"/>
        </w:rPr>
        <w:t>须保证检测（试验）成果质量，对技术成果负全</w:t>
      </w:r>
      <w:r>
        <w:rPr>
          <w:rFonts w:hint="eastAsia" w:ascii="宋体" w:hAnsi="宋体" w:eastAsia="宋体" w:cs="宋体"/>
          <w:color w:val="auto"/>
          <w:sz w:val="21"/>
          <w:szCs w:val="21"/>
          <w:highlight w:val="none"/>
          <w:lang w:val="en-US" w:eastAsia="zh-CN"/>
        </w:rPr>
        <w:t>部</w:t>
      </w:r>
      <w:r>
        <w:rPr>
          <w:rFonts w:hint="eastAsia" w:ascii="宋体" w:hAnsi="宋体" w:eastAsia="宋体" w:cs="宋体"/>
          <w:color w:val="auto"/>
          <w:sz w:val="21"/>
          <w:szCs w:val="21"/>
          <w:highlight w:val="none"/>
          <w:lang w:val="hr-HR"/>
        </w:rPr>
        <w:t>责任，如因检测（试验）不实，造成招标人经济损失费用全部由检测单位承担，并应负责重检。</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hr-HR"/>
        </w:rPr>
        <w:t>执行国家、广东省以及东莞市有关工程检测（试验）的标准规范的规定。</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hr-HR"/>
        </w:rPr>
        <w:t>其他质量要求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hr-HR"/>
        </w:rPr>
        <w:t>中标人须根据国家标准及其它相关行业规程的要求，结合本工程施工图、预算文件及东莞市建筑工程质量安全监督站相关规定，制定检测方案。完成本工程检测方案内项目及数量，出具合法有效且符合检测规范要求的检测报告，为工程进度控制提供依据；提供检测咨询服务，为保证工程质量提供保障。</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hr-HR"/>
        </w:rPr>
        <w:t>中标人应负责按东莞市建设工程质量安全监督站要求，根据本工程质量安全监督计划及相关规范编制并完善本工程的检测方案，并完成检测方案的审查备案、检测工作根据备案确认后的方案执行。</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（3）中标人应当建立健全并落实各项管理制度，保证检测项目工作正常进行，并接受</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人及有关主管部门对项目服务质量的监督检查。</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（4）中标人应建立并实施符合本项目各项要求的质量管理体系。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（5）招标人代表有权在工作时间内进入中标人的工作地点检查其质量手册、质量计划及其它与质量相关的文件的实施情况。</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（五）成果要求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1、合同签订后15天内，中标人应根据批准的工程施工组织设计、工程设计文件、市政工程建设标准、国家及行业规范等制定并向招标人提交详细的可实施的检测方案1份。中标人</w:t>
      </w:r>
      <w:r>
        <w:rPr>
          <w:rFonts w:hint="eastAsia" w:ascii="宋体" w:hAnsi="宋体" w:eastAsia="宋体" w:cs="宋体"/>
          <w:color w:val="auto"/>
          <w:sz w:val="21"/>
          <w:szCs w:val="21"/>
          <w:highlight w:val="none"/>
          <w:lang w:val="hr-HR"/>
        </w:rPr>
        <w:t>应积极配合招标人调整优化检测方案，并提交招标人确认。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2、中标人在各项检测工作完成后应提交检测报告一式三份（含纸质版及电子档），检测报告包含但不限于：项目概况、检测位置、检测结果与结论、各类原始记录等内容，具体以相关规范为准。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3、中标人应向招标人提交正式、合法的检测报告书，并同时加盖资质认定标志（即CMA印章）和中标人检验检测报告专用章。</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4、中标人所提供给招标人的成果资料所有权由招标人享有，未经招标人许可，中标人不得将成果泄露给第三方。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5、中标人</w:t>
      </w:r>
      <w:r>
        <w:rPr>
          <w:rFonts w:hint="eastAsia" w:ascii="宋体" w:hAnsi="宋体" w:eastAsia="宋体" w:cs="宋体"/>
          <w:color w:val="auto"/>
          <w:kern w:val="2"/>
          <w:sz w:val="21"/>
          <w:szCs w:val="21"/>
          <w:highlight w:val="none"/>
        </w:rPr>
        <w:t>须保证检测成果质量，对技术成果负全</w:t>
      </w:r>
      <w:r>
        <w:rPr>
          <w:rFonts w:hint="eastAsia" w:ascii="宋体" w:hAnsi="宋体" w:eastAsia="宋体" w:cs="宋体"/>
          <w:color w:val="auto"/>
          <w:kern w:val="2"/>
          <w:sz w:val="21"/>
          <w:szCs w:val="21"/>
          <w:highlight w:val="none"/>
          <w:lang w:val="en-US" w:eastAsia="zh-CN"/>
        </w:rPr>
        <w:t>部</w:t>
      </w:r>
      <w:r>
        <w:rPr>
          <w:rFonts w:hint="eastAsia" w:ascii="宋体" w:hAnsi="宋体" w:eastAsia="宋体" w:cs="宋体"/>
          <w:color w:val="auto"/>
          <w:kern w:val="2"/>
          <w:sz w:val="21"/>
          <w:szCs w:val="21"/>
          <w:highlight w:val="none"/>
        </w:rPr>
        <w:t>责任，如因检测不实，造成招标人经济损失费用全部由</w:t>
      </w:r>
      <w:r>
        <w:rPr>
          <w:rFonts w:hint="eastAsia" w:ascii="宋体" w:hAnsi="宋体" w:eastAsia="宋体" w:cs="宋体"/>
          <w:color w:val="auto"/>
          <w:sz w:val="21"/>
          <w:szCs w:val="21"/>
          <w:highlight w:val="none"/>
        </w:rPr>
        <w:t>中标人</w:t>
      </w:r>
      <w:r>
        <w:rPr>
          <w:rFonts w:hint="eastAsia" w:ascii="宋体" w:hAnsi="宋体" w:eastAsia="宋体" w:cs="宋体"/>
          <w:color w:val="auto"/>
          <w:kern w:val="2"/>
          <w:sz w:val="21"/>
          <w:szCs w:val="21"/>
          <w:highlight w:val="none"/>
        </w:rPr>
        <w:t>承担，并应负责重检。</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（六）安全要求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1、中标人应做好服务的安全防护措施，服务过程中出现的安全事故由中标人自行承担。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2、中标人必须做好安全防护工作，由于中标人自身的原因发生的任何伤害（包括人身伤害），均由中标人自行承担。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（七）其他要求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须严格按照东莞市住房和城乡建设局规定，使用“东莞市工程质量检测监管平台”开展相关检测工作，投标人须在“东莞市工程质量检测监管平台”完成注册备案，并提供相关网页截图。（须提供已备案网页截图，或提供中标后须在7个工作日内完成备案的承诺函）</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2、中标人派出的检测人员应具备相应的专业知识及技术水平，有足够能力完成本项目检测服务工作。</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3、中标人需配备1名项目负责人、1名技术负责人及数量充足的检测工作人员，保证检测工作有序、顺利完成。</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4、中标人应配备完成本项目所必须的检测设备，其性能良好并符合国家规定。同时配备数量充足的交通警示标志和施工围档，以及检测仪器、无线通讯设备、劳动防护用品等其它必须使用的工具。</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hr-HR"/>
        </w:rPr>
        <w:t>若</w:t>
      </w:r>
      <w:r>
        <w:rPr>
          <w:rFonts w:hint="eastAsia" w:ascii="宋体" w:hAnsi="宋体" w:eastAsia="宋体" w:cs="宋体"/>
          <w:color w:val="auto"/>
          <w:sz w:val="21"/>
          <w:szCs w:val="21"/>
          <w:highlight w:val="none"/>
        </w:rPr>
        <w:t>招标人、</w:t>
      </w:r>
      <w:r>
        <w:rPr>
          <w:rFonts w:hint="eastAsia" w:ascii="宋体" w:hAnsi="宋体" w:eastAsia="宋体" w:cs="宋体"/>
          <w:color w:val="auto"/>
          <w:sz w:val="21"/>
          <w:szCs w:val="21"/>
          <w:highlight w:val="none"/>
          <w:lang w:eastAsia="zh-CN"/>
        </w:rPr>
        <w:t>项目业主</w:t>
      </w:r>
      <w:r>
        <w:rPr>
          <w:rFonts w:hint="eastAsia" w:ascii="宋体" w:hAnsi="宋体" w:eastAsia="宋体" w:cs="宋体"/>
          <w:color w:val="auto"/>
          <w:sz w:val="21"/>
          <w:szCs w:val="21"/>
          <w:highlight w:val="none"/>
        </w:rPr>
        <w:t>、上级行政主管部门</w:t>
      </w:r>
      <w:r>
        <w:rPr>
          <w:rFonts w:hint="eastAsia" w:ascii="宋体" w:hAnsi="宋体" w:eastAsia="宋体" w:cs="宋体"/>
          <w:color w:val="auto"/>
          <w:sz w:val="21"/>
          <w:szCs w:val="21"/>
          <w:highlight w:val="none"/>
          <w:lang w:val="hr-HR"/>
        </w:rPr>
        <w:t>要求（</w:t>
      </w:r>
      <w:r>
        <w:rPr>
          <w:rFonts w:hint="eastAsia" w:ascii="宋体" w:hAnsi="宋体" w:eastAsia="宋体" w:cs="宋体"/>
          <w:color w:val="auto"/>
          <w:sz w:val="21"/>
          <w:szCs w:val="21"/>
          <w:highlight w:val="none"/>
        </w:rPr>
        <w:t>含政策变动</w:t>
      </w:r>
      <w:r>
        <w:rPr>
          <w:rFonts w:hint="eastAsia" w:ascii="宋体" w:hAnsi="宋体" w:eastAsia="宋体" w:cs="宋体"/>
          <w:color w:val="auto"/>
          <w:sz w:val="21"/>
          <w:szCs w:val="21"/>
          <w:highlight w:val="none"/>
          <w:lang w:val="hr-HR"/>
        </w:rPr>
        <w:t>）</w:t>
      </w:r>
      <w:r>
        <w:rPr>
          <w:rFonts w:hint="eastAsia" w:ascii="宋体" w:hAnsi="宋体" w:eastAsia="宋体" w:cs="宋体"/>
          <w:color w:val="auto"/>
          <w:sz w:val="21"/>
          <w:szCs w:val="21"/>
          <w:highlight w:val="none"/>
        </w:rPr>
        <w:t>检测</w:t>
      </w:r>
      <w:r>
        <w:rPr>
          <w:rFonts w:hint="eastAsia" w:ascii="宋体" w:hAnsi="宋体" w:eastAsia="宋体" w:cs="宋体"/>
          <w:color w:val="auto"/>
          <w:sz w:val="21"/>
          <w:szCs w:val="21"/>
          <w:highlight w:val="none"/>
          <w:lang w:val="hr-HR"/>
        </w:rPr>
        <w:t>内容和频次增加或减少，</w:t>
      </w:r>
      <w:r>
        <w:rPr>
          <w:rFonts w:hint="eastAsia" w:ascii="宋体" w:hAnsi="宋体" w:eastAsia="宋体" w:cs="宋体"/>
          <w:color w:val="auto"/>
          <w:sz w:val="21"/>
          <w:szCs w:val="21"/>
          <w:highlight w:val="none"/>
        </w:rPr>
        <w:t>中标人必须无条件</w:t>
      </w:r>
      <w:r>
        <w:rPr>
          <w:rFonts w:hint="eastAsia" w:ascii="宋体" w:hAnsi="宋体" w:eastAsia="宋体" w:cs="宋体"/>
          <w:color w:val="auto"/>
          <w:sz w:val="21"/>
          <w:szCs w:val="21"/>
          <w:highlight w:val="none"/>
          <w:lang w:val="hr-HR"/>
        </w:rPr>
        <w:t>遵守执行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hr-HR"/>
        </w:rPr>
        <w:t>实际检测量以招标人审核为准。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hr-HR"/>
        </w:rPr>
        <w:t>若特殊项目中标人无相应资质的，必须经招标人批准后送符合条件（具备相应资质）的分包单位进行检测，并出具相应的检测报告，否则将视为中标人违约，出具的报告不予承认。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hr-HR"/>
        </w:rPr>
        <w:t>在合同服务期内中标人不得因实际检测点过少或其他理由，而要求招标人提供任何形式的补偿或赔偿，或要求招标人所有的项目必须开展检测服务。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8、中标人</w:t>
      </w:r>
      <w:r>
        <w:rPr>
          <w:rFonts w:hint="eastAsia" w:ascii="宋体" w:hAnsi="宋体" w:eastAsia="宋体" w:cs="宋体"/>
          <w:color w:val="auto"/>
          <w:sz w:val="21"/>
          <w:szCs w:val="21"/>
          <w:highlight w:val="none"/>
          <w:lang w:val="hr-HR"/>
        </w:rPr>
        <w:t>自行解决现场检测（试验）所需辅助劳务及相关费用。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9、服务过程中涉及的设备、工具，由中标人自行解决。</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10、服务过程中涉及的用水、用电由中标人自行接入，中标人需做好用水、用电安全防护措施并无条件接受招标人监督。</w:t>
      </w:r>
    </w:p>
    <w:p>
      <w:pPr>
        <w:pStyle w:val="127"/>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三、合同价款</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1、本项目《工程量清单计价表》（详见附件）的</w:t>
      </w:r>
      <w:r>
        <w:rPr>
          <w:rFonts w:hint="eastAsia" w:ascii="宋体" w:hAnsi="宋体" w:eastAsia="宋体" w:cs="宋体"/>
          <w:color w:val="auto"/>
          <w:sz w:val="21"/>
          <w:szCs w:val="21"/>
          <w:highlight w:val="none"/>
          <w:lang w:val="en-US" w:eastAsia="zh-CN"/>
        </w:rPr>
        <w:t>计费标准</w:t>
      </w:r>
      <w:r>
        <w:rPr>
          <w:rFonts w:hint="eastAsia" w:ascii="宋体" w:hAnsi="宋体" w:eastAsia="宋体" w:cs="宋体"/>
          <w:color w:val="auto"/>
          <w:sz w:val="21"/>
          <w:szCs w:val="21"/>
          <w:highlight w:val="none"/>
        </w:rPr>
        <w:t>参照《东莞市建设工程检测行业参考收费标准（2023版）》（东检协字（2023）3号）的参考单价，</w:t>
      </w:r>
      <w:r>
        <w:rPr>
          <w:rFonts w:hint="eastAsia" w:ascii="宋体" w:hAnsi="宋体" w:eastAsia="宋体" w:cs="宋体"/>
          <w:color w:val="auto"/>
          <w:sz w:val="21"/>
          <w:szCs w:val="21"/>
          <w:highlight w:val="none"/>
          <w:lang w:val="en-US" w:eastAsia="zh-CN"/>
        </w:rPr>
        <w:t>计费</w:t>
      </w:r>
      <w:r>
        <w:rPr>
          <w:rFonts w:hint="eastAsia" w:ascii="宋体" w:hAnsi="宋体" w:eastAsia="宋体" w:cs="宋体"/>
          <w:color w:val="auto"/>
          <w:sz w:val="21"/>
          <w:szCs w:val="21"/>
          <w:highlight w:val="none"/>
        </w:rPr>
        <w:t>标准未包含的部分参照《广东省房屋建筑和市政工程质量安全检测收费指导价》（粤建检协[2015]8号）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暂定总合同价款按照招标文件所附《工程量清单计价表》（详见附件）的不含税综合单价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不含税综合单价</w:t>
      </w:r>
      <w:r>
        <w:rPr>
          <w:rFonts w:hint="eastAsia" w:ascii="宋体" w:hAnsi="宋体" w:eastAsia="宋体" w:cs="宋体"/>
          <w:color w:val="auto"/>
          <w:sz w:val="21"/>
          <w:szCs w:val="21"/>
          <w:highlight w:val="none"/>
          <w:lang w:val="en-US" w:eastAsia="zh-CN"/>
        </w:rPr>
        <w:t>=参考单价÷1.06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检测服务系数×实际检测工作量</w:t>
      </w:r>
      <w:r>
        <w:rPr>
          <w:rFonts w:hint="eastAsia" w:ascii="宋体" w:hAnsi="宋体" w:eastAsia="宋体" w:cs="宋体"/>
          <w:color w:val="auto"/>
          <w:sz w:val="21"/>
          <w:szCs w:val="21"/>
          <w:highlight w:val="none"/>
          <w:lang w:val="en-US" w:eastAsia="zh-CN"/>
        </w:rPr>
        <w:t>计算所得</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不含税</w:t>
      </w:r>
      <w:r>
        <w:rPr>
          <w:rFonts w:hint="eastAsia" w:ascii="宋体" w:hAnsi="宋体" w:eastAsia="宋体" w:cs="宋体"/>
          <w:color w:val="auto"/>
          <w:sz w:val="21"/>
          <w:szCs w:val="21"/>
          <w:highlight w:val="none"/>
        </w:rPr>
        <w:t>综合单价包含</w:t>
      </w:r>
      <w:r>
        <w:rPr>
          <w:rFonts w:hint="eastAsia" w:ascii="宋体" w:hAnsi="宋体" w:eastAsia="宋体" w:cs="宋体"/>
          <w:color w:val="auto"/>
          <w:kern w:val="2"/>
          <w:sz w:val="21"/>
          <w:szCs w:val="21"/>
          <w:highlight w:val="none"/>
        </w:rPr>
        <w:t>人工（含雨季、高温、赶工和夜间作业加班费，以及现场检测或试验所需的辅助劳务）、材料、仪器设备、机械、试件加工、检测（试验）及其措施（含施工期间设施的照管及受损设施的修复等）、试坑开挖、桩头处理、加荷体吊装运输、重锤吊装及运输费、钻孔费、引孔费、道路修填、临时设施费、技术工作收费、安全措施、驻地项目部等完成全部检测（试验）工作所需费用及利润、检测人销项税额以外的税金</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报价过程产生的费用、办理履约担保费用、水电及进退场、差旅、驻地、办公设施、用品、食宿费、交通、通讯、施工配合费、保险费、风险费、检测方案的审查及专家论证费等完成本项目服务相关的直接及间接费用</w:t>
      </w:r>
      <w:r>
        <w:rPr>
          <w:rFonts w:hint="eastAsia" w:ascii="宋体" w:hAnsi="宋体" w:eastAsia="宋体" w:cs="宋体"/>
          <w:color w:val="auto"/>
          <w:sz w:val="21"/>
          <w:szCs w:val="21"/>
          <w:highlight w:val="none"/>
        </w:rPr>
        <w:t>。除另有约定外，本工程检测（试验）的</w:t>
      </w:r>
      <w:r>
        <w:rPr>
          <w:rFonts w:hint="eastAsia" w:ascii="宋体" w:hAnsi="宋体" w:eastAsia="宋体" w:cs="宋体"/>
          <w:color w:val="auto"/>
          <w:sz w:val="21"/>
          <w:szCs w:val="21"/>
          <w:highlight w:val="none"/>
          <w:lang w:val="en-US" w:eastAsia="zh-CN"/>
        </w:rPr>
        <w:t>不含税</w:t>
      </w:r>
      <w:r>
        <w:rPr>
          <w:rFonts w:hint="eastAsia" w:ascii="宋体" w:hAnsi="宋体" w:eastAsia="宋体" w:cs="宋体"/>
          <w:color w:val="auto"/>
          <w:sz w:val="21"/>
          <w:szCs w:val="21"/>
          <w:highlight w:val="none"/>
        </w:rPr>
        <w:t>综合单价在合同实施期间不因任何因素而调整（包括但不限于工程的工期延长、检测工作量变化等），招标人及项目业主也不承担任何额外费用。检测时，如需土建施工单位配合或向其租借设备时，中标人自行与施工单位协调，配合及租借费用已包括在</w:t>
      </w:r>
      <w:r>
        <w:rPr>
          <w:rFonts w:hint="eastAsia" w:ascii="宋体" w:hAnsi="宋体" w:eastAsia="宋体" w:cs="宋体"/>
          <w:color w:val="auto"/>
          <w:sz w:val="21"/>
          <w:szCs w:val="21"/>
          <w:highlight w:val="none"/>
          <w:lang w:val="en-US" w:eastAsia="zh-CN"/>
        </w:rPr>
        <w:t>不含税</w:t>
      </w:r>
      <w:r>
        <w:rPr>
          <w:rFonts w:hint="eastAsia" w:ascii="宋体" w:hAnsi="宋体" w:eastAsia="宋体" w:cs="宋体"/>
          <w:color w:val="auto"/>
          <w:sz w:val="21"/>
          <w:szCs w:val="21"/>
          <w:highlight w:val="none"/>
        </w:rPr>
        <w:t>综合单价内。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程量清单计价表》不作为中标人最终服务范围及业务承接数量的保证，招标人有权根据实际需求对检测工程量进行优化调整，最终服务费用按实际发生工程量结算。在合同服务期内，中标人不得因实际检测项目数量及服务费用的增减而要求招标人提供任何形式的补偿或赔偿，或只按招标人暂定的《工程量清单计价表》提供相应的对应服务。否则，视为中标人违约，招标人有权依据合同约定追究中标人的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4、对于《工程量清单计价表》外新增的检测项目，不含税综合单价按以下方法计算：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（1）《东莞市建设工程检测行业参考收费标准 (2023版)》（东检协字（2023）3号）对应项参考单价÷1.06×</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检测服务系数；</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（2）《东莞市建设工程检测行业参考收费标准 (2023版)》（东检协字（2023）3号）中无对应项，则按照《广东省房屋建筑和市政工程工程质量安全检测收费指导价》（粤建检协〔2015〕8号）对应项单价÷1.06×</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检测服务系数；</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（3）《东莞市建设工程检测行业参考收费标准 (2023版)》（东检协字（2023）3号）与《广东省房屋建筑和市政工程工程质量安全检测收费指导价》（粤建检协〔2015〕8号）均无对应项的，由招标人结合本地</w:t>
      </w:r>
      <w:r>
        <w:rPr>
          <w:rFonts w:hint="eastAsia" w:ascii="宋体" w:hAnsi="宋体" w:eastAsia="宋体" w:cs="宋体"/>
          <w:color w:val="auto"/>
          <w:sz w:val="21"/>
          <w:szCs w:val="21"/>
          <w:highlight w:val="none"/>
          <w:lang w:val="en-US" w:eastAsia="zh-CN"/>
        </w:rPr>
        <w:t>及周边同类城市</w:t>
      </w:r>
      <w:r>
        <w:rPr>
          <w:rFonts w:hint="eastAsia" w:ascii="宋体" w:hAnsi="宋体" w:eastAsia="宋体" w:cs="宋体"/>
          <w:color w:val="auto"/>
          <w:sz w:val="21"/>
          <w:szCs w:val="21"/>
          <w:highlight w:val="none"/>
        </w:rPr>
        <w:t>市场询价</w:t>
      </w:r>
      <w:r>
        <w:rPr>
          <w:rFonts w:hint="eastAsia" w:ascii="宋体" w:hAnsi="宋体" w:eastAsia="宋体" w:cs="宋体"/>
          <w:color w:val="auto"/>
          <w:sz w:val="21"/>
          <w:szCs w:val="21"/>
          <w:highlight w:val="none"/>
          <w:lang w:val="en-US" w:eastAsia="zh-CN"/>
        </w:rPr>
        <w:t>的不含税综合单价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检测服务系数。</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以上不含税综合单价均保留两位小数。</w:t>
      </w:r>
    </w:p>
    <w:p>
      <w:pPr>
        <w:pStyle w:val="127"/>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四、费用支付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1、以季度为单位，即按季度计量支付进度款，中标人须向招标人提供相应的正式检测报告，经监理人及招标人审核通过后，项目业主应在中标人提交对应的请款报告30天内向</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支付进度款。</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业主以季度为单位按经监理人及招标人审核通过的检测报告所涉款项的80%支付本合同进度款，但项目业主累计支付的进度款不超过暂定总合同价款价税合计的80%，待工程竣工验收合格，项目结算完毕，并提交请款报告后30天内，项目业主按结算价一次性支付余款。</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中标人收取每笔款项前，在提交请款报告的同时一并提供等额有效的增值税专用发票，项目业主在收到相关请款材料审核后支付；中标人逾期提交请款材料或提供的发票不合格的，项目业主的付款时间可相应顺延，且不视为违约。因支付产生的相关银行手续费用，根据有关银行规定执行，如不能明确费用承担主体的，相关手续费用由双方各承担50%。由于中标人提供的发票不符合税法规定，给项目业主造成的损失由中标人承担赔偿责任。</w:t>
      </w:r>
    </w:p>
    <w:p>
      <w:pPr>
        <w:pStyle w:val="127"/>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五、考核制度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招标人每季度对中标人评价一次，出具考核评价结果。招标人将严格按照考核评分标准对中标人进行季度检查和考核。考评[70,80)分的，处相应付款周期内经招标人确认的检测费的10%作为违约金，考评[60,70)分的，处相应付款周期经招标人确认的检测费的20%作为违约金，考评60分以下的，处相应付款周期经招标人确认的检测</w:t>
      </w:r>
      <w:r>
        <w:rPr>
          <w:rFonts w:hint="eastAsia" w:ascii="宋体" w:hAnsi="宋体" w:eastAsia="宋体" w:cs="宋体"/>
          <w:bCs/>
          <w:color w:val="auto"/>
          <w:sz w:val="21"/>
          <w:szCs w:val="21"/>
          <w:highlight w:val="none"/>
          <w:lang w:val="en-US" w:eastAsia="zh-CN"/>
        </w:rPr>
        <w:t>费</w:t>
      </w:r>
      <w:r>
        <w:rPr>
          <w:rFonts w:hint="eastAsia" w:ascii="宋体" w:hAnsi="宋体" w:eastAsia="宋体" w:cs="宋体"/>
          <w:bCs/>
          <w:color w:val="auto"/>
          <w:sz w:val="21"/>
          <w:szCs w:val="21"/>
          <w:highlight w:val="none"/>
        </w:rPr>
        <w:t>的30%作为违约金。上述“[”代表闭区间，“)”代表开区间，如[70,80)代表该分数段范围为大于等于70且小于80。达到相应付款周期时,如中标人未申请支付本期费用, 招标人根据支付条件暂定本周期检测费并计算本周期内应缴纳的暂定违约金，中标人应予以缴纳。下一周期仍未申请时按上述做法执行，待到中标人申请支付费用时，根据合同付款流程确认检测费，同步对以往暂定违约金在本次一并确认并予以结算。</w:t>
      </w:r>
    </w:p>
    <w:p>
      <w:pPr>
        <w:adjustRightInd w:val="0"/>
        <w:snapToGrid w:val="0"/>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检测单位履约考核评分表</w:t>
      </w:r>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804"/>
        <w:gridCol w:w="4306"/>
        <w:gridCol w:w="340"/>
        <w:gridCol w:w="1773"/>
        <w:gridCol w:w="1080"/>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66" w:type="pct"/>
            <w:gridSpan w:val="2"/>
            <w:vAlign w:val="center"/>
          </w:tcPr>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检测人名称</w:t>
            </w:r>
          </w:p>
        </w:tc>
        <w:tc>
          <w:tcPr>
            <w:tcW w:w="2241" w:type="pct"/>
            <w:gridSpan w:val="2"/>
            <w:vAlign w:val="center"/>
          </w:tcPr>
          <w:p>
            <w:pPr>
              <w:adjustRightInd w:val="0"/>
              <w:snapToGrid w:val="0"/>
              <w:spacing w:line="360" w:lineRule="auto"/>
              <w:jc w:val="center"/>
              <w:rPr>
                <w:rFonts w:hint="eastAsia" w:ascii="宋体" w:hAnsi="宋体" w:eastAsia="宋体" w:cs="宋体"/>
                <w:color w:val="auto"/>
                <w:szCs w:val="21"/>
              </w:rPr>
            </w:pPr>
          </w:p>
        </w:tc>
        <w:tc>
          <w:tcPr>
            <w:tcW w:w="854" w:type="pct"/>
            <w:vAlign w:val="center"/>
          </w:tcPr>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评价时间</w:t>
            </w:r>
          </w:p>
        </w:tc>
        <w:tc>
          <w:tcPr>
            <w:tcW w:w="1037" w:type="pct"/>
            <w:gridSpan w:val="2"/>
            <w:vAlign w:val="center"/>
          </w:tcPr>
          <w:p>
            <w:pPr>
              <w:adjustRightInd w:val="0"/>
              <w:snapToGrid w:val="0"/>
              <w:spacing w:line="360" w:lineRule="auto"/>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78" w:type="pct"/>
            <w:vAlign w:val="center"/>
          </w:tcPr>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评价内容</w:t>
            </w:r>
          </w:p>
        </w:tc>
        <w:tc>
          <w:tcPr>
            <w:tcW w:w="388" w:type="pct"/>
            <w:vAlign w:val="center"/>
          </w:tcPr>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各项分值</w:t>
            </w:r>
          </w:p>
        </w:tc>
        <w:tc>
          <w:tcPr>
            <w:tcW w:w="3096" w:type="pct"/>
            <w:gridSpan w:val="3"/>
            <w:vAlign w:val="center"/>
          </w:tcPr>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具体内容</w:t>
            </w:r>
          </w:p>
        </w:tc>
        <w:tc>
          <w:tcPr>
            <w:tcW w:w="521" w:type="pct"/>
            <w:vAlign w:val="center"/>
          </w:tcPr>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 xml:space="preserve">评分 </w:t>
            </w:r>
          </w:p>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部门</w:t>
            </w:r>
          </w:p>
        </w:tc>
        <w:tc>
          <w:tcPr>
            <w:tcW w:w="515" w:type="pct"/>
            <w:vAlign w:val="center"/>
          </w:tcPr>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各项</w:t>
            </w:r>
          </w:p>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pct"/>
            <w:vAlign w:val="center"/>
          </w:tcPr>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服务响应</w:t>
            </w:r>
          </w:p>
        </w:tc>
        <w:tc>
          <w:tcPr>
            <w:tcW w:w="388" w:type="pct"/>
            <w:vAlign w:val="center"/>
          </w:tcPr>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20</w:t>
            </w:r>
          </w:p>
        </w:tc>
        <w:tc>
          <w:tcPr>
            <w:tcW w:w="3096" w:type="pct"/>
            <w:gridSpan w:val="3"/>
            <w:vAlign w:val="center"/>
          </w:tcPr>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1、不积极配合协助处理服务履行中发生的争议，不主动提供真实情况，每次扣3分；</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2、未能在约定时间内进驻现场的，每次扣5分；</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3、因无相应资质，需另行委托分包单位进行检测的，每检测项（细项）扣5分；</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4、未派人员参加业主要求的相关会议，每次扣5分。</w:t>
            </w:r>
          </w:p>
        </w:tc>
        <w:tc>
          <w:tcPr>
            <w:tcW w:w="521" w:type="pct"/>
            <w:vAlign w:val="center"/>
          </w:tcPr>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需求</w:t>
            </w:r>
          </w:p>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部门</w:t>
            </w:r>
          </w:p>
        </w:tc>
        <w:tc>
          <w:tcPr>
            <w:tcW w:w="515" w:type="pct"/>
            <w:vAlign w:val="bottom"/>
          </w:tcPr>
          <w:p>
            <w:pPr>
              <w:adjustRightInd w:val="0"/>
              <w:snapToGrid w:val="0"/>
              <w:spacing w:line="360" w:lineRule="auto"/>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78" w:type="pct"/>
            <w:vAlign w:val="center"/>
          </w:tcPr>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设备人员配置</w:t>
            </w:r>
          </w:p>
        </w:tc>
        <w:tc>
          <w:tcPr>
            <w:tcW w:w="388" w:type="pct"/>
            <w:vAlign w:val="center"/>
          </w:tcPr>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3096" w:type="pct"/>
            <w:gridSpan w:val="3"/>
            <w:vAlign w:val="center"/>
          </w:tcPr>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1、未按我公司要求配齐相应检测人员的，每人每次扣5分；</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2、未按我公司要求配齐相应设备的，每次扣5分：</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3、检测人员能力无法满足实际需要，且经我公司要求更换而未更换的，每人每次扣5分；</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4、检测人员未持有效证件上岗及佩戴工作证，每人每次扣5分；</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5、特种作业人员未持有效证件上岗及佩戴工作证，每人每次扣5分；</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6、开展检测的设备未在检定有效期内，每台设备每次扣5分。</w:t>
            </w:r>
          </w:p>
        </w:tc>
        <w:tc>
          <w:tcPr>
            <w:tcW w:w="521" w:type="pct"/>
            <w:vAlign w:val="center"/>
          </w:tcPr>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需求</w:t>
            </w:r>
          </w:p>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部门</w:t>
            </w:r>
          </w:p>
        </w:tc>
        <w:tc>
          <w:tcPr>
            <w:tcW w:w="515" w:type="pct"/>
            <w:vAlign w:val="bottom"/>
          </w:tcPr>
          <w:p>
            <w:pPr>
              <w:adjustRightInd w:val="0"/>
              <w:snapToGrid w:val="0"/>
              <w:spacing w:line="360" w:lineRule="auto"/>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78" w:type="pct"/>
            <w:vAlign w:val="center"/>
          </w:tcPr>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工作质量</w:t>
            </w:r>
          </w:p>
        </w:tc>
        <w:tc>
          <w:tcPr>
            <w:tcW w:w="388" w:type="pct"/>
            <w:vAlign w:val="center"/>
          </w:tcPr>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20</w:t>
            </w:r>
          </w:p>
        </w:tc>
        <w:tc>
          <w:tcPr>
            <w:tcW w:w="3096" w:type="pct"/>
            <w:gridSpan w:val="3"/>
            <w:vAlign w:val="center"/>
          </w:tcPr>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1、实际检测协作服务未达用户需求书、合同文件要求，且经我公司要求后未配合整改至符合要求的，每处每次扣5分；</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2、检测记录、数据与实际不相符的，每次扣5分；</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3、检测资料管理混乱、台账不及时更新、资料不及时签字或盖章不全的，每次扣5分；</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4、未按《关于加强东莞市建设工程质量检测机构监督管理的通知》的规定进行拍照或录像的，每次扣5分；</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5、检测报告的准确率，如出现报告的工程部位、工程名称、数据等错误的，每份报告扣5分；</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6、检测结果不合格未及时反馈或通报的，每次扣10分。</w:t>
            </w:r>
          </w:p>
        </w:tc>
        <w:tc>
          <w:tcPr>
            <w:tcW w:w="521" w:type="pct"/>
            <w:vAlign w:val="center"/>
          </w:tcPr>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需求</w:t>
            </w:r>
          </w:p>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部门</w:t>
            </w:r>
          </w:p>
        </w:tc>
        <w:tc>
          <w:tcPr>
            <w:tcW w:w="515" w:type="pct"/>
            <w:vAlign w:val="bottom"/>
          </w:tcPr>
          <w:p>
            <w:pPr>
              <w:adjustRightInd w:val="0"/>
              <w:snapToGrid w:val="0"/>
              <w:spacing w:line="360" w:lineRule="auto"/>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478" w:type="pct"/>
            <w:vAlign w:val="center"/>
          </w:tcPr>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服务进度</w:t>
            </w:r>
          </w:p>
        </w:tc>
        <w:tc>
          <w:tcPr>
            <w:tcW w:w="388" w:type="pct"/>
            <w:vAlign w:val="center"/>
          </w:tcPr>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3096" w:type="pct"/>
            <w:gridSpan w:val="3"/>
            <w:vAlign w:val="center"/>
          </w:tcPr>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1、没有在规定时间内完成检测协作服务工作的，每处每次扣5分；</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2、没有按照合同规定时间内出具检测报告的，每份报告扣5分。</w:t>
            </w:r>
          </w:p>
        </w:tc>
        <w:tc>
          <w:tcPr>
            <w:tcW w:w="521" w:type="pct"/>
            <w:vAlign w:val="center"/>
          </w:tcPr>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需求</w:t>
            </w:r>
          </w:p>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部门</w:t>
            </w:r>
          </w:p>
        </w:tc>
        <w:tc>
          <w:tcPr>
            <w:tcW w:w="515" w:type="pct"/>
            <w:vAlign w:val="bottom"/>
          </w:tcPr>
          <w:p>
            <w:pPr>
              <w:adjustRightInd w:val="0"/>
              <w:snapToGrid w:val="0"/>
              <w:spacing w:line="360" w:lineRule="auto"/>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78" w:type="pct"/>
            <w:vAlign w:val="center"/>
          </w:tcPr>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安全文明管理</w:t>
            </w:r>
          </w:p>
        </w:tc>
        <w:tc>
          <w:tcPr>
            <w:tcW w:w="388" w:type="pct"/>
            <w:vAlign w:val="center"/>
          </w:tcPr>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20</w:t>
            </w:r>
          </w:p>
        </w:tc>
        <w:tc>
          <w:tcPr>
            <w:tcW w:w="3096" w:type="pct"/>
            <w:gridSpan w:val="3"/>
            <w:vAlign w:val="center"/>
          </w:tcPr>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1、未按要求进行安全防护或安全防护不到位，我公司或上级部门检查中发现的，每处扣5分；</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2、涉及有限空间作业未按照相关流程制度审批的，每次扣5分；</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3、发生一般安全事故的，每次扣10分；</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4、发生较大安全事故的，每次扣20分。</w:t>
            </w:r>
          </w:p>
        </w:tc>
        <w:tc>
          <w:tcPr>
            <w:tcW w:w="521" w:type="pct"/>
            <w:vAlign w:val="center"/>
          </w:tcPr>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安全管理部</w:t>
            </w:r>
          </w:p>
        </w:tc>
        <w:tc>
          <w:tcPr>
            <w:tcW w:w="515" w:type="pct"/>
            <w:vAlign w:val="bottom"/>
          </w:tcPr>
          <w:p>
            <w:pPr>
              <w:adjustRightInd w:val="0"/>
              <w:snapToGrid w:val="0"/>
              <w:spacing w:line="360" w:lineRule="auto"/>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478" w:type="pct"/>
            <w:vAlign w:val="center"/>
          </w:tcPr>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服务态度</w:t>
            </w:r>
          </w:p>
        </w:tc>
        <w:tc>
          <w:tcPr>
            <w:tcW w:w="388" w:type="pct"/>
            <w:vAlign w:val="center"/>
          </w:tcPr>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3096" w:type="pct"/>
            <w:gridSpan w:val="3"/>
            <w:vAlign w:val="center"/>
          </w:tcPr>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对检测协作服务单位日常工作的服务态度，以及甲方、上级主管部门、建设单位检查中配合情况、服务投诉情况进行评价。每收到投诉一次扣5分。</w:t>
            </w:r>
          </w:p>
        </w:tc>
        <w:tc>
          <w:tcPr>
            <w:tcW w:w="521" w:type="pct"/>
            <w:vAlign w:val="center"/>
          </w:tcPr>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需求</w:t>
            </w:r>
          </w:p>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部门</w:t>
            </w:r>
          </w:p>
        </w:tc>
        <w:tc>
          <w:tcPr>
            <w:tcW w:w="515" w:type="pct"/>
            <w:vAlign w:val="bottom"/>
          </w:tcPr>
          <w:p>
            <w:pPr>
              <w:adjustRightInd w:val="0"/>
              <w:snapToGrid w:val="0"/>
              <w:spacing w:line="360" w:lineRule="auto"/>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962" w:type="pct"/>
            <w:gridSpan w:val="5"/>
            <w:vAlign w:val="center"/>
          </w:tcPr>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合计</w:t>
            </w:r>
          </w:p>
        </w:tc>
        <w:tc>
          <w:tcPr>
            <w:tcW w:w="1037" w:type="pct"/>
            <w:gridSpan w:val="2"/>
            <w:vAlign w:val="center"/>
          </w:tcPr>
          <w:p>
            <w:pPr>
              <w:adjustRightInd w:val="0"/>
              <w:snapToGrid w:val="0"/>
              <w:spacing w:line="360" w:lineRule="auto"/>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000" w:type="pct"/>
            <w:gridSpan w:val="7"/>
            <w:vAlign w:val="center"/>
          </w:tcPr>
          <w:p>
            <w:pPr>
              <w:adjustRightInd w:val="0"/>
              <w:snapToGrid w:val="0"/>
              <w:spacing w:line="360" w:lineRule="auto"/>
              <w:rPr>
                <w:rFonts w:ascii="宋体" w:hAnsi="宋体" w:eastAsia="宋体" w:cs="宋体"/>
                <w:color w:val="auto"/>
                <w:szCs w:val="21"/>
              </w:rPr>
            </w:pPr>
            <w:r>
              <w:rPr>
                <w:rFonts w:hint="eastAsia" w:ascii="宋体" w:hAnsi="宋体" w:eastAsia="宋体" w:cs="宋体"/>
                <w:color w:val="auto"/>
                <w:szCs w:val="21"/>
              </w:rPr>
              <w:t>考核评分须知：</w:t>
            </w:r>
          </w:p>
          <w:p>
            <w:pPr>
              <w:adjustRightInd w:val="0"/>
              <w:snapToGrid w:val="0"/>
              <w:spacing w:line="360" w:lineRule="auto"/>
              <w:rPr>
                <w:rFonts w:ascii="宋体" w:hAnsi="宋体" w:eastAsia="宋体" w:cs="宋体"/>
                <w:b w:val="0"/>
                <w:bCs w:val="0"/>
                <w:color w:val="auto"/>
                <w:szCs w:val="21"/>
              </w:rPr>
            </w:pPr>
            <w:bookmarkStart w:id="421" w:name="_Hlk139741337"/>
            <w:r>
              <w:rPr>
                <w:rFonts w:hint="eastAsia" w:ascii="宋体" w:hAnsi="宋体" w:eastAsia="宋体" w:cs="宋体"/>
                <w:b w:val="0"/>
                <w:bCs w:val="0"/>
                <w:color w:val="auto"/>
                <w:szCs w:val="21"/>
              </w:rPr>
              <w:t>1、委托人每季度对检测人评价一次，出具考核评价结果。</w:t>
            </w:r>
          </w:p>
          <w:p>
            <w:pPr>
              <w:adjustRightInd w:val="0"/>
              <w:snapToGrid w:val="0"/>
              <w:spacing w:line="360" w:lineRule="auto"/>
              <w:rPr>
                <w:rFonts w:ascii="宋体" w:hAnsi="宋体" w:eastAsia="宋体" w:cs="宋体"/>
                <w:b w:val="0"/>
                <w:bCs w:val="0"/>
                <w:color w:val="auto"/>
                <w:szCs w:val="21"/>
              </w:rPr>
            </w:pPr>
            <w:r>
              <w:rPr>
                <w:rFonts w:hint="eastAsia" w:ascii="宋体" w:hAnsi="宋体" w:eastAsia="宋体" w:cs="宋体"/>
                <w:b w:val="0"/>
                <w:bCs w:val="0"/>
                <w:color w:val="auto"/>
                <w:szCs w:val="21"/>
              </w:rPr>
              <w:t>2、委托人将严格按照考核评分标准对检测人进行季度检查和考核。</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b w:val="0"/>
                <w:bCs w:val="0"/>
                <w:color w:val="auto"/>
                <w:szCs w:val="21"/>
              </w:rPr>
              <w:t>3、考评[70,80)分的，处相应付款周期内经委托人确认的检测费的10%作为违约金，考评[60,70)分的，处相应付款周期经委托人确认的检测费的20%作为违约金，考评60分以下的，处相应付款周期经委托人确认的检测</w:t>
            </w:r>
            <w:r>
              <w:rPr>
                <w:rFonts w:hint="eastAsia" w:ascii="宋体" w:hAnsi="宋体" w:eastAsia="宋体" w:cs="宋体"/>
                <w:b w:val="0"/>
                <w:bCs w:val="0"/>
                <w:color w:val="auto"/>
                <w:szCs w:val="21"/>
                <w:lang w:val="en-US" w:eastAsia="zh-CN"/>
              </w:rPr>
              <w:t>费</w:t>
            </w:r>
            <w:r>
              <w:rPr>
                <w:rFonts w:hint="eastAsia" w:ascii="宋体" w:hAnsi="宋体" w:eastAsia="宋体" w:cs="宋体"/>
                <w:b w:val="0"/>
                <w:bCs w:val="0"/>
                <w:color w:val="auto"/>
                <w:szCs w:val="21"/>
              </w:rPr>
              <w:t>的30%作为违约金。上述“[”代表闭区间，“)”代表开区间，如[70,80)代表该分数段范围为大于等于70且小于80。达到相应付款周期时,如检测人未申请支付本期费用, 委托人根据支付条件暂定本周期检测费并计算本周期内应缴纳的暂定违约金，检测人应予以缴纳。下一周期仍未申请时按上述做法执行，待到检测人申请支付费用时，根据合同付款流程确认检测费，同步对以往暂定违约金在本次一并确认并予以结算。</w:t>
            </w:r>
            <w:bookmarkEnd w:id="4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66" w:type="pct"/>
            <w:gridSpan w:val="2"/>
            <w:vAlign w:val="center"/>
          </w:tcPr>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评价人员签名</w:t>
            </w:r>
          </w:p>
        </w:tc>
        <w:tc>
          <w:tcPr>
            <w:tcW w:w="2077" w:type="pct"/>
            <w:vAlign w:val="center"/>
          </w:tcPr>
          <w:p>
            <w:pPr>
              <w:adjustRightInd w:val="0"/>
              <w:snapToGrid w:val="0"/>
              <w:spacing w:line="360" w:lineRule="auto"/>
              <w:jc w:val="center"/>
              <w:rPr>
                <w:rFonts w:hint="eastAsia" w:ascii="宋体" w:hAnsi="宋体" w:eastAsia="宋体" w:cs="宋体"/>
                <w:color w:val="auto"/>
                <w:szCs w:val="21"/>
              </w:rPr>
            </w:pPr>
          </w:p>
        </w:tc>
        <w:tc>
          <w:tcPr>
            <w:tcW w:w="1018" w:type="pct"/>
            <w:gridSpan w:val="2"/>
            <w:vAlign w:val="center"/>
          </w:tcPr>
          <w:p>
            <w:pPr>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评价日期</w:t>
            </w:r>
          </w:p>
        </w:tc>
        <w:tc>
          <w:tcPr>
            <w:tcW w:w="1037" w:type="pct"/>
            <w:gridSpan w:val="2"/>
            <w:vAlign w:val="center"/>
          </w:tcPr>
          <w:p>
            <w:pPr>
              <w:adjustRightInd w:val="0"/>
              <w:snapToGrid w:val="0"/>
              <w:spacing w:line="360" w:lineRule="auto"/>
              <w:jc w:val="center"/>
              <w:rPr>
                <w:rFonts w:hint="eastAsia" w:ascii="宋体" w:hAnsi="宋体" w:eastAsia="宋体" w:cs="宋体"/>
                <w:color w:val="auto"/>
                <w:szCs w:val="21"/>
              </w:rPr>
            </w:pPr>
          </w:p>
        </w:tc>
      </w:tr>
    </w:tbl>
    <w:p>
      <w:pPr>
        <w:spacing w:line="360" w:lineRule="auto"/>
        <w:ind w:firstLine="420" w:firstLineChars="200"/>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b w:val="0"/>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附件：</w:t>
      </w:r>
      <w:r>
        <w:rPr>
          <w:rFonts w:hint="eastAsia" w:ascii="宋体" w:hAnsi="宋体" w:eastAsia="宋体" w:cs="宋体"/>
          <w:b/>
          <w:bCs w:val="0"/>
          <w:color w:val="auto"/>
          <w:sz w:val="21"/>
          <w:szCs w:val="21"/>
          <w:highlight w:val="none"/>
          <w:lang w:val="en-US" w:eastAsia="zh-CN"/>
        </w:rPr>
        <w:t>《工程量清单计价表》</w:t>
      </w:r>
    </w:p>
    <w:p>
      <w:pPr>
        <w:spacing w:line="360" w:lineRule="auto"/>
        <w:rPr>
          <w:rFonts w:ascii="宋体" w:hAnsi="宋体" w:eastAsia="宋体" w:cs="Times New Roman"/>
          <w:b/>
          <w:color w:val="auto"/>
          <w:szCs w:val="21"/>
          <w:highlight w:val="none"/>
          <w:lang w:val="zh-CN"/>
        </w:rPr>
      </w:pPr>
    </w:p>
    <w:p>
      <w:pPr>
        <w:spacing w:line="360" w:lineRule="auto"/>
        <w:rPr>
          <w:rFonts w:ascii="宋体" w:hAnsi="宋体" w:eastAsia="宋体" w:cs="Times New Roman"/>
          <w:color w:val="auto"/>
          <w:szCs w:val="21"/>
          <w:highlight w:val="none"/>
        </w:rPr>
      </w:pPr>
    </w:p>
    <w:p>
      <w:pPr>
        <w:rPr>
          <w:rFonts w:ascii="宋体" w:hAnsi="宋体" w:eastAsia="宋体" w:cs="Times New Roman"/>
          <w:b/>
          <w:color w:val="auto"/>
          <w:szCs w:val="21"/>
          <w:highlight w:val="none"/>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color w:val="auto"/>
          <w:kern w:val="0"/>
          <w:sz w:val="24"/>
          <w:szCs w:val="24"/>
          <w:highlight w:val="none"/>
        </w:rPr>
      </w:pPr>
      <w:bookmarkStart w:id="422" w:name="_Toc20401"/>
      <w:bookmarkStart w:id="423" w:name="_Toc142508359"/>
      <w:bookmarkStart w:id="424" w:name="_Toc16287"/>
      <w:bookmarkStart w:id="425" w:name="_Toc11281_WPSOffice_Level1"/>
      <w:bookmarkStart w:id="426" w:name="_Toc450662892"/>
      <w:bookmarkStart w:id="427" w:name="_Toc486167707"/>
      <w:bookmarkStart w:id="428" w:name="_Toc25251"/>
      <w:bookmarkStart w:id="429" w:name="_Toc25099"/>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422"/>
      <w:bookmarkEnd w:id="423"/>
      <w:bookmarkEnd w:id="424"/>
      <w:bookmarkEnd w:id="425"/>
      <w:bookmarkEnd w:id="426"/>
      <w:bookmarkEnd w:id="427"/>
      <w:bookmarkEnd w:id="428"/>
      <w:bookmarkEnd w:id="429"/>
    </w:p>
    <w:p>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pPr>
        <w:ind w:right="281"/>
        <w:jc w:val="right"/>
        <w:rPr>
          <w:rFonts w:ascii="宋体" w:hAnsi="宋体"/>
          <w:color w:val="auto"/>
          <w:sz w:val="30"/>
          <w:szCs w:val="30"/>
          <w:u w:val="single"/>
        </w:rPr>
      </w:pPr>
      <w:r>
        <w:rPr>
          <w:rFonts w:hint="eastAsia" w:ascii="宋体" w:hAnsi="宋体" w:eastAsia="宋体" w:cs="宋体"/>
          <w:color w:val="auto"/>
          <w:sz w:val="30"/>
          <w:szCs w:val="30"/>
        </w:rPr>
        <w:t>合同编号：</w:t>
      </w:r>
      <w:r>
        <w:rPr>
          <w:rFonts w:hint="eastAsia" w:ascii="宋体" w:hAnsi="宋体" w:eastAsia="宋体" w:cs="宋体"/>
          <w:color w:val="auto"/>
          <w:sz w:val="30"/>
          <w:szCs w:val="30"/>
          <w:u w:val="single"/>
        </w:rPr>
        <w:t xml:space="preserve">  </w:t>
      </w:r>
      <w:r>
        <w:rPr>
          <w:rFonts w:hint="eastAsia" w:ascii="宋体" w:hAnsi="宋体"/>
          <w:color w:val="auto"/>
          <w:sz w:val="30"/>
          <w:szCs w:val="30"/>
          <w:u w:val="single"/>
        </w:rPr>
        <w:t xml:space="preserve">       </w:t>
      </w:r>
    </w:p>
    <w:p>
      <w:pPr>
        <w:ind w:right="500" w:firstLine="2940" w:firstLineChars="1400"/>
        <w:rPr>
          <w:rFonts w:ascii="宋体" w:hAnsi="宋体"/>
          <w:color w:val="auto"/>
          <w:szCs w:val="28"/>
        </w:rPr>
      </w:pPr>
    </w:p>
    <w:p>
      <w:pPr>
        <w:spacing w:line="360" w:lineRule="auto"/>
        <w:rPr>
          <w:rFonts w:ascii="宋体" w:hAnsi="宋体" w:cs="宋体"/>
          <w:b/>
          <w:bCs/>
          <w:snapToGrid w:val="0"/>
          <w:color w:val="auto"/>
          <w:sz w:val="52"/>
          <w:szCs w:val="32"/>
        </w:rPr>
      </w:pPr>
    </w:p>
    <w:p>
      <w:pPr>
        <w:spacing w:line="360" w:lineRule="auto"/>
        <w:jc w:val="center"/>
        <w:rPr>
          <w:rFonts w:hint="eastAsia" w:ascii="宋体" w:hAnsi="宋体" w:eastAsia="宋体" w:cs="宋体"/>
          <w:b/>
          <w:bCs/>
          <w:snapToGrid w:val="0"/>
          <w:color w:val="auto"/>
          <w:sz w:val="52"/>
          <w:szCs w:val="32"/>
        </w:rPr>
      </w:pPr>
    </w:p>
    <w:p>
      <w:pPr>
        <w:spacing w:line="360" w:lineRule="auto"/>
        <w:jc w:val="center"/>
        <w:rPr>
          <w:rFonts w:ascii="宋体" w:hAnsi="宋体" w:eastAsia="宋体" w:cs="宋体"/>
          <w:b/>
          <w:bCs/>
          <w:snapToGrid w:val="0"/>
          <w:color w:val="auto"/>
          <w:sz w:val="52"/>
          <w:szCs w:val="32"/>
        </w:rPr>
      </w:pPr>
      <w:r>
        <w:rPr>
          <w:rFonts w:hint="eastAsia" w:ascii="宋体" w:hAnsi="宋体" w:eastAsia="宋体" w:cs="宋体"/>
          <w:b/>
          <w:bCs/>
          <w:snapToGrid w:val="0"/>
          <w:color w:val="auto"/>
          <w:sz w:val="52"/>
          <w:szCs w:val="32"/>
        </w:rPr>
        <w:t>第 三 方 检 测 合 同</w:t>
      </w:r>
    </w:p>
    <w:p>
      <w:pPr>
        <w:spacing w:line="360" w:lineRule="auto"/>
        <w:ind w:left="420" w:leftChars="200"/>
        <w:rPr>
          <w:rFonts w:ascii="宋体" w:hAnsi="宋体" w:eastAsia="宋体" w:cs="宋体"/>
          <w:b/>
          <w:bCs/>
          <w:snapToGrid w:val="0"/>
          <w:color w:val="auto"/>
        </w:rPr>
      </w:pPr>
    </w:p>
    <w:p>
      <w:pPr>
        <w:spacing w:line="360" w:lineRule="auto"/>
        <w:ind w:left="420" w:leftChars="200"/>
        <w:rPr>
          <w:rFonts w:ascii="宋体" w:hAnsi="宋体" w:eastAsia="宋体" w:cs="宋体"/>
          <w:b/>
          <w:bCs/>
          <w:snapToGrid w:val="0"/>
          <w:color w:val="auto"/>
        </w:rPr>
      </w:pPr>
    </w:p>
    <w:p>
      <w:pPr>
        <w:spacing w:line="360" w:lineRule="auto"/>
        <w:ind w:left="420" w:leftChars="200"/>
        <w:rPr>
          <w:rFonts w:ascii="宋体" w:hAnsi="宋体" w:eastAsia="宋体" w:cs="宋体"/>
          <w:color w:val="auto"/>
          <w:u w:val="single"/>
        </w:rPr>
      </w:pPr>
    </w:p>
    <w:p>
      <w:pPr>
        <w:spacing w:line="360" w:lineRule="auto"/>
        <w:ind w:left="420" w:leftChars="200"/>
        <w:rPr>
          <w:rFonts w:ascii="宋体" w:hAnsi="宋体" w:eastAsia="宋体" w:cs="宋体"/>
          <w:color w:val="auto"/>
          <w:u w:val="single"/>
        </w:rPr>
      </w:pPr>
    </w:p>
    <w:p>
      <w:pPr>
        <w:spacing w:line="360" w:lineRule="auto"/>
        <w:ind w:left="420" w:leftChars="200"/>
        <w:rPr>
          <w:rFonts w:ascii="宋体" w:hAnsi="宋体" w:eastAsia="宋体" w:cs="宋体"/>
          <w:color w:val="auto"/>
          <w:u w:val="single"/>
        </w:rPr>
      </w:pPr>
    </w:p>
    <w:p>
      <w:pPr>
        <w:spacing w:line="360" w:lineRule="auto"/>
        <w:ind w:left="420" w:leftChars="200"/>
        <w:rPr>
          <w:rFonts w:ascii="宋体" w:hAnsi="宋体" w:eastAsia="宋体" w:cs="宋体"/>
          <w:color w:val="auto"/>
          <w:u w:val="single"/>
        </w:rPr>
      </w:pPr>
    </w:p>
    <w:p>
      <w:pPr>
        <w:spacing w:line="360" w:lineRule="auto"/>
        <w:ind w:left="420" w:leftChars="200"/>
        <w:rPr>
          <w:rFonts w:ascii="宋体" w:hAnsi="宋体" w:eastAsia="宋体" w:cs="宋体"/>
          <w:color w:val="auto"/>
          <w:u w:val="single"/>
        </w:rPr>
      </w:pPr>
    </w:p>
    <w:p>
      <w:pPr>
        <w:spacing w:line="360" w:lineRule="auto"/>
        <w:rPr>
          <w:rFonts w:ascii="宋体" w:hAnsi="宋体" w:eastAsia="宋体" w:cs="宋体"/>
          <w:b/>
          <w:color w:val="auto"/>
          <w:sz w:val="30"/>
          <w:szCs w:val="30"/>
          <w:u w:val="single"/>
        </w:rPr>
      </w:pPr>
    </w:p>
    <w:p>
      <w:pPr>
        <w:spacing w:line="360" w:lineRule="auto"/>
        <w:jc w:val="left"/>
        <w:rPr>
          <w:rFonts w:hint="eastAsia" w:ascii="宋体" w:hAnsi="宋体" w:eastAsia="宋体" w:cs="宋体"/>
          <w:b/>
          <w:color w:val="auto"/>
          <w:sz w:val="28"/>
          <w:szCs w:val="28"/>
          <w:u w:val="single"/>
          <w:lang w:eastAsia="zh-CN"/>
        </w:rPr>
      </w:pPr>
      <w:r>
        <w:rPr>
          <w:rFonts w:hint="eastAsia" w:ascii="宋体" w:hAnsi="宋体" w:eastAsia="宋体" w:cs="宋体"/>
          <w:b/>
          <w:color w:val="auto"/>
          <w:sz w:val="28"/>
          <w:szCs w:val="28"/>
        </w:rPr>
        <w:t>项目名称：</w:t>
      </w:r>
      <w:r>
        <w:rPr>
          <w:rFonts w:hint="eastAsia" w:ascii="宋体" w:hAnsi="宋体" w:eastAsia="宋体" w:cs="宋体"/>
          <w:b/>
          <w:color w:val="auto"/>
          <w:sz w:val="28"/>
          <w:szCs w:val="28"/>
          <w:u w:val="single"/>
          <w:lang w:eastAsia="zh-CN"/>
        </w:rPr>
        <w:t>东莞市茶山镇污水处理厂改扩建项目第三方检测服务（不含桩基完整性检测）采购项目</w:t>
      </w:r>
    </w:p>
    <w:p>
      <w:pPr>
        <w:spacing w:line="360" w:lineRule="auto"/>
        <w:rPr>
          <w:rFonts w:ascii="宋体" w:hAnsi="宋体" w:eastAsia="宋体" w:cs="宋体"/>
          <w:b/>
          <w:color w:val="auto"/>
          <w:sz w:val="28"/>
          <w:szCs w:val="28"/>
          <w:u w:val="single"/>
        </w:rPr>
      </w:pPr>
      <w:r>
        <w:rPr>
          <w:rFonts w:hint="eastAsia" w:ascii="宋体" w:hAnsi="宋体" w:eastAsia="宋体" w:cs="宋体"/>
          <w:b/>
          <w:color w:val="auto"/>
          <w:sz w:val="28"/>
          <w:szCs w:val="28"/>
        </w:rPr>
        <w:t>委 托 人：</w:t>
      </w:r>
      <w:r>
        <w:rPr>
          <w:rFonts w:hint="eastAsia" w:ascii="宋体" w:hAnsi="宋体" w:eastAsia="宋体" w:cs="宋体"/>
          <w:b/>
          <w:color w:val="auto"/>
          <w:sz w:val="28"/>
          <w:szCs w:val="28"/>
          <w:u w:val="single"/>
        </w:rPr>
        <w:t>东莞市水务集团建设管理有限公司</w:t>
      </w:r>
    </w:p>
    <w:p>
      <w:pPr>
        <w:spacing w:line="360" w:lineRule="auto"/>
        <w:rPr>
          <w:rFonts w:ascii="宋体" w:hAnsi="宋体" w:eastAsia="宋体" w:cs="宋体"/>
          <w:b/>
          <w:color w:val="auto"/>
          <w:sz w:val="28"/>
          <w:szCs w:val="28"/>
        </w:rPr>
      </w:pPr>
      <w:r>
        <w:rPr>
          <w:rFonts w:hint="eastAsia" w:ascii="宋体" w:hAnsi="宋体" w:eastAsia="宋体" w:cs="宋体"/>
          <w:b/>
          <w:color w:val="auto"/>
          <w:sz w:val="28"/>
          <w:szCs w:val="28"/>
        </w:rPr>
        <w:t>检 测 人：</w:t>
      </w:r>
      <w:r>
        <w:rPr>
          <w:rFonts w:hint="eastAsia" w:ascii="宋体" w:hAnsi="宋体" w:eastAsia="宋体" w:cs="宋体"/>
          <w:b/>
          <w:color w:val="auto"/>
          <w:sz w:val="28"/>
          <w:szCs w:val="28"/>
          <w:u w:val="single"/>
        </w:rPr>
        <w:t xml:space="preserve">                              </w:t>
      </w:r>
    </w:p>
    <w:p>
      <w:pPr>
        <w:spacing w:line="360" w:lineRule="auto"/>
        <w:rPr>
          <w:rFonts w:ascii="宋体" w:hAnsi="宋体" w:eastAsia="宋体" w:cs="宋体"/>
          <w:color w:val="auto"/>
        </w:rPr>
      </w:pPr>
      <w:r>
        <w:rPr>
          <w:rFonts w:hint="eastAsia" w:ascii="宋体" w:hAnsi="宋体" w:eastAsia="宋体" w:cs="宋体"/>
          <w:b/>
          <w:color w:val="auto"/>
          <w:sz w:val="28"/>
          <w:szCs w:val="28"/>
        </w:rPr>
        <w:t>项目业主：</w:t>
      </w:r>
      <w:r>
        <w:rPr>
          <w:rFonts w:hint="eastAsia" w:ascii="宋体" w:hAnsi="宋体" w:eastAsia="宋体" w:cs="宋体"/>
          <w:b/>
          <w:color w:val="auto"/>
          <w:sz w:val="28"/>
          <w:szCs w:val="28"/>
          <w:u w:val="single"/>
          <w:lang w:eastAsia="zh-CN"/>
        </w:rPr>
        <w:t>东莞市石鼓净水有限公司</w:t>
      </w:r>
      <w:r>
        <w:rPr>
          <w:rFonts w:hint="eastAsia" w:ascii="宋体" w:hAnsi="宋体" w:eastAsia="宋体" w:cs="宋体"/>
          <w:b/>
          <w:color w:val="auto"/>
          <w:sz w:val="28"/>
          <w:szCs w:val="28"/>
          <w:u w:val="single"/>
        </w:rPr>
        <w:t xml:space="preserve">    </w:t>
      </w:r>
    </w:p>
    <w:p>
      <w:pPr>
        <w:pStyle w:val="21"/>
        <w:rPr>
          <w:rFonts w:hAnsi="宋体" w:cs="宋体"/>
          <w:color w:val="auto"/>
        </w:rPr>
      </w:pPr>
    </w:p>
    <w:p>
      <w:pPr>
        <w:spacing w:line="360" w:lineRule="auto"/>
        <w:ind w:left="420" w:leftChars="200" w:firstLine="585"/>
        <w:jc w:val="center"/>
        <w:rPr>
          <w:rFonts w:ascii="宋体" w:hAnsi="宋体" w:eastAsia="宋体" w:cs="宋体"/>
          <w:b/>
          <w:color w:val="auto"/>
          <w:sz w:val="28"/>
          <w:szCs w:val="28"/>
        </w:rPr>
      </w:pPr>
      <w:r>
        <w:rPr>
          <w:rFonts w:hint="eastAsia" w:ascii="宋体" w:hAnsi="宋体" w:eastAsia="宋体" w:cs="宋体"/>
          <w:b/>
          <w:color w:val="auto"/>
          <w:sz w:val="28"/>
          <w:szCs w:val="28"/>
        </w:rPr>
        <w:t>年    月    日</w:t>
      </w:r>
    </w:p>
    <w:p>
      <w:pPr>
        <w:autoSpaceDE w:val="0"/>
        <w:autoSpaceDN w:val="0"/>
        <w:adjustRightInd w:val="0"/>
        <w:jc w:val="left"/>
        <w:rPr>
          <w:rFonts w:ascii="宋体" w:hAnsi="宋体" w:eastAsia="宋体" w:cs="宋体"/>
          <w:b/>
          <w:bCs/>
          <w:color w:val="auto"/>
          <w:kern w:val="0"/>
          <w:sz w:val="28"/>
          <w:szCs w:val="28"/>
          <w:highlight w:val="none"/>
        </w:rPr>
      </w:pPr>
    </w:p>
    <w:p>
      <w:pPr>
        <w:autoSpaceDE w:val="0"/>
        <w:autoSpaceDN w:val="0"/>
        <w:adjustRightInd w:val="0"/>
        <w:jc w:val="left"/>
        <w:rPr>
          <w:rFonts w:ascii="宋体" w:hAnsi="宋体" w:eastAsia="宋体" w:cs="宋体"/>
          <w:b/>
          <w:bCs/>
          <w:color w:val="auto"/>
          <w:kern w:val="0"/>
          <w:sz w:val="28"/>
          <w:szCs w:val="28"/>
          <w:highlight w:val="none"/>
        </w:rPr>
      </w:pPr>
    </w:p>
    <w:p>
      <w:pPr>
        <w:autoSpaceDE w:val="0"/>
        <w:autoSpaceDN w:val="0"/>
        <w:adjustRightInd w:val="0"/>
        <w:jc w:val="left"/>
        <w:rPr>
          <w:rFonts w:ascii="宋体" w:hAnsi="宋体" w:eastAsia="宋体" w:cs="宋体"/>
          <w:b/>
          <w:bCs/>
          <w:color w:val="auto"/>
          <w:kern w:val="0"/>
          <w:sz w:val="28"/>
          <w:szCs w:val="28"/>
          <w:highlight w:val="none"/>
        </w:rPr>
      </w:pPr>
    </w:p>
    <w:p>
      <w:pPr>
        <w:adjustRightInd w:val="0"/>
        <w:snapToGrid w:val="0"/>
        <w:spacing w:line="360" w:lineRule="auto"/>
        <w:rPr>
          <w:rFonts w:hint="eastAsia" w:ascii="宋体" w:hAnsi="宋体" w:eastAsia="宋体" w:cs="宋体"/>
          <w:b/>
          <w:color w:val="auto"/>
          <w:sz w:val="21"/>
          <w:szCs w:val="21"/>
          <w:u w:val="single"/>
        </w:rPr>
      </w:pPr>
      <w:r>
        <w:rPr>
          <w:rFonts w:hint="eastAsia" w:ascii="宋体" w:hAnsi="宋体" w:eastAsia="宋体" w:cs="宋体"/>
          <w:b/>
          <w:color w:val="auto"/>
          <w:sz w:val="21"/>
          <w:szCs w:val="21"/>
        </w:rPr>
        <w:t>委托人（甲方）：</w:t>
      </w:r>
      <w:r>
        <w:rPr>
          <w:rFonts w:hint="eastAsia" w:ascii="宋体" w:hAnsi="宋体" w:eastAsia="宋体" w:cs="宋体"/>
          <w:b/>
          <w:color w:val="auto"/>
          <w:sz w:val="21"/>
          <w:szCs w:val="21"/>
          <w:u w:val="single"/>
        </w:rPr>
        <w:t>东莞市水务集团建设管理有限公司</w:t>
      </w:r>
    </w:p>
    <w:p>
      <w:pPr>
        <w:adjustRightInd w:val="0"/>
        <w:snapToGrid w:val="0"/>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检测人（乙方）：</w:t>
      </w:r>
      <w:r>
        <w:rPr>
          <w:rFonts w:hint="eastAsia" w:ascii="宋体" w:hAnsi="宋体" w:eastAsia="宋体" w:cs="宋体"/>
          <w:b/>
          <w:color w:val="auto"/>
          <w:sz w:val="21"/>
          <w:szCs w:val="21"/>
          <w:u w:val="single"/>
        </w:rPr>
        <w:t xml:space="preserve">                      </w:t>
      </w:r>
    </w:p>
    <w:p>
      <w:pPr>
        <w:adjustRightInd w:val="0"/>
        <w:snapToGrid w:val="0"/>
        <w:spacing w:line="360" w:lineRule="auto"/>
        <w:rPr>
          <w:rFonts w:hint="eastAsia" w:ascii="宋体" w:hAnsi="宋体" w:eastAsia="宋体" w:cs="宋体"/>
          <w:color w:val="auto"/>
          <w:sz w:val="21"/>
          <w:szCs w:val="21"/>
          <w:lang w:eastAsia="zh-CN"/>
        </w:rPr>
      </w:pPr>
      <w:r>
        <w:rPr>
          <w:rFonts w:hint="eastAsia" w:ascii="宋体" w:hAnsi="宋体" w:eastAsia="宋体" w:cs="宋体"/>
          <w:b/>
          <w:color w:val="auto"/>
          <w:sz w:val="21"/>
          <w:szCs w:val="21"/>
        </w:rPr>
        <w:t>项目业主（丙方）：</w:t>
      </w:r>
      <w:r>
        <w:rPr>
          <w:rFonts w:hint="eastAsia" w:ascii="宋体" w:hAnsi="宋体" w:eastAsia="宋体" w:cs="宋体"/>
          <w:b/>
          <w:color w:val="auto"/>
          <w:sz w:val="21"/>
          <w:szCs w:val="21"/>
          <w:u w:val="single"/>
          <w:lang w:eastAsia="zh-CN"/>
        </w:rPr>
        <w:t>东莞市石鼓净水有限公司</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鉴于：</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1.乙方已明确知悉：</w:t>
      </w:r>
      <w:r>
        <w:rPr>
          <w:rFonts w:hint="eastAsia" w:ascii="宋体" w:hAnsi="宋体" w:eastAsia="宋体" w:cs="宋体"/>
          <w:bCs/>
          <w:color w:val="auto"/>
          <w:sz w:val="21"/>
          <w:szCs w:val="21"/>
          <w:u w:val="single"/>
          <w:lang w:eastAsia="zh-CN"/>
        </w:rPr>
        <w:t>东莞市石鼓净水有限公司</w:t>
      </w:r>
      <w:r>
        <w:rPr>
          <w:rFonts w:hint="eastAsia" w:ascii="宋体" w:hAnsi="宋体" w:eastAsia="宋体" w:cs="宋体"/>
          <w:color w:val="auto"/>
          <w:sz w:val="21"/>
          <w:szCs w:val="21"/>
        </w:rPr>
        <w:t>（以下简称“丙方”）为</w:t>
      </w:r>
      <w:r>
        <w:rPr>
          <w:rFonts w:hint="eastAsia" w:ascii="宋体" w:hAnsi="宋体" w:eastAsia="宋体" w:cs="宋体"/>
          <w:color w:val="auto"/>
          <w:sz w:val="21"/>
          <w:szCs w:val="21"/>
          <w:u w:val="single"/>
          <w:lang w:eastAsia="zh-CN"/>
        </w:rPr>
        <w:t>东莞市茶山镇污水处理厂改扩建项目</w:t>
      </w:r>
      <w:r>
        <w:rPr>
          <w:rFonts w:hint="eastAsia" w:ascii="宋体" w:hAnsi="宋体" w:eastAsia="宋体" w:cs="宋体"/>
          <w:color w:val="auto"/>
          <w:sz w:val="21"/>
          <w:szCs w:val="21"/>
        </w:rPr>
        <w:t>的项目业主，</w:t>
      </w:r>
      <w:r>
        <w:rPr>
          <w:rFonts w:hint="eastAsia" w:ascii="宋体" w:hAnsi="宋体" w:eastAsia="宋体" w:cs="宋体"/>
          <w:color w:val="auto"/>
          <w:sz w:val="21"/>
          <w:szCs w:val="21"/>
          <w:u w:val="single"/>
        </w:rPr>
        <w:t>东莞市水务集团建设管理有限公司</w:t>
      </w:r>
      <w:r>
        <w:rPr>
          <w:rFonts w:hint="eastAsia" w:ascii="宋体" w:hAnsi="宋体" w:eastAsia="宋体" w:cs="宋体"/>
          <w:color w:val="auto"/>
          <w:sz w:val="21"/>
          <w:szCs w:val="21"/>
        </w:rPr>
        <w:t>（以下简称“甲方”）为上述项目的代建单位。</w:t>
      </w:r>
      <w:r>
        <w:rPr>
          <w:rFonts w:hint="eastAsia" w:ascii="宋体" w:hAnsi="宋体" w:eastAsia="宋体" w:cs="宋体"/>
          <w:color w:val="auto"/>
          <w:sz w:val="21"/>
          <w:szCs w:val="21"/>
          <w:u w:val="single"/>
          <w:lang w:eastAsia="zh-CN"/>
        </w:rPr>
        <w:t>东莞市石鼓净水有限公司</w:t>
      </w:r>
      <w:r>
        <w:rPr>
          <w:rFonts w:hint="eastAsia" w:ascii="宋体" w:hAnsi="宋体" w:eastAsia="宋体" w:cs="宋体"/>
          <w:color w:val="auto"/>
          <w:sz w:val="21"/>
          <w:szCs w:val="21"/>
        </w:rPr>
        <w:t>已将</w:t>
      </w:r>
      <w:r>
        <w:rPr>
          <w:rFonts w:hint="eastAsia" w:ascii="宋体" w:hAnsi="宋体" w:eastAsia="宋体" w:cs="宋体"/>
          <w:color w:val="auto"/>
          <w:sz w:val="21"/>
          <w:szCs w:val="21"/>
          <w:u w:val="single"/>
          <w:lang w:eastAsia="zh-CN"/>
        </w:rPr>
        <w:t>东莞市茶山镇污水处理厂改扩建项目</w:t>
      </w:r>
      <w:r>
        <w:rPr>
          <w:rFonts w:hint="eastAsia" w:ascii="宋体" w:hAnsi="宋体" w:eastAsia="宋体" w:cs="宋体"/>
          <w:color w:val="auto"/>
          <w:sz w:val="21"/>
          <w:szCs w:val="21"/>
        </w:rPr>
        <w:t>委托给</w:t>
      </w:r>
      <w:r>
        <w:rPr>
          <w:rFonts w:hint="eastAsia" w:ascii="宋体" w:hAnsi="宋体" w:eastAsia="宋体" w:cs="宋体"/>
          <w:color w:val="auto"/>
          <w:sz w:val="21"/>
          <w:szCs w:val="21"/>
          <w:u w:val="single"/>
        </w:rPr>
        <w:t>东莞市水务集团建设管理有限公司</w:t>
      </w:r>
      <w:r>
        <w:rPr>
          <w:rFonts w:hint="eastAsia" w:ascii="宋体" w:hAnsi="宋体" w:eastAsia="宋体" w:cs="宋体"/>
          <w:color w:val="auto"/>
          <w:sz w:val="21"/>
          <w:szCs w:val="21"/>
        </w:rPr>
        <w:t>实施代建，并且乙方已认真查阅、理解甲方招标文件的全部内容，并对丙方授予甲方的权利义务无任何异议。</w:t>
      </w:r>
    </w:p>
    <w:p>
      <w:pPr>
        <w:adjustRightInd w:val="0"/>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2.甲方履行本合同约定的除支付合同价款</w:t>
      </w:r>
      <w:r>
        <w:rPr>
          <w:rFonts w:hint="eastAsia" w:ascii="宋体" w:hAnsi="宋体" w:eastAsia="宋体" w:cs="宋体"/>
          <w:b/>
          <w:bCs/>
          <w:color w:val="auto"/>
          <w:sz w:val="21"/>
          <w:szCs w:val="21"/>
          <w:lang w:eastAsia="zh-Hans"/>
        </w:rPr>
        <w:t>及</w:t>
      </w:r>
      <w:r>
        <w:rPr>
          <w:rFonts w:hint="eastAsia" w:ascii="宋体" w:hAnsi="宋体" w:eastAsia="宋体" w:cs="宋体"/>
          <w:b/>
          <w:bCs/>
          <w:color w:val="auto"/>
          <w:sz w:val="21"/>
          <w:szCs w:val="21"/>
        </w:rPr>
        <w:t>应由丙方承担违约责任以外的全部责任义务。丙方按照合同约定的期限和方式支付合同价款且不承担除支付合同价款及承担合同约定应由丙方承担违约责任之外的任何责任义务。乙方因违反本合同约定应承担的违约责任中涉及的各类履约担保、押金、质量保证金及违约金、利息等款项及由此产生的孳息等均归甲方所有，甲方有权自行处置、使用上述款项，丙方对此予以确认并不持异议。</w:t>
      </w:r>
    </w:p>
    <w:p>
      <w:pPr>
        <w:adjustRightInd w:val="0"/>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根据《中华人民共和国民法典》、《中华人民共和国招标投标法》等相关法律法规的规定，遵循平等、自愿、公平和诚实信用的原则，三方就</w:t>
      </w:r>
      <w:r>
        <w:rPr>
          <w:rFonts w:hint="eastAsia" w:ascii="宋体" w:hAnsi="宋体" w:eastAsia="宋体" w:cs="宋体"/>
          <w:color w:val="auto"/>
          <w:sz w:val="21"/>
          <w:szCs w:val="21"/>
          <w:lang w:eastAsia="zh-CN"/>
        </w:rPr>
        <w:t>东莞市茶山镇污水处理厂改扩建项目</w:t>
      </w:r>
      <w:r>
        <w:rPr>
          <w:rFonts w:hint="eastAsia" w:ascii="宋体" w:hAnsi="宋体" w:eastAsia="宋体" w:cs="宋体"/>
          <w:color w:val="auto"/>
          <w:sz w:val="21"/>
          <w:szCs w:val="21"/>
        </w:rPr>
        <w:t>有关事项协商一致，达成本合同。</w:t>
      </w:r>
    </w:p>
    <w:p>
      <w:pPr>
        <w:keepNext/>
        <w:keepLines/>
        <w:adjustRightInd w:val="0"/>
        <w:snapToGrid w:val="0"/>
        <w:spacing w:line="360" w:lineRule="auto"/>
        <w:outlineLvl w:val="9"/>
        <w:rPr>
          <w:rFonts w:hint="eastAsia" w:ascii="宋体" w:hAnsi="宋体" w:eastAsia="宋体" w:cs="宋体"/>
          <w:b/>
          <w:color w:val="auto"/>
          <w:sz w:val="21"/>
          <w:szCs w:val="21"/>
        </w:rPr>
      </w:pPr>
      <w:bookmarkStart w:id="430" w:name="_Toc5890"/>
      <w:bookmarkStart w:id="431" w:name="_Toc15611"/>
      <w:r>
        <w:rPr>
          <w:rFonts w:hint="eastAsia" w:ascii="宋体" w:hAnsi="宋体" w:eastAsia="宋体" w:cs="宋体"/>
          <w:b/>
          <w:color w:val="auto"/>
          <w:sz w:val="21"/>
          <w:szCs w:val="21"/>
        </w:rPr>
        <w:t>一、工程概况</w:t>
      </w:r>
      <w:bookmarkEnd w:id="430"/>
      <w:bookmarkEnd w:id="431"/>
    </w:p>
    <w:p>
      <w:pPr>
        <w:widowControl/>
        <w:adjustRightInd w:val="0"/>
        <w:snapToGrid w:val="0"/>
        <w:spacing w:line="360" w:lineRule="auto"/>
        <w:rPr>
          <w:rFonts w:hint="eastAsia" w:ascii="宋体" w:hAnsi="宋体" w:eastAsia="宋体" w:cs="宋体"/>
          <w:color w:val="auto"/>
          <w:sz w:val="21"/>
          <w:szCs w:val="21"/>
          <w:u w:val="none"/>
        </w:rPr>
      </w:pPr>
      <w:r>
        <w:rPr>
          <w:rFonts w:hint="eastAsia" w:ascii="宋体" w:hAnsi="宋体" w:eastAsia="宋体" w:cs="宋体"/>
          <w:b/>
          <w:color w:val="auto"/>
          <w:sz w:val="21"/>
          <w:szCs w:val="21"/>
        </w:rPr>
        <w:t xml:space="preserve">   </w:t>
      </w:r>
      <w:r>
        <w:rPr>
          <w:rFonts w:hint="eastAsia" w:ascii="宋体" w:hAnsi="宋体" w:eastAsia="宋体" w:cs="宋体"/>
          <w:b/>
          <w:color w:val="auto"/>
          <w:sz w:val="21"/>
          <w:szCs w:val="21"/>
          <w:u w:val="none"/>
        </w:rPr>
        <w:t xml:space="preserve"> 1.项目名称：</w:t>
      </w:r>
      <w:r>
        <w:rPr>
          <w:rFonts w:hint="eastAsia" w:ascii="宋体" w:hAnsi="宋体" w:eastAsia="宋体" w:cs="宋体"/>
          <w:color w:val="auto"/>
          <w:sz w:val="21"/>
          <w:szCs w:val="21"/>
          <w:u w:val="none"/>
          <w:lang w:eastAsia="zh-CN"/>
        </w:rPr>
        <w:t>东莞市茶山镇污水处理厂改扩建项目</w:t>
      </w:r>
    </w:p>
    <w:p>
      <w:pPr>
        <w:adjustRightInd w:val="0"/>
        <w:snapToGrid w:val="0"/>
        <w:spacing w:line="360" w:lineRule="auto"/>
        <w:ind w:firstLine="424" w:firstLineChars="201"/>
        <w:rPr>
          <w:rFonts w:hint="eastAsia" w:ascii="宋体" w:hAnsi="宋体" w:eastAsia="宋体" w:cs="宋体"/>
          <w:color w:val="auto"/>
          <w:sz w:val="21"/>
          <w:szCs w:val="21"/>
          <w:u w:val="none"/>
        </w:rPr>
      </w:pPr>
      <w:r>
        <w:rPr>
          <w:rFonts w:hint="eastAsia" w:ascii="宋体" w:hAnsi="宋体" w:eastAsia="宋体" w:cs="宋体"/>
          <w:b/>
          <w:color w:val="auto"/>
          <w:sz w:val="21"/>
          <w:szCs w:val="21"/>
          <w:u w:val="none"/>
        </w:rPr>
        <w:t>2.建设地点：</w:t>
      </w:r>
      <w:r>
        <w:rPr>
          <w:rFonts w:hint="eastAsia" w:ascii="宋体" w:hAnsi="宋体" w:eastAsia="宋体" w:cs="宋体"/>
          <w:color w:val="auto"/>
          <w:sz w:val="21"/>
          <w:szCs w:val="21"/>
          <w:u w:val="none"/>
          <w:lang w:eastAsia="zh-CN"/>
        </w:rPr>
        <w:t>东莞市茶山镇内</w:t>
      </w:r>
      <w:r>
        <w:rPr>
          <w:rFonts w:hint="eastAsia" w:ascii="宋体" w:hAnsi="宋体" w:eastAsia="宋体" w:cs="宋体"/>
          <w:color w:val="auto"/>
          <w:sz w:val="21"/>
          <w:szCs w:val="21"/>
          <w:u w:val="none"/>
        </w:rPr>
        <w:t>。</w:t>
      </w:r>
    </w:p>
    <w:p>
      <w:pPr>
        <w:adjustRightInd w:val="0"/>
        <w:snapToGrid w:val="0"/>
        <w:spacing w:line="360" w:lineRule="auto"/>
        <w:ind w:firstLine="424" w:firstLineChars="201"/>
        <w:rPr>
          <w:rFonts w:hint="eastAsia" w:ascii="宋体" w:hAnsi="宋体" w:eastAsia="宋体" w:cs="宋体"/>
          <w:bCs/>
          <w:color w:val="auto"/>
          <w:sz w:val="21"/>
          <w:szCs w:val="21"/>
          <w:u w:val="none"/>
        </w:rPr>
      </w:pPr>
      <w:r>
        <w:rPr>
          <w:rFonts w:hint="eastAsia" w:ascii="宋体" w:hAnsi="宋体" w:eastAsia="宋体" w:cs="宋体"/>
          <w:b/>
          <w:color w:val="auto"/>
          <w:sz w:val="21"/>
          <w:szCs w:val="21"/>
          <w:u w:val="none"/>
        </w:rPr>
        <w:t>3.项目基本情况：</w:t>
      </w:r>
      <w:r>
        <w:rPr>
          <w:rFonts w:hint="eastAsia" w:ascii="宋体" w:hAnsi="宋体" w:eastAsia="宋体" w:cs="宋体"/>
          <w:bCs/>
          <w:color w:val="auto"/>
          <w:sz w:val="21"/>
          <w:szCs w:val="21"/>
          <w:u w:val="none"/>
        </w:rPr>
        <w:t>东莞市茶山镇污水处理厂改扩建项目位于东莞市茶山镇内,本工程扩容规模为4.5万m3/d，采用地上式建设形式，扩容后总规模达到9.5万m3/d，变化系数采用1.3，采用工艺为“五段式Bardenpho+MBR”工艺。</w:t>
      </w:r>
    </w:p>
    <w:p>
      <w:pPr>
        <w:adjustRightInd w:val="0"/>
        <w:snapToGrid w:val="0"/>
        <w:spacing w:line="360" w:lineRule="auto"/>
        <w:ind w:firstLine="422" w:firstLineChars="201"/>
        <w:rPr>
          <w:rFonts w:hint="eastAsia" w:ascii="宋体" w:hAnsi="宋体" w:eastAsia="宋体" w:cs="宋体"/>
          <w:bCs/>
          <w:color w:val="auto"/>
          <w:sz w:val="21"/>
          <w:szCs w:val="21"/>
          <w:u w:val="none"/>
        </w:rPr>
      </w:pPr>
      <w:r>
        <w:rPr>
          <w:rFonts w:hint="eastAsia" w:ascii="宋体" w:hAnsi="宋体" w:eastAsia="宋体" w:cs="宋体"/>
          <w:bCs/>
          <w:color w:val="auto"/>
          <w:sz w:val="21"/>
          <w:szCs w:val="21"/>
          <w:u w:val="none"/>
        </w:rPr>
        <w:t>建设内容包括厂区主要构（建）筑物：粗格栅及进水泵房（改造）、细格栅及旋流沉砂池（新建）、精细格栅（新建）、五段式Bardenpho生物池（新建厌氧池+改造）、MBR膜池及设备间（新建）、紫外消毒渠（改造）、出水流量计井（新建）、鼓风机房及变配电间（改造）、脱水车间（改造）、生物除臭滤池（新建）以及厂区道路、绿化、电气及自控等辅助工程。</w:t>
      </w:r>
    </w:p>
    <w:p>
      <w:pPr>
        <w:adjustRightInd w:val="0"/>
        <w:snapToGrid w:val="0"/>
        <w:spacing w:line="360" w:lineRule="auto"/>
        <w:ind w:left="17" w:leftChars="8" w:firstLine="405" w:firstLineChars="192"/>
        <w:rPr>
          <w:rFonts w:hint="eastAsia" w:ascii="宋体" w:hAnsi="宋体" w:eastAsia="宋体" w:cs="宋体"/>
          <w:color w:val="auto"/>
          <w:sz w:val="21"/>
          <w:szCs w:val="21"/>
          <w:u w:val="none"/>
        </w:rPr>
      </w:pPr>
      <w:r>
        <w:rPr>
          <w:rFonts w:hint="eastAsia" w:ascii="宋体" w:hAnsi="宋体" w:eastAsia="宋体" w:cs="宋体"/>
          <w:b/>
          <w:color w:val="auto"/>
          <w:sz w:val="21"/>
          <w:szCs w:val="21"/>
          <w:u w:val="none"/>
        </w:rPr>
        <w:t>4.检测任务（内容）和技术要求：</w:t>
      </w:r>
      <w:r>
        <w:rPr>
          <w:rFonts w:hint="eastAsia" w:ascii="宋体" w:hAnsi="宋体" w:eastAsia="宋体" w:cs="宋体"/>
          <w:color w:val="auto"/>
          <w:sz w:val="21"/>
          <w:szCs w:val="21"/>
          <w:u w:val="none"/>
        </w:rPr>
        <w:t xml:space="preserve">在服务期间执行国家、广东省以及东莞市有关市政工程检测、试验的标准规范的要求，确保检测（试验）成果客观有效，并满足竣工验收所需检测数量与频率要求。 </w:t>
      </w:r>
    </w:p>
    <w:p>
      <w:pPr>
        <w:adjustRightInd w:val="0"/>
        <w:snapToGrid w:val="0"/>
        <w:spacing w:line="360" w:lineRule="auto"/>
        <w:ind w:left="17" w:leftChars="8" w:firstLine="405" w:firstLineChars="192"/>
        <w:rPr>
          <w:rFonts w:hint="eastAsia" w:ascii="宋体" w:hAnsi="宋体" w:eastAsia="宋体" w:cs="宋体"/>
          <w:color w:val="auto"/>
          <w:sz w:val="21"/>
          <w:szCs w:val="21"/>
          <w:u w:val="none"/>
        </w:rPr>
      </w:pPr>
      <w:r>
        <w:rPr>
          <w:rFonts w:hint="eastAsia" w:ascii="宋体" w:hAnsi="宋体" w:eastAsia="宋体" w:cs="宋体"/>
          <w:b/>
          <w:color w:val="auto"/>
          <w:sz w:val="21"/>
          <w:szCs w:val="21"/>
          <w:u w:val="none"/>
        </w:rPr>
        <w:t>5.承包方式：</w:t>
      </w:r>
      <w:r>
        <w:rPr>
          <w:rFonts w:hint="eastAsia" w:ascii="宋体" w:hAnsi="宋体" w:eastAsia="宋体" w:cs="宋体"/>
          <w:color w:val="auto"/>
          <w:sz w:val="21"/>
          <w:szCs w:val="21"/>
          <w:u w:val="none"/>
        </w:rPr>
        <w:t>最终实际支付的检测服务费根据经甲方（含其委托的第三方审核机构）、监理人审核确认的检测（试验）方案及甲方（含其委托的第三方审核机构）、监理人确认的实际检测（试验）工作量按实结算。</w:t>
      </w:r>
    </w:p>
    <w:p>
      <w:pPr>
        <w:adjustRightInd w:val="0"/>
        <w:snapToGrid w:val="0"/>
        <w:spacing w:line="360" w:lineRule="auto"/>
        <w:ind w:left="17" w:leftChars="8" w:firstLine="405" w:firstLineChars="192"/>
        <w:rPr>
          <w:rFonts w:hint="eastAsia" w:ascii="宋体" w:hAnsi="宋体" w:eastAsia="宋体" w:cs="宋体"/>
          <w:color w:val="auto"/>
          <w:sz w:val="21"/>
          <w:szCs w:val="21"/>
          <w:u w:val="none"/>
          <w:lang w:eastAsia="zh-CN"/>
        </w:rPr>
      </w:pPr>
      <w:r>
        <w:rPr>
          <w:rFonts w:hint="eastAsia" w:ascii="宋体" w:hAnsi="宋体" w:eastAsia="宋体" w:cs="宋体"/>
          <w:b/>
          <w:color w:val="auto"/>
          <w:sz w:val="21"/>
          <w:szCs w:val="21"/>
          <w:u w:val="none"/>
        </w:rPr>
        <w:t>6.合同服务期：</w:t>
      </w:r>
      <w:r>
        <w:rPr>
          <w:rFonts w:hint="eastAsia" w:ascii="宋体" w:hAnsi="宋体" w:eastAsia="宋体" w:cs="宋体"/>
          <w:bCs/>
          <w:color w:val="auto"/>
          <w:sz w:val="21"/>
          <w:szCs w:val="21"/>
          <w:u w:val="none"/>
          <w:lang w:eastAsia="zh-CN"/>
        </w:rPr>
        <w:t>自东莞市茶山镇污水处理厂改扩建项目开工至完成约定的各项检测及相关技术工作为止。</w:t>
      </w:r>
    </w:p>
    <w:p>
      <w:pPr>
        <w:adjustRightInd w:val="0"/>
        <w:snapToGrid w:val="0"/>
        <w:spacing w:line="360" w:lineRule="auto"/>
        <w:ind w:firstLine="424" w:firstLineChars="201"/>
        <w:rPr>
          <w:rFonts w:hint="eastAsia" w:ascii="宋体" w:hAnsi="宋体" w:eastAsia="宋体" w:cs="宋体"/>
          <w:b/>
          <w:color w:val="auto"/>
          <w:sz w:val="21"/>
          <w:szCs w:val="21"/>
          <w:u w:val="none"/>
        </w:rPr>
      </w:pPr>
      <w:r>
        <w:rPr>
          <w:rFonts w:hint="eastAsia" w:ascii="宋体" w:hAnsi="宋体" w:eastAsia="宋体" w:cs="宋体"/>
          <w:b/>
          <w:color w:val="auto"/>
          <w:sz w:val="21"/>
          <w:szCs w:val="21"/>
          <w:u w:val="none"/>
        </w:rPr>
        <w:t>7.质量要求：</w:t>
      </w:r>
    </w:p>
    <w:p>
      <w:pPr>
        <w:adjustRightInd w:val="0"/>
        <w:snapToGrid w:val="0"/>
        <w:spacing w:line="360" w:lineRule="auto"/>
        <w:ind w:firstLine="420" w:firstLineChars="20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（1）工程检测质量要求</w:t>
      </w:r>
    </w:p>
    <w:p>
      <w:pPr>
        <w:adjustRightInd w:val="0"/>
        <w:snapToGrid w:val="0"/>
        <w:spacing w:line="360" w:lineRule="auto"/>
        <w:ind w:firstLine="420" w:firstLineChars="20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①乙方提供检定合格、手续完备的检测（试验）仪器，及时出具具有法律效力的检测（试验）报告。乙方须保证检测（试验）成果质量</w:t>
      </w:r>
      <w:r>
        <w:rPr>
          <w:rFonts w:hint="eastAsia" w:ascii="宋体" w:hAnsi="宋体" w:eastAsia="宋体" w:cs="宋体"/>
          <w:color w:val="auto"/>
          <w:sz w:val="21"/>
          <w:szCs w:val="21"/>
          <w:highlight w:val="none"/>
          <w:u w:val="none"/>
          <w:lang w:val="hr-HR"/>
        </w:rPr>
        <w:t>，对技术成果负全</w:t>
      </w:r>
      <w:r>
        <w:rPr>
          <w:rFonts w:hint="eastAsia" w:ascii="宋体" w:hAnsi="宋体" w:eastAsia="宋体" w:cs="宋体"/>
          <w:color w:val="auto"/>
          <w:sz w:val="21"/>
          <w:szCs w:val="21"/>
          <w:highlight w:val="none"/>
          <w:u w:val="none"/>
          <w:lang w:val="en-US" w:eastAsia="zh-CN"/>
        </w:rPr>
        <w:t>部</w:t>
      </w:r>
      <w:r>
        <w:rPr>
          <w:rFonts w:hint="eastAsia" w:ascii="宋体" w:hAnsi="宋体" w:eastAsia="宋体" w:cs="宋体"/>
          <w:color w:val="auto"/>
          <w:sz w:val="21"/>
          <w:szCs w:val="21"/>
          <w:highlight w:val="none"/>
          <w:u w:val="none"/>
          <w:lang w:val="hr-HR"/>
        </w:rPr>
        <w:t>责任</w:t>
      </w:r>
      <w:r>
        <w:rPr>
          <w:rFonts w:hint="eastAsia" w:ascii="宋体" w:hAnsi="宋体" w:eastAsia="宋体" w:cs="宋体"/>
          <w:color w:val="auto"/>
          <w:sz w:val="21"/>
          <w:szCs w:val="21"/>
          <w:u w:val="none"/>
        </w:rPr>
        <w:t>，如因检测（试验）不实，造成甲方经济损失费用全部由乙方承担，并应负责重检。</w:t>
      </w:r>
    </w:p>
    <w:p>
      <w:pPr>
        <w:adjustRightInd w:val="0"/>
        <w:snapToGrid w:val="0"/>
        <w:spacing w:line="360" w:lineRule="auto"/>
        <w:ind w:firstLine="420" w:firstLineChars="20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②执行国家、广东省以及东莞市有关工程检测（试验）的标准规范的规定。</w:t>
      </w:r>
    </w:p>
    <w:p>
      <w:pPr>
        <w:adjustRightInd w:val="0"/>
        <w:snapToGrid w:val="0"/>
        <w:spacing w:line="360" w:lineRule="auto"/>
        <w:ind w:firstLine="420" w:firstLineChars="20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（2）其他质量要求</w:t>
      </w:r>
    </w:p>
    <w:p>
      <w:pPr>
        <w:adjustRightInd w:val="0"/>
        <w:snapToGrid w:val="0"/>
        <w:spacing w:line="360" w:lineRule="auto"/>
        <w:ind w:firstLine="420" w:firstLineChars="20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①乙方须根据国家标准及其它相关行业规程的要求，结合本工程施工图、预算文件及东莞市建筑工程质量安全监督站相关规定，制定检测方案。完成本工程检测方案内项目及数量，出具合法有效且符合检测规范要求的检测报告，为工程进度控制提供依据；提供检测咨询服务，为保证工程质量提供保障。</w:t>
      </w:r>
    </w:p>
    <w:p>
      <w:pPr>
        <w:adjustRightInd w:val="0"/>
        <w:snapToGrid w:val="0"/>
        <w:spacing w:line="360" w:lineRule="auto"/>
        <w:ind w:firstLine="420" w:firstLineChars="20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②乙方应负责按东莞市建设工程质量安全监督站要求，根据本工程质量安全监督计划及相关规范编制并完善本工程的检测方案，并完成检测方案的审查备案、检测工作根据备案确认后的方案执行。</w:t>
      </w:r>
    </w:p>
    <w:p>
      <w:pPr>
        <w:adjustRightInd w:val="0"/>
        <w:snapToGrid w:val="0"/>
        <w:spacing w:line="360" w:lineRule="auto"/>
        <w:ind w:firstLine="420" w:firstLineChars="20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③乙方应当建立健全并落实各项管理制度，保证检测项目工作正常进行，并接受甲方及有关主管部门对项目服务质量的监督检查。</w:t>
      </w:r>
    </w:p>
    <w:p>
      <w:pPr>
        <w:adjustRightInd w:val="0"/>
        <w:snapToGrid w:val="0"/>
        <w:spacing w:line="360" w:lineRule="auto"/>
        <w:ind w:firstLine="420" w:firstLineChars="20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④乙方应建立并实施符合本项目各项要求的质量管理体系。</w:t>
      </w:r>
    </w:p>
    <w:p>
      <w:pPr>
        <w:adjustRightInd w:val="0"/>
        <w:snapToGrid w:val="0"/>
        <w:spacing w:line="360" w:lineRule="auto"/>
        <w:ind w:firstLine="420" w:firstLineChars="20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⑤甲方代表有权在工作时间内进入乙方的工作地点检查其质量手册、质量计划及其它与质量相关的文件的实施情况。</w:t>
      </w:r>
    </w:p>
    <w:p>
      <w:pPr>
        <w:adjustRightInd w:val="0"/>
        <w:snapToGrid w:val="0"/>
        <w:spacing w:line="360" w:lineRule="auto"/>
        <w:ind w:firstLine="424" w:firstLineChars="201"/>
        <w:rPr>
          <w:rFonts w:hint="eastAsia" w:ascii="宋体" w:hAnsi="宋体" w:eastAsia="宋体" w:cs="宋体"/>
          <w:b/>
          <w:color w:val="auto"/>
          <w:sz w:val="21"/>
          <w:szCs w:val="21"/>
          <w:u w:val="none"/>
          <w:lang w:val="en-US" w:eastAsia="zh-CN"/>
        </w:rPr>
      </w:pPr>
      <w:r>
        <w:rPr>
          <w:rFonts w:hint="eastAsia" w:ascii="宋体" w:hAnsi="宋体" w:eastAsia="宋体" w:cs="宋体"/>
          <w:b/>
          <w:color w:val="auto"/>
          <w:sz w:val="21"/>
          <w:szCs w:val="21"/>
          <w:u w:val="none"/>
          <w:lang w:val="en-US" w:eastAsia="zh-CN"/>
        </w:rPr>
        <w:t>8.安全要求：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应做好服务的安全防护措施，服务过程中出现的安全事故由</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自行承担。</w:t>
      </w:r>
    </w:p>
    <w:p>
      <w:pPr>
        <w:adjustRightInd w:val="0"/>
        <w:snapToGrid w:val="0"/>
        <w:spacing w:line="360" w:lineRule="auto"/>
        <w:ind w:firstLine="422" w:firstLineChars="201"/>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必须做好安全防护工作，由于</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自身的原因发生的任何伤害（包括人身伤害），均由</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自行承担。</w:t>
      </w:r>
    </w:p>
    <w:p>
      <w:pPr>
        <w:adjustRightInd w:val="0"/>
        <w:snapToGrid w:val="0"/>
        <w:spacing w:line="360" w:lineRule="auto"/>
        <w:ind w:firstLine="424" w:firstLineChars="201"/>
        <w:rPr>
          <w:rFonts w:hint="eastAsia" w:ascii="宋体" w:hAnsi="宋体" w:eastAsia="宋体" w:cs="宋体"/>
          <w:b/>
          <w:color w:val="auto"/>
          <w:sz w:val="21"/>
          <w:szCs w:val="21"/>
          <w:u w:val="none"/>
          <w:lang w:val="en-US" w:eastAsia="zh-CN"/>
        </w:rPr>
      </w:pPr>
      <w:r>
        <w:rPr>
          <w:rFonts w:hint="eastAsia" w:ascii="宋体" w:hAnsi="宋体" w:eastAsia="宋体" w:cs="宋体"/>
          <w:b/>
          <w:color w:val="auto"/>
          <w:sz w:val="21"/>
          <w:szCs w:val="21"/>
          <w:u w:val="none"/>
          <w:lang w:val="en-US" w:eastAsia="zh-CN"/>
        </w:rPr>
        <w:t>9.其他要求：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lang w:val="hr-HR"/>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hr-HR"/>
        </w:rPr>
        <w:t>若</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丙方</w:t>
      </w:r>
      <w:r>
        <w:rPr>
          <w:rFonts w:hint="eastAsia" w:ascii="宋体" w:hAnsi="宋体" w:eastAsia="宋体" w:cs="宋体"/>
          <w:color w:val="auto"/>
          <w:sz w:val="21"/>
          <w:szCs w:val="21"/>
          <w:highlight w:val="none"/>
          <w:u w:val="none"/>
        </w:rPr>
        <w:t>、上级行政主管部门</w:t>
      </w:r>
      <w:r>
        <w:rPr>
          <w:rFonts w:hint="eastAsia" w:ascii="宋体" w:hAnsi="宋体" w:eastAsia="宋体" w:cs="宋体"/>
          <w:color w:val="auto"/>
          <w:sz w:val="21"/>
          <w:szCs w:val="21"/>
          <w:highlight w:val="none"/>
          <w:u w:val="none"/>
          <w:lang w:val="hr-HR"/>
        </w:rPr>
        <w:t>要求（</w:t>
      </w:r>
      <w:r>
        <w:rPr>
          <w:rFonts w:hint="eastAsia" w:ascii="宋体" w:hAnsi="宋体" w:eastAsia="宋体" w:cs="宋体"/>
          <w:color w:val="auto"/>
          <w:sz w:val="21"/>
          <w:szCs w:val="21"/>
          <w:highlight w:val="none"/>
          <w:u w:val="none"/>
        </w:rPr>
        <w:t>含政策变动</w:t>
      </w:r>
      <w:r>
        <w:rPr>
          <w:rFonts w:hint="eastAsia" w:ascii="宋体" w:hAnsi="宋体" w:eastAsia="宋体" w:cs="宋体"/>
          <w:color w:val="auto"/>
          <w:sz w:val="21"/>
          <w:szCs w:val="21"/>
          <w:highlight w:val="none"/>
          <w:u w:val="none"/>
          <w:lang w:val="hr-HR"/>
        </w:rPr>
        <w:t>）</w:t>
      </w:r>
      <w:r>
        <w:rPr>
          <w:rFonts w:hint="eastAsia" w:ascii="宋体" w:hAnsi="宋体" w:eastAsia="宋体" w:cs="宋体"/>
          <w:color w:val="auto"/>
          <w:sz w:val="21"/>
          <w:szCs w:val="21"/>
          <w:highlight w:val="none"/>
          <w:u w:val="none"/>
        </w:rPr>
        <w:t>检测</w:t>
      </w:r>
      <w:r>
        <w:rPr>
          <w:rFonts w:hint="eastAsia" w:ascii="宋体" w:hAnsi="宋体" w:eastAsia="宋体" w:cs="宋体"/>
          <w:color w:val="auto"/>
          <w:sz w:val="21"/>
          <w:szCs w:val="21"/>
          <w:highlight w:val="none"/>
          <w:u w:val="none"/>
          <w:lang w:val="hr-HR"/>
        </w:rPr>
        <w:t>内容和频次增加或减少，</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必须无条件</w:t>
      </w:r>
      <w:r>
        <w:rPr>
          <w:rFonts w:hint="eastAsia" w:ascii="宋体" w:hAnsi="宋体" w:eastAsia="宋体" w:cs="宋体"/>
          <w:color w:val="auto"/>
          <w:sz w:val="21"/>
          <w:szCs w:val="21"/>
          <w:highlight w:val="none"/>
          <w:u w:val="none"/>
          <w:lang w:val="hr-HR"/>
        </w:rPr>
        <w:t>遵守执行</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hr-HR"/>
        </w:rPr>
        <w:t>实际检测量以</w:t>
      </w:r>
      <w:r>
        <w:rPr>
          <w:rFonts w:hint="eastAsia" w:ascii="宋体" w:hAnsi="宋体" w:eastAsia="宋体" w:cs="宋体"/>
          <w:color w:val="auto"/>
          <w:sz w:val="21"/>
          <w:szCs w:val="21"/>
          <w:highlight w:val="none"/>
          <w:u w:val="none"/>
          <w:lang w:val="hr-HR" w:eastAsia="zh-CN"/>
        </w:rPr>
        <w:t>甲方</w:t>
      </w:r>
      <w:r>
        <w:rPr>
          <w:rFonts w:hint="eastAsia" w:ascii="宋体" w:hAnsi="宋体" w:eastAsia="宋体" w:cs="宋体"/>
          <w:color w:val="auto"/>
          <w:sz w:val="21"/>
          <w:szCs w:val="21"/>
          <w:highlight w:val="none"/>
          <w:u w:val="none"/>
          <w:lang w:val="hr-HR"/>
        </w:rPr>
        <w:t>审核为准。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lang w:val="hr-HR"/>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hr-HR"/>
        </w:rPr>
        <w:t>若特殊项目</w:t>
      </w:r>
      <w:r>
        <w:rPr>
          <w:rFonts w:hint="eastAsia" w:ascii="宋体" w:hAnsi="宋体" w:eastAsia="宋体" w:cs="宋体"/>
          <w:color w:val="auto"/>
          <w:sz w:val="21"/>
          <w:szCs w:val="21"/>
          <w:highlight w:val="none"/>
          <w:u w:val="none"/>
          <w:lang w:val="hr-HR" w:eastAsia="zh-CN"/>
        </w:rPr>
        <w:t>乙方</w:t>
      </w:r>
      <w:r>
        <w:rPr>
          <w:rFonts w:hint="eastAsia" w:ascii="宋体" w:hAnsi="宋体" w:eastAsia="宋体" w:cs="宋体"/>
          <w:color w:val="auto"/>
          <w:sz w:val="21"/>
          <w:szCs w:val="21"/>
          <w:highlight w:val="none"/>
          <w:u w:val="none"/>
          <w:lang w:val="hr-HR"/>
        </w:rPr>
        <w:t>无相应资质的，必须经</w:t>
      </w:r>
      <w:r>
        <w:rPr>
          <w:rFonts w:hint="eastAsia" w:ascii="宋体" w:hAnsi="宋体" w:eastAsia="宋体" w:cs="宋体"/>
          <w:color w:val="auto"/>
          <w:sz w:val="21"/>
          <w:szCs w:val="21"/>
          <w:highlight w:val="none"/>
          <w:u w:val="none"/>
          <w:lang w:val="hr-HR" w:eastAsia="zh-CN"/>
        </w:rPr>
        <w:t>甲方</w:t>
      </w:r>
      <w:r>
        <w:rPr>
          <w:rFonts w:hint="eastAsia" w:ascii="宋体" w:hAnsi="宋体" w:eastAsia="宋体" w:cs="宋体"/>
          <w:color w:val="auto"/>
          <w:sz w:val="21"/>
          <w:szCs w:val="21"/>
          <w:highlight w:val="none"/>
          <w:u w:val="none"/>
          <w:lang w:val="hr-HR"/>
        </w:rPr>
        <w:t>批准后送符合条件（具备相应资质）的分包单位进行检测，并出具相应的检测报告，否则将视为</w:t>
      </w:r>
      <w:r>
        <w:rPr>
          <w:rFonts w:hint="eastAsia" w:ascii="宋体" w:hAnsi="宋体" w:eastAsia="宋体" w:cs="宋体"/>
          <w:color w:val="auto"/>
          <w:sz w:val="21"/>
          <w:szCs w:val="21"/>
          <w:highlight w:val="none"/>
          <w:u w:val="none"/>
          <w:lang w:val="hr-HR" w:eastAsia="zh-CN"/>
        </w:rPr>
        <w:t>乙方</w:t>
      </w:r>
      <w:r>
        <w:rPr>
          <w:rFonts w:hint="eastAsia" w:ascii="宋体" w:hAnsi="宋体" w:eastAsia="宋体" w:cs="宋体"/>
          <w:color w:val="auto"/>
          <w:sz w:val="21"/>
          <w:szCs w:val="21"/>
          <w:highlight w:val="none"/>
          <w:u w:val="none"/>
          <w:lang w:val="hr-HR"/>
        </w:rPr>
        <w:t>违约，出具的报告不予承认。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lang w:val="hr-HR"/>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hr-HR"/>
        </w:rPr>
        <w:t>在合同服务期内</w:t>
      </w:r>
      <w:r>
        <w:rPr>
          <w:rFonts w:hint="eastAsia" w:ascii="宋体" w:hAnsi="宋体" w:eastAsia="宋体" w:cs="宋体"/>
          <w:color w:val="auto"/>
          <w:sz w:val="21"/>
          <w:szCs w:val="21"/>
          <w:highlight w:val="none"/>
          <w:u w:val="none"/>
          <w:lang w:val="hr-HR" w:eastAsia="zh-CN"/>
        </w:rPr>
        <w:t>乙方</w:t>
      </w:r>
      <w:r>
        <w:rPr>
          <w:rFonts w:hint="eastAsia" w:ascii="宋体" w:hAnsi="宋体" w:eastAsia="宋体" w:cs="宋体"/>
          <w:color w:val="auto"/>
          <w:sz w:val="21"/>
          <w:szCs w:val="21"/>
          <w:highlight w:val="none"/>
          <w:u w:val="none"/>
          <w:lang w:val="hr-HR"/>
        </w:rPr>
        <w:t>不得因实际检测点过少或其他理由，而要求</w:t>
      </w:r>
      <w:r>
        <w:rPr>
          <w:rFonts w:hint="eastAsia" w:ascii="宋体" w:hAnsi="宋体" w:eastAsia="宋体" w:cs="宋体"/>
          <w:color w:val="auto"/>
          <w:sz w:val="21"/>
          <w:szCs w:val="21"/>
          <w:highlight w:val="none"/>
          <w:u w:val="none"/>
          <w:lang w:val="hr-HR" w:eastAsia="zh-CN"/>
        </w:rPr>
        <w:t>甲方</w:t>
      </w:r>
      <w:r>
        <w:rPr>
          <w:rFonts w:hint="eastAsia" w:ascii="宋体" w:hAnsi="宋体" w:eastAsia="宋体" w:cs="宋体"/>
          <w:color w:val="auto"/>
          <w:sz w:val="21"/>
          <w:szCs w:val="21"/>
          <w:highlight w:val="none"/>
          <w:u w:val="none"/>
          <w:lang w:val="hr-HR"/>
        </w:rPr>
        <w:t>提供任何形式的补偿或赔偿，或要求</w:t>
      </w:r>
      <w:r>
        <w:rPr>
          <w:rFonts w:hint="eastAsia" w:ascii="宋体" w:hAnsi="宋体" w:eastAsia="宋体" w:cs="宋体"/>
          <w:color w:val="auto"/>
          <w:sz w:val="21"/>
          <w:szCs w:val="21"/>
          <w:highlight w:val="none"/>
          <w:u w:val="none"/>
          <w:lang w:val="hr-HR" w:eastAsia="zh-CN"/>
        </w:rPr>
        <w:t>甲方</w:t>
      </w:r>
      <w:r>
        <w:rPr>
          <w:rFonts w:hint="eastAsia" w:ascii="宋体" w:hAnsi="宋体" w:eastAsia="宋体" w:cs="宋体"/>
          <w:color w:val="auto"/>
          <w:sz w:val="21"/>
          <w:szCs w:val="21"/>
          <w:highlight w:val="none"/>
          <w:u w:val="none"/>
          <w:lang w:val="hr-HR"/>
        </w:rPr>
        <w:t>所有的项目必须开展检测服务。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lang w:val="hr-HR"/>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lang w:val="hr-HR"/>
        </w:rPr>
        <w:t>自行解决现场检测（试验）所需辅助劳务及相关费用。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服务过程中涉及的设备、工具，由</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自行解决。</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服务过程中涉及的用水、用电由</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自行接入，</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需做好用水、用电安全防护措施并无条件接受</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监督。</w:t>
      </w:r>
    </w:p>
    <w:p>
      <w:pPr>
        <w:adjustRightInd w:val="0"/>
        <w:snapToGrid w:val="0"/>
        <w:spacing w:line="360" w:lineRule="auto"/>
        <w:ind w:firstLine="424" w:firstLineChars="201"/>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10</w:t>
      </w:r>
      <w:r>
        <w:rPr>
          <w:rFonts w:hint="eastAsia" w:ascii="宋体" w:hAnsi="宋体" w:eastAsia="宋体" w:cs="宋体"/>
          <w:b/>
          <w:color w:val="auto"/>
          <w:sz w:val="21"/>
          <w:szCs w:val="21"/>
        </w:rPr>
        <w:t xml:space="preserve">.合同价款： </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暂定总合同价款（即销售额，不含乙方销项税额）（大写）：人民币</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）。检测服务系数为</w:t>
      </w:r>
      <w:r>
        <w:rPr>
          <w:rFonts w:hint="eastAsia" w:ascii="宋体" w:hAnsi="宋体" w:eastAsia="宋体" w:cs="宋体"/>
          <w:b/>
          <w:color w:val="auto"/>
          <w:sz w:val="21"/>
          <w:szCs w:val="21"/>
          <w:u w:val="single"/>
        </w:rPr>
        <w:t xml:space="preserve">        </w:t>
      </w:r>
      <w:r>
        <w:rPr>
          <w:rFonts w:hint="eastAsia" w:ascii="宋体" w:hAnsi="宋体" w:eastAsia="宋体" w:cs="宋体"/>
          <w:color w:val="auto"/>
          <w:sz w:val="21"/>
          <w:szCs w:val="21"/>
        </w:rPr>
        <w:t>。</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依法计得并根据本合同约定确定的销项税额由丙方承担。根据《中华人民共和国增值税暂行条例》(国务院令第691号修订版)及当前税务部门的相关规定，本合同项目的增值税税率为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%，对应暂定总合同价款的销项税额为人民币</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）。增值税税率根据《中华人民共和国增值税暂行条例》（国务院令第691号修订版）及当前税务部门的相关规定,支付和结算时按实进行调整。</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暂定总合同价款价税合计（以下简称“暂定总合同价款（含税）”，大写）：人民币</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合同附件一《工程量清单计价表》的不含税综合单价（即结算不含税综合单价）等于招标文件附件《工程量清单计价表》列出的不含税综合单价乘以中标报价（检测服务系数），结算时不作调整</w:t>
      </w:r>
      <w:r>
        <w:rPr>
          <w:rFonts w:hint="eastAsia" w:ascii="宋体" w:hAnsi="宋体" w:eastAsia="宋体" w:cs="宋体"/>
          <w:color w:val="auto"/>
          <w:sz w:val="21"/>
          <w:szCs w:val="21"/>
        </w:rPr>
        <w:t>，再结合本项目最终经甲方（含其委托的第三方审核机构）、监理人审核确认的检测（试验）方案及甲方（含其委托的第三方审核机构）、监理人确认的实际检测（试验）工作量按实结算。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highlight w:val="none"/>
          <w:lang w:val="en-US" w:eastAsia="zh-CN"/>
        </w:rPr>
        <w:t>不含税</w:t>
      </w:r>
      <w:r>
        <w:rPr>
          <w:rFonts w:hint="eastAsia" w:ascii="宋体" w:hAnsi="宋体" w:eastAsia="宋体" w:cs="宋体"/>
          <w:color w:val="auto"/>
          <w:sz w:val="21"/>
          <w:szCs w:val="21"/>
          <w:highlight w:val="none"/>
        </w:rPr>
        <w:t>综合单价包含</w:t>
      </w:r>
      <w:r>
        <w:rPr>
          <w:rFonts w:hint="eastAsia" w:ascii="宋体" w:hAnsi="宋体" w:eastAsia="宋体" w:cs="宋体"/>
          <w:color w:val="auto"/>
          <w:kern w:val="2"/>
          <w:sz w:val="21"/>
          <w:szCs w:val="21"/>
          <w:highlight w:val="none"/>
        </w:rPr>
        <w:t>人工（含雨季、高温、赶工和夜间作业加班费，以及现场检测或试验所需的辅助劳务）、材料、仪器设备、机械、试件加工、检测（试验）及其措施（含施工期间设施的照管及受损设施的修复等）、试坑开挖、桩头处理、加荷体吊装运输、重锤吊装及运输费、钻孔费、引孔费、道路修填、临时设施费、技术工作收费、安全措施、驻地项目部等完成全部检测（试验）工作所需费用及利润、</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销项税额以外的税金</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报价过程产生的费用、办理履约担保费用、水电及进退场、差旅、驻地、办公设施、用品、食宿费、交通、通讯、施工配合费、保险费、风险费、检测方案的审查及专家论证费等完成本项目服务相关的直接及间接费用</w:t>
      </w:r>
      <w:r>
        <w:rPr>
          <w:rFonts w:hint="eastAsia" w:ascii="宋体" w:hAnsi="宋体" w:eastAsia="宋体" w:cs="宋体"/>
          <w:color w:val="auto"/>
          <w:sz w:val="21"/>
          <w:szCs w:val="21"/>
          <w:highlight w:val="none"/>
        </w:rPr>
        <w:t>。除另有约定外，本工程检测（试验）的</w:t>
      </w:r>
      <w:r>
        <w:rPr>
          <w:rFonts w:hint="eastAsia" w:ascii="宋体" w:hAnsi="宋体" w:eastAsia="宋体" w:cs="宋体"/>
          <w:color w:val="auto"/>
          <w:sz w:val="21"/>
          <w:szCs w:val="21"/>
          <w:highlight w:val="none"/>
          <w:lang w:val="en-US" w:eastAsia="zh-CN"/>
        </w:rPr>
        <w:t>不含税</w:t>
      </w:r>
      <w:r>
        <w:rPr>
          <w:rFonts w:hint="eastAsia" w:ascii="宋体" w:hAnsi="宋体" w:eastAsia="宋体" w:cs="宋体"/>
          <w:color w:val="auto"/>
          <w:sz w:val="21"/>
          <w:szCs w:val="21"/>
          <w:highlight w:val="none"/>
        </w:rPr>
        <w:t>综合单价在合同实施期间不因任何因素而调整（包括但不限于工程的工期延长、检测工作量变化等），</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val="en-US" w:eastAsia="zh-CN"/>
        </w:rPr>
        <w:t>丙方</w:t>
      </w:r>
      <w:r>
        <w:rPr>
          <w:rFonts w:hint="eastAsia" w:ascii="宋体" w:hAnsi="宋体" w:eastAsia="宋体" w:cs="宋体"/>
          <w:color w:val="auto"/>
          <w:sz w:val="21"/>
          <w:szCs w:val="21"/>
          <w:highlight w:val="none"/>
        </w:rPr>
        <w:t>也不承担任何额外费用。检测时，如需土建施工单位配合或向其租借设备时，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自行与施工单位协调，配合及租借费用已包括在</w:t>
      </w:r>
      <w:r>
        <w:rPr>
          <w:rFonts w:hint="eastAsia" w:ascii="宋体" w:hAnsi="宋体" w:eastAsia="宋体" w:cs="宋体"/>
          <w:color w:val="auto"/>
          <w:sz w:val="21"/>
          <w:szCs w:val="21"/>
          <w:highlight w:val="none"/>
          <w:lang w:val="en-US" w:eastAsia="zh-CN"/>
        </w:rPr>
        <w:t>不含税</w:t>
      </w:r>
      <w:r>
        <w:rPr>
          <w:rFonts w:hint="eastAsia" w:ascii="宋体" w:hAnsi="宋体" w:eastAsia="宋体" w:cs="宋体"/>
          <w:color w:val="auto"/>
          <w:sz w:val="21"/>
          <w:szCs w:val="21"/>
          <w:highlight w:val="none"/>
        </w:rPr>
        <w:t>综合单价内。</w:t>
      </w:r>
    </w:p>
    <w:p>
      <w:pPr>
        <w:adjustRightInd w:val="0"/>
        <w:snapToGrid w:val="0"/>
        <w:spacing w:line="360" w:lineRule="auto"/>
        <w:ind w:left="420" w:left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11</w:t>
      </w:r>
      <w:r>
        <w:rPr>
          <w:rFonts w:hint="eastAsia" w:ascii="宋体" w:hAnsi="宋体" w:eastAsia="宋体" w:cs="宋体"/>
          <w:b/>
          <w:color w:val="auto"/>
          <w:sz w:val="21"/>
          <w:szCs w:val="21"/>
        </w:rPr>
        <w:t>.第三方检测合同计费依据</w:t>
      </w:r>
    </w:p>
    <w:p>
      <w:pPr>
        <w:adjustRightInd w:val="0"/>
        <w:snapToGrid w:val="0"/>
        <w:spacing w:line="360" w:lineRule="auto"/>
        <w:ind w:firstLine="411" w:firstLineChars="196"/>
        <w:rPr>
          <w:rFonts w:hint="eastAsia" w:ascii="宋体" w:hAnsi="宋体" w:eastAsia="宋体" w:cs="宋体"/>
          <w:bCs/>
          <w:color w:val="auto"/>
          <w:sz w:val="21"/>
          <w:szCs w:val="21"/>
        </w:rPr>
      </w:pPr>
      <w:r>
        <w:rPr>
          <w:rFonts w:hint="eastAsia" w:ascii="宋体" w:hAnsi="宋体" w:eastAsia="宋体" w:cs="宋体"/>
          <w:bCs/>
          <w:color w:val="auto"/>
          <w:sz w:val="21"/>
          <w:szCs w:val="21"/>
        </w:rPr>
        <w:t>（1）本项目的计费标准按照合同附件一《工程量清单计价表》（详见附件）中的不含税</w:t>
      </w:r>
      <w:r>
        <w:rPr>
          <w:rFonts w:hint="eastAsia" w:ascii="宋体" w:hAnsi="宋体" w:eastAsia="宋体" w:cs="宋体"/>
          <w:color w:val="auto"/>
          <w:sz w:val="21"/>
          <w:szCs w:val="21"/>
        </w:rPr>
        <w:t>综合单价×实际检测工作量进行结算。</w:t>
      </w:r>
    </w:p>
    <w:p>
      <w:pPr>
        <w:adjustRightInd w:val="0"/>
        <w:snapToGrid w:val="0"/>
        <w:spacing w:line="360" w:lineRule="auto"/>
        <w:ind w:firstLine="411" w:firstLineChars="196"/>
        <w:rPr>
          <w:rFonts w:hint="eastAsia" w:ascii="宋体" w:hAnsi="宋体" w:eastAsia="宋体" w:cs="宋体"/>
          <w:bCs/>
          <w:color w:val="auto"/>
          <w:sz w:val="21"/>
          <w:szCs w:val="21"/>
        </w:rPr>
      </w:pPr>
      <w:r>
        <w:rPr>
          <w:rFonts w:hint="eastAsia" w:ascii="宋体" w:hAnsi="宋体" w:eastAsia="宋体" w:cs="宋体"/>
          <w:bCs/>
          <w:color w:val="auto"/>
          <w:sz w:val="21"/>
          <w:szCs w:val="21"/>
        </w:rPr>
        <w:t>（2）《工程量清单计价表》不作为乙方最终服务范围及业务承接数量的保证，甲方有权根据实际需求对检测工程量进行优化调整，最终服务费用按实际发生工程量结算。在合同服务期内，乙方不得因实际检测项目数量及服务费用的增减而要求甲方提供任何形式的补偿或赔偿，或只按甲方暂定的《工程量清单计价表》提供相应的对应服务。否则，视为乙方违约，甲方有权依据合同约定追究乙方的违约责任。</w:t>
      </w:r>
    </w:p>
    <w:p>
      <w:pPr>
        <w:adjustRightInd w:val="0"/>
        <w:snapToGrid w:val="0"/>
        <w:spacing w:line="360" w:lineRule="auto"/>
        <w:ind w:firstLine="411" w:firstLineChars="196"/>
        <w:rPr>
          <w:rFonts w:hint="eastAsia" w:ascii="宋体" w:hAnsi="宋体" w:eastAsia="宋体" w:cs="宋体"/>
          <w:bCs/>
          <w:color w:val="auto"/>
          <w:sz w:val="21"/>
          <w:szCs w:val="21"/>
        </w:rPr>
      </w:pPr>
      <w:r>
        <w:rPr>
          <w:rFonts w:hint="eastAsia" w:ascii="宋体" w:hAnsi="宋体" w:eastAsia="宋体" w:cs="宋体"/>
          <w:bCs/>
          <w:color w:val="auto"/>
          <w:sz w:val="21"/>
          <w:szCs w:val="21"/>
        </w:rPr>
        <w:t>（3）对于《工程量清单计价表》外新增的检测项目，不含税综合单价按以下方法计算：</w:t>
      </w:r>
    </w:p>
    <w:p>
      <w:pPr>
        <w:adjustRightInd w:val="0"/>
        <w:snapToGrid w:val="0"/>
        <w:spacing w:line="360" w:lineRule="auto"/>
        <w:ind w:firstLine="411" w:firstLineChars="196"/>
        <w:rPr>
          <w:rFonts w:hint="eastAsia" w:ascii="宋体" w:hAnsi="宋体" w:eastAsia="宋体" w:cs="宋体"/>
          <w:bCs/>
          <w:color w:val="auto"/>
          <w:sz w:val="21"/>
          <w:szCs w:val="21"/>
        </w:rPr>
      </w:pPr>
      <w:r>
        <w:rPr>
          <w:rFonts w:hint="eastAsia" w:ascii="宋体" w:hAnsi="宋体" w:eastAsia="宋体" w:cs="宋体"/>
          <w:bCs/>
          <w:color w:val="auto"/>
          <w:sz w:val="21"/>
          <w:szCs w:val="21"/>
        </w:rPr>
        <w:t>①《东莞市建设工程检测行业参考收费标准（2023版）》（东检协字（2023）3号）对应项参考单价÷1.06×</w:t>
      </w:r>
      <w:r>
        <w:rPr>
          <w:rFonts w:hint="eastAsia" w:ascii="宋体" w:hAnsi="宋体" w:eastAsia="宋体" w:cs="宋体"/>
          <w:bCs/>
          <w:color w:val="auto"/>
          <w:sz w:val="21"/>
          <w:szCs w:val="21"/>
          <w:lang w:val="en-US" w:eastAsia="zh-CN"/>
        </w:rPr>
        <w:t>中标</w:t>
      </w:r>
      <w:r>
        <w:rPr>
          <w:rFonts w:hint="eastAsia" w:ascii="宋体" w:hAnsi="宋体" w:eastAsia="宋体" w:cs="宋体"/>
          <w:bCs/>
          <w:color w:val="auto"/>
          <w:sz w:val="21"/>
          <w:szCs w:val="21"/>
        </w:rPr>
        <w:t>检测服务系数；</w:t>
      </w:r>
    </w:p>
    <w:p>
      <w:pPr>
        <w:adjustRightInd w:val="0"/>
        <w:snapToGrid w:val="0"/>
        <w:spacing w:line="360" w:lineRule="auto"/>
        <w:ind w:firstLine="411" w:firstLineChars="196"/>
        <w:rPr>
          <w:rFonts w:hint="eastAsia" w:ascii="宋体" w:hAnsi="宋体" w:eastAsia="宋体" w:cs="宋体"/>
          <w:bCs/>
          <w:color w:val="auto"/>
          <w:sz w:val="21"/>
          <w:szCs w:val="21"/>
        </w:rPr>
      </w:pPr>
      <w:r>
        <w:rPr>
          <w:rFonts w:hint="eastAsia" w:ascii="宋体" w:hAnsi="宋体" w:eastAsia="宋体" w:cs="宋体"/>
          <w:bCs/>
          <w:color w:val="auto"/>
          <w:sz w:val="21"/>
          <w:szCs w:val="21"/>
        </w:rPr>
        <w:t>②《东莞市建设工程检测行业参考收费标准（2023版）》（东检协字（2023）3号）中无对应项，则按照《广东省房屋建筑和市政工程工程质量安全检测收费指导价》（粤建检协〔2015〕8号）对应项单价÷1.06×</w:t>
      </w:r>
      <w:r>
        <w:rPr>
          <w:rFonts w:hint="eastAsia" w:ascii="宋体" w:hAnsi="宋体" w:eastAsia="宋体" w:cs="宋体"/>
          <w:bCs/>
          <w:color w:val="auto"/>
          <w:sz w:val="21"/>
          <w:szCs w:val="21"/>
          <w:lang w:val="en-US" w:eastAsia="zh-CN"/>
        </w:rPr>
        <w:t>中标</w:t>
      </w:r>
      <w:r>
        <w:rPr>
          <w:rFonts w:hint="eastAsia" w:ascii="宋体" w:hAnsi="宋体" w:eastAsia="宋体" w:cs="宋体"/>
          <w:bCs/>
          <w:color w:val="auto"/>
          <w:sz w:val="21"/>
          <w:szCs w:val="21"/>
        </w:rPr>
        <w:t>检测服务系数；</w:t>
      </w:r>
    </w:p>
    <w:p>
      <w:pPr>
        <w:adjustRightInd w:val="0"/>
        <w:snapToGrid w:val="0"/>
        <w:spacing w:line="360" w:lineRule="auto"/>
        <w:ind w:firstLine="411" w:firstLineChars="196"/>
        <w:rPr>
          <w:rFonts w:hint="eastAsia" w:ascii="宋体" w:hAnsi="宋体" w:eastAsia="宋体" w:cs="宋体"/>
          <w:bCs/>
          <w:color w:val="auto"/>
          <w:sz w:val="21"/>
          <w:szCs w:val="21"/>
        </w:rPr>
      </w:pPr>
      <w:r>
        <w:rPr>
          <w:rFonts w:hint="eastAsia" w:ascii="宋体" w:hAnsi="宋体" w:eastAsia="宋体" w:cs="宋体"/>
          <w:bCs/>
          <w:color w:val="auto"/>
          <w:sz w:val="21"/>
          <w:szCs w:val="21"/>
        </w:rPr>
        <w:t>③《东莞市建设工程检测行业参考收费标准（2023版）》（东检协字（2023）3号）与《广东省房屋建筑和市政工程工程质量安全检测收费指导价》（粤建检协〔2015〕8号）均无对应项的，由甲方结合本地及周边同类城市市场询价</w:t>
      </w:r>
      <w:r>
        <w:rPr>
          <w:rFonts w:hint="eastAsia" w:ascii="宋体" w:hAnsi="宋体" w:eastAsia="宋体" w:cs="宋体"/>
          <w:color w:val="auto"/>
          <w:sz w:val="21"/>
          <w:szCs w:val="21"/>
        </w:rPr>
        <w:t>的不含税综合单价</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eastAsia="zh-CN"/>
        </w:rPr>
        <w:t>中标检测服务系数</w:t>
      </w:r>
      <w:r>
        <w:rPr>
          <w:rFonts w:hint="eastAsia" w:ascii="宋体" w:hAnsi="宋体" w:eastAsia="宋体" w:cs="宋体"/>
          <w:bCs/>
          <w:color w:val="auto"/>
          <w:sz w:val="21"/>
          <w:szCs w:val="21"/>
        </w:rPr>
        <w:t>。</w:t>
      </w:r>
    </w:p>
    <w:p>
      <w:pPr>
        <w:adjustRightInd w:val="0"/>
        <w:snapToGrid w:val="0"/>
        <w:spacing w:line="360" w:lineRule="auto"/>
        <w:ind w:firstLine="411" w:firstLineChars="196"/>
        <w:rPr>
          <w:rFonts w:hint="eastAsia" w:ascii="宋体" w:hAnsi="宋体" w:eastAsia="宋体" w:cs="宋体"/>
          <w:bCs/>
          <w:color w:val="auto"/>
          <w:sz w:val="21"/>
          <w:szCs w:val="21"/>
        </w:rPr>
      </w:pPr>
      <w:r>
        <w:rPr>
          <w:rFonts w:hint="eastAsia" w:ascii="宋体" w:hAnsi="宋体" w:eastAsia="宋体" w:cs="宋体"/>
          <w:bCs/>
          <w:color w:val="auto"/>
          <w:sz w:val="21"/>
          <w:szCs w:val="21"/>
        </w:rPr>
        <w:t>以上不含税综合单价均保留两位小数。</w:t>
      </w:r>
    </w:p>
    <w:p>
      <w:pPr>
        <w:adjustRightInd w:val="0"/>
        <w:snapToGrid w:val="0"/>
        <w:spacing w:line="360" w:lineRule="auto"/>
        <w:ind w:left="420" w:leftChars="200"/>
        <w:rPr>
          <w:rFonts w:hint="eastAsia" w:ascii="宋体" w:hAnsi="宋体" w:eastAsia="宋体" w:cs="宋体"/>
          <w:b/>
          <w:color w:val="auto"/>
          <w:sz w:val="21"/>
          <w:szCs w:val="21"/>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.结算调整规则、范围及方式</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结算调整的范围：因设计变更、改线或者重大工艺变更等工程变更引起的检测（试验）项目的变更，包含检测项目增减和已有检测项目中工作量的增减，乙方在实施前，须提出变更申请，经本工程的设计人、监理人及甲方（含其委托的第三方审核机构）批准后方可实施。</w:t>
      </w:r>
    </w:p>
    <w:p>
      <w:pPr>
        <w:adjustRightInd w:val="0"/>
        <w:snapToGrid w:val="0"/>
        <w:spacing w:line="360" w:lineRule="auto"/>
        <w:ind w:firstLine="420" w:firstLineChars="200"/>
        <w:rPr>
          <w:rFonts w:hint="eastAsia" w:ascii="宋体" w:hAnsi="宋体" w:eastAsia="宋体" w:cs="宋体"/>
          <w:b/>
          <w:bCs/>
          <w:color w:val="auto"/>
          <w:sz w:val="21"/>
          <w:szCs w:val="21"/>
        </w:rPr>
      </w:pPr>
      <w:r>
        <w:rPr>
          <w:rFonts w:hint="eastAsia" w:ascii="宋体" w:hAnsi="宋体" w:eastAsia="宋体" w:cs="宋体"/>
          <w:color w:val="auto"/>
          <w:sz w:val="21"/>
          <w:szCs w:val="21"/>
        </w:rPr>
        <w:t>（2）工程变更项目检测的计价：</w:t>
      </w:r>
      <w:r>
        <w:rPr>
          <w:rFonts w:hint="eastAsia" w:ascii="宋体" w:hAnsi="宋体" w:eastAsia="宋体" w:cs="宋体"/>
          <w:b/>
          <w:bCs/>
          <w:color w:val="auto"/>
          <w:sz w:val="21"/>
          <w:szCs w:val="21"/>
        </w:rPr>
        <w:t>合同价中已有适用于变更检测项目的不含税综合单价，按合同已有的不含税综合单价变更合同价款；合同中已有类似变更检测项目的不含税综合单价，可参照类似检测项目不含税综合单价变更合同价款；合同中没有适用于变更检测项目的不含税综合单价，经批准变更后，按照《东莞市建设工程检测行业参考收费标准（2023版）》（东检协字（2023）3号）对应项参考单价÷1.06×</w:t>
      </w:r>
      <w:r>
        <w:rPr>
          <w:rFonts w:hint="eastAsia" w:ascii="宋体" w:hAnsi="宋体" w:eastAsia="宋体" w:cs="宋体"/>
          <w:b/>
          <w:color w:val="auto"/>
          <w:sz w:val="21"/>
          <w:szCs w:val="21"/>
          <w:lang w:eastAsia="zh-CN"/>
        </w:rPr>
        <w:t>中标检测服务系数</w:t>
      </w:r>
      <w:r>
        <w:rPr>
          <w:rFonts w:hint="eastAsia" w:ascii="宋体" w:hAnsi="宋体" w:eastAsia="宋体" w:cs="宋体"/>
          <w:b/>
          <w:bCs/>
          <w:color w:val="auto"/>
          <w:sz w:val="21"/>
          <w:szCs w:val="21"/>
        </w:rPr>
        <w:t>，《东莞市建设工程检测行业参考收费标准(2023版)》（东检协字（2023）3号）中无对应项，则按照《广东省房屋建筑和市政工程工程质量安全检测收费指导价》（粤建检协〔2015〕8号）对应项单价÷1.06×</w:t>
      </w:r>
      <w:r>
        <w:rPr>
          <w:rFonts w:hint="eastAsia" w:ascii="宋体" w:hAnsi="宋体" w:eastAsia="宋体" w:cs="宋体"/>
          <w:b/>
          <w:color w:val="auto"/>
          <w:sz w:val="21"/>
          <w:szCs w:val="21"/>
          <w:lang w:eastAsia="zh-CN"/>
        </w:rPr>
        <w:t>中标检测服务系数</w:t>
      </w:r>
      <w:r>
        <w:rPr>
          <w:rFonts w:hint="eastAsia" w:ascii="宋体" w:hAnsi="宋体" w:eastAsia="宋体" w:cs="宋体"/>
          <w:b/>
          <w:bCs/>
          <w:color w:val="auto"/>
          <w:sz w:val="21"/>
          <w:szCs w:val="21"/>
        </w:rPr>
        <w:t>,《东莞市建设工程检测行业参考收费标准(2023版)》（东检协字（2023）3号）与《广东省房屋建筑和市政工程工程质量安全检测收费指导价》（粤建检协〔2015〕8号）均无对应项的，由甲方结合本地及周边同类城市市场询价的不含税综合单价×</w:t>
      </w:r>
      <w:r>
        <w:rPr>
          <w:rFonts w:hint="eastAsia" w:ascii="宋体" w:hAnsi="宋体" w:eastAsia="宋体" w:cs="宋体"/>
          <w:b/>
          <w:color w:val="auto"/>
          <w:sz w:val="21"/>
          <w:szCs w:val="21"/>
          <w:lang w:eastAsia="zh-CN"/>
        </w:rPr>
        <w:t>中标检测服务系数</w:t>
      </w:r>
      <w:r>
        <w:rPr>
          <w:rFonts w:hint="eastAsia" w:ascii="宋体" w:hAnsi="宋体" w:eastAsia="宋体" w:cs="宋体"/>
          <w:b/>
          <w:bCs/>
          <w:color w:val="auto"/>
          <w:sz w:val="21"/>
          <w:szCs w:val="21"/>
        </w:rPr>
        <w:t>计算。所有变更的检测项目均须书面向甲方申报，经甲方（含其委托的第三方审核机构）审核批准同意后方可实施。</w:t>
      </w:r>
    </w:p>
    <w:p>
      <w:pPr>
        <w:adjustRightInd w:val="0"/>
        <w:snapToGrid w:val="0"/>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3）在完成所有合同内容并具备结算条件3个月后，仍未报结算资料，甲方将书面发函督促办理结算，函中明确接到函件10个工作日后，仍未提交结算资料，或不配合甲方完成结算工作，丙方将根据已支付的进度款进行单方结算，由此所产生的法律责任均由乙方承担。</w:t>
      </w:r>
    </w:p>
    <w:p>
      <w:pPr>
        <w:keepNext/>
        <w:keepLines/>
        <w:adjustRightInd w:val="0"/>
        <w:snapToGrid w:val="0"/>
        <w:spacing w:line="360" w:lineRule="auto"/>
        <w:outlineLvl w:val="9"/>
        <w:rPr>
          <w:rFonts w:hint="eastAsia" w:ascii="宋体" w:hAnsi="宋体" w:eastAsia="宋体" w:cs="宋体"/>
          <w:b/>
          <w:color w:val="auto"/>
          <w:sz w:val="21"/>
          <w:szCs w:val="21"/>
        </w:rPr>
      </w:pPr>
      <w:bookmarkStart w:id="432" w:name="_Toc29878"/>
      <w:bookmarkStart w:id="433" w:name="_Toc28743"/>
    </w:p>
    <w:p>
      <w:pPr>
        <w:keepNext/>
        <w:keepLines/>
        <w:adjustRightInd w:val="0"/>
        <w:snapToGrid w:val="0"/>
        <w:spacing w:line="360" w:lineRule="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二、检测内容</w:t>
      </w:r>
      <w:bookmarkEnd w:id="432"/>
      <w:bookmarkEnd w:id="433"/>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检测内容包括但不限于：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地基基础工程质量检测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开展地基承载力、桩基的承载力、压实度检测。根据《关于加强东莞市建设工程质量检测机构监督管理的通知》（东建质安〔2018〕33 号）文件第三条第（一）点：“同一单位工程的基桩完整性检测与承载力检测应委托不同的检测机构实施，以便于基桩检测不同方法之间的相关验证”要求，声波透射、低应变、钻芯法等桩基完整性检测不在本次招标范围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钢结构焊缝检测及涂层厚度检测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开展焊缝的质量情况,以及防腐厚度</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检测。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原材料、道路等实体检测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开展混凝土原材料、道路工程、钻芯法检测混凝土强度、室内环境、防雷、</w:t>
      </w:r>
      <w:r>
        <w:rPr>
          <w:rFonts w:hint="eastAsia" w:ascii="宋体" w:hAnsi="宋体" w:eastAsia="宋体" w:cs="宋体"/>
          <w:color w:val="auto"/>
          <w:sz w:val="21"/>
          <w:szCs w:val="21"/>
          <w:highlight w:val="none"/>
          <w:lang w:val="en-US" w:eastAsia="zh-CN"/>
        </w:rPr>
        <w:t>消防、</w:t>
      </w:r>
      <w:r>
        <w:rPr>
          <w:rFonts w:hint="eastAsia" w:ascii="宋体" w:hAnsi="宋体" w:eastAsia="宋体" w:cs="宋体"/>
          <w:color w:val="auto"/>
          <w:sz w:val="21"/>
          <w:szCs w:val="21"/>
          <w:highlight w:val="none"/>
        </w:rPr>
        <w:t>外墙节能厚度钻芯、隔声噪声、后锚固件抗拔、饰面砖粘结强度等检测。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其它根据工程实际需要委托的检测项目。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根据相关法律、法规及主管部门的规定，必须另行独立采购的项目不包含在本次采购范围之内。</w:t>
      </w:r>
    </w:p>
    <w:p>
      <w:pPr>
        <w:keepNext/>
        <w:keepLines/>
        <w:adjustRightInd w:val="0"/>
        <w:snapToGrid w:val="0"/>
        <w:spacing w:line="360" w:lineRule="auto"/>
        <w:outlineLvl w:val="9"/>
        <w:rPr>
          <w:rFonts w:hint="eastAsia" w:ascii="宋体" w:hAnsi="宋体" w:eastAsia="宋体" w:cs="宋体"/>
          <w:b/>
          <w:color w:val="auto"/>
          <w:sz w:val="21"/>
          <w:szCs w:val="21"/>
        </w:rPr>
      </w:pPr>
      <w:bookmarkStart w:id="434" w:name="_Toc5003"/>
      <w:bookmarkStart w:id="435" w:name="_Toc21598"/>
    </w:p>
    <w:p>
      <w:pPr>
        <w:keepNext/>
        <w:keepLines/>
        <w:adjustRightInd w:val="0"/>
        <w:snapToGrid w:val="0"/>
        <w:spacing w:line="360" w:lineRule="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三、检测数量</w:t>
      </w:r>
      <w:bookmarkEnd w:id="434"/>
      <w:bookmarkEnd w:id="435"/>
    </w:p>
    <w:p>
      <w:pPr>
        <w:adjustRightInd w:val="0"/>
        <w:snapToGrid w:val="0"/>
        <w:spacing w:line="360" w:lineRule="auto"/>
        <w:ind w:left="18" w:hanging="18"/>
        <w:rPr>
          <w:rFonts w:hint="eastAsia" w:ascii="宋体" w:hAnsi="宋体" w:eastAsia="宋体" w:cs="宋体"/>
          <w:color w:val="auto"/>
          <w:sz w:val="21"/>
          <w:szCs w:val="21"/>
        </w:rPr>
      </w:pPr>
      <w:r>
        <w:rPr>
          <w:rFonts w:hint="eastAsia" w:ascii="宋体" w:hAnsi="宋体" w:eastAsia="宋体" w:cs="宋体"/>
          <w:color w:val="auto"/>
          <w:sz w:val="21"/>
          <w:szCs w:val="21"/>
        </w:rPr>
        <w:t xml:space="preserve">    具体参照《工程量清单计价表》，并以甲方最终审核为准。《工程量清单计价表》不作为乙方最终服务范围及业务承接数量的保证，甲方有权根据实际需求对检测工程量进行优化调整，最终按实际发生工程量统计。</w:t>
      </w:r>
    </w:p>
    <w:p>
      <w:pPr>
        <w:keepNext/>
        <w:keepLines/>
        <w:adjustRightInd w:val="0"/>
        <w:snapToGrid w:val="0"/>
        <w:spacing w:line="360" w:lineRule="auto"/>
        <w:outlineLvl w:val="9"/>
        <w:rPr>
          <w:rFonts w:hint="eastAsia" w:ascii="宋体" w:hAnsi="宋体" w:eastAsia="宋体" w:cs="宋体"/>
          <w:b/>
          <w:color w:val="auto"/>
          <w:sz w:val="21"/>
          <w:szCs w:val="21"/>
        </w:rPr>
      </w:pPr>
      <w:bookmarkStart w:id="436" w:name="_Toc28787"/>
      <w:bookmarkStart w:id="437" w:name="_Toc29325"/>
      <w:r>
        <w:rPr>
          <w:rFonts w:hint="eastAsia" w:ascii="宋体" w:hAnsi="宋体" w:eastAsia="宋体" w:cs="宋体"/>
          <w:b/>
          <w:color w:val="auto"/>
          <w:sz w:val="21"/>
          <w:szCs w:val="21"/>
        </w:rPr>
        <w:t>四、检测依据（如有新规范，以新的为准）</w:t>
      </w:r>
      <w:bookmarkEnd w:id="436"/>
      <w:bookmarkEnd w:id="437"/>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《建筑地基基础检测规范》（DBJ/T 15-60-2019）；</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《岩土工程勘察规范》(2009年版)（GB 50021-2001）；</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《建筑地基基础设计规范》（DBJ 15-31-2016）；</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《建筑地基检测技术规范》（JGJ 340-2015）；</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《钢结构工程施工质量验收标准》（GB 50205-2020）；</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《钢结构现场检测技术标准》（GB/T 50621-2010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《焊缝无损检测 超声检测 技术、检测等级和评定》（GB/T 11345-2013）；</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《城镇道路路面设计规范》（GJJ 169-2012）；</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《城镇道路工程施工与质量验收规范》（GJJ 1-2008）；</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《给水排水管道工程施工及验收规范 》（GB</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50268-2008）；</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《城市道路交通标志和标线设置规范》（GB 51038-2015）；</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《广东省建筑节能与绿色建筑工程施工质量验收规范》(DBJ 15-65-2021)；</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《建筑工程饰面砖粘结强度检验标准》(JGJ/T 110-2017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《建筑工程施工质量验收统一标准》（GB 50300-2013)；</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《民用建筑工程室内环境污染控制标准》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GB 50325-2020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《公共建筑节能检测标准》（JGJ/T177-2009）；</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《声学建筑和建筑构件隔声测量》（GB/T 19889.3-2005）；</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《关于加强东莞市建设工程质量检测机构监督管理的通知》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东建质安〔2018〕33号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《关于开展建设工程混凝土结构实体质量监督抽测工作的通知》（东建质安〔2016〕262号）</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东莞市建设工程质量检测服务手册（第一版）；</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《东莞市建设工程检测行业参考收费标准（2023版）》；</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《广东省房屋建筑和市政工程工程质量安全检测收费指导价》（粤建检协[2015]8号）；</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国家及省市建设主管部门的相关标准和规范；</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设计资料等。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以上规范若有更新版本，应按最新的版本执行。在合同执行期内，各专项施工的执行标准、规范，如未列举，则按国家、行业、地方颁布的相应的政策、法规、规范、标准等执行。</w:t>
      </w:r>
    </w:p>
    <w:p>
      <w:pPr>
        <w:adjustRightInd w:val="0"/>
        <w:snapToGrid w:val="0"/>
        <w:spacing w:line="360" w:lineRule="auto"/>
        <w:ind w:left="210"/>
        <w:rPr>
          <w:rFonts w:hint="eastAsia" w:ascii="宋体" w:hAnsi="宋体" w:eastAsia="宋体" w:cs="宋体"/>
          <w:color w:val="auto"/>
          <w:sz w:val="21"/>
          <w:szCs w:val="21"/>
        </w:rPr>
      </w:pPr>
    </w:p>
    <w:p>
      <w:pPr>
        <w:keepNext/>
        <w:keepLines/>
        <w:adjustRightInd w:val="0"/>
        <w:snapToGrid w:val="0"/>
        <w:spacing w:line="360" w:lineRule="auto"/>
        <w:outlineLvl w:val="9"/>
        <w:rPr>
          <w:rFonts w:hint="eastAsia" w:ascii="宋体" w:hAnsi="宋体" w:eastAsia="宋体" w:cs="宋体"/>
          <w:b/>
          <w:color w:val="auto"/>
          <w:sz w:val="21"/>
          <w:szCs w:val="21"/>
        </w:rPr>
      </w:pPr>
      <w:bookmarkStart w:id="438" w:name="_Toc19219"/>
      <w:bookmarkStart w:id="439" w:name="_Toc10812"/>
      <w:r>
        <w:rPr>
          <w:rFonts w:hint="eastAsia" w:ascii="宋体" w:hAnsi="宋体" w:eastAsia="宋体" w:cs="宋体"/>
          <w:b/>
          <w:color w:val="auto"/>
          <w:sz w:val="21"/>
          <w:szCs w:val="21"/>
        </w:rPr>
        <w:t>五、检测费用支付方式</w:t>
      </w:r>
      <w:bookmarkEnd w:id="438"/>
      <w:bookmarkEnd w:id="439"/>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以季度为单位，即按季度计量支付进度款，</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提供相应的正式检测报告，经监理人及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审核通过后，</w:t>
      </w:r>
      <w:r>
        <w:rPr>
          <w:rFonts w:hint="eastAsia" w:ascii="宋体" w:hAnsi="宋体" w:eastAsia="宋体" w:cs="宋体"/>
          <w:color w:val="auto"/>
          <w:sz w:val="21"/>
          <w:szCs w:val="21"/>
          <w:highlight w:val="none"/>
          <w:lang w:eastAsia="zh-CN"/>
        </w:rPr>
        <w:t>丙方</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提交对应的请款报告30天内向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支付进度款。</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.丙方</w:t>
      </w:r>
      <w:r>
        <w:rPr>
          <w:rFonts w:hint="eastAsia" w:ascii="宋体" w:hAnsi="宋体" w:eastAsia="宋体" w:cs="宋体"/>
          <w:color w:val="auto"/>
          <w:sz w:val="21"/>
          <w:szCs w:val="21"/>
          <w:highlight w:val="none"/>
        </w:rPr>
        <w:t>以季度为单位按经监理人及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审核通过的检测报告所涉款项的80%支付本合同进度款，但</w:t>
      </w:r>
      <w:r>
        <w:rPr>
          <w:rFonts w:hint="eastAsia" w:ascii="宋体" w:hAnsi="宋体" w:eastAsia="宋体" w:cs="宋体"/>
          <w:color w:val="auto"/>
          <w:sz w:val="21"/>
          <w:szCs w:val="21"/>
          <w:highlight w:val="none"/>
          <w:lang w:eastAsia="zh-CN"/>
        </w:rPr>
        <w:t>丙方</w:t>
      </w:r>
      <w:r>
        <w:rPr>
          <w:rFonts w:hint="eastAsia" w:ascii="宋体" w:hAnsi="宋体" w:eastAsia="宋体" w:cs="宋体"/>
          <w:color w:val="auto"/>
          <w:sz w:val="21"/>
          <w:szCs w:val="21"/>
          <w:highlight w:val="none"/>
        </w:rPr>
        <w:t>累计支付的进度款不超过暂定总合同价款</w:t>
      </w:r>
      <w:r>
        <w:rPr>
          <w:rFonts w:hint="eastAsia" w:ascii="宋体" w:hAnsi="宋体" w:eastAsia="宋体" w:cs="宋体"/>
          <w:color w:val="auto"/>
          <w:sz w:val="21"/>
          <w:szCs w:val="21"/>
        </w:rPr>
        <w:t>（含税）</w:t>
      </w:r>
      <w:r>
        <w:rPr>
          <w:rFonts w:hint="eastAsia" w:ascii="宋体" w:hAnsi="宋体" w:eastAsia="宋体" w:cs="宋体"/>
          <w:color w:val="auto"/>
          <w:sz w:val="21"/>
          <w:szCs w:val="21"/>
          <w:highlight w:val="none"/>
        </w:rPr>
        <w:t>的80%，待工程竣工验收合格，项目结算完毕，并提交请款报告后30天内，</w:t>
      </w:r>
      <w:r>
        <w:rPr>
          <w:rFonts w:hint="eastAsia" w:ascii="宋体" w:hAnsi="宋体" w:eastAsia="宋体" w:cs="宋体"/>
          <w:color w:val="auto"/>
          <w:sz w:val="21"/>
          <w:szCs w:val="21"/>
          <w:highlight w:val="none"/>
          <w:lang w:eastAsia="zh-CN"/>
        </w:rPr>
        <w:t>丙方</w:t>
      </w:r>
      <w:r>
        <w:rPr>
          <w:rFonts w:hint="eastAsia" w:ascii="宋体" w:hAnsi="宋体" w:eastAsia="宋体" w:cs="宋体"/>
          <w:color w:val="auto"/>
          <w:sz w:val="21"/>
          <w:szCs w:val="21"/>
          <w:highlight w:val="none"/>
        </w:rPr>
        <w:t>按结算价一次性支付余款。</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收取每笔款项前，在提交请款报告的同时一并提供等额有效的增值税专用发票，</w:t>
      </w:r>
      <w:r>
        <w:rPr>
          <w:rFonts w:hint="eastAsia" w:ascii="宋体" w:hAnsi="宋体" w:eastAsia="宋体" w:cs="宋体"/>
          <w:bCs/>
          <w:color w:val="auto"/>
          <w:sz w:val="21"/>
          <w:szCs w:val="21"/>
          <w:highlight w:val="none"/>
          <w:lang w:eastAsia="zh-CN"/>
        </w:rPr>
        <w:t>丙方</w:t>
      </w:r>
      <w:r>
        <w:rPr>
          <w:rFonts w:hint="eastAsia" w:ascii="宋体" w:hAnsi="宋体" w:eastAsia="宋体" w:cs="宋体"/>
          <w:bCs/>
          <w:color w:val="auto"/>
          <w:sz w:val="21"/>
          <w:szCs w:val="21"/>
          <w:highlight w:val="none"/>
        </w:rPr>
        <w:t>在收到相关请款材料审核后支付；</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逾期提交请款材料或提供的发票不合格的，</w:t>
      </w:r>
      <w:r>
        <w:rPr>
          <w:rFonts w:hint="eastAsia" w:ascii="宋体" w:hAnsi="宋体" w:eastAsia="宋体" w:cs="宋体"/>
          <w:bCs/>
          <w:color w:val="auto"/>
          <w:sz w:val="21"/>
          <w:szCs w:val="21"/>
          <w:highlight w:val="none"/>
          <w:lang w:eastAsia="zh-CN"/>
        </w:rPr>
        <w:t>丙方</w:t>
      </w:r>
      <w:r>
        <w:rPr>
          <w:rFonts w:hint="eastAsia" w:ascii="宋体" w:hAnsi="宋体" w:eastAsia="宋体" w:cs="宋体"/>
          <w:bCs/>
          <w:color w:val="auto"/>
          <w:sz w:val="21"/>
          <w:szCs w:val="21"/>
          <w:highlight w:val="none"/>
        </w:rPr>
        <w:t>的付款时间可相应顺延，且不视为违约。因支付产生的相关银行手续费用，根据有关银行规定执行，如不能明确费用承担主体的，相关手续费用由双方各承担50%。由于</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提供的发票不符合税法规定，给</w:t>
      </w:r>
      <w:r>
        <w:rPr>
          <w:rFonts w:hint="eastAsia" w:ascii="宋体" w:hAnsi="宋体" w:eastAsia="宋体" w:cs="宋体"/>
          <w:bCs/>
          <w:color w:val="auto"/>
          <w:sz w:val="21"/>
          <w:szCs w:val="21"/>
          <w:highlight w:val="none"/>
          <w:lang w:eastAsia="zh-CN"/>
        </w:rPr>
        <w:t>丙方</w:t>
      </w:r>
      <w:r>
        <w:rPr>
          <w:rFonts w:hint="eastAsia" w:ascii="宋体" w:hAnsi="宋体" w:eastAsia="宋体" w:cs="宋体"/>
          <w:bCs/>
          <w:color w:val="auto"/>
          <w:sz w:val="21"/>
          <w:szCs w:val="21"/>
          <w:highlight w:val="none"/>
        </w:rPr>
        <w:t>造成的损失由</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承担赔偿责任。</w:t>
      </w:r>
    </w:p>
    <w:p>
      <w:pPr>
        <w:adjustRightInd w:val="0"/>
        <w:snapToGrid w:val="0"/>
        <w:spacing w:line="360" w:lineRule="auto"/>
        <w:ind w:firstLine="420" w:firstLineChars="200"/>
        <w:rPr>
          <w:rFonts w:hint="eastAsia" w:ascii="宋体" w:hAnsi="宋体" w:eastAsia="宋体" w:cs="宋体"/>
          <w:color w:val="auto"/>
          <w:sz w:val="21"/>
          <w:szCs w:val="21"/>
        </w:rPr>
      </w:pPr>
    </w:p>
    <w:p>
      <w:pPr>
        <w:keepNext/>
        <w:keepLines/>
        <w:adjustRightInd w:val="0"/>
        <w:snapToGrid w:val="0"/>
        <w:spacing w:line="360" w:lineRule="auto"/>
        <w:outlineLvl w:val="9"/>
        <w:rPr>
          <w:rFonts w:hint="eastAsia" w:ascii="宋体" w:hAnsi="宋体" w:eastAsia="宋体" w:cs="宋体"/>
          <w:b/>
          <w:color w:val="auto"/>
          <w:sz w:val="21"/>
          <w:szCs w:val="21"/>
        </w:rPr>
      </w:pPr>
      <w:bookmarkStart w:id="440" w:name="_Toc12139"/>
      <w:bookmarkStart w:id="441" w:name="_Toc22236"/>
      <w:r>
        <w:rPr>
          <w:rFonts w:hint="eastAsia" w:ascii="宋体" w:hAnsi="宋体" w:eastAsia="宋体" w:cs="宋体"/>
          <w:b/>
          <w:color w:val="auto"/>
          <w:sz w:val="21"/>
          <w:szCs w:val="21"/>
        </w:rPr>
        <w:t>六、双方权利及义务</w:t>
      </w:r>
      <w:bookmarkEnd w:id="440"/>
      <w:bookmarkEnd w:id="441"/>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1.甲方权利及义务：</w:t>
      </w:r>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（1）在合同履行期间，有权对乙方进行监督和检查，并要求其提供相关信息和资料。对乙方违反本合同约定、招投标文件规定的行为有权要求改正。</w:t>
      </w:r>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（2）甲方有权对乙方服务人员、设备投入等进行监督、检查。如发现不符合招投标文件、合同约定的，有权要求补充、更换及追究乙方其他违约责任。</w:t>
      </w:r>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（3）对发现乙方违反本合同、招投标文件或服务合同的有关规定或承诺，甲方有权追究乙方的违约责任，扣除或没收本合同履约担保。</w:t>
      </w:r>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（4）协助乙方仪器及运输设备顺利进场。</w:t>
      </w:r>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（5）监督受监施工单位定时向乙方提供进度计划，协调作业时间，保证乙方有足够时间展开检测工作。</w:t>
      </w:r>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（6）有权对乙方的检测工作进行监督，对其违约行为发出整改通知。</w:t>
      </w:r>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（7）合同履约期间，甲方有权对检测范围、要求、规模及特征等根据项目实际情况作出相应调整，调整后双方根据实际工作量进行结算。</w:t>
      </w:r>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（8）甲方按照既定的审批程序，及时办理服务费的审批手续。</w:t>
      </w:r>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（9）施工现场用水、用电在有条件的情况下由甲方负责提供水、电接入点，乙方自行接入。</w:t>
      </w:r>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（10）合同文件及附件内容约定的甲方其余权利义务。</w:t>
      </w:r>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2.乙方权利及义务：</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在合同的履行期间，乙方应当保持相应资质的有效性，且具备在东莞市开展检测服务工作的资格条件。因乙方资质条件丧失，导致无法开展检测工作的，甲方有权另行委托其他第三方，并且乙方需向甲方支付暂定总合同价款（含税）的20%的违约金。同时，造成甲方的经济损失（包括但不限于重新招标、委托第三方的费用），由乙方承担全部赔偿。</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（2）对甲方委派的检测工作，乙方应当根据本合同约定、招投标文件及甲方要求进行开展，不得借故拒绝接受委托。</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（3）按照国家颁发的有关检测技术标准或规范，采用科学先进的方法进行检测评估和试验过程的全程监控、记录，保证数据真实可靠，对检测结果真实性、准确性、合法性、完整性负责。</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乙方提供的检测报告、数据成果、文件等质量不合格的，应负责无偿给予修改、补充完善使其达到甲方要求；如乙方怠于或无力修改、补充完善，甲方有权另委托其他单位继续进行，乙方应承担由此产生的全部检测费用及其他损失。</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因乙方提供的检测报告、数据成果、文件等质量不合格造成甲方经济损失（包括但不限于检测变更费、增加工程费用等）或工程事故的，乙方应对造成的损失承担赔偿责任（包括但不限于施工单位损失赔偿、第三人侵权赔偿责任等），并根据违约行为向甲方支付违约金壹万元/次。如甲方实际损失高于违约金的，甲方有权另行追偿。</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在本合同履行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维护过程中发生意外事故、工伤、死亡的，由乙方承担全部责任并支付全部费用，甲方无须对这些意外事故、工伤、死亡承担任何责任，如甲方因此受到索赔并因此支付赔偿费用或者垫付了费用的，甲方有权向乙方追偿，甲方可启动履约担保支付。</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（7）严格遵守国家法律、法规，协助甲方做好社会治安综合管理工作和计划生育等工作。乙方员工有违法乱纪或犯罪的行为，乙方应承担一切经济责任和法律责任。</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每逢法定节日（含元旦、春节、清明、端午、五一、中秋、国庆）或甲方上级单位或市有关部门进行监督检查时，乙方应无条件配合甲方及有关部门组织的突击性任务及迎检活动，按时、按标准、按要求完成甲方所分配的工作。积极响应并接受市、镇街相关主管部门及其他上级部门的监督检查并接受广大市民监督。</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建立健全内部管理制度，并接受甲方及有关主管部门对项目服务状况、服务质量的监督检查。如因质量问题、操作不当或乙方自身管理原因而造成一切责任及经济损失由乙方承担。因乙方原因导致甲方损失的，乙方应当全额赔偿甲方的损失。</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10）在合同期限内保存好全部与检测服务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（11）如施工现场甲方无法提供水、电接入点，乙方自行解决施工用水、用电并承担相关费用。</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（12）乙方应按本合同及招、投标文件的要求按时提供检测报告和其他甲方认为有必要提供的中间过程资料、图表、照片（包括电子资料）等，以及向甲方提供咨询服务和建议。</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（13）检测过程中，乙方自行对本单位的仪器、设备安全负责，自行承担保管职责，对检测所产生的水、电等费用由乙方负责。</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（14）与检测工程的施工单位、设计单位、监理单位等单位相互配合，数据共享。</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（15）本合同约定范围内必要的修改，补充，应由乙方负责，甲方不再另付检测费用或其他费用。</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乙方在检测现场的工作人员，应遵守的施工现场安全保卫及其他有关的规章制度，承担其有关资料保密义务，保密义务不因本合同终止而结束。乙方保证对其在讨论、签订、履行本合同及具体项目合同过程中所获悉的属于甲方的且无法从公开渠道获得的文件资料及项目信息予以严格保密并应采取相应的保密措施，保证其自身及工作人员不私自使用或向任何第三方泄露，否则乙方承担由此给甲方造成的一切损失。</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（17）乙方提交给甲方的检测成果知识产权归属甲方，乙方须确保甲方在使用过程中免受第三方关于知识产权或其他合法权益的起诉，否则，乙方应承担由此给甲方造成的一切损失。</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18）乙方应确保其具备履行本合同工作所需的相关资质，否则，因此产生的一切后果由乙方承担。乙方应建立健全内部管理制度，并接受甲方及有关主管部门对项目服务状况、服务质量的监督检查。因乙方原因导致甲方损失的，应当全额赔偿甲方的损失。</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19）在服务过程中，乙方应遵守有关安全生产管理规定，建立完善安全管理制度，安全生产事故报告制度，采取必要的安全防护措施，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含其雇员及临时聘用人员）其他损失，乙方仍需赔偿。若产生劳动纠纷或仲裁或诉讼，均由乙方自行处理并承担损害赔偿，甲方不承担任何责任。若甲方需参加诉讼，相关费用（包括但不限于诉讼费、律师费、鉴定费、公证费、交通住宿费等全部）及损失全部由乙方承担，甲方可启动履约担保支付。</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（20）本合同所述的乙方应承担的甲方损失，包括但不限于甲方支出的赔偿金、诉讼费、保全费、律师费、鉴定费等。</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（21）本项目禁止转包，</w:t>
      </w:r>
      <w:r>
        <w:rPr>
          <w:rFonts w:hint="eastAsia" w:ascii="宋体" w:hAnsi="宋体" w:eastAsia="宋体" w:cs="宋体"/>
          <w:color w:val="auto"/>
          <w:sz w:val="21"/>
          <w:szCs w:val="21"/>
          <w:lang w:val="hr-HR"/>
        </w:rPr>
        <w:t>若特殊项目</w:t>
      </w:r>
      <w:r>
        <w:rPr>
          <w:rFonts w:hint="eastAsia" w:ascii="宋体" w:hAnsi="宋体" w:eastAsia="宋体" w:cs="宋体"/>
          <w:color w:val="auto"/>
          <w:sz w:val="21"/>
          <w:szCs w:val="21"/>
        </w:rPr>
        <w:t>乙方</w:t>
      </w:r>
      <w:r>
        <w:rPr>
          <w:rFonts w:hint="eastAsia" w:ascii="宋体" w:hAnsi="宋体" w:eastAsia="宋体" w:cs="宋体"/>
          <w:color w:val="auto"/>
          <w:sz w:val="21"/>
          <w:szCs w:val="21"/>
          <w:lang w:val="hr-HR"/>
        </w:rPr>
        <w:t>无相应资质的，必须经</w:t>
      </w:r>
      <w:r>
        <w:rPr>
          <w:rFonts w:hint="eastAsia" w:ascii="宋体" w:hAnsi="宋体" w:eastAsia="宋体" w:cs="宋体"/>
          <w:color w:val="auto"/>
          <w:sz w:val="21"/>
          <w:szCs w:val="21"/>
        </w:rPr>
        <w:t>甲方</w:t>
      </w:r>
      <w:r>
        <w:rPr>
          <w:rFonts w:hint="eastAsia" w:ascii="宋体" w:hAnsi="宋体" w:eastAsia="宋体" w:cs="宋体"/>
          <w:color w:val="auto"/>
          <w:sz w:val="21"/>
          <w:szCs w:val="21"/>
          <w:lang w:val="hr-HR"/>
        </w:rPr>
        <w:t>批准后送符合条件（具备相应资质）的分包单位进行检测，并出具相应的检测报告，否则将视为</w:t>
      </w:r>
      <w:r>
        <w:rPr>
          <w:rFonts w:hint="eastAsia" w:ascii="宋体" w:hAnsi="宋体" w:eastAsia="宋体" w:cs="宋体"/>
          <w:color w:val="auto"/>
          <w:sz w:val="21"/>
          <w:szCs w:val="21"/>
        </w:rPr>
        <w:t>乙方</w:t>
      </w:r>
      <w:r>
        <w:rPr>
          <w:rFonts w:hint="eastAsia" w:ascii="宋体" w:hAnsi="宋体" w:eastAsia="宋体" w:cs="宋体"/>
          <w:color w:val="auto"/>
          <w:sz w:val="21"/>
          <w:szCs w:val="21"/>
          <w:lang w:val="hr-HR"/>
        </w:rPr>
        <w:t>违约，出具的报告不予承认</w:t>
      </w:r>
      <w:r>
        <w:rPr>
          <w:rFonts w:hint="eastAsia" w:ascii="宋体" w:hAnsi="宋体" w:eastAsia="宋体" w:cs="宋体"/>
          <w:color w:val="auto"/>
          <w:sz w:val="21"/>
          <w:szCs w:val="21"/>
        </w:rPr>
        <w:t>。</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（22）合同文件及附件内容约定的乙方其他权利义务。</w:t>
      </w:r>
    </w:p>
    <w:p>
      <w:pPr>
        <w:adjustRightInd w:val="0"/>
        <w:snapToGrid w:val="0"/>
        <w:spacing w:line="360" w:lineRule="auto"/>
        <w:ind w:firstLine="420" w:firstLineChars="200"/>
        <w:rPr>
          <w:rFonts w:hint="eastAsia" w:ascii="宋体" w:hAnsi="宋体" w:eastAsia="宋体" w:cs="宋体"/>
          <w:color w:val="auto"/>
          <w:sz w:val="21"/>
          <w:szCs w:val="21"/>
        </w:rPr>
      </w:pPr>
    </w:p>
    <w:p>
      <w:pPr>
        <w:keepNext/>
        <w:keepLines/>
        <w:adjustRightInd w:val="0"/>
        <w:snapToGrid w:val="0"/>
        <w:spacing w:line="360" w:lineRule="auto"/>
        <w:outlineLvl w:val="9"/>
        <w:rPr>
          <w:rFonts w:hint="eastAsia" w:ascii="宋体" w:hAnsi="宋体" w:eastAsia="宋体" w:cs="宋体"/>
          <w:b/>
          <w:color w:val="auto"/>
          <w:sz w:val="21"/>
          <w:szCs w:val="21"/>
        </w:rPr>
      </w:pPr>
      <w:bookmarkStart w:id="442" w:name="_Toc20858"/>
      <w:bookmarkStart w:id="443" w:name="_Toc12889"/>
      <w:r>
        <w:rPr>
          <w:rFonts w:hint="eastAsia" w:ascii="宋体" w:hAnsi="宋体" w:eastAsia="宋体" w:cs="宋体"/>
          <w:b/>
          <w:color w:val="auto"/>
          <w:sz w:val="21"/>
          <w:szCs w:val="21"/>
        </w:rPr>
        <w:t>七、成果要求</w:t>
      </w:r>
      <w:bookmarkEnd w:id="442"/>
      <w:bookmarkEnd w:id="443"/>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1.合同签订后15天内，乙方应根据批准的工程施工组织设计、工程设计文件、市政工程建设标准、国家及行业规范等制定并向甲方提交详细的可实施的检测方案1份。乙方</w:t>
      </w:r>
      <w:r>
        <w:rPr>
          <w:rFonts w:hint="eastAsia" w:ascii="宋体" w:hAnsi="宋体" w:eastAsia="宋体" w:cs="宋体"/>
          <w:color w:val="auto"/>
          <w:sz w:val="21"/>
          <w:szCs w:val="21"/>
          <w:lang w:val="hr-HR"/>
        </w:rPr>
        <w:t>应积极配合甲方调整优化检测方案，并提交甲方确认。</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2.乙方在各项检测工作完成后应提交检测报告一式三份（含纸质版及电子档），检测报告包含但不限于：项目概况、检测位置、检测结果与结论、各类原始记录等内容，具体以相关规范为准。</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3.乙方应向甲方提交正式、合法的检测报告书，并同时加盖资质认定标志（即CMA印章）和乙方检验检测报告专用章。</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4.乙方所提供给甲方的成果资料所有权由甲方享有，未经甲方许可，乙方不得将成果泄露给第三方。</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5.乙方须保证检测成果质量</w:t>
      </w:r>
      <w:r>
        <w:rPr>
          <w:rFonts w:hint="eastAsia" w:ascii="宋体" w:hAnsi="宋体" w:eastAsia="宋体" w:cs="宋体"/>
          <w:color w:val="auto"/>
          <w:kern w:val="2"/>
          <w:sz w:val="21"/>
          <w:szCs w:val="21"/>
          <w:highlight w:val="none"/>
        </w:rPr>
        <w:t>，对技术成果负全</w:t>
      </w:r>
      <w:r>
        <w:rPr>
          <w:rFonts w:hint="eastAsia" w:ascii="宋体" w:hAnsi="宋体" w:eastAsia="宋体" w:cs="宋体"/>
          <w:color w:val="auto"/>
          <w:kern w:val="2"/>
          <w:sz w:val="21"/>
          <w:szCs w:val="21"/>
          <w:highlight w:val="none"/>
          <w:lang w:val="en-US" w:eastAsia="zh-CN"/>
        </w:rPr>
        <w:t>部</w:t>
      </w:r>
      <w:r>
        <w:rPr>
          <w:rFonts w:hint="eastAsia" w:ascii="宋体" w:hAnsi="宋体" w:eastAsia="宋体" w:cs="宋体"/>
          <w:color w:val="auto"/>
          <w:kern w:val="2"/>
          <w:sz w:val="21"/>
          <w:szCs w:val="21"/>
          <w:highlight w:val="none"/>
        </w:rPr>
        <w:t>责任，</w:t>
      </w:r>
      <w:r>
        <w:rPr>
          <w:rFonts w:hint="eastAsia" w:ascii="宋体" w:hAnsi="宋体" w:eastAsia="宋体" w:cs="宋体"/>
          <w:color w:val="auto"/>
          <w:sz w:val="21"/>
          <w:szCs w:val="21"/>
        </w:rPr>
        <w:t>如因检测不实，造成甲方经济损失费用全部由乙方承担，并应负责重检。</w:t>
      </w:r>
    </w:p>
    <w:p>
      <w:pPr>
        <w:adjustRightInd w:val="0"/>
        <w:snapToGrid w:val="0"/>
        <w:spacing w:line="360" w:lineRule="auto"/>
        <w:ind w:firstLine="420" w:firstLineChars="200"/>
        <w:rPr>
          <w:rFonts w:hint="eastAsia" w:ascii="宋体" w:hAnsi="宋体" w:eastAsia="宋体" w:cs="宋体"/>
          <w:bCs/>
          <w:color w:val="auto"/>
          <w:sz w:val="21"/>
          <w:szCs w:val="21"/>
        </w:rPr>
      </w:pPr>
    </w:p>
    <w:p>
      <w:pPr>
        <w:keepNext/>
        <w:keepLines/>
        <w:adjustRightInd w:val="0"/>
        <w:snapToGrid w:val="0"/>
        <w:spacing w:line="360" w:lineRule="auto"/>
        <w:outlineLvl w:val="9"/>
        <w:rPr>
          <w:rFonts w:hint="eastAsia" w:ascii="宋体" w:hAnsi="宋体" w:eastAsia="宋体" w:cs="宋体"/>
          <w:b/>
          <w:color w:val="auto"/>
          <w:sz w:val="21"/>
          <w:szCs w:val="21"/>
        </w:rPr>
      </w:pPr>
      <w:bookmarkStart w:id="444" w:name="_Toc27788"/>
      <w:bookmarkStart w:id="445" w:name="_Toc29923"/>
      <w:r>
        <w:rPr>
          <w:rFonts w:hint="eastAsia" w:ascii="宋体" w:hAnsi="宋体" w:eastAsia="宋体" w:cs="宋体"/>
          <w:b/>
          <w:color w:val="auto"/>
          <w:sz w:val="21"/>
          <w:szCs w:val="21"/>
        </w:rPr>
        <w:t>八、质量控制标准</w:t>
      </w:r>
      <w:bookmarkEnd w:id="444"/>
      <w:bookmarkEnd w:id="445"/>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1.乙方应当建立健全并落实各项管理制度，保证检测项目工作正常进行，并接受甲方及有关主管部门对项目服务质量的监督检查。</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2.乙方应建立并实施符合本项目各项要求的质量管理体系。</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3.甲方代表有权在工作时间内进入乙方的工作地点检查其质保手册、质量计划及其它与质量相关的文件的实施情况。</w:t>
      </w:r>
    </w:p>
    <w:p>
      <w:pPr>
        <w:widowControl/>
        <w:adjustRightInd w:val="0"/>
        <w:snapToGrid w:val="0"/>
        <w:spacing w:line="360" w:lineRule="auto"/>
        <w:ind w:firstLine="420" w:firstLineChars="200"/>
        <w:rPr>
          <w:rFonts w:hint="eastAsia" w:ascii="宋体" w:hAnsi="宋体" w:eastAsia="宋体" w:cs="宋体"/>
          <w:color w:val="auto"/>
          <w:sz w:val="21"/>
          <w:szCs w:val="21"/>
        </w:rPr>
      </w:pPr>
    </w:p>
    <w:p>
      <w:pPr>
        <w:keepNext/>
        <w:keepLines/>
        <w:adjustRightInd w:val="0"/>
        <w:snapToGrid w:val="0"/>
        <w:spacing w:line="360" w:lineRule="auto"/>
        <w:outlineLvl w:val="9"/>
        <w:rPr>
          <w:rFonts w:hint="eastAsia" w:ascii="宋体" w:hAnsi="宋体" w:eastAsia="宋体" w:cs="宋体"/>
          <w:b/>
          <w:color w:val="auto"/>
          <w:sz w:val="21"/>
          <w:szCs w:val="21"/>
        </w:rPr>
      </w:pPr>
      <w:bookmarkStart w:id="446" w:name="_Toc17838"/>
      <w:bookmarkStart w:id="447" w:name="_Toc18764"/>
      <w:r>
        <w:rPr>
          <w:rFonts w:hint="eastAsia" w:ascii="宋体" w:hAnsi="宋体" w:eastAsia="宋体" w:cs="宋体"/>
          <w:b/>
          <w:color w:val="auto"/>
          <w:sz w:val="21"/>
          <w:szCs w:val="21"/>
        </w:rPr>
        <w:t>九、人员及设备要求</w:t>
      </w:r>
      <w:bookmarkEnd w:id="446"/>
      <w:bookmarkEnd w:id="447"/>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1.乙方派出的</w:t>
      </w:r>
      <w:r>
        <w:rPr>
          <w:rFonts w:hint="eastAsia" w:ascii="宋体" w:hAnsi="宋体" w:eastAsia="宋体" w:cs="宋体"/>
          <w:color w:val="auto"/>
          <w:sz w:val="21"/>
          <w:szCs w:val="21"/>
          <w:highlight w:val="none"/>
        </w:rPr>
        <w:t>检测人员</w:t>
      </w:r>
      <w:r>
        <w:rPr>
          <w:rFonts w:hint="eastAsia" w:ascii="宋体" w:hAnsi="宋体" w:eastAsia="宋体" w:cs="宋体"/>
          <w:color w:val="auto"/>
          <w:sz w:val="21"/>
          <w:szCs w:val="21"/>
        </w:rPr>
        <w:t>应具备相应的专业知识及技术水平，有足够能力完成本项目检测服务工作。</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需配备1名项目负责人、1名技术负责人及数量充足的检测工作人员，保证检测工作有序、顺利完成。</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3.乙方应配备完成本项目所必须的检测设备，其性能良好并符合国家规定。同时配备数量充足的交通警示标志和施工</w:t>
      </w:r>
      <w:r>
        <w:rPr>
          <w:rFonts w:hint="eastAsia" w:ascii="宋体" w:hAnsi="宋体" w:eastAsia="宋体" w:cs="宋体"/>
          <w:color w:val="auto"/>
          <w:sz w:val="21"/>
          <w:szCs w:val="21"/>
          <w:lang w:eastAsia="zh-CN"/>
        </w:rPr>
        <w:t>围挡</w:t>
      </w:r>
      <w:r>
        <w:rPr>
          <w:rFonts w:hint="eastAsia" w:ascii="宋体" w:hAnsi="宋体" w:eastAsia="宋体" w:cs="宋体"/>
          <w:color w:val="auto"/>
          <w:sz w:val="21"/>
          <w:szCs w:val="21"/>
        </w:rPr>
        <w:t>，以及检测仪器、无线通讯设备、劳动防护用品等其它必须使用的工具。</w:t>
      </w:r>
    </w:p>
    <w:p>
      <w:pPr>
        <w:widowControl/>
        <w:adjustRightInd w:val="0"/>
        <w:snapToGrid w:val="0"/>
        <w:spacing w:line="360" w:lineRule="auto"/>
        <w:rPr>
          <w:rFonts w:hint="eastAsia" w:ascii="宋体" w:hAnsi="宋体" w:eastAsia="宋体" w:cs="宋体"/>
          <w:color w:val="auto"/>
          <w:sz w:val="21"/>
          <w:szCs w:val="21"/>
        </w:rPr>
      </w:pPr>
    </w:p>
    <w:p>
      <w:pPr>
        <w:keepNext/>
        <w:keepLines/>
        <w:adjustRightInd w:val="0"/>
        <w:snapToGrid w:val="0"/>
        <w:spacing w:line="360" w:lineRule="auto"/>
        <w:outlineLvl w:val="9"/>
        <w:rPr>
          <w:rFonts w:hint="eastAsia" w:ascii="宋体" w:hAnsi="宋体" w:eastAsia="宋体" w:cs="宋体"/>
          <w:b/>
          <w:color w:val="auto"/>
          <w:sz w:val="21"/>
          <w:szCs w:val="21"/>
        </w:rPr>
      </w:pPr>
      <w:bookmarkStart w:id="448" w:name="_Toc26320"/>
      <w:bookmarkStart w:id="449" w:name="_Toc28935"/>
      <w:r>
        <w:rPr>
          <w:rFonts w:hint="eastAsia" w:ascii="宋体" w:hAnsi="宋体" w:eastAsia="宋体" w:cs="宋体"/>
          <w:b/>
          <w:color w:val="auto"/>
          <w:sz w:val="21"/>
          <w:szCs w:val="21"/>
        </w:rPr>
        <w:t>十、违约责任</w:t>
      </w:r>
      <w:bookmarkEnd w:id="448"/>
      <w:bookmarkEnd w:id="449"/>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1.</w:t>
      </w:r>
      <w:r>
        <w:rPr>
          <w:rFonts w:hint="eastAsia" w:ascii="宋体" w:hAnsi="宋体" w:eastAsia="宋体" w:cs="宋体"/>
          <w:color w:val="auto"/>
          <w:sz w:val="21"/>
          <w:szCs w:val="21"/>
        </w:rPr>
        <w:t>乙方未按本合同约定配备必要的办公场所、设备或者服务人员的，甲方有权就违约事宜提出改正，如乙方仍拒不改正的，甲方有权选择解除本合同或服务合同，并没收全部履约担保。</w:t>
      </w:r>
    </w:p>
    <w:p>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color w:val="auto"/>
          <w:sz w:val="21"/>
          <w:szCs w:val="21"/>
        </w:rPr>
        <w:t>在本合同履行过程中，无论何种原因，乙方均不得消极怠工或拒不履行合同义务（包括但不限于技术支持、专家会审、解答释疑、事故处理，修正检测报告及数据成果等），或履行的合同义务不符合要求的。如有违反，将视为乙方违约，甲方有权就违约事宜提出改正，要求乙方按壹万元/次承担违约金，若限期内未按照甲方要求进行整改或限期整改后不符合甲方要求的，甲方有权选择解除合同，要求乙方按暂定总合同价款（含税）的10%承担违约金，并有权依法委托有资质的第三方继续履行本合同义务，由此造成的一切损失由乙方承担。同时，甲方有权将情况如实报送至政府相关主管部门</w:t>
      </w:r>
      <w:r>
        <w:rPr>
          <w:rFonts w:hint="eastAsia" w:ascii="宋体" w:hAnsi="宋体" w:eastAsia="宋体" w:cs="宋体"/>
          <w:bCs/>
          <w:color w:val="auto"/>
          <w:sz w:val="21"/>
          <w:szCs w:val="21"/>
        </w:rPr>
        <w:t>。</w:t>
      </w:r>
    </w:p>
    <w:p>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3.</w:t>
      </w:r>
      <w:r>
        <w:rPr>
          <w:rFonts w:hint="eastAsia" w:ascii="宋体" w:hAnsi="宋体" w:eastAsia="宋体" w:cs="宋体"/>
          <w:color w:val="auto"/>
          <w:sz w:val="21"/>
          <w:szCs w:val="21"/>
        </w:rPr>
        <w:t>由于乙方原因造成检测报告、成果数据、文件等质量不合格，不能满足技术要求时，乙方除按合同约定承担责任外，其返工重新检测等产生的费用由乙方承担</w:t>
      </w:r>
      <w:r>
        <w:rPr>
          <w:rFonts w:hint="eastAsia" w:ascii="宋体" w:hAnsi="宋体" w:eastAsia="宋体" w:cs="宋体"/>
          <w:bCs/>
          <w:color w:val="auto"/>
          <w:sz w:val="21"/>
          <w:szCs w:val="21"/>
        </w:rPr>
        <w:t>。</w:t>
      </w:r>
    </w:p>
    <w:p>
      <w:pPr>
        <w:adjustRightInd w:val="0"/>
        <w:snapToGrid w:val="0"/>
        <w:spacing w:line="360" w:lineRule="auto"/>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4.合同履行期间，由于工程停建而终止合同或甲方要求解除合同时，双方互不承担赔偿责任。乙方未进行检测工作的，应退还甲方已预付的费用；已进行检测工作的，根据其中标报价按甲方审核确认实际完成的工作量进行结算。</w:t>
      </w:r>
    </w:p>
    <w:p>
      <w:pPr>
        <w:adjustRightInd w:val="0"/>
        <w:snapToGrid w:val="0"/>
        <w:spacing w:line="360" w:lineRule="auto"/>
        <w:ind w:firstLine="420" w:firstLineChars="200"/>
        <w:contextualSpacing/>
        <w:rPr>
          <w:rFonts w:hint="eastAsia" w:ascii="宋体" w:hAnsi="宋体" w:eastAsia="宋体" w:cs="宋体"/>
          <w:bCs/>
          <w:color w:val="auto"/>
          <w:sz w:val="21"/>
          <w:szCs w:val="21"/>
        </w:rPr>
      </w:pPr>
      <w:r>
        <w:rPr>
          <w:rFonts w:hint="eastAsia" w:ascii="宋体" w:hAnsi="宋体" w:eastAsia="宋体" w:cs="宋体"/>
          <w:color w:val="auto"/>
          <w:sz w:val="21"/>
          <w:szCs w:val="21"/>
        </w:rPr>
        <w:t>5.若非甲方原因，由于乙方原因未按甲方要求时间（日期）提交检测报告、成果数据、文件资料、检测方案的，或未按期履行其他义务的，每逾期一日，乙方按贰仟元/天承担违约金。逾期超过</w:t>
      </w:r>
      <w:r>
        <w:rPr>
          <w:rFonts w:hint="eastAsia" w:ascii="宋体" w:hAnsi="宋体" w:eastAsia="宋体" w:cs="宋体"/>
          <w:color w:val="auto"/>
          <w:sz w:val="21"/>
          <w:szCs w:val="21"/>
          <w:u w:val="single"/>
        </w:rPr>
        <w:t>15</w:t>
      </w:r>
      <w:r>
        <w:rPr>
          <w:rFonts w:hint="eastAsia" w:ascii="宋体" w:hAnsi="宋体" w:eastAsia="宋体" w:cs="宋体"/>
          <w:color w:val="auto"/>
          <w:sz w:val="21"/>
          <w:szCs w:val="21"/>
        </w:rPr>
        <w:t>日的，甲方有权单方解除合同，且乙方须承担履约担保等额的违约金，同时有权没收履约担保。同时，造成甲方的经济损失（包括但不限于重新采购、委托第三方的费用），由乙方承担全部赔偿。</w:t>
      </w:r>
    </w:p>
    <w:p>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6.乙方违反约定非法转包、分包的，甲方有权单方解除合同，乙方须向甲方支付与履约担保等额的违约金，同时有权没收履约担保，并赔偿由此给甲方造成的一切损失。如因非法转包、分包导致安全事故或人身损害事故的，造成甲方其他损失的或甲方被认定需承担赔偿责任的，甲方有权向乙方追偿并要求乙方承担人民币壹拾万元整的违约金。</w:t>
      </w:r>
    </w:p>
    <w:p>
      <w:pPr>
        <w:adjustRightInd w:val="0"/>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乙方存在如下情形之一的，甲方有权书面通知乙方单方解除本合同，并由乙方承担履约担保等额的违约金，同时有权没收履约担保，给甲方造成损失的，乙方还足额应赔偿甲方：</w:t>
      </w:r>
    </w:p>
    <w:p>
      <w:pPr>
        <w:adjustRightInd w:val="0"/>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（1）提供虚假信息、误导或欺骗甲方及丙方，以谋取非法利益的；</w:t>
      </w:r>
    </w:p>
    <w:p>
      <w:pPr>
        <w:adjustRightInd w:val="0"/>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（2）违反诚信信用原则，没有严格执行相关质量、服务，损害甲方、丙方或相关用户单位的利益的；</w:t>
      </w:r>
    </w:p>
    <w:p>
      <w:pPr>
        <w:adjustRightInd w:val="0"/>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（3）违反有关法律法规以及本合同的约定，损害甲方利益的；</w:t>
      </w:r>
    </w:p>
    <w:p>
      <w:pPr>
        <w:adjustRightInd w:val="0"/>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（4）拒绝接受甲方、丙方及相关部门监督、检查的；</w:t>
      </w:r>
    </w:p>
    <w:p>
      <w:pPr>
        <w:adjustRightInd w:val="0"/>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（5）出现信用危机、财务危机、生产经营危机甚至破产、倒闭，无法继续履行本合同的；</w:t>
      </w:r>
    </w:p>
    <w:p>
      <w:pPr>
        <w:adjustRightInd w:val="0"/>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（6）采用非法手段进行不正当竞争的，构成恶劣影响；</w:t>
      </w:r>
    </w:p>
    <w:p>
      <w:pPr>
        <w:adjustRightInd w:val="0"/>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（7）违反本合同约定，泄露服务项目内容的。</w:t>
      </w:r>
    </w:p>
    <w:p>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8.</w:t>
      </w:r>
      <w:r>
        <w:rPr>
          <w:rFonts w:hint="eastAsia" w:ascii="宋体" w:hAnsi="宋体" w:eastAsia="宋体" w:cs="宋体"/>
          <w:color w:val="auto"/>
          <w:sz w:val="21"/>
          <w:szCs w:val="21"/>
        </w:rPr>
        <w:t>乙方应按及时足额向工人发放工资待遇以及其他劳动待遇等，不得无故拖欠或克扣，如有违反的，由乙方全部负责。如对甲方工作造成影响的，根据工人诉求，甲方有权通知丙方直接从未付服务费用中直接扣除予以支付，由此导致的法律后果由乙方全部承担。并由乙方承担履约担保等额的违约金。严重者报相关行政主管部门处理，甲方保留终止合同的权利。</w:t>
      </w:r>
    </w:p>
    <w:p>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9.</w:t>
      </w:r>
      <w:r>
        <w:rPr>
          <w:rFonts w:hint="eastAsia" w:ascii="宋体" w:hAnsi="宋体" w:eastAsia="宋体" w:cs="宋体"/>
          <w:color w:val="auto"/>
          <w:sz w:val="21"/>
          <w:szCs w:val="21"/>
        </w:rPr>
        <w:t>乙方必须积极响应并接受相关部门的监督检查，若受到相关部门的批评，经调查认定情况属实的，视情节轻重要求其承担违约责任；造成恶劣影响的，甲方有权解除合同。</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10.</w:t>
      </w:r>
      <w:r>
        <w:rPr>
          <w:rFonts w:hint="eastAsia" w:ascii="宋体" w:hAnsi="宋体" w:eastAsia="宋体" w:cs="宋体"/>
          <w:color w:val="auto"/>
          <w:sz w:val="21"/>
          <w:szCs w:val="21"/>
        </w:rPr>
        <w:t>乙方在服务年限内，在履行本合同约定的义务过程中出现违反国家法律法规、主管部门规章制度、擅自提高价格或提供伪劣服务内容、服务质量低劣造成甲方损失等情况的，甲方有权视不同情况分别给予警告、抵扣履约担保或取消合同等处理。</w:t>
      </w:r>
    </w:p>
    <w:p>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11.</w:t>
      </w:r>
      <w:r>
        <w:rPr>
          <w:rFonts w:hint="eastAsia" w:ascii="宋体" w:hAnsi="宋体" w:eastAsia="宋体" w:cs="宋体"/>
          <w:color w:val="auto"/>
          <w:sz w:val="21"/>
          <w:szCs w:val="21"/>
        </w:rPr>
        <w:t>未经甲方书面同意，乙方变更项目负责人或技术负责人的，甲方有权要求乙方按伍万元/人/次承担违约金。</w:t>
      </w:r>
    </w:p>
    <w:p>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12.甲方每季度根据合同附件五《检测单位履约考核评分表》对乙方评价一次，出具考核评价结果。甲方将严格按照考核评分标准对乙方进行季度检查和考核。考评[70,80)分的，处相应付款周期内经甲方确认的检测费的10%作为违约金，考评[60,70)分的，处相应付款周期经甲方确认的检测费的20%作为违约金，考评60分以下的，处相应付款周期经甲方确认的检测</w:t>
      </w:r>
      <w:r>
        <w:rPr>
          <w:rFonts w:hint="eastAsia" w:ascii="宋体" w:hAnsi="宋体" w:eastAsia="宋体" w:cs="宋体"/>
          <w:bCs/>
          <w:color w:val="auto"/>
          <w:sz w:val="21"/>
          <w:szCs w:val="21"/>
          <w:highlight w:val="none"/>
          <w:lang w:val="en-US" w:eastAsia="zh-CN"/>
        </w:rPr>
        <w:t>费</w:t>
      </w:r>
      <w:r>
        <w:rPr>
          <w:rFonts w:hint="eastAsia" w:ascii="宋体" w:hAnsi="宋体" w:eastAsia="宋体" w:cs="宋体"/>
          <w:bCs/>
          <w:color w:val="auto"/>
          <w:sz w:val="21"/>
          <w:szCs w:val="21"/>
        </w:rPr>
        <w:t>的30%作为违约金。上述“[”代表闭区间，“)”代表开区间，如[70,80)代表该分数段范围为大于等于70且小于80。达到相应付款周期时,如乙方未申请支付本期费用, 甲方根据支付条件暂定本周期检测费并计算本周期内应缴纳的暂定违约金，乙方应予以缴纳。下一周期仍未申请时按上述做法执行，待到乙方申请支付费用时，根据合同付款流程确认检测费，同步对以往暂定违约金在本次一并确认并予以结算。</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13.甲方依据本合同条款对乙方处以违约金、赔偿、扣款等款项的，乙方应在收到违约（赔偿或扣款等款项）处理通知书之日起的五个工作日内书面授权乙方相关工作人员将款项交至甲方指定账户（须备注本项目名称）。如规定时间内未按要求将款项交至指定账号，甲方有权不审批进度款。甲方指定收款账户信息：</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开户名称：东莞市水务集团建设管理有限公司</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银行账号：2010021309200628330</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开户银行：中国工商银行股份有限公司东莞分行</w:t>
      </w:r>
    </w:p>
    <w:p>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color w:val="auto"/>
          <w:sz w:val="21"/>
          <w:szCs w:val="21"/>
        </w:rPr>
        <w:t>14.因乙方违约，甲方通过司法途径维护自身权益的，乙方应承担甲方由此支出的律师费、诉讼费、执行费、鉴定费、公证费、财产保全费及保险费等全部费用。</w:t>
      </w:r>
    </w:p>
    <w:p>
      <w:pPr>
        <w:adjustRightInd w:val="0"/>
        <w:snapToGrid w:val="0"/>
        <w:spacing w:line="360" w:lineRule="auto"/>
        <w:ind w:firstLine="420" w:firstLineChars="200"/>
        <w:rPr>
          <w:rFonts w:hint="eastAsia" w:ascii="宋体" w:hAnsi="宋体" w:eastAsia="宋体" w:cs="宋体"/>
          <w:bCs/>
          <w:color w:val="auto"/>
          <w:sz w:val="21"/>
          <w:szCs w:val="21"/>
        </w:rPr>
      </w:pPr>
    </w:p>
    <w:p>
      <w:pPr>
        <w:keepNext/>
        <w:keepLines/>
        <w:adjustRightInd w:val="0"/>
        <w:snapToGrid w:val="0"/>
        <w:spacing w:line="360" w:lineRule="auto"/>
        <w:outlineLvl w:val="9"/>
        <w:rPr>
          <w:rFonts w:hint="eastAsia" w:ascii="宋体" w:hAnsi="宋体" w:eastAsia="宋体" w:cs="宋体"/>
          <w:b/>
          <w:color w:val="auto"/>
          <w:sz w:val="21"/>
          <w:szCs w:val="21"/>
        </w:rPr>
      </w:pPr>
      <w:bookmarkStart w:id="450" w:name="_Toc8428"/>
      <w:bookmarkStart w:id="451" w:name="_Toc31226"/>
      <w:r>
        <w:rPr>
          <w:rFonts w:hint="eastAsia" w:ascii="宋体" w:hAnsi="宋体" w:eastAsia="宋体" w:cs="宋体"/>
          <w:b/>
          <w:color w:val="auto"/>
          <w:sz w:val="21"/>
          <w:szCs w:val="21"/>
        </w:rPr>
        <w:t>十一、履约担保</w:t>
      </w:r>
      <w:bookmarkEnd w:id="450"/>
      <w:bookmarkEnd w:id="451"/>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1.乙方应当根据招标文件的规定在签订本合同前向甲方提供履约担保，履约担保形式及金额由乙方从以下方式中任选一种：</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履约保证金（银行转账形式）金额为暂定总合同价款（含税）的5%为¥     元（大写人民币      ）；</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银行不可撤销履约保函金额为暂定总合同价款（含税）的8%为¥     元（大写人民币      ）；</w:t>
      </w:r>
    </w:p>
    <w:p>
      <w:pPr>
        <w:widowControl/>
        <w:autoSpaceDE/>
        <w:autoSpaceDN/>
        <w:adjustRightInd/>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采用履约保证保险形式的金额为暂定总合同价款（含税）的8%</w:t>
      </w:r>
      <w:r>
        <w:rPr>
          <w:rFonts w:hint="eastAsia" w:ascii="宋体" w:hAnsi="宋体" w:eastAsia="宋体" w:cs="宋体"/>
          <w:color w:val="auto"/>
          <w:sz w:val="21"/>
          <w:szCs w:val="21"/>
          <w:highlight w:val="none"/>
        </w:rPr>
        <w:t>为¥     元（大写人民币      ）；</w:t>
      </w:r>
    </w:p>
    <w:p>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担保公司履约担保书金额为暂定总合同价款（含税）的10%为¥     元（大写人民币      ）。</w:t>
      </w:r>
    </w:p>
    <w:p>
      <w:pPr>
        <w:widowControl/>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合同履行过程中，</w:t>
      </w:r>
      <w:r>
        <w:rPr>
          <w:rFonts w:hint="eastAsia" w:ascii="宋体" w:hAnsi="宋体" w:eastAsia="宋体" w:cs="宋体"/>
          <w:bCs/>
          <w:color w:val="auto"/>
          <w:kern w:val="0"/>
          <w:sz w:val="21"/>
          <w:szCs w:val="21"/>
          <w:highlight w:val="none"/>
          <w:lang w:eastAsia="zh-CN"/>
        </w:rPr>
        <w:t>乙方</w:t>
      </w:r>
      <w:r>
        <w:rPr>
          <w:rFonts w:hint="eastAsia" w:ascii="宋体" w:hAnsi="宋体" w:eastAsia="宋体" w:cs="宋体"/>
          <w:color w:val="auto"/>
          <w:kern w:val="0"/>
          <w:sz w:val="21"/>
          <w:szCs w:val="21"/>
          <w:highlight w:val="none"/>
        </w:rPr>
        <w:t>给</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造成的损失超过履约担保数额的，</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还应当对超过部分予以赔偿，</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并依法追究</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的相应责任。</w:t>
      </w:r>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2.履约担保用于补偿甲方因乙方不能完全履行其合同义务而蒙受的损失或其他合同约定的事项，如发生下列任一情况时，</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有权依合同追究违约责任外，同时有权提取履约担保并进行相应处理：</w:t>
      </w:r>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将合同项下</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的权利义务全部转让给第三方，或未经</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书面同意将部分权利义务转让给第三方的，</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有权没收其履约担保。</w:t>
      </w:r>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在合同履行期间，</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怠于履行合同义务，经</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通知或要求承担违约金后仍拒不改正的，</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可依法没收或适当扣除其履约担保。</w:t>
      </w:r>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在合同履行期间，因</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lang w:val="en-US" w:eastAsia="zh-CN"/>
        </w:rPr>
        <w:t>服</w:t>
      </w:r>
      <w:r>
        <w:rPr>
          <w:rFonts w:hint="eastAsia" w:ascii="宋体" w:hAnsi="宋体" w:eastAsia="宋体" w:cs="宋体"/>
          <w:color w:val="auto"/>
          <w:sz w:val="21"/>
          <w:szCs w:val="21"/>
        </w:rPr>
        <w:t>务质量问题造成损害、侵权损失（包括但不限于</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经济损失、第三人人身财产损失等）、与其所雇用员工发生劳资纠纷、上访、闹事或其他影响</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生产经营等情况而其未及时妥善处理的，</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有权使用履约担保予以支付或作出相应处理，由此产生的一切法律后果由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承担。</w:t>
      </w:r>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在合同履行期间，</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违约产生的违约金、赔偿、罚款或其他应付费用等款项，</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有权直接从未付款项中直接扣除或启用履约担保予以支付。</w:t>
      </w:r>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合同期内，</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不能及时完成合同某项义务的，</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有权提取履约担保用于处理该项工作。</w:t>
      </w:r>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其他根据本合同约定或法律规定，</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可启用履约担保的情形。</w:t>
      </w:r>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以履约保证金（银行转账形式）提供履约担保的在依法完成本项目的所有合同义务，且结算完毕之后二十八（28）个日历天后，经</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确认，</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可向</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提交退回履约担保的申请。</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审核无异议后，办理履约担保退还手续，退回时一律以银行转账的形式无息退回到</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账户</w:t>
      </w:r>
      <w:r>
        <w:rPr>
          <w:rFonts w:hint="eastAsia" w:ascii="宋体" w:hAnsi="宋体" w:eastAsia="宋体" w:cs="宋体"/>
          <w:color w:val="auto"/>
          <w:kern w:val="0"/>
          <w:sz w:val="21"/>
          <w:szCs w:val="21"/>
          <w:highlight w:val="none"/>
        </w:rPr>
        <w:t>。</w:t>
      </w:r>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4.如乙方提供不可撤销银行履约保函（或履约保证保险或担保公司履约担保书）作为履约担保的，不可撤销银行履约保函（或履约保证保险或担保公司履约担保书）应从</w:t>
      </w:r>
      <w:r>
        <w:rPr>
          <w:rFonts w:hint="eastAsia" w:ascii="宋体" w:hAnsi="宋体" w:eastAsia="宋体" w:cs="宋体"/>
          <w:color w:val="auto"/>
          <w:sz w:val="21"/>
          <w:szCs w:val="21"/>
          <w:lang w:eastAsia="zh-CN"/>
        </w:rPr>
        <w:t>合同签订之日起至合同期限届满并履行完毕相关服务义务且结算完毕之后二十八（28）个日历天内保持有效</w:t>
      </w:r>
      <w:r>
        <w:rPr>
          <w:rFonts w:hint="eastAsia" w:ascii="宋体" w:hAnsi="宋体" w:eastAsia="宋体" w:cs="宋体"/>
          <w:color w:val="auto"/>
          <w:sz w:val="21"/>
          <w:szCs w:val="21"/>
        </w:rPr>
        <w:t>。</w:t>
      </w:r>
      <w:r>
        <w:rPr>
          <w:rFonts w:hint="eastAsia" w:ascii="宋体" w:hAnsi="宋体" w:eastAsia="宋体" w:cs="宋体"/>
          <w:color w:val="auto"/>
          <w:kern w:val="0"/>
          <w:sz w:val="21"/>
          <w:szCs w:val="21"/>
          <w:highlight w:val="none"/>
        </w:rPr>
        <w:t>如果</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提交的履约担保的有效期届满时间先于招标文件、合同文件要求的，</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应在原提交的履约担保有效期届满前15日内，无条件办理符合</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要求的履约担保延期手续，否则视为</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违约，</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有权在不可撤销银行履约保函或履约保证保险或担保公司履约担保书到期前向出具履约担保的机构提取履约担保金。在不可撤销银行履约保函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或履约保证保险</w:t>
      </w:r>
      <w:r>
        <w:rPr>
          <w:rFonts w:hint="eastAsia" w:ascii="宋体" w:hAnsi="宋体" w:eastAsia="宋体" w:cs="宋体"/>
          <w:color w:val="auto"/>
          <w:kern w:val="0"/>
          <w:sz w:val="21"/>
          <w:szCs w:val="21"/>
          <w:highlight w:val="none"/>
          <w:lang w:val="en-US" w:eastAsia="zh-CN"/>
        </w:rPr>
        <w:t>或</w:t>
      </w:r>
      <w:r>
        <w:rPr>
          <w:rFonts w:hint="eastAsia" w:ascii="宋体" w:hAnsi="宋体" w:eastAsia="宋体" w:cs="宋体"/>
          <w:color w:val="auto"/>
          <w:kern w:val="0"/>
          <w:sz w:val="21"/>
          <w:szCs w:val="21"/>
          <w:highlight w:val="none"/>
        </w:rPr>
        <w:t>担保公司履约担保书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到期后</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未按</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要求重新提供的，</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有权要求</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以履约担保金额为限承担违约金，</w:t>
      </w:r>
      <w:r>
        <w:rPr>
          <w:rFonts w:hint="eastAsia" w:ascii="宋体" w:hAnsi="宋体" w:eastAsia="宋体" w:cs="宋体"/>
          <w:color w:val="auto"/>
          <w:sz w:val="21"/>
          <w:szCs w:val="21"/>
        </w:rPr>
        <w:t>违约金可直接由丙方从未付款项中扣除并支付给甲方。</w:t>
      </w:r>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5.在合同履行过程中，不论何种原因导致履约担保数额不符合招标文件要求的，乙方应当在5</w:t>
      </w:r>
      <w:r>
        <w:rPr>
          <w:rFonts w:hint="eastAsia" w:ascii="宋体" w:hAnsi="宋体" w:eastAsia="宋体" w:cs="宋体"/>
          <w:color w:val="auto"/>
          <w:kern w:val="0"/>
          <w:sz w:val="21"/>
          <w:szCs w:val="21"/>
          <w:highlight w:val="none"/>
        </w:rPr>
        <w:t>日内予以补足</w:t>
      </w:r>
      <w:r>
        <w:rPr>
          <w:rFonts w:hint="eastAsia" w:ascii="宋体" w:hAnsi="宋体" w:eastAsia="宋体" w:cs="宋体"/>
          <w:color w:val="auto"/>
          <w:sz w:val="21"/>
          <w:szCs w:val="21"/>
        </w:rPr>
        <w:t>。逾期不予补足的，甲方有权按需补足的金额要求乙方承担违约金，并要求限期补足。如乙方仍不补足的，甲方有权单方解除合同</w:t>
      </w:r>
      <w:r>
        <w:rPr>
          <w:rFonts w:hint="eastAsia" w:ascii="宋体" w:hAnsi="宋体" w:eastAsia="宋体" w:cs="宋体"/>
          <w:color w:val="auto"/>
          <w:kern w:val="0"/>
          <w:sz w:val="21"/>
          <w:szCs w:val="21"/>
          <w:highlight w:val="none"/>
        </w:rPr>
        <w:t>，违约金可直接从未付合同款或履约担保中扣除</w:t>
      </w:r>
      <w:r>
        <w:rPr>
          <w:rFonts w:hint="eastAsia" w:ascii="宋体" w:hAnsi="宋体" w:eastAsia="宋体" w:cs="宋体"/>
          <w:color w:val="auto"/>
          <w:sz w:val="21"/>
          <w:szCs w:val="21"/>
        </w:rPr>
        <w:t>。</w:t>
      </w:r>
    </w:p>
    <w:p>
      <w:pPr>
        <w:widowControl/>
        <w:adjustRightInd w:val="0"/>
        <w:snapToGrid w:val="0"/>
        <w:spacing w:line="360" w:lineRule="auto"/>
        <w:rPr>
          <w:rFonts w:hint="eastAsia" w:ascii="宋体" w:hAnsi="宋体" w:eastAsia="宋体" w:cs="宋体"/>
          <w:color w:val="auto"/>
          <w:sz w:val="21"/>
          <w:szCs w:val="21"/>
        </w:rPr>
      </w:pPr>
    </w:p>
    <w:p>
      <w:pPr>
        <w:keepNext/>
        <w:keepLines/>
        <w:adjustRightInd w:val="0"/>
        <w:snapToGrid w:val="0"/>
        <w:spacing w:line="360" w:lineRule="auto"/>
        <w:outlineLvl w:val="9"/>
        <w:rPr>
          <w:rFonts w:hint="eastAsia" w:ascii="宋体" w:hAnsi="宋体" w:eastAsia="宋体" w:cs="宋体"/>
          <w:b/>
          <w:color w:val="auto"/>
          <w:sz w:val="21"/>
          <w:szCs w:val="21"/>
        </w:rPr>
      </w:pPr>
      <w:bookmarkStart w:id="452" w:name="_Toc14555"/>
      <w:bookmarkStart w:id="453" w:name="_Toc2445"/>
      <w:r>
        <w:rPr>
          <w:rFonts w:hint="eastAsia" w:ascii="宋体" w:hAnsi="宋体" w:eastAsia="宋体" w:cs="宋体"/>
          <w:b/>
          <w:color w:val="auto"/>
          <w:sz w:val="21"/>
          <w:szCs w:val="21"/>
        </w:rPr>
        <w:t>十二、其他约定</w:t>
      </w:r>
      <w:bookmarkEnd w:id="452"/>
      <w:bookmarkEnd w:id="453"/>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本合同专用条款第十二条“其他约定”若与本合同其他条款内容不相一致的，以第十二条优先解释、处理。</w:t>
      </w:r>
    </w:p>
    <w:p>
      <w:pPr>
        <w:widowControl/>
        <w:adjustRightInd w:val="0"/>
        <w:snapToGrid w:val="0"/>
        <w:spacing w:line="360" w:lineRule="auto"/>
        <w:ind w:firstLine="420" w:firstLineChars="200"/>
        <w:rPr>
          <w:rFonts w:hint="eastAsia" w:ascii="宋体" w:hAnsi="宋体" w:eastAsia="宋体" w:cs="宋体"/>
          <w:bCs/>
          <w:color w:val="auto"/>
          <w:sz w:val="21"/>
          <w:szCs w:val="21"/>
          <w:lang w:bidi="ar"/>
        </w:rPr>
      </w:pPr>
      <w:r>
        <w:rPr>
          <w:rFonts w:hint="eastAsia" w:ascii="宋体" w:hAnsi="宋体" w:eastAsia="宋体" w:cs="宋体"/>
          <w:bCs/>
          <w:color w:val="auto"/>
          <w:sz w:val="21"/>
          <w:szCs w:val="21"/>
          <w:lang w:bidi="ar"/>
        </w:rPr>
        <w:t>1.支付、结算条款一览表</w:t>
      </w:r>
    </w:p>
    <w:tbl>
      <w:tblPr>
        <w:tblStyle w:val="3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087"/>
        <w:gridCol w:w="8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vAlign w:val="center"/>
          </w:tcPr>
          <w:p>
            <w:pPr>
              <w:pStyle w:val="5"/>
              <w:keepNext w:val="0"/>
              <w:keepLines w:val="0"/>
              <w:wordWrap w:val="0"/>
              <w:autoSpaceDE/>
              <w:autoSpaceDN/>
              <w:snapToGrid w:val="0"/>
              <w:spacing w:before="0" w:after="0" w:line="360" w:lineRule="auto"/>
              <w:jc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序号</w:t>
            </w:r>
          </w:p>
        </w:tc>
        <w:tc>
          <w:tcPr>
            <w:tcW w:w="524" w:type="pct"/>
            <w:vAlign w:val="center"/>
          </w:tcPr>
          <w:p>
            <w:pPr>
              <w:pStyle w:val="5"/>
              <w:keepNext w:val="0"/>
              <w:keepLines w:val="0"/>
              <w:wordWrap w:val="0"/>
              <w:autoSpaceDE/>
              <w:autoSpaceDN/>
              <w:snapToGrid w:val="0"/>
              <w:spacing w:before="0" w:after="0" w:line="360" w:lineRule="auto"/>
              <w:jc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类别</w:t>
            </w:r>
          </w:p>
        </w:tc>
        <w:tc>
          <w:tcPr>
            <w:tcW w:w="4011" w:type="pct"/>
            <w:vAlign w:val="center"/>
          </w:tcPr>
          <w:p>
            <w:pPr>
              <w:pStyle w:val="5"/>
              <w:keepNext w:val="0"/>
              <w:keepLines w:val="0"/>
              <w:wordWrap w:val="0"/>
              <w:autoSpaceDE/>
              <w:autoSpaceDN/>
              <w:snapToGrid w:val="0"/>
              <w:spacing w:before="0" w:after="0" w:line="360" w:lineRule="auto"/>
              <w:jc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具体条款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vAlign w:val="center"/>
          </w:tcPr>
          <w:p>
            <w:pPr>
              <w:pStyle w:val="5"/>
              <w:keepNext w:val="0"/>
              <w:keepLines w:val="0"/>
              <w:wordWrap w:val="0"/>
              <w:autoSpaceDE/>
              <w:autoSpaceDN/>
              <w:snapToGrid w:val="0"/>
              <w:spacing w:before="0" w:after="0" w:line="360" w:lineRule="auto"/>
              <w:jc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1</w:t>
            </w:r>
          </w:p>
        </w:tc>
        <w:tc>
          <w:tcPr>
            <w:tcW w:w="524" w:type="pct"/>
            <w:vAlign w:val="center"/>
          </w:tcPr>
          <w:p>
            <w:pPr>
              <w:pStyle w:val="5"/>
              <w:keepNext w:val="0"/>
              <w:keepLines w:val="0"/>
              <w:wordWrap w:val="0"/>
              <w:autoSpaceDE/>
              <w:autoSpaceDN/>
              <w:snapToGrid w:val="0"/>
              <w:spacing w:before="0" w:after="0" w:line="360" w:lineRule="auto"/>
              <w:jc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定金或预付款</w:t>
            </w:r>
          </w:p>
        </w:tc>
        <w:tc>
          <w:tcPr>
            <w:tcW w:w="4011" w:type="pct"/>
            <w:vAlign w:val="center"/>
          </w:tcPr>
          <w:p>
            <w:pPr>
              <w:wordWrap w:val="0"/>
              <w:spacing w:line="360" w:lineRule="auto"/>
              <w:ind w:firstLine="422" w:firstLineChars="201"/>
              <w:rPr>
                <w:rFonts w:hint="eastAsia" w:ascii="宋体" w:hAnsi="宋体" w:eastAsia="宋体" w:cs="宋体"/>
                <w:color w:val="auto"/>
                <w:sz w:val="21"/>
                <w:szCs w:val="21"/>
              </w:rPr>
            </w:pPr>
            <w:r>
              <w:rPr>
                <w:rFonts w:hint="eastAsia" w:ascii="宋体" w:hAnsi="宋体" w:eastAsia="宋体" w:cs="宋体"/>
                <w:color w:val="auto"/>
                <w:sz w:val="21"/>
                <w:szCs w:val="21"/>
              </w:rPr>
              <w:t>项目业主向乙方支付定金金额:</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或预付款的金额：</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pPr>
              <w:wordWrap w:val="0"/>
              <w:adjustRightInd w:val="0"/>
              <w:snapToGrid w:val="0"/>
              <w:spacing w:line="360" w:lineRule="auto"/>
              <w:ind w:firstLine="422" w:firstLineChars="201"/>
              <w:rPr>
                <w:rFonts w:hint="eastAsia" w:ascii="宋体" w:hAnsi="宋体" w:eastAsia="宋体" w:cs="宋体"/>
                <w:bCs/>
                <w:color w:val="auto"/>
                <w:sz w:val="21"/>
                <w:szCs w:val="21"/>
              </w:rPr>
            </w:pPr>
            <w:r>
              <w:rPr>
                <w:rFonts w:hint="eastAsia" w:ascii="宋体" w:hAnsi="宋体" w:eastAsia="宋体" w:cs="宋体"/>
                <w:color w:val="auto"/>
                <w:sz w:val="21"/>
                <w:szCs w:val="21"/>
              </w:rPr>
              <w:t>定金或预付款在进度款中的抵扣办法：</w:t>
            </w:r>
            <w:r>
              <w:rPr>
                <w:rFonts w:hint="eastAsia" w:ascii="宋体" w:hAnsi="宋体" w:eastAsia="宋体" w:cs="宋体"/>
                <w:color w:val="auto"/>
                <w:sz w:val="21"/>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vAlign w:val="center"/>
          </w:tcPr>
          <w:p>
            <w:pPr>
              <w:pStyle w:val="5"/>
              <w:keepNext w:val="0"/>
              <w:keepLines w:val="0"/>
              <w:wordWrap w:val="0"/>
              <w:autoSpaceDE/>
              <w:autoSpaceDN/>
              <w:snapToGrid w:val="0"/>
              <w:spacing w:before="0" w:after="0" w:line="360" w:lineRule="auto"/>
              <w:jc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2</w:t>
            </w:r>
          </w:p>
        </w:tc>
        <w:tc>
          <w:tcPr>
            <w:tcW w:w="524" w:type="pct"/>
            <w:vAlign w:val="center"/>
          </w:tcPr>
          <w:p>
            <w:pPr>
              <w:pStyle w:val="5"/>
              <w:keepNext w:val="0"/>
              <w:keepLines w:val="0"/>
              <w:wordWrap w:val="0"/>
              <w:autoSpaceDE/>
              <w:autoSpaceDN/>
              <w:snapToGrid w:val="0"/>
              <w:spacing w:before="0" w:after="0" w:line="360" w:lineRule="auto"/>
              <w:jc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付款方式</w:t>
            </w:r>
          </w:p>
        </w:tc>
        <w:tc>
          <w:tcPr>
            <w:tcW w:w="40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以季度为单位，即按季度计量支付进度款，</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提供相应的正式检测报告，经监理人及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审核通过后，</w:t>
            </w:r>
            <w:r>
              <w:rPr>
                <w:rFonts w:hint="eastAsia" w:ascii="宋体" w:hAnsi="宋体" w:eastAsia="宋体" w:cs="宋体"/>
                <w:color w:val="auto"/>
                <w:sz w:val="21"/>
                <w:szCs w:val="21"/>
                <w:highlight w:val="none"/>
                <w:lang w:eastAsia="zh-CN"/>
              </w:rPr>
              <w:t>丙方</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提交对应的请款报告30天内向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支付进度款。</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.丙方</w:t>
            </w:r>
            <w:r>
              <w:rPr>
                <w:rFonts w:hint="eastAsia" w:ascii="宋体" w:hAnsi="宋体" w:eastAsia="宋体" w:cs="宋体"/>
                <w:color w:val="auto"/>
                <w:sz w:val="21"/>
                <w:szCs w:val="21"/>
                <w:highlight w:val="none"/>
              </w:rPr>
              <w:t>以季度为单位按经监理人及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审核通过的检测报告所涉款项的80%支付本合同进度款，但</w:t>
            </w:r>
            <w:r>
              <w:rPr>
                <w:rFonts w:hint="eastAsia" w:ascii="宋体" w:hAnsi="宋体" w:eastAsia="宋体" w:cs="宋体"/>
                <w:color w:val="auto"/>
                <w:sz w:val="21"/>
                <w:szCs w:val="21"/>
                <w:highlight w:val="none"/>
                <w:lang w:eastAsia="zh-CN"/>
              </w:rPr>
              <w:t>丙方</w:t>
            </w:r>
            <w:r>
              <w:rPr>
                <w:rFonts w:hint="eastAsia" w:ascii="宋体" w:hAnsi="宋体" w:eastAsia="宋体" w:cs="宋体"/>
                <w:color w:val="auto"/>
                <w:sz w:val="21"/>
                <w:szCs w:val="21"/>
                <w:highlight w:val="none"/>
              </w:rPr>
              <w:t>累计支付的进度款不超过暂定总合同价款</w:t>
            </w:r>
            <w:r>
              <w:rPr>
                <w:rFonts w:hint="eastAsia" w:ascii="宋体" w:hAnsi="宋体" w:eastAsia="宋体" w:cs="宋体"/>
                <w:color w:val="auto"/>
                <w:sz w:val="21"/>
                <w:szCs w:val="21"/>
              </w:rPr>
              <w:t>（含税）</w:t>
            </w:r>
            <w:r>
              <w:rPr>
                <w:rFonts w:hint="eastAsia" w:ascii="宋体" w:hAnsi="宋体" w:eastAsia="宋体" w:cs="宋体"/>
                <w:color w:val="auto"/>
                <w:sz w:val="21"/>
                <w:szCs w:val="21"/>
                <w:highlight w:val="none"/>
              </w:rPr>
              <w:t>的80%，待工程竣工验收合格，项目结算完毕，并提交请款报告后30天内，</w:t>
            </w:r>
            <w:r>
              <w:rPr>
                <w:rFonts w:hint="eastAsia" w:ascii="宋体" w:hAnsi="宋体" w:eastAsia="宋体" w:cs="宋体"/>
                <w:color w:val="auto"/>
                <w:sz w:val="21"/>
                <w:szCs w:val="21"/>
                <w:highlight w:val="none"/>
                <w:lang w:eastAsia="zh-CN"/>
              </w:rPr>
              <w:t>丙方</w:t>
            </w:r>
            <w:r>
              <w:rPr>
                <w:rFonts w:hint="eastAsia" w:ascii="宋体" w:hAnsi="宋体" w:eastAsia="宋体" w:cs="宋体"/>
                <w:color w:val="auto"/>
                <w:sz w:val="21"/>
                <w:szCs w:val="21"/>
                <w:highlight w:val="none"/>
              </w:rPr>
              <w:t>按结算价一次性支付余款。</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收取每笔款项前，在提交请款报告的同时一并提供等额有效的增值税专用发票，</w:t>
            </w:r>
            <w:r>
              <w:rPr>
                <w:rFonts w:hint="eastAsia" w:ascii="宋体" w:hAnsi="宋体" w:eastAsia="宋体" w:cs="宋体"/>
                <w:bCs/>
                <w:color w:val="auto"/>
                <w:sz w:val="21"/>
                <w:szCs w:val="21"/>
                <w:highlight w:val="none"/>
                <w:lang w:eastAsia="zh-CN"/>
              </w:rPr>
              <w:t>丙方</w:t>
            </w:r>
            <w:r>
              <w:rPr>
                <w:rFonts w:hint="eastAsia" w:ascii="宋体" w:hAnsi="宋体" w:eastAsia="宋体" w:cs="宋体"/>
                <w:bCs/>
                <w:color w:val="auto"/>
                <w:sz w:val="21"/>
                <w:szCs w:val="21"/>
                <w:highlight w:val="none"/>
              </w:rPr>
              <w:t>在收到相关请款材料审核后支付；</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逾期提交请款材料或提供的发票不合格的，</w:t>
            </w:r>
            <w:r>
              <w:rPr>
                <w:rFonts w:hint="eastAsia" w:ascii="宋体" w:hAnsi="宋体" w:eastAsia="宋体" w:cs="宋体"/>
                <w:bCs/>
                <w:color w:val="auto"/>
                <w:sz w:val="21"/>
                <w:szCs w:val="21"/>
                <w:highlight w:val="none"/>
                <w:lang w:eastAsia="zh-CN"/>
              </w:rPr>
              <w:t>丙方</w:t>
            </w:r>
            <w:r>
              <w:rPr>
                <w:rFonts w:hint="eastAsia" w:ascii="宋体" w:hAnsi="宋体" w:eastAsia="宋体" w:cs="宋体"/>
                <w:bCs/>
                <w:color w:val="auto"/>
                <w:sz w:val="21"/>
                <w:szCs w:val="21"/>
                <w:highlight w:val="none"/>
              </w:rPr>
              <w:t>的付款时间可相应顺延，且不视为违约。因支付产生的相关银行手续费用，根据有关银行规定执行，如不能明确费用承担主体的，相关手续费用由双方各承担50%。由于</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提供的发票不符合税法规定，给</w:t>
            </w:r>
            <w:r>
              <w:rPr>
                <w:rFonts w:hint="eastAsia" w:ascii="宋体" w:hAnsi="宋体" w:eastAsia="宋体" w:cs="宋体"/>
                <w:bCs/>
                <w:color w:val="auto"/>
                <w:sz w:val="21"/>
                <w:szCs w:val="21"/>
                <w:highlight w:val="none"/>
                <w:lang w:eastAsia="zh-CN"/>
              </w:rPr>
              <w:t>丙方</w:t>
            </w:r>
            <w:r>
              <w:rPr>
                <w:rFonts w:hint="eastAsia" w:ascii="宋体" w:hAnsi="宋体" w:eastAsia="宋体" w:cs="宋体"/>
                <w:bCs/>
                <w:color w:val="auto"/>
                <w:sz w:val="21"/>
                <w:szCs w:val="21"/>
                <w:highlight w:val="none"/>
              </w:rPr>
              <w:t>造成的损失由</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vAlign w:val="center"/>
          </w:tcPr>
          <w:p>
            <w:pPr>
              <w:pStyle w:val="5"/>
              <w:keepNext w:val="0"/>
              <w:keepLines w:val="0"/>
              <w:wordWrap w:val="0"/>
              <w:autoSpaceDE/>
              <w:autoSpaceDN/>
              <w:snapToGrid w:val="0"/>
              <w:spacing w:before="0" w:after="0" w:line="360" w:lineRule="auto"/>
              <w:jc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3</w:t>
            </w:r>
          </w:p>
        </w:tc>
        <w:tc>
          <w:tcPr>
            <w:tcW w:w="524" w:type="pct"/>
            <w:vAlign w:val="center"/>
          </w:tcPr>
          <w:p>
            <w:pPr>
              <w:pStyle w:val="5"/>
              <w:keepNext w:val="0"/>
              <w:keepLines w:val="0"/>
              <w:wordWrap w:val="0"/>
              <w:autoSpaceDE/>
              <w:autoSpaceDN/>
              <w:snapToGrid w:val="0"/>
              <w:spacing w:before="0" w:after="0" w:line="360" w:lineRule="auto"/>
              <w:jc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合同价款结算</w:t>
            </w:r>
          </w:p>
        </w:tc>
        <w:tc>
          <w:tcPr>
            <w:tcW w:w="4011" w:type="pct"/>
            <w:vAlign w:val="center"/>
          </w:tcPr>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暂定总合同价款（即销售额，不含乙方销项税额）（大写）：人民币</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）。检测服务系数为</w:t>
            </w:r>
            <w:r>
              <w:rPr>
                <w:rFonts w:hint="eastAsia" w:ascii="宋体" w:hAnsi="宋体" w:eastAsia="宋体" w:cs="宋体"/>
                <w:b/>
                <w:color w:val="auto"/>
                <w:sz w:val="21"/>
                <w:szCs w:val="21"/>
                <w:u w:val="single"/>
              </w:rPr>
              <w:t xml:space="preserve">        </w:t>
            </w:r>
            <w:r>
              <w:rPr>
                <w:rFonts w:hint="eastAsia" w:ascii="宋体" w:hAnsi="宋体" w:eastAsia="宋体" w:cs="宋体"/>
                <w:color w:val="auto"/>
                <w:sz w:val="21"/>
                <w:szCs w:val="21"/>
              </w:rPr>
              <w:t>。</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依法计得并根据本合同约定确定的销项税额由丙方承担。根据《中华人民共和国增值税暂行条例》(国务院令第691号修订版)及当前税务部门的相关规定，本合同项目的增值税税率为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%，对应暂定总合同价款的销项税额为人民币</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）。增值税税率根据《中华人民共和国增值税暂行条例》（国务院令第691号修订版）及当前税务部门的相关规定,支付和结算时按实进行调整。</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暂定总合同价款价税合计（以下简称“暂定总合同价款（含税）”，大写）：人民币</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合同附件一《工程量清单计价表》的不含税综合单价（即结算不含税综合单价）等于招标文件附件《工程量清单计价表》列出的不含税综合单价乘以中标报价（检测服务系数），结算时不作调整</w:t>
            </w:r>
            <w:r>
              <w:rPr>
                <w:rFonts w:hint="eastAsia" w:ascii="宋体" w:hAnsi="宋体" w:eastAsia="宋体" w:cs="宋体"/>
                <w:color w:val="auto"/>
                <w:sz w:val="21"/>
                <w:szCs w:val="21"/>
              </w:rPr>
              <w:t>，再结合本项目最终经甲方（含其委托的第三方审核机构）、监理人审核确认的检测（试验）方案及甲方（含其委托的第三方审核机构）、监理人确认的实际检测（试验）工作量按实结算。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highlight w:val="none"/>
                <w:lang w:val="en-US" w:eastAsia="zh-CN"/>
              </w:rPr>
              <w:t>不含税</w:t>
            </w:r>
            <w:r>
              <w:rPr>
                <w:rFonts w:hint="eastAsia" w:ascii="宋体" w:hAnsi="宋体" w:eastAsia="宋体" w:cs="宋体"/>
                <w:color w:val="auto"/>
                <w:sz w:val="21"/>
                <w:szCs w:val="21"/>
                <w:highlight w:val="none"/>
              </w:rPr>
              <w:t>综合单价包含</w:t>
            </w:r>
            <w:r>
              <w:rPr>
                <w:rFonts w:hint="eastAsia" w:ascii="宋体" w:hAnsi="宋体" w:eastAsia="宋体" w:cs="宋体"/>
                <w:color w:val="auto"/>
                <w:kern w:val="2"/>
                <w:sz w:val="21"/>
                <w:szCs w:val="21"/>
                <w:highlight w:val="none"/>
              </w:rPr>
              <w:t>人工（含雨季、高温、赶工和夜间作业加班费，以及现场检测或试验所需的辅助劳务）、材料、仪器设备、机械、试件加工、检测（试验）及其措施（含施工期间设施的照管及受损设施的修复等）、试坑开挖、桩头处理、加荷体吊装运输、重锤吊装及运输费、钻孔费、引孔费、道路修填、临时设施费、技术工作收费、安全措施、驻地项目部等完成全部检测（试验）工作所需费用及利润、</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销项税额以外的税金</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报价过程产生的费用、办理履约担保费用、水电及进退场、差旅、驻地、办公设施、用品、食宿费、交通、通讯、施工配合费、保险费、风险费、检测方案的审查及专家论证费等完成本项目服务相关的直接及间接费用</w:t>
            </w:r>
            <w:r>
              <w:rPr>
                <w:rFonts w:hint="eastAsia" w:ascii="宋体" w:hAnsi="宋体" w:eastAsia="宋体" w:cs="宋体"/>
                <w:color w:val="auto"/>
                <w:sz w:val="21"/>
                <w:szCs w:val="21"/>
                <w:highlight w:val="none"/>
              </w:rPr>
              <w:t>。除另有约定外，本工程检测（试验）的</w:t>
            </w:r>
            <w:r>
              <w:rPr>
                <w:rFonts w:hint="eastAsia" w:ascii="宋体" w:hAnsi="宋体" w:eastAsia="宋体" w:cs="宋体"/>
                <w:color w:val="auto"/>
                <w:sz w:val="21"/>
                <w:szCs w:val="21"/>
                <w:highlight w:val="none"/>
                <w:lang w:val="en-US" w:eastAsia="zh-CN"/>
              </w:rPr>
              <w:t>不含税</w:t>
            </w:r>
            <w:r>
              <w:rPr>
                <w:rFonts w:hint="eastAsia" w:ascii="宋体" w:hAnsi="宋体" w:eastAsia="宋体" w:cs="宋体"/>
                <w:color w:val="auto"/>
                <w:sz w:val="21"/>
                <w:szCs w:val="21"/>
                <w:highlight w:val="none"/>
              </w:rPr>
              <w:t>综合单价在合同实施期间不因任何因素而调整（包括但不限于工程的工期延长、检测工作量变化等），</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val="en-US" w:eastAsia="zh-CN"/>
              </w:rPr>
              <w:t>丙方</w:t>
            </w:r>
            <w:r>
              <w:rPr>
                <w:rFonts w:hint="eastAsia" w:ascii="宋体" w:hAnsi="宋体" w:eastAsia="宋体" w:cs="宋体"/>
                <w:color w:val="auto"/>
                <w:sz w:val="21"/>
                <w:szCs w:val="21"/>
                <w:highlight w:val="none"/>
              </w:rPr>
              <w:t>也不承担任何额外费用。检测时，如需土建施工单位配合或向其租借设备时，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自行与施工单位协调，配合及租借费用已包括在</w:t>
            </w:r>
            <w:r>
              <w:rPr>
                <w:rFonts w:hint="eastAsia" w:ascii="宋体" w:hAnsi="宋体" w:eastAsia="宋体" w:cs="宋体"/>
                <w:color w:val="auto"/>
                <w:sz w:val="21"/>
                <w:szCs w:val="21"/>
                <w:highlight w:val="none"/>
                <w:lang w:val="en-US" w:eastAsia="zh-CN"/>
              </w:rPr>
              <w:t>不含税</w:t>
            </w:r>
            <w:r>
              <w:rPr>
                <w:rFonts w:hint="eastAsia" w:ascii="宋体" w:hAnsi="宋体" w:eastAsia="宋体" w:cs="宋体"/>
                <w:color w:val="auto"/>
                <w:sz w:val="21"/>
                <w:szCs w:val="21"/>
                <w:highlight w:val="none"/>
              </w:rPr>
              <w:t>综合单价内。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vAlign w:val="center"/>
          </w:tcPr>
          <w:p>
            <w:pPr>
              <w:pStyle w:val="5"/>
              <w:keepNext w:val="0"/>
              <w:keepLines w:val="0"/>
              <w:wordWrap w:val="0"/>
              <w:autoSpaceDE/>
              <w:autoSpaceDN/>
              <w:snapToGrid w:val="0"/>
              <w:spacing w:before="0" w:after="0" w:line="360" w:lineRule="auto"/>
              <w:jc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4</w:t>
            </w:r>
          </w:p>
        </w:tc>
        <w:tc>
          <w:tcPr>
            <w:tcW w:w="524" w:type="pct"/>
            <w:vAlign w:val="center"/>
          </w:tcPr>
          <w:p>
            <w:pPr>
              <w:pStyle w:val="5"/>
              <w:keepNext w:val="0"/>
              <w:keepLines w:val="0"/>
              <w:wordWrap w:val="0"/>
              <w:autoSpaceDE/>
              <w:autoSpaceDN/>
              <w:snapToGrid w:val="0"/>
              <w:spacing w:before="0" w:after="0" w:line="360" w:lineRule="auto"/>
              <w:jc w:val="center"/>
              <w:rPr>
                <w:rFonts w:hint="eastAsia" w:ascii="宋体" w:hAnsi="宋体" w:eastAsia="宋体" w:cs="宋体"/>
                <w:b w:val="0"/>
                <w:color w:val="auto"/>
                <w:sz w:val="21"/>
                <w:szCs w:val="21"/>
              </w:rPr>
            </w:pPr>
            <w:r>
              <w:rPr>
                <w:rFonts w:hint="eastAsia" w:ascii="宋体" w:hAnsi="宋体" w:eastAsia="宋体" w:cs="宋体"/>
                <w:b w:val="0"/>
                <w:color w:val="auto"/>
                <w:kern w:val="2"/>
                <w:sz w:val="21"/>
                <w:szCs w:val="21"/>
              </w:rPr>
              <w:t>第三方检测合同计费依据</w:t>
            </w:r>
          </w:p>
        </w:tc>
        <w:tc>
          <w:tcPr>
            <w:tcW w:w="4011" w:type="pct"/>
            <w:vAlign w:val="center"/>
          </w:tcPr>
          <w:p>
            <w:pPr>
              <w:adjustRightInd w:val="0"/>
              <w:snapToGrid w:val="0"/>
              <w:spacing w:line="360" w:lineRule="auto"/>
              <w:ind w:firstLine="411" w:firstLineChars="196"/>
              <w:rPr>
                <w:rFonts w:hint="eastAsia" w:ascii="宋体" w:hAnsi="宋体" w:eastAsia="宋体" w:cs="宋体"/>
                <w:bCs/>
                <w:color w:val="auto"/>
                <w:sz w:val="21"/>
                <w:szCs w:val="21"/>
              </w:rPr>
            </w:pPr>
            <w:r>
              <w:rPr>
                <w:rFonts w:hint="eastAsia" w:ascii="宋体" w:hAnsi="宋体" w:eastAsia="宋体" w:cs="宋体"/>
                <w:bCs/>
                <w:color w:val="auto"/>
                <w:sz w:val="21"/>
                <w:szCs w:val="21"/>
              </w:rPr>
              <w:t>（1）本项目的计费标准按照合同附件一《工程量清单计价表》（详见附件）中的不含税</w:t>
            </w:r>
            <w:r>
              <w:rPr>
                <w:rFonts w:hint="eastAsia" w:ascii="宋体" w:hAnsi="宋体" w:eastAsia="宋体" w:cs="宋体"/>
                <w:color w:val="auto"/>
                <w:sz w:val="21"/>
                <w:szCs w:val="21"/>
              </w:rPr>
              <w:t>综合单价×实际检测工作量进行结算。</w:t>
            </w:r>
          </w:p>
          <w:p>
            <w:pPr>
              <w:adjustRightInd w:val="0"/>
              <w:snapToGrid w:val="0"/>
              <w:spacing w:line="360" w:lineRule="auto"/>
              <w:ind w:firstLine="411" w:firstLineChars="196"/>
              <w:rPr>
                <w:rFonts w:hint="eastAsia" w:ascii="宋体" w:hAnsi="宋体" w:eastAsia="宋体" w:cs="宋体"/>
                <w:bCs/>
                <w:color w:val="auto"/>
                <w:sz w:val="21"/>
                <w:szCs w:val="21"/>
              </w:rPr>
            </w:pPr>
            <w:r>
              <w:rPr>
                <w:rFonts w:hint="eastAsia" w:ascii="宋体" w:hAnsi="宋体" w:eastAsia="宋体" w:cs="宋体"/>
                <w:bCs/>
                <w:color w:val="auto"/>
                <w:sz w:val="21"/>
                <w:szCs w:val="21"/>
              </w:rPr>
              <w:t>（2）《工程量清单计价表》不作为乙方最终服务范围及业务承接数量的保证，甲方有权根据实际需求对检测工程量进行优化调整，最终服务费用按实际发生工程量结算。在合同服务期内，乙方不得因实际检测项目数量及服务费用的增减而要求甲方提供任何形式的补偿或赔偿，或只按甲方暂定的《工程量清单计价表》提供相应的对应服务。否则，视为乙方违约，甲方有权依据合同约定追究乙方的违约责任。</w:t>
            </w:r>
          </w:p>
          <w:p>
            <w:pPr>
              <w:adjustRightInd w:val="0"/>
              <w:snapToGrid w:val="0"/>
              <w:spacing w:line="360" w:lineRule="auto"/>
              <w:ind w:firstLine="411" w:firstLineChars="196"/>
              <w:rPr>
                <w:rFonts w:hint="eastAsia" w:ascii="宋体" w:hAnsi="宋体" w:eastAsia="宋体" w:cs="宋体"/>
                <w:bCs/>
                <w:color w:val="auto"/>
                <w:sz w:val="21"/>
                <w:szCs w:val="21"/>
              </w:rPr>
            </w:pPr>
            <w:r>
              <w:rPr>
                <w:rFonts w:hint="eastAsia" w:ascii="宋体" w:hAnsi="宋体" w:eastAsia="宋体" w:cs="宋体"/>
                <w:bCs/>
                <w:color w:val="auto"/>
                <w:sz w:val="21"/>
                <w:szCs w:val="21"/>
              </w:rPr>
              <w:t>（3）对于《工程量清单计价表》外新增的检测项目，不含税综合单价按以下方法计算：</w:t>
            </w:r>
          </w:p>
          <w:p>
            <w:pPr>
              <w:adjustRightInd w:val="0"/>
              <w:snapToGrid w:val="0"/>
              <w:spacing w:line="360" w:lineRule="auto"/>
              <w:ind w:firstLine="411" w:firstLineChars="196"/>
              <w:rPr>
                <w:rFonts w:hint="eastAsia" w:ascii="宋体" w:hAnsi="宋体" w:eastAsia="宋体" w:cs="宋体"/>
                <w:bCs/>
                <w:color w:val="auto"/>
                <w:sz w:val="21"/>
                <w:szCs w:val="21"/>
              </w:rPr>
            </w:pPr>
            <w:r>
              <w:rPr>
                <w:rFonts w:hint="eastAsia" w:ascii="宋体" w:hAnsi="宋体" w:eastAsia="宋体" w:cs="宋体"/>
                <w:bCs/>
                <w:color w:val="auto"/>
                <w:sz w:val="21"/>
                <w:szCs w:val="21"/>
              </w:rPr>
              <w:t>①《东莞市建设工程检测行业参考收费标准（2023版）》（东检协字（2023）3号）对应项参考单价÷1.06×</w:t>
            </w:r>
            <w:r>
              <w:rPr>
                <w:rFonts w:hint="eastAsia" w:ascii="宋体" w:hAnsi="宋体" w:eastAsia="宋体" w:cs="宋体"/>
                <w:bCs/>
                <w:color w:val="auto"/>
                <w:sz w:val="21"/>
                <w:szCs w:val="21"/>
                <w:lang w:eastAsia="zh-CN"/>
              </w:rPr>
              <w:t>中标检测服务系数</w:t>
            </w:r>
            <w:r>
              <w:rPr>
                <w:rFonts w:hint="eastAsia" w:ascii="宋体" w:hAnsi="宋体" w:eastAsia="宋体" w:cs="宋体"/>
                <w:bCs/>
                <w:color w:val="auto"/>
                <w:sz w:val="21"/>
                <w:szCs w:val="21"/>
              </w:rPr>
              <w:t>；</w:t>
            </w:r>
          </w:p>
          <w:p>
            <w:pPr>
              <w:adjustRightInd w:val="0"/>
              <w:snapToGrid w:val="0"/>
              <w:spacing w:line="360" w:lineRule="auto"/>
              <w:ind w:firstLine="411" w:firstLineChars="196"/>
              <w:rPr>
                <w:rFonts w:hint="eastAsia" w:ascii="宋体" w:hAnsi="宋体" w:eastAsia="宋体" w:cs="宋体"/>
                <w:bCs/>
                <w:color w:val="auto"/>
                <w:sz w:val="21"/>
                <w:szCs w:val="21"/>
              </w:rPr>
            </w:pPr>
            <w:r>
              <w:rPr>
                <w:rFonts w:hint="eastAsia" w:ascii="宋体" w:hAnsi="宋体" w:eastAsia="宋体" w:cs="宋体"/>
                <w:bCs/>
                <w:color w:val="auto"/>
                <w:sz w:val="21"/>
                <w:szCs w:val="21"/>
              </w:rPr>
              <w:t>②《东莞市建设工程检测行业参考收费标准（2023版）》（东检协字（2023）3号）中无对应项，则按照《广东省房屋建筑和市政工程工程质量安全检测收费指导价》（粤建检协〔2015〕8号）对应项单价÷1.06×</w:t>
            </w:r>
            <w:r>
              <w:rPr>
                <w:rFonts w:hint="eastAsia" w:ascii="宋体" w:hAnsi="宋体" w:eastAsia="宋体" w:cs="宋体"/>
                <w:bCs/>
                <w:color w:val="auto"/>
                <w:sz w:val="21"/>
                <w:szCs w:val="21"/>
                <w:lang w:eastAsia="zh-CN"/>
              </w:rPr>
              <w:t>中标检测服务系数</w:t>
            </w:r>
            <w:r>
              <w:rPr>
                <w:rFonts w:hint="eastAsia" w:ascii="宋体" w:hAnsi="宋体" w:eastAsia="宋体" w:cs="宋体"/>
                <w:bCs/>
                <w:color w:val="auto"/>
                <w:sz w:val="21"/>
                <w:szCs w:val="21"/>
              </w:rPr>
              <w:t>；</w:t>
            </w:r>
          </w:p>
          <w:p>
            <w:pPr>
              <w:adjustRightInd w:val="0"/>
              <w:snapToGrid w:val="0"/>
              <w:spacing w:line="360" w:lineRule="auto"/>
              <w:ind w:firstLine="411" w:firstLineChars="196"/>
              <w:rPr>
                <w:rFonts w:hint="eastAsia" w:ascii="宋体" w:hAnsi="宋体" w:eastAsia="宋体" w:cs="宋体"/>
                <w:bCs/>
                <w:color w:val="auto"/>
                <w:sz w:val="21"/>
                <w:szCs w:val="21"/>
              </w:rPr>
            </w:pPr>
            <w:r>
              <w:rPr>
                <w:rFonts w:hint="eastAsia" w:ascii="宋体" w:hAnsi="宋体" w:eastAsia="宋体" w:cs="宋体"/>
                <w:bCs/>
                <w:color w:val="auto"/>
                <w:sz w:val="21"/>
                <w:szCs w:val="21"/>
              </w:rPr>
              <w:t>③《东莞市建设工程检测行业参考收费标准（2023版）》（东检协字（2023）3号）与《广东省房屋建筑和市政工程工程质量安全检测收费指导价》（粤建检协〔2015〕8号）均无对应项的，由甲方结合本地及周边同类城市市场询价</w:t>
            </w:r>
            <w:r>
              <w:rPr>
                <w:rFonts w:hint="eastAsia" w:ascii="宋体" w:hAnsi="宋体" w:eastAsia="宋体" w:cs="宋体"/>
                <w:color w:val="auto"/>
                <w:sz w:val="21"/>
                <w:szCs w:val="21"/>
              </w:rPr>
              <w:t>的不含税综合单价</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eastAsia="zh-CN"/>
              </w:rPr>
              <w:t>中标检测服务系数</w:t>
            </w:r>
            <w:r>
              <w:rPr>
                <w:rFonts w:hint="eastAsia" w:ascii="宋体" w:hAnsi="宋体" w:eastAsia="宋体" w:cs="宋体"/>
                <w:bCs/>
                <w:color w:val="auto"/>
                <w:sz w:val="21"/>
                <w:szCs w:val="21"/>
              </w:rPr>
              <w:t>。</w:t>
            </w:r>
          </w:p>
          <w:p>
            <w:pPr>
              <w:adjustRightInd w:val="0"/>
              <w:snapToGrid w:val="0"/>
              <w:spacing w:line="360" w:lineRule="auto"/>
              <w:ind w:firstLine="411" w:firstLineChars="196"/>
              <w:rPr>
                <w:rFonts w:hint="eastAsia" w:ascii="宋体" w:hAnsi="宋体" w:eastAsia="宋体" w:cs="宋体"/>
                <w:bCs/>
                <w:color w:val="auto"/>
                <w:sz w:val="21"/>
                <w:szCs w:val="21"/>
              </w:rPr>
            </w:pPr>
            <w:r>
              <w:rPr>
                <w:rFonts w:hint="eastAsia" w:ascii="宋体" w:hAnsi="宋体" w:eastAsia="宋体" w:cs="宋体"/>
                <w:bCs/>
                <w:color w:val="auto"/>
                <w:sz w:val="21"/>
                <w:szCs w:val="21"/>
              </w:rPr>
              <w:t>以上不含税综合单价均保留两位小数。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vAlign w:val="center"/>
          </w:tcPr>
          <w:p>
            <w:pPr>
              <w:pStyle w:val="5"/>
              <w:keepNext w:val="0"/>
              <w:keepLines w:val="0"/>
              <w:wordWrap w:val="0"/>
              <w:autoSpaceDE/>
              <w:autoSpaceDN/>
              <w:snapToGrid w:val="0"/>
              <w:spacing w:before="0" w:after="0" w:line="360" w:lineRule="auto"/>
              <w:jc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5</w:t>
            </w:r>
          </w:p>
        </w:tc>
        <w:tc>
          <w:tcPr>
            <w:tcW w:w="524" w:type="pct"/>
            <w:vAlign w:val="center"/>
          </w:tcPr>
          <w:p>
            <w:pPr>
              <w:pStyle w:val="5"/>
              <w:keepNext w:val="0"/>
              <w:keepLines w:val="0"/>
              <w:wordWrap w:val="0"/>
              <w:autoSpaceDE/>
              <w:autoSpaceDN/>
              <w:snapToGrid w:val="0"/>
              <w:spacing w:before="0" w:after="0" w:line="360" w:lineRule="auto"/>
              <w:jc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结算调整规则、范围及方式</w:t>
            </w:r>
          </w:p>
        </w:tc>
        <w:tc>
          <w:tcPr>
            <w:tcW w:w="4011" w:type="pct"/>
            <w:vAlign w:val="center"/>
          </w:tcPr>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结算调整的范围：因设计变更、改线或者重大工艺变更等工程变更引起的检测（试验）项目的变更，包含检测项目增减和已有检测项目中工作量的增减，乙方在实施前，须提出变更申请，经本工程的设计人、监理人及甲方（含其委托的第三方审核机构）批准后方可实施。</w:t>
            </w:r>
          </w:p>
          <w:p>
            <w:pPr>
              <w:adjustRightInd w:val="0"/>
              <w:snapToGrid w:val="0"/>
              <w:spacing w:line="360" w:lineRule="auto"/>
              <w:ind w:firstLine="420" w:firstLineChars="200"/>
              <w:rPr>
                <w:rFonts w:hint="eastAsia" w:ascii="宋体" w:hAnsi="宋体" w:eastAsia="宋体" w:cs="宋体"/>
                <w:b/>
                <w:bCs/>
                <w:color w:val="auto"/>
                <w:sz w:val="21"/>
                <w:szCs w:val="21"/>
              </w:rPr>
            </w:pPr>
            <w:r>
              <w:rPr>
                <w:rFonts w:hint="eastAsia" w:ascii="宋体" w:hAnsi="宋体" w:eastAsia="宋体" w:cs="宋体"/>
                <w:color w:val="auto"/>
                <w:sz w:val="21"/>
                <w:szCs w:val="21"/>
              </w:rPr>
              <w:t>（2）工程变更项目检测的计价：</w:t>
            </w:r>
            <w:r>
              <w:rPr>
                <w:rFonts w:hint="eastAsia" w:ascii="宋体" w:hAnsi="宋体" w:eastAsia="宋体" w:cs="宋体"/>
                <w:b/>
                <w:bCs/>
                <w:color w:val="auto"/>
                <w:sz w:val="21"/>
                <w:szCs w:val="21"/>
              </w:rPr>
              <w:t>合同价中已有适用于变更检测项目的不含税综合单价，按合同已有的不含税综合单价变更合同价款；合同中已有类似变更检测项目的不含税综合单价，可参照类似检测项目不含税综合单价变更合同价款；合同中没有适用于变更检测项目的不含税综合单价，经批准变更后，按照《东莞市建设工程检测行业参考收费标准（2023版）》（东检协字（2023）3号）对应项参考单价÷1.06×</w:t>
            </w:r>
            <w:r>
              <w:rPr>
                <w:rFonts w:hint="eastAsia" w:ascii="宋体" w:hAnsi="宋体" w:eastAsia="宋体" w:cs="宋体"/>
                <w:b/>
                <w:color w:val="auto"/>
                <w:sz w:val="21"/>
                <w:szCs w:val="21"/>
                <w:lang w:eastAsia="zh-CN"/>
              </w:rPr>
              <w:t>中标检测服务系数</w:t>
            </w:r>
            <w:r>
              <w:rPr>
                <w:rFonts w:hint="eastAsia" w:ascii="宋体" w:hAnsi="宋体" w:eastAsia="宋体" w:cs="宋体"/>
                <w:b/>
                <w:bCs/>
                <w:color w:val="auto"/>
                <w:sz w:val="21"/>
                <w:szCs w:val="21"/>
              </w:rPr>
              <w:t>，《东莞市建设工程检测行业参考收费标准(2023版)》（东检协字（2023）3号）中无对应项，则按照《广东省房屋建筑和市政工程工程质量安全检测收费指导价》（粤建检协〔2015〕8号）对应项单价÷1.06×</w:t>
            </w:r>
            <w:r>
              <w:rPr>
                <w:rFonts w:hint="eastAsia" w:ascii="宋体" w:hAnsi="宋体" w:eastAsia="宋体" w:cs="宋体"/>
                <w:b/>
                <w:color w:val="auto"/>
                <w:sz w:val="21"/>
                <w:szCs w:val="21"/>
                <w:lang w:eastAsia="zh-CN"/>
              </w:rPr>
              <w:t>中标检测服务系数</w:t>
            </w:r>
            <w:r>
              <w:rPr>
                <w:rFonts w:hint="eastAsia" w:ascii="宋体" w:hAnsi="宋体" w:eastAsia="宋体" w:cs="宋体"/>
                <w:b/>
                <w:bCs/>
                <w:color w:val="auto"/>
                <w:sz w:val="21"/>
                <w:szCs w:val="21"/>
              </w:rPr>
              <w:t>,《东莞市建设工程检测行业参考收费标准(2023版)》（东检协字（2023）3号）与《广东省房屋建筑和市政工程工程质量安全检测收费指导价》（粤建检协〔2015〕8号）均无对应项的，由甲方结合本地及周边同类城市市场询价的不含税综合单价×</w:t>
            </w:r>
            <w:r>
              <w:rPr>
                <w:rFonts w:hint="eastAsia" w:ascii="宋体" w:hAnsi="宋体" w:eastAsia="宋体" w:cs="宋体"/>
                <w:b/>
                <w:color w:val="auto"/>
                <w:sz w:val="21"/>
                <w:szCs w:val="21"/>
                <w:lang w:eastAsia="zh-CN"/>
              </w:rPr>
              <w:t>中标检测服务系数</w:t>
            </w:r>
            <w:r>
              <w:rPr>
                <w:rFonts w:hint="eastAsia" w:ascii="宋体" w:hAnsi="宋体" w:eastAsia="宋体" w:cs="宋体"/>
                <w:b/>
                <w:bCs/>
                <w:color w:val="auto"/>
                <w:sz w:val="21"/>
                <w:szCs w:val="21"/>
              </w:rPr>
              <w:t>计算。所有变更的检测项目均须书面向甲方申报，经甲方（含其委托的第三方审核机构）审核批准同意后方可实施。</w:t>
            </w:r>
          </w:p>
          <w:p>
            <w:pPr>
              <w:adjustRightInd w:val="0"/>
              <w:snapToGrid w:val="0"/>
              <w:spacing w:line="360" w:lineRule="auto"/>
              <w:ind w:firstLine="422" w:firstLineChars="200"/>
              <w:rPr>
                <w:rFonts w:hint="eastAsia" w:ascii="宋体" w:hAnsi="宋体" w:eastAsia="宋体" w:cs="宋体"/>
                <w:bCs/>
                <w:color w:val="auto"/>
                <w:sz w:val="21"/>
                <w:szCs w:val="21"/>
              </w:rPr>
            </w:pPr>
            <w:r>
              <w:rPr>
                <w:rFonts w:hint="eastAsia" w:ascii="宋体" w:hAnsi="宋体" w:eastAsia="宋体" w:cs="宋体"/>
                <w:b/>
                <w:bCs/>
                <w:color w:val="auto"/>
                <w:sz w:val="21"/>
                <w:szCs w:val="21"/>
              </w:rPr>
              <w:t>（3）在完成所有合同内容并具备结算条件3个月后，仍未报结算资料，甲方将书面发函督促办理结算，函中明确接到函件10个工作日后，仍未提交结算资料，或不配合甲方完成结算工作，丙方将根据已支付的进度款进行单方结算，由此所产生的法律责任均由乙方承担。</w:t>
            </w:r>
          </w:p>
        </w:tc>
      </w:tr>
    </w:tbl>
    <w:p>
      <w:pPr>
        <w:adjustRightInd w:val="0"/>
        <w:snapToGrid w:val="0"/>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br w:type="page"/>
      </w:r>
    </w:p>
    <w:p>
      <w:pPr>
        <w:widowControl/>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2.权利和</w:t>
      </w:r>
      <w:r>
        <w:rPr>
          <w:rFonts w:hint="eastAsia" w:ascii="宋体" w:hAnsi="宋体" w:eastAsia="宋体" w:cs="宋体"/>
          <w:color w:val="auto"/>
          <w:sz w:val="21"/>
          <w:szCs w:val="21"/>
        </w:rPr>
        <w:t>义务</w:t>
      </w:r>
      <w:r>
        <w:rPr>
          <w:rFonts w:hint="eastAsia" w:ascii="宋体" w:hAnsi="宋体" w:eastAsia="宋体" w:cs="宋体"/>
          <w:bCs/>
          <w:color w:val="auto"/>
          <w:sz w:val="21"/>
          <w:szCs w:val="21"/>
          <w:lang w:bidi="ar"/>
        </w:rPr>
        <w:t>一览表</w:t>
      </w:r>
    </w:p>
    <w:tbl>
      <w:tblPr>
        <w:tblStyle w:val="36"/>
        <w:tblW w:w="4999" w:type="pct"/>
        <w:tblInd w:w="0" w:type="dxa"/>
        <w:tblLayout w:type="autofit"/>
        <w:tblCellMar>
          <w:top w:w="0" w:type="dxa"/>
          <w:left w:w="108" w:type="dxa"/>
          <w:bottom w:w="0" w:type="dxa"/>
          <w:right w:w="108" w:type="dxa"/>
        </w:tblCellMar>
      </w:tblPr>
      <w:tblGrid>
        <w:gridCol w:w="964"/>
        <w:gridCol w:w="1095"/>
        <w:gridCol w:w="8309"/>
      </w:tblGrid>
      <w:tr>
        <w:tblPrEx>
          <w:tblCellMar>
            <w:top w:w="0" w:type="dxa"/>
            <w:left w:w="108" w:type="dxa"/>
            <w:bottom w:w="0" w:type="dxa"/>
            <w:right w:w="108" w:type="dxa"/>
          </w:tblCellMar>
        </w:tblPrEx>
        <w:trPr>
          <w:trHeight w:val="680" w:hRule="atLeast"/>
        </w:trPr>
        <w:tc>
          <w:tcPr>
            <w:tcW w:w="465"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序号</w:t>
            </w:r>
          </w:p>
        </w:tc>
        <w:tc>
          <w:tcPr>
            <w:tcW w:w="528"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类别</w:t>
            </w:r>
          </w:p>
        </w:tc>
        <w:tc>
          <w:tcPr>
            <w:tcW w:w="40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具体条款</w:t>
            </w:r>
          </w:p>
        </w:tc>
      </w:tr>
      <w:tr>
        <w:tblPrEx>
          <w:tblCellMar>
            <w:top w:w="0" w:type="dxa"/>
            <w:left w:w="108" w:type="dxa"/>
            <w:bottom w:w="0" w:type="dxa"/>
            <w:right w:w="108" w:type="dxa"/>
          </w:tblCellMar>
        </w:tblPrEx>
        <w:trPr>
          <w:trHeight w:val="1077" w:hRule="atLeast"/>
        </w:trPr>
        <w:tc>
          <w:tcPr>
            <w:tcW w:w="4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1</w:t>
            </w: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甲方权利和义务</w:t>
            </w:r>
          </w:p>
        </w:tc>
        <w:tc>
          <w:tcPr>
            <w:tcW w:w="40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（1）在合同履行期间，有权对乙方进行监督和检查，并要求其提供相关信息和资料。对乙方违反本合同约定、招投标文件规定的行为有权要求改正。</w:t>
            </w:r>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（2）甲方有权对乙方服务人员、设备投入等进行监督、检查。如发现不符合招投标文件、合同约定的，有权要求补充、更换及追究乙方其他违约责任。</w:t>
            </w:r>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（3）对发现乙方违反本合同、招投标文件或服务合同的有关规定或承诺，甲方有权追究乙方的违约责任，扣除或没收本合同履约担保。</w:t>
            </w:r>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（4）协助乙方仪器及运输设备顺利进场。</w:t>
            </w:r>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（5）监督受监施工单位定时向乙方提供进度计划，协调作业时间，保证乙方有足够时间展开检测工作。</w:t>
            </w:r>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（6）有权对乙方的检测工作进行监督，对其违约行为发出整改通知。</w:t>
            </w:r>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（7）合同履约期间，甲方有权对检测范围、要求、规模及特征等根据项目实际情况作出相应调整，调整后双方根据实际工作量进行结算。</w:t>
            </w:r>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（8）甲方按照既定的审批程序，及时办理服务费的审批手续。</w:t>
            </w:r>
          </w:p>
          <w:p>
            <w:pPr>
              <w:widowControl/>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（9）施工现场用水、用电在有条件的情况下由甲方负责提供水、电接入点，乙方自行接入。</w:t>
            </w:r>
          </w:p>
          <w:p>
            <w:pPr>
              <w:widowControl/>
              <w:adjustRightInd w:val="0"/>
              <w:snapToGrid w:val="0"/>
              <w:spacing w:line="360" w:lineRule="auto"/>
              <w:ind w:firstLine="420" w:firstLineChars="200"/>
              <w:rPr>
                <w:rFonts w:hint="eastAsia" w:ascii="宋体" w:hAnsi="宋体" w:eastAsia="宋体" w:cs="宋体"/>
                <w:bCs/>
                <w:color w:val="auto"/>
                <w:sz w:val="21"/>
                <w:szCs w:val="21"/>
                <w:lang w:bidi="ar"/>
              </w:rPr>
            </w:pPr>
            <w:r>
              <w:rPr>
                <w:rFonts w:hint="eastAsia" w:ascii="宋体" w:hAnsi="宋体" w:eastAsia="宋体" w:cs="宋体"/>
                <w:color w:val="auto"/>
                <w:sz w:val="21"/>
                <w:szCs w:val="21"/>
              </w:rPr>
              <w:t>（10）合同文件及附件内容约定的甲方其余权利义务。</w:t>
            </w:r>
          </w:p>
        </w:tc>
      </w:tr>
      <w:tr>
        <w:tblPrEx>
          <w:tblCellMar>
            <w:top w:w="0" w:type="dxa"/>
            <w:left w:w="108" w:type="dxa"/>
            <w:bottom w:w="0" w:type="dxa"/>
            <w:right w:w="108" w:type="dxa"/>
          </w:tblCellMar>
        </w:tblPrEx>
        <w:trPr>
          <w:trHeight w:val="784" w:hRule="atLeast"/>
        </w:trPr>
        <w:tc>
          <w:tcPr>
            <w:tcW w:w="4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60" w:lineRule="auto"/>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乙方权利和义务</w:t>
            </w:r>
          </w:p>
        </w:tc>
        <w:tc>
          <w:tcPr>
            <w:tcW w:w="4006"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在合同的履行期间，乙方应当保持相应资质的有效性，且具备在东莞市开展检测服务工作的资格条件。因乙方资质条件丧失，导致无法开展检测工作的，甲方有权另行委托其他第三方，并且乙方需向甲方支付暂定总合同价款（含税）的20%的违约金。同时，造成甲方的经济损失（包括但不限于重新招标、委托第三方的费用），由乙方承担全部赔偿。</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（2）对甲方委派的检测工作，乙方应当根据本合同约定、招投标文件及甲方要求进行开展，不得借故拒绝接受委托。</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（3）按照国家颁发的有关检测技术标准或规范，采用科学先进的方法进行检测评估和试验过程的全程监控、记录，保证数据真实可靠，对检测结果真实性、准确性、合法性、完整性负责。</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乙方提供的检测报告、数据成果、文件等质量不合格的，应负责无偿给予修改、补充完善使其达到甲方要求；如乙方怠于或无力修改、补充完善，甲方有权另委托其他单位继续进行，乙方应承担由此产生的全部检测费用及其他损失。</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因乙方提供的检测报告、数据成果、文件等质量不合格造成甲方经济损失（包括但不限于检测变更费、增加工程费用等）或工程事故的，乙方应对造成的损失承担赔偿责任（包括但不限于施工单位损失赔偿、第三人侵权赔偿责任等），并根据违约行为向甲方支付违约金壹万元/次。如甲方实际损失高于违约金的，甲方有权另行追偿。</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在本合同履行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维护过程中发生意外事故、工伤、死亡的，由乙方承担全部责任并支付全部费用，甲方无须对这些意外事故、工伤、死亡承担任何责任，如甲方因此受到索赔并因此支付赔偿费用或者垫付了费用的，甲方有权向乙方追偿，甲方可启动履约担保支付。</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（7）严格遵守国家法律、法规，协助甲方做好社会治安综合管理工作和计划生育等工作。乙方员工有违法乱纪或犯罪的行为，乙方应承担一切经济责任和法律责任。</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每逢法定节日（含元旦、春节、清明、端午、五一、中秋、国庆）或甲方上级单位或市有关部门进行监督检查时，乙方应无条件配合甲方及有关部门组织的突击性任务及迎检活动，按时、按标准、按要求完成甲方所分配的工作。积极响应并接受市、镇街相关主管部门及其他上级部门的监督检查并接受广大市民监督。</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建立健全内部管理制度，并接受甲方及有关主管部门对项目服务状况、服务质量的监督检查。如因质量问题、操作不当或乙方自身管理原因而造成一切责任及经济损失由乙方承担。因乙方原因导致甲方损失的，乙方应当全额赔偿甲方的损失。</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10）在合同期限内保存好全部与检测服务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（11）如施工现场甲方无法提供水、电接入点，乙方自行解决施工用水、用电并承担相关费用。</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（12）乙方应按本合同及招、投标文件的要求按时提供检测报告和其他甲方认为有必要提供的中间过程资料、图表、照片（包括电子资料）等，以及向甲方提供咨询服务和建议。</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（13）检测过程中，乙方自行对本单位的仪器、设备安全负责，自行承担保管职责，对检测所产生的水、电等费用由乙方负责。</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（14）与检测工程的施工单位、设计单位、监理单位等单位相互配合，数据共享。</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（15）本合同约定范围内必要的修改，补充，应由乙方负责，甲方不再另付检测费用或其他费用。</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乙方在检测现场的工作人员，应遵守的施工现场安全保卫及其他有关的规章制度，承担其有关资料保密义务，保密义务不因本合同终止而结束。乙方保证对其在讨论、签订、履行本合同及具体项目合同过程中所获悉的属于甲方的且无法从公开渠道获得的文件资料及项目信息予以严格保密并应采取相应的保密措施，保证其自身及工作人员不私自使用或向任何第三方泄露，否则乙方承担由此给甲方造成的一切损失。</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（17）乙方提交给甲方的检测成果知识产权归属甲方，乙方须确保甲方在使用过程中免受第三方关于知识产权或其他合法权益的起诉，否则，乙方应承担由此给甲方造成的一切损失。</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18）乙方应确保其具备履行本合同工作所需的相关资质，否则，因此产生的一切后果由乙方承担。乙方应建立健全内部管理制度，并接受甲方及有关主管部门对项目服务状况、服务质量的监督检查。因乙方原因导致甲方损失的，应当全额赔偿甲方的损失。</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19）在服务过程中，乙方应遵守有关安全生产管理规定，建立完善安全管理制度，安全生产事故报告制度，采取必要的安全防护措施，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含其雇员及临时聘用人员）其他损失，乙方仍需赔偿。若产生劳动纠纷或仲裁或诉讼，均由乙方自行处理并承担损害赔偿，甲方不承担任何责任。若甲方需参加诉讼，相关费用（包括但不限于诉讼费、律师费、鉴定费、公证费、交通住宿费等全部）及损失全部由乙方承担，甲方可启动履约担保支付。</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（20）本合同所述的乙方应承担的甲方损失，包括但不限于甲方支出的赔偿金、诉讼费、保全费、律师费、鉴定费等。</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（21）本项目禁止转包，</w:t>
            </w:r>
            <w:r>
              <w:rPr>
                <w:rFonts w:hint="eastAsia" w:ascii="宋体" w:hAnsi="宋体" w:eastAsia="宋体" w:cs="宋体"/>
                <w:color w:val="auto"/>
                <w:sz w:val="21"/>
                <w:szCs w:val="21"/>
                <w:lang w:val="hr-HR"/>
              </w:rPr>
              <w:t>若特殊项目</w:t>
            </w:r>
            <w:r>
              <w:rPr>
                <w:rFonts w:hint="eastAsia" w:ascii="宋体" w:hAnsi="宋体" w:eastAsia="宋体" w:cs="宋体"/>
                <w:color w:val="auto"/>
                <w:sz w:val="21"/>
                <w:szCs w:val="21"/>
              </w:rPr>
              <w:t>乙方</w:t>
            </w:r>
            <w:r>
              <w:rPr>
                <w:rFonts w:hint="eastAsia" w:ascii="宋体" w:hAnsi="宋体" w:eastAsia="宋体" w:cs="宋体"/>
                <w:color w:val="auto"/>
                <w:sz w:val="21"/>
                <w:szCs w:val="21"/>
                <w:lang w:val="hr-HR"/>
              </w:rPr>
              <w:t>无相应资质的，必须经</w:t>
            </w:r>
            <w:r>
              <w:rPr>
                <w:rFonts w:hint="eastAsia" w:ascii="宋体" w:hAnsi="宋体" w:eastAsia="宋体" w:cs="宋体"/>
                <w:color w:val="auto"/>
                <w:sz w:val="21"/>
                <w:szCs w:val="21"/>
              </w:rPr>
              <w:t>甲方</w:t>
            </w:r>
            <w:r>
              <w:rPr>
                <w:rFonts w:hint="eastAsia" w:ascii="宋体" w:hAnsi="宋体" w:eastAsia="宋体" w:cs="宋体"/>
                <w:color w:val="auto"/>
                <w:sz w:val="21"/>
                <w:szCs w:val="21"/>
                <w:lang w:val="hr-HR"/>
              </w:rPr>
              <w:t>批准后送符合条件（具备相应资质）的分包单位进行检测，并出具相应的检测报告，否则将视为</w:t>
            </w:r>
            <w:r>
              <w:rPr>
                <w:rFonts w:hint="eastAsia" w:ascii="宋体" w:hAnsi="宋体" w:eastAsia="宋体" w:cs="宋体"/>
                <w:color w:val="auto"/>
                <w:sz w:val="21"/>
                <w:szCs w:val="21"/>
              </w:rPr>
              <w:t>乙方</w:t>
            </w:r>
            <w:r>
              <w:rPr>
                <w:rFonts w:hint="eastAsia" w:ascii="宋体" w:hAnsi="宋体" w:eastAsia="宋体" w:cs="宋体"/>
                <w:color w:val="auto"/>
                <w:sz w:val="21"/>
                <w:szCs w:val="21"/>
                <w:lang w:val="hr-HR"/>
              </w:rPr>
              <w:t>违约，出具的报告不予承认</w:t>
            </w:r>
            <w:r>
              <w:rPr>
                <w:rFonts w:hint="eastAsia" w:ascii="宋体" w:hAnsi="宋体" w:eastAsia="宋体" w:cs="宋体"/>
                <w:color w:val="auto"/>
                <w:sz w:val="21"/>
                <w:szCs w:val="21"/>
              </w:rPr>
              <w:t>。</w:t>
            </w:r>
          </w:p>
          <w:p>
            <w:pPr>
              <w:adjustRightInd w:val="0"/>
              <w:snapToGrid w:val="0"/>
              <w:spacing w:line="360" w:lineRule="auto"/>
              <w:ind w:firstLine="420" w:firstLineChars="200"/>
              <w:rPr>
                <w:rFonts w:hint="eastAsia" w:ascii="宋体" w:hAnsi="宋体" w:eastAsia="宋体" w:cs="宋体"/>
                <w:bCs/>
                <w:color w:val="auto"/>
                <w:sz w:val="21"/>
                <w:szCs w:val="21"/>
                <w:lang w:bidi="ar"/>
              </w:rPr>
            </w:pPr>
            <w:r>
              <w:rPr>
                <w:rFonts w:hint="eastAsia" w:ascii="宋体" w:hAnsi="宋体" w:eastAsia="宋体" w:cs="宋体"/>
                <w:color w:val="auto"/>
                <w:sz w:val="21"/>
                <w:szCs w:val="21"/>
              </w:rPr>
              <w:t>（22）合同文件及附件内容约定的乙方其他权利义务。</w:t>
            </w:r>
          </w:p>
        </w:tc>
      </w:tr>
    </w:tbl>
    <w:p>
      <w:pPr>
        <w:adjustRightInd w:val="0"/>
        <w:snapToGrid w:val="0"/>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br w:type="page"/>
      </w:r>
    </w:p>
    <w:p>
      <w:pPr>
        <w:widowControl/>
        <w:adjustRightInd w:val="0"/>
        <w:snapToGrid w:val="0"/>
        <w:spacing w:line="360" w:lineRule="auto"/>
        <w:ind w:firstLine="420" w:firstLineChars="200"/>
        <w:rPr>
          <w:rFonts w:hint="eastAsia" w:ascii="宋体" w:hAnsi="宋体" w:eastAsia="宋体" w:cs="宋体"/>
          <w:bCs/>
          <w:color w:val="auto"/>
          <w:sz w:val="21"/>
          <w:szCs w:val="21"/>
          <w:lang w:bidi="ar"/>
        </w:rPr>
      </w:pPr>
      <w:r>
        <w:rPr>
          <w:rFonts w:hint="eastAsia" w:ascii="宋体" w:hAnsi="宋体" w:eastAsia="宋体" w:cs="宋体"/>
          <w:bCs/>
          <w:color w:val="auto"/>
          <w:sz w:val="21"/>
          <w:szCs w:val="21"/>
          <w:lang w:bidi="ar"/>
        </w:rPr>
        <w:t>3.乙方违约处理一览表</w:t>
      </w:r>
    </w:p>
    <w:tbl>
      <w:tblPr>
        <w:tblStyle w:val="3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4682"/>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shd w:val="clear" w:color="auto" w:fill="auto"/>
            <w:vAlign w:val="center"/>
          </w:tcPr>
          <w:p>
            <w:pPr>
              <w:widowControl/>
              <w:adjustRightInd w:val="0"/>
              <w:snapToGrid w:val="0"/>
              <w:spacing w:line="360" w:lineRule="auto"/>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序号</w:t>
            </w:r>
          </w:p>
        </w:tc>
        <w:tc>
          <w:tcPr>
            <w:tcW w:w="2257" w:type="pct"/>
            <w:shd w:val="clear" w:color="auto" w:fill="auto"/>
            <w:vAlign w:val="center"/>
          </w:tcPr>
          <w:p>
            <w:pPr>
              <w:widowControl/>
              <w:adjustRightInd w:val="0"/>
              <w:snapToGrid w:val="0"/>
              <w:spacing w:line="360" w:lineRule="auto"/>
              <w:jc w:val="center"/>
              <w:textAlignment w:val="center"/>
              <w:rPr>
                <w:rFonts w:hint="eastAsia" w:ascii="宋体" w:hAnsi="宋体" w:eastAsia="宋体" w:cs="宋体"/>
                <w:bCs/>
                <w:color w:val="auto"/>
                <w:sz w:val="21"/>
                <w:szCs w:val="21"/>
                <w:lang w:bidi="ar"/>
              </w:rPr>
            </w:pPr>
            <w:r>
              <w:rPr>
                <w:rFonts w:hint="eastAsia" w:ascii="宋体" w:hAnsi="宋体" w:eastAsia="宋体" w:cs="宋体"/>
                <w:bCs/>
                <w:color w:val="auto"/>
                <w:sz w:val="21"/>
                <w:szCs w:val="21"/>
                <w:lang w:bidi="ar"/>
              </w:rPr>
              <w:t>违约行为</w:t>
            </w:r>
          </w:p>
        </w:tc>
        <w:tc>
          <w:tcPr>
            <w:tcW w:w="2259" w:type="pct"/>
            <w:shd w:val="clear" w:color="auto" w:fill="auto"/>
            <w:vAlign w:val="center"/>
          </w:tcPr>
          <w:p>
            <w:pPr>
              <w:widowControl/>
              <w:adjustRightInd w:val="0"/>
              <w:snapToGrid w:val="0"/>
              <w:spacing w:line="360" w:lineRule="auto"/>
              <w:jc w:val="center"/>
              <w:textAlignment w:val="center"/>
              <w:rPr>
                <w:rFonts w:hint="eastAsia" w:ascii="宋体" w:hAnsi="宋体" w:eastAsia="宋体" w:cs="宋体"/>
                <w:bCs/>
                <w:color w:val="auto"/>
                <w:sz w:val="21"/>
                <w:szCs w:val="21"/>
                <w:lang w:bidi="ar"/>
              </w:rPr>
            </w:pPr>
            <w:r>
              <w:rPr>
                <w:rFonts w:hint="eastAsia" w:ascii="宋体" w:hAnsi="宋体" w:eastAsia="宋体" w:cs="宋体"/>
                <w:bCs/>
                <w:color w:val="auto"/>
                <w:sz w:val="21"/>
                <w:szCs w:val="21"/>
                <w:lang w:bidi="ar"/>
              </w:rPr>
              <w:t>违约处理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shd w:val="clear" w:color="auto" w:fill="auto"/>
            <w:vAlign w:val="center"/>
          </w:tcPr>
          <w:p>
            <w:pPr>
              <w:widowControl/>
              <w:adjustRightInd w:val="0"/>
              <w:snapToGrid w:val="0"/>
              <w:spacing w:line="360" w:lineRule="auto"/>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1</w:t>
            </w:r>
          </w:p>
        </w:tc>
        <w:tc>
          <w:tcPr>
            <w:tcW w:w="2257"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因乙方资质条件丧失，导致无法开展检测工作。</w:t>
            </w:r>
          </w:p>
        </w:tc>
        <w:tc>
          <w:tcPr>
            <w:tcW w:w="2259"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甲方有权另行委托其他第三方，并且乙方需向甲方支付暂定总合同价款</w:t>
            </w:r>
            <w:r>
              <w:rPr>
                <w:rFonts w:hint="eastAsia" w:ascii="宋体" w:hAnsi="宋体" w:eastAsia="宋体" w:cs="宋体"/>
                <w:color w:val="auto"/>
                <w:sz w:val="21"/>
                <w:szCs w:val="21"/>
              </w:rPr>
              <w:t>（含税）</w:t>
            </w:r>
            <w:r>
              <w:rPr>
                <w:rFonts w:hint="eastAsia" w:ascii="宋体" w:hAnsi="宋体" w:eastAsia="宋体" w:cs="宋体"/>
                <w:bCs/>
                <w:color w:val="auto"/>
                <w:sz w:val="21"/>
                <w:szCs w:val="21"/>
              </w:rPr>
              <w:t>的20%的违约金。同时，造成甲方的经济损失（包括但不限于重新招标、委托第三方的费用），由乙方承担全部赔偿。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shd w:val="clear" w:color="auto" w:fill="auto"/>
            <w:vAlign w:val="center"/>
          </w:tcPr>
          <w:p>
            <w:pPr>
              <w:widowControl/>
              <w:adjustRightInd w:val="0"/>
              <w:snapToGrid w:val="0"/>
              <w:spacing w:line="360" w:lineRule="auto"/>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2</w:t>
            </w:r>
          </w:p>
        </w:tc>
        <w:tc>
          <w:tcPr>
            <w:tcW w:w="2257"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乙方提供的检测报告、数据成果、文件等质量不合格</w:t>
            </w:r>
            <w:r>
              <w:rPr>
                <w:rFonts w:hint="eastAsia" w:ascii="宋体" w:hAnsi="宋体" w:eastAsia="宋体" w:cs="宋体"/>
                <w:color w:val="auto"/>
                <w:sz w:val="21"/>
                <w:szCs w:val="21"/>
                <w:highlight w:val="none"/>
              </w:rPr>
              <w:t>，不能满足技术要求</w:t>
            </w:r>
            <w:r>
              <w:rPr>
                <w:rFonts w:hint="eastAsia" w:ascii="宋体" w:hAnsi="宋体" w:eastAsia="宋体" w:cs="宋体"/>
                <w:bCs/>
                <w:color w:val="auto"/>
                <w:sz w:val="21"/>
                <w:szCs w:val="21"/>
              </w:rPr>
              <w:t>。</w:t>
            </w:r>
          </w:p>
        </w:tc>
        <w:tc>
          <w:tcPr>
            <w:tcW w:w="2259"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乙方负责无偿给予修改、补充完善使其达到甲方要求</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返</w:t>
            </w:r>
            <w:r>
              <w:rPr>
                <w:rFonts w:hint="eastAsia" w:ascii="宋体" w:hAnsi="宋体" w:eastAsia="宋体" w:cs="宋体"/>
                <w:bCs/>
                <w:color w:val="auto"/>
                <w:sz w:val="21"/>
                <w:szCs w:val="21"/>
                <w:lang w:eastAsia="zh-CN"/>
              </w:rPr>
              <w:t>工重新检测等产生的费用由乙方承担</w:t>
            </w:r>
            <w:r>
              <w:rPr>
                <w:rFonts w:hint="eastAsia" w:ascii="宋体" w:hAnsi="宋体" w:eastAsia="宋体" w:cs="宋体"/>
                <w:bCs/>
                <w:color w:val="auto"/>
                <w:sz w:val="21"/>
                <w:szCs w:val="21"/>
              </w:rPr>
              <w:t>；如乙方怠于或无力修改、补充完善,甲方有权另委托其他单位继续进行,乙方应承担由此产生的全部检测费用及其他损失。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482" w:type="pct"/>
            <w:shd w:val="clear" w:color="auto" w:fill="auto"/>
            <w:vAlign w:val="center"/>
          </w:tcPr>
          <w:p>
            <w:pPr>
              <w:widowControl/>
              <w:adjustRightInd w:val="0"/>
              <w:snapToGrid w:val="0"/>
              <w:spacing w:line="360" w:lineRule="auto"/>
              <w:jc w:val="center"/>
              <w:textAlignment w:val="center"/>
              <w:rPr>
                <w:rFonts w:hint="eastAsia" w:ascii="宋体" w:hAnsi="宋体" w:eastAsia="宋体" w:cs="宋体"/>
                <w:bCs/>
                <w:color w:val="auto"/>
                <w:sz w:val="21"/>
                <w:szCs w:val="21"/>
                <w:lang w:bidi="ar"/>
              </w:rPr>
            </w:pPr>
            <w:r>
              <w:rPr>
                <w:rFonts w:hint="eastAsia" w:ascii="宋体" w:hAnsi="宋体" w:eastAsia="宋体" w:cs="宋体"/>
                <w:bCs/>
                <w:color w:val="auto"/>
                <w:sz w:val="21"/>
                <w:szCs w:val="21"/>
                <w:lang w:bidi="ar"/>
              </w:rPr>
              <w:t>3</w:t>
            </w:r>
          </w:p>
        </w:tc>
        <w:tc>
          <w:tcPr>
            <w:tcW w:w="2257"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因乙方提供的检测报告、数据成果、文件等质量不合格造成甲方经济损失（包括但不限于检测变更费、增加工程费用等）或工程事故。</w:t>
            </w:r>
          </w:p>
        </w:tc>
        <w:tc>
          <w:tcPr>
            <w:tcW w:w="2259"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乙方应对造成的损失承担赔偿责任（包括但不限于施工单位损失赔偿、第三人侵权赔偿责任等），并根据违约行为向甲方支付违约金壹万元/次。如甲方实际损失高于违约金的，甲方有权另行追偿。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shd w:val="clear" w:color="auto" w:fill="auto"/>
            <w:vAlign w:val="center"/>
          </w:tcPr>
          <w:p>
            <w:pPr>
              <w:widowControl/>
              <w:adjustRightInd w:val="0"/>
              <w:snapToGrid w:val="0"/>
              <w:spacing w:line="360" w:lineRule="auto"/>
              <w:jc w:val="center"/>
              <w:textAlignment w:val="center"/>
              <w:rPr>
                <w:rFonts w:hint="eastAsia" w:ascii="宋体" w:hAnsi="宋体" w:eastAsia="宋体" w:cs="宋体"/>
                <w:bCs/>
                <w:color w:val="auto"/>
                <w:sz w:val="21"/>
                <w:szCs w:val="21"/>
                <w:lang w:val="en-US" w:eastAsia="zh-CN" w:bidi="ar"/>
              </w:rPr>
            </w:pPr>
            <w:r>
              <w:rPr>
                <w:rFonts w:hint="eastAsia" w:ascii="宋体" w:hAnsi="宋体" w:eastAsia="宋体" w:cs="宋体"/>
                <w:bCs/>
                <w:color w:val="auto"/>
                <w:sz w:val="21"/>
                <w:szCs w:val="21"/>
                <w:lang w:val="en-US" w:eastAsia="zh-CN" w:bidi="ar"/>
              </w:rPr>
              <w:t>4</w:t>
            </w:r>
          </w:p>
        </w:tc>
        <w:tc>
          <w:tcPr>
            <w:tcW w:w="2257"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lang w:eastAsia="zh-CN"/>
              </w:rPr>
            </w:pPr>
            <w:r>
              <w:rPr>
                <w:rFonts w:hint="eastAsia" w:ascii="宋体" w:hAnsi="宋体" w:eastAsia="宋体" w:cs="宋体"/>
                <w:color w:val="auto"/>
                <w:sz w:val="21"/>
                <w:szCs w:val="21"/>
              </w:rPr>
              <w:t>如乙方人员（包括雇员、乙方劳动者等）在维护过程中发生意外事故、工伤、死亡的</w:t>
            </w:r>
            <w:r>
              <w:rPr>
                <w:rFonts w:hint="eastAsia" w:ascii="宋体" w:hAnsi="宋体" w:eastAsia="宋体" w:cs="宋体"/>
                <w:color w:val="auto"/>
                <w:sz w:val="21"/>
                <w:szCs w:val="21"/>
                <w:lang w:eastAsia="zh-CN"/>
              </w:rPr>
              <w:t>。</w:t>
            </w:r>
          </w:p>
        </w:tc>
        <w:tc>
          <w:tcPr>
            <w:tcW w:w="2259"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color w:val="auto"/>
                <w:sz w:val="21"/>
                <w:szCs w:val="21"/>
              </w:rPr>
              <w:t>乙方承担全部责任并支付全部费用，甲方无须对这些意外事故、工伤、死亡承担任何责任，如甲方因此受到索赔并因此支付赔偿费用或者垫付了费用的，甲方有权向乙方追偿，甲方可启动履约担保支付。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shd w:val="clear" w:color="auto" w:fill="auto"/>
            <w:vAlign w:val="center"/>
          </w:tcPr>
          <w:p>
            <w:pPr>
              <w:widowControl/>
              <w:adjustRightInd w:val="0"/>
              <w:snapToGrid w:val="0"/>
              <w:spacing w:line="360" w:lineRule="auto"/>
              <w:jc w:val="center"/>
              <w:textAlignment w:val="center"/>
              <w:rPr>
                <w:rFonts w:hint="eastAsia" w:ascii="宋体" w:hAnsi="宋体" w:eastAsia="宋体" w:cs="宋体"/>
                <w:bCs/>
                <w:color w:val="auto"/>
                <w:sz w:val="21"/>
                <w:szCs w:val="21"/>
                <w:lang w:eastAsia="zh-CN" w:bidi="ar"/>
              </w:rPr>
            </w:pPr>
            <w:r>
              <w:rPr>
                <w:rFonts w:hint="eastAsia" w:ascii="宋体" w:hAnsi="宋体" w:eastAsia="宋体" w:cs="宋体"/>
                <w:bCs/>
                <w:color w:val="auto"/>
                <w:sz w:val="21"/>
                <w:szCs w:val="21"/>
                <w:lang w:val="en-US" w:eastAsia="zh-CN" w:bidi="ar"/>
              </w:rPr>
              <w:t>5</w:t>
            </w:r>
          </w:p>
        </w:tc>
        <w:tc>
          <w:tcPr>
            <w:tcW w:w="2257"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乙方未按本合同约定配备必要的办公场所、设备或者服务人员。</w:t>
            </w:r>
          </w:p>
        </w:tc>
        <w:tc>
          <w:tcPr>
            <w:tcW w:w="2259"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甲方有权就违约事宜提出改正，如乙方仍拒不改正的，甲方有权选择解除本合同或服务合同，并没收全部履约担保。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shd w:val="clear" w:color="auto" w:fill="auto"/>
            <w:vAlign w:val="center"/>
          </w:tcPr>
          <w:p>
            <w:pPr>
              <w:widowControl/>
              <w:adjustRightInd w:val="0"/>
              <w:snapToGrid w:val="0"/>
              <w:spacing w:line="360" w:lineRule="auto"/>
              <w:jc w:val="center"/>
              <w:textAlignment w:val="center"/>
              <w:rPr>
                <w:rFonts w:hint="eastAsia" w:ascii="宋体" w:hAnsi="宋体" w:eastAsia="宋体" w:cs="宋体"/>
                <w:bCs/>
                <w:color w:val="auto"/>
                <w:sz w:val="21"/>
                <w:szCs w:val="21"/>
                <w:lang w:eastAsia="zh-CN" w:bidi="ar"/>
              </w:rPr>
            </w:pPr>
            <w:r>
              <w:rPr>
                <w:rFonts w:hint="eastAsia" w:ascii="宋体" w:hAnsi="宋体" w:eastAsia="宋体" w:cs="宋体"/>
                <w:bCs/>
                <w:color w:val="auto"/>
                <w:sz w:val="21"/>
                <w:szCs w:val="21"/>
                <w:lang w:val="en-US" w:eastAsia="zh-CN" w:bidi="ar"/>
              </w:rPr>
              <w:t>6</w:t>
            </w:r>
          </w:p>
        </w:tc>
        <w:tc>
          <w:tcPr>
            <w:tcW w:w="2257"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乙方消极怠工或拒不履行合同义务（包括但不限于技术支持、专家会审、解答释疑、事故处理，修正检测报告及数据成果等），或履行的合同义务不符合要求的。</w:t>
            </w:r>
          </w:p>
        </w:tc>
        <w:tc>
          <w:tcPr>
            <w:tcW w:w="2259"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甲方有权就违约事宜提出改正，要求乙方按壹万元/次承担违约金，若限期内未按照甲方要求进行整改或限期整改后不符合甲方要求的，甲方有权选择解除合同，要求乙方按暂定总合同价款（含税）的10%承担违约金，并有权依法委托有资质的第三方继续履行本合同义务，由此造成的一切损失由乙方承担。同时，甲方有权将情况如实报送至政府相关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shd w:val="clear" w:color="auto" w:fill="auto"/>
            <w:vAlign w:val="center"/>
          </w:tcPr>
          <w:p>
            <w:pPr>
              <w:widowControl/>
              <w:adjustRightInd w:val="0"/>
              <w:snapToGrid w:val="0"/>
              <w:spacing w:line="360" w:lineRule="auto"/>
              <w:jc w:val="center"/>
              <w:textAlignment w:val="center"/>
              <w:rPr>
                <w:rFonts w:hint="eastAsia" w:ascii="宋体" w:hAnsi="宋体" w:eastAsia="宋体" w:cs="宋体"/>
                <w:bCs/>
                <w:color w:val="auto"/>
                <w:sz w:val="21"/>
                <w:szCs w:val="21"/>
                <w:lang w:eastAsia="zh-CN" w:bidi="ar"/>
              </w:rPr>
            </w:pPr>
            <w:r>
              <w:rPr>
                <w:rFonts w:hint="eastAsia" w:ascii="宋体" w:hAnsi="宋体" w:eastAsia="宋体" w:cs="宋体"/>
                <w:bCs/>
                <w:color w:val="auto"/>
                <w:sz w:val="21"/>
                <w:szCs w:val="21"/>
                <w:lang w:val="en-US" w:eastAsia="zh-CN" w:bidi="ar"/>
              </w:rPr>
              <w:t>7</w:t>
            </w:r>
          </w:p>
        </w:tc>
        <w:tc>
          <w:tcPr>
            <w:tcW w:w="2257"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由于乙方原因未按甲方要求时间（日期）提交检测报告、成果数据、文件资料、检测方案的，或未按期履行其他义务的。</w:t>
            </w:r>
          </w:p>
        </w:tc>
        <w:tc>
          <w:tcPr>
            <w:tcW w:w="2259"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每逾期一日，乙方按贰仟元/天承担违约金。逾期超过</w:t>
            </w:r>
            <w:r>
              <w:rPr>
                <w:rFonts w:hint="eastAsia" w:ascii="宋体" w:hAnsi="宋体" w:eastAsia="宋体" w:cs="宋体"/>
                <w:bCs/>
                <w:color w:val="auto"/>
                <w:sz w:val="21"/>
                <w:szCs w:val="21"/>
                <w:u w:val="single"/>
              </w:rPr>
              <w:t>15</w:t>
            </w:r>
            <w:r>
              <w:rPr>
                <w:rFonts w:hint="eastAsia" w:ascii="宋体" w:hAnsi="宋体" w:eastAsia="宋体" w:cs="宋体"/>
                <w:bCs/>
                <w:color w:val="auto"/>
                <w:sz w:val="21"/>
                <w:szCs w:val="21"/>
              </w:rPr>
              <w:t>日的，甲方有权单方解除合同，且乙方须承担履约担保等额的违约金，同时有权没收履约担保。同时，造成甲方的经济损失（包括但不限于重新采购、委托第三方的费用），由乙方承担全部赔偿。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shd w:val="clear" w:color="auto" w:fill="auto"/>
            <w:vAlign w:val="center"/>
          </w:tcPr>
          <w:p>
            <w:pPr>
              <w:widowControl/>
              <w:adjustRightInd w:val="0"/>
              <w:snapToGrid w:val="0"/>
              <w:spacing w:line="360" w:lineRule="auto"/>
              <w:jc w:val="center"/>
              <w:textAlignment w:val="center"/>
              <w:rPr>
                <w:rFonts w:hint="eastAsia" w:ascii="宋体" w:hAnsi="宋体" w:eastAsia="宋体" w:cs="宋体"/>
                <w:bCs/>
                <w:color w:val="auto"/>
                <w:sz w:val="21"/>
                <w:szCs w:val="21"/>
                <w:lang w:eastAsia="zh-CN" w:bidi="ar"/>
              </w:rPr>
            </w:pPr>
            <w:r>
              <w:rPr>
                <w:rFonts w:hint="eastAsia" w:ascii="宋体" w:hAnsi="宋体" w:eastAsia="宋体" w:cs="宋体"/>
                <w:bCs/>
                <w:color w:val="auto"/>
                <w:sz w:val="21"/>
                <w:szCs w:val="21"/>
                <w:lang w:val="en-US" w:eastAsia="zh-CN" w:bidi="ar"/>
              </w:rPr>
              <w:t>8</w:t>
            </w:r>
          </w:p>
        </w:tc>
        <w:tc>
          <w:tcPr>
            <w:tcW w:w="2257"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乙方违反约定非法转包、分包。</w:t>
            </w:r>
          </w:p>
        </w:tc>
        <w:tc>
          <w:tcPr>
            <w:tcW w:w="2259"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甲方有权单方解除合同，乙方须向甲方支付与履约担保等额的违约金，同时有权没收履约担保，并赔偿由此给甲方造成的一切损失。如因非法转包、分包导致安全事故或人身损害事故的，造成甲方其他损失的或甲方被认定需承担赔偿责任的，甲方有权向乙方追偿并要求乙方承担人民币壹拾万元整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shd w:val="clear" w:color="auto" w:fill="auto"/>
            <w:vAlign w:val="center"/>
          </w:tcPr>
          <w:p>
            <w:pPr>
              <w:widowControl/>
              <w:adjustRightInd w:val="0"/>
              <w:snapToGrid w:val="0"/>
              <w:spacing w:line="360" w:lineRule="auto"/>
              <w:jc w:val="center"/>
              <w:textAlignment w:val="center"/>
              <w:rPr>
                <w:rFonts w:hint="eastAsia" w:ascii="宋体" w:hAnsi="宋体" w:eastAsia="宋体" w:cs="宋体"/>
                <w:bCs/>
                <w:color w:val="auto"/>
                <w:sz w:val="21"/>
                <w:szCs w:val="21"/>
                <w:lang w:eastAsia="zh-CN" w:bidi="ar"/>
              </w:rPr>
            </w:pPr>
            <w:r>
              <w:rPr>
                <w:rFonts w:hint="eastAsia" w:ascii="宋体" w:hAnsi="宋体" w:eastAsia="宋体" w:cs="宋体"/>
                <w:bCs/>
                <w:color w:val="auto"/>
                <w:sz w:val="21"/>
                <w:szCs w:val="21"/>
                <w:lang w:val="en-US" w:eastAsia="zh-CN" w:bidi="ar"/>
              </w:rPr>
              <w:t>9</w:t>
            </w:r>
          </w:p>
        </w:tc>
        <w:tc>
          <w:tcPr>
            <w:tcW w:w="2257"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乙方存在如下情形之一的：</w:t>
            </w:r>
          </w:p>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（1）提供虚假信息、误导或欺骗甲方及丙方，以谋取非法利益的；</w:t>
            </w:r>
          </w:p>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（2）违反诚信信用原则，没有严格执行相关质量、服务，损害甲方、丙方或相关用户单位的利益的；</w:t>
            </w:r>
          </w:p>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（3）违反有关法律法规以及本合同的约定，损害甲方利益的；</w:t>
            </w:r>
          </w:p>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（4）拒绝接受甲方、丙方及相关部门监督、检查的；</w:t>
            </w:r>
          </w:p>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（5）出现信用危机、财务危机、生产经营危机甚至破产、倒闭，无法继续履行本合同的；</w:t>
            </w:r>
          </w:p>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（6）采用非法手段进行不正当竞争的，构成恶劣影响；</w:t>
            </w:r>
          </w:p>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（7）违反本合同约定，泄露服务项目内容的。</w:t>
            </w:r>
          </w:p>
        </w:tc>
        <w:tc>
          <w:tcPr>
            <w:tcW w:w="2259"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甲方有权书面通知乙方单方解除本合同，并由乙方承担履约担保等额的违约金，同时有权没收履约担保，给甲方造成损失的，乙方还足额应赔偿甲方。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shd w:val="clear" w:color="auto" w:fill="auto"/>
            <w:vAlign w:val="center"/>
          </w:tcPr>
          <w:p>
            <w:pPr>
              <w:widowControl/>
              <w:adjustRightInd w:val="0"/>
              <w:snapToGrid w:val="0"/>
              <w:spacing w:line="360" w:lineRule="auto"/>
              <w:jc w:val="center"/>
              <w:textAlignment w:val="center"/>
              <w:rPr>
                <w:rFonts w:hint="eastAsia" w:ascii="宋体" w:hAnsi="宋体" w:eastAsia="宋体" w:cs="宋体"/>
                <w:bCs/>
                <w:color w:val="auto"/>
                <w:sz w:val="21"/>
                <w:szCs w:val="21"/>
                <w:lang w:val="en-US" w:eastAsia="zh-CN" w:bidi="ar"/>
              </w:rPr>
            </w:pPr>
            <w:r>
              <w:rPr>
                <w:rFonts w:hint="eastAsia" w:ascii="宋体" w:hAnsi="宋体" w:eastAsia="宋体" w:cs="宋体"/>
                <w:bCs/>
                <w:color w:val="auto"/>
                <w:sz w:val="21"/>
                <w:szCs w:val="21"/>
                <w:lang w:val="en-US" w:eastAsia="zh-CN" w:bidi="ar"/>
              </w:rPr>
              <w:t>10</w:t>
            </w:r>
          </w:p>
        </w:tc>
        <w:tc>
          <w:tcPr>
            <w:tcW w:w="2257"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无故拖欠或克扣工人工资待遇以及其他劳动待遇等。</w:t>
            </w:r>
          </w:p>
        </w:tc>
        <w:tc>
          <w:tcPr>
            <w:tcW w:w="2259"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如有违反的，由乙方全部负责。如对甲方工作造成影响的，根据工人诉求，甲方有权通知丙方直接从未付服务费用中直接扣除予以支付，由此导致的法律后果由乙方全部承担。并由乙方承担履约担保等额的违约金。严重者报相关行政主管部门处理，甲方保留终止合同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shd w:val="clear" w:color="auto" w:fill="auto"/>
            <w:vAlign w:val="center"/>
          </w:tcPr>
          <w:p>
            <w:pPr>
              <w:widowControl/>
              <w:adjustRightInd w:val="0"/>
              <w:snapToGrid w:val="0"/>
              <w:spacing w:line="360" w:lineRule="auto"/>
              <w:jc w:val="center"/>
              <w:textAlignment w:val="center"/>
              <w:rPr>
                <w:rFonts w:hint="eastAsia" w:ascii="宋体" w:hAnsi="宋体" w:eastAsia="宋体" w:cs="宋体"/>
                <w:bCs/>
                <w:color w:val="auto"/>
                <w:sz w:val="21"/>
                <w:szCs w:val="21"/>
                <w:lang w:val="en-US" w:eastAsia="zh-CN" w:bidi="ar"/>
              </w:rPr>
            </w:pPr>
            <w:r>
              <w:rPr>
                <w:rFonts w:hint="eastAsia" w:ascii="宋体" w:hAnsi="宋体" w:eastAsia="宋体" w:cs="宋体"/>
                <w:bCs/>
                <w:color w:val="auto"/>
                <w:sz w:val="21"/>
                <w:szCs w:val="21"/>
                <w:lang w:val="en-US" w:eastAsia="zh-CN" w:bidi="ar"/>
              </w:rPr>
              <w:t>11</w:t>
            </w:r>
          </w:p>
        </w:tc>
        <w:tc>
          <w:tcPr>
            <w:tcW w:w="2257"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受到相关部门的批评，经调查认定情况属实。</w:t>
            </w:r>
          </w:p>
        </w:tc>
        <w:tc>
          <w:tcPr>
            <w:tcW w:w="2259"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视情节轻重予要求乙方承担违约责任；造成恶劣影响的，甲方有权解除合同。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shd w:val="clear" w:color="auto" w:fill="auto"/>
            <w:vAlign w:val="center"/>
          </w:tcPr>
          <w:p>
            <w:pPr>
              <w:widowControl/>
              <w:adjustRightInd w:val="0"/>
              <w:snapToGrid w:val="0"/>
              <w:spacing w:line="360" w:lineRule="auto"/>
              <w:jc w:val="center"/>
              <w:textAlignment w:val="center"/>
              <w:rPr>
                <w:rFonts w:hint="eastAsia" w:ascii="宋体" w:hAnsi="宋体" w:eastAsia="宋体" w:cs="宋体"/>
                <w:bCs/>
                <w:color w:val="auto"/>
                <w:sz w:val="21"/>
                <w:szCs w:val="21"/>
                <w:lang w:val="en-US" w:eastAsia="zh-CN" w:bidi="ar"/>
              </w:rPr>
            </w:pPr>
            <w:r>
              <w:rPr>
                <w:rFonts w:hint="eastAsia" w:ascii="宋体" w:hAnsi="宋体" w:eastAsia="宋体" w:cs="宋体"/>
                <w:bCs/>
                <w:color w:val="auto"/>
                <w:sz w:val="21"/>
                <w:szCs w:val="21"/>
                <w:lang w:val="en-US" w:eastAsia="zh-CN" w:bidi="ar"/>
              </w:rPr>
              <w:t>12</w:t>
            </w:r>
          </w:p>
        </w:tc>
        <w:tc>
          <w:tcPr>
            <w:tcW w:w="2257"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乙方在服务年限内，在履行本合同约定的义务过程中出现违反国家法律法规、主管部门规章制度、擅自提高价格或提供伪劣服务内容、服务质量低劣造成甲方损失等情况。</w:t>
            </w:r>
          </w:p>
        </w:tc>
        <w:tc>
          <w:tcPr>
            <w:tcW w:w="2259"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甲方有权视不同情况分别给予警告、抵扣履约担保或取消合同等处理。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shd w:val="clear" w:color="auto" w:fill="auto"/>
            <w:vAlign w:val="center"/>
          </w:tcPr>
          <w:p>
            <w:pPr>
              <w:widowControl/>
              <w:adjustRightInd w:val="0"/>
              <w:snapToGrid w:val="0"/>
              <w:spacing w:line="360" w:lineRule="auto"/>
              <w:jc w:val="center"/>
              <w:textAlignment w:val="center"/>
              <w:rPr>
                <w:rFonts w:hint="eastAsia" w:ascii="宋体" w:hAnsi="宋体" w:eastAsia="宋体" w:cs="宋体"/>
                <w:bCs/>
                <w:color w:val="auto"/>
                <w:sz w:val="21"/>
                <w:szCs w:val="21"/>
                <w:lang w:val="en-US" w:eastAsia="zh-CN" w:bidi="ar"/>
              </w:rPr>
            </w:pPr>
            <w:r>
              <w:rPr>
                <w:rFonts w:hint="eastAsia" w:ascii="宋体" w:hAnsi="宋体" w:eastAsia="宋体" w:cs="宋体"/>
                <w:bCs/>
                <w:color w:val="auto"/>
                <w:sz w:val="21"/>
                <w:szCs w:val="21"/>
                <w:lang w:val="en-US" w:eastAsia="zh-CN" w:bidi="ar"/>
              </w:rPr>
              <w:t>13</w:t>
            </w:r>
          </w:p>
        </w:tc>
        <w:tc>
          <w:tcPr>
            <w:tcW w:w="2257"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未经甲方书面同意，乙方变更项目负责人或技术负责人。</w:t>
            </w:r>
          </w:p>
        </w:tc>
        <w:tc>
          <w:tcPr>
            <w:tcW w:w="2259"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甲方有权要求乙方按伍万元/人/次承担违约金。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shd w:val="clear" w:color="auto" w:fill="auto"/>
            <w:vAlign w:val="center"/>
          </w:tcPr>
          <w:p>
            <w:pPr>
              <w:widowControl/>
              <w:adjustRightInd w:val="0"/>
              <w:snapToGrid w:val="0"/>
              <w:spacing w:line="360" w:lineRule="auto"/>
              <w:jc w:val="center"/>
              <w:textAlignment w:val="center"/>
              <w:rPr>
                <w:rFonts w:hint="eastAsia" w:ascii="宋体" w:hAnsi="宋体" w:eastAsia="宋体" w:cs="宋体"/>
                <w:bCs/>
                <w:color w:val="auto"/>
                <w:sz w:val="21"/>
                <w:szCs w:val="21"/>
                <w:lang w:val="en-US" w:eastAsia="zh-CN" w:bidi="ar"/>
              </w:rPr>
            </w:pPr>
            <w:r>
              <w:rPr>
                <w:rFonts w:hint="eastAsia" w:ascii="宋体" w:hAnsi="宋体" w:eastAsia="宋体" w:cs="宋体"/>
                <w:bCs/>
                <w:color w:val="auto"/>
                <w:sz w:val="21"/>
                <w:szCs w:val="21"/>
                <w:lang w:val="en-US" w:eastAsia="zh-CN" w:bidi="ar"/>
              </w:rPr>
              <w:t>14</w:t>
            </w:r>
          </w:p>
        </w:tc>
        <w:tc>
          <w:tcPr>
            <w:tcW w:w="2257"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甲方每季度根据合同附件五《检测单位履约考核评分表》对乙方评价一次，出具考核评价结果。甲方将严格按照考核评分标准对乙方进行季度检查和考核，考评80分以下的。</w:t>
            </w:r>
          </w:p>
        </w:tc>
        <w:tc>
          <w:tcPr>
            <w:tcW w:w="2259"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考评[70,80)分的，处相应付款周期内经甲方确认的检测费的10%作为违约金，考评[60,70)分的，处相应付款周期经甲方确认的检测费的20%作为违约金，考评60分以下的，处相应付款周期经甲方确认的检测</w:t>
            </w:r>
            <w:r>
              <w:rPr>
                <w:rFonts w:hint="eastAsia" w:ascii="宋体" w:hAnsi="宋体" w:eastAsia="宋体" w:cs="宋体"/>
                <w:bCs/>
                <w:color w:val="auto"/>
                <w:sz w:val="21"/>
                <w:szCs w:val="21"/>
                <w:highlight w:val="none"/>
                <w:lang w:val="en-US" w:eastAsia="zh-CN"/>
              </w:rPr>
              <w:t>费</w:t>
            </w:r>
            <w:r>
              <w:rPr>
                <w:rFonts w:hint="eastAsia" w:ascii="宋体" w:hAnsi="宋体" w:eastAsia="宋体" w:cs="宋体"/>
                <w:bCs/>
                <w:color w:val="auto"/>
                <w:sz w:val="21"/>
                <w:szCs w:val="21"/>
              </w:rPr>
              <w:t>的30%作为违约金。上述“[”代表闭区间，“)”代表开区间，如[70,80)代表该分数段范围为大于等于70且小于80。达到相应付款周期时,如乙方未申请支付本期费用, 甲方根据支付条件暂定本周期检测费并计算本周期内应缴纳的暂定违约金，乙方应予以缴纳。下一周期仍未申请时按上述做法执行，待到乙方申请支付费用时，根据合同付款流程确认检测费，同步对以往暂定违约金在本次一并确认并予以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shd w:val="clear" w:color="auto" w:fill="auto"/>
            <w:vAlign w:val="center"/>
          </w:tcPr>
          <w:p>
            <w:pPr>
              <w:widowControl/>
              <w:adjustRightInd w:val="0"/>
              <w:snapToGrid w:val="0"/>
              <w:spacing w:line="360" w:lineRule="auto"/>
              <w:jc w:val="center"/>
              <w:textAlignment w:val="center"/>
              <w:rPr>
                <w:rFonts w:hint="eastAsia" w:ascii="宋体" w:hAnsi="宋体" w:eastAsia="宋体" w:cs="宋体"/>
                <w:bCs/>
                <w:color w:val="auto"/>
                <w:sz w:val="21"/>
                <w:szCs w:val="21"/>
                <w:lang w:val="en-US" w:eastAsia="zh-CN" w:bidi="ar"/>
              </w:rPr>
            </w:pPr>
            <w:r>
              <w:rPr>
                <w:rFonts w:hint="eastAsia" w:ascii="宋体" w:hAnsi="宋体" w:eastAsia="宋体" w:cs="宋体"/>
                <w:bCs/>
                <w:color w:val="auto"/>
                <w:sz w:val="21"/>
                <w:szCs w:val="21"/>
                <w:lang w:val="en-US" w:eastAsia="zh-CN" w:bidi="ar"/>
              </w:rPr>
              <w:t>15</w:t>
            </w:r>
          </w:p>
        </w:tc>
        <w:tc>
          <w:tcPr>
            <w:tcW w:w="2257"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w:t>
            </w:r>
          </w:p>
        </w:tc>
        <w:tc>
          <w:tcPr>
            <w:tcW w:w="2259"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甲方依据本合同条款对乙方处以违约金、赔偿、扣款等款项的，乙方应在收到违约（赔偿或扣款等款项）处理通知书之日起的五个工作日内书面授权乙方相关工作人员将款项交至甲方指定账户（须备注本项目名称）。如规定时间内未按要求将款项交至指定账号，甲方有权不审批进度款。甲方指定收款账户信息：</w:t>
            </w:r>
          </w:p>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开户名称：东莞市水务集团建设管理有限公司</w:t>
            </w:r>
          </w:p>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银行账号：2010021309200628330</w:t>
            </w:r>
          </w:p>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开户银行：中国工商银行股份有限公司东莞分行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shd w:val="clear" w:color="auto" w:fill="auto"/>
            <w:vAlign w:val="center"/>
          </w:tcPr>
          <w:p>
            <w:pPr>
              <w:widowControl/>
              <w:adjustRightInd w:val="0"/>
              <w:snapToGrid w:val="0"/>
              <w:spacing w:line="360" w:lineRule="auto"/>
              <w:jc w:val="center"/>
              <w:textAlignment w:val="center"/>
              <w:rPr>
                <w:rFonts w:hint="eastAsia" w:ascii="宋体" w:hAnsi="宋体" w:eastAsia="宋体" w:cs="宋体"/>
                <w:bCs/>
                <w:color w:val="auto"/>
                <w:sz w:val="21"/>
                <w:szCs w:val="21"/>
                <w:lang w:val="en-US" w:eastAsia="zh-CN" w:bidi="ar"/>
              </w:rPr>
            </w:pPr>
            <w:r>
              <w:rPr>
                <w:rFonts w:hint="eastAsia" w:ascii="宋体" w:hAnsi="宋体" w:eastAsia="宋体" w:cs="宋体"/>
                <w:bCs/>
                <w:color w:val="auto"/>
                <w:sz w:val="21"/>
                <w:szCs w:val="21"/>
                <w:lang w:val="en-US" w:eastAsia="zh-CN" w:bidi="ar"/>
              </w:rPr>
              <w:t>16</w:t>
            </w:r>
          </w:p>
        </w:tc>
        <w:tc>
          <w:tcPr>
            <w:tcW w:w="2257"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w:t>
            </w:r>
          </w:p>
        </w:tc>
        <w:tc>
          <w:tcPr>
            <w:tcW w:w="2259" w:type="pct"/>
            <w:shd w:val="clear" w:color="auto" w:fill="auto"/>
            <w:vAlign w:val="center"/>
          </w:tcPr>
          <w:p>
            <w:pPr>
              <w:widowControl/>
              <w:adjustRightInd w:val="0"/>
              <w:snapToGrid w:val="0"/>
              <w:spacing w:line="360" w:lineRule="auto"/>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因乙方违约，甲方通过司法途径维护自身权益的，乙方应承担甲方由此支出的律师费、诉讼费、执行费、鉴定费、公证费、财产保全费及保险费等全部费用。</w:t>
            </w:r>
          </w:p>
        </w:tc>
      </w:tr>
    </w:tbl>
    <w:p>
      <w:pPr>
        <w:adjustRightInd w:val="0"/>
        <w:snapToGrid w:val="0"/>
        <w:spacing w:line="360" w:lineRule="auto"/>
        <w:rPr>
          <w:rFonts w:hint="eastAsia" w:ascii="宋体" w:hAnsi="宋体" w:eastAsia="宋体" w:cs="宋体"/>
          <w:bCs/>
          <w:color w:val="auto"/>
          <w:sz w:val="21"/>
          <w:szCs w:val="21"/>
        </w:rPr>
      </w:pPr>
    </w:p>
    <w:p>
      <w:pPr>
        <w:keepNext/>
        <w:keepLines/>
        <w:adjustRightInd w:val="0"/>
        <w:snapToGrid w:val="0"/>
        <w:spacing w:line="360" w:lineRule="auto"/>
        <w:outlineLvl w:val="9"/>
        <w:rPr>
          <w:rFonts w:hint="eastAsia" w:ascii="宋体" w:hAnsi="宋体" w:eastAsia="宋体" w:cs="宋体"/>
          <w:b/>
          <w:color w:val="auto"/>
          <w:sz w:val="21"/>
          <w:szCs w:val="21"/>
        </w:rPr>
      </w:pPr>
      <w:bookmarkStart w:id="454" w:name="_Toc484"/>
      <w:bookmarkStart w:id="455" w:name="_Toc6930"/>
      <w:r>
        <w:rPr>
          <w:rFonts w:hint="eastAsia" w:ascii="宋体" w:hAnsi="宋体" w:eastAsia="宋体" w:cs="宋体"/>
          <w:b/>
          <w:color w:val="auto"/>
          <w:sz w:val="21"/>
          <w:szCs w:val="21"/>
        </w:rPr>
        <w:t>十三、附则</w:t>
      </w:r>
      <w:bookmarkEnd w:id="454"/>
      <w:bookmarkEnd w:id="455"/>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1.本合同如遇不可避免的客观原因，而导致无法全部按规定执行，必须修订或中止时，由三方协商解决。</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2.本合同在履行期内甲方发现检测实施缺陷的，</w:t>
      </w:r>
      <w:r>
        <w:rPr>
          <w:rFonts w:hint="eastAsia" w:ascii="宋体" w:hAnsi="宋体" w:eastAsia="宋体" w:cs="宋体"/>
          <w:bCs/>
          <w:color w:val="auto"/>
          <w:sz w:val="21"/>
          <w:szCs w:val="21"/>
        </w:rPr>
        <w:t>乙方</w:t>
      </w:r>
      <w:r>
        <w:rPr>
          <w:rFonts w:hint="eastAsia" w:ascii="宋体" w:hAnsi="宋体" w:eastAsia="宋体" w:cs="宋体"/>
          <w:color w:val="auto"/>
          <w:sz w:val="21"/>
          <w:szCs w:val="21"/>
        </w:rPr>
        <w:t>应无条件负责返工和采取补救措施。</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3.合同内变更检测项目是合同承包范围不可分割的一部分，</w:t>
      </w:r>
      <w:r>
        <w:rPr>
          <w:rFonts w:hint="eastAsia" w:ascii="宋体" w:hAnsi="宋体" w:eastAsia="宋体" w:cs="宋体"/>
          <w:bCs/>
          <w:color w:val="auto"/>
          <w:sz w:val="21"/>
          <w:szCs w:val="21"/>
        </w:rPr>
        <w:t>乙方</w:t>
      </w:r>
      <w:r>
        <w:rPr>
          <w:rFonts w:hint="eastAsia" w:ascii="宋体" w:hAnsi="宋体" w:eastAsia="宋体" w:cs="宋体"/>
          <w:color w:val="auto"/>
          <w:sz w:val="21"/>
          <w:szCs w:val="21"/>
        </w:rPr>
        <w:t>应按甲方提交的变更工程设计图纸完成检测工作。</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4.本项目招标文件、投标文件、中标通知书以及相关规范将成为本合同的组成部分，组成本合同的各个文件是一个整体，彼此相互解释，相互补充，并具有合同同等法律效力。</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5.本合同如有未尽事宜，由甲、乙、丙三方订立补充协议，补充协议与本合同具有同等的法律效力。</w:t>
      </w:r>
    </w:p>
    <w:p>
      <w:pPr>
        <w:adjustRightInd w:val="0"/>
        <w:snapToGrid w:val="0"/>
        <w:spacing w:line="360" w:lineRule="auto"/>
        <w:ind w:firstLine="420" w:firstLineChars="200"/>
        <w:rPr>
          <w:rFonts w:hint="eastAsia" w:ascii="宋体" w:hAnsi="宋体" w:eastAsia="宋体" w:cs="宋体"/>
          <w:color w:val="auto"/>
          <w:sz w:val="21"/>
          <w:szCs w:val="21"/>
        </w:rPr>
      </w:pPr>
    </w:p>
    <w:p>
      <w:pPr>
        <w:keepNext/>
        <w:keepLines/>
        <w:adjustRightInd w:val="0"/>
        <w:snapToGrid w:val="0"/>
        <w:spacing w:line="360" w:lineRule="auto"/>
        <w:outlineLvl w:val="9"/>
        <w:rPr>
          <w:rFonts w:hint="eastAsia" w:ascii="宋体" w:hAnsi="宋体" w:eastAsia="宋体" w:cs="宋体"/>
          <w:b/>
          <w:color w:val="auto"/>
          <w:sz w:val="21"/>
          <w:szCs w:val="21"/>
        </w:rPr>
      </w:pPr>
      <w:bookmarkStart w:id="456" w:name="_Toc7481"/>
      <w:bookmarkStart w:id="457" w:name="_Toc4982"/>
      <w:r>
        <w:rPr>
          <w:rFonts w:hint="eastAsia" w:ascii="宋体" w:hAnsi="宋体" w:eastAsia="宋体" w:cs="宋体"/>
          <w:b/>
          <w:color w:val="auto"/>
          <w:sz w:val="21"/>
          <w:szCs w:val="21"/>
        </w:rPr>
        <w:t>十四、合同争议</w:t>
      </w:r>
      <w:bookmarkEnd w:id="456"/>
      <w:bookmarkEnd w:id="457"/>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本合同发生争议，甲方、</w:t>
      </w:r>
      <w:r>
        <w:rPr>
          <w:rFonts w:hint="eastAsia" w:ascii="宋体" w:hAnsi="宋体" w:eastAsia="宋体" w:cs="宋体"/>
          <w:bCs/>
          <w:color w:val="auto"/>
          <w:sz w:val="21"/>
          <w:szCs w:val="21"/>
        </w:rPr>
        <w:t>乙方、丙方</w:t>
      </w:r>
      <w:r>
        <w:rPr>
          <w:rFonts w:hint="eastAsia" w:ascii="宋体" w:hAnsi="宋体" w:eastAsia="宋体" w:cs="宋体"/>
          <w:color w:val="auto"/>
          <w:sz w:val="21"/>
          <w:szCs w:val="21"/>
        </w:rPr>
        <w:t>三方应及时协商解决，也可由当地行政主管部门调解，协商或调解不成时，任何一方可向甲方所在地有管辖权的人民法院起诉。</w:t>
      </w:r>
    </w:p>
    <w:p>
      <w:pPr>
        <w:adjustRightInd w:val="0"/>
        <w:snapToGrid w:val="0"/>
        <w:spacing w:line="360" w:lineRule="auto"/>
        <w:ind w:firstLine="420" w:firstLineChars="200"/>
        <w:rPr>
          <w:rFonts w:hint="eastAsia" w:ascii="宋体" w:hAnsi="宋体" w:eastAsia="宋体" w:cs="宋体"/>
          <w:color w:val="auto"/>
          <w:sz w:val="21"/>
          <w:szCs w:val="21"/>
        </w:rPr>
      </w:pPr>
    </w:p>
    <w:p>
      <w:pPr>
        <w:keepNext/>
        <w:keepLines/>
        <w:adjustRightInd w:val="0"/>
        <w:snapToGrid w:val="0"/>
        <w:spacing w:line="360" w:lineRule="auto"/>
        <w:outlineLvl w:val="9"/>
        <w:rPr>
          <w:rFonts w:hint="eastAsia" w:ascii="宋体" w:hAnsi="宋体" w:eastAsia="宋体" w:cs="宋体"/>
          <w:b/>
          <w:color w:val="auto"/>
          <w:sz w:val="21"/>
          <w:szCs w:val="21"/>
        </w:rPr>
      </w:pPr>
      <w:bookmarkStart w:id="458" w:name="_Toc11548"/>
      <w:bookmarkStart w:id="459" w:name="_Toc6758"/>
      <w:r>
        <w:rPr>
          <w:rFonts w:hint="eastAsia" w:ascii="宋体" w:hAnsi="宋体" w:eastAsia="宋体" w:cs="宋体"/>
          <w:b/>
          <w:color w:val="auto"/>
          <w:sz w:val="21"/>
          <w:szCs w:val="21"/>
        </w:rPr>
        <w:t>十五、合同生效</w:t>
      </w:r>
      <w:bookmarkEnd w:id="458"/>
      <w:bookmarkEnd w:id="459"/>
    </w:p>
    <w:p>
      <w:pPr>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本合同自三方签字盖章后生效，甲方、</w:t>
      </w:r>
      <w:r>
        <w:rPr>
          <w:rFonts w:hint="eastAsia" w:ascii="宋体" w:hAnsi="宋体" w:eastAsia="宋体" w:cs="宋体"/>
          <w:bCs/>
          <w:color w:val="auto"/>
          <w:sz w:val="21"/>
          <w:szCs w:val="21"/>
        </w:rPr>
        <w:t>乙方、丙方</w:t>
      </w:r>
      <w:r>
        <w:rPr>
          <w:rFonts w:hint="eastAsia" w:ascii="宋体" w:hAnsi="宋体" w:eastAsia="宋体" w:cs="宋体"/>
          <w:color w:val="auto"/>
          <w:sz w:val="21"/>
          <w:szCs w:val="21"/>
        </w:rPr>
        <w:t>履行完合同规定的义务后，本合同终止。</w:t>
      </w:r>
    </w:p>
    <w:p>
      <w:pPr>
        <w:adjustRightInd w:val="0"/>
        <w:snapToGrid w:val="0"/>
        <w:spacing w:line="360" w:lineRule="auto"/>
        <w:ind w:firstLine="420" w:firstLineChars="200"/>
        <w:outlineLvl w:val="9"/>
        <w:rPr>
          <w:rFonts w:hint="eastAsia" w:ascii="宋体" w:hAnsi="宋体" w:eastAsia="宋体" w:cs="宋体"/>
          <w:color w:val="auto"/>
          <w:sz w:val="21"/>
          <w:szCs w:val="21"/>
        </w:rPr>
      </w:pPr>
    </w:p>
    <w:p>
      <w:pPr>
        <w:keepNext/>
        <w:keepLines/>
        <w:adjustRightInd w:val="0"/>
        <w:snapToGrid w:val="0"/>
        <w:spacing w:line="360" w:lineRule="auto"/>
        <w:outlineLvl w:val="9"/>
        <w:rPr>
          <w:rFonts w:hint="eastAsia" w:ascii="宋体" w:hAnsi="宋体" w:eastAsia="宋体" w:cs="宋体"/>
          <w:b/>
          <w:color w:val="auto"/>
          <w:sz w:val="21"/>
          <w:szCs w:val="21"/>
        </w:rPr>
      </w:pPr>
      <w:bookmarkStart w:id="460" w:name="_Toc18496"/>
      <w:bookmarkStart w:id="461" w:name="_Toc4207"/>
      <w:r>
        <w:rPr>
          <w:rFonts w:hint="eastAsia" w:ascii="宋体" w:hAnsi="宋体" w:eastAsia="宋体" w:cs="宋体"/>
          <w:b/>
          <w:color w:val="auto"/>
          <w:sz w:val="21"/>
          <w:szCs w:val="21"/>
        </w:rPr>
        <w:t>十六、合同份数</w:t>
      </w:r>
      <w:bookmarkEnd w:id="460"/>
      <w:bookmarkEnd w:id="461"/>
    </w:p>
    <w:p>
      <w:pPr>
        <w:adjustRightInd w:val="0"/>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本合同一式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份，甲方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w:t>
      </w:r>
      <w:r>
        <w:rPr>
          <w:rFonts w:hint="eastAsia" w:ascii="宋体" w:hAnsi="宋体" w:eastAsia="宋体" w:cs="宋体"/>
          <w:bCs/>
          <w:color w:val="auto"/>
          <w:sz w:val="21"/>
          <w:szCs w:val="21"/>
        </w:rPr>
        <w:t>乙方</w:t>
      </w:r>
      <w:r>
        <w:rPr>
          <w:rFonts w:hint="eastAsia" w:ascii="宋体" w:hAnsi="宋体" w:eastAsia="宋体" w:cs="宋体"/>
          <w:bCs/>
          <w:color w:val="auto"/>
          <w:sz w:val="21"/>
          <w:szCs w:val="21"/>
          <w:u w:val="single"/>
        </w:rPr>
        <w:t xml:space="preserve">    </w:t>
      </w:r>
      <w:r>
        <w:rPr>
          <w:rFonts w:hint="eastAsia" w:ascii="宋体" w:hAnsi="宋体" w:eastAsia="宋体" w:cs="宋体"/>
          <w:color w:val="auto"/>
          <w:sz w:val="21"/>
          <w:szCs w:val="21"/>
        </w:rPr>
        <w:t>份、</w:t>
      </w:r>
      <w:r>
        <w:rPr>
          <w:rFonts w:hint="eastAsia" w:ascii="宋体" w:hAnsi="宋体" w:eastAsia="宋体" w:cs="宋体"/>
          <w:bCs/>
          <w:color w:val="auto"/>
          <w:sz w:val="21"/>
          <w:szCs w:val="21"/>
        </w:rPr>
        <w:t>丙方</w:t>
      </w:r>
      <w:r>
        <w:rPr>
          <w:rFonts w:hint="eastAsia" w:ascii="宋体" w:hAnsi="宋体" w:eastAsia="宋体" w:cs="宋体"/>
          <w:bCs/>
          <w:color w:val="auto"/>
          <w:sz w:val="21"/>
          <w:szCs w:val="21"/>
          <w:u w:val="single"/>
        </w:rPr>
        <w:t xml:space="preserve">    </w:t>
      </w:r>
      <w:r>
        <w:rPr>
          <w:rFonts w:hint="eastAsia" w:ascii="宋体" w:hAnsi="宋体" w:eastAsia="宋体" w:cs="宋体"/>
          <w:color w:val="auto"/>
          <w:sz w:val="21"/>
          <w:szCs w:val="21"/>
        </w:rPr>
        <w:t>份，招标代理机构</w:t>
      </w:r>
      <w:r>
        <w:rPr>
          <w:rFonts w:hint="eastAsia" w:ascii="宋体" w:hAnsi="宋体" w:eastAsia="宋体" w:cs="宋体"/>
          <w:color w:val="auto"/>
          <w:sz w:val="21"/>
          <w:szCs w:val="21"/>
          <w:u w:val="single"/>
        </w:rPr>
        <w:t xml:space="preserve"> 壹 </w:t>
      </w:r>
      <w:r>
        <w:rPr>
          <w:rFonts w:hint="eastAsia" w:ascii="宋体" w:hAnsi="宋体" w:eastAsia="宋体" w:cs="宋体"/>
          <w:color w:val="auto"/>
          <w:sz w:val="21"/>
          <w:szCs w:val="21"/>
        </w:rPr>
        <w:t>份。</w:t>
      </w:r>
    </w:p>
    <w:p>
      <w:pPr>
        <w:adjustRightInd w:val="0"/>
        <w:snapToGrid w:val="0"/>
        <w:spacing w:line="360" w:lineRule="auto"/>
        <w:ind w:firstLine="420" w:firstLineChars="200"/>
        <w:outlineLvl w:val="9"/>
        <w:rPr>
          <w:rFonts w:hint="eastAsia" w:ascii="宋体" w:hAnsi="宋体" w:eastAsia="宋体" w:cs="宋体"/>
          <w:color w:val="auto"/>
          <w:sz w:val="21"/>
          <w:szCs w:val="21"/>
        </w:rPr>
      </w:pPr>
    </w:p>
    <w:p>
      <w:pPr>
        <w:adjustRightInd w:val="0"/>
        <w:snapToGrid w:val="0"/>
        <w:spacing w:line="360" w:lineRule="auto"/>
        <w:outlineLvl w:val="9"/>
        <w:rPr>
          <w:rFonts w:hint="eastAsia" w:ascii="宋体" w:hAnsi="宋体" w:eastAsia="宋体" w:cs="宋体"/>
          <w:color w:val="auto"/>
          <w:sz w:val="21"/>
          <w:szCs w:val="21"/>
        </w:rPr>
      </w:pPr>
    </w:p>
    <w:tbl>
      <w:tblPr>
        <w:tblStyle w:val="36"/>
        <w:tblW w:w="5000" w:type="pct"/>
        <w:tblInd w:w="0" w:type="dxa"/>
        <w:tblLayout w:type="autofit"/>
        <w:tblCellMar>
          <w:top w:w="0" w:type="dxa"/>
          <w:left w:w="108" w:type="dxa"/>
          <w:bottom w:w="0" w:type="dxa"/>
          <w:right w:w="108" w:type="dxa"/>
        </w:tblCellMar>
      </w:tblPr>
      <w:tblGrid>
        <w:gridCol w:w="5185"/>
        <w:gridCol w:w="5185"/>
      </w:tblGrid>
      <w:tr>
        <w:tblPrEx>
          <w:tblCellMar>
            <w:top w:w="0" w:type="dxa"/>
            <w:left w:w="108" w:type="dxa"/>
            <w:bottom w:w="0" w:type="dxa"/>
            <w:right w:w="108" w:type="dxa"/>
          </w:tblCellMar>
        </w:tblPrEx>
        <w:tc>
          <w:tcPr>
            <w:tcW w:w="2500" w:type="pct"/>
          </w:tcPr>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br w:type="page"/>
            </w:r>
            <w:r>
              <w:rPr>
                <w:rFonts w:hint="eastAsia" w:ascii="宋体" w:hAnsi="宋体" w:eastAsia="宋体" w:cs="宋体"/>
                <w:color w:val="auto"/>
                <w:sz w:val="21"/>
                <w:szCs w:val="21"/>
              </w:rPr>
              <w:t>甲方：</w:t>
            </w:r>
          </w:p>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（盖章）</w:t>
            </w:r>
          </w:p>
        </w:tc>
        <w:tc>
          <w:tcPr>
            <w:tcW w:w="2500" w:type="pct"/>
          </w:tcPr>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乙方：</w:t>
            </w:r>
          </w:p>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（盖章）</w:t>
            </w:r>
          </w:p>
        </w:tc>
      </w:tr>
      <w:tr>
        <w:tblPrEx>
          <w:tblCellMar>
            <w:top w:w="0" w:type="dxa"/>
            <w:left w:w="108" w:type="dxa"/>
            <w:bottom w:w="0" w:type="dxa"/>
            <w:right w:w="108" w:type="dxa"/>
          </w:tblCellMar>
        </w:tblPrEx>
        <w:tc>
          <w:tcPr>
            <w:tcW w:w="2500" w:type="pct"/>
          </w:tcPr>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（签字或盖私章）：</w:t>
            </w:r>
          </w:p>
        </w:tc>
        <w:tc>
          <w:tcPr>
            <w:tcW w:w="2500" w:type="pct"/>
          </w:tcPr>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（签字或盖私章）：</w:t>
            </w:r>
          </w:p>
        </w:tc>
      </w:tr>
      <w:tr>
        <w:tblPrEx>
          <w:tblCellMar>
            <w:top w:w="0" w:type="dxa"/>
            <w:left w:w="108" w:type="dxa"/>
            <w:bottom w:w="0" w:type="dxa"/>
            <w:right w:w="108" w:type="dxa"/>
          </w:tblCellMar>
        </w:tblPrEx>
        <w:tc>
          <w:tcPr>
            <w:tcW w:w="2500" w:type="pct"/>
          </w:tcPr>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地址：</w:t>
            </w:r>
          </w:p>
        </w:tc>
        <w:tc>
          <w:tcPr>
            <w:tcW w:w="2500" w:type="pct"/>
          </w:tcPr>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地址：</w:t>
            </w:r>
          </w:p>
        </w:tc>
      </w:tr>
      <w:tr>
        <w:tblPrEx>
          <w:tblCellMar>
            <w:top w:w="0" w:type="dxa"/>
            <w:left w:w="108" w:type="dxa"/>
            <w:bottom w:w="0" w:type="dxa"/>
            <w:right w:w="108" w:type="dxa"/>
          </w:tblCellMar>
        </w:tblPrEx>
        <w:tc>
          <w:tcPr>
            <w:tcW w:w="2500" w:type="pct"/>
          </w:tcPr>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2500" w:type="pct"/>
          </w:tcPr>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r>
      <w:tr>
        <w:tblPrEx>
          <w:tblCellMar>
            <w:top w:w="0" w:type="dxa"/>
            <w:left w:w="108" w:type="dxa"/>
            <w:bottom w:w="0" w:type="dxa"/>
            <w:right w:w="108" w:type="dxa"/>
          </w:tblCellMar>
        </w:tblPrEx>
        <w:tc>
          <w:tcPr>
            <w:tcW w:w="2500" w:type="pct"/>
          </w:tcPr>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2500" w:type="pct"/>
          </w:tcPr>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r>
      <w:tr>
        <w:tblPrEx>
          <w:tblCellMar>
            <w:top w:w="0" w:type="dxa"/>
            <w:left w:w="108" w:type="dxa"/>
            <w:bottom w:w="0" w:type="dxa"/>
            <w:right w:w="108" w:type="dxa"/>
          </w:tblCellMar>
        </w:tblPrEx>
        <w:tc>
          <w:tcPr>
            <w:tcW w:w="2500" w:type="pct"/>
          </w:tcPr>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2500" w:type="pct"/>
          </w:tcPr>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r>
      <w:tr>
        <w:tblPrEx>
          <w:tblCellMar>
            <w:top w:w="0" w:type="dxa"/>
            <w:left w:w="108" w:type="dxa"/>
            <w:bottom w:w="0" w:type="dxa"/>
            <w:right w:w="108" w:type="dxa"/>
          </w:tblCellMar>
        </w:tblPrEx>
        <w:tc>
          <w:tcPr>
            <w:tcW w:w="2500" w:type="pct"/>
          </w:tcPr>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开户名称：</w:t>
            </w:r>
          </w:p>
        </w:tc>
        <w:tc>
          <w:tcPr>
            <w:tcW w:w="2500" w:type="pct"/>
          </w:tcPr>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开户名称：</w:t>
            </w:r>
          </w:p>
        </w:tc>
      </w:tr>
      <w:tr>
        <w:tblPrEx>
          <w:tblCellMar>
            <w:top w:w="0" w:type="dxa"/>
            <w:left w:w="108" w:type="dxa"/>
            <w:bottom w:w="0" w:type="dxa"/>
            <w:right w:w="108" w:type="dxa"/>
          </w:tblCellMar>
        </w:tblPrEx>
        <w:tc>
          <w:tcPr>
            <w:tcW w:w="2500" w:type="pct"/>
          </w:tcPr>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账号：</w:t>
            </w:r>
          </w:p>
        </w:tc>
        <w:tc>
          <w:tcPr>
            <w:tcW w:w="2500" w:type="pct"/>
          </w:tcPr>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账号：</w:t>
            </w:r>
          </w:p>
        </w:tc>
      </w:tr>
      <w:tr>
        <w:tblPrEx>
          <w:tblCellMar>
            <w:top w:w="0" w:type="dxa"/>
            <w:left w:w="108" w:type="dxa"/>
            <w:bottom w:w="0" w:type="dxa"/>
            <w:right w:w="108" w:type="dxa"/>
          </w:tblCellMar>
        </w:tblPrEx>
        <w:tc>
          <w:tcPr>
            <w:tcW w:w="2500" w:type="pct"/>
          </w:tcPr>
          <w:p>
            <w:pPr>
              <w:adjustRightInd w:val="0"/>
              <w:snapToGrid w:val="0"/>
              <w:spacing w:line="360" w:lineRule="auto"/>
              <w:rPr>
                <w:rFonts w:hint="eastAsia" w:ascii="宋体" w:hAnsi="宋体" w:eastAsia="宋体" w:cs="宋体"/>
                <w:color w:val="auto"/>
                <w:sz w:val="21"/>
                <w:szCs w:val="21"/>
              </w:rPr>
            </w:pPr>
          </w:p>
        </w:tc>
        <w:tc>
          <w:tcPr>
            <w:tcW w:w="2500" w:type="pct"/>
          </w:tcPr>
          <w:p>
            <w:pPr>
              <w:adjustRightInd w:val="0"/>
              <w:snapToGrid w:val="0"/>
              <w:spacing w:line="360" w:lineRule="auto"/>
              <w:rPr>
                <w:rFonts w:hint="eastAsia" w:ascii="宋体" w:hAnsi="宋体" w:eastAsia="宋体" w:cs="宋体"/>
                <w:color w:val="auto"/>
                <w:sz w:val="21"/>
                <w:szCs w:val="21"/>
              </w:rPr>
            </w:pPr>
          </w:p>
        </w:tc>
      </w:tr>
      <w:tr>
        <w:tblPrEx>
          <w:tblCellMar>
            <w:top w:w="0" w:type="dxa"/>
            <w:left w:w="108" w:type="dxa"/>
            <w:bottom w:w="0" w:type="dxa"/>
            <w:right w:w="108" w:type="dxa"/>
          </w:tblCellMar>
        </w:tblPrEx>
        <w:tc>
          <w:tcPr>
            <w:tcW w:w="2500" w:type="pct"/>
          </w:tcPr>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丙方：</w:t>
            </w:r>
          </w:p>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（盖章）</w:t>
            </w:r>
          </w:p>
        </w:tc>
        <w:tc>
          <w:tcPr>
            <w:tcW w:w="2500" w:type="pct"/>
          </w:tcPr>
          <w:p>
            <w:pPr>
              <w:adjustRightInd w:val="0"/>
              <w:snapToGrid w:val="0"/>
              <w:spacing w:line="360" w:lineRule="auto"/>
              <w:rPr>
                <w:rFonts w:hint="eastAsia" w:ascii="宋体" w:hAnsi="宋体" w:eastAsia="宋体" w:cs="宋体"/>
                <w:color w:val="auto"/>
                <w:sz w:val="21"/>
                <w:szCs w:val="21"/>
              </w:rPr>
            </w:pPr>
          </w:p>
        </w:tc>
      </w:tr>
      <w:tr>
        <w:tblPrEx>
          <w:tblCellMar>
            <w:top w:w="0" w:type="dxa"/>
            <w:left w:w="108" w:type="dxa"/>
            <w:bottom w:w="0" w:type="dxa"/>
            <w:right w:w="108" w:type="dxa"/>
          </w:tblCellMar>
        </w:tblPrEx>
        <w:tc>
          <w:tcPr>
            <w:tcW w:w="2500" w:type="pct"/>
          </w:tcPr>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（签字或盖私章）：</w:t>
            </w:r>
          </w:p>
        </w:tc>
        <w:tc>
          <w:tcPr>
            <w:tcW w:w="2500" w:type="pct"/>
          </w:tcPr>
          <w:p>
            <w:pPr>
              <w:adjustRightInd w:val="0"/>
              <w:snapToGrid w:val="0"/>
              <w:spacing w:line="360" w:lineRule="auto"/>
              <w:rPr>
                <w:rFonts w:hint="eastAsia" w:ascii="宋体" w:hAnsi="宋体" w:eastAsia="宋体" w:cs="宋体"/>
                <w:color w:val="auto"/>
                <w:sz w:val="21"/>
                <w:szCs w:val="21"/>
              </w:rPr>
            </w:pPr>
          </w:p>
        </w:tc>
      </w:tr>
      <w:tr>
        <w:tblPrEx>
          <w:tblCellMar>
            <w:top w:w="0" w:type="dxa"/>
            <w:left w:w="108" w:type="dxa"/>
            <w:bottom w:w="0" w:type="dxa"/>
            <w:right w:w="108" w:type="dxa"/>
          </w:tblCellMar>
        </w:tblPrEx>
        <w:tc>
          <w:tcPr>
            <w:tcW w:w="2500" w:type="pct"/>
          </w:tcPr>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地址：</w:t>
            </w:r>
          </w:p>
        </w:tc>
        <w:tc>
          <w:tcPr>
            <w:tcW w:w="2500" w:type="pct"/>
          </w:tcPr>
          <w:p>
            <w:pPr>
              <w:adjustRightInd w:val="0"/>
              <w:snapToGrid w:val="0"/>
              <w:spacing w:line="360" w:lineRule="auto"/>
              <w:rPr>
                <w:rFonts w:hint="eastAsia" w:ascii="宋体" w:hAnsi="宋体" w:eastAsia="宋体" w:cs="宋体"/>
                <w:color w:val="auto"/>
                <w:sz w:val="21"/>
                <w:szCs w:val="21"/>
              </w:rPr>
            </w:pPr>
          </w:p>
        </w:tc>
      </w:tr>
      <w:tr>
        <w:tblPrEx>
          <w:tblCellMar>
            <w:top w:w="0" w:type="dxa"/>
            <w:left w:w="108" w:type="dxa"/>
            <w:bottom w:w="0" w:type="dxa"/>
            <w:right w:w="108" w:type="dxa"/>
          </w:tblCellMar>
        </w:tblPrEx>
        <w:tc>
          <w:tcPr>
            <w:tcW w:w="2500" w:type="pct"/>
          </w:tcPr>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2500" w:type="pct"/>
          </w:tcPr>
          <w:p>
            <w:pPr>
              <w:adjustRightInd w:val="0"/>
              <w:snapToGrid w:val="0"/>
              <w:spacing w:line="360" w:lineRule="auto"/>
              <w:rPr>
                <w:rFonts w:hint="eastAsia" w:ascii="宋体" w:hAnsi="宋体" w:eastAsia="宋体" w:cs="宋体"/>
                <w:color w:val="auto"/>
                <w:sz w:val="21"/>
                <w:szCs w:val="21"/>
              </w:rPr>
            </w:pPr>
          </w:p>
        </w:tc>
      </w:tr>
      <w:tr>
        <w:tblPrEx>
          <w:tblCellMar>
            <w:top w:w="0" w:type="dxa"/>
            <w:left w:w="108" w:type="dxa"/>
            <w:bottom w:w="0" w:type="dxa"/>
            <w:right w:w="108" w:type="dxa"/>
          </w:tblCellMar>
        </w:tblPrEx>
        <w:tc>
          <w:tcPr>
            <w:tcW w:w="2500" w:type="pct"/>
          </w:tcPr>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2500" w:type="pct"/>
          </w:tcPr>
          <w:p>
            <w:pPr>
              <w:adjustRightInd w:val="0"/>
              <w:snapToGrid w:val="0"/>
              <w:spacing w:line="360" w:lineRule="auto"/>
              <w:rPr>
                <w:rFonts w:hint="eastAsia" w:ascii="宋体" w:hAnsi="宋体" w:eastAsia="宋体" w:cs="宋体"/>
                <w:color w:val="auto"/>
                <w:sz w:val="21"/>
                <w:szCs w:val="21"/>
              </w:rPr>
            </w:pPr>
          </w:p>
        </w:tc>
      </w:tr>
      <w:tr>
        <w:tblPrEx>
          <w:tblCellMar>
            <w:top w:w="0" w:type="dxa"/>
            <w:left w:w="108" w:type="dxa"/>
            <w:bottom w:w="0" w:type="dxa"/>
            <w:right w:w="108" w:type="dxa"/>
          </w:tblCellMar>
        </w:tblPrEx>
        <w:tc>
          <w:tcPr>
            <w:tcW w:w="2500" w:type="pct"/>
          </w:tcPr>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2500" w:type="pct"/>
          </w:tcPr>
          <w:p>
            <w:pPr>
              <w:adjustRightInd w:val="0"/>
              <w:snapToGrid w:val="0"/>
              <w:spacing w:line="360" w:lineRule="auto"/>
              <w:rPr>
                <w:rFonts w:hint="eastAsia" w:ascii="宋体" w:hAnsi="宋体" w:eastAsia="宋体" w:cs="宋体"/>
                <w:color w:val="auto"/>
                <w:sz w:val="21"/>
                <w:szCs w:val="21"/>
              </w:rPr>
            </w:pPr>
          </w:p>
        </w:tc>
      </w:tr>
      <w:tr>
        <w:tblPrEx>
          <w:tblCellMar>
            <w:top w:w="0" w:type="dxa"/>
            <w:left w:w="108" w:type="dxa"/>
            <w:bottom w:w="0" w:type="dxa"/>
            <w:right w:w="108" w:type="dxa"/>
          </w:tblCellMar>
        </w:tblPrEx>
        <w:tc>
          <w:tcPr>
            <w:tcW w:w="2500" w:type="pct"/>
          </w:tcPr>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开户名称：</w:t>
            </w:r>
          </w:p>
        </w:tc>
        <w:tc>
          <w:tcPr>
            <w:tcW w:w="2500" w:type="pct"/>
          </w:tcPr>
          <w:p>
            <w:pPr>
              <w:adjustRightInd w:val="0"/>
              <w:snapToGrid w:val="0"/>
              <w:spacing w:line="360" w:lineRule="auto"/>
              <w:rPr>
                <w:rFonts w:hint="eastAsia" w:ascii="宋体" w:hAnsi="宋体" w:eastAsia="宋体" w:cs="宋体"/>
                <w:color w:val="auto"/>
                <w:sz w:val="21"/>
                <w:szCs w:val="21"/>
              </w:rPr>
            </w:pPr>
          </w:p>
        </w:tc>
      </w:tr>
      <w:tr>
        <w:tblPrEx>
          <w:tblCellMar>
            <w:top w:w="0" w:type="dxa"/>
            <w:left w:w="108" w:type="dxa"/>
            <w:bottom w:w="0" w:type="dxa"/>
            <w:right w:w="108" w:type="dxa"/>
          </w:tblCellMar>
        </w:tblPrEx>
        <w:tc>
          <w:tcPr>
            <w:tcW w:w="2500" w:type="pct"/>
          </w:tcPr>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账号：</w:t>
            </w:r>
          </w:p>
        </w:tc>
        <w:tc>
          <w:tcPr>
            <w:tcW w:w="2500" w:type="pct"/>
          </w:tcPr>
          <w:p>
            <w:pPr>
              <w:adjustRightInd w:val="0"/>
              <w:snapToGrid w:val="0"/>
              <w:spacing w:line="360" w:lineRule="auto"/>
              <w:rPr>
                <w:rFonts w:hint="eastAsia" w:ascii="宋体" w:hAnsi="宋体" w:eastAsia="宋体" w:cs="宋体"/>
                <w:color w:val="auto"/>
                <w:sz w:val="21"/>
                <w:szCs w:val="21"/>
              </w:rPr>
            </w:pPr>
          </w:p>
        </w:tc>
      </w:tr>
    </w:tbl>
    <w:p>
      <w:pPr>
        <w:adjustRightInd w:val="0"/>
        <w:snapToGrid w:val="0"/>
        <w:spacing w:line="360" w:lineRule="auto"/>
        <w:rPr>
          <w:rFonts w:hint="eastAsia" w:ascii="宋体" w:hAnsi="宋体" w:eastAsia="宋体" w:cs="宋体"/>
          <w:color w:val="auto"/>
          <w:sz w:val="21"/>
          <w:szCs w:val="21"/>
        </w:rPr>
      </w:pP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签订日期：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签订地点：</w:t>
      </w:r>
      <w:r>
        <w:rPr>
          <w:rFonts w:hint="eastAsia" w:ascii="宋体" w:hAnsi="宋体" w:eastAsia="宋体" w:cs="宋体"/>
          <w:color w:val="auto"/>
          <w:sz w:val="21"/>
          <w:szCs w:val="21"/>
          <w:u w:val="single"/>
        </w:rPr>
        <w:t xml:space="preserve"> 东莞市 </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bookmarkStart w:id="462" w:name="_Toc229305402"/>
      <w:bookmarkStart w:id="463" w:name="_Toc21890"/>
      <w:bookmarkStart w:id="464" w:name="_Toc259524394"/>
      <w:bookmarkStart w:id="465" w:name="_Toc497397588"/>
      <w:bookmarkStart w:id="466" w:name="_Toc17874"/>
    </w:p>
    <w:bookmarkEnd w:id="462"/>
    <w:bookmarkEnd w:id="463"/>
    <w:bookmarkEnd w:id="464"/>
    <w:bookmarkEnd w:id="465"/>
    <w:bookmarkEnd w:id="466"/>
    <w:p>
      <w:pPr>
        <w:adjustRightInd w:val="0"/>
        <w:snapToGrid w:val="0"/>
        <w:spacing w:line="360" w:lineRule="auto"/>
        <w:jc w:val="both"/>
        <w:outlineLvl w:val="9"/>
        <w:rPr>
          <w:rFonts w:hint="eastAsia" w:ascii="宋体" w:hAnsi="宋体" w:eastAsia="宋体" w:cs="宋体"/>
          <w:color w:val="auto"/>
          <w:sz w:val="21"/>
          <w:szCs w:val="21"/>
        </w:rPr>
      </w:pPr>
      <w:r>
        <w:rPr>
          <w:rFonts w:hint="eastAsia" w:ascii="宋体" w:hAnsi="宋体" w:eastAsia="宋体" w:cs="宋体"/>
          <w:color w:val="auto"/>
          <w:sz w:val="21"/>
          <w:szCs w:val="21"/>
        </w:rPr>
        <w:t>附件一：《工程量清单计价表》</w:t>
      </w:r>
    </w:p>
    <w:p>
      <w:pPr>
        <w:adjustRightInd w:val="0"/>
        <w:snapToGrid w:val="0"/>
        <w:spacing w:line="360" w:lineRule="auto"/>
        <w:rPr>
          <w:rFonts w:hint="eastAsia" w:ascii="宋体" w:hAnsi="宋体" w:eastAsia="宋体" w:cs="宋体"/>
          <w:color w:val="auto"/>
          <w:sz w:val="21"/>
          <w:szCs w:val="21"/>
        </w:rPr>
      </w:pPr>
      <w:bookmarkStart w:id="467" w:name="_Toc351203652"/>
      <w:r>
        <w:rPr>
          <w:rFonts w:hint="eastAsia" w:ascii="宋体" w:hAnsi="宋体" w:eastAsia="宋体" w:cs="宋体"/>
          <w:color w:val="auto"/>
          <w:sz w:val="21"/>
          <w:szCs w:val="21"/>
        </w:rPr>
        <w:t>附件二：</w:t>
      </w:r>
      <w:bookmarkEnd w:id="467"/>
      <w:r>
        <w:rPr>
          <w:rFonts w:hint="eastAsia" w:ascii="宋体" w:hAnsi="宋体" w:eastAsia="宋体" w:cs="宋体"/>
          <w:color w:val="auto"/>
          <w:sz w:val="21"/>
          <w:szCs w:val="21"/>
        </w:rPr>
        <w:t>廉洁协议书</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附件三：安全生产责任书</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附件四：诚信履约承诺书</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附件五：检测单位履约考核评分表</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附件六：中标通知书</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附件七：用户需求书</w:t>
      </w:r>
    </w:p>
    <w:p>
      <w:pPr>
        <w:pStyle w:val="18"/>
        <w:snapToGrid w:val="0"/>
        <w:spacing w:line="360" w:lineRule="auto"/>
        <w:ind w:right="0"/>
        <w:rPr>
          <w:rFonts w:hint="eastAsia" w:ascii="宋体" w:hAnsi="宋体" w:eastAsia="宋体" w:cs="宋体"/>
          <w:color w:val="auto"/>
          <w:sz w:val="21"/>
          <w:szCs w:val="21"/>
        </w:rPr>
      </w:pPr>
    </w:p>
    <w:p>
      <w:pPr>
        <w:tabs>
          <w:tab w:val="left" w:pos="0"/>
          <w:tab w:val="left" w:pos="405"/>
          <w:tab w:val="left" w:pos="567"/>
          <w:tab w:val="left" w:pos="601"/>
          <w:tab w:val="left" w:pos="1980"/>
        </w:tabs>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pPr>
        <w:tabs>
          <w:tab w:val="left" w:pos="0"/>
          <w:tab w:val="left" w:pos="405"/>
          <w:tab w:val="left" w:pos="567"/>
          <w:tab w:val="left" w:pos="601"/>
          <w:tab w:val="left" w:pos="1980"/>
        </w:tabs>
        <w:adjustRightInd w:val="0"/>
        <w:snapToGrid w:val="0"/>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附件一：《工程量清单计价表》</w:t>
      </w:r>
    </w:p>
    <w:p>
      <w:pPr>
        <w:tabs>
          <w:tab w:val="left" w:pos="0"/>
          <w:tab w:val="left" w:pos="405"/>
          <w:tab w:val="left" w:pos="567"/>
          <w:tab w:val="left" w:pos="601"/>
          <w:tab w:val="left" w:pos="1980"/>
        </w:tabs>
        <w:adjustRightInd w:val="0"/>
        <w:snapToGrid w:val="0"/>
        <w:spacing w:line="360" w:lineRule="auto"/>
        <w:rPr>
          <w:rFonts w:hint="eastAsia" w:ascii="宋体" w:hAnsi="宋体" w:eastAsia="宋体" w:cs="宋体"/>
          <w:color w:val="auto"/>
          <w:sz w:val="21"/>
          <w:szCs w:val="21"/>
        </w:rPr>
      </w:pPr>
    </w:p>
    <w:p>
      <w:pPr>
        <w:adjustRightInd w:val="0"/>
        <w:snapToGrid w:val="0"/>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br w:type="page"/>
      </w:r>
    </w:p>
    <w:p>
      <w:pPr>
        <w:tabs>
          <w:tab w:val="left" w:pos="0"/>
          <w:tab w:val="left" w:pos="405"/>
          <w:tab w:val="left" w:pos="567"/>
          <w:tab w:val="left" w:pos="601"/>
          <w:tab w:val="left" w:pos="1980"/>
        </w:tabs>
        <w:adjustRightInd w:val="0"/>
        <w:snapToGrid w:val="0"/>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附件二：廉洁协议书</w:t>
      </w:r>
    </w:p>
    <w:p>
      <w:pPr>
        <w:adjustRightInd w:val="0"/>
        <w:snapToGrid w:val="0"/>
        <w:spacing w:line="360" w:lineRule="auto"/>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廉洁协议书</w:t>
      </w:r>
    </w:p>
    <w:p>
      <w:pPr>
        <w:adjustRightInd w:val="0"/>
        <w:snapToGrid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项目名称：</w:t>
      </w:r>
      <w:r>
        <w:rPr>
          <w:rFonts w:hint="eastAsia" w:ascii="宋体" w:hAnsi="宋体" w:eastAsia="宋体" w:cs="宋体"/>
          <w:color w:val="auto"/>
          <w:sz w:val="21"/>
          <w:szCs w:val="21"/>
          <w:lang w:eastAsia="zh-CN"/>
        </w:rPr>
        <w:t>东莞市茶山镇污水处理厂改扩建项目第三方检测服务（不含桩基完整性检测）采购项目</w:t>
      </w:r>
    </w:p>
    <w:p>
      <w:pPr>
        <w:adjustRightInd w:val="0"/>
        <w:snapToGrid w:val="0"/>
        <w:spacing w:line="360" w:lineRule="auto"/>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lang w:eastAsia="zh-CN"/>
        </w:rPr>
        <w:t>0832-SFCX24DG032C</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委托人（甲方）： </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检测人（乙方）：</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项目业主（丙方）：</w:t>
      </w:r>
    </w:p>
    <w:p>
      <w:pPr>
        <w:adjustRightInd w:val="0"/>
        <w:snapToGrid w:val="0"/>
        <w:spacing w:line="360" w:lineRule="auto"/>
        <w:ind w:firstLine="420" w:firstLineChars="200"/>
        <w:contextualSpacing/>
        <w:rPr>
          <w:rFonts w:hint="eastAsia" w:ascii="宋体" w:hAnsi="宋体" w:eastAsia="宋体" w:cs="宋体"/>
          <w:color w:val="auto"/>
          <w:sz w:val="21"/>
          <w:szCs w:val="21"/>
        </w:rPr>
      </w:pP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为规范甲乙丙三方在订立、履行合同及经济业务往来过程中的行为，保持廉洁自律的工作作风,防止各种违法及不正当行为的发生,确保甲乙丙三方及其工作人员自觉遵守国家法律、法规及廉洁从业各项规定，特订立本协议。</w:t>
      </w:r>
    </w:p>
    <w:p>
      <w:pPr>
        <w:adjustRightInd w:val="0"/>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第一条  甲乙丙三方的权利和义务</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（一）严格遵守党和国家有关法律法规等有关廉洁从业规定。</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（二）严格执行本项目的合同文件，自觉按合同办事。</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（三）三方的业务活动坚持公开、公正、诚信、透明的原则（除法律认定的商业秘密和合同文件另有规定之外）不得损害国家和集体利益，违反工程建设管理及其他法律法规规章制度。</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（四）建立健全廉洁制度，开展廉洁教育，设立廉洁监督公示牌，公布举报电话，监督并认真查处违法违纪行为。</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（五）发现对方在业务活动中有违反廉洁规定的行为，有及时提醒对方纠正的权利和义务。</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（六）发现对方严重违反本协议义务条款的行为，有向其上级有关部门举报、建议给予处理并要求告知处理结果的权利。</w:t>
      </w:r>
    </w:p>
    <w:p>
      <w:pPr>
        <w:adjustRightInd w:val="0"/>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第二条  甲方与丙方的义务</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（一）甲方、丙方及其工作人员不得索要或接受乙方的礼金、有价证券和贵重物品，不得在乙方报销任何应由甲方、丙方或个人支付的费用。</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（二）甲方、丙方工作人员不得参加乙方安排的高消费宴请和娱乐活动；不得接受乙方提供的通讯工具、交通工具和高档办公用品。</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（三）甲方、丙方及其工作人员不得要求或者接受乙方为其住房装修、婚丧嫁娶活动、家属或亲友的工作安排以及出国出境、旅游等提供方便。</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（四）甲方、丙方工作人员不得向乙方介绍其家属或者亲友（包括家属或亲友开办的公司企业）从事于本项目涉及的经济业务活动。</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（五）甲方、丙方及其工作人员不得以任何理由向乙方推荐分包单位，不得要求乙方购买合同规定外的材料和设备。</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（六）甲方、丙方及其工作人员不得进行违反廉洁规定的其他活动。</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甲方、丙方应分别对甲方、丙方工作人员进行廉洁监督管理，如甲方、丙方工作人员违反本协议第一、第二条，甲方、丙方应依据有关法律法规、党纪规定对其进行处理；涉嫌犯罪的，甲方、丙方应将其移交司法机关追究刑事责任。</w:t>
      </w:r>
    </w:p>
    <w:p>
      <w:pPr>
        <w:adjustRightInd w:val="0"/>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第三条  乙方义务</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（一）乙方不得以任何理由向甲方、丙方及其工作人员馈赠礼金、有价证券、贵重礼品，或报销应由甲方、丙方单位或个人支付的任何费用。</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（二）乙方及其工作人员不得以考察、参观、洽谈业务、签订合同等的借口邀请甲方、丙方及其工作人员参加高消费的宴请、娱乐和健身等活动。</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（三）乙方不得为甲方、丙方单位和个人购置或提供通讯工具、交通工具和高档办公用品等。</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（四）乙方及其工作人员不得为甲方、丙方工作人员购买、装修、维修私人住房、汽车等。</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（五）乙方及其工作人员不得为甲方、丙方工作人员的婚丧嫁娶、家属或亲友的工作安排，及出国出境提供方便以及报销任何私人消费的费用。</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（六）乙方及其工作人员不得进行影响甲方、丙方及其工作人员公正执行合同和履行职务的其他活动。</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adjustRightInd w:val="0"/>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第四条  违约责任</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（一）甲方、丙方违反本协议第一、第二条给乙方单位造成经济损失的，应予以赔偿。</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（二）乙方违反本协议第一、第三条给甲方、丙方单位造成经济损失的，应予以赔偿。</w:t>
      </w:r>
    </w:p>
    <w:p>
      <w:pPr>
        <w:adjustRightInd w:val="0"/>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第五条  监督检查</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甲乙丙三方的廉洁从业行为由三方或三方上级单位的纪检、监察部门负责监督，对本协议履行情况进行检查。</w:t>
      </w:r>
    </w:p>
    <w:p>
      <w:pPr>
        <w:adjustRightInd w:val="0"/>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第六条 举报信访受理</w:t>
      </w:r>
    </w:p>
    <w:p>
      <w:pPr>
        <w:adjustRightInd w:val="0"/>
        <w:snapToGrid w:val="0"/>
        <w:spacing w:line="360" w:lineRule="auto"/>
        <w:ind w:firstLine="560"/>
        <w:rPr>
          <w:rFonts w:hint="eastAsia" w:ascii="宋体" w:hAnsi="宋体" w:eastAsia="宋体" w:cs="宋体"/>
          <w:color w:val="auto"/>
          <w:sz w:val="21"/>
          <w:szCs w:val="21"/>
        </w:rPr>
      </w:pPr>
      <w:r>
        <w:rPr>
          <w:rFonts w:hint="eastAsia" w:ascii="宋体" w:hAnsi="宋体" w:eastAsia="宋体" w:cs="宋体"/>
          <w:color w:val="auto"/>
          <w:sz w:val="21"/>
          <w:szCs w:val="21"/>
        </w:rPr>
        <w:t>（一）举报受理部门：东莞市水务集团有限公司纪检监察部。</w:t>
      </w:r>
    </w:p>
    <w:p>
      <w:pPr>
        <w:adjustRightInd w:val="0"/>
        <w:snapToGrid w:val="0"/>
        <w:spacing w:line="360" w:lineRule="auto"/>
        <w:ind w:firstLine="560"/>
        <w:rPr>
          <w:rFonts w:hint="eastAsia" w:ascii="宋体" w:hAnsi="宋体" w:eastAsia="宋体" w:cs="宋体"/>
          <w:color w:val="auto"/>
          <w:sz w:val="21"/>
          <w:szCs w:val="21"/>
        </w:rPr>
      </w:pPr>
      <w:r>
        <w:rPr>
          <w:rFonts w:hint="eastAsia" w:ascii="宋体" w:hAnsi="宋体" w:eastAsia="宋体" w:cs="宋体"/>
          <w:color w:val="auto"/>
          <w:sz w:val="21"/>
          <w:szCs w:val="21"/>
        </w:rPr>
        <w:t>（二）举报电话：（0769）23076092。</w:t>
      </w:r>
    </w:p>
    <w:p>
      <w:pPr>
        <w:adjustRightInd w:val="0"/>
        <w:snapToGrid w:val="0"/>
        <w:spacing w:line="360" w:lineRule="auto"/>
        <w:ind w:firstLine="560"/>
        <w:rPr>
          <w:rFonts w:hint="eastAsia" w:ascii="宋体" w:hAnsi="宋体" w:eastAsia="宋体" w:cs="宋体"/>
          <w:color w:val="auto"/>
          <w:sz w:val="21"/>
          <w:szCs w:val="21"/>
        </w:rPr>
      </w:pPr>
      <w:r>
        <w:rPr>
          <w:rFonts w:hint="eastAsia" w:ascii="宋体" w:hAnsi="宋体" w:eastAsia="宋体" w:cs="宋体"/>
          <w:color w:val="auto"/>
          <w:sz w:val="21"/>
          <w:szCs w:val="21"/>
        </w:rPr>
        <w:t>（三）举报邮箱：</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"mailto:jcsj@dgswjt.cn。" </w:instrText>
      </w:r>
      <w:r>
        <w:rPr>
          <w:rFonts w:hint="eastAsia" w:ascii="宋体" w:hAnsi="宋体" w:eastAsia="宋体" w:cs="宋体"/>
          <w:color w:val="auto"/>
          <w:sz w:val="21"/>
          <w:szCs w:val="21"/>
        </w:rPr>
        <w:fldChar w:fldCharType="separate"/>
      </w:r>
      <w:r>
        <w:rPr>
          <w:rStyle w:val="42"/>
          <w:rFonts w:hint="eastAsia" w:ascii="宋体" w:hAnsi="宋体" w:eastAsia="宋体" w:cs="宋体"/>
          <w:color w:val="auto"/>
          <w:sz w:val="21"/>
          <w:szCs w:val="21"/>
        </w:rPr>
        <w:t>jcsj@dgswjt.cn。</w:t>
      </w:r>
      <w:r>
        <w:rPr>
          <w:rStyle w:val="42"/>
          <w:rFonts w:hint="eastAsia" w:ascii="宋体" w:hAnsi="宋体" w:eastAsia="宋体" w:cs="宋体"/>
          <w:color w:val="auto"/>
          <w:sz w:val="21"/>
          <w:szCs w:val="21"/>
        </w:rPr>
        <w:fldChar w:fldCharType="end"/>
      </w:r>
    </w:p>
    <w:p>
      <w:pPr>
        <w:adjustRightInd w:val="0"/>
        <w:snapToGrid w:val="0"/>
        <w:spacing w:line="360" w:lineRule="auto"/>
        <w:ind w:firstLine="560"/>
        <w:rPr>
          <w:rFonts w:hint="eastAsia" w:ascii="宋体" w:hAnsi="宋体" w:eastAsia="宋体" w:cs="宋体"/>
          <w:color w:val="auto"/>
          <w:sz w:val="21"/>
          <w:szCs w:val="21"/>
        </w:rPr>
      </w:pPr>
      <w:r>
        <w:rPr>
          <w:rFonts w:hint="eastAsia" w:ascii="宋体" w:hAnsi="宋体" w:eastAsia="宋体" w:cs="宋体"/>
          <w:color w:val="auto"/>
          <w:sz w:val="21"/>
          <w:szCs w:val="21"/>
        </w:rPr>
        <w:t>（四）信访地址：广东省东莞市东城街道育华路1号。</w:t>
      </w:r>
    </w:p>
    <w:p>
      <w:pPr>
        <w:adjustRightInd w:val="0"/>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第七条 其他</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本协议有效期为甲乙丙三方签字并加盖公章之日起至该工程/采购项目竣工验收完毕，质保期/服务期满后止。本协议一式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份，甲、乙、丙三方各执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份，甲、乙、丙三方上级主管部门各执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w:t>
      </w:r>
    </w:p>
    <w:p>
      <w:pPr>
        <w:adjustRightInd w:val="0"/>
        <w:snapToGrid w:val="0"/>
        <w:spacing w:line="360" w:lineRule="auto"/>
        <w:rPr>
          <w:rFonts w:hint="eastAsia" w:ascii="宋体" w:hAnsi="宋体" w:eastAsia="宋体" w:cs="宋体"/>
          <w:color w:val="auto"/>
          <w:sz w:val="21"/>
          <w:szCs w:val="21"/>
        </w:rPr>
      </w:pP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甲方（盖章）：                          乙方（盖章）： </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                              法定代表人</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或授权代理人（签名或私章）：             或授权代理人（签名或私章）：</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签订日期：    年  月  日                    年  月  日</w:t>
      </w:r>
    </w:p>
    <w:p>
      <w:pPr>
        <w:adjustRightInd w:val="0"/>
        <w:snapToGrid w:val="0"/>
        <w:spacing w:line="360" w:lineRule="auto"/>
        <w:ind w:firstLine="420" w:firstLineChars="200"/>
        <w:rPr>
          <w:rFonts w:hint="eastAsia" w:ascii="宋体" w:hAnsi="宋体" w:eastAsia="宋体" w:cs="宋体"/>
          <w:color w:val="auto"/>
          <w:sz w:val="21"/>
          <w:szCs w:val="21"/>
        </w:rPr>
      </w:pP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丙方（盖章）：</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或授权代理人（签名或私章）：</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签订日期：    年  月  日 </w:t>
      </w:r>
    </w:p>
    <w:p>
      <w:pPr>
        <w:adjustRightInd w:val="0"/>
        <w:snapToGrid w:val="0"/>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br w:type="page"/>
      </w:r>
      <w:r>
        <w:rPr>
          <w:rFonts w:hint="eastAsia" w:ascii="宋体" w:hAnsi="宋体" w:eastAsia="宋体" w:cs="宋体"/>
          <w:b/>
          <w:color w:val="auto"/>
          <w:sz w:val="21"/>
          <w:szCs w:val="21"/>
        </w:rPr>
        <w:t>附件三：安全生产责任书</w:t>
      </w:r>
    </w:p>
    <w:p>
      <w:pPr>
        <w:adjustRightInd w:val="0"/>
        <w:snapToGrid w:val="0"/>
        <w:spacing w:line="360" w:lineRule="auto"/>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安全生产责任书</w:t>
      </w:r>
    </w:p>
    <w:p>
      <w:pPr>
        <w:adjustRightInd w:val="0"/>
        <w:snapToGrid w:val="0"/>
        <w:spacing w:line="360" w:lineRule="auto"/>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为更好地贯彻“安全第一、预防为主、以人为本、强化管理、落实责任”的安全生产方针，全面落实企业安全生产主体责任，推进安全生产标准化管理，切实做好东莞市水务集团建设管理有限公司（以下简称：建设公司）的安全生产工作，杜绝各类事故的发生，保障建设公司财产和员工的人身安全，实现安全生产目标，建设公司、项目业主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签订安全生产责任书。</w:t>
      </w:r>
    </w:p>
    <w:p>
      <w:pPr>
        <w:numPr>
          <w:ilvl w:val="0"/>
          <w:numId w:val="2"/>
        </w:numPr>
        <w:adjustRightInd w:val="0"/>
        <w:snapToGrid w:val="0"/>
        <w:spacing w:line="360" w:lineRule="auto"/>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安全生产目标</w:t>
      </w:r>
    </w:p>
    <w:p>
      <w:pPr>
        <w:numPr>
          <w:ilvl w:val="0"/>
          <w:numId w:val="3"/>
        </w:numPr>
        <w:adjustRightInd w:val="0"/>
        <w:snapToGrid w:val="0"/>
        <w:spacing w:line="360" w:lineRule="auto"/>
        <w:contextualSpacing/>
        <w:rPr>
          <w:rFonts w:hint="eastAsia" w:ascii="宋体" w:hAnsi="宋体" w:eastAsia="宋体" w:cs="宋体"/>
          <w:color w:val="auto"/>
          <w:sz w:val="21"/>
          <w:szCs w:val="21"/>
        </w:rPr>
      </w:pPr>
      <w:r>
        <w:rPr>
          <w:rFonts w:hint="eastAsia" w:ascii="宋体" w:hAnsi="宋体" w:eastAsia="宋体" w:cs="宋体"/>
          <w:color w:val="auto"/>
          <w:sz w:val="21"/>
          <w:szCs w:val="21"/>
        </w:rPr>
        <w:t>杜绝重伤及以上生产安全事故；</w:t>
      </w:r>
    </w:p>
    <w:p>
      <w:pPr>
        <w:numPr>
          <w:ilvl w:val="0"/>
          <w:numId w:val="3"/>
        </w:numPr>
        <w:adjustRightInd w:val="0"/>
        <w:snapToGrid w:val="0"/>
        <w:spacing w:line="360" w:lineRule="auto"/>
        <w:contextualSpacing/>
        <w:rPr>
          <w:rFonts w:hint="eastAsia" w:ascii="宋体" w:hAnsi="宋体" w:eastAsia="宋体" w:cs="宋体"/>
          <w:color w:val="auto"/>
          <w:sz w:val="21"/>
          <w:szCs w:val="21"/>
        </w:rPr>
      </w:pPr>
      <w:r>
        <w:rPr>
          <w:rFonts w:hint="eastAsia" w:ascii="宋体" w:hAnsi="宋体" w:eastAsia="宋体" w:cs="宋体"/>
          <w:color w:val="auto"/>
          <w:sz w:val="21"/>
          <w:szCs w:val="21"/>
        </w:rPr>
        <w:t>杜绝火灾、爆炸责任事故；</w:t>
      </w:r>
    </w:p>
    <w:p>
      <w:pPr>
        <w:numPr>
          <w:ilvl w:val="0"/>
          <w:numId w:val="3"/>
        </w:numPr>
        <w:adjustRightInd w:val="0"/>
        <w:snapToGrid w:val="0"/>
        <w:spacing w:line="360" w:lineRule="auto"/>
        <w:contextualSpacing/>
        <w:rPr>
          <w:rFonts w:hint="eastAsia" w:ascii="宋体" w:hAnsi="宋体" w:eastAsia="宋体" w:cs="宋体"/>
          <w:color w:val="auto"/>
          <w:sz w:val="21"/>
          <w:szCs w:val="21"/>
        </w:rPr>
      </w:pPr>
      <w:r>
        <w:rPr>
          <w:rFonts w:hint="eastAsia" w:ascii="宋体" w:hAnsi="宋体" w:eastAsia="宋体" w:cs="宋体"/>
          <w:color w:val="auto"/>
          <w:sz w:val="21"/>
          <w:szCs w:val="21"/>
        </w:rPr>
        <w:t>杜绝多人严重急性中毒事故；</w:t>
      </w:r>
    </w:p>
    <w:p>
      <w:pPr>
        <w:numPr>
          <w:ilvl w:val="0"/>
          <w:numId w:val="3"/>
        </w:numPr>
        <w:adjustRightInd w:val="0"/>
        <w:snapToGrid w:val="0"/>
        <w:spacing w:line="360" w:lineRule="auto"/>
        <w:contextualSpacing/>
        <w:rPr>
          <w:rFonts w:hint="eastAsia" w:ascii="宋体" w:hAnsi="宋体" w:eastAsia="宋体" w:cs="宋体"/>
          <w:color w:val="auto"/>
          <w:sz w:val="21"/>
          <w:szCs w:val="21"/>
        </w:rPr>
      </w:pPr>
      <w:r>
        <w:rPr>
          <w:rFonts w:hint="eastAsia" w:ascii="宋体" w:hAnsi="宋体" w:eastAsia="宋体" w:cs="宋体"/>
          <w:color w:val="auto"/>
          <w:sz w:val="21"/>
          <w:szCs w:val="21"/>
        </w:rPr>
        <w:t>工伤事故中轻伤率不超过3‰；</w:t>
      </w:r>
    </w:p>
    <w:p>
      <w:pPr>
        <w:numPr>
          <w:ilvl w:val="0"/>
          <w:numId w:val="3"/>
        </w:numPr>
        <w:adjustRightInd w:val="0"/>
        <w:snapToGrid w:val="0"/>
        <w:spacing w:line="360" w:lineRule="auto"/>
        <w:contextualSpacing/>
        <w:rPr>
          <w:rFonts w:hint="eastAsia" w:ascii="宋体" w:hAnsi="宋体" w:eastAsia="宋体" w:cs="宋体"/>
          <w:color w:val="auto"/>
          <w:sz w:val="21"/>
          <w:szCs w:val="21"/>
        </w:rPr>
      </w:pPr>
      <w:r>
        <w:rPr>
          <w:rFonts w:hint="eastAsia" w:ascii="宋体" w:hAnsi="宋体" w:eastAsia="宋体" w:cs="宋体"/>
          <w:color w:val="auto"/>
          <w:sz w:val="21"/>
          <w:szCs w:val="21"/>
        </w:rPr>
        <w:t>生产经营范围内无刑事案件发生。</w:t>
      </w:r>
    </w:p>
    <w:p>
      <w:pPr>
        <w:adjustRightInd w:val="0"/>
        <w:snapToGrid w:val="0"/>
        <w:spacing w:line="360" w:lineRule="auto"/>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二、安全生产责任</w:t>
      </w:r>
    </w:p>
    <w:p>
      <w:pPr>
        <w:adjustRightInd w:val="0"/>
        <w:snapToGrid w:val="0"/>
        <w:spacing w:line="360" w:lineRule="auto"/>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 xml:space="preserve">1. </w:t>
      </w:r>
      <w:r>
        <w:rPr>
          <w:rFonts w:hint="eastAsia" w:ascii="宋体" w:hAnsi="宋体" w:eastAsia="宋体" w:cs="宋体"/>
          <w:color w:val="auto"/>
          <w:sz w:val="21"/>
          <w:szCs w:val="21"/>
          <w:u w:val="single"/>
          <w:shd w:val="clear" w:color="090000" w:fill="FFFFFF"/>
        </w:rPr>
        <w:t xml:space="preserve">              </w:t>
      </w:r>
      <w:r>
        <w:rPr>
          <w:rFonts w:hint="eastAsia" w:ascii="宋体" w:hAnsi="宋体" w:eastAsia="宋体" w:cs="宋体"/>
          <w:color w:val="auto"/>
          <w:sz w:val="21"/>
          <w:szCs w:val="21"/>
          <w:shd w:val="clear" w:color="090000" w:fill="FFFFFF"/>
        </w:rPr>
        <w:t>为</w:t>
      </w:r>
      <w:r>
        <w:rPr>
          <w:rFonts w:hint="eastAsia" w:ascii="宋体" w:hAnsi="宋体" w:eastAsia="宋体" w:cs="宋体"/>
          <w:color w:val="auto"/>
          <w:sz w:val="21"/>
          <w:szCs w:val="21"/>
          <w:lang w:eastAsia="zh-CN"/>
        </w:rPr>
        <w:t>东莞市茶山镇污水处理厂改扩建项目第三方检测服务（不含桩基完整性检测）采购项目</w:t>
      </w:r>
      <w:r>
        <w:rPr>
          <w:rFonts w:hint="eastAsia" w:ascii="宋体" w:hAnsi="宋体" w:eastAsia="宋体" w:cs="宋体"/>
          <w:color w:val="auto"/>
          <w:sz w:val="21"/>
          <w:szCs w:val="21"/>
          <w:shd w:val="clear" w:color="090000" w:fill="FFFFFF"/>
        </w:rPr>
        <w:t>安全生产工作的第一责任人，对</w:t>
      </w:r>
      <w:r>
        <w:rPr>
          <w:rFonts w:hint="eastAsia" w:ascii="宋体" w:hAnsi="宋体" w:eastAsia="宋体" w:cs="宋体"/>
          <w:color w:val="auto"/>
          <w:sz w:val="21"/>
          <w:szCs w:val="21"/>
          <w:lang w:eastAsia="zh-CN"/>
        </w:rPr>
        <w:t>东莞市茶山镇污水处理厂改扩建项目第三方检测服务（不含桩基完整性检测）采购项目</w:t>
      </w:r>
      <w:r>
        <w:rPr>
          <w:rFonts w:hint="eastAsia" w:ascii="宋体" w:hAnsi="宋体" w:eastAsia="宋体" w:cs="宋体"/>
          <w:color w:val="auto"/>
          <w:sz w:val="21"/>
          <w:szCs w:val="21"/>
          <w:shd w:val="clear" w:color="090000" w:fill="FFFFFF"/>
        </w:rPr>
        <w:t>安全生产工作负全面领导责任；其他人员对业务工作范围内的安全生产工作负直接责任</w:t>
      </w:r>
      <w:r>
        <w:rPr>
          <w:rFonts w:hint="eastAsia" w:ascii="宋体" w:hAnsi="宋体" w:eastAsia="宋体" w:cs="宋体"/>
          <w:color w:val="auto"/>
          <w:sz w:val="21"/>
          <w:szCs w:val="21"/>
        </w:rPr>
        <w:t>。</w:t>
      </w:r>
    </w:p>
    <w:p>
      <w:pPr>
        <w:adjustRightInd w:val="0"/>
        <w:snapToGrid w:val="0"/>
        <w:spacing w:line="360" w:lineRule="auto"/>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2. 遵守《安全生产法》、《消防法》、《劳动法》等法律法规，贯彻和执行</w:t>
      </w:r>
      <w:r>
        <w:rPr>
          <w:rFonts w:hint="eastAsia" w:ascii="宋体" w:hAnsi="宋体" w:eastAsia="宋体" w:cs="宋体"/>
          <w:color w:val="auto"/>
          <w:sz w:val="21"/>
          <w:szCs w:val="21"/>
          <w:shd w:val="clear" w:color="090000" w:fill="FFFFFF"/>
        </w:rPr>
        <w:t>建设公司</w:t>
      </w:r>
      <w:r>
        <w:rPr>
          <w:rFonts w:hint="eastAsia" w:ascii="宋体" w:hAnsi="宋体" w:eastAsia="宋体" w:cs="宋体"/>
          <w:color w:val="auto"/>
          <w:sz w:val="21"/>
          <w:szCs w:val="21"/>
        </w:rPr>
        <w:t>有关安全生产的制度、规程和标准，全面推动安全管理工作。</w:t>
      </w:r>
    </w:p>
    <w:p>
      <w:pPr>
        <w:adjustRightInd w:val="0"/>
        <w:snapToGrid w:val="0"/>
        <w:spacing w:line="360" w:lineRule="auto"/>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3. 积极参与</w:t>
      </w:r>
      <w:r>
        <w:rPr>
          <w:rFonts w:hint="eastAsia" w:ascii="宋体" w:hAnsi="宋体" w:eastAsia="宋体" w:cs="宋体"/>
          <w:color w:val="auto"/>
          <w:sz w:val="21"/>
          <w:szCs w:val="21"/>
          <w:shd w:val="clear" w:color="090000" w:fill="FFFFFF"/>
        </w:rPr>
        <w:t>建设公司及项目业主</w:t>
      </w:r>
      <w:r>
        <w:rPr>
          <w:rFonts w:hint="eastAsia" w:ascii="宋体" w:hAnsi="宋体" w:eastAsia="宋体" w:cs="宋体"/>
          <w:color w:val="auto"/>
          <w:sz w:val="21"/>
          <w:szCs w:val="21"/>
        </w:rPr>
        <w:t>组织的安全培训、“安全生产活动月”、“消防安全月”等活动。</w:t>
      </w:r>
    </w:p>
    <w:p>
      <w:pPr>
        <w:adjustRightInd w:val="0"/>
        <w:snapToGrid w:val="0"/>
        <w:spacing w:line="360" w:lineRule="auto"/>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4. 参加</w:t>
      </w:r>
      <w:r>
        <w:rPr>
          <w:rFonts w:hint="eastAsia" w:ascii="宋体" w:hAnsi="宋体" w:eastAsia="宋体" w:cs="宋体"/>
          <w:color w:val="auto"/>
          <w:sz w:val="21"/>
          <w:szCs w:val="21"/>
          <w:shd w:val="clear" w:color="090000" w:fill="FFFFFF"/>
        </w:rPr>
        <w:t>建设公司及项目业主</w:t>
      </w:r>
      <w:r>
        <w:rPr>
          <w:rFonts w:hint="eastAsia" w:ascii="宋体" w:hAnsi="宋体" w:eastAsia="宋体" w:cs="宋体"/>
          <w:color w:val="auto"/>
          <w:sz w:val="21"/>
          <w:szCs w:val="21"/>
        </w:rPr>
        <w:t>召开安全生产工作会议，落实会议的相关要求。</w:t>
      </w:r>
    </w:p>
    <w:p>
      <w:pPr>
        <w:adjustRightInd w:val="0"/>
        <w:snapToGrid w:val="0"/>
        <w:spacing w:line="360" w:lineRule="auto"/>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5. 参与</w:t>
      </w:r>
      <w:r>
        <w:rPr>
          <w:rFonts w:hint="eastAsia" w:ascii="宋体" w:hAnsi="宋体" w:eastAsia="宋体" w:cs="宋体"/>
          <w:color w:val="auto"/>
          <w:sz w:val="21"/>
          <w:szCs w:val="21"/>
          <w:shd w:val="clear" w:color="090000" w:fill="FFFFFF"/>
        </w:rPr>
        <w:t>建设公司及项目业主</w:t>
      </w:r>
      <w:r>
        <w:rPr>
          <w:rFonts w:hint="eastAsia" w:ascii="宋体" w:hAnsi="宋体" w:eastAsia="宋体" w:cs="宋体"/>
          <w:color w:val="auto"/>
          <w:sz w:val="21"/>
          <w:szCs w:val="21"/>
        </w:rPr>
        <w:t>组织开展生产安全事故应急预案演练，提高应急技能及应急管理水平。</w:t>
      </w:r>
    </w:p>
    <w:p>
      <w:pPr>
        <w:adjustRightInd w:val="0"/>
        <w:snapToGrid w:val="0"/>
        <w:spacing w:line="360" w:lineRule="auto"/>
        <w:ind w:firstLine="424" w:firstLineChars="202"/>
        <w:contextualSpacing/>
        <w:rPr>
          <w:rFonts w:hint="eastAsia" w:ascii="宋体" w:hAnsi="宋体" w:eastAsia="宋体" w:cs="宋体"/>
          <w:color w:val="auto"/>
          <w:sz w:val="21"/>
          <w:szCs w:val="21"/>
        </w:rPr>
      </w:pPr>
      <w:r>
        <w:rPr>
          <w:rFonts w:hint="eastAsia" w:ascii="宋体" w:hAnsi="宋体" w:eastAsia="宋体" w:cs="宋体"/>
          <w:color w:val="auto"/>
          <w:sz w:val="21"/>
          <w:szCs w:val="21"/>
        </w:rPr>
        <w:t>6. 发生安全事故时及时组织救援并上报，协助开展事故调查分析工作。</w:t>
      </w:r>
    </w:p>
    <w:p>
      <w:pPr>
        <w:numPr>
          <w:ilvl w:val="0"/>
          <w:numId w:val="4"/>
        </w:numPr>
        <w:adjustRightInd w:val="0"/>
        <w:snapToGrid w:val="0"/>
        <w:spacing w:line="360" w:lineRule="auto"/>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考核与奖惩</w:t>
      </w:r>
    </w:p>
    <w:p>
      <w:pPr>
        <w:adjustRightInd w:val="0"/>
        <w:snapToGrid w:val="0"/>
        <w:spacing w:line="360" w:lineRule="auto"/>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shd w:val="clear" w:color="090000" w:fill="FFFFFF"/>
        </w:rPr>
        <w:t>建设公司及项目业主</w:t>
      </w:r>
      <w:r>
        <w:rPr>
          <w:rFonts w:hint="eastAsia" w:ascii="宋体" w:hAnsi="宋体" w:eastAsia="宋体" w:cs="宋体"/>
          <w:color w:val="auto"/>
          <w:sz w:val="21"/>
          <w:szCs w:val="21"/>
        </w:rPr>
        <w:t>负责对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的安全生产管理工作进行检查和考核。</w:t>
      </w:r>
    </w:p>
    <w:p>
      <w:pPr>
        <w:numPr>
          <w:ilvl w:val="0"/>
          <w:numId w:val="4"/>
        </w:numPr>
        <w:adjustRightInd w:val="0"/>
        <w:snapToGrid w:val="0"/>
        <w:spacing w:line="360" w:lineRule="auto"/>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其他</w:t>
      </w:r>
    </w:p>
    <w:p>
      <w:pPr>
        <w:adjustRightInd w:val="0"/>
        <w:snapToGrid w:val="0"/>
        <w:spacing w:line="360" w:lineRule="auto"/>
        <w:ind w:firstLine="420" w:firstLineChars="200"/>
        <w:contextualSpacing/>
        <w:rPr>
          <w:rFonts w:hint="eastAsia" w:ascii="宋体" w:hAnsi="宋体" w:eastAsia="宋体" w:cs="宋体"/>
          <w:b/>
          <w:bCs/>
          <w:color w:val="auto"/>
          <w:sz w:val="21"/>
          <w:szCs w:val="21"/>
          <w:lang w:val="zh-CN"/>
        </w:rPr>
      </w:pPr>
      <w:r>
        <w:rPr>
          <w:rFonts w:hint="eastAsia" w:ascii="宋体" w:hAnsi="宋体" w:eastAsia="宋体" w:cs="宋体"/>
          <w:color w:val="auto"/>
          <w:sz w:val="21"/>
          <w:szCs w:val="21"/>
        </w:rPr>
        <w:t>本安全生产责任书自考核方与责任方盖章签字之日起生效，有效期至</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日止。</w:t>
      </w:r>
    </w:p>
    <w:p>
      <w:pPr>
        <w:adjustRightInd w:val="0"/>
        <w:snapToGrid w:val="0"/>
        <w:spacing w:line="360" w:lineRule="auto"/>
        <w:ind w:firstLine="420"/>
        <w:rPr>
          <w:rFonts w:hint="eastAsia" w:ascii="宋体" w:hAnsi="宋体" w:eastAsia="宋体" w:cs="宋体"/>
          <w:b/>
          <w:color w:val="auto"/>
          <w:sz w:val="21"/>
          <w:szCs w:val="21"/>
        </w:rPr>
      </w:pPr>
    </w:p>
    <w:p>
      <w:pPr>
        <w:adjustRightInd w:val="0"/>
        <w:snapToGrid w:val="0"/>
        <w:spacing w:line="360" w:lineRule="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目标考核方1：东莞市水务集团建设管理有限公司   目标考核方2：</w:t>
      </w:r>
      <w:r>
        <w:rPr>
          <w:rFonts w:hint="eastAsia" w:ascii="宋体" w:hAnsi="宋体" w:eastAsia="宋体" w:cs="宋体"/>
          <w:b/>
          <w:color w:val="auto"/>
          <w:sz w:val="21"/>
          <w:szCs w:val="21"/>
          <w:lang w:eastAsia="zh-CN"/>
        </w:rPr>
        <w:t>东莞市石鼓净水有限公司</w:t>
      </w:r>
    </w:p>
    <w:p>
      <w:pPr>
        <w:adjustRightInd w:val="0"/>
        <w:snapToGrid w:val="0"/>
        <w:spacing w:line="360" w:lineRule="auto"/>
        <w:rPr>
          <w:rFonts w:hint="eastAsia" w:ascii="宋体" w:hAnsi="宋体" w:eastAsia="宋体" w:cs="宋体"/>
          <w:b/>
          <w:color w:val="auto"/>
          <w:sz w:val="21"/>
          <w:szCs w:val="21"/>
        </w:rPr>
      </w:pP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                                    法定代表人</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或授权代理人（签名或私章）：                  或授权代理人（签名或私章）：</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签订日期：    年  月  日                          年  月  日</w:t>
      </w:r>
    </w:p>
    <w:p>
      <w:pPr>
        <w:adjustRightInd w:val="0"/>
        <w:snapToGrid w:val="0"/>
        <w:spacing w:line="360" w:lineRule="auto"/>
        <w:rPr>
          <w:rFonts w:hint="eastAsia" w:ascii="宋体" w:hAnsi="宋体" w:eastAsia="宋体" w:cs="宋体"/>
          <w:color w:val="auto"/>
          <w:sz w:val="21"/>
          <w:szCs w:val="21"/>
        </w:rPr>
      </w:pPr>
    </w:p>
    <w:p>
      <w:pPr>
        <w:adjustRightInd w:val="0"/>
        <w:snapToGrid w:val="0"/>
        <w:spacing w:line="360" w:lineRule="auto"/>
        <w:rPr>
          <w:rFonts w:hint="eastAsia" w:ascii="宋体" w:hAnsi="宋体" w:eastAsia="宋体" w:cs="宋体"/>
          <w:b/>
          <w:bCs/>
          <w:color w:val="auto"/>
          <w:sz w:val="21"/>
          <w:szCs w:val="21"/>
          <w:lang w:val="zh-CN"/>
        </w:rPr>
      </w:pPr>
    </w:p>
    <w:p>
      <w:pPr>
        <w:adjustRightInd w:val="0"/>
        <w:snapToGrid w:val="0"/>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目标责任方：          </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或授权代理人（签名或私章）：</w:t>
      </w:r>
    </w:p>
    <w:p>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签订日期：    年  月  日 </w:t>
      </w:r>
    </w:p>
    <w:p>
      <w:pPr>
        <w:adjustRightInd w:val="0"/>
        <w:snapToGrid w:val="0"/>
        <w:spacing w:line="360" w:lineRule="auto"/>
        <w:rPr>
          <w:rFonts w:hint="eastAsia" w:ascii="宋体" w:hAnsi="宋体" w:eastAsia="宋体" w:cs="宋体"/>
          <w:b/>
          <w:color w:val="auto"/>
          <w:sz w:val="21"/>
          <w:szCs w:val="21"/>
        </w:rPr>
      </w:pPr>
    </w:p>
    <w:p>
      <w:pPr>
        <w:widowControl/>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pPr>
        <w:adjustRightInd w:val="0"/>
        <w:snapToGrid w:val="0"/>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附件四：诚信履约承诺书</w:t>
      </w:r>
    </w:p>
    <w:p>
      <w:pPr>
        <w:adjustRightInd w:val="0"/>
        <w:snapToGrid w:val="0"/>
        <w:spacing w:line="360" w:lineRule="auto"/>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诚信履约承诺书</w:t>
      </w:r>
    </w:p>
    <w:p>
      <w:pPr>
        <w:adjustRightInd w:val="0"/>
        <w:snapToGrid w:val="0"/>
        <w:spacing w:line="360" w:lineRule="auto"/>
        <w:rPr>
          <w:rFonts w:hint="eastAsia" w:ascii="宋体" w:hAnsi="宋体" w:eastAsia="宋体" w:cs="宋体"/>
          <w:color w:val="auto"/>
          <w:sz w:val="21"/>
          <w:szCs w:val="21"/>
        </w:rPr>
      </w:pPr>
    </w:p>
    <w:p>
      <w:pPr>
        <w:adjustRightInd w:val="0"/>
        <w:snapToGrid w:val="0"/>
        <w:spacing w:line="360" w:lineRule="auto"/>
        <w:contextualSpacing/>
        <w:rPr>
          <w:rFonts w:hint="eastAsia" w:ascii="宋体" w:hAnsi="宋体" w:eastAsia="宋体" w:cs="宋体"/>
          <w:color w:val="auto"/>
          <w:sz w:val="21"/>
          <w:szCs w:val="21"/>
        </w:rPr>
      </w:pPr>
      <w:r>
        <w:rPr>
          <w:rFonts w:hint="eastAsia" w:ascii="宋体" w:hAnsi="宋体" w:eastAsia="宋体" w:cs="宋体"/>
          <w:color w:val="auto"/>
          <w:sz w:val="21"/>
          <w:szCs w:val="21"/>
        </w:rPr>
        <w:t>东莞市水务集团建设管理有限公司、</w:t>
      </w:r>
      <w:r>
        <w:rPr>
          <w:rFonts w:hint="eastAsia" w:ascii="宋体" w:hAnsi="宋体" w:eastAsia="宋体" w:cs="宋体"/>
          <w:color w:val="auto"/>
          <w:sz w:val="21"/>
          <w:szCs w:val="21"/>
          <w:lang w:eastAsia="zh-CN"/>
        </w:rPr>
        <w:t>东莞市石鼓净水有限公司</w:t>
      </w:r>
      <w:r>
        <w:rPr>
          <w:rFonts w:hint="eastAsia" w:ascii="宋体" w:hAnsi="宋体" w:eastAsia="宋体" w:cs="宋体"/>
          <w:color w:val="auto"/>
          <w:sz w:val="21"/>
          <w:szCs w:val="21"/>
        </w:rPr>
        <w:t>：</w:t>
      </w:r>
    </w:p>
    <w:p>
      <w:pPr>
        <w:adjustRightInd w:val="0"/>
        <w:snapToGrid w:val="0"/>
        <w:spacing w:line="360" w:lineRule="auto"/>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我司根据《</w:t>
      </w:r>
      <w:r>
        <w:rPr>
          <w:rFonts w:hint="eastAsia" w:ascii="宋体" w:hAnsi="宋体" w:eastAsia="宋体" w:cs="宋体"/>
          <w:color w:val="auto"/>
          <w:sz w:val="21"/>
          <w:szCs w:val="21"/>
          <w:lang w:eastAsia="zh-CN"/>
        </w:rPr>
        <w:t>东莞市茶山镇污水处理厂改扩建项目第三方检测服务（不含桩基完整性检测）采购项目</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第三方检测合同》相关条款全力配合贵公司工作，并自愿做出如下承诺：</w:t>
      </w:r>
    </w:p>
    <w:p>
      <w:pPr>
        <w:adjustRightInd w:val="0"/>
        <w:snapToGrid w:val="0"/>
        <w:spacing w:line="360" w:lineRule="auto"/>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一）如我司有拖欠所雇用员工工资等，发生劳资纠纷、上访、闹事或其他影响贵公司生产经营等情况而未及时妥善处理的，贵公司有权启用履约担保或未付款等予以支付或作出相应处理，由此产生的一切法律后果由我司承担。</w:t>
      </w:r>
    </w:p>
    <w:p>
      <w:pPr>
        <w:adjustRightInd w:val="0"/>
        <w:snapToGrid w:val="0"/>
        <w:spacing w:line="360" w:lineRule="auto"/>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（二）如我司有违反本项目管理及合同约定等行为，我司无条件同意并接受贵公司根据合同及相关约定追究我司的违约责任。</w:t>
      </w:r>
    </w:p>
    <w:p>
      <w:pPr>
        <w:adjustRightInd w:val="0"/>
        <w:snapToGrid w:val="0"/>
        <w:spacing w:line="360" w:lineRule="auto"/>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（三）</w:t>
      </w:r>
      <w:r>
        <w:rPr>
          <w:rFonts w:hint="eastAsia" w:ascii="宋体" w:hAnsi="宋体" w:eastAsia="宋体" w:cs="宋体"/>
          <w:b/>
          <w:bCs/>
          <w:color w:val="auto"/>
          <w:sz w:val="21"/>
          <w:szCs w:val="21"/>
        </w:rPr>
        <w:t>如我司在投标过程中或合同履行过程中存在以下等情形的：</w:t>
      </w:r>
      <w:r>
        <w:rPr>
          <w:rFonts w:hint="eastAsia" w:ascii="宋体" w:hAnsi="宋体" w:eastAsia="宋体" w:cs="宋体"/>
          <w:color w:val="auto"/>
          <w:sz w:val="21"/>
          <w:szCs w:val="21"/>
        </w:rPr>
        <w:t>（1）通过虚假响应招标文件要求等弄虚作假手段骗取中标的或未按照招标文件约定按时提供原件核查的；（2）利用虚假材料、以欺骗手段取得中标资格的；（3）将合同义务转包或违法分包的；（4）提供的服务不符合有关法律、行政法规的规定和质量标准、安全标准、行业规范以及合同的约定的。</w:t>
      </w:r>
      <w:r>
        <w:rPr>
          <w:rFonts w:hint="eastAsia" w:ascii="宋体" w:hAnsi="宋体" w:eastAsia="宋体" w:cs="宋体"/>
          <w:b/>
          <w:bCs/>
          <w:color w:val="auto"/>
          <w:sz w:val="21"/>
          <w:szCs w:val="21"/>
        </w:rPr>
        <w:t>我司同意并接受贵公司采取包括但不限于以下措施：</w:t>
      </w:r>
      <w:r>
        <w:rPr>
          <w:rFonts w:hint="eastAsia" w:ascii="宋体" w:hAnsi="宋体" w:eastAsia="宋体" w:cs="宋体"/>
          <w:color w:val="auto"/>
          <w:sz w:val="21"/>
          <w:szCs w:val="21"/>
        </w:rPr>
        <w:t>（1）将我司列入东莞市水务集团有限公司单位“黑名单”，在东莞市水务集团有限公司官网上进行公告，并在委托人以后的招标采购项目评标时充分考虑我司的不良行为和履约问题；（2）向东莞阳光网、东莞日报等媒体公开我公司失信行为；（3）上报东莞市住建局、东莞市水务局、东莞市水污染治理现场指挥部等部门要求将我司列入重点监管名单、在东莞市以后的招标采购项目评标时会充分考虑我司的不良行为和履约问题甚至取消我司参加东莞市公开招标项目的投标资格；（4）向广东省住建厅、国资委等部门进行通报和投诉等。</w:t>
      </w:r>
    </w:p>
    <w:p>
      <w:pPr>
        <w:adjustRightInd w:val="0"/>
        <w:snapToGrid w:val="0"/>
        <w:spacing w:line="360" w:lineRule="auto"/>
        <w:ind w:firstLine="422" w:firstLineChars="200"/>
        <w:contextualSpacing/>
        <w:rPr>
          <w:rFonts w:hint="eastAsia" w:ascii="宋体" w:hAnsi="宋体" w:eastAsia="宋体" w:cs="宋体"/>
          <w:b/>
          <w:bCs/>
          <w:color w:val="auto"/>
          <w:sz w:val="21"/>
          <w:szCs w:val="21"/>
        </w:rPr>
      </w:pPr>
      <w:r>
        <w:rPr>
          <w:rFonts w:hint="eastAsia" w:ascii="宋体" w:hAnsi="宋体" w:eastAsia="宋体" w:cs="宋体"/>
          <w:b/>
          <w:bCs/>
          <w:color w:val="auto"/>
          <w:sz w:val="21"/>
          <w:szCs w:val="21"/>
        </w:rPr>
        <w:t>我司并愿按相关规定接受处理，由此产生的一切法律责任和不利后果全部由我司承担。</w:t>
      </w:r>
    </w:p>
    <w:p>
      <w:pPr>
        <w:pStyle w:val="18"/>
        <w:snapToGrid w:val="0"/>
        <w:spacing w:line="360" w:lineRule="auto"/>
        <w:ind w:right="0"/>
        <w:rPr>
          <w:rFonts w:hint="eastAsia" w:ascii="宋体" w:hAnsi="宋体" w:eastAsia="宋体" w:cs="宋体"/>
          <w:color w:val="auto"/>
          <w:sz w:val="21"/>
          <w:szCs w:val="21"/>
          <w:lang w:val="en-US"/>
        </w:rPr>
      </w:pPr>
    </w:p>
    <w:p>
      <w:pPr>
        <w:adjustRightInd w:val="0"/>
        <w:snapToGrid w:val="0"/>
        <w:spacing w:line="360" w:lineRule="auto"/>
        <w:ind w:firstLine="4200" w:firstLineChars="20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承诺人（盖章）：</w:t>
      </w:r>
    </w:p>
    <w:p>
      <w:pPr>
        <w:adjustRightInd w:val="0"/>
        <w:snapToGrid w:val="0"/>
        <w:spacing w:line="360" w:lineRule="auto"/>
        <w:ind w:firstLine="4200" w:firstLineChars="20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法人代表人（或授权代理人）签名（或盖私章）：</w:t>
      </w:r>
    </w:p>
    <w:p>
      <w:pPr>
        <w:adjustRightInd w:val="0"/>
        <w:snapToGrid w:val="0"/>
        <w:spacing w:line="360" w:lineRule="auto"/>
        <w:ind w:firstLine="4200" w:firstLineChars="20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日期：   年   月  日</w:t>
      </w:r>
    </w:p>
    <w:p>
      <w:pPr>
        <w:widowControl/>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附件五 检测单位履约考核评分表</w:t>
      </w:r>
    </w:p>
    <w:p>
      <w:pPr>
        <w:adjustRightInd w:val="0"/>
        <w:snapToGrid w:val="0"/>
        <w:spacing w:line="360" w:lineRule="auto"/>
        <w:rPr>
          <w:rFonts w:hint="eastAsia" w:ascii="宋体" w:hAnsi="宋体" w:eastAsia="宋体" w:cs="宋体"/>
          <w:color w:val="auto"/>
          <w:sz w:val="21"/>
          <w:szCs w:val="21"/>
        </w:rPr>
      </w:pPr>
    </w:p>
    <w:p>
      <w:pPr>
        <w:adjustRightInd w:val="0"/>
        <w:snapToGrid w:val="0"/>
        <w:spacing w:line="360" w:lineRule="auto"/>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检测单位履约考核评分表</w:t>
      </w:r>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717"/>
        <w:gridCol w:w="4304"/>
        <w:gridCol w:w="537"/>
        <w:gridCol w:w="1578"/>
        <w:gridCol w:w="1078"/>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65" w:type="pct"/>
            <w:gridSpan w:val="2"/>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检测人名称</w:t>
            </w:r>
          </w:p>
        </w:tc>
        <w:tc>
          <w:tcPr>
            <w:tcW w:w="2335" w:type="pct"/>
            <w:gridSpan w:val="2"/>
            <w:vAlign w:val="center"/>
          </w:tcPr>
          <w:p>
            <w:pPr>
              <w:adjustRightInd w:val="0"/>
              <w:snapToGrid w:val="0"/>
              <w:spacing w:line="360" w:lineRule="auto"/>
              <w:jc w:val="center"/>
              <w:rPr>
                <w:rFonts w:hint="eastAsia" w:ascii="宋体" w:hAnsi="宋体" w:eastAsia="宋体" w:cs="宋体"/>
                <w:color w:val="auto"/>
                <w:sz w:val="21"/>
                <w:szCs w:val="21"/>
              </w:rPr>
            </w:pPr>
          </w:p>
        </w:tc>
        <w:tc>
          <w:tcPr>
            <w:tcW w:w="761" w:type="pct"/>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评价时间</w:t>
            </w:r>
          </w:p>
        </w:tc>
        <w:tc>
          <w:tcPr>
            <w:tcW w:w="1038" w:type="pct"/>
            <w:gridSpan w:val="2"/>
            <w:vAlign w:val="center"/>
          </w:tcPr>
          <w:p>
            <w:pPr>
              <w:adjustRightInd w:val="0"/>
              <w:snapToGrid w:val="0"/>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19" w:type="pct"/>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评价内容</w:t>
            </w:r>
          </w:p>
        </w:tc>
        <w:tc>
          <w:tcPr>
            <w:tcW w:w="346" w:type="pct"/>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各项分值</w:t>
            </w:r>
          </w:p>
        </w:tc>
        <w:tc>
          <w:tcPr>
            <w:tcW w:w="3096" w:type="pct"/>
            <w:gridSpan w:val="3"/>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具体内容</w:t>
            </w:r>
          </w:p>
        </w:tc>
        <w:tc>
          <w:tcPr>
            <w:tcW w:w="520" w:type="pct"/>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评分 </w:t>
            </w:r>
          </w:p>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部门</w:t>
            </w:r>
          </w:p>
        </w:tc>
        <w:tc>
          <w:tcPr>
            <w:tcW w:w="517" w:type="pct"/>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各项</w:t>
            </w:r>
          </w:p>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9" w:type="pct"/>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服务响应</w:t>
            </w:r>
          </w:p>
        </w:tc>
        <w:tc>
          <w:tcPr>
            <w:tcW w:w="346" w:type="pct"/>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3096" w:type="pct"/>
            <w:gridSpan w:val="3"/>
            <w:vAlign w:val="center"/>
          </w:tcPr>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1、不积极配合协助处理服务履行中发生的争议，不主动提供真实情况，每次扣3分；</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2、未能在约定时间内进驻现场的，每次扣5分；</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3、因无相应资质，需另行委托分包单位进行检测的，每检测项（细项）扣5分；</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4、未派人员参加业主要求的相关会议，每次扣5分。</w:t>
            </w:r>
          </w:p>
        </w:tc>
        <w:tc>
          <w:tcPr>
            <w:tcW w:w="520" w:type="pct"/>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需求</w:t>
            </w:r>
          </w:p>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部门</w:t>
            </w:r>
          </w:p>
        </w:tc>
        <w:tc>
          <w:tcPr>
            <w:tcW w:w="517" w:type="pct"/>
            <w:vAlign w:val="bottom"/>
          </w:tcPr>
          <w:p>
            <w:pPr>
              <w:adjustRightInd w:val="0"/>
              <w:snapToGrid w:val="0"/>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519" w:type="pct"/>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设备人员配置</w:t>
            </w:r>
          </w:p>
        </w:tc>
        <w:tc>
          <w:tcPr>
            <w:tcW w:w="346" w:type="pct"/>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3096" w:type="pct"/>
            <w:gridSpan w:val="3"/>
            <w:vAlign w:val="center"/>
          </w:tcPr>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1、未按我公司要求配齐相应检测人员的，每人每次扣5分；</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2、未按我公司要求配齐相应设备的，每次扣5分：</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3、检测人员能力无法满足实际需要，且经我公司要求更换而未更换的，每人每次扣5分；</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4、检测人员未持有效证件上岗及佩戴工作证，每人每次扣5分；</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5、特种作业人员未持有效证件上岗及佩戴工作证，每人每次扣5分；</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6、开展检测的设备未在检定有效期内，每台设备每次扣5分。</w:t>
            </w:r>
          </w:p>
        </w:tc>
        <w:tc>
          <w:tcPr>
            <w:tcW w:w="520" w:type="pct"/>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需求</w:t>
            </w:r>
          </w:p>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部门</w:t>
            </w:r>
          </w:p>
        </w:tc>
        <w:tc>
          <w:tcPr>
            <w:tcW w:w="517" w:type="pct"/>
            <w:vAlign w:val="bottom"/>
          </w:tcPr>
          <w:p>
            <w:pPr>
              <w:adjustRightInd w:val="0"/>
              <w:snapToGrid w:val="0"/>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19" w:type="pct"/>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工作质量</w:t>
            </w:r>
          </w:p>
        </w:tc>
        <w:tc>
          <w:tcPr>
            <w:tcW w:w="346" w:type="pct"/>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3096" w:type="pct"/>
            <w:gridSpan w:val="3"/>
            <w:vAlign w:val="center"/>
          </w:tcPr>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1、实际检测协作服务未达用户需求书、合同文件要求，且经我公司要求后未配合整改至符合要求的，每处每次扣5分；</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2、检测记录、数据与实际不相符的，每次扣5分；</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3、检测资料管理混乱、台账不及时更新、资料不及时签字或盖章不全的，每次扣5分；</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4、未按《关于加强东莞市建设工程质量检测机构监督管理的通知》的规定进行拍照或录像的，每次扣5分；</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5、检测报告的准确率，如出现报告的工程部位、工程名称、数据等错误的，每份报告扣5分；</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6、检测结果不合格未及时反馈或通报的，每次扣10分。</w:t>
            </w:r>
          </w:p>
        </w:tc>
        <w:tc>
          <w:tcPr>
            <w:tcW w:w="520" w:type="pct"/>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需求</w:t>
            </w:r>
          </w:p>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部门</w:t>
            </w:r>
          </w:p>
        </w:tc>
        <w:tc>
          <w:tcPr>
            <w:tcW w:w="517" w:type="pct"/>
            <w:vAlign w:val="bottom"/>
          </w:tcPr>
          <w:p>
            <w:pPr>
              <w:adjustRightInd w:val="0"/>
              <w:snapToGrid w:val="0"/>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19" w:type="pct"/>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服务进度</w:t>
            </w:r>
          </w:p>
        </w:tc>
        <w:tc>
          <w:tcPr>
            <w:tcW w:w="346" w:type="pct"/>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3096" w:type="pct"/>
            <w:gridSpan w:val="3"/>
            <w:vAlign w:val="center"/>
          </w:tcPr>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1、没有在规定时间内完成检测协作服务工作的，每处每次扣5分；</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2、没有按照合同规定时间内出具检测报告的，每份报告扣5分。</w:t>
            </w:r>
          </w:p>
        </w:tc>
        <w:tc>
          <w:tcPr>
            <w:tcW w:w="520" w:type="pct"/>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需求</w:t>
            </w:r>
          </w:p>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部门</w:t>
            </w:r>
          </w:p>
        </w:tc>
        <w:tc>
          <w:tcPr>
            <w:tcW w:w="517" w:type="pct"/>
            <w:vAlign w:val="bottom"/>
          </w:tcPr>
          <w:p>
            <w:pPr>
              <w:adjustRightInd w:val="0"/>
              <w:snapToGrid w:val="0"/>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19" w:type="pct"/>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安全文明管理</w:t>
            </w:r>
          </w:p>
        </w:tc>
        <w:tc>
          <w:tcPr>
            <w:tcW w:w="346" w:type="pct"/>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3096" w:type="pct"/>
            <w:gridSpan w:val="3"/>
            <w:vAlign w:val="center"/>
          </w:tcPr>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1、未按要求进行安全防护或安全防护不到位，我公司或上级部门检查中发现的，每处扣5分；</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2、涉及有限空间作业未按照相关流程制度审批的，每次扣5分；</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3、发生一般安全事故的，每次扣10分；</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4、发生较大安全事故的，每次扣20分。</w:t>
            </w:r>
          </w:p>
        </w:tc>
        <w:tc>
          <w:tcPr>
            <w:tcW w:w="520" w:type="pct"/>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安全管理部</w:t>
            </w:r>
          </w:p>
        </w:tc>
        <w:tc>
          <w:tcPr>
            <w:tcW w:w="517" w:type="pct"/>
            <w:vAlign w:val="bottom"/>
          </w:tcPr>
          <w:p>
            <w:pPr>
              <w:adjustRightInd w:val="0"/>
              <w:snapToGrid w:val="0"/>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19" w:type="pct"/>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服务态度</w:t>
            </w:r>
          </w:p>
        </w:tc>
        <w:tc>
          <w:tcPr>
            <w:tcW w:w="346" w:type="pct"/>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3096" w:type="pct"/>
            <w:gridSpan w:val="3"/>
            <w:vAlign w:val="center"/>
          </w:tcPr>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对检测协作服务单位日常工作的服务态度，以及甲方、上级主管部门、建设单位检查中配合情况、服务投诉情况进行评价。每收到投诉一次扣5分。</w:t>
            </w:r>
          </w:p>
        </w:tc>
        <w:tc>
          <w:tcPr>
            <w:tcW w:w="520" w:type="pct"/>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需求</w:t>
            </w:r>
          </w:p>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部门</w:t>
            </w:r>
          </w:p>
        </w:tc>
        <w:tc>
          <w:tcPr>
            <w:tcW w:w="517" w:type="pct"/>
            <w:vAlign w:val="bottom"/>
          </w:tcPr>
          <w:p>
            <w:pPr>
              <w:adjustRightInd w:val="0"/>
              <w:snapToGrid w:val="0"/>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961" w:type="pct"/>
            <w:gridSpan w:val="5"/>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1038" w:type="pct"/>
            <w:gridSpan w:val="2"/>
            <w:vAlign w:val="center"/>
          </w:tcPr>
          <w:p>
            <w:pPr>
              <w:adjustRightInd w:val="0"/>
              <w:snapToGrid w:val="0"/>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5000" w:type="pct"/>
            <w:gridSpan w:val="7"/>
            <w:vAlign w:val="center"/>
          </w:tcPr>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考核评分须知：</w:t>
            </w:r>
          </w:p>
          <w:p>
            <w:pPr>
              <w:adjustRightInd w:val="0"/>
              <w:snapToGrid w:val="0"/>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1、委托人每季度对检测人评价一次，出具考核评价结果。</w:t>
            </w:r>
          </w:p>
          <w:p>
            <w:pPr>
              <w:adjustRightInd w:val="0"/>
              <w:snapToGrid w:val="0"/>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2、委托人将严格按照考核评分标准对检测人进行季度检查和考核。</w:t>
            </w:r>
          </w:p>
          <w:p>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b w:val="0"/>
                <w:bCs w:val="0"/>
                <w:color w:val="auto"/>
                <w:sz w:val="21"/>
                <w:szCs w:val="21"/>
              </w:rPr>
              <w:t>3、考评[70,80)分的，处相应付款周期内经委托人确认的检测费的10%作为违约金，考评[60,70)分的，处相应付款周期经委托人确认的检测费的20%作为违约金，考评60分以下的，处相应付款周期经委托人确认的检测</w:t>
            </w:r>
            <w:r>
              <w:rPr>
                <w:rFonts w:hint="eastAsia" w:ascii="宋体" w:hAnsi="宋体" w:eastAsia="宋体" w:cs="宋体"/>
                <w:b w:val="0"/>
                <w:bCs w:val="0"/>
                <w:color w:val="auto"/>
                <w:sz w:val="21"/>
                <w:szCs w:val="21"/>
                <w:lang w:val="en-US" w:eastAsia="zh-CN"/>
              </w:rPr>
              <w:t>费</w:t>
            </w:r>
            <w:r>
              <w:rPr>
                <w:rFonts w:hint="eastAsia" w:ascii="宋体" w:hAnsi="宋体" w:eastAsia="宋体" w:cs="宋体"/>
                <w:b w:val="0"/>
                <w:bCs w:val="0"/>
                <w:color w:val="auto"/>
                <w:sz w:val="21"/>
                <w:szCs w:val="21"/>
              </w:rPr>
              <w:t>的30%作为违约金。上述“[”代表闭区间，“)”代表开区间，如[70,80)代表该分数段范围为大于等于70且小于80。达到相应付款周期时,如检测人未申请支付本期费用, 委托人根据支付条件暂定本周期检测费并计算本周期内应缴纳的暂定违约金，检测人应予以缴纳。下一周期仍未申请时按上述做法执行，待到检测人申请支付费用时，根据合同付款流程确认检测费，同步对以往暂定违约金在本次一并确认并予以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65" w:type="pct"/>
            <w:gridSpan w:val="2"/>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评价人员签名</w:t>
            </w:r>
          </w:p>
        </w:tc>
        <w:tc>
          <w:tcPr>
            <w:tcW w:w="2076" w:type="pct"/>
            <w:vAlign w:val="center"/>
          </w:tcPr>
          <w:p>
            <w:pPr>
              <w:adjustRightInd w:val="0"/>
              <w:snapToGrid w:val="0"/>
              <w:spacing w:line="360" w:lineRule="auto"/>
              <w:jc w:val="center"/>
              <w:rPr>
                <w:rFonts w:hint="eastAsia" w:ascii="宋体" w:hAnsi="宋体" w:eastAsia="宋体" w:cs="宋体"/>
                <w:color w:val="auto"/>
                <w:sz w:val="21"/>
                <w:szCs w:val="21"/>
              </w:rPr>
            </w:pPr>
          </w:p>
        </w:tc>
        <w:tc>
          <w:tcPr>
            <w:tcW w:w="1019" w:type="pct"/>
            <w:gridSpan w:val="2"/>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评价日期</w:t>
            </w:r>
          </w:p>
        </w:tc>
        <w:tc>
          <w:tcPr>
            <w:tcW w:w="1038" w:type="pct"/>
            <w:gridSpan w:val="2"/>
            <w:vAlign w:val="center"/>
          </w:tcPr>
          <w:p>
            <w:pPr>
              <w:adjustRightInd w:val="0"/>
              <w:snapToGrid w:val="0"/>
              <w:spacing w:line="360" w:lineRule="auto"/>
              <w:jc w:val="center"/>
              <w:rPr>
                <w:rFonts w:hint="eastAsia" w:ascii="宋体" w:hAnsi="宋体" w:eastAsia="宋体" w:cs="宋体"/>
                <w:color w:val="auto"/>
                <w:sz w:val="21"/>
                <w:szCs w:val="21"/>
              </w:rPr>
            </w:pPr>
          </w:p>
        </w:tc>
      </w:tr>
    </w:tbl>
    <w:p>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468" w:name="_Toc447044479"/>
      <w:bookmarkStart w:id="469" w:name="_Toc24427_WPSOffice_Level1"/>
      <w:bookmarkStart w:id="470" w:name="_Toc447044603"/>
      <w:bookmarkStart w:id="471" w:name="_Toc25564"/>
      <w:bookmarkStart w:id="472" w:name="_Toc13867"/>
      <w:bookmarkStart w:id="473" w:name="_Toc512353083"/>
      <w:bookmarkStart w:id="474" w:name="_Toc447045090"/>
      <w:bookmarkStart w:id="475" w:name="_Toc142508360"/>
      <w:bookmarkStart w:id="476" w:name="_Toc19778"/>
      <w:bookmarkStart w:id="477" w:name="_Toc30025"/>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468"/>
      <w:bookmarkEnd w:id="469"/>
      <w:bookmarkEnd w:id="470"/>
      <w:bookmarkEnd w:id="471"/>
      <w:bookmarkEnd w:id="472"/>
      <w:bookmarkEnd w:id="473"/>
      <w:bookmarkEnd w:id="474"/>
      <w:bookmarkEnd w:id="475"/>
      <w:bookmarkEnd w:id="476"/>
      <w:bookmarkEnd w:id="477"/>
      <w:bookmarkStart w:id="478" w:name="_Toc447045091"/>
      <w:bookmarkStart w:id="479" w:name="_Toc447044480"/>
      <w:bookmarkStart w:id="480" w:name="_Toc447044604"/>
    </w:p>
    <w:p>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481" w:name="_Toc26521_WPSOffice_Level2"/>
      <w:r>
        <w:rPr>
          <w:rFonts w:hint="eastAsia" w:ascii="宋体" w:hAnsi="宋体" w:eastAsia="宋体" w:cs="Times New Roman"/>
          <w:b/>
          <w:color w:val="auto"/>
          <w:kern w:val="0"/>
          <w:sz w:val="28"/>
          <w:szCs w:val="28"/>
          <w:highlight w:val="none"/>
        </w:rPr>
        <w:t>一、不可撤销银行履约保函格式</w:t>
      </w:r>
      <w:bookmarkEnd w:id="478"/>
      <w:bookmarkEnd w:id="479"/>
      <w:bookmarkEnd w:id="480"/>
      <w:bookmarkEnd w:id="481"/>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w:t>
      </w:r>
      <w:r>
        <w:rPr>
          <w:rFonts w:hint="eastAsia" w:ascii="宋体" w:hAnsi="宋体" w:eastAsia="宋体" w:cs="Times New Roman"/>
          <w:color w:val="auto"/>
          <w:kern w:val="0"/>
          <w:szCs w:val="21"/>
          <w:highlight w:val="none"/>
          <w:lang w:eastAsia="zh-CN"/>
        </w:rPr>
        <w:t>从合同签订之日起至合同期限届满并履行完毕相关服务义务且结算完毕之后二十八（28）个日历天内保持有效</w:t>
      </w:r>
      <w:r>
        <w:rPr>
          <w:rFonts w:hint="eastAsia" w:ascii="宋体" w:hAnsi="宋体" w:eastAsia="宋体" w:cs="Times New Roman"/>
          <w:color w:val="auto"/>
          <w:kern w:val="0"/>
          <w:szCs w:val="21"/>
          <w:highlight w:val="none"/>
        </w:rPr>
        <w:t>。</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w:t>
      </w:r>
      <w:r>
        <w:rPr>
          <w:rFonts w:hint="default" w:ascii="宋体" w:hAnsi="宋体" w:eastAsia="宋体" w:cs="Times New Roman"/>
          <w:color w:val="auto"/>
          <w:kern w:val="0"/>
          <w:szCs w:val="21"/>
          <w:highlight w:val="none"/>
          <w:lang w:val="en-US" w:eastAsia="zh-CN"/>
        </w:rPr>
        <w:t>从</w:t>
      </w:r>
      <w:r>
        <w:rPr>
          <w:rFonts w:hint="eastAsia" w:ascii="宋体" w:hAnsi="宋体" w:eastAsia="宋体" w:cs="Times New Roman"/>
          <w:color w:val="auto"/>
          <w:kern w:val="0"/>
          <w:szCs w:val="21"/>
          <w:highlight w:val="none"/>
          <w:lang w:eastAsia="zh-CN"/>
        </w:rPr>
        <w:t>合同签订之日起至合同期限届满并履行完毕相关服务义务且结算完毕之后二十八（28）个日历天内保持有效</w:t>
      </w:r>
      <w:r>
        <w:rPr>
          <w:rFonts w:hint="eastAsia" w:ascii="宋体" w:hAnsi="宋体" w:eastAsia="宋体" w:cs="Times New Roman"/>
          <w:color w:val="auto"/>
          <w:kern w:val="0"/>
          <w:szCs w:val="21"/>
          <w:highlight w:val="none"/>
        </w:rPr>
        <w:t>。</w:t>
      </w:r>
    </w:p>
    <w:p>
      <w:pPr>
        <w:numPr>
          <w:ilvl w:val="0"/>
          <w:numId w:val="0"/>
        </w:numPr>
        <w:outlineLvl w:val="9"/>
        <w:rPr>
          <w:rFonts w:hint="default"/>
          <w:color w:val="auto"/>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w:t>
      </w:r>
      <w:r>
        <w:rPr>
          <w:rFonts w:hint="default" w:ascii="宋体" w:hAnsi="宋体" w:eastAsia="宋体" w:cs="Times New Roman"/>
          <w:color w:val="auto"/>
          <w:kern w:val="0"/>
          <w:szCs w:val="21"/>
          <w:highlight w:val="none"/>
          <w:lang w:val="en-US" w:eastAsia="zh-CN"/>
        </w:rPr>
        <w:t>从</w:t>
      </w:r>
      <w:r>
        <w:rPr>
          <w:rFonts w:hint="eastAsia" w:ascii="宋体" w:hAnsi="宋体" w:eastAsia="宋体" w:cs="Times New Roman"/>
          <w:color w:val="auto"/>
          <w:kern w:val="0"/>
          <w:szCs w:val="21"/>
          <w:highlight w:val="none"/>
          <w:lang w:eastAsia="zh-CN"/>
        </w:rPr>
        <w:t>合同签订之日起至合同期限届满并履行完毕相关服务义务且结算完毕之后二十八（28）个日历天内保持有效</w:t>
      </w:r>
      <w:r>
        <w:rPr>
          <w:rFonts w:hint="eastAsia" w:ascii="宋体" w:hAnsi="宋体" w:eastAsia="宋体" w:cs="Times New Roman"/>
          <w:color w:val="auto"/>
          <w:kern w:val="0"/>
          <w:szCs w:val="21"/>
          <w:highlight w:val="none"/>
        </w:rPr>
        <w:t>。</w:t>
      </w: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82" w:name="_Toc450662895"/>
      <w:bookmarkStart w:id="483" w:name="_Toc14958"/>
      <w:bookmarkStart w:id="484" w:name="_Toc142508361"/>
      <w:bookmarkStart w:id="485" w:name="_Toc9840"/>
      <w:bookmarkStart w:id="486" w:name="_Toc32761_WPSOffice_Level1"/>
      <w:bookmarkStart w:id="487" w:name="_Toc486167708"/>
      <w:bookmarkStart w:id="488" w:name="_Toc15817"/>
      <w:bookmarkStart w:id="489" w:name="_Toc32476"/>
      <w:r>
        <w:rPr>
          <w:rFonts w:hint="eastAsia" w:ascii="宋体" w:hAnsi="宋体" w:eastAsia="宋体" w:cs="宋体"/>
          <w:b/>
          <w:bCs/>
          <w:color w:val="auto"/>
          <w:kern w:val="44"/>
          <w:sz w:val="32"/>
          <w:szCs w:val="32"/>
          <w:highlight w:val="none"/>
          <w:lang w:val="zh-CN"/>
        </w:rPr>
        <w:t>第六篇 投标文件格式</w:t>
      </w:r>
      <w:bookmarkEnd w:id="482"/>
      <w:bookmarkEnd w:id="483"/>
      <w:bookmarkEnd w:id="484"/>
      <w:bookmarkEnd w:id="485"/>
      <w:bookmarkEnd w:id="486"/>
      <w:bookmarkEnd w:id="487"/>
      <w:bookmarkEnd w:id="488"/>
      <w:bookmarkEnd w:id="489"/>
    </w:p>
    <w:p>
      <w:pPr>
        <w:rPr>
          <w:rFonts w:hint="eastAsia" w:ascii="宋体" w:hAnsi="宋体" w:eastAsia="宋体" w:cs="宋体"/>
          <w:color w:val="auto"/>
          <w:sz w:val="84"/>
          <w:highlight w:val="none"/>
        </w:rPr>
      </w:pPr>
      <w:bookmarkStart w:id="490" w:name="_Toc142508362"/>
      <w:bookmarkStart w:id="491" w:name="_Toc1977721"/>
      <w:bookmarkStart w:id="492" w:name="_Toc94107202"/>
      <w:bookmarkStart w:id="493" w:name="_Toc104991868"/>
      <w:bookmarkStart w:id="494" w:name="_Toc533708121"/>
      <w:bookmarkStart w:id="495" w:name="_Toc102860067"/>
      <w:bookmarkStart w:id="496" w:name="_Toc140596921"/>
      <w:bookmarkStart w:id="497" w:name="_Toc102860411"/>
      <w:bookmarkStart w:id="498" w:name="_Toc486167709"/>
      <w:bookmarkStart w:id="499" w:name="_Toc21133_WPSOffice_Level2"/>
      <w:r>
        <w:rPr>
          <w:rFonts w:hint="eastAsia" w:ascii="宋体" w:hAnsi="宋体" w:eastAsia="宋体" w:cs="宋体"/>
          <w:b/>
          <w:color w:val="auto"/>
          <w:kern w:val="0"/>
          <w:sz w:val="32"/>
          <w:szCs w:val="32"/>
          <w:highlight w:val="none"/>
        </w:rPr>
        <w:br w:type="page"/>
      </w:r>
    </w:p>
    <w:p>
      <w:pPr>
        <w:pStyle w:val="19"/>
        <w:spacing w:line="360" w:lineRule="auto"/>
        <w:jc w:val="center"/>
        <w:rPr>
          <w:rFonts w:hint="eastAsia" w:ascii="宋体" w:hAnsi="宋体" w:eastAsia="宋体" w:cs="宋体"/>
          <w:color w:val="auto"/>
          <w:sz w:val="84"/>
          <w:highlight w:val="none"/>
        </w:rPr>
      </w:pPr>
    </w:p>
    <w:p>
      <w:pPr>
        <w:pStyle w:val="19"/>
        <w:spacing w:line="360" w:lineRule="auto"/>
        <w:jc w:val="center"/>
        <w:rPr>
          <w:rFonts w:hint="eastAsia" w:ascii="宋体" w:hAnsi="宋体" w:eastAsia="宋体" w:cs="宋体"/>
          <w:color w:val="auto"/>
          <w:sz w:val="84"/>
          <w:highlight w:val="none"/>
        </w:rPr>
      </w:pPr>
    </w:p>
    <w:p>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t>招标编号：</w:t>
      </w:r>
      <w:r>
        <w:rPr>
          <w:rFonts w:hint="eastAsia" w:ascii="宋体" w:hAnsi="宋体" w:cs="宋体"/>
          <w:color w:val="auto"/>
          <w:sz w:val="30"/>
          <w:highlight w:val="none"/>
          <w:u w:val="single"/>
          <w:lang w:eastAsia="zh-CN"/>
        </w:rPr>
        <w:t>0832-SFCX24DG032C</w:t>
      </w:r>
    </w:p>
    <w:p>
      <w:pPr>
        <w:pStyle w:val="19"/>
        <w:spacing w:line="360" w:lineRule="auto"/>
        <w:rPr>
          <w:rFonts w:hint="eastAsia" w:ascii="宋体" w:hAnsi="宋体" w:eastAsia="宋体" w:cs="宋体"/>
          <w:color w:val="auto"/>
          <w:sz w:val="30"/>
          <w:highlight w:val="none"/>
          <w:u w:val="single"/>
          <w:lang w:eastAsia="zh-CN"/>
        </w:rPr>
      </w:pPr>
      <w:r>
        <w:rPr>
          <w:rFonts w:hint="eastAsia" w:ascii="宋体" w:hAnsi="宋体" w:eastAsia="宋体" w:cs="宋体"/>
          <w:color w:val="auto"/>
          <w:sz w:val="30"/>
          <w:highlight w:val="none"/>
        </w:rPr>
        <w:t>项目名称：</w:t>
      </w:r>
      <w:r>
        <w:rPr>
          <w:rFonts w:hint="eastAsia" w:ascii="宋体" w:hAnsi="宋体" w:cs="宋体"/>
          <w:color w:val="auto"/>
          <w:sz w:val="30"/>
          <w:highlight w:val="none"/>
          <w:u w:val="single"/>
          <w:lang w:eastAsia="zh-CN"/>
        </w:rPr>
        <w:t>东莞市茶山镇污水处理厂改扩建项目第三方检测服务（不含桩基完整性检测）采购项目</w:t>
      </w:r>
    </w:p>
    <w:p>
      <w:pPr>
        <w:pStyle w:val="19"/>
        <w:spacing w:line="360" w:lineRule="auto"/>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pPr>
        <w:pStyle w:val="19"/>
        <w:spacing w:line="360" w:lineRule="auto"/>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t>招标人：</w:t>
      </w:r>
      <w:r>
        <w:rPr>
          <w:rFonts w:hint="eastAsia" w:ascii="宋体" w:hAnsi="宋体" w:cs="宋体"/>
          <w:color w:val="auto"/>
          <w:sz w:val="30"/>
          <w:highlight w:val="none"/>
          <w:u w:val="single"/>
          <w:lang w:eastAsia="zh-CN"/>
        </w:rPr>
        <w:t>东莞市水务集团建设管理有限公司</w:t>
      </w:r>
    </w:p>
    <w:p>
      <w:pPr>
        <w:pStyle w:val="19"/>
        <w:spacing w:line="360" w:lineRule="auto"/>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19"/>
        <w:spacing w:line="360" w:lineRule="auto"/>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19"/>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0" w:type="pct"/>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7" w:type="pct"/>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040"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pPr>
              <w:rPr>
                <w:rFonts w:hint="eastAsia" w:ascii="宋体" w:hAnsi="宋体" w:eastAsia="宋体" w:cs="宋体"/>
                <w:bCs/>
                <w:color w:val="auto"/>
                <w:szCs w:val="21"/>
                <w:highlight w:val="none"/>
              </w:rPr>
            </w:pPr>
          </w:p>
        </w:tc>
        <w:tc>
          <w:tcPr>
            <w:tcW w:w="1337" w:type="pct"/>
            <w:vAlign w:val="center"/>
          </w:tcPr>
          <w:p>
            <w:pPr>
              <w:rPr>
                <w:rFonts w:hint="eastAsia" w:ascii="宋体" w:hAnsi="宋体" w:eastAsia="宋体" w:cs="宋体"/>
                <w:bCs/>
                <w:color w:val="auto"/>
                <w:szCs w:val="21"/>
                <w:highlight w:val="none"/>
              </w:rPr>
            </w:pPr>
          </w:p>
        </w:tc>
        <w:tc>
          <w:tcPr>
            <w:tcW w:w="1040" w:type="pct"/>
            <w:vAlign w:val="center"/>
          </w:tcPr>
          <w:p>
            <w:pPr>
              <w:rPr>
                <w:rFonts w:hint="eastAsia" w:ascii="宋体" w:hAnsi="宋体" w:eastAsia="宋体" w:cs="宋体"/>
                <w:bCs/>
                <w:color w:val="auto"/>
                <w:szCs w:val="21"/>
                <w:highlight w:val="none"/>
              </w:rPr>
            </w:pPr>
          </w:p>
        </w:tc>
        <w:tc>
          <w:tcPr>
            <w:tcW w:w="1957" w:type="pct"/>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rPr>
                <w:rFonts w:hint="eastAsia" w:ascii="宋体" w:hAnsi="宋体" w:eastAsia="宋体" w:cs="宋体"/>
                <w:bCs/>
                <w:color w:val="auto"/>
                <w:szCs w:val="21"/>
                <w:highlight w:val="none"/>
              </w:rPr>
            </w:pPr>
          </w:p>
        </w:tc>
        <w:tc>
          <w:tcPr>
            <w:tcW w:w="1040"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1040"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0" w:type="pct"/>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00" w:name="_Toc23782"/>
      <w:bookmarkStart w:id="501" w:name="_Toc29567"/>
      <w:bookmarkStart w:id="502" w:name="_Toc27679"/>
      <w:bookmarkStart w:id="503" w:name="_Toc13281"/>
      <w:r>
        <w:rPr>
          <w:rFonts w:hint="eastAsia" w:ascii="宋体" w:hAnsi="宋体" w:eastAsia="宋体" w:cs="宋体"/>
          <w:b/>
          <w:color w:val="auto"/>
          <w:kern w:val="0"/>
          <w:sz w:val="32"/>
          <w:szCs w:val="32"/>
          <w:highlight w:val="none"/>
        </w:rPr>
        <w:t>一、投标函格式</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pPr>
        <w:autoSpaceDE w:val="0"/>
        <w:autoSpaceDN w:val="0"/>
        <w:adjustRightInd w:val="0"/>
        <w:spacing w:line="360" w:lineRule="auto"/>
        <w:jc w:val="center"/>
        <w:rPr>
          <w:rFonts w:ascii="宋体" w:hAnsi="宋体" w:eastAsia="宋体" w:cs="宋体"/>
          <w:b/>
          <w:bCs/>
          <w:color w:val="auto"/>
          <w:sz w:val="30"/>
          <w:szCs w:val="30"/>
          <w:highlight w:val="none"/>
        </w:rPr>
      </w:pPr>
      <w:bookmarkStart w:id="504" w:name="_Toc16695_WPSOffice_Level3"/>
      <w:r>
        <w:rPr>
          <w:rFonts w:hint="eastAsia" w:ascii="宋体" w:hAnsi="宋体" w:eastAsia="宋体" w:cs="宋体"/>
          <w:b/>
          <w:bCs/>
          <w:color w:val="auto"/>
          <w:sz w:val="30"/>
          <w:szCs w:val="30"/>
          <w:highlight w:val="none"/>
          <w:lang w:val="zh-CN"/>
        </w:rPr>
        <w:t>投 标 函</w:t>
      </w:r>
      <w:bookmarkEnd w:id="504"/>
    </w:p>
    <w:p>
      <w:pPr>
        <w:autoSpaceDE w:val="0"/>
        <w:autoSpaceDN w:val="0"/>
        <w:adjustRightInd w:val="0"/>
        <w:spacing w:line="360" w:lineRule="auto"/>
        <w:rPr>
          <w:rFonts w:ascii="宋体" w:hAnsi="宋体" w:eastAsia="宋体" w:cs="宋体"/>
          <w:color w:val="auto"/>
          <w:szCs w:val="21"/>
          <w:highlight w:val="none"/>
          <w:lang w:val="zh-CN"/>
        </w:rPr>
      </w:pPr>
    </w:p>
    <w:p>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东莞市水务集团建设管理有限公司</w:t>
      </w:r>
    </w:p>
    <w:p>
      <w:pPr>
        <w:autoSpaceDE w:val="0"/>
        <w:autoSpaceDN w:val="0"/>
        <w:adjustRightInd w:val="0"/>
        <w:spacing w:line="360" w:lineRule="auto"/>
        <w:rPr>
          <w:rFonts w:ascii="宋体" w:hAnsi="宋体" w:eastAsia="宋体" w:cs="宋体"/>
          <w:color w:val="auto"/>
          <w:szCs w:val="21"/>
          <w:highlight w:val="none"/>
        </w:rPr>
      </w:pPr>
    </w:p>
    <w:p>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东莞市茶山镇污水处理厂改扩建项目第三方检测服务（不含桩基完整性检测）采购项目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0832-SFCX24DG032C</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0832-SFCX24DG032C</w:t>
      </w:r>
      <w:r>
        <w:rPr>
          <w:rFonts w:hint="eastAsia" w:ascii="宋体" w:hAnsi="宋体" w:eastAsia="宋体" w:cs="宋体"/>
          <w:color w:val="auto"/>
          <w:szCs w:val="21"/>
          <w:highlight w:val="none"/>
          <w:lang w:val="zh-CN"/>
        </w:rPr>
        <w:t>的投标；</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05" w:name="_Toc142508363"/>
      <w:bookmarkStart w:id="506" w:name="_Toc104991869"/>
      <w:bookmarkStart w:id="507" w:name="_Toc1977722"/>
      <w:bookmarkStart w:id="508" w:name="_Toc533708122"/>
      <w:bookmarkStart w:id="509" w:name="_Toc3104"/>
      <w:bookmarkStart w:id="510" w:name="_Toc486167710"/>
      <w:bookmarkStart w:id="511" w:name="_Toc30995"/>
      <w:bookmarkStart w:id="512" w:name="_Toc102860412"/>
      <w:bookmarkStart w:id="513" w:name="_Toc94107203"/>
      <w:bookmarkStart w:id="514" w:name="_Toc4014"/>
      <w:bookmarkStart w:id="515" w:name="_Toc12417"/>
      <w:bookmarkStart w:id="516" w:name="_Toc140596922"/>
      <w:bookmarkStart w:id="517" w:name="_Toc28613_WPSOffice_Level2"/>
      <w:bookmarkStart w:id="518" w:name="_Toc102860068"/>
      <w:r>
        <w:rPr>
          <w:rFonts w:hint="eastAsia" w:ascii="宋体" w:hAnsi="宋体" w:eastAsia="宋体" w:cs="宋体"/>
          <w:b/>
          <w:color w:val="auto"/>
          <w:kern w:val="0"/>
          <w:sz w:val="32"/>
          <w:szCs w:val="32"/>
          <w:highlight w:val="none"/>
        </w:rPr>
        <w:t>二、投标承诺书格式</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东莞市茶山镇污水处理厂改扩建项目第三方检测服务（不含桩基完整性检测）采购项目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0832-SFCX24DG032C</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bookmarkStart w:id="519" w:name="_Toc316896755"/>
      <w:bookmarkStart w:id="520" w:name="_Toc326768876"/>
      <w:bookmarkStart w:id="521" w:name="_Toc311032584"/>
    </w:p>
    <w:p>
      <w:pPr>
        <w:pStyle w:val="4"/>
        <w:pageBreakBefore/>
        <w:spacing w:line="360" w:lineRule="auto"/>
        <w:rPr>
          <w:rFonts w:hint="eastAsia" w:ascii="宋体" w:hAnsi="宋体" w:eastAsia="宋体" w:cs="宋体"/>
          <w:b/>
          <w:bCs/>
          <w:color w:val="auto"/>
          <w:kern w:val="2"/>
          <w:sz w:val="32"/>
          <w:szCs w:val="32"/>
          <w:highlight w:val="none"/>
          <w:lang w:val="zh-CN"/>
        </w:rPr>
      </w:pPr>
      <w:bookmarkStart w:id="522" w:name="_Toc18827"/>
      <w:bookmarkStart w:id="523" w:name="_Toc104991870"/>
      <w:bookmarkStart w:id="524" w:name="_Toc29910"/>
      <w:bookmarkStart w:id="525" w:name="_Toc94107204"/>
      <w:bookmarkStart w:id="526" w:name="_Toc24336"/>
      <w:bookmarkStart w:id="527" w:name="_Toc140596923"/>
      <w:bookmarkStart w:id="528" w:name="_Toc5075"/>
      <w:bookmarkStart w:id="529" w:name="_Toc142508364"/>
      <w:bookmarkStart w:id="530" w:name="_Toc82182546"/>
      <w:bookmarkStart w:id="531" w:name="_Toc86764083"/>
      <w:bookmarkStart w:id="532" w:name="_Toc102860413"/>
      <w:bookmarkStart w:id="533" w:name="_Toc102860069"/>
      <w:bookmarkStart w:id="534" w:name="_Toc7024_WPSOffice_Level2"/>
      <w:bookmarkStart w:id="535" w:name="_Toc533708123"/>
      <w:bookmarkStart w:id="536" w:name="_Toc486167711"/>
      <w:bookmarkStart w:id="537" w:name="_Toc1977723"/>
      <w:r>
        <w:rPr>
          <w:rFonts w:hint="eastAsia" w:ascii="宋体" w:hAnsi="宋体" w:eastAsia="宋体" w:cs="宋体"/>
          <w:b/>
          <w:color w:val="auto"/>
          <w:kern w:val="44"/>
          <w:sz w:val="32"/>
          <w:szCs w:val="32"/>
          <w:highlight w:val="none"/>
        </w:rPr>
        <w:t>三、</w:t>
      </w:r>
      <w:r>
        <w:rPr>
          <w:rFonts w:hint="eastAsia" w:ascii="宋体" w:hAnsi="宋体" w:eastAsia="宋体" w:cs="宋体"/>
          <w:b/>
          <w:bCs/>
          <w:color w:val="auto"/>
          <w:kern w:val="2"/>
          <w:sz w:val="32"/>
          <w:szCs w:val="32"/>
          <w:highlight w:val="none"/>
          <w:lang w:val="zh-CN"/>
        </w:rPr>
        <w:t>现场转换采购方式同意书</w:t>
      </w:r>
      <w:bookmarkEnd w:id="522"/>
    </w:p>
    <w:p>
      <w:pPr>
        <w:spacing w:line="360" w:lineRule="auto"/>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b/>
          <w:color w:val="auto"/>
          <w:kern w:val="44"/>
          <w:sz w:val="32"/>
          <w:szCs w:val="32"/>
          <w:highlight w:val="none"/>
        </w:rPr>
      </w:pPr>
      <w:r>
        <w:rPr>
          <w:rFonts w:hint="eastAsia" w:ascii="宋体" w:hAnsi="宋体" w:eastAsia="宋体" w:cs="宋体"/>
          <w:b/>
          <w:color w:val="auto"/>
          <w:kern w:val="44"/>
          <w:sz w:val="32"/>
          <w:szCs w:val="32"/>
          <w:highlight w:val="none"/>
        </w:rPr>
        <w:t>现场转换采购方式同意书</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致东莞市水务集团建设管理有限公司：</w:t>
      </w:r>
    </w:p>
    <w:p>
      <w:pPr>
        <w:spacing w:line="360" w:lineRule="auto"/>
        <w:ind w:firstLine="420" w:firstLine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我方</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（投标人名称）为</w:t>
      </w:r>
      <w:r>
        <w:rPr>
          <w:rFonts w:hint="eastAsia" w:ascii="宋体" w:hAnsi="宋体" w:eastAsia="宋体" w:cs="宋体"/>
          <w:color w:val="auto"/>
          <w:sz w:val="21"/>
          <w:szCs w:val="21"/>
          <w:highlight w:val="none"/>
          <w:u w:val="single"/>
          <w:lang w:eastAsia="zh-CN"/>
        </w:rPr>
        <w:t>东莞市茶山镇污水处理厂改扩建项目第三方检测服务（不含桩基完整性检测）采购项目</w:t>
      </w: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u w:val="single"/>
          <w:lang w:eastAsia="zh-CN"/>
        </w:rPr>
        <w:t>0832-SFCX24DG032C</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highlight w:val="none"/>
          <w:lang w:val="zh-CN"/>
        </w:rPr>
        <w:t>的投标单位，本次招标采购过程中我方同意按下列方式继续参与采购。</w:t>
      </w:r>
    </w:p>
    <w:p>
      <w:pPr>
        <w:spacing w:line="360" w:lineRule="auto"/>
        <w:ind w:firstLine="420" w:firstLine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highlight w:val="none"/>
          <w:lang w:val="zh-CN"/>
        </w:rPr>
        <w:t>（1）</w:t>
      </w:r>
      <w:r>
        <w:rPr>
          <w:rFonts w:hint="eastAsia" w:ascii="宋体" w:hAnsi="宋体" w:eastAsia="宋体" w:cs="宋体"/>
          <w:color w:val="auto"/>
          <w:kern w:val="2"/>
          <w:sz w:val="21"/>
          <w:highlight w:val="none"/>
          <w:lang w:val="en-US" w:eastAsia="zh-CN"/>
        </w:rPr>
        <w:t>若</w:t>
      </w:r>
      <w:r>
        <w:rPr>
          <w:rFonts w:hint="eastAsia" w:ascii="宋体" w:hAnsi="宋体" w:eastAsia="宋体" w:cs="宋体"/>
          <w:color w:val="auto"/>
          <w:kern w:val="2"/>
          <w:sz w:val="21"/>
          <w:highlight w:val="none"/>
          <w:lang w:val="zh-CN"/>
        </w:rPr>
        <w:t>有效投标人只有2个时，我方同意本项目现场转为竞争性谈判方式继续实施采购，接受原公开招标文件的要求即为竞争性谈判采购文件的要求，接受原公开招标投标文件即为竞争性谈判响应文件。</w:t>
      </w:r>
    </w:p>
    <w:p>
      <w:pPr>
        <w:spacing w:line="360" w:lineRule="auto"/>
        <w:ind w:firstLine="420" w:firstLine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（2）若有效投标人只有1个时，我方同意本项目现场转</w:t>
      </w:r>
      <w:r>
        <w:rPr>
          <w:rFonts w:hint="eastAsia" w:ascii="宋体" w:hAnsi="宋体" w:eastAsia="宋体" w:cs="宋体"/>
          <w:color w:val="auto"/>
          <w:kern w:val="2"/>
          <w:sz w:val="21"/>
          <w:highlight w:val="none"/>
        </w:rPr>
        <w:t>为</w:t>
      </w:r>
      <w:r>
        <w:rPr>
          <w:rFonts w:hint="eastAsia" w:ascii="宋体" w:hAnsi="宋体" w:eastAsia="宋体" w:cs="宋体"/>
          <w:color w:val="auto"/>
          <w:kern w:val="2"/>
          <w:sz w:val="21"/>
          <w:highlight w:val="none"/>
          <w:lang w:val="zh-CN"/>
        </w:rPr>
        <w:t>单一来源的方式继续实施采购。接受原公开招标文件的要求即为单一来源采购文件的要求，接受原公开招标投标文件即为单一来源响应文件。</w:t>
      </w:r>
    </w:p>
    <w:p>
      <w:pPr>
        <w:spacing w:line="360" w:lineRule="auto"/>
        <w:ind w:firstLine="5040"/>
        <w:jc w:val="both"/>
        <w:rPr>
          <w:rFonts w:hint="eastAsia" w:ascii="宋体" w:hAnsi="宋体" w:eastAsia="宋体" w:cs="宋体"/>
          <w:color w:val="auto"/>
          <w:kern w:val="2"/>
          <w:sz w:val="21"/>
          <w:highlight w:val="none"/>
          <w:lang w:val="zh-CN"/>
        </w:rPr>
      </w:pPr>
    </w:p>
    <w:p>
      <w:pPr>
        <w:spacing w:line="360" w:lineRule="auto"/>
        <w:ind w:firstLine="5040"/>
        <w:jc w:val="both"/>
        <w:rPr>
          <w:rFonts w:hint="eastAsia" w:ascii="宋体" w:hAnsi="宋体" w:eastAsia="宋体" w:cs="宋体"/>
          <w:color w:val="auto"/>
          <w:kern w:val="2"/>
          <w:sz w:val="21"/>
          <w:highlight w:val="none"/>
          <w:lang w:val="zh-CN"/>
        </w:rPr>
      </w:pPr>
    </w:p>
    <w:p>
      <w:pPr>
        <w:spacing w:line="360" w:lineRule="auto"/>
        <w:ind w:firstLine="504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投标人：（加盖投标人法人公章）</w:t>
      </w:r>
    </w:p>
    <w:p>
      <w:pPr>
        <w:spacing w:line="360" w:lineRule="auto"/>
        <w:ind w:firstLine="504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法定代表人或其授权代表签名（或盖私章）：</w:t>
      </w:r>
    </w:p>
    <w:p>
      <w:pPr>
        <w:spacing w:line="360" w:lineRule="auto"/>
        <w:ind w:firstLine="5040"/>
        <w:jc w:val="both"/>
        <w:rPr>
          <w:rFonts w:hint="eastAsia" w:ascii="宋体" w:hAnsi="宋体" w:eastAsia="宋体" w:cs="宋体"/>
          <w:b/>
          <w:color w:val="auto"/>
          <w:kern w:val="44"/>
          <w:sz w:val="32"/>
          <w:szCs w:val="32"/>
          <w:highlight w:val="none"/>
        </w:rPr>
      </w:pPr>
      <w:r>
        <w:rPr>
          <w:rFonts w:hint="eastAsia" w:ascii="宋体" w:hAnsi="宋体" w:eastAsia="宋体" w:cs="宋体"/>
          <w:color w:val="auto"/>
          <w:kern w:val="2"/>
          <w:sz w:val="21"/>
          <w:highlight w:val="none"/>
          <w:lang w:val="zh-CN"/>
        </w:rPr>
        <w:t>日期：   年   月   日</w:t>
      </w:r>
    </w:p>
    <w:p>
      <w:pPr>
        <w:rPr>
          <w:rFonts w:hint="eastAsia" w:ascii="宋体" w:hAnsi="宋体" w:eastAsia="宋体" w:cs="宋体"/>
          <w:b/>
          <w:color w:val="auto"/>
          <w:kern w:val="44"/>
          <w:sz w:val="32"/>
          <w:szCs w:val="32"/>
          <w:highlight w:val="none"/>
        </w:rPr>
      </w:pPr>
      <w:r>
        <w:rPr>
          <w:rFonts w:hint="eastAsia" w:ascii="宋体" w:hAnsi="宋体" w:eastAsia="宋体" w:cs="宋体"/>
          <w:b/>
          <w:color w:val="auto"/>
          <w:kern w:val="44"/>
          <w:sz w:val="32"/>
          <w:szCs w:val="32"/>
          <w:highlight w:val="none"/>
        </w:rPr>
        <w:br w:type="page"/>
      </w:r>
    </w:p>
    <w:p>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538" w:name="_Toc15014"/>
      <w:r>
        <w:rPr>
          <w:rFonts w:hint="eastAsia" w:ascii="宋体" w:hAnsi="宋体" w:eastAsia="宋体" w:cs="宋体"/>
          <w:b/>
          <w:color w:val="auto"/>
          <w:kern w:val="44"/>
          <w:sz w:val="32"/>
          <w:szCs w:val="32"/>
          <w:highlight w:val="none"/>
          <w:lang w:val="en-US" w:eastAsia="zh-CN"/>
        </w:rPr>
        <w:t>四、</w:t>
      </w:r>
      <w:r>
        <w:rPr>
          <w:rFonts w:hint="eastAsia" w:ascii="宋体" w:hAnsi="宋体" w:eastAsia="宋体" w:cs="宋体"/>
          <w:b/>
          <w:color w:val="auto"/>
          <w:kern w:val="44"/>
          <w:sz w:val="32"/>
          <w:szCs w:val="32"/>
          <w:highlight w:val="none"/>
        </w:rPr>
        <w:t>供货及/或提供服务过程承诺函格式</w:t>
      </w:r>
      <w:bookmarkEnd w:id="523"/>
      <w:bookmarkEnd w:id="524"/>
      <w:bookmarkEnd w:id="525"/>
      <w:bookmarkEnd w:id="526"/>
      <w:bookmarkEnd w:id="527"/>
      <w:bookmarkEnd w:id="528"/>
      <w:bookmarkEnd w:id="529"/>
      <w:bookmarkEnd w:id="530"/>
      <w:bookmarkEnd w:id="531"/>
      <w:bookmarkEnd w:id="532"/>
      <w:bookmarkEnd w:id="533"/>
      <w:bookmarkEnd w:id="538"/>
    </w:p>
    <w:p>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东莞市水务集团建设管理有限公司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东莞市茶山镇污水处理厂改扩建项目第三方检测服务（不含桩基完整性检测）采购项目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0832-SFCX24DG032C</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539" w:name="_Toc28015"/>
      <w:bookmarkStart w:id="540" w:name="_Toc102860415"/>
      <w:bookmarkStart w:id="541" w:name="_Toc140596925"/>
      <w:bookmarkStart w:id="542" w:name="_Toc104991872"/>
      <w:bookmarkStart w:id="543" w:name="_Toc13416"/>
      <w:bookmarkStart w:id="544" w:name="_Toc102860071"/>
      <w:bookmarkStart w:id="545" w:name="_Toc142508366"/>
      <w:bookmarkStart w:id="546" w:name="_Toc18346"/>
      <w:bookmarkStart w:id="547" w:name="_Toc1140"/>
      <w:bookmarkStart w:id="548" w:name="_Toc94107206"/>
      <w:r>
        <w:rPr>
          <w:rFonts w:hint="eastAsia" w:ascii="宋体" w:hAnsi="宋体" w:eastAsia="宋体" w:cs="宋体"/>
          <w:b/>
          <w:color w:val="auto"/>
          <w:kern w:val="0"/>
          <w:sz w:val="32"/>
          <w:szCs w:val="32"/>
          <w:highlight w:val="none"/>
          <w:lang w:val="en-US" w:eastAsia="zh-CN"/>
        </w:rPr>
        <w:t>五</w:t>
      </w:r>
      <w:r>
        <w:rPr>
          <w:rFonts w:hint="eastAsia" w:ascii="宋体" w:hAnsi="宋体" w:eastAsia="宋体" w:cs="宋体"/>
          <w:b/>
          <w:color w:val="auto"/>
          <w:kern w:val="0"/>
          <w:sz w:val="32"/>
          <w:szCs w:val="32"/>
          <w:highlight w:val="none"/>
        </w:rPr>
        <w:t>、投标报价表格式</w:t>
      </w:r>
      <w:bookmarkEnd w:id="534"/>
      <w:bookmarkEnd w:id="535"/>
      <w:bookmarkEnd w:id="536"/>
      <w:bookmarkEnd w:id="537"/>
      <w:bookmarkEnd w:id="539"/>
      <w:bookmarkEnd w:id="540"/>
      <w:bookmarkEnd w:id="541"/>
      <w:bookmarkEnd w:id="542"/>
      <w:bookmarkEnd w:id="543"/>
      <w:bookmarkEnd w:id="544"/>
      <w:bookmarkEnd w:id="545"/>
      <w:bookmarkEnd w:id="546"/>
      <w:bookmarkEnd w:id="547"/>
      <w:bookmarkEnd w:id="548"/>
    </w:p>
    <w:p>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东莞市茶山镇污水处理厂改扩建项目第三方检测服务（不含桩基完整性检测）采购项目</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0832-SFCX24DG032C</w:t>
      </w:r>
    </w:p>
    <w:tbl>
      <w:tblPr>
        <w:tblStyle w:val="3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rPr>
              <w:t>检测服务系数</w:t>
            </w:r>
          </w:p>
        </w:tc>
        <w:tc>
          <w:tcPr>
            <w:tcW w:w="64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东莞市茶山镇污水处理厂改扩建项目第三方检测服务（不含桩基完整性检测）采购项目</w:t>
            </w:r>
          </w:p>
        </w:tc>
        <w:tc>
          <w:tcPr>
            <w:tcW w:w="1578" w:type="pct"/>
            <w:tcBorders>
              <w:top w:val="single" w:color="auto" w:sz="4" w:space="0"/>
              <w:left w:val="single" w:color="auto" w:sz="4" w:space="0"/>
              <w:right w:val="single" w:color="auto" w:sz="4" w:space="0"/>
            </w:tcBorders>
            <w:vAlign w:val="center"/>
          </w:tcPr>
          <w:p>
            <w:pPr>
              <w:tabs>
                <w:tab w:val="left" w:pos="8610"/>
              </w:tabs>
              <w:spacing w:line="360" w:lineRule="auto"/>
              <w:jc w:val="center"/>
              <w:rPr>
                <w:rFonts w:ascii="宋体" w:hAnsi="宋体" w:eastAsia="宋体" w:cs="Times New Roman"/>
                <w:color w:val="auto"/>
                <w:kern w:val="0"/>
                <w:szCs w:val="21"/>
                <w:highlight w:val="none"/>
              </w:rPr>
            </w:pPr>
          </w:p>
        </w:tc>
        <w:tc>
          <w:tcPr>
            <w:tcW w:w="642" w:type="pct"/>
            <w:tcBorders>
              <w:top w:val="single" w:color="auto" w:sz="4" w:space="0"/>
              <w:left w:val="single" w:color="auto" w:sz="4" w:space="0"/>
              <w:right w:val="single" w:color="auto" w:sz="4" w:space="0"/>
            </w:tcBorders>
            <w:vAlign w:val="center"/>
          </w:tcPr>
          <w:p>
            <w:pPr>
              <w:tabs>
                <w:tab w:val="left" w:pos="8610"/>
              </w:tabs>
              <w:spacing w:line="360" w:lineRule="auto"/>
              <w:jc w:val="center"/>
              <w:rPr>
                <w:rFonts w:ascii="宋体" w:hAnsi="宋体" w:eastAsia="宋体" w:cs="Times New Roman"/>
                <w:color w:val="auto"/>
                <w:kern w:val="0"/>
                <w:szCs w:val="21"/>
                <w:highlight w:val="none"/>
              </w:rPr>
            </w:pPr>
          </w:p>
        </w:tc>
      </w:tr>
    </w:tbl>
    <w:p>
      <w:pPr>
        <w:rPr>
          <w:rFonts w:ascii="宋体" w:hAnsi="宋体" w:eastAsia="宋体" w:cs="宋体"/>
          <w:color w:val="auto"/>
          <w:kern w:val="0"/>
          <w:sz w:val="20"/>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pPr>
        <w:numPr>
          <w:ilvl w:val="0"/>
          <w:numId w:val="0"/>
        </w:numPr>
        <w:autoSpaceDE w:val="0"/>
        <w:autoSpaceDN w:val="0"/>
        <w:adjustRightInd w:val="0"/>
        <w:spacing w:line="360" w:lineRule="auto"/>
        <w:ind w:left="357" w:leftChars="-100" w:hanging="567" w:firstLineChars="0"/>
        <w:rPr>
          <w:rFonts w:hint="eastAsia" w:ascii="宋体" w:hAnsi="宋体" w:eastAsia="宋体" w:cs="Times New Roman"/>
          <w:color w:val="auto"/>
          <w:szCs w:val="21"/>
          <w:highlight w:val="none"/>
          <w:lang w:val="zh-CN"/>
        </w:rPr>
      </w:pPr>
      <w:r>
        <w:rPr>
          <w:rFonts w:hint="eastAsia" w:ascii="宋体" w:hAnsi="宋体" w:eastAsia="宋体" w:cs="Times New Roman"/>
          <w:color w:val="auto"/>
          <w:kern w:val="2"/>
          <w:sz w:val="21"/>
          <w:szCs w:val="21"/>
          <w:lang w:val="zh-CN" w:eastAsia="zh-CN" w:bidi="ar-SA"/>
        </w:rPr>
        <w:t>（1）</w:t>
      </w:r>
      <w:r>
        <w:rPr>
          <w:rFonts w:hint="eastAsia" w:ascii="宋体" w:hAnsi="宋体" w:eastAsia="宋体" w:cs="宋体"/>
          <w:color w:val="auto"/>
          <w:szCs w:val="21"/>
          <w:lang w:val="zh-CN"/>
        </w:rPr>
        <w:t>本项目的投标报价采用检测服务系数报价，合同履约过程中，工程量清单计价表中检测项目</w:t>
      </w:r>
      <w:r>
        <w:rPr>
          <w:rFonts w:hint="eastAsia" w:ascii="宋体" w:hAnsi="宋体" w:eastAsia="宋体" w:cs="宋体"/>
          <w:color w:val="auto"/>
          <w:szCs w:val="21"/>
          <w:lang w:val="en-US" w:eastAsia="zh-CN"/>
        </w:rPr>
        <w:t>结算</w:t>
      </w:r>
      <w:r>
        <w:rPr>
          <w:rFonts w:hint="eastAsia" w:ascii="宋体" w:hAnsi="宋体" w:eastAsia="宋体" w:cs="宋体"/>
          <w:color w:val="auto"/>
          <w:szCs w:val="21"/>
          <w:lang w:val="zh-CN"/>
        </w:rPr>
        <w:t>不含税综合单价按以下方式计算：</w:t>
      </w:r>
      <w:r>
        <w:rPr>
          <w:rFonts w:hint="eastAsia" w:ascii="宋体" w:hAnsi="宋体" w:eastAsia="宋体" w:cs="宋体"/>
          <w:color w:val="auto"/>
          <w:szCs w:val="21"/>
          <w:lang w:val="en-US" w:eastAsia="zh-CN"/>
        </w:rPr>
        <w:t>结算</w:t>
      </w:r>
      <w:r>
        <w:rPr>
          <w:rFonts w:hint="eastAsia" w:ascii="宋体" w:hAnsi="宋体" w:eastAsia="宋体" w:cs="宋体"/>
          <w:color w:val="auto"/>
          <w:szCs w:val="21"/>
          <w:lang w:val="zh-CN"/>
        </w:rPr>
        <w:t>不含税综合单价=不含税综合单价×</w:t>
      </w:r>
      <w:r>
        <w:rPr>
          <w:rFonts w:hint="eastAsia" w:ascii="宋体" w:hAnsi="宋体" w:eastAsia="宋体" w:cs="宋体"/>
          <w:color w:val="auto"/>
          <w:szCs w:val="21"/>
          <w:lang w:val="en-US" w:eastAsia="zh-CN"/>
        </w:rPr>
        <w:t>中标</w:t>
      </w:r>
      <w:r>
        <w:rPr>
          <w:rFonts w:hint="eastAsia" w:ascii="宋体" w:hAnsi="宋体" w:eastAsia="宋体" w:cs="宋体"/>
          <w:color w:val="auto"/>
          <w:szCs w:val="21"/>
          <w:lang w:val="zh-CN"/>
        </w:rPr>
        <w:t>检测服务系数，以实际工作量进行结算，</w:t>
      </w:r>
      <w:r>
        <w:rPr>
          <w:rFonts w:hint="eastAsia" w:ascii="宋体" w:hAnsi="宋体" w:eastAsia="宋体" w:cs="宋体"/>
          <w:color w:val="auto"/>
          <w:szCs w:val="21"/>
          <w:lang w:val="en-US" w:eastAsia="zh-CN"/>
        </w:rPr>
        <w:t>结算</w:t>
      </w:r>
      <w:r>
        <w:rPr>
          <w:rFonts w:hint="eastAsia" w:ascii="宋体" w:hAnsi="宋体" w:eastAsia="宋体" w:cs="宋体"/>
          <w:color w:val="auto"/>
          <w:szCs w:val="21"/>
          <w:lang w:val="zh-CN"/>
        </w:rPr>
        <w:t>不含税综合单价出现小数点，保留小数点后两位，从小数点后第3位四舍五入。</w:t>
      </w:r>
      <w:r>
        <w:rPr>
          <w:rFonts w:hint="eastAsia" w:ascii="宋体" w:hAnsi="宋体" w:eastAsia="宋体" w:cs="Times New Roman"/>
          <w:color w:val="auto"/>
          <w:szCs w:val="21"/>
          <w:highlight w:val="none"/>
          <w:lang w:val="zh-CN"/>
        </w:rPr>
        <w:t>本招标文件所称的不含税</w:t>
      </w:r>
      <w:r>
        <w:rPr>
          <w:rFonts w:hint="eastAsia" w:ascii="宋体" w:hAnsi="宋体" w:eastAsia="宋体" w:cs="宋体"/>
          <w:color w:val="auto"/>
          <w:sz w:val="21"/>
          <w:szCs w:val="21"/>
          <w:highlight w:val="none"/>
        </w:rPr>
        <w:t>综合单价</w:t>
      </w:r>
      <w:r>
        <w:rPr>
          <w:rFonts w:hint="eastAsia" w:ascii="宋体" w:hAnsi="宋体" w:eastAsia="宋体" w:cs="Times New Roman"/>
          <w:color w:val="auto"/>
          <w:szCs w:val="21"/>
          <w:highlight w:val="none"/>
          <w:lang w:val="zh-CN"/>
        </w:rPr>
        <w:t>和</w:t>
      </w:r>
      <w:r>
        <w:rPr>
          <w:rFonts w:hint="eastAsia" w:ascii="宋体" w:hAnsi="宋体" w:eastAsia="宋体" w:cs="宋体"/>
          <w:color w:val="auto"/>
          <w:szCs w:val="21"/>
        </w:rPr>
        <w:t>暂定总合同价</w:t>
      </w:r>
      <w:r>
        <w:rPr>
          <w:rFonts w:hint="eastAsia" w:ascii="宋体" w:hAnsi="宋体" w:eastAsia="宋体" w:cs="Times New Roman"/>
          <w:color w:val="auto"/>
          <w:szCs w:val="21"/>
          <w:highlight w:val="none"/>
          <w:lang w:val="zh-CN"/>
        </w:rPr>
        <w:t>是指不含本采购项目投标人的销项税额，包含了投标人完成合同义务（含投标人代缴代扣、分包及委外服务、安装、采购货物等所产生的价税）的其他全部费用。本采购项目的销项税额由</w:t>
      </w:r>
      <w:r>
        <w:rPr>
          <w:rFonts w:hint="eastAsia" w:ascii="宋体" w:hAnsi="宋体" w:eastAsia="宋体" w:cs="宋体"/>
          <w:color w:val="auto"/>
          <w:szCs w:val="21"/>
          <w:lang w:val="zh-CN"/>
        </w:rPr>
        <w:t>项目业主</w:t>
      </w:r>
      <w:r>
        <w:rPr>
          <w:rFonts w:hint="eastAsia" w:ascii="宋体" w:hAnsi="宋体" w:eastAsia="宋体" w:cs="Times New Roman"/>
          <w:color w:val="auto"/>
          <w:szCs w:val="21"/>
          <w:highlight w:val="none"/>
          <w:lang w:val="zh-CN"/>
        </w:rPr>
        <w:t>承担，不计入投标报价。</w:t>
      </w:r>
    </w:p>
    <w:p>
      <w:pPr>
        <w:numPr>
          <w:ilvl w:val="0"/>
          <w:numId w:val="0"/>
        </w:numPr>
        <w:autoSpaceDE w:val="0"/>
        <w:autoSpaceDN w:val="0"/>
        <w:adjustRightInd w:val="0"/>
        <w:spacing w:line="360" w:lineRule="auto"/>
        <w:ind w:left="357" w:leftChars="-100" w:hanging="567" w:firstLineChars="0"/>
        <w:rPr>
          <w:rFonts w:hint="eastAsia" w:ascii="宋体" w:hAnsi="宋体" w:eastAsia="宋体" w:cs="Times New Roman"/>
          <w:b/>
          <w:bCs/>
          <w:color w:val="auto"/>
          <w:kern w:val="0"/>
          <w:szCs w:val="21"/>
        </w:rPr>
      </w:pPr>
      <w:r>
        <w:rPr>
          <w:rFonts w:ascii="宋体" w:hAnsi="宋体" w:eastAsia="宋体" w:cs="Times New Roman"/>
          <w:b/>
          <w:bCs/>
          <w:color w:val="auto"/>
          <w:kern w:val="0"/>
          <w:sz w:val="21"/>
          <w:szCs w:val="21"/>
          <w:lang w:val="en-US" w:eastAsia="zh-CN" w:bidi="ar-SA"/>
        </w:rPr>
        <w:t>（2）</w:t>
      </w:r>
      <w:r>
        <w:rPr>
          <w:rFonts w:hint="eastAsia" w:ascii="宋体" w:hAnsi="宋体" w:eastAsia="宋体" w:cs="Times New Roman"/>
          <w:b/>
          <w:bCs/>
          <w:color w:val="auto"/>
          <w:szCs w:val="21"/>
          <w:u w:val="single"/>
        </w:rPr>
        <w:t>投标人</w:t>
      </w:r>
      <w:r>
        <w:rPr>
          <w:rFonts w:hint="eastAsia" w:ascii="宋体" w:hAnsi="宋体" w:eastAsia="宋体" w:cs="Times New Roman"/>
          <w:b/>
          <w:bCs/>
          <w:color w:val="auto"/>
          <w:szCs w:val="21"/>
          <w:u w:val="single"/>
          <w:lang w:val="en-US" w:eastAsia="zh-CN"/>
        </w:rPr>
        <w:t>检测</w:t>
      </w:r>
      <w:r>
        <w:rPr>
          <w:rFonts w:hint="eastAsia" w:ascii="宋体" w:hAnsi="宋体" w:eastAsia="宋体" w:cs="Times New Roman"/>
          <w:b/>
          <w:bCs/>
          <w:color w:val="auto"/>
          <w:szCs w:val="21"/>
          <w:u w:val="single"/>
        </w:rPr>
        <w:t>服务系数报价</w:t>
      </w:r>
      <w:r>
        <w:rPr>
          <w:rFonts w:hint="eastAsia" w:ascii="宋体" w:hAnsi="宋体" w:eastAsia="宋体" w:cs="Times New Roman"/>
          <w:b/>
          <w:bCs/>
          <w:color w:val="auto"/>
          <w:szCs w:val="21"/>
          <w:u w:val="single"/>
          <w:lang w:val="en-US" w:eastAsia="zh-CN"/>
        </w:rPr>
        <w:t>不得超过0.80</w:t>
      </w:r>
      <w:r>
        <w:rPr>
          <w:rFonts w:hint="eastAsia" w:ascii="宋体" w:hAnsi="宋体" w:eastAsia="宋体" w:cs="Times New Roman"/>
          <w:b/>
          <w:bCs/>
          <w:color w:val="auto"/>
          <w:szCs w:val="21"/>
          <w:u w:val="single"/>
        </w:rPr>
        <w:t>（保留小数点后2位）</w:t>
      </w:r>
      <w:r>
        <w:rPr>
          <w:rFonts w:hint="eastAsia" w:ascii="宋体" w:hAnsi="宋体" w:eastAsia="宋体" w:cs="Times New Roman"/>
          <w:b/>
          <w:bCs/>
          <w:color w:val="auto"/>
          <w:szCs w:val="21"/>
          <w:u w:val="single"/>
          <w:lang w:eastAsia="zh-CN"/>
        </w:rPr>
        <w:t>，</w:t>
      </w:r>
      <w:r>
        <w:rPr>
          <w:rFonts w:hint="eastAsia" w:ascii="宋体" w:hAnsi="宋体" w:eastAsia="宋体" w:cs="Times New Roman"/>
          <w:b/>
          <w:bCs/>
          <w:color w:val="auto"/>
          <w:szCs w:val="21"/>
          <w:u w:val="single"/>
        </w:rPr>
        <w:t>且不能为</w:t>
      </w:r>
      <w:r>
        <w:rPr>
          <w:rFonts w:hint="eastAsia" w:ascii="宋体" w:hAnsi="宋体" w:eastAsia="宋体" w:cs="Times New Roman"/>
          <w:b/>
          <w:bCs/>
          <w:color w:val="auto"/>
          <w:szCs w:val="21"/>
          <w:u w:val="single"/>
          <w:lang w:val="en-US" w:eastAsia="zh-CN"/>
        </w:rPr>
        <w:t>0.00或</w:t>
      </w:r>
      <w:r>
        <w:rPr>
          <w:rFonts w:hint="eastAsia" w:ascii="宋体" w:hAnsi="宋体" w:eastAsia="宋体" w:cs="Times New Roman"/>
          <w:b/>
          <w:bCs/>
          <w:color w:val="auto"/>
          <w:szCs w:val="21"/>
          <w:u w:val="single"/>
        </w:rPr>
        <w:t>负数，投标人未按招标文件要求进行检测服务系数报价的，将被视为无效投标</w:t>
      </w:r>
      <w:r>
        <w:rPr>
          <w:rFonts w:hint="eastAsia" w:ascii="宋体" w:hAnsi="宋体" w:eastAsia="宋体" w:cs="Times New Roman"/>
          <w:b/>
          <w:bCs/>
          <w:color w:val="auto"/>
          <w:kern w:val="0"/>
          <w:szCs w:val="21"/>
        </w:rPr>
        <w:t>。</w:t>
      </w:r>
    </w:p>
    <w:p>
      <w:pPr>
        <w:numPr>
          <w:ilvl w:val="0"/>
          <w:numId w:val="0"/>
        </w:numPr>
        <w:autoSpaceDE w:val="0"/>
        <w:autoSpaceDN w:val="0"/>
        <w:adjustRightInd w:val="0"/>
        <w:spacing w:line="360" w:lineRule="auto"/>
        <w:ind w:left="357" w:leftChars="-100" w:hanging="567" w:firstLineChars="0"/>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autoSpaceDE w:val="0"/>
        <w:autoSpaceDN w:val="0"/>
        <w:adjustRightInd w:val="0"/>
        <w:spacing w:line="360" w:lineRule="auto"/>
        <w:ind w:right="275" w:rightChars="131"/>
        <w:jc w:val="both"/>
        <w:rPr>
          <w:rFonts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549" w:name="_Toc102860418"/>
      <w:bookmarkStart w:id="550" w:name="_Toc140596928"/>
      <w:bookmarkStart w:id="551" w:name="_Toc102860074"/>
      <w:bookmarkStart w:id="552" w:name="_Toc104991875"/>
      <w:bookmarkStart w:id="553" w:name="_Toc6190"/>
      <w:bookmarkStart w:id="554" w:name="_Toc142508369"/>
      <w:bookmarkStart w:id="555" w:name="_Toc23083"/>
      <w:bookmarkStart w:id="556" w:name="_Toc26516"/>
      <w:bookmarkStart w:id="557" w:name="_Toc94107209"/>
      <w:bookmarkStart w:id="558" w:name="_Toc1977725"/>
      <w:bookmarkStart w:id="559" w:name="_Toc533708124"/>
      <w:bookmarkStart w:id="560" w:name="_Toc486167712"/>
      <w:bookmarkStart w:id="561" w:name="_Toc20759_WPSOffice_Level2"/>
      <w:r>
        <w:rPr>
          <w:rFonts w:hint="eastAsia" w:ascii="宋体" w:hAnsi="宋体" w:eastAsia="宋体" w:cs="宋体"/>
          <w:b/>
          <w:bCs/>
          <w:color w:val="auto"/>
          <w:sz w:val="30"/>
          <w:szCs w:val="30"/>
          <w:highlight w:val="none"/>
          <w:lang w:val="en-US" w:eastAsia="zh-CN"/>
        </w:rPr>
        <w:t>六</w:t>
      </w:r>
      <w:r>
        <w:rPr>
          <w:rFonts w:hint="eastAsia" w:ascii="宋体" w:hAnsi="宋体" w:eastAsia="宋体" w:cs="宋体"/>
          <w:b/>
          <w:color w:val="auto"/>
          <w:kern w:val="0"/>
          <w:sz w:val="32"/>
          <w:szCs w:val="32"/>
          <w:highlight w:val="none"/>
        </w:rPr>
        <w:t>、投标人资格证明文件</w:t>
      </w:r>
      <w:bookmarkEnd w:id="549"/>
      <w:bookmarkEnd w:id="550"/>
      <w:bookmarkEnd w:id="551"/>
      <w:bookmarkEnd w:id="552"/>
      <w:bookmarkEnd w:id="553"/>
      <w:bookmarkEnd w:id="554"/>
      <w:bookmarkEnd w:id="555"/>
      <w:bookmarkEnd w:id="556"/>
      <w:bookmarkEnd w:id="557"/>
      <w:bookmarkEnd w:id="558"/>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62" w:name="_Toc17358"/>
      <w:bookmarkStart w:id="563" w:name="_Toc102860419"/>
      <w:bookmarkStart w:id="564" w:name="_Toc23612"/>
      <w:bookmarkStart w:id="565" w:name="_Toc140596929"/>
      <w:bookmarkStart w:id="566" w:name="_Toc104991876"/>
      <w:bookmarkStart w:id="567" w:name="_Toc29874"/>
      <w:bookmarkStart w:id="568" w:name="_Toc94107210"/>
      <w:bookmarkStart w:id="569" w:name="_Toc142508370"/>
      <w:bookmarkStart w:id="570" w:name="_Toc25267"/>
      <w:bookmarkStart w:id="571" w:name="_Toc102860075"/>
      <w:bookmarkStart w:id="572" w:name="_Toc1977726"/>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.1 多证合一营业执照（或事业单位法人证书）复印件</w:t>
      </w:r>
      <w:bookmarkEnd w:id="562"/>
      <w:bookmarkEnd w:id="563"/>
      <w:bookmarkEnd w:id="564"/>
      <w:bookmarkEnd w:id="565"/>
      <w:bookmarkEnd w:id="566"/>
      <w:bookmarkEnd w:id="567"/>
      <w:bookmarkEnd w:id="568"/>
      <w:bookmarkEnd w:id="569"/>
      <w:bookmarkEnd w:id="570"/>
      <w:bookmarkEnd w:id="571"/>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73" w:name="_Toc27861"/>
      <w:bookmarkStart w:id="574" w:name="_Toc142508371"/>
      <w:bookmarkStart w:id="575" w:name="_Toc102860420"/>
      <w:bookmarkStart w:id="576" w:name="_Toc104991877"/>
      <w:bookmarkStart w:id="577" w:name="_Toc94107211"/>
      <w:bookmarkStart w:id="578" w:name="_Toc102860076"/>
      <w:bookmarkStart w:id="579" w:name="_Toc25013"/>
      <w:bookmarkStart w:id="580" w:name="_Toc140596930"/>
      <w:bookmarkStart w:id="581" w:name="_Toc28170"/>
      <w:bookmarkStart w:id="582" w:name="_Toc7756"/>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73"/>
      <w:bookmarkEnd w:id="574"/>
      <w:bookmarkEnd w:id="575"/>
      <w:bookmarkEnd w:id="576"/>
      <w:bookmarkEnd w:id="577"/>
      <w:bookmarkEnd w:id="578"/>
      <w:bookmarkEnd w:id="579"/>
      <w:bookmarkEnd w:id="580"/>
      <w:bookmarkEnd w:id="581"/>
      <w:bookmarkEnd w:id="582"/>
    </w:p>
    <w:p>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83" w:name="_Toc102860421"/>
      <w:bookmarkStart w:id="584" w:name="_Toc17499"/>
      <w:bookmarkStart w:id="585" w:name="_Toc102860077"/>
      <w:bookmarkStart w:id="586" w:name="_Toc7441"/>
      <w:bookmarkStart w:id="587" w:name="_Toc140596931"/>
      <w:bookmarkStart w:id="588" w:name="_Toc9132"/>
      <w:bookmarkStart w:id="589" w:name="_Toc94107212"/>
      <w:bookmarkStart w:id="590" w:name="_Toc104991878"/>
      <w:bookmarkStart w:id="591" w:name="_Toc142508372"/>
      <w:bookmarkStart w:id="592" w:name="_Toc753"/>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83"/>
      <w:bookmarkEnd w:id="584"/>
      <w:bookmarkEnd w:id="585"/>
      <w:bookmarkEnd w:id="586"/>
      <w:bookmarkEnd w:id="587"/>
      <w:bookmarkEnd w:id="588"/>
      <w:bookmarkEnd w:id="589"/>
      <w:bookmarkEnd w:id="590"/>
      <w:bookmarkEnd w:id="591"/>
      <w:bookmarkEnd w:id="592"/>
    </w:p>
    <w:p>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59"/>
      <w:bookmarkEnd w:id="560"/>
      <w:bookmarkEnd w:id="561"/>
      <w:bookmarkEnd w:id="572"/>
    </w:p>
    <w:p>
      <w:pPr>
        <w:spacing w:before="120" w:after="120" w:line="360" w:lineRule="auto"/>
        <w:ind w:firstLine="608" w:firstLineChars="202"/>
        <w:jc w:val="center"/>
        <w:rPr>
          <w:rFonts w:ascii="宋体" w:hAnsi="宋体" w:eastAsia="宋体" w:cs="宋体"/>
          <w:b/>
          <w:color w:val="auto"/>
          <w:sz w:val="30"/>
          <w:szCs w:val="30"/>
          <w:highlight w:val="none"/>
        </w:rPr>
      </w:pPr>
    </w:p>
    <w:p>
      <w:pPr>
        <w:spacing w:before="120" w:after="120" w:line="360" w:lineRule="auto"/>
        <w:ind w:firstLine="608" w:firstLineChars="202"/>
        <w:jc w:val="center"/>
        <w:rPr>
          <w:rFonts w:ascii="宋体" w:hAnsi="宋体" w:eastAsia="宋体" w:cs="宋体"/>
          <w:b/>
          <w:bCs/>
          <w:color w:val="auto"/>
          <w:sz w:val="30"/>
          <w:szCs w:val="30"/>
          <w:highlight w:val="none"/>
        </w:rPr>
      </w:pPr>
      <w:bookmarkStart w:id="593" w:name="_Toc11033_WPSOffice_Level3"/>
      <w:r>
        <w:rPr>
          <w:rFonts w:hint="eastAsia" w:ascii="宋体" w:hAnsi="宋体" w:eastAsia="宋体" w:cs="宋体"/>
          <w:b/>
          <w:color w:val="auto"/>
          <w:sz w:val="30"/>
          <w:szCs w:val="30"/>
          <w:highlight w:val="none"/>
        </w:rPr>
        <w:t>法定代</w:t>
      </w:r>
      <w:bookmarkStart w:id="594" w:name="_Toc45995270"/>
      <w:bookmarkStart w:id="595" w:name="_Toc36971359"/>
      <w:r>
        <w:rPr>
          <w:rFonts w:hint="eastAsia" w:ascii="宋体" w:hAnsi="宋体" w:eastAsia="宋体" w:cs="宋体"/>
          <w:b/>
          <w:color w:val="auto"/>
          <w:sz w:val="30"/>
          <w:szCs w:val="30"/>
          <w:highlight w:val="none"/>
        </w:rPr>
        <w:t>表人身份证明书</w:t>
      </w:r>
      <w:bookmarkEnd w:id="593"/>
    </w:p>
    <w:bookmarkEnd w:id="594"/>
    <w:bookmarkEnd w:id="595"/>
    <w:p>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法定代表人身份证反面</w:t>
                      </w:r>
                    </w:p>
                    <w:p>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p/>
                    <w:p/>
                    <w:p/>
                    <w:p>
                      <w:pPr>
                        <w:jc w:val="center"/>
                      </w:pPr>
                      <w:r>
                        <w:rPr>
                          <w:rFonts w:hint="eastAsia"/>
                        </w:rPr>
                        <w:t>身份证正面</w:t>
                      </w:r>
                    </w:p>
                  </w:txbxContent>
                </v:textbox>
              </v:shape>
            </w:pict>
          </mc:Fallback>
        </mc:AlternateContent>
      </w: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b/>
          <w:color w:val="auto"/>
          <w:kern w:val="0"/>
          <w:szCs w:val="21"/>
          <w:highlight w:val="none"/>
        </w:rPr>
      </w:pPr>
    </w:p>
    <w:p>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pPr>
        <w:autoSpaceDE w:val="0"/>
        <w:autoSpaceDN w:val="0"/>
        <w:adjustRightInd w:val="0"/>
        <w:jc w:val="left"/>
        <w:rPr>
          <w:rFonts w:ascii="宋体" w:hAnsi="宋体" w:eastAsia="宋体" w:cs="宋体"/>
          <w:color w:val="auto"/>
          <w:kern w:val="0"/>
          <w:szCs w:val="21"/>
          <w:highlight w:val="none"/>
        </w:rPr>
      </w:pPr>
    </w:p>
    <w:p>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19"/>
      <w:bookmarkEnd w:id="520"/>
      <w:bookmarkEnd w:id="521"/>
      <w:bookmarkStart w:id="596" w:name="_Toc533708125"/>
      <w:bookmarkStart w:id="597" w:name="_Toc486167713"/>
      <w:bookmarkStart w:id="598" w:name="_Toc1977727"/>
      <w:bookmarkStart w:id="599" w:name="_Toc6240_WPSOffice_Level2"/>
      <w:r>
        <w:rPr>
          <w:rFonts w:hint="eastAsia" w:ascii="宋体" w:hAnsi="宋体" w:eastAsia="宋体" w:cs="宋体"/>
          <w:b/>
          <w:color w:val="auto"/>
          <w:szCs w:val="24"/>
          <w:highlight w:val="none"/>
        </w:rPr>
        <w:t>（2）法定代表人授权书格式</w:t>
      </w:r>
      <w:bookmarkEnd w:id="596"/>
      <w:bookmarkEnd w:id="597"/>
      <w:bookmarkEnd w:id="598"/>
      <w:bookmarkEnd w:id="599"/>
    </w:p>
    <w:p>
      <w:pPr>
        <w:autoSpaceDE w:val="0"/>
        <w:autoSpaceDN w:val="0"/>
        <w:adjustRightInd w:val="0"/>
        <w:spacing w:line="360" w:lineRule="auto"/>
        <w:jc w:val="center"/>
        <w:rPr>
          <w:rFonts w:ascii="宋体" w:hAnsi="宋体" w:eastAsia="宋体" w:cs="宋体"/>
          <w:b/>
          <w:bCs/>
          <w:color w:val="auto"/>
          <w:sz w:val="30"/>
          <w:szCs w:val="30"/>
          <w:highlight w:val="none"/>
          <w:lang w:val="zh-CN"/>
        </w:rPr>
      </w:pPr>
    </w:p>
    <w:p>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00" w:name="_Toc29146_WPSOffice_Level3"/>
      <w:r>
        <w:rPr>
          <w:rFonts w:hint="eastAsia" w:ascii="宋体" w:hAnsi="宋体" w:eastAsia="宋体" w:cs="宋体"/>
          <w:b/>
          <w:bCs/>
          <w:color w:val="auto"/>
          <w:sz w:val="30"/>
          <w:szCs w:val="30"/>
          <w:highlight w:val="none"/>
          <w:lang w:val="zh-CN"/>
        </w:rPr>
        <w:t>法定代表人授权书</w:t>
      </w:r>
      <w:bookmarkEnd w:id="600"/>
    </w:p>
    <w:p>
      <w:pPr>
        <w:autoSpaceDE w:val="0"/>
        <w:autoSpaceDN w:val="0"/>
        <w:adjustRightInd w:val="0"/>
        <w:spacing w:line="360" w:lineRule="auto"/>
        <w:jc w:val="center"/>
        <w:rPr>
          <w:rFonts w:ascii="宋体" w:hAnsi="宋体" w:eastAsia="宋体" w:cs="宋体"/>
          <w:color w:val="auto"/>
          <w:szCs w:val="28"/>
          <w:highlight w:val="none"/>
          <w:lang w:val="zh-CN"/>
        </w:rPr>
      </w:pPr>
    </w:p>
    <w:p>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致：东莞市水务集团建设管理有限公司</w:t>
      </w:r>
    </w:p>
    <w:p>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东莞市茶山镇污水处理厂改扩建项目第三方检测服务（不含桩基完整性检测）采购项目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0832-SFCX24DG032C</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pPr>
        <w:spacing w:before="120" w:after="120" w:line="360" w:lineRule="auto"/>
        <w:ind w:left="348" w:leftChars="136" w:hanging="62"/>
        <w:rPr>
          <w:rFonts w:ascii="宋体" w:hAnsi="宋体" w:eastAsia="宋体" w:cs="宋体"/>
          <w:color w:val="auto"/>
          <w:szCs w:val="24"/>
          <w:highlight w:val="none"/>
        </w:rPr>
      </w:pP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法定代表人身份证正面</w:t>
                      </w:r>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pPr>
        <w:pStyle w:val="4"/>
        <w:pageBreakBefore/>
        <w:spacing w:line="360" w:lineRule="auto"/>
        <w:rPr>
          <w:rFonts w:hAnsi="宋体"/>
          <w:b/>
          <w:color w:val="auto"/>
          <w:sz w:val="30"/>
          <w:szCs w:val="30"/>
          <w:highlight w:val="none"/>
          <w:lang w:val="zh-CN"/>
        </w:rPr>
      </w:pPr>
      <w:bookmarkStart w:id="601" w:name="_Toc30324"/>
      <w:bookmarkStart w:id="602" w:name="_Toc15716"/>
      <w:bookmarkStart w:id="603" w:name="_Toc32328"/>
      <w:bookmarkStart w:id="604" w:name="_Toc12400"/>
      <w:bookmarkStart w:id="605" w:name="_Toc142508373"/>
      <w:bookmarkStart w:id="606" w:name="_Toc1977730"/>
      <w:bookmarkStart w:id="607" w:name="_Toc104991880"/>
      <w:bookmarkStart w:id="608" w:name="_Toc94107214"/>
      <w:bookmarkStart w:id="609" w:name="_Toc140596933"/>
      <w:r>
        <w:rPr>
          <w:rFonts w:hint="eastAsia" w:hAnsi="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由住房和城乡建设部门颁发的并在有效期内的建设工程质量检测机构资质证书（须同时涵盖地基基础工程检测、主体结构工程现场检测、钢结构工程检测），或者是建设工程质量检测机构综合资质证书，或者是建设工程质量检测机构专项资质证书（须同时取得建筑材料及构配件、主体结构及装饰装修、钢结构、地基基础、市政工程材料、道路工程6个专项资质）复印件</w:t>
      </w:r>
      <w:bookmarkEnd w:id="601"/>
    </w:p>
    <w:p>
      <w:pPr>
        <w:rPr>
          <w:rFonts w:hint="eastAsia" w:hAnsi="宋体" w:cs="宋体"/>
          <w:b/>
          <w:color w:val="auto"/>
          <w:kern w:val="0"/>
          <w:sz w:val="30"/>
          <w:szCs w:val="30"/>
          <w:highlight w:val="none"/>
          <w:lang w:val="en-US" w:eastAsia="zh-CN"/>
        </w:rPr>
      </w:pPr>
      <w:r>
        <w:rPr>
          <w:rFonts w:hint="eastAsia" w:hAnsi="宋体" w:cs="宋体"/>
          <w:b/>
          <w:color w:val="auto"/>
          <w:kern w:val="0"/>
          <w:sz w:val="30"/>
          <w:szCs w:val="30"/>
          <w:highlight w:val="none"/>
          <w:lang w:val="en-US" w:eastAsia="zh-CN"/>
        </w:rPr>
        <w:br w:type="page"/>
      </w:r>
    </w:p>
    <w:p>
      <w:pPr>
        <w:pStyle w:val="4"/>
        <w:pageBreakBefore/>
        <w:spacing w:line="360" w:lineRule="auto"/>
        <w:rPr>
          <w:rFonts w:hint="default" w:hAnsi="宋体" w:eastAsia="宋体"/>
          <w:b/>
          <w:color w:val="auto"/>
          <w:sz w:val="30"/>
          <w:szCs w:val="30"/>
          <w:highlight w:val="none"/>
          <w:lang w:val="en-US" w:eastAsia="zh-CN"/>
        </w:rPr>
      </w:pPr>
      <w:bookmarkStart w:id="610" w:name="_Toc4530"/>
      <w:r>
        <w:rPr>
          <w:rFonts w:hint="eastAsia" w:hAnsi="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w:t>
      </w:r>
      <w:r>
        <w:rPr>
          <w:rFonts w:hint="eastAsia" w:hAnsi="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w:t>
      </w:r>
      <w:bookmarkEnd w:id="602"/>
      <w:bookmarkEnd w:id="603"/>
      <w:bookmarkEnd w:id="604"/>
      <w:r>
        <w:rPr>
          <w:rFonts w:hint="eastAsia" w:ascii="宋体" w:hAnsi="宋体" w:eastAsia="宋体"/>
          <w:b/>
          <w:bCs/>
          <w:color w:val="auto"/>
          <w:sz w:val="32"/>
          <w:szCs w:val="32"/>
          <w:highlight w:val="none"/>
        </w:rPr>
        <w:t>投标人2021年1月1日以来具有一项市政工程检测业绩（合同签订日期为2021年1月1日或以后</w:t>
      </w:r>
      <w:r>
        <w:rPr>
          <w:rFonts w:hint="eastAsia" w:hAnsi="宋体"/>
          <w:b/>
          <w:bCs/>
          <w:color w:val="auto"/>
          <w:sz w:val="32"/>
          <w:szCs w:val="32"/>
          <w:highlight w:val="none"/>
          <w:lang w:val="en-US" w:eastAsia="zh-CN"/>
        </w:rPr>
        <w:t>)】</w:t>
      </w:r>
      <w:bookmarkEnd w:id="610"/>
    </w:p>
    <w:p>
      <w:pPr>
        <w:spacing w:line="360" w:lineRule="auto"/>
        <w:rPr>
          <w:rFonts w:hint="eastAsia" w:ascii="宋体" w:hAnsi="宋体" w:eastAsia="宋体" w:cs="宋体"/>
          <w:b/>
          <w:color w:val="auto"/>
          <w:szCs w:val="21"/>
          <w:highlight w:val="none"/>
          <w:lang w:val="zh-CN"/>
        </w:rPr>
      </w:pP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25"/>
        <w:gridCol w:w="1051"/>
        <w:gridCol w:w="1052"/>
        <w:gridCol w:w="1052"/>
        <w:gridCol w:w="1224"/>
        <w:gridCol w:w="1052"/>
        <w:gridCol w:w="1053"/>
        <w:gridCol w:w="1053"/>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97"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75"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76"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576"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670"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576"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576"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576"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473"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75" w:type="pct"/>
            <w:noWrap w:val="0"/>
            <w:vAlign w:val="center"/>
          </w:tcPr>
          <w:p>
            <w:pPr>
              <w:jc w:val="center"/>
              <w:rPr>
                <w:rFonts w:hint="eastAsia" w:ascii="宋体" w:hAnsi="宋体" w:eastAsia="宋体" w:cs="宋体"/>
                <w:color w:val="auto"/>
                <w:sz w:val="21"/>
                <w:szCs w:val="21"/>
                <w:highlight w:val="none"/>
              </w:rPr>
            </w:pPr>
          </w:p>
        </w:tc>
        <w:tc>
          <w:tcPr>
            <w:tcW w:w="576" w:type="pct"/>
            <w:noWrap w:val="0"/>
            <w:vAlign w:val="center"/>
          </w:tcPr>
          <w:p>
            <w:pPr>
              <w:jc w:val="center"/>
              <w:rPr>
                <w:rFonts w:hint="eastAsia" w:ascii="宋体" w:hAnsi="宋体" w:eastAsia="宋体" w:cs="宋体"/>
                <w:color w:val="auto"/>
                <w:sz w:val="21"/>
                <w:szCs w:val="21"/>
                <w:highlight w:val="none"/>
              </w:rPr>
            </w:pPr>
          </w:p>
        </w:tc>
        <w:tc>
          <w:tcPr>
            <w:tcW w:w="576" w:type="pct"/>
            <w:noWrap w:val="0"/>
            <w:vAlign w:val="center"/>
          </w:tcPr>
          <w:p>
            <w:pPr>
              <w:jc w:val="center"/>
              <w:rPr>
                <w:rFonts w:hint="eastAsia" w:ascii="宋体" w:hAnsi="宋体" w:eastAsia="宋体" w:cs="宋体"/>
                <w:color w:val="auto"/>
                <w:sz w:val="21"/>
                <w:szCs w:val="21"/>
                <w:highlight w:val="none"/>
              </w:rPr>
            </w:pPr>
          </w:p>
        </w:tc>
        <w:tc>
          <w:tcPr>
            <w:tcW w:w="670" w:type="pct"/>
            <w:noWrap w:val="0"/>
            <w:vAlign w:val="center"/>
          </w:tcPr>
          <w:p>
            <w:pPr>
              <w:jc w:val="center"/>
              <w:rPr>
                <w:rFonts w:hint="eastAsia" w:ascii="宋体" w:hAnsi="宋体" w:eastAsia="宋体" w:cs="宋体"/>
                <w:color w:val="auto"/>
                <w:sz w:val="21"/>
                <w:szCs w:val="21"/>
                <w:highlight w:val="none"/>
              </w:rPr>
            </w:pPr>
          </w:p>
        </w:tc>
        <w:tc>
          <w:tcPr>
            <w:tcW w:w="576" w:type="pct"/>
            <w:noWrap w:val="0"/>
            <w:vAlign w:val="top"/>
          </w:tcPr>
          <w:p>
            <w:pPr>
              <w:jc w:val="center"/>
              <w:rPr>
                <w:rFonts w:hint="eastAsia" w:ascii="宋体" w:hAnsi="宋体" w:eastAsia="宋体" w:cs="宋体"/>
                <w:color w:val="auto"/>
                <w:sz w:val="21"/>
                <w:szCs w:val="21"/>
                <w:highlight w:val="none"/>
              </w:rPr>
            </w:pPr>
          </w:p>
        </w:tc>
        <w:tc>
          <w:tcPr>
            <w:tcW w:w="576" w:type="pct"/>
            <w:noWrap w:val="0"/>
            <w:vAlign w:val="center"/>
          </w:tcPr>
          <w:p>
            <w:pPr>
              <w:jc w:val="center"/>
              <w:rPr>
                <w:rFonts w:hint="eastAsia" w:ascii="宋体" w:hAnsi="宋体" w:eastAsia="宋体" w:cs="宋体"/>
                <w:color w:val="auto"/>
                <w:sz w:val="21"/>
                <w:szCs w:val="21"/>
                <w:highlight w:val="none"/>
              </w:rPr>
            </w:pPr>
          </w:p>
        </w:tc>
        <w:tc>
          <w:tcPr>
            <w:tcW w:w="576" w:type="pct"/>
            <w:noWrap w:val="0"/>
            <w:vAlign w:val="center"/>
          </w:tcPr>
          <w:p>
            <w:pPr>
              <w:jc w:val="center"/>
              <w:rPr>
                <w:rFonts w:hint="eastAsia" w:ascii="宋体" w:hAnsi="宋体" w:eastAsia="宋体" w:cs="宋体"/>
                <w:color w:val="auto"/>
                <w:sz w:val="21"/>
                <w:szCs w:val="21"/>
                <w:highlight w:val="none"/>
              </w:rPr>
            </w:pPr>
          </w:p>
        </w:tc>
        <w:tc>
          <w:tcPr>
            <w:tcW w:w="473" w:type="pct"/>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75" w:type="pct"/>
            <w:noWrap w:val="0"/>
            <w:vAlign w:val="center"/>
          </w:tcPr>
          <w:p>
            <w:pPr>
              <w:jc w:val="center"/>
              <w:rPr>
                <w:rFonts w:hint="eastAsia" w:ascii="宋体" w:hAnsi="宋体" w:eastAsia="宋体" w:cs="宋体"/>
                <w:color w:val="auto"/>
                <w:sz w:val="21"/>
                <w:szCs w:val="21"/>
                <w:highlight w:val="none"/>
              </w:rPr>
            </w:pPr>
          </w:p>
        </w:tc>
        <w:tc>
          <w:tcPr>
            <w:tcW w:w="576" w:type="pct"/>
            <w:noWrap w:val="0"/>
            <w:vAlign w:val="center"/>
          </w:tcPr>
          <w:p>
            <w:pPr>
              <w:jc w:val="center"/>
              <w:rPr>
                <w:rFonts w:hint="eastAsia" w:ascii="宋体" w:hAnsi="宋体" w:eastAsia="宋体" w:cs="宋体"/>
                <w:color w:val="auto"/>
                <w:sz w:val="21"/>
                <w:szCs w:val="21"/>
                <w:highlight w:val="none"/>
              </w:rPr>
            </w:pPr>
          </w:p>
        </w:tc>
        <w:tc>
          <w:tcPr>
            <w:tcW w:w="576" w:type="pct"/>
            <w:noWrap w:val="0"/>
            <w:vAlign w:val="center"/>
          </w:tcPr>
          <w:p>
            <w:pPr>
              <w:jc w:val="center"/>
              <w:rPr>
                <w:rFonts w:hint="eastAsia" w:ascii="宋体" w:hAnsi="宋体" w:eastAsia="宋体" w:cs="宋体"/>
                <w:color w:val="auto"/>
                <w:sz w:val="21"/>
                <w:szCs w:val="21"/>
                <w:highlight w:val="none"/>
              </w:rPr>
            </w:pPr>
          </w:p>
        </w:tc>
        <w:tc>
          <w:tcPr>
            <w:tcW w:w="670" w:type="pct"/>
            <w:noWrap w:val="0"/>
            <w:vAlign w:val="center"/>
          </w:tcPr>
          <w:p>
            <w:pPr>
              <w:jc w:val="center"/>
              <w:rPr>
                <w:rFonts w:hint="eastAsia" w:ascii="宋体" w:hAnsi="宋体" w:eastAsia="宋体" w:cs="宋体"/>
                <w:color w:val="auto"/>
                <w:sz w:val="21"/>
                <w:szCs w:val="21"/>
                <w:highlight w:val="none"/>
              </w:rPr>
            </w:pPr>
          </w:p>
        </w:tc>
        <w:tc>
          <w:tcPr>
            <w:tcW w:w="576" w:type="pct"/>
            <w:noWrap w:val="0"/>
            <w:vAlign w:val="top"/>
          </w:tcPr>
          <w:p>
            <w:pPr>
              <w:jc w:val="center"/>
              <w:rPr>
                <w:rFonts w:hint="eastAsia" w:ascii="宋体" w:hAnsi="宋体" w:eastAsia="宋体" w:cs="宋体"/>
                <w:color w:val="auto"/>
                <w:sz w:val="21"/>
                <w:szCs w:val="21"/>
                <w:highlight w:val="none"/>
              </w:rPr>
            </w:pPr>
          </w:p>
        </w:tc>
        <w:tc>
          <w:tcPr>
            <w:tcW w:w="576" w:type="pct"/>
            <w:noWrap w:val="0"/>
            <w:vAlign w:val="center"/>
          </w:tcPr>
          <w:p>
            <w:pPr>
              <w:jc w:val="center"/>
              <w:rPr>
                <w:rFonts w:hint="eastAsia" w:ascii="宋体" w:hAnsi="宋体" w:eastAsia="宋体" w:cs="宋体"/>
                <w:color w:val="auto"/>
                <w:sz w:val="21"/>
                <w:szCs w:val="21"/>
                <w:highlight w:val="none"/>
              </w:rPr>
            </w:pPr>
          </w:p>
        </w:tc>
        <w:tc>
          <w:tcPr>
            <w:tcW w:w="576" w:type="pct"/>
            <w:noWrap w:val="0"/>
            <w:vAlign w:val="center"/>
          </w:tcPr>
          <w:p>
            <w:pPr>
              <w:jc w:val="center"/>
              <w:rPr>
                <w:rFonts w:hint="eastAsia" w:ascii="宋体" w:hAnsi="宋体" w:eastAsia="宋体" w:cs="宋体"/>
                <w:color w:val="auto"/>
                <w:sz w:val="21"/>
                <w:szCs w:val="21"/>
                <w:highlight w:val="none"/>
              </w:rPr>
            </w:pPr>
          </w:p>
        </w:tc>
        <w:tc>
          <w:tcPr>
            <w:tcW w:w="473" w:type="pct"/>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75" w:type="pct"/>
            <w:noWrap w:val="0"/>
            <w:vAlign w:val="center"/>
          </w:tcPr>
          <w:p>
            <w:pPr>
              <w:jc w:val="center"/>
              <w:rPr>
                <w:rFonts w:hint="eastAsia" w:ascii="宋体" w:hAnsi="宋体" w:eastAsia="宋体" w:cs="宋体"/>
                <w:color w:val="auto"/>
                <w:sz w:val="21"/>
                <w:szCs w:val="21"/>
                <w:highlight w:val="none"/>
              </w:rPr>
            </w:pPr>
          </w:p>
        </w:tc>
        <w:tc>
          <w:tcPr>
            <w:tcW w:w="576" w:type="pct"/>
            <w:noWrap w:val="0"/>
            <w:vAlign w:val="center"/>
          </w:tcPr>
          <w:p>
            <w:pPr>
              <w:jc w:val="center"/>
              <w:rPr>
                <w:rFonts w:hint="eastAsia" w:ascii="宋体" w:hAnsi="宋体" w:eastAsia="宋体" w:cs="宋体"/>
                <w:color w:val="auto"/>
                <w:sz w:val="21"/>
                <w:szCs w:val="21"/>
                <w:highlight w:val="none"/>
              </w:rPr>
            </w:pPr>
          </w:p>
        </w:tc>
        <w:tc>
          <w:tcPr>
            <w:tcW w:w="576" w:type="pct"/>
            <w:noWrap w:val="0"/>
            <w:vAlign w:val="center"/>
          </w:tcPr>
          <w:p>
            <w:pPr>
              <w:jc w:val="center"/>
              <w:rPr>
                <w:rFonts w:hint="eastAsia" w:ascii="宋体" w:hAnsi="宋体" w:eastAsia="宋体" w:cs="宋体"/>
                <w:color w:val="auto"/>
                <w:sz w:val="21"/>
                <w:szCs w:val="21"/>
                <w:highlight w:val="none"/>
              </w:rPr>
            </w:pPr>
          </w:p>
        </w:tc>
        <w:tc>
          <w:tcPr>
            <w:tcW w:w="670" w:type="pct"/>
            <w:noWrap w:val="0"/>
            <w:vAlign w:val="center"/>
          </w:tcPr>
          <w:p>
            <w:pPr>
              <w:jc w:val="center"/>
              <w:rPr>
                <w:rFonts w:hint="eastAsia" w:ascii="宋体" w:hAnsi="宋体" w:eastAsia="宋体" w:cs="宋体"/>
                <w:color w:val="auto"/>
                <w:sz w:val="21"/>
                <w:szCs w:val="21"/>
                <w:highlight w:val="none"/>
              </w:rPr>
            </w:pPr>
          </w:p>
        </w:tc>
        <w:tc>
          <w:tcPr>
            <w:tcW w:w="576" w:type="pct"/>
            <w:noWrap w:val="0"/>
            <w:vAlign w:val="top"/>
          </w:tcPr>
          <w:p>
            <w:pPr>
              <w:jc w:val="center"/>
              <w:rPr>
                <w:rFonts w:hint="eastAsia" w:ascii="宋体" w:hAnsi="宋体" w:eastAsia="宋体" w:cs="宋体"/>
                <w:color w:val="auto"/>
                <w:sz w:val="21"/>
                <w:szCs w:val="21"/>
                <w:highlight w:val="none"/>
              </w:rPr>
            </w:pPr>
          </w:p>
        </w:tc>
        <w:tc>
          <w:tcPr>
            <w:tcW w:w="576" w:type="pct"/>
            <w:noWrap w:val="0"/>
            <w:vAlign w:val="center"/>
          </w:tcPr>
          <w:p>
            <w:pPr>
              <w:jc w:val="center"/>
              <w:rPr>
                <w:rFonts w:hint="eastAsia" w:ascii="宋体" w:hAnsi="宋体" w:eastAsia="宋体" w:cs="宋体"/>
                <w:color w:val="auto"/>
                <w:sz w:val="21"/>
                <w:szCs w:val="21"/>
                <w:highlight w:val="none"/>
              </w:rPr>
            </w:pPr>
          </w:p>
        </w:tc>
        <w:tc>
          <w:tcPr>
            <w:tcW w:w="576" w:type="pct"/>
            <w:noWrap w:val="0"/>
            <w:vAlign w:val="center"/>
          </w:tcPr>
          <w:p>
            <w:pPr>
              <w:jc w:val="center"/>
              <w:rPr>
                <w:rFonts w:hint="eastAsia" w:ascii="宋体" w:hAnsi="宋体" w:eastAsia="宋体" w:cs="宋体"/>
                <w:color w:val="auto"/>
                <w:sz w:val="21"/>
                <w:szCs w:val="21"/>
                <w:highlight w:val="none"/>
              </w:rPr>
            </w:pPr>
          </w:p>
        </w:tc>
        <w:tc>
          <w:tcPr>
            <w:tcW w:w="473" w:type="pct"/>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pPr>
              <w:jc w:val="center"/>
              <w:rPr>
                <w:rFonts w:hint="eastAsia" w:ascii="宋体" w:hAnsi="宋体" w:eastAsia="宋体" w:cs="宋体"/>
                <w:color w:val="auto"/>
                <w:sz w:val="21"/>
                <w:szCs w:val="21"/>
                <w:highlight w:val="none"/>
              </w:rPr>
            </w:pPr>
            <w:r>
              <w:rPr>
                <w:rFonts w:ascii="宋体" w:hAnsi="宋体" w:eastAsia="宋体" w:cs="Courier New"/>
                <w:color w:val="auto"/>
                <w:kern w:val="0"/>
                <w:szCs w:val="21"/>
                <w:highlight w:val="none"/>
              </w:rPr>
              <w:t>…</w:t>
            </w:r>
          </w:p>
        </w:tc>
        <w:tc>
          <w:tcPr>
            <w:tcW w:w="575" w:type="pct"/>
            <w:noWrap w:val="0"/>
            <w:vAlign w:val="center"/>
          </w:tcPr>
          <w:p>
            <w:pPr>
              <w:jc w:val="center"/>
              <w:rPr>
                <w:rFonts w:hint="eastAsia" w:ascii="宋体" w:hAnsi="宋体" w:eastAsia="宋体" w:cs="宋体"/>
                <w:color w:val="auto"/>
                <w:sz w:val="21"/>
                <w:szCs w:val="21"/>
                <w:highlight w:val="none"/>
              </w:rPr>
            </w:pPr>
          </w:p>
        </w:tc>
        <w:tc>
          <w:tcPr>
            <w:tcW w:w="576" w:type="pct"/>
            <w:noWrap w:val="0"/>
            <w:vAlign w:val="center"/>
          </w:tcPr>
          <w:p>
            <w:pPr>
              <w:jc w:val="center"/>
              <w:rPr>
                <w:rFonts w:hint="eastAsia" w:ascii="宋体" w:hAnsi="宋体" w:eastAsia="宋体" w:cs="宋体"/>
                <w:color w:val="auto"/>
                <w:sz w:val="21"/>
                <w:szCs w:val="21"/>
                <w:highlight w:val="none"/>
              </w:rPr>
            </w:pPr>
          </w:p>
        </w:tc>
        <w:tc>
          <w:tcPr>
            <w:tcW w:w="576" w:type="pct"/>
            <w:noWrap w:val="0"/>
            <w:vAlign w:val="center"/>
          </w:tcPr>
          <w:p>
            <w:pPr>
              <w:jc w:val="center"/>
              <w:rPr>
                <w:rFonts w:hint="eastAsia" w:ascii="宋体" w:hAnsi="宋体" w:eastAsia="宋体" w:cs="宋体"/>
                <w:color w:val="auto"/>
                <w:sz w:val="21"/>
                <w:szCs w:val="21"/>
                <w:highlight w:val="none"/>
              </w:rPr>
            </w:pPr>
          </w:p>
        </w:tc>
        <w:tc>
          <w:tcPr>
            <w:tcW w:w="670" w:type="pct"/>
            <w:noWrap w:val="0"/>
            <w:vAlign w:val="center"/>
          </w:tcPr>
          <w:p>
            <w:pPr>
              <w:jc w:val="center"/>
              <w:rPr>
                <w:rFonts w:hint="eastAsia" w:ascii="宋体" w:hAnsi="宋体" w:eastAsia="宋体" w:cs="宋体"/>
                <w:color w:val="auto"/>
                <w:sz w:val="21"/>
                <w:szCs w:val="21"/>
                <w:highlight w:val="none"/>
              </w:rPr>
            </w:pPr>
          </w:p>
        </w:tc>
        <w:tc>
          <w:tcPr>
            <w:tcW w:w="576" w:type="pct"/>
            <w:noWrap w:val="0"/>
            <w:vAlign w:val="top"/>
          </w:tcPr>
          <w:p>
            <w:pPr>
              <w:jc w:val="center"/>
              <w:rPr>
                <w:rFonts w:hint="eastAsia" w:ascii="宋体" w:hAnsi="宋体" w:eastAsia="宋体" w:cs="宋体"/>
                <w:color w:val="auto"/>
                <w:sz w:val="21"/>
                <w:szCs w:val="21"/>
                <w:highlight w:val="none"/>
              </w:rPr>
            </w:pPr>
          </w:p>
        </w:tc>
        <w:tc>
          <w:tcPr>
            <w:tcW w:w="576" w:type="pct"/>
            <w:noWrap w:val="0"/>
            <w:vAlign w:val="center"/>
          </w:tcPr>
          <w:p>
            <w:pPr>
              <w:jc w:val="center"/>
              <w:rPr>
                <w:rFonts w:hint="eastAsia" w:ascii="宋体" w:hAnsi="宋体" w:eastAsia="宋体" w:cs="宋体"/>
                <w:color w:val="auto"/>
                <w:sz w:val="21"/>
                <w:szCs w:val="21"/>
                <w:highlight w:val="none"/>
              </w:rPr>
            </w:pPr>
          </w:p>
        </w:tc>
        <w:tc>
          <w:tcPr>
            <w:tcW w:w="576" w:type="pct"/>
            <w:noWrap w:val="0"/>
            <w:vAlign w:val="center"/>
          </w:tcPr>
          <w:p>
            <w:pPr>
              <w:jc w:val="center"/>
              <w:rPr>
                <w:rFonts w:hint="eastAsia" w:ascii="宋体" w:hAnsi="宋体" w:eastAsia="宋体" w:cs="宋体"/>
                <w:color w:val="auto"/>
                <w:sz w:val="21"/>
                <w:szCs w:val="21"/>
                <w:highlight w:val="none"/>
              </w:rPr>
            </w:pPr>
          </w:p>
        </w:tc>
        <w:tc>
          <w:tcPr>
            <w:tcW w:w="473" w:type="pct"/>
            <w:noWrap w:val="0"/>
            <w:vAlign w:val="center"/>
          </w:tcPr>
          <w:p>
            <w:pPr>
              <w:jc w:val="center"/>
              <w:rPr>
                <w:rFonts w:hint="eastAsia" w:ascii="宋体" w:hAnsi="宋体" w:eastAsia="宋体" w:cs="宋体"/>
                <w:color w:val="auto"/>
                <w:sz w:val="21"/>
                <w:szCs w:val="21"/>
                <w:highlight w:val="none"/>
              </w:rPr>
            </w:pPr>
          </w:p>
        </w:tc>
      </w:tr>
    </w:tbl>
    <w:p>
      <w:pPr>
        <w:spacing w:line="360" w:lineRule="auto"/>
        <w:ind w:left="424" w:hanging="424" w:hangingChars="201"/>
        <w:rPr>
          <w:rFonts w:hint="eastAsia" w:ascii="宋体" w:hAnsi="宋体" w:eastAsia="宋体" w:cs="宋体"/>
          <w:b/>
          <w:color w:val="auto"/>
          <w:szCs w:val="21"/>
          <w:highlight w:val="none"/>
          <w:lang w:val="zh-CN"/>
        </w:rPr>
      </w:pPr>
    </w:p>
    <w:p>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pPr>
        <w:spacing w:line="360" w:lineRule="auto"/>
        <w:ind w:left="422" w:hanging="422" w:hangingChars="201"/>
        <w:rPr>
          <w:rFonts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（1）</w:t>
      </w:r>
      <w:r>
        <w:rPr>
          <w:rFonts w:hint="eastAsia" w:ascii="宋体" w:hAnsi="宋体" w:eastAsia="宋体" w:cs="宋体"/>
          <w:b w:val="0"/>
          <w:bCs w:val="0"/>
          <w:color w:val="auto"/>
          <w:szCs w:val="21"/>
        </w:rPr>
        <w:t>业绩须附合同复印件加盖投标人公章</w:t>
      </w:r>
      <w:r>
        <w:rPr>
          <w:rFonts w:hint="eastAsia" w:ascii="宋体" w:hAnsi="宋体" w:eastAsia="宋体" w:cs="宋体"/>
          <w:b w:val="0"/>
          <w:bCs w:val="0"/>
          <w:color w:val="auto"/>
          <w:szCs w:val="21"/>
          <w:highlight w:val="none"/>
          <w:lang w:val="zh-CN"/>
        </w:rPr>
        <w:t>。</w:t>
      </w:r>
    </w:p>
    <w:p>
      <w:pPr>
        <w:spacing w:line="360" w:lineRule="auto"/>
        <w:ind w:left="422" w:hanging="422" w:hangingChars="201"/>
        <w:rPr>
          <w:rFonts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（2）</w:t>
      </w:r>
      <w:r>
        <w:rPr>
          <w:rFonts w:hint="eastAsia" w:ascii="宋体" w:hAnsi="宋体" w:eastAsia="宋体" w:cs="宋体"/>
          <w:b w:val="0"/>
          <w:bCs w:val="0"/>
          <w:color w:val="auto"/>
          <w:szCs w:val="21"/>
        </w:rPr>
        <w:t>合同业绩证明材料必须能反映资格业绩条件</w:t>
      </w:r>
      <w:r>
        <w:rPr>
          <w:rFonts w:hint="eastAsia" w:ascii="宋体" w:hAnsi="宋体" w:eastAsia="宋体" w:cs="宋体"/>
          <w:b w:val="0"/>
          <w:bCs w:val="0"/>
          <w:color w:val="auto"/>
          <w:szCs w:val="21"/>
          <w:lang w:eastAsia="zh-CN"/>
        </w:rPr>
        <w:t>（</w:t>
      </w:r>
      <w:r>
        <w:rPr>
          <w:rFonts w:hint="eastAsia" w:ascii="宋体" w:hAnsi="宋体" w:eastAsia="宋体" w:cs="宋体"/>
          <w:b w:val="0"/>
          <w:bCs w:val="0"/>
          <w:color w:val="auto"/>
          <w:szCs w:val="21"/>
        </w:rPr>
        <w:t>合同签订日期为</w:t>
      </w:r>
      <w:r>
        <w:rPr>
          <w:rFonts w:hint="eastAsia" w:ascii="宋体" w:hAnsi="宋体" w:eastAsia="宋体" w:cs="宋体"/>
          <w:b w:val="0"/>
          <w:bCs w:val="0"/>
          <w:color w:val="auto"/>
          <w:szCs w:val="21"/>
          <w:lang w:val="en-US" w:eastAsia="zh-CN"/>
        </w:rPr>
        <w:t>2021</w:t>
      </w:r>
      <w:r>
        <w:rPr>
          <w:rFonts w:hint="eastAsia" w:ascii="宋体" w:hAnsi="宋体" w:eastAsia="宋体" w:cs="宋体"/>
          <w:b w:val="0"/>
          <w:bCs w:val="0"/>
          <w:color w:val="auto"/>
          <w:szCs w:val="21"/>
        </w:rPr>
        <w:t>年1月1日或以后，业绩类型为市政工程检测</w:t>
      </w:r>
      <w:r>
        <w:rPr>
          <w:rFonts w:hint="eastAsia" w:ascii="宋体" w:hAnsi="宋体" w:eastAsia="宋体" w:cs="宋体"/>
          <w:b w:val="0"/>
          <w:bCs w:val="0"/>
          <w:color w:val="auto"/>
          <w:szCs w:val="21"/>
          <w:lang w:eastAsia="zh-CN"/>
        </w:rPr>
        <w:t>）</w:t>
      </w:r>
      <w:r>
        <w:rPr>
          <w:rFonts w:hint="eastAsia" w:ascii="宋体" w:hAnsi="宋体" w:eastAsia="宋体" w:cs="宋体"/>
          <w:b w:val="0"/>
          <w:bCs w:val="0"/>
          <w:color w:val="auto"/>
          <w:szCs w:val="21"/>
          <w:highlight w:val="none"/>
          <w:lang w:val="zh-CN"/>
        </w:rPr>
        <w:t>。</w:t>
      </w:r>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11" w:name="_Toc24862"/>
      <w:bookmarkStart w:id="612" w:name="_Toc20010"/>
      <w:bookmarkStart w:id="613" w:name="_Toc12931"/>
      <w:bookmarkStart w:id="614" w:name="_Toc31060"/>
      <w:r>
        <w:rPr>
          <w:rFonts w:hint="eastAsia" w:ascii="宋体" w:hAnsi="宋体" w:eastAsia="宋体" w:cs="宋体"/>
          <w:b/>
          <w:color w:val="auto"/>
          <w:szCs w:val="21"/>
          <w:highlight w:val="none"/>
          <w:lang w:val="zh-CN"/>
        </w:rPr>
        <w:t>（3）</w:t>
      </w:r>
      <w:bookmarkEnd w:id="611"/>
      <w:bookmarkEnd w:id="612"/>
      <w:bookmarkEnd w:id="613"/>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614"/>
    </w:p>
    <w:p>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615" w:name="_Toc8121"/>
      <w:bookmarkStart w:id="616" w:name="_Toc7508"/>
      <w:bookmarkStart w:id="617" w:name="_Toc1613"/>
      <w:bookmarkStart w:id="618" w:name="_Toc21843"/>
      <w:r>
        <w:rPr>
          <w:rFonts w:hint="eastAsia" w:ascii="宋体" w:hAnsi="宋体" w:eastAsia="宋体" w:cs="宋体"/>
          <w:b/>
          <w:color w:val="auto"/>
          <w:kern w:val="0"/>
          <w:sz w:val="30"/>
          <w:szCs w:val="30"/>
          <w:highlight w:val="none"/>
          <w:lang w:val="en-US" w:eastAsia="zh-CN"/>
        </w:rPr>
        <w:t xml:space="preserve">6.6 </w:t>
      </w:r>
      <w:r>
        <w:rPr>
          <w:rFonts w:hint="eastAsia" w:ascii="宋体" w:hAnsi="宋体" w:eastAsia="宋体" w:cs="宋体"/>
          <w:b/>
          <w:color w:val="auto"/>
          <w:kern w:val="0"/>
          <w:sz w:val="30"/>
          <w:szCs w:val="30"/>
          <w:highlight w:val="none"/>
        </w:rPr>
        <w:t>最近3年投标人牵涉的其他（失信和违法）处罚说明格式</w:t>
      </w:r>
      <w:bookmarkEnd w:id="605"/>
      <w:bookmarkEnd w:id="606"/>
      <w:bookmarkEnd w:id="607"/>
      <w:bookmarkEnd w:id="608"/>
      <w:bookmarkEnd w:id="609"/>
      <w:bookmarkEnd w:id="615"/>
      <w:bookmarkEnd w:id="616"/>
      <w:bookmarkEnd w:id="617"/>
      <w:bookmarkEnd w:id="618"/>
    </w:p>
    <w:p>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bl>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pPr>
        <w:autoSpaceDE w:val="0"/>
        <w:autoSpaceDN w:val="0"/>
        <w:adjustRightInd w:val="0"/>
        <w:spacing w:line="360" w:lineRule="auto"/>
        <w:jc w:val="center"/>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pPr>
        <w:rPr>
          <w:rFonts w:ascii="宋体" w:hAnsi="宋体" w:eastAsia="宋体" w:cs="宋体"/>
          <w:color w:val="auto"/>
          <w:szCs w:val="24"/>
          <w:highlight w:val="none"/>
          <w:lang w:val="zh-CN"/>
        </w:rPr>
      </w:pPr>
      <w:bookmarkStart w:id="619" w:name="_Toc2031_WPSOffice_Level2"/>
      <w:bookmarkStart w:id="620" w:name="_Toc104991881"/>
      <w:bookmarkStart w:id="621" w:name="_Toc102860423"/>
      <w:bookmarkStart w:id="622" w:name="_Toc94107215"/>
      <w:bookmarkStart w:id="623" w:name="_Toc30939"/>
      <w:bookmarkStart w:id="624" w:name="_Toc102860079"/>
      <w:bookmarkStart w:id="625" w:name="_Toc1977731"/>
      <w:bookmarkStart w:id="626" w:name="_Toc486167714"/>
      <w:bookmarkStart w:id="627" w:name="_Toc533708126"/>
      <w:bookmarkStart w:id="628" w:name="_Toc6412"/>
      <w:bookmarkStart w:id="629" w:name="_Toc142508374"/>
      <w:bookmarkStart w:id="630" w:name="_Toc140596934"/>
      <w:r>
        <w:rPr>
          <w:rFonts w:ascii="宋体" w:hAnsi="宋体" w:eastAsia="宋体" w:cs="宋体"/>
          <w:color w:val="auto"/>
          <w:szCs w:val="24"/>
          <w:highlight w:val="none"/>
          <w:lang w:val="zh-CN"/>
        </w:rPr>
        <w:br w:type="page"/>
      </w:r>
    </w:p>
    <w:p>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631" w:name="_Toc17508"/>
      <w:bookmarkStart w:id="632" w:name="_Toc1016"/>
      <w:r>
        <w:rPr>
          <w:rFonts w:hint="eastAsia" w:ascii="宋体" w:hAnsi="宋体" w:eastAsia="宋体" w:cs="宋体"/>
          <w:b/>
          <w:color w:val="auto"/>
          <w:kern w:val="0"/>
          <w:sz w:val="32"/>
          <w:szCs w:val="32"/>
          <w:highlight w:val="none"/>
          <w:lang w:val="en-US" w:eastAsia="zh-CN"/>
        </w:rPr>
        <w:t>七</w:t>
      </w:r>
      <w:r>
        <w:rPr>
          <w:rFonts w:hint="eastAsia" w:ascii="宋体" w:hAnsi="宋体" w:eastAsia="宋体" w:cs="宋体"/>
          <w:b/>
          <w:color w:val="auto"/>
          <w:kern w:val="0"/>
          <w:sz w:val="32"/>
          <w:szCs w:val="32"/>
          <w:highlight w:val="none"/>
        </w:rPr>
        <w:t>、投标人基本情况一览表</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pPr>
        <w:autoSpaceDE w:val="0"/>
        <w:autoSpaceDN w:val="0"/>
        <w:adjustRightInd w:val="0"/>
        <w:spacing w:line="360" w:lineRule="auto"/>
        <w:jc w:val="center"/>
        <w:rPr>
          <w:rFonts w:ascii="宋体" w:hAnsi="宋体" w:eastAsia="宋体" w:cs="宋体"/>
          <w:b/>
          <w:bCs/>
          <w:color w:val="auto"/>
          <w:sz w:val="30"/>
          <w:szCs w:val="30"/>
          <w:highlight w:val="none"/>
        </w:rPr>
      </w:pPr>
      <w:bookmarkStart w:id="633" w:name="_Toc2773_WPSOffice_Level3"/>
      <w:r>
        <w:rPr>
          <w:rFonts w:hint="eastAsia" w:ascii="宋体" w:hAnsi="宋体" w:eastAsia="宋体" w:cs="宋体"/>
          <w:b/>
          <w:bCs/>
          <w:color w:val="auto"/>
          <w:sz w:val="30"/>
          <w:szCs w:val="30"/>
          <w:highlight w:val="none"/>
          <w:lang w:val="zh-CN"/>
        </w:rPr>
        <w:t>投标人基本情况一览表</w:t>
      </w:r>
      <w:bookmarkEnd w:id="633"/>
    </w:p>
    <w:p>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pPr>
        <w:autoSpaceDE w:val="0"/>
        <w:autoSpaceDN w:val="0"/>
        <w:adjustRightInd w:val="0"/>
        <w:spacing w:line="360" w:lineRule="auto"/>
        <w:ind w:firstLine="420" w:firstLineChars="200"/>
        <w:rPr>
          <w:rFonts w:ascii="宋体" w:hAnsi="宋体" w:eastAsia="宋体" w:cs="宋体"/>
          <w:color w:val="auto"/>
          <w:szCs w:val="24"/>
          <w:highlight w:val="none"/>
        </w:rPr>
      </w:pPr>
    </w:p>
    <w:p>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34" w:name="_Toc3238"/>
      <w:bookmarkStart w:id="635" w:name="_Toc94107216"/>
      <w:bookmarkStart w:id="636" w:name="_Toc29014"/>
      <w:bookmarkStart w:id="637" w:name="_Toc104991882"/>
      <w:bookmarkStart w:id="638" w:name="_Toc102860424"/>
      <w:bookmarkStart w:id="639" w:name="_Toc102860080"/>
      <w:bookmarkStart w:id="640" w:name="_Toc4023"/>
      <w:bookmarkStart w:id="641" w:name="_Toc10443"/>
      <w:bookmarkStart w:id="642" w:name="_Toc142508375"/>
      <w:bookmarkStart w:id="643" w:name="_Toc140596935"/>
      <w:bookmarkStart w:id="644" w:name="_Toc486167715"/>
      <w:bookmarkStart w:id="645" w:name="_Toc9051_WPSOffice_Level2"/>
      <w:bookmarkStart w:id="646" w:name="_Toc533708128"/>
      <w:bookmarkStart w:id="647" w:name="_Toc1977733"/>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val="zh-CN"/>
        </w:rPr>
        <w:t>、投标人财务状况表格式</w:t>
      </w:r>
      <w:bookmarkEnd w:id="634"/>
      <w:bookmarkEnd w:id="635"/>
      <w:bookmarkEnd w:id="636"/>
      <w:bookmarkEnd w:id="637"/>
      <w:bookmarkEnd w:id="638"/>
      <w:bookmarkEnd w:id="639"/>
      <w:bookmarkEnd w:id="640"/>
      <w:bookmarkEnd w:id="641"/>
      <w:bookmarkEnd w:id="642"/>
      <w:bookmarkEnd w:id="643"/>
    </w:p>
    <w:p>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2021</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bl>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644"/>
    <w:bookmarkEnd w:id="645"/>
    <w:bookmarkEnd w:id="646"/>
    <w:bookmarkEnd w:id="647"/>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648" w:name="_Toc533708130"/>
      <w:bookmarkStart w:id="649" w:name="_Toc24378"/>
      <w:bookmarkStart w:id="650" w:name="_Toc142508376"/>
      <w:bookmarkStart w:id="651" w:name="_Toc94107217"/>
      <w:bookmarkStart w:id="652" w:name="_Toc102860081"/>
      <w:bookmarkStart w:id="653" w:name="_Toc104991883"/>
      <w:bookmarkStart w:id="654" w:name="_Toc140596936"/>
      <w:bookmarkStart w:id="655" w:name="_Toc333"/>
      <w:bookmarkStart w:id="656" w:name="_Toc26821"/>
      <w:bookmarkStart w:id="657" w:name="_Toc17995"/>
      <w:bookmarkStart w:id="658" w:name="_Toc102860425"/>
      <w:bookmarkStart w:id="659" w:name="_Toc739_WPSOffice_Level2"/>
      <w:bookmarkStart w:id="660" w:name="_Toc486167716"/>
      <w:bookmarkStart w:id="661" w:name="_Toc1977736"/>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662" w:name="_Toc26412_WPSOffice_Level3"/>
      <w:r>
        <w:rPr>
          <w:rFonts w:hint="eastAsia" w:ascii="宋体" w:hAnsi="宋体" w:eastAsia="宋体" w:cs="宋体"/>
          <w:b/>
          <w:bCs/>
          <w:color w:val="auto"/>
          <w:kern w:val="0"/>
          <w:sz w:val="28"/>
          <w:szCs w:val="30"/>
          <w:highlight w:val="none"/>
          <w:lang w:val="zh-CN"/>
        </w:rPr>
        <w:t>东莞市茶山镇污水处理厂改扩建项目第三方检测服务（不含桩基完整性检测）采购项目合同条款偏离表</w:t>
      </w:r>
      <w:bookmarkEnd w:id="662"/>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rPr>
              <w:t>一</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rPr>
              <w:t>工程概况</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rPr>
              <w:t>二</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rPr>
              <w:t>检测内容</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rPr>
              <w:t>三</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rPr>
              <w:t>检测数量</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rPr>
              <w:t>四</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rPr>
              <w:t>检测依据（如有新规范，以新的为准）</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rPr>
              <w:t>五</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rPr>
              <w:t>检测费用支付方式</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rPr>
              <w:t>六</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rPr>
              <w:t>双方权利及义务</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rPr>
              <w:t>七</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rPr>
              <w:t>成果要求</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rPr>
              <w:t>八</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rPr>
              <w:t>质量控制标准</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rPr>
              <w:t>九</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rPr>
              <w:t>人员及设备要求</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rPr>
              <w:t>十</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rPr>
              <w:t>违约责任</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rPr>
              <w:t>十一</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rPr>
              <w:t>履约担保</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rPr>
              <w:t>十二</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rPr>
              <w:t>其他约定</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rPr>
              <w:t>十三</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rPr>
              <w:t>附则</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rPr>
              <w:t>十四</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rPr>
              <w:t>合同争议</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rPr>
              <w:t>十五</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rPr>
              <w:t>合同生效</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rPr>
              <w:t>十六</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rPr>
              <w:t>合同份数</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rPr>
              <w:t>附件一</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rPr>
              <w:t>《工程量清单计价表》</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rPr>
              <w:t>附件</w:t>
            </w:r>
            <w:r>
              <w:rPr>
                <w:rFonts w:hint="eastAsia" w:ascii="宋体" w:hAnsi="宋体" w:eastAsia="宋体" w:cs="宋体"/>
                <w:color w:val="auto"/>
                <w:kern w:val="0"/>
                <w:szCs w:val="21"/>
              </w:rPr>
              <w:t>二</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rPr>
              <w:t>廉洁协议书</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rPr>
              <w:t>附件三</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rPr>
              <w:t>安全生产责任书</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rPr>
              <w:t>附件四</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rPr>
              <w:t>诚信履约承诺书</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rPr>
              <w:t>附件五</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rPr>
              <w:t>检测单位履约考核评分表</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pPr>
              <w:pStyle w:val="61"/>
              <w:snapToGrid w:val="0"/>
              <w:spacing w:line="400" w:lineRule="exact"/>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rPr>
              <w:t>一</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rPr>
              <w:t>不可撤销银行履约保函</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pPr>
              <w:pStyle w:val="61"/>
              <w:snapToGrid w:val="0"/>
              <w:spacing w:line="400" w:lineRule="exact"/>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rPr>
              <w:t>二</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rPr>
              <w:t>履约保证保险凭证</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pPr>
              <w:pStyle w:val="61"/>
              <w:snapToGrid w:val="0"/>
              <w:spacing w:line="400" w:lineRule="exact"/>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rPr>
              <w:t>三</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rPr>
              <w:t>担保公司履约担保书</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63" w:name="_Toc3222"/>
      <w:bookmarkStart w:id="664" w:name="_Toc102860426"/>
      <w:bookmarkStart w:id="665" w:name="_Toc140596937"/>
      <w:bookmarkStart w:id="666" w:name="_Toc94107218"/>
      <w:bookmarkStart w:id="667" w:name="_Toc29505"/>
      <w:bookmarkStart w:id="668" w:name="_Toc5473"/>
      <w:bookmarkStart w:id="669" w:name="_Toc13179"/>
      <w:bookmarkStart w:id="670" w:name="_Toc102860082"/>
      <w:bookmarkStart w:id="671" w:name="_Toc104991884"/>
      <w:bookmarkStart w:id="672" w:name="_Toc142508377"/>
      <w:bookmarkStart w:id="673" w:name="_Toc486167717"/>
      <w:bookmarkStart w:id="674" w:name="_Toc27980_WPSOffice_Level2"/>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663"/>
      <w:bookmarkEnd w:id="664"/>
      <w:bookmarkEnd w:id="665"/>
      <w:bookmarkEnd w:id="666"/>
      <w:bookmarkEnd w:id="667"/>
      <w:bookmarkEnd w:id="668"/>
      <w:bookmarkEnd w:id="669"/>
      <w:bookmarkEnd w:id="670"/>
      <w:bookmarkEnd w:id="671"/>
      <w:bookmarkEnd w:id="672"/>
    </w:p>
    <w:p>
      <w:pPr>
        <w:tabs>
          <w:tab w:val="left" w:pos="567"/>
        </w:tabs>
        <w:autoSpaceDE w:val="0"/>
        <w:autoSpaceDN w:val="0"/>
        <w:adjustRightInd w:val="0"/>
        <w:spacing w:line="360" w:lineRule="auto"/>
        <w:jc w:val="center"/>
        <w:outlineLvl w:val="2"/>
        <w:rPr>
          <w:rFonts w:hint="eastAsia" w:ascii="宋体" w:hAnsi="宋体" w:eastAsia="宋体" w:cs="宋体"/>
          <w:b/>
          <w:color w:val="auto"/>
          <w:kern w:val="0"/>
          <w:sz w:val="32"/>
          <w:szCs w:val="32"/>
          <w:highlight w:val="none"/>
          <w:lang w:val="zh-CN"/>
        </w:rPr>
      </w:pPr>
      <w:bookmarkStart w:id="675" w:name="_Toc5231"/>
      <w:r>
        <w:rPr>
          <w:rFonts w:hint="eastAsia" w:ascii="宋体" w:hAnsi="宋体" w:eastAsia="宋体" w:cs="宋体"/>
          <w:b/>
          <w:color w:val="auto"/>
          <w:kern w:val="0"/>
          <w:sz w:val="32"/>
          <w:szCs w:val="32"/>
          <w:highlight w:val="none"/>
          <w:lang w:val="zh-CN"/>
        </w:rPr>
        <w:t>投标人2019年1月1日（以合同签订日期为准）至今承接的市政工程检测业绩表</w:t>
      </w:r>
      <w:bookmarkEnd w:id="675"/>
    </w:p>
    <w:tbl>
      <w:tblPr>
        <w:tblStyle w:val="3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60"/>
        <w:gridCol w:w="954"/>
        <w:gridCol w:w="954"/>
        <w:gridCol w:w="956"/>
        <w:gridCol w:w="956"/>
        <w:gridCol w:w="956"/>
        <w:gridCol w:w="1114"/>
        <w:gridCol w:w="956"/>
        <w:gridCol w:w="956"/>
        <w:gridCol w:w="956"/>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23"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67"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467"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468"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468"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468"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545"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468"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468"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468"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385"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pPr>
              <w:jc w:val="center"/>
              <w:rPr>
                <w:rFonts w:hint="eastAsia" w:ascii="宋体" w:hAnsi="宋体" w:eastAsia="宋体" w:cs="宋体"/>
                <w:color w:val="auto"/>
                <w:sz w:val="21"/>
                <w:szCs w:val="21"/>
                <w:highlight w:val="none"/>
              </w:rPr>
            </w:pPr>
          </w:p>
        </w:tc>
        <w:tc>
          <w:tcPr>
            <w:tcW w:w="467" w:type="pct"/>
            <w:noWrap w:val="0"/>
            <w:vAlign w:val="center"/>
          </w:tcPr>
          <w:p>
            <w:pPr>
              <w:jc w:val="center"/>
              <w:rPr>
                <w:rFonts w:hint="eastAsia" w:ascii="宋体" w:hAnsi="宋体" w:eastAsia="宋体" w:cs="宋体"/>
                <w:color w:val="auto"/>
                <w:sz w:val="21"/>
                <w:szCs w:val="21"/>
                <w:highlight w:val="none"/>
              </w:rPr>
            </w:pPr>
          </w:p>
        </w:tc>
        <w:tc>
          <w:tcPr>
            <w:tcW w:w="467" w:type="pct"/>
            <w:noWrap w:val="0"/>
            <w:vAlign w:val="center"/>
          </w:tcPr>
          <w:p>
            <w:pPr>
              <w:jc w:val="center"/>
              <w:rPr>
                <w:rFonts w:hint="eastAsia" w:ascii="宋体" w:hAnsi="宋体" w:eastAsia="宋体" w:cs="宋体"/>
                <w:color w:val="auto"/>
                <w:sz w:val="21"/>
                <w:szCs w:val="21"/>
                <w:highlight w:val="none"/>
              </w:rPr>
            </w:pPr>
          </w:p>
        </w:tc>
        <w:tc>
          <w:tcPr>
            <w:tcW w:w="468" w:type="pct"/>
            <w:noWrap w:val="0"/>
            <w:vAlign w:val="center"/>
          </w:tcPr>
          <w:p>
            <w:pPr>
              <w:jc w:val="center"/>
              <w:rPr>
                <w:rFonts w:hint="eastAsia" w:ascii="宋体" w:hAnsi="宋体" w:eastAsia="宋体" w:cs="宋体"/>
                <w:color w:val="auto"/>
                <w:sz w:val="21"/>
                <w:szCs w:val="21"/>
                <w:highlight w:val="none"/>
              </w:rPr>
            </w:pPr>
          </w:p>
        </w:tc>
        <w:tc>
          <w:tcPr>
            <w:tcW w:w="468" w:type="pct"/>
            <w:noWrap w:val="0"/>
            <w:vAlign w:val="center"/>
          </w:tcPr>
          <w:p>
            <w:pPr>
              <w:jc w:val="center"/>
              <w:rPr>
                <w:rFonts w:hint="eastAsia" w:ascii="宋体" w:hAnsi="宋体" w:eastAsia="宋体" w:cs="宋体"/>
                <w:color w:val="auto"/>
                <w:sz w:val="21"/>
                <w:szCs w:val="21"/>
                <w:highlight w:val="none"/>
              </w:rPr>
            </w:pPr>
          </w:p>
        </w:tc>
        <w:tc>
          <w:tcPr>
            <w:tcW w:w="468" w:type="pct"/>
            <w:noWrap w:val="0"/>
            <w:vAlign w:val="center"/>
          </w:tcPr>
          <w:p>
            <w:pPr>
              <w:jc w:val="center"/>
              <w:rPr>
                <w:rFonts w:hint="eastAsia" w:ascii="宋体" w:hAnsi="宋体" w:eastAsia="宋体" w:cs="宋体"/>
                <w:color w:val="auto"/>
                <w:sz w:val="21"/>
                <w:szCs w:val="21"/>
                <w:highlight w:val="none"/>
              </w:rPr>
            </w:pPr>
          </w:p>
        </w:tc>
        <w:tc>
          <w:tcPr>
            <w:tcW w:w="545" w:type="pct"/>
            <w:noWrap w:val="0"/>
            <w:vAlign w:val="center"/>
          </w:tcPr>
          <w:p>
            <w:pPr>
              <w:jc w:val="center"/>
              <w:rPr>
                <w:rFonts w:hint="eastAsia" w:ascii="宋体" w:hAnsi="宋体" w:eastAsia="宋体" w:cs="宋体"/>
                <w:color w:val="auto"/>
                <w:sz w:val="21"/>
                <w:szCs w:val="21"/>
                <w:highlight w:val="none"/>
              </w:rPr>
            </w:pPr>
          </w:p>
        </w:tc>
        <w:tc>
          <w:tcPr>
            <w:tcW w:w="468" w:type="pct"/>
            <w:noWrap w:val="0"/>
            <w:vAlign w:val="top"/>
          </w:tcPr>
          <w:p>
            <w:pPr>
              <w:jc w:val="center"/>
              <w:rPr>
                <w:rFonts w:hint="eastAsia" w:ascii="宋体" w:hAnsi="宋体" w:eastAsia="宋体" w:cs="宋体"/>
                <w:color w:val="auto"/>
                <w:sz w:val="21"/>
                <w:szCs w:val="21"/>
                <w:highlight w:val="none"/>
              </w:rPr>
            </w:pPr>
          </w:p>
        </w:tc>
        <w:tc>
          <w:tcPr>
            <w:tcW w:w="468" w:type="pct"/>
            <w:noWrap w:val="0"/>
            <w:vAlign w:val="center"/>
          </w:tcPr>
          <w:p>
            <w:pPr>
              <w:jc w:val="center"/>
              <w:rPr>
                <w:rFonts w:hint="eastAsia" w:ascii="宋体" w:hAnsi="宋体" w:eastAsia="宋体" w:cs="宋体"/>
                <w:color w:val="auto"/>
                <w:sz w:val="21"/>
                <w:szCs w:val="21"/>
                <w:highlight w:val="none"/>
              </w:rPr>
            </w:pPr>
          </w:p>
        </w:tc>
        <w:tc>
          <w:tcPr>
            <w:tcW w:w="468" w:type="pct"/>
            <w:noWrap w:val="0"/>
            <w:vAlign w:val="center"/>
          </w:tcPr>
          <w:p>
            <w:pPr>
              <w:jc w:val="center"/>
              <w:rPr>
                <w:rFonts w:hint="eastAsia" w:ascii="宋体" w:hAnsi="宋体" w:eastAsia="宋体" w:cs="宋体"/>
                <w:color w:val="auto"/>
                <w:sz w:val="21"/>
                <w:szCs w:val="21"/>
                <w:highlight w:val="none"/>
              </w:rPr>
            </w:pPr>
          </w:p>
        </w:tc>
        <w:tc>
          <w:tcPr>
            <w:tcW w:w="385" w:type="pct"/>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pPr>
              <w:jc w:val="center"/>
              <w:rPr>
                <w:rFonts w:hint="eastAsia" w:ascii="宋体" w:hAnsi="宋体" w:eastAsia="宋体" w:cs="宋体"/>
                <w:color w:val="auto"/>
                <w:sz w:val="21"/>
                <w:szCs w:val="21"/>
                <w:highlight w:val="none"/>
              </w:rPr>
            </w:pPr>
          </w:p>
        </w:tc>
        <w:tc>
          <w:tcPr>
            <w:tcW w:w="467" w:type="pct"/>
            <w:noWrap w:val="0"/>
            <w:vAlign w:val="center"/>
          </w:tcPr>
          <w:p>
            <w:pPr>
              <w:jc w:val="center"/>
              <w:rPr>
                <w:rFonts w:hint="eastAsia" w:ascii="宋体" w:hAnsi="宋体" w:eastAsia="宋体" w:cs="宋体"/>
                <w:color w:val="auto"/>
                <w:sz w:val="21"/>
                <w:szCs w:val="21"/>
                <w:highlight w:val="none"/>
              </w:rPr>
            </w:pPr>
          </w:p>
        </w:tc>
        <w:tc>
          <w:tcPr>
            <w:tcW w:w="467" w:type="pct"/>
            <w:noWrap w:val="0"/>
            <w:vAlign w:val="center"/>
          </w:tcPr>
          <w:p>
            <w:pPr>
              <w:jc w:val="center"/>
              <w:rPr>
                <w:rFonts w:hint="eastAsia" w:ascii="宋体" w:hAnsi="宋体" w:eastAsia="宋体" w:cs="宋体"/>
                <w:color w:val="auto"/>
                <w:sz w:val="21"/>
                <w:szCs w:val="21"/>
                <w:highlight w:val="none"/>
              </w:rPr>
            </w:pPr>
          </w:p>
        </w:tc>
        <w:tc>
          <w:tcPr>
            <w:tcW w:w="468" w:type="pct"/>
            <w:noWrap w:val="0"/>
            <w:vAlign w:val="center"/>
          </w:tcPr>
          <w:p>
            <w:pPr>
              <w:jc w:val="center"/>
              <w:rPr>
                <w:rFonts w:hint="eastAsia" w:ascii="宋体" w:hAnsi="宋体" w:eastAsia="宋体" w:cs="宋体"/>
                <w:color w:val="auto"/>
                <w:sz w:val="21"/>
                <w:szCs w:val="21"/>
                <w:highlight w:val="none"/>
              </w:rPr>
            </w:pPr>
          </w:p>
        </w:tc>
        <w:tc>
          <w:tcPr>
            <w:tcW w:w="468" w:type="pct"/>
            <w:noWrap w:val="0"/>
            <w:vAlign w:val="center"/>
          </w:tcPr>
          <w:p>
            <w:pPr>
              <w:jc w:val="center"/>
              <w:rPr>
                <w:rFonts w:hint="eastAsia" w:ascii="宋体" w:hAnsi="宋体" w:eastAsia="宋体" w:cs="宋体"/>
                <w:color w:val="auto"/>
                <w:sz w:val="21"/>
                <w:szCs w:val="21"/>
                <w:highlight w:val="none"/>
              </w:rPr>
            </w:pPr>
          </w:p>
        </w:tc>
        <w:tc>
          <w:tcPr>
            <w:tcW w:w="468" w:type="pct"/>
            <w:noWrap w:val="0"/>
            <w:vAlign w:val="center"/>
          </w:tcPr>
          <w:p>
            <w:pPr>
              <w:jc w:val="center"/>
              <w:rPr>
                <w:rFonts w:hint="eastAsia" w:ascii="宋体" w:hAnsi="宋体" w:eastAsia="宋体" w:cs="宋体"/>
                <w:color w:val="auto"/>
                <w:sz w:val="21"/>
                <w:szCs w:val="21"/>
                <w:highlight w:val="none"/>
              </w:rPr>
            </w:pPr>
          </w:p>
        </w:tc>
        <w:tc>
          <w:tcPr>
            <w:tcW w:w="545" w:type="pct"/>
            <w:noWrap w:val="0"/>
            <w:vAlign w:val="center"/>
          </w:tcPr>
          <w:p>
            <w:pPr>
              <w:jc w:val="center"/>
              <w:rPr>
                <w:rFonts w:hint="eastAsia" w:ascii="宋体" w:hAnsi="宋体" w:eastAsia="宋体" w:cs="宋体"/>
                <w:color w:val="auto"/>
                <w:sz w:val="21"/>
                <w:szCs w:val="21"/>
                <w:highlight w:val="none"/>
              </w:rPr>
            </w:pPr>
          </w:p>
        </w:tc>
        <w:tc>
          <w:tcPr>
            <w:tcW w:w="468" w:type="pct"/>
            <w:noWrap w:val="0"/>
            <w:vAlign w:val="top"/>
          </w:tcPr>
          <w:p>
            <w:pPr>
              <w:jc w:val="center"/>
              <w:rPr>
                <w:rFonts w:hint="eastAsia" w:ascii="宋体" w:hAnsi="宋体" w:eastAsia="宋体" w:cs="宋体"/>
                <w:color w:val="auto"/>
                <w:sz w:val="21"/>
                <w:szCs w:val="21"/>
                <w:highlight w:val="none"/>
              </w:rPr>
            </w:pPr>
          </w:p>
        </w:tc>
        <w:tc>
          <w:tcPr>
            <w:tcW w:w="468" w:type="pct"/>
            <w:noWrap w:val="0"/>
            <w:vAlign w:val="center"/>
          </w:tcPr>
          <w:p>
            <w:pPr>
              <w:jc w:val="center"/>
              <w:rPr>
                <w:rFonts w:hint="eastAsia" w:ascii="宋体" w:hAnsi="宋体" w:eastAsia="宋体" w:cs="宋体"/>
                <w:color w:val="auto"/>
                <w:sz w:val="21"/>
                <w:szCs w:val="21"/>
                <w:highlight w:val="none"/>
              </w:rPr>
            </w:pPr>
          </w:p>
        </w:tc>
        <w:tc>
          <w:tcPr>
            <w:tcW w:w="468" w:type="pct"/>
            <w:noWrap w:val="0"/>
            <w:vAlign w:val="center"/>
          </w:tcPr>
          <w:p>
            <w:pPr>
              <w:jc w:val="center"/>
              <w:rPr>
                <w:rFonts w:hint="eastAsia" w:ascii="宋体" w:hAnsi="宋体" w:eastAsia="宋体" w:cs="宋体"/>
                <w:color w:val="auto"/>
                <w:sz w:val="21"/>
                <w:szCs w:val="21"/>
                <w:highlight w:val="none"/>
              </w:rPr>
            </w:pPr>
          </w:p>
        </w:tc>
        <w:tc>
          <w:tcPr>
            <w:tcW w:w="385" w:type="pct"/>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pPr>
              <w:jc w:val="center"/>
              <w:rPr>
                <w:rFonts w:hint="eastAsia" w:ascii="宋体" w:hAnsi="宋体" w:eastAsia="宋体" w:cs="宋体"/>
                <w:color w:val="auto"/>
                <w:sz w:val="21"/>
                <w:szCs w:val="21"/>
                <w:highlight w:val="none"/>
              </w:rPr>
            </w:pPr>
          </w:p>
        </w:tc>
        <w:tc>
          <w:tcPr>
            <w:tcW w:w="467" w:type="pct"/>
            <w:noWrap w:val="0"/>
            <w:vAlign w:val="center"/>
          </w:tcPr>
          <w:p>
            <w:pPr>
              <w:jc w:val="center"/>
              <w:rPr>
                <w:rFonts w:hint="eastAsia" w:ascii="宋体" w:hAnsi="宋体" w:eastAsia="宋体" w:cs="宋体"/>
                <w:color w:val="auto"/>
                <w:sz w:val="21"/>
                <w:szCs w:val="21"/>
                <w:highlight w:val="none"/>
              </w:rPr>
            </w:pPr>
          </w:p>
        </w:tc>
        <w:tc>
          <w:tcPr>
            <w:tcW w:w="467" w:type="pct"/>
            <w:noWrap w:val="0"/>
            <w:vAlign w:val="center"/>
          </w:tcPr>
          <w:p>
            <w:pPr>
              <w:jc w:val="center"/>
              <w:rPr>
                <w:rFonts w:hint="eastAsia" w:ascii="宋体" w:hAnsi="宋体" w:eastAsia="宋体" w:cs="宋体"/>
                <w:color w:val="auto"/>
                <w:sz w:val="21"/>
                <w:szCs w:val="21"/>
                <w:highlight w:val="none"/>
              </w:rPr>
            </w:pPr>
          </w:p>
        </w:tc>
        <w:tc>
          <w:tcPr>
            <w:tcW w:w="468" w:type="pct"/>
            <w:noWrap w:val="0"/>
            <w:vAlign w:val="center"/>
          </w:tcPr>
          <w:p>
            <w:pPr>
              <w:jc w:val="center"/>
              <w:rPr>
                <w:rFonts w:hint="eastAsia" w:ascii="宋体" w:hAnsi="宋体" w:eastAsia="宋体" w:cs="宋体"/>
                <w:color w:val="auto"/>
                <w:sz w:val="21"/>
                <w:szCs w:val="21"/>
                <w:highlight w:val="none"/>
              </w:rPr>
            </w:pPr>
          </w:p>
        </w:tc>
        <w:tc>
          <w:tcPr>
            <w:tcW w:w="468" w:type="pct"/>
            <w:noWrap w:val="0"/>
            <w:vAlign w:val="center"/>
          </w:tcPr>
          <w:p>
            <w:pPr>
              <w:jc w:val="center"/>
              <w:rPr>
                <w:rFonts w:hint="eastAsia" w:ascii="宋体" w:hAnsi="宋体" w:eastAsia="宋体" w:cs="宋体"/>
                <w:color w:val="auto"/>
                <w:sz w:val="21"/>
                <w:szCs w:val="21"/>
                <w:highlight w:val="none"/>
              </w:rPr>
            </w:pPr>
          </w:p>
        </w:tc>
        <w:tc>
          <w:tcPr>
            <w:tcW w:w="468" w:type="pct"/>
            <w:noWrap w:val="0"/>
            <w:vAlign w:val="center"/>
          </w:tcPr>
          <w:p>
            <w:pPr>
              <w:jc w:val="center"/>
              <w:rPr>
                <w:rFonts w:hint="eastAsia" w:ascii="宋体" w:hAnsi="宋体" w:eastAsia="宋体" w:cs="宋体"/>
                <w:color w:val="auto"/>
                <w:sz w:val="21"/>
                <w:szCs w:val="21"/>
                <w:highlight w:val="none"/>
              </w:rPr>
            </w:pPr>
          </w:p>
        </w:tc>
        <w:tc>
          <w:tcPr>
            <w:tcW w:w="545" w:type="pct"/>
            <w:noWrap w:val="0"/>
            <w:vAlign w:val="center"/>
          </w:tcPr>
          <w:p>
            <w:pPr>
              <w:jc w:val="center"/>
              <w:rPr>
                <w:rFonts w:hint="eastAsia" w:ascii="宋体" w:hAnsi="宋体" w:eastAsia="宋体" w:cs="宋体"/>
                <w:color w:val="auto"/>
                <w:sz w:val="21"/>
                <w:szCs w:val="21"/>
                <w:highlight w:val="none"/>
              </w:rPr>
            </w:pPr>
          </w:p>
        </w:tc>
        <w:tc>
          <w:tcPr>
            <w:tcW w:w="468" w:type="pct"/>
            <w:noWrap w:val="0"/>
            <w:vAlign w:val="top"/>
          </w:tcPr>
          <w:p>
            <w:pPr>
              <w:jc w:val="center"/>
              <w:rPr>
                <w:rFonts w:hint="eastAsia" w:ascii="宋体" w:hAnsi="宋体" w:eastAsia="宋体" w:cs="宋体"/>
                <w:color w:val="auto"/>
                <w:sz w:val="21"/>
                <w:szCs w:val="21"/>
                <w:highlight w:val="none"/>
              </w:rPr>
            </w:pPr>
          </w:p>
        </w:tc>
        <w:tc>
          <w:tcPr>
            <w:tcW w:w="468" w:type="pct"/>
            <w:noWrap w:val="0"/>
            <w:vAlign w:val="center"/>
          </w:tcPr>
          <w:p>
            <w:pPr>
              <w:jc w:val="center"/>
              <w:rPr>
                <w:rFonts w:hint="eastAsia" w:ascii="宋体" w:hAnsi="宋体" w:eastAsia="宋体" w:cs="宋体"/>
                <w:color w:val="auto"/>
                <w:sz w:val="21"/>
                <w:szCs w:val="21"/>
                <w:highlight w:val="none"/>
              </w:rPr>
            </w:pPr>
          </w:p>
        </w:tc>
        <w:tc>
          <w:tcPr>
            <w:tcW w:w="468" w:type="pct"/>
            <w:noWrap w:val="0"/>
            <w:vAlign w:val="center"/>
          </w:tcPr>
          <w:p>
            <w:pPr>
              <w:jc w:val="center"/>
              <w:rPr>
                <w:rFonts w:hint="eastAsia" w:ascii="宋体" w:hAnsi="宋体" w:eastAsia="宋体" w:cs="宋体"/>
                <w:color w:val="auto"/>
                <w:sz w:val="21"/>
                <w:szCs w:val="21"/>
                <w:highlight w:val="none"/>
              </w:rPr>
            </w:pPr>
          </w:p>
        </w:tc>
        <w:tc>
          <w:tcPr>
            <w:tcW w:w="385" w:type="pct"/>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pPr>
              <w:jc w:val="center"/>
              <w:rPr>
                <w:rFonts w:hint="eastAsia" w:ascii="宋体" w:hAnsi="宋体" w:eastAsia="宋体" w:cs="宋体"/>
                <w:color w:val="auto"/>
                <w:sz w:val="21"/>
                <w:szCs w:val="21"/>
                <w:highlight w:val="none"/>
              </w:rPr>
            </w:pPr>
          </w:p>
        </w:tc>
        <w:tc>
          <w:tcPr>
            <w:tcW w:w="467" w:type="pct"/>
            <w:noWrap w:val="0"/>
            <w:vAlign w:val="center"/>
          </w:tcPr>
          <w:p>
            <w:pPr>
              <w:jc w:val="center"/>
              <w:rPr>
                <w:rFonts w:hint="eastAsia" w:ascii="宋体" w:hAnsi="宋体" w:eastAsia="宋体" w:cs="宋体"/>
                <w:color w:val="auto"/>
                <w:sz w:val="21"/>
                <w:szCs w:val="21"/>
                <w:highlight w:val="none"/>
              </w:rPr>
            </w:pPr>
          </w:p>
        </w:tc>
        <w:tc>
          <w:tcPr>
            <w:tcW w:w="467" w:type="pct"/>
            <w:noWrap w:val="0"/>
            <w:vAlign w:val="center"/>
          </w:tcPr>
          <w:p>
            <w:pPr>
              <w:jc w:val="center"/>
              <w:rPr>
                <w:rFonts w:hint="eastAsia" w:ascii="宋体" w:hAnsi="宋体" w:eastAsia="宋体" w:cs="宋体"/>
                <w:color w:val="auto"/>
                <w:sz w:val="21"/>
                <w:szCs w:val="21"/>
                <w:highlight w:val="none"/>
              </w:rPr>
            </w:pPr>
          </w:p>
        </w:tc>
        <w:tc>
          <w:tcPr>
            <w:tcW w:w="468" w:type="pct"/>
            <w:noWrap w:val="0"/>
            <w:vAlign w:val="center"/>
          </w:tcPr>
          <w:p>
            <w:pPr>
              <w:jc w:val="center"/>
              <w:rPr>
                <w:rFonts w:hint="eastAsia" w:ascii="宋体" w:hAnsi="宋体" w:eastAsia="宋体" w:cs="宋体"/>
                <w:color w:val="auto"/>
                <w:sz w:val="21"/>
                <w:szCs w:val="21"/>
                <w:highlight w:val="none"/>
              </w:rPr>
            </w:pPr>
          </w:p>
        </w:tc>
        <w:tc>
          <w:tcPr>
            <w:tcW w:w="468" w:type="pct"/>
            <w:noWrap w:val="0"/>
            <w:vAlign w:val="center"/>
          </w:tcPr>
          <w:p>
            <w:pPr>
              <w:jc w:val="center"/>
              <w:rPr>
                <w:rFonts w:hint="eastAsia" w:ascii="宋体" w:hAnsi="宋体" w:eastAsia="宋体" w:cs="宋体"/>
                <w:color w:val="auto"/>
                <w:sz w:val="21"/>
                <w:szCs w:val="21"/>
                <w:highlight w:val="none"/>
              </w:rPr>
            </w:pPr>
          </w:p>
        </w:tc>
        <w:tc>
          <w:tcPr>
            <w:tcW w:w="468" w:type="pct"/>
            <w:noWrap w:val="0"/>
            <w:vAlign w:val="center"/>
          </w:tcPr>
          <w:p>
            <w:pPr>
              <w:jc w:val="center"/>
              <w:rPr>
                <w:rFonts w:hint="eastAsia" w:ascii="宋体" w:hAnsi="宋体" w:eastAsia="宋体" w:cs="宋体"/>
                <w:color w:val="auto"/>
                <w:sz w:val="21"/>
                <w:szCs w:val="21"/>
                <w:highlight w:val="none"/>
              </w:rPr>
            </w:pPr>
          </w:p>
        </w:tc>
        <w:tc>
          <w:tcPr>
            <w:tcW w:w="545" w:type="pct"/>
            <w:noWrap w:val="0"/>
            <w:vAlign w:val="center"/>
          </w:tcPr>
          <w:p>
            <w:pPr>
              <w:jc w:val="center"/>
              <w:rPr>
                <w:rFonts w:hint="eastAsia" w:ascii="宋体" w:hAnsi="宋体" w:eastAsia="宋体" w:cs="宋体"/>
                <w:color w:val="auto"/>
                <w:sz w:val="21"/>
                <w:szCs w:val="21"/>
                <w:highlight w:val="none"/>
              </w:rPr>
            </w:pPr>
          </w:p>
        </w:tc>
        <w:tc>
          <w:tcPr>
            <w:tcW w:w="468" w:type="pct"/>
            <w:noWrap w:val="0"/>
            <w:vAlign w:val="top"/>
          </w:tcPr>
          <w:p>
            <w:pPr>
              <w:jc w:val="center"/>
              <w:rPr>
                <w:rFonts w:hint="eastAsia" w:ascii="宋体" w:hAnsi="宋体" w:eastAsia="宋体" w:cs="宋体"/>
                <w:color w:val="auto"/>
                <w:sz w:val="21"/>
                <w:szCs w:val="21"/>
                <w:highlight w:val="none"/>
              </w:rPr>
            </w:pPr>
          </w:p>
        </w:tc>
        <w:tc>
          <w:tcPr>
            <w:tcW w:w="468" w:type="pct"/>
            <w:noWrap w:val="0"/>
            <w:vAlign w:val="center"/>
          </w:tcPr>
          <w:p>
            <w:pPr>
              <w:jc w:val="center"/>
              <w:rPr>
                <w:rFonts w:hint="eastAsia" w:ascii="宋体" w:hAnsi="宋体" w:eastAsia="宋体" w:cs="宋体"/>
                <w:color w:val="auto"/>
                <w:sz w:val="21"/>
                <w:szCs w:val="21"/>
                <w:highlight w:val="none"/>
              </w:rPr>
            </w:pPr>
          </w:p>
        </w:tc>
        <w:tc>
          <w:tcPr>
            <w:tcW w:w="468" w:type="pct"/>
            <w:noWrap w:val="0"/>
            <w:vAlign w:val="center"/>
          </w:tcPr>
          <w:p>
            <w:pPr>
              <w:jc w:val="center"/>
              <w:rPr>
                <w:rFonts w:hint="eastAsia" w:ascii="宋体" w:hAnsi="宋体" w:eastAsia="宋体" w:cs="宋体"/>
                <w:color w:val="auto"/>
                <w:sz w:val="21"/>
                <w:szCs w:val="21"/>
                <w:highlight w:val="none"/>
              </w:rPr>
            </w:pPr>
          </w:p>
        </w:tc>
        <w:tc>
          <w:tcPr>
            <w:tcW w:w="385" w:type="pct"/>
            <w:noWrap w:val="0"/>
            <w:vAlign w:val="center"/>
          </w:tcPr>
          <w:p>
            <w:pPr>
              <w:jc w:val="center"/>
              <w:rPr>
                <w:rFonts w:hint="eastAsia" w:ascii="宋体" w:hAnsi="宋体" w:eastAsia="宋体" w:cs="宋体"/>
                <w:color w:val="auto"/>
                <w:sz w:val="21"/>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val="0"/>
          <w:bCs/>
          <w:color w:val="auto"/>
          <w:szCs w:val="24"/>
          <w:lang w:val="zh-CN"/>
        </w:rPr>
        <w:t>同一个单项合同的业绩可以同时在资格业绩和评分业绩重复放置</w:t>
      </w:r>
      <w:r>
        <w:rPr>
          <w:rFonts w:hint="eastAsia" w:ascii="宋体" w:hAnsi="宋体" w:eastAsia="宋体" w:cs="Times New Roman"/>
          <w:color w:val="auto"/>
          <w:szCs w:val="24"/>
          <w:highlight w:val="none"/>
          <w:lang w:val="zh-CN"/>
        </w:rPr>
        <w:t>。</w:t>
      </w: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lang w:val="zh-CN"/>
        </w:rPr>
        <w:t>业绩须附合同复印件加盖投标人公章，否则不得分。</w:t>
      </w: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lang w:val="zh-CN"/>
        </w:rPr>
        <w:t>（</w:t>
      </w:r>
      <w:r>
        <w:rPr>
          <w:rFonts w:hint="eastAsia" w:ascii="宋体" w:hAnsi="宋体" w:eastAsia="宋体" w:cs="Times New Roman"/>
          <w:color w:val="auto"/>
          <w:szCs w:val="24"/>
        </w:rPr>
        <w:t>3</w:t>
      </w:r>
      <w:r>
        <w:rPr>
          <w:rFonts w:hint="eastAsia" w:ascii="宋体" w:hAnsi="宋体" w:eastAsia="宋体" w:cs="Times New Roman"/>
          <w:color w:val="auto"/>
          <w:szCs w:val="24"/>
          <w:lang w:val="zh-CN"/>
        </w:rPr>
        <w:t>）合同业绩证明材料必须能反映评分条件（合同签订日期为2019年1月1日或以后，业绩类型为市政工程检测，合同金额），若合同内容无法反映合同金额的，需提供可反映合同金额的结算资料复印件，否则需同时提供业主出具的书面补充情况说明文件（须加盖业主单位公章）复印件。</w:t>
      </w:r>
    </w:p>
    <w:p>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4</w:t>
      </w:r>
      <w:r>
        <w:rPr>
          <w:rFonts w:hint="eastAsia" w:ascii="宋体" w:hAnsi="宋体" w:eastAsia="宋体" w:cs="Times New Roman"/>
          <w:color w:val="auto"/>
          <w:szCs w:val="24"/>
          <w:highlight w:val="none"/>
          <w:lang w:val="zh-CN"/>
        </w:rPr>
        <w:t>）</w:t>
      </w:r>
      <w:r>
        <w:rPr>
          <w:rFonts w:hint="eastAsia" w:ascii="宋体" w:hAnsi="宋体" w:eastAsia="宋体" w:cs="Times New Roman"/>
          <w:b w:val="0"/>
          <w:bCs/>
          <w:color w:val="auto"/>
          <w:szCs w:val="24"/>
          <w:lang w:val="zh-CN"/>
        </w:rPr>
        <w:t>未按上述要求在此格式下提供证明材料的业绩，或在此格式下</w:t>
      </w:r>
      <w:r>
        <w:rPr>
          <w:rFonts w:hint="eastAsia" w:ascii="宋体" w:hAnsi="宋体" w:eastAsia="宋体" w:cs="Times New Roman"/>
          <w:color w:val="auto"/>
          <w:szCs w:val="24"/>
          <w:highlight w:val="none"/>
          <w:lang w:val="zh-CN"/>
        </w:rPr>
        <w:t>所附材料无法证明填报项目符合本项评分要求的业绩，在评标时将不予考虑</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rPr>
          <w:rFonts w:ascii="宋体" w:hAnsi="宋体" w:eastAsia="宋体" w:cs="Times New Roman"/>
          <w:b/>
          <w:bCs/>
          <w:color w:val="auto"/>
          <w:sz w:val="30"/>
          <w:szCs w:val="30"/>
          <w:highlight w:val="none"/>
          <w:lang w:val="zh-CN"/>
        </w:rPr>
      </w:pPr>
    </w:p>
    <w:p>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673"/>
    <w:bookmarkEnd w:id="674"/>
    <w:p>
      <w:pPr>
        <w:rPr>
          <w:rFonts w:hint="eastAsia" w:ascii="宋体" w:hAnsi="宋体" w:eastAsia="宋体" w:cs="宋体"/>
          <w:b/>
          <w:bCs/>
          <w:color w:val="auto"/>
          <w:kern w:val="0"/>
          <w:sz w:val="32"/>
          <w:szCs w:val="32"/>
          <w:highlight w:val="none"/>
          <w:lang w:val="zh-CN"/>
        </w:rPr>
      </w:pPr>
      <w:bookmarkStart w:id="676" w:name="_Toc19890"/>
      <w:bookmarkStart w:id="677" w:name="_Toc104991885"/>
      <w:bookmarkStart w:id="678" w:name="_Toc102860427"/>
      <w:bookmarkStart w:id="679" w:name="_Toc1977737"/>
      <w:bookmarkStart w:id="680" w:name="_Toc533708132"/>
      <w:bookmarkStart w:id="681" w:name="_Toc31965"/>
      <w:bookmarkStart w:id="682" w:name="_Toc18175_WPSOffice_Level2"/>
      <w:bookmarkStart w:id="683" w:name="_Toc140596938"/>
      <w:bookmarkStart w:id="684" w:name="_Toc18413"/>
      <w:bookmarkStart w:id="685" w:name="_Toc94107220"/>
      <w:bookmarkStart w:id="686" w:name="_Toc142508378"/>
      <w:bookmarkStart w:id="687" w:name="_Toc102860083"/>
      <w:bookmarkStart w:id="688" w:name="_Toc486167719"/>
      <w:r>
        <w:rPr>
          <w:rFonts w:hint="eastAsia" w:ascii="宋体" w:hAnsi="宋体" w:eastAsia="宋体" w:cs="宋体"/>
          <w:b/>
          <w:bCs/>
          <w:color w:val="auto"/>
          <w:kern w:val="0"/>
          <w:sz w:val="32"/>
          <w:szCs w:val="32"/>
          <w:highlight w:val="none"/>
          <w:lang w:val="zh-CN"/>
        </w:rPr>
        <w:br w:type="page"/>
      </w:r>
    </w:p>
    <w:p>
      <w:pPr>
        <w:numPr>
          <w:ilvl w:val="0"/>
          <w:numId w:val="5"/>
        </w:numPr>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en-US" w:eastAsia="zh-CN"/>
        </w:rPr>
        <w:t>拟投入人员情况</w:t>
      </w:r>
      <w:r>
        <w:rPr>
          <w:rFonts w:hint="eastAsia" w:ascii="宋体" w:hAnsi="宋体" w:eastAsia="宋体" w:cs="宋体"/>
          <w:b/>
          <w:color w:val="auto"/>
          <w:sz w:val="32"/>
          <w:szCs w:val="32"/>
          <w:highlight w:val="none"/>
        </w:rPr>
        <w:t>格式</w:t>
      </w:r>
    </w:p>
    <w:p>
      <w:pPr>
        <w:spacing w:before="120" w:beforeLines="50"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（1）拟投入人员情况一览表</w:t>
      </w:r>
    </w:p>
    <w:tbl>
      <w:tblPr>
        <w:tblStyle w:val="3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4"/>
        <w:gridCol w:w="737"/>
        <w:gridCol w:w="737"/>
        <w:gridCol w:w="737"/>
        <w:gridCol w:w="1795"/>
        <w:gridCol w:w="1544"/>
        <w:gridCol w:w="1805"/>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40" w:type="pct"/>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序号</w:t>
            </w:r>
          </w:p>
        </w:tc>
        <w:tc>
          <w:tcPr>
            <w:tcW w:w="614" w:type="pct"/>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姓名</w:t>
            </w:r>
          </w:p>
        </w:tc>
        <w:tc>
          <w:tcPr>
            <w:tcW w:w="355" w:type="pct"/>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性别</w:t>
            </w:r>
          </w:p>
        </w:tc>
        <w:tc>
          <w:tcPr>
            <w:tcW w:w="355" w:type="pct"/>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年龄</w:t>
            </w:r>
          </w:p>
        </w:tc>
        <w:tc>
          <w:tcPr>
            <w:tcW w:w="355" w:type="pct"/>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学历</w:t>
            </w:r>
          </w:p>
        </w:tc>
        <w:tc>
          <w:tcPr>
            <w:tcW w:w="865" w:type="pct"/>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职称证书/资格证书/注册证书</w:t>
            </w:r>
          </w:p>
        </w:tc>
        <w:tc>
          <w:tcPr>
            <w:tcW w:w="744" w:type="pct"/>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拟任职务</w:t>
            </w:r>
          </w:p>
        </w:tc>
        <w:tc>
          <w:tcPr>
            <w:tcW w:w="870" w:type="pct"/>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从事本行业年限</w:t>
            </w:r>
          </w:p>
        </w:tc>
        <w:tc>
          <w:tcPr>
            <w:tcW w:w="497" w:type="pct"/>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40" w:type="pct"/>
            <w:vAlign w:val="center"/>
          </w:tcPr>
          <w:p>
            <w:pPr>
              <w:spacing w:line="360" w:lineRule="auto"/>
              <w:jc w:val="center"/>
              <w:rPr>
                <w:rFonts w:ascii="宋体" w:hAnsi="宋体" w:eastAsia="宋体" w:cs="宋体"/>
                <w:color w:val="auto"/>
                <w:szCs w:val="21"/>
              </w:rPr>
            </w:pPr>
          </w:p>
        </w:tc>
        <w:tc>
          <w:tcPr>
            <w:tcW w:w="614" w:type="pct"/>
            <w:vAlign w:val="center"/>
          </w:tcPr>
          <w:p>
            <w:pPr>
              <w:spacing w:line="360" w:lineRule="auto"/>
              <w:jc w:val="center"/>
              <w:rPr>
                <w:rFonts w:ascii="宋体" w:hAnsi="宋体" w:eastAsia="宋体" w:cs="宋体"/>
                <w:color w:val="auto"/>
                <w:szCs w:val="21"/>
              </w:rPr>
            </w:pPr>
          </w:p>
        </w:tc>
        <w:tc>
          <w:tcPr>
            <w:tcW w:w="355" w:type="pct"/>
            <w:vAlign w:val="center"/>
          </w:tcPr>
          <w:p>
            <w:pPr>
              <w:spacing w:line="360" w:lineRule="auto"/>
              <w:jc w:val="center"/>
              <w:rPr>
                <w:rFonts w:ascii="宋体" w:hAnsi="宋体" w:eastAsia="宋体" w:cs="宋体"/>
                <w:color w:val="auto"/>
                <w:szCs w:val="21"/>
              </w:rPr>
            </w:pPr>
          </w:p>
        </w:tc>
        <w:tc>
          <w:tcPr>
            <w:tcW w:w="355" w:type="pct"/>
            <w:vAlign w:val="center"/>
          </w:tcPr>
          <w:p>
            <w:pPr>
              <w:spacing w:line="360" w:lineRule="auto"/>
              <w:jc w:val="center"/>
              <w:rPr>
                <w:rFonts w:ascii="宋体" w:hAnsi="宋体" w:eastAsia="宋体" w:cs="宋体"/>
                <w:color w:val="auto"/>
                <w:szCs w:val="21"/>
              </w:rPr>
            </w:pPr>
          </w:p>
        </w:tc>
        <w:tc>
          <w:tcPr>
            <w:tcW w:w="355" w:type="pct"/>
            <w:vAlign w:val="center"/>
          </w:tcPr>
          <w:p>
            <w:pPr>
              <w:spacing w:line="360" w:lineRule="auto"/>
              <w:jc w:val="center"/>
              <w:rPr>
                <w:rFonts w:ascii="宋体" w:hAnsi="宋体" w:eastAsia="宋体" w:cs="宋体"/>
                <w:color w:val="auto"/>
                <w:szCs w:val="21"/>
              </w:rPr>
            </w:pPr>
          </w:p>
        </w:tc>
        <w:tc>
          <w:tcPr>
            <w:tcW w:w="865" w:type="pct"/>
            <w:vAlign w:val="center"/>
          </w:tcPr>
          <w:p>
            <w:pPr>
              <w:spacing w:line="360" w:lineRule="auto"/>
              <w:jc w:val="center"/>
              <w:rPr>
                <w:rFonts w:ascii="宋体" w:hAnsi="宋体" w:eastAsia="宋体" w:cs="宋体"/>
                <w:color w:val="auto"/>
                <w:szCs w:val="21"/>
              </w:rPr>
            </w:pPr>
          </w:p>
        </w:tc>
        <w:tc>
          <w:tcPr>
            <w:tcW w:w="744" w:type="pct"/>
            <w:vAlign w:val="center"/>
          </w:tcPr>
          <w:p>
            <w:pPr>
              <w:spacing w:line="360" w:lineRule="auto"/>
              <w:jc w:val="center"/>
              <w:rPr>
                <w:rFonts w:ascii="宋体" w:hAnsi="宋体" w:eastAsia="宋体" w:cs="宋体"/>
                <w:color w:val="auto"/>
                <w:szCs w:val="21"/>
              </w:rPr>
            </w:pPr>
          </w:p>
        </w:tc>
        <w:tc>
          <w:tcPr>
            <w:tcW w:w="870" w:type="pct"/>
            <w:vAlign w:val="center"/>
          </w:tcPr>
          <w:p>
            <w:pPr>
              <w:spacing w:line="360" w:lineRule="auto"/>
              <w:jc w:val="center"/>
              <w:rPr>
                <w:rFonts w:ascii="宋体" w:hAnsi="宋体" w:eastAsia="宋体" w:cs="宋体"/>
                <w:color w:val="auto"/>
                <w:szCs w:val="21"/>
              </w:rPr>
            </w:pPr>
          </w:p>
        </w:tc>
        <w:tc>
          <w:tcPr>
            <w:tcW w:w="497" w:type="pct"/>
            <w:vAlign w:val="center"/>
          </w:tcPr>
          <w:p>
            <w:pPr>
              <w:spacing w:line="360" w:lineRule="auto"/>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40" w:type="pct"/>
            <w:vAlign w:val="center"/>
          </w:tcPr>
          <w:p>
            <w:pPr>
              <w:spacing w:line="360" w:lineRule="auto"/>
              <w:jc w:val="center"/>
              <w:rPr>
                <w:rFonts w:ascii="宋体" w:hAnsi="宋体" w:eastAsia="宋体" w:cs="宋体"/>
                <w:color w:val="auto"/>
                <w:szCs w:val="21"/>
              </w:rPr>
            </w:pPr>
          </w:p>
        </w:tc>
        <w:tc>
          <w:tcPr>
            <w:tcW w:w="614" w:type="pct"/>
            <w:vAlign w:val="center"/>
          </w:tcPr>
          <w:p>
            <w:pPr>
              <w:spacing w:line="360" w:lineRule="auto"/>
              <w:jc w:val="center"/>
              <w:rPr>
                <w:rFonts w:ascii="宋体" w:hAnsi="宋体" w:eastAsia="宋体" w:cs="宋体"/>
                <w:color w:val="auto"/>
                <w:szCs w:val="21"/>
              </w:rPr>
            </w:pPr>
          </w:p>
        </w:tc>
        <w:tc>
          <w:tcPr>
            <w:tcW w:w="355" w:type="pct"/>
            <w:vAlign w:val="center"/>
          </w:tcPr>
          <w:p>
            <w:pPr>
              <w:spacing w:line="360" w:lineRule="auto"/>
              <w:jc w:val="center"/>
              <w:rPr>
                <w:rFonts w:ascii="宋体" w:hAnsi="宋体" w:eastAsia="宋体" w:cs="宋体"/>
                <w:color w:val="auto"/>
                <w:szCs w:val="21"/>
              </w:rPr>
            </w:pPr>
          </w:p>
        </w:tc>
        <w:tc>
          <w:tcPr>
            <w:tcW w:w="355" w:type="pct"/>
            <w:vAlign w:val="center"/>
          </w:tcPr>
          <w:p>
            <w:pPr>
              <w:spacing w:line="360" w:lineRule="auto"/>
              <w:jc w:val="center"/>
              <w:rPr>
                <w:rFonts w:ascii="宋体" w:hAnsi="宋体" w:eastAsia="宋体" w:cs="宋体"/>
                <w:color w:val="auto"/>
                <w:szCs w:val="21"/>
              </w:rPr>
            </w:pPr>
          </w:p>
        </w:tc>
        <w:tc>
          <w:tcPr>
            <w:tcW w:w="355" w:type="pct"/>
            <w:vAlign w:val="center"/>
          </w:tcPr>
          <w:p>
            <w:pPr>
              <w:spacing w:line="360" w:lineRule="auto"/>
              <w:jc w:val="center"/>
              <w:rPr>
                <w:rFonts w:ascii="宋体" w:hAnsi="宋体" w:eastAsia="宋体" w:cs="宋体"/>
                <w:color w:val="auto"/>
                <w:szCs w:val="21"/>
              </w:rPr>
            </w:pPr>
          </w:p>
        </w:tc>
        <w:tc>
          <w:tcPr>
            <w:tcW w:w="865" w:type="pct"/>
            <w:vAlign w:val="center"/>
          </w:tcPr>
          <w:p>
            <w:pPr>
              <w:spacing w:line="360" w:lineRule="auto"/>
              <w:jc w:val="center"/>
              <w:rPr>
                <w:rFonts w:ascii="宋体" w:hAnsi="宋体" w:eastAsia="宋体" w:cs="宋体"/>
                <w:color w:val="auto"/>
                <w:szCs w:val="21"/>
              </w:rPr>
            </w:pPr>
          </w:p>
        </w:tc>
        <w:tc>
          <w:tcPr>
            <w:tcW w:w="744" w:type="pct"/>
            <w:vAlign w:val="center"/>
          </w:tcPr>
          <w:p>
            <w:pPr>
              <w:spacing w:line="360" w:lineRule="auto"/>
              <w:jc w:val="center"/>
              <w:rPr>
                <w:rFonts w:ascii="宋体" w:hAnsi="宋体" w:eastAsia="宋体" w:cs="宋体"/>
                <w:color w:val="auto"/>
                <w:szCs w:val="21"/>
              </w:rPr>
            </w:pPr>
          </w:p>
        </w:tc>
        <w:tc>
          <w:tcPr>
            <w:tcW w:w="870" w:type="pct"/>
            <w:vAlign w:val="center"/>
          </w:tcPr>
          <w:p>
            <w:pPr>
              <w:spacing w:line="360" w:lineRule="auto"/>
              <w:jc w:val="center"/>
              <w:rPr>
                <w:rFonts w:ascii="宋体" w:hAnsi="宋体" w:eastAsia="宋体" w:cs="宋体"/>
                <w:color w:val="auto"/>
                <w:szCs w:val="21"/>
              </w:rPr>
            </w:pPr>
          </w:p>
        </w:tc>
        <w:tc>
          <w:tcPr>
            <w:tcW w:w="497" w:type="pct"/>
            <w:vAlign w:val="center"/>
          </w:tcPr>
          <w:p>
            <w:pPr>
              <w:spacing w:line="360" w:lineRule="auto"/>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vAlign w:val="center"/>
          </w:tcPr>
          <w:p>
            <w:pPr>
              <w:spacing w:line="360" w:lineRule="auto"/>
              <w:jc w:val="center"/>
              <w:rPr>
                <w:rFonts w:ascii="宋体" w:hAnsi="宋体" w:eastAsia="宋体" w:cs="宋体"/>
                <w:color w:val="auto"/>
                <w:szCs w:val="21"/>
              </w:rPr>
            </w:pPr>
          </w:p>
        </w:tc>
        <w:tc>
          <w:tcPr>
            <w:tcW w:w="614" w:type="pct"/>
            <w:vAlign w:val="center"/>
          </w:tcPr>
          <w:p>
            <w:pPr>
              <w:spacing w:line="360" w:lineRule="auto"/>
              <w:jc w:val="center"/>
              <w:rPr>
                <w:rFonts w:ascii="宋体" w:hAnsi="宋体" w:eastAsia="宋体" w:cs="宋体"/>
                <w:color w:val="auto"/>
                <w:szCs w:val="21"/>
              </w:rPr>
            </w:pPr>
          </w:p>
        </w:tc>
        <w:tc>
          <w:tcPr>
            <w:tcW w:w="355" w:type="pct"/>
            <w:vAlign w:val="center"/>
          </w:tcPr>
          <w:p>
            <w:pPr>
              <w:spacing w:line="360" w:lineRule="auto"/>
              <w:jc w:val="center"/>
              <w:rPr>
                <w:rFonts w:ascii="宋体" w:hAnsi="宋体" w:eastAsia="宋体" w:cs="宋体"/>
                <w:color w:val="auto"/>
                <w:szCs w:val="21"/>
              </w:rPr>
            </w:pPr>
          </w:p>
        </w:tc>
        <w:tc>
          <w:tcPr>
            <w:tcW w:w="355" w:type="pct"/>
            <w:vAlign w:val="center"/>
          </w:tcPr>
          <w:p>
            <w:pPr>
              <w:spacing w:line="360" w:lineRule="auto"/>
              <w:jc w:val="center"/>
              <w:rPr>
                <w:rFonts w:ascii="宋体" w:hAnsi="宋体" w:eastAsia="宋体" w:cs="宋体"/>
                <w:color w:val="auto"/>
                <w:szCs w:val="21"/>
              </w:rPr>
            </w:pPr>
          </w:p>
        </w:tc>
        <w:tc>
          <w:tcPr>
            <w:tcW w:w="355" w:type="pct"/>
            <w:vAlign w:val="center"/>
          </w:tcPr>
          <w:p>
            <w:pPr>
              <w:spacing w:line="360" w:lineRule="auto"/>
              <w:jc w:val="center"/>
              <w:rPr>
                <w:rFonts w:ascii="宋体" w:hAnsi="宋体" w:eastAsia="宋体" w:cs="宋体"/>
                <w:color w:val="auto"/>
                <w:szCs w:val="21"/>
              </w:rPr>
            </w:pPr>
          </w:p>
        </w:tc>
        <w:tc>
          <w:tcPr>
            <w:tcW w:w="865" w:type="pct"/>
            <w:vAlign w:val="center"/>
          </w:tcPr>
          <w:p>
            <w:pPr>
              <w:spacing w:line="360" w:lineRule="auto"/>
              <w:jc w:val="center"/>
              <w:rPr>
                <w:rFonts w:ascii="宋体" w:hAnsi="宋体" w:eastAsia="宋体" w:cs="宋体"/>
                <w:color w:val="auto"/>
                <w:szCs w:val="21"/>
              </w:rPr>
            </w:pPr>
          </w:p>
        </w:tc>
        <w:tc>
          <w:tcPr>
            <w:tcW w:w="744" w:type="pct"/>
            <w:vAlign w:val="center"/>
          </w:tcPr>
          <w:p>
            <w:pPr>
              <w:spacing w:line="360" w:lineRule="auto"/>
              <w:jc w:val="center"/>
              <w:rPr>
                <w:rFonts w:ascii="宋体" w:hAnsi="宋体" w:eastAsia="宋体" w:cs="宋体"/>
                <w:color w:val="auto"/>
                <w:szCs w:val="21"/>
              </w:rPr>
            </w:pPr>
          </w:p>
        </w:tc>
        <w:tc>
          <w:tcPr>
            <w:tcW w:w="870" w:type="pct"/>
            <w:vAlign w:val="center"/>
          </w:tcPr>
          <w:p>
            <w:pPr>
              <w:spacing w:line="360" w:lineRule="auto"/>
              <w:jc w:val="center"/>
              <w:rPr>
                <w:rFonts w:ascii="宋体" w:hAnsi="宋体" w:eastAsia="宋体" w:cs="宋体"/>
                <w:color w:val="auto"/>
                <w:szCs w:val="21"/>
              </w:rPr>
            </w:pPr>
          </w:p>
        </w:tc>
        <w:tc>
          <w:tcPr>
            <w:tcW w:w="497" w:type="pct"/>
            <w:vAlign w:val="center"/>
          </w:tcPr>
          <w:p>
            <w:pPr>
              <w:spacing w:line="360" w:lineRule="auto"/>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vAlign w:val="center"/>
          </w:tcPr>
          <w:p>
            <w:pPr>
              <w:spacing w:line="360" w:lineRule="auto"/>
              <w:jc w:val="center"/>
              <w:rPr>
                <w:rFonts w:ascii="宋体" w:hAnsi="宋体" w:eastAsia="宋体" w:cs="宋体"/>
                <w:color w:val="auto"/>
                <w:szCs w:val="21"/>
              </w:rPr>
            </w:pPr>
          </w:p>
        </w:tc>
        <w:tc>
          <w:tcPr>
            <w:tcW w:w="614" w:type="pct"/>
            <w:vAlign w:val="center"/>
          </w:tcPr>
          <w:p>
            <w:pPr>
              <w:spacing w:line="360" w:lineRule="auto"/>
              <w:jc w:val="center"/>
              <w:rPr>
                <w:rFonts w:ascii="宋体" w:hAnsi="宋体" w:eastAsia="宋体" w:cs="宋体"/>
                <w:color w:val="auto"/>
                <w:szCs w:val="21"/>
              </w:rPr>
            </w:pPr>
          </w:p>
        </w:tc>
        <w:tc>
          <w:tcPr>
            <w:tcW w:w="355" w:type="pct"/>
            <w:vAlign w:val="center"/>
          </w:tcPr>
          <w:p>
            <w:pPr>
              <w:spacing w:line="360" w:lineRule="auto"/>
              <w:jc w:val="center"/>
              <w:rPr>
                <w:rFonts w:ascii="宋体" w:hAnsi="宋体" w:eastAsia="宋体" w:cs="宋体"/>
                <w:color w:val="auto"/>
                <w:szCs w:val="21"/>
              </w:rPr>
            </w:pPr>
          </w:p>
        </w:tc>
        <w:tc>
          <w:tcPr>
            <w:tcW w:w="355" w:type="pct"/>
            <w:vAlign w:val="center"/>
          </w:tcPr>
          <w:p>
            <w:pPr>
              <w:spacing w:line="360" w:lineRule="auto"/>
              <w:jc w:val="center"/>
              <w:rPr>
                <w:rFonts w:ascii="宋体" w:hAnsi="宋体" w:eastAsia="宋体" w:cs="宋体"/>
                <w:color w:val="auto"/>
                <w:szCs w:val="21"/>
              </w:rPr>
            </w:pPr>
          </w:p>
        </w:tc>
        <w:tc>
          <w:tcPr>
            <w:tcW w:w="355" w:type="pct"/>
            <w:vAlign w:val="center"/>
          </w:tcPr>
          <w:p>
            <w:pPr>
              <w:spacing w:line="360" w:lineRule="auto"/>
              <w:jc w:val="center"/>
              <w:rPr>
                <w:rFonts w:ascii="宋体" w:hAnsi="宋体" w:eastAsia="宋体" w:cs="宋体"/>
                <w:color w:val="auto"/>
                <w:szCs w:val="21"/>
              </w:rPr>
            </w:pPr>
          </w:p>
        </w:tc>
        <w:tc>
          <w:tcPr>
            <w:tcW w:w="865" w:type="pct"/>
            <w:vAlign w:val="center"/>
          </w:tcPr>
          <w:p>
            <w:pPr>
              <w:spacing w:line="360" w:lineRule="auto"/>
              <w:jc w:val="center"/>
              <w:rPr>
                <w:rFonts w:ascii="宋体" w:hAnsi="宋体" w:eastAsia="宋体" w:cs="宋体"/>
                <w:color w:val="auto"/>
                <w:szCs w:val="21"/>
              </w:rPr>
            </w:pPr>
          </w:p>
        </w:tc>
        <w:tc>
          <w:tcPr>
            <w:tcW w:w="744" w:type="pct"/>
            <w:vAlign w:val="center"/>
          </w:tcPr>
          <w:p>
            <w:pPr>
              <w:spacing w:line="360" w:lineRule="auto"/>
              <w:jc w:val="center"/>
              <w:rPr>
                <w:rFonts w:ascii="宋体" w:hAnsi="宋体" w:eastAsia="宋体" w:cs="宋体"/>
                <w:color w:val="auto"/>
                <w:szCs w:val="21"/>
              </w:rPr>
            </w:pPr>
          </w:p>
        </w:tc>
        <w:tc>
          <w:tcPr>
            <w:tcW w:w="870" w:type="pct"/>
            <w:vAlign w:val="center"/>
          </w:tcPr>
          <w:p>
            <w:pPr>
              <w:spacing w:line="360" w:lineRule="auto"/>
              <w:jc w:val="center"/>
              <w:rPr>
                <w:rFonts w:ascii="宋体" w:hAnsi="宋体" w:eastAsia="宋体" w:cs="宋体"/>
                <w:color w:val="auto"/>
                <w:szCs w:val="21"/>
              </w:rPr>
            </w:pPr>
          </w:p>
        </w:tc>
        <w:tc>
          <w:tcPr>
            <w:tcW w:w="497" w:type="pct"/>
            <w:vAlign w:val="center"/>
          </w:tcPr>
          <w:p>
            <w:pPr>
              <w:spacing w:line="360" w:lineRule="auto"/>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vAlign w:val="center"/>
          </w:tcPr>
          <w:p>
            <w:pPr>
              <w:spacing w:line="360" w:lineRule="auto"/>
              <w:jc w:val="center"/>
              <w:rPr>
                <w:rFonts w:ascii="宋体" w:hAnsi="宋体" w:eastAsia="宋体" w:cs="宋体"/>
                <w:color w:val="auto"/>
                <w:szCs w:val="21"/>
              </w:rPr>
            </w:pPr>
          </w:p>
        </w:tc>
        <w:tc>
          <w:tcPr>
            <w:tcW w:w="614" w:type="pct"/>
            <w:vAlign w:val="center"/>
          </w:tcPr>
          <w:p>
            <w:pPr>
              <w:spacing w:line="360" w:lineRule="auto"/>
              <w:jc w:val="center"/>
              <w:rPr>
                <w:rFonts w:ascii="宋体" w:hAnsi="宋体" w:eastAsia="宋体" w:cs="宋体"/>
                <w:color w:val="auto"/>
                <w:szCs w:val="21"/>
              </w:rPr>
            </w:pPr>
          </w:p>
        </w:tc>
        <w:tc>
          <w:tcPr>
            <w:tcW w:w="355" w:type="pct"/>
            <w:vAlign w:val="center"/>
          </w:tcPr>
          <w:p>
            <w:pPr>
              <w:spacing w:line="360" w:lineRule="auto"/>
              <w:jc w:val="center"/>
              <w:rPr>
                <w:rFonts w:ascii="宋体" w:hAnsi="宋体" w:eastAsia="宋体" w:cs="宋体"/>
                <w:color w:val="auto"/>
                <w:szCs w:val="21"/>
              </w:rPr>
            </w:pPr>
          </w:p>
        </w:tc>
        <w:tc>
          <w:tcPr>
            <w:tcW w:w="355" w:type="pct"/>
            <w:vAlign w:val="center"/>
          </w:tcPr>
          <w:p>
            <w:pPr>
              <w:spacing w:line="360" w:lineRule="auto"/>
              <w:jc w:val="center"/>
              <w:rPr>
                <w:rFonts w:ascii="宋体" w:hAnsi="宋体" w:eastAsia="宋体" w:cs="宋体"/>
                <w:color w:val="auto"/>
                <w:szCs w:val="21"/>
              </w:rPr>
            </w:pPr>
          </w:p>
        </w:tc>
        <w:tc>
          <w:tcPr>
            <w:tcW w:w="355" w:type="pct"/>
            <w:vAlign w:val="center"/>
          </w:tcPr>
          <w:p>
            <w:pPr>
              <w:spacing w:line="360" w:lineRule="auto"/>
              <w:jc w:val="center"/>
              <w:rPr>
                <w:rFonts w:ascii="宋体" w:hAnsi="宋体" w:eastAsia="宋体" w:cs="宋体"/>
                <w:color w:val="auto"/>
                <w:szCs w:val="21"/>
              </w:rPr>
            </w:pPr>
          </w:p>
        </w:tc>
        <w:tc>
          <w:tcPr>
            <w:tcW w:w="865" w:type="pct"/>
            <w:vAlign w:val="center"/>
          </w:tcPr>
          <w:p>
            <w:pPr>
              <w:spacing w:line="360" w:lineRule="auto"/>
              <w:jc w:val="center"/>
              <w:rPr>
                <w:rFonts w:ascii="宋体" w:hAnsi="宋体" w:eastAsia="宋体" w:cs="宋体"/>
                <w:color w:val="auto"/>
                <w:szCs w:val="21"/>
              </w:rPr>
            </w:pPr>
          </w:p>
        </w:tc>
        <w:tc>
          <w:tcPr>
            <w:tcW w:w="744" w:type="pct"/>
            <w:vAlign w:val="center"/>
          </w:tcPr>
          <w:p>
            <w:pPr>
              <w:spacing w:line="360" w:lineRule="auto"/>
              <w:jc w:val="center"/>
              <w:rPr>
                <w:rFonts w:ascii="宋体" w:hAnsi="宋体" w:eastAsia="宋体" w:cs="宋体"/>
                <w:color w:val="auto"/>
                <w:szCs w:val="21"/>
              </w:rPr>
            </w:pPr>
          </w:p>
        </w:tc>
        <w:tc>
          <w:tcPr>
            <w:tcW w:w="870" w:type="pct"/>
            <w:vAlign w:val="center"/>
          </w:tcPr>
          <w:p>
            <w:pPr>
              <w:spacing w:line="360" w:lineRule="auto"/>
              <w:jc w:val="center"/>
              <w:rPr>
                <w:rFonts w:ascii="宋体" w:hAnsi="宋体" w:eastAsia="宋体" w:cs="宋体"/>
                <w:color w:val="auto"/>
                <w:szCs w:val="21"/>
              </w:rPr>
            </w:pPr>
          </w:p>
        </w:tc>
        <w:tc>
          <w:tcPr>
            <w:tcW w:w="497" w:type="pct"/>
            <w:vAlign w:val="center"/>
          </w:tcPr>
          <w:p>
            <w:pPr>
              <w:spacing w:line="360" w:lineRule="auto"/>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vAlign w:val="center"/>
          </w:tcPr>
          <w:p>
            <w:pPr>
              <w:spacing w:line="360" w:lineRule="auto"/>
              <w:jc w:val="center"/>
              <w:rPr>
                <w:rFonts w:ascii="宋体" w:hAnsi="宋体" w:eastAsia="宋体" w:cs="宋体"/>
                <w:color w:val="auto"/>
                <w:szCs w:val="21"/>
              </w:rPr>
            </w:pPr>
          </w:p>
        </w:tc>
        <w:tc>
          <w:tcPr>
            <w:tcW w:w="614" w:type="pct"/>
            <w:vAlign w:val="center"/>
          </w:tcPr>
          <w:p>
            <w:pPr>
              <w:spacing w:line="360" w:lineRule="auto"/>
              <w:jc w:val="center"/>
              <w:rPr>
                <w:rFonts w:ascii="宋体" w:hAnsi="宋体" w:eastAsia="宋体" w:cs="宋体"/>
                <w:color w:val="auto"/>
                <w:szCs w:val="21"/>
              </w:rPr>
            </w:pPr>
          </w:p>
        </w:tc>
        <w:tc>
          <w:tcPr>
            <w:tcW w:w="355" w:type="pct"/>
            <w:vAlign w:val="center"/>
          </w:tcPr>
          <w:p>
            <w:pPr>
              <w:spacing w:line="360" w:lineRule="auto"/>
              <w:jc w:val="center"/>
              <w:rPr>
                <w:rFonts w:ascii="宋体" w:hAnsi="宋体" w:eastAsia="宋体" w:cs="宋体"/>
                <w:color w:val="auto"/>
                <w:szCs w:val="21"/>
              </w:rPr>
            </w:pPr>
          </w:p>
        </w:tc>
        <w:tc>
          <w:tcPr>
            <w:tcW w:w="355" w:type="pct"/>
            <w:vAlign w:val="center"/>
          </w:tcPr>
          <w:p>
            <w:pPr>
              <w:spacing w:line="360" w:lineRule="auto"/>
              <w:jc w:val="center"/>
              <w:rPr>
                <w:rFonts w:ascii="宋体" w:hAnsi="宋体" w:eastAsia="宋体" w:cs="宋体"/>
                <w:color w:val="auto"/>
                <w:szCs w:val="21"/>
              </w:rPr>
            </w:pPr>
          </w:p>
        </w:tc>
        <w:tc>
          <w:tcPr>
            <w:tcW w:w="355" w:type="pct"/>
            <w:vAlign w:val="center"/>
          </w:tcPr>
          <w:p>
            <w:pPr>
              <w:spacing w:line="360" w:lineRule="auto"/>
              <w:jc w:val="center"/>
              <w:rPr>
                <w:rFonts w:ascii="宋体" w:hAnsi="宋体" w:eastAsia="宋体" w:cs="宋体"/>
                <w:color w:val="auto"/>
                <w:szCs w:val="21"/>
              </w:rPr>
            </w:pPr>
          </w:p>
        </w:tc>
        <w:tc>
          <w:tcPr>
            <w:tcW w:w="865" w:type="pct"/>
            <w:vAlign w:val="center"/>
          </w:tcPr>
          <w:p>
            <w:pPr>
              <w:spacing w:line="360" w:lineRule="auto"/>
              <w:jc w:val="center"/>
              <w:rPr>
                <w:rFonts w:ascii="宋体" w:hAnsi="宋体" w:eastAsia="宋体" w:cs="宋体"/>
                <w:color w:val="auto"/>
                <w:szCs w:val="21"/>
              </w:rPr>
            </w:pPr>
          </w:p>
        </w:tc>
        <w:tc>
          <w:tcPr>
            <w:tcW w:w="744" w:type="pct"/>
            <w:vAlign w:val="center"/>
          </w:tcPr>
          <w:p>
            <w:pPr>
              <w:spacing w:line="360" w:lineRule="auto"/>
              <w:jc w:val="center"/>
              <w:rPr>
                <w:rFonts w:ascii="宋体" w:hAnsi="宋体" w:eastAsia="宋体" w:cs="宋体"/>
                <w:color w:val="auto"/>
                <w:szCs w:val="21"/>
              </w:rPr>
            </w:pPr>
          </w:p>
        </w:tc>
        <w:tc>
          <w:tcPr>
            <w:tcW w:w="870" w:type="pct"/>
            <w:vAlign w:val="center"/>
          </w:tcPr>
          <w:p>
            <w:pPr>
              <w:spacing w:line="360" w:lineRule="auto"/>
              <w:jc w:val="center"/>
              <w:rPr>
                <w:rFonts w:ascii="宋体" w:hAnsi="宋体" w:eastAsia="宋体" w:cs="宋体"/>
                <w:color w:val="auto"/>
                <w:szCs w:val="21"/>
              </w:rPr>
            </w:pPr>
          </w:p>
        </w:tc>
        <w:tc>
          <w:tcPr>
            <w:tcW w:w="497" w:type="pct"/>
            <w:vAlign w:val="center"/>
          </w:tcPr>
          <w:p>
            <w:pPr>
              <w:spacing w:line="360" w:lineRule="auto"/>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vAlign w:val="center"/>
          </w:tcPr>
          <w:p>
            <w:pPr>
              <w:spacing w:line="360" w:lineRule="auto"/>
              <w:jc w:val="center"/>
              <w:rPr>
                <w:rFonts w:ascii="宋体" w:hAnsi="宋体" w:eastAsia="宋体" w:cs="宋体"/>
                <w:color w:val="auto"/>
                <w:szCs w:val="21"/>
              </w:rPr>
            </w:pPr>
          </w:p>
        </w:tc>
        <w:tc>
          <w:tcPr>
            <w:tcW w:w="614" w:type="pct"/>
            <w:vAlign w:val="center"/>
          </w:tcPr>
          <w:p>
            <w:pPr>
              <w:spacing w:line="360" w:lineRule="auto"/>
              <w:jc w:val="center"/>
              <w:rPr>
                <w:rFonts w:ascii="宋体" w:hAnsi="宋体" w:eastAsia="宋体" w:cs="宋体"/>
                <w:color w:val="auto"/>
                <w:szCs w:val="21"/>
              </w:rPr>
            </w:pPr>
          </w:p>
        </w:tc>
        <w:tc>
          <w:tcPr>
            <w:tcW w:w="355" w:type="pct"/>
            <w:vAlign w:val="center"/>
          </w:tcPr>
          <w:p>
            <w:pPr>
              <w:spacing w:line="360" w:lineRule="auto"/>
              <w:jc w:val="center"/>
              <w:rPr>
                <w:rFonts w:ascii="宋体" w:hAnsi="宋体" w:eastAsia="宋体" w:cs="宋体"/>
                <w:color w:val="auto"/>
                <w:szCs w:val="21"/>
              </w:rPr>
            </w:pPr>
          </w:p>
        </w:tc>
        <w:tc>
          <w:tcPr>
            <w:tcW w:w="355" w:type="pct"/>
            <w:vAlign w:val="center"/>
          </w:tcPr>
          <w:p>
            <w:pPr>
              <w:spacing w:line="360" w:lineRule="auto"/>
              <w:jc w:val="center"/>
              <w:rPr>
                <w:rFonts w:ascii="宋体" w:hAnsi="宋体" w:eastAsia="宋体" w:cs="宋体"/>
                <w:color w:val="auto"/>
                <w:szCs w:val="21"/>
              </w:rPr>
            </w:pPr>
          </w:p>
        </w:tc>
        <w:tc>
          <w:tcPr>
            <w:tcW w:w="355" w:type="pct"/>
            <w:vAlign w:val="center"/>
          </w:tcPr>
          <w:p>
            <w:pPr>
              <w:spacing w:line="360" w:lineRule="auto"/>
              <w:jc w:val="center"/>
              <w:rPr>
                <w:rFonts w:ascii="宋体" w:hAnsi="宋体" w:eastAsia="宋体" w:cs="宋体"/>
                <w:color w:val="auto"/>
                <w:szCs w:val="21"/>
              </w:rPr>
            </w:pPr>
          </w:p>
        </w:tc>
        <w:tc>
          <w:tcPr>
            <w:tcW w:w="865" w:type="pct"/>
            <w:vAlign w:val="center"/>
          </w:tcPr>
          <w:p>
            <w:pPr>
              <w:spacing w:line="360" w:lineRule="auto"/>
              <w:jc w:val="center"/>
              <w:rPr>
                <w:rFonts w:ascii="宋体" w:hAnsi="宋体" w:eastAsia="宋体" w:cs="宋体"/>
                <w:color w:val="auto"/>
                <w:szCs w:val="21"/>
              </w:rPr>
            </w:pPr>
          </w:p>
        </w:tc>
        <w:tc>
          <w:tcPr>
            <w:tcW w:w="744" w:type="pct"/>
            <w:vAlign w:val="center"/>
          </w:tcPr>
          <w:p>
            <w:pPr>
              <w:spacing w:line="360" w:lineRule="auto"/>
              <w:jc w:val="center"/>
              <w:rPr>
                <w:rFonts w:ascii="宋体" w:hAnsi="宋体" w:eastAsia="宋体" w:cs="宋体"/>
                <w:color w:val="auto"/>
                <w:szCs w:val="21"/>
              </w:rPr>
            </w:pPr>
          </w:p>
        </w:tc>
        <w:tc>
          <w:tcPr>
            <w:tcW w:w="870" w:type="pct"/>
            <w:vAlign w:val="center"/>
          </w:tcPr>
          <w:p>
            <w:pPr>
              <w:spacing w:line="360" w:lineRule="auto"/>
              <w:jc w:val="center"/>
              <w:rPr>
                <w:rFonts w:ascii="宋体" w:hAnsi="宋体" w:eastAsia="宋体" w:cs="宋体"/>
                <w:color w:val="auto"/>
                <w:szCs w:val="21"/>
              </w:rPr>
            </w:pPr>
          </w:p>
        </w:tc>
        <w:tc>
          <w:tcPr>
            <w:tcW w:w="497" w:type="pct"/>
            <w:vAlign w:val="center"/>
          </w:tcPr>
          <w:p>
            <w:pPr>
              <w:spacing w:line="360" w:lineRule="auto"/>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40" w:type="pct"/>
            <w:vAlign w:val="center"/>
          </w:tcPr>
          <w:p>
            <w:pPr>
              <w:spacing w:line="360" w:lineRule="auto"/>
              <w:jc w:val="center"/>
              <w:rPr>
                <w:rFonts w:ascii="宋体" w:hAnsi="宋体" w:eastAsia="宋体" w:cs="宋体"/>
                <w:color w:val="auto"/>
                <w:szCs w:val="21"/>
              </w:rPr>
            </w:pPr>
          </w:p>
        </w:tc>
        <w:tc>
          <w:tcPr>
            <w:tcW w:w="614" w:type="pct"/>
            <w:vAlign w:val="center"/>
          </w:tcPr>
          <w:p>
            <w:pPr>
              <w:spacing w:line="360" w:lineRule="auto"/>
              <w:jc w:val="center"/>
              <w:rPr>
                <w:rFonts w:ascii="宋体" w:hAnsi="宋体" w:eastAsia="宋体" w:cs="宋体"/>
                <w:color w:val="auto"/>
                <w:szCs w:val="21"/>
              </w:rPr>
            </w:pPr>
          </w:p>
        </w:tc>
        <w:tc>
          <w:tcPr>
            <w:tcW w:w="355" w:type="pct"/>
            <w:vAlign w:val="center"/>
          </w:tcPr>
          <w:p>
            <w:pPr>
              <w:spacing w:line="360" w:lineRule="auto"/>
              <w:jc w:val="center"/>
              <w:rPr>
                <w:rFonts w:ascii="宋体" w:hAnsi="宋体" w:eastAsia="宋体" w:cs="宋体"/>
                <w:color w:val="auto"/>
                <w:szCs w:val="21"/>
              </w:rPr>
            </w:pPr>
          </w:p>
        </w:tc>
        <w:tc>
          <w:tcPr>
            <w:tcW w:w="355" w:type="pct"/>
            <w:vAlign w:val="center"/>
          </w:tcPr>
          <w:p>
            <w:pPr>
              <w:spacing w:line="360" w:lineRule="auto"/>
              <w:jc w:val="center"/>
              <w:rPr>
                <w:rFonts w:ascii="宋体" w:hAnsi="宋体" w:eastAsia="宋体" w:cs="宋体"/>
                <w:color w:val="auto"/>
                <w:szCs w:val="21"/>
              </w:rPr>
            </w:pPr>
          </w:p>
        </w:tc>
        <w:tc>
          <w:tcPr>
            <w:tcW w:w="355" w:type="pct"/>
            <w:vAlign w:val="center"/>
          </w:tcPr>
          <w:p>
            <w:pPr>
              <w:spacing w:line="360" w:lineRule="auto"/>
              <w:jc w:val="center"/>
              <w:rPr>
                <w:rFonts w:ascii="宋体" w:hAnsi="宋体" w:eastAsia="宋体" w:cs="宋体"/>
                <w:color w:val="auto"/>
                <w:szCs w:val="21"/>
              </w:rPr>
            </w:pPr>
          </w:p>
        </w:tc>
        <w:tc>
          <w:tcPr>
            <w:tcW w:w="865" w:type="pct"/>
            <w:vAlign w:val="center"/>
          </w:tcPr>
          <w:p>
            <w:pPr>
              <w:spacing w:line="360" w:lineRule="auto"/>
              <w:jc w:val="center"/>
              <w:rPr>
                <w:rFonts w:ascii="宋体" w:hAnsi="宋体" w:eastAsia="宋体" w:cs="宋体"/>
                <w:color w:val="auto"/>
                <w:szCs w:val="21"/>
              </w:rPr>
            </w:pPr>
          </w:p>
        </w:tc>
        <w:tc>
          <w:tcPr>
            <w:tcW w:w="744" w:type="pct"/>
            <w:vAlign w:val="center"/>
          </w:tcPr>
          <w:p>
            <w:pPr>
              <w:spacing w:line="360" w:lineRule="auto"/>
              <w:jc w:val="center"/>
              <w:rPr>
                <w:rFonts w:ascii="宋体" w:hAnsi="宋体" w:eastAsia="宋体" w:cs="宋体"/>
                <w:color w:val="auto"/>
                <w:szCs w:val="21"/>
              </w:rPr>
            </w:pPr>
          </w:p>
        </w:tc>
        <w:tc>
          <w:tcPr>
            <w:tcW w:w="870" w:type="pct"/>
            <w:vAlign w:val="center"/>
          </w:tcPr>
          <w:p>
            <w:pPr>
              <w:spacing w:line="360" w:lineRule="auto"/>
              <w:jc w:val="center"/>
              <w:rPr>
                <w:rFonts w:ascii="宋体" w:hAnsi="宋体" w:eastAsia="宋体" w:cs="宋体"/>
                <w:color w:val="auto"/>
                <w:szCs w:val="21"/>
              </w:rPr>
            </w:pPr>
          </w:p>
        </w:tc>
        <w:tc>
          <w:tcPr>
            <w:tcW w:w="497" w:type="pct"/>
            <w:vAlign w:val="center"/>
          </w:tcPr>
          <w:p>
            <w:pPr>
              <w:spacing w:line="360" w:lineRule="auto"/>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40" w:type="pct"/>
            <w:vAlign w:val="center"/>
          </w:tcPr>
          <w:p>
            <w:pPr>
              <w:spacing w:line="360" w:lineRule="auto"/>
              <w:jc w:val="center"/>
              <w:rPr>
                <w:rFonts w:ascii="宋体" w:hAnsi="宋体" w:eastAsia="宋体" w:cs="宋体"/>
                <w:color w:val="auto"/>
                <w:szCs w:val="21"/>
              </w:rPr>
            </w:pPr>
          </w:p>
        </w:tc>
        <w:tc>
          <w:tcPr>
            <w:tcW w:w="614" w:type="pct"/>
            <w:vAlign w:val="center"/>
          </w:tcPr>
          <w:p>
            <w:pPr>
              <w:spacing w:line="360" w:lineRule="auto"/>
              <w:jc w:val="center"/>
              <w:rPr>
                <w:rFonts w:ascii="宋体" w:hAnsi="宋体" w:eastAsia="宋体" w:cs="宋体"/>
                <w:color w:val="auto"/>
                <w:szCs w:val="21"/>
              </w:rPr>
            </w:pPr>
          </w:p>
        </w:tc>
        <w:tc>
          <w:tcPr>
            <w:tcW w:w="355" w:type="pct"/>
            <w:vAlign w:val="center"/>
          </w:tcPr>
          <w:p>
            <w:pPr>
              <w:spacing w:line="360" w:lineRule="auto"/>
              <w:jc w:val="center"/>
              <w:rPr>
                <w:rFonts w:ascii="宋体" w:hAnsi="宋体" w:eastAsia="宋体" w:cs="宋体"/>
                <w:color w:val="auto"/>
                <w:szCs w:val="21"/>
              </w:rPr>
            </w:pPr>
          </w:p>
        </w:tc>
        <w:tc>
          <w:tcPr>
            <w:tcW w:w="355" w:type="pct"/>
            <w:vAlign w:val="center"/>
          </w:tcPr>
          <w:p>
            <w:pPr>
              <w:spacing w:line="360" w:lineRule="auto"/>
              <w:jc w:val="center"/>
              <w:rPr>
                <w:rFonts w:ascii="宋体" w:hAnsi="宋体" w:eastAsia="宋体" w:cs="宋体"/>
                <w:color w:val="auto"/>
                <w:szCs w:val="21"/>
              </w:rPr>
            </w:pPr>
          </w:p>
        </w:tc>
        <w:tc>
          <w:tcPr>
            <w:tcW w:w="355" w:type="pct"/>
            <w:vAlign w:val="center"/>
          </w:tcPr>
          <w:p>
            <w:pPr>
              <w:spacing w:line="360" w:lineRule="auto"/>
              <w:jc w:val="center"/>
              <w:rPr>
                <w:rFonts w:ascii="宋体" w:hAnsi="宋体" w:eastAsia="宋体" w:cs="宋体"/>
                <w:color w:val="auto"/>
                <w:szCs w:val="21"/>
              </w:rPr>
            </w:pPr>
          </w:p>
        </w:tc>
        <w:tc>
          <w:tcPr>
            <w:tcW w:w="865" w:type="pct"/>
            <w:vAlign w:val="center"/>
          </w:tcPr>
          <w:p>
            <w:pPr>
              <w:spacing w:line="360" w:lineRule="auto"/>
              <w:jc w:val="center"/>
              <w:rPr>
                <w:rFonts w:ascii="宋体" w:hAnsi="宋体" w:eastAsia="宋体" w:cs="宋体"/>
                <w:color w:val="auto"/>
                <w:szCs w:val="21"/>
              </w:rPr>
            </w:pPr>
          </w:p>
        </w:tc>
        <w:tc>
          <w:tcPr>
            <w:tcW w:w="744" w:type="pct"/>
            <w:vAlign w:val="center"/>
          </w:tcPr>
          <w:p>
            <w:pPr>
              <w:spacing w:line="360" w:lineRule="auto"/>
              <w:jc w:val="center"/>
              <w:rPr>
                <w:rFonts w:ascii="宋体" w:hAnsi="宋体" w:eastAsia="宋体" w:cs="宋体"/>
                <w:color w:val="auto"/>
                <w:szCs w:val="21"/>
              </w:rPr>
            </w:pPr>
          </w:p>
        </w:tc>
        <w:tc>
          <w:tcPr>
            <w:tcW w:w="870" w:type="pct"/>
            <w:vAlign w:val="center"/>
          </w:tcPr>
          <w:p>
            <w:pPr>
              <w:spacing w:line="360" w:lineRule="auto"/>
              <w:jc w:val="center"/>
              <w:rPr>
                <w:rFonts w:ascii="宋体" w:hAnsi="宋体" w:eastAsia="宋体" w:cs="宋体"/>
                <w:color w:val="auto"/>
                <w:szCs w:val="21"/>
              </w:rPr>
            </w:pPr>
          </w:p>
        </w:tc>
        <w:tc>
          <w:tcPr>
            <w:tcW w:w="497" w:type="pct"/>
            <w:vAlign w:val="center"/>
          </w:tcPr>
          <w:p>
            <w:pPr>
              <w:spacing w:line="360" w:lineRule="auto"/>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40" w:type="pct"/>
            <w:vAlign w:val="center"/>
          </w:tcPr>
          <w:p>
            <w:pPr>
              <w:spacing w:line="360" w:lineRule="auto"/>
              <w:jc w:val="center"/>
              <w:rPr>
                <w:rFonts w:ascii="宋体" w:hAnsi="宋体" w:eastAsia="宋体" w:cs="宋体"/>
                <w:color w:val="auto"/>
                <w:szCs w:val="21"/>
              </w:rPr>
            </w:pPr>
          </w:p>
        </w:tc>
        <w:tc>
          <w:tcPr>
            <w:tcW w:w="614" w:type="pct"/>
            <w:vAlign w:val="center"/>
          </w:tcPr>
          <w:p>
            <w:pPr>
              <w:spacing w:line="360" w:lineRule="auto"/>
              <w:jc w:val="center"/>
              <w:rPr>
                <w:rFonts w:ascii="宋体" w:hAnsi="宋体" w:eastAsia="宋体" w:cs="宋体"/>
                <w:color w:val="auto"/>
                <w:szCs w:val="21"/>
              </w:rPr>
            </w:pPr>
          </w:p>
        </w:tc>
        <w:tc>
          <w:tcPr>
            <w:tcW w:w="355" w:type="pct"/>
            <w:vAlign w:val="center"/>
          </w:tcPr>
          <w:p>
            <w:pPr>
              <w:spacing w:line="360" w:lineRule="auto"/>
              <w:jc w:val="center"/>
              <w:rPr>
                <w:rFonts w:ascii="宋体" w:hAnsi="宋体" w:eastAsia="宋体" w:cs="宋体"/>
                <w:color w:val="auto"/>
                <w:szCs w:val="21"/>
              </w:rPr>
            </w:pPr>
          </w:p>
        </w:tc>
        <w:tc>
          <w:tcPr>
            <w:tcW w:w="355" w:type="pct"/>
            <w:vAlign w:val="center"/>
          </w:tcPr>
          <w:p>
            <w:pPr>
              <w:spacing w:line="360" w:lineRule="auto"/>
              <w:jc w:val="center"/>
              <w:rPr>
                <w:rFonts w:ascii="宋体" w:hAnsi="宋体" w:eastAsia="宋体" w:cs="宋体"/>
                <w:color w:val="auto"/>
                <w:szCs w:val="21"/>
              </w:rPr>
            </w:pPr>
          </w:p>
        </w:tc>
        <w:tc>
          <w:tcPr>
            <w:tcW w:w="355" w:type="pct"/>
            <w:vAlign w:val="center"/>
          </w:tcPr>
          <w:p>
            <w:pPr>
              <w:spacing w:line="360" w:lineRule="auto"/>
              <w:jc w:val="center"/>
              <w:rPr>
                <w:rFonts w:ascii="宋体" w:hAnsi="宋体" w:eastAsia="宋体" w:cs="宋体"/>
                <w:color w:val="auto"/>
                <w:szCs w:val="21"/>
              </w:rPr>
            </w:pPr>
          </w:p>
        </w:tc>
        <w:tc>
          <w:tcPr>
            <w:tcW w:w="865" w:type="pct"/>
            <w:vAlign w:val="center"/>
          </w:tcPr>
          <w:p>
            <w:pPr>
              <w:spacing w:line="360" w:lineRule="auto"/>
              <w:jc w:val="center"/>
              <w:rPr>
                <w:rFonts w:ascii="宋体" w:hAnsi="宋体" w:eastAsia="宋体" w:cs="宋体"/>
                <w:color w:val="auto"/>
                <w:szCs w:val="21"/>
              </w:rPr>
            </w:pPr>
          </w:p>
        </w:tc>
        <w:tc>
          <w:tcPr>
            <w:tcW w:w="744" w:type="pct"/>
            <w:vAlign w:val="center"/>
          </w:tcPr>
          <w:p>
            <w:pPr>
              <w:spacing w:line="360" w:lineRule="auto"/>
              <w:jc w:val="center"/>
              <w:rPr>
                <w:rFonts w:ascii="宋体" w:hAnsi="宋体" w:eastAsia="宋体" w:cs="宋体"/>
                <w:color w:val="auto"/>
                <w:szCs w:val="21"/>
              </w:rPr>
            </w:pPr>
          </w:p>
        </w:tc>
        <w:tc>
          <w:tcPr>
            <w:tcW w:w="870" w:type="pct"/>
            <w:vAlign w:val="center"/>
          </w:tcPr>
          <w:p>
            <w:pPr>
              <w:spacing w:line="360" w:lineRule="auto"/>
              <w:jc w:val="center"/>
              <w:rPr>
                <w:rFonts w:ascii="宋体" w:hAnsi="宋体" w:eastAsia="宋体" w:cs="宋体"/>
                <w:color w:val="auto"/>
                <w:szCs w:val="21"/>
              </w:rPr>
            </w:pPr>
          </w:p>
        </w:tc>
        <w:tc>
          <w:tcPr>
            <w:tcW w:w="497" w:type="pct"/>
            <w:vAlign w:val="center"/>
          </w:tcPr>
          <w:p>
            <w:pPr>
              <w:spacing w:line="360" w:lineRule="auto"/>
              <w:jc w:val="center"/>
              <w:rPr>
                <w:rFonts w:ascii="宋体" w:hAnsi="宋体" w:eastAsia="宋体" w:cs="宋体"/>
                <w:color w:val="auto"/>
                <w:szCs w:val="21"/>
              </w:rPr>
            </w:pPr>
          </w:p>
        </w:tc>
      </w:tr>
    </w:tbl>
    <w:p>
      <w:pPr>
        <w:overflowPunct w:val="0"/>
        <w:spacing w:before="120" w:line="360" w:lineRule="auto"/>
        <w:ind w:left="267" w:leftChars="-73" w:hanging="420" w:hangingChars="200"/>
        <w:rPr>
          <w:rFonts w:ascii="宋体" w:hAnsi="宋体" w:eastAsia="宋体" w:cs="宋体"/>
          <w:color w:val="auto"/>
          <w:szCs w:val="21"/>
        </w:rPr>
      </w:pPr>
      <w:r>
        <w:rPr>
          <w:rFonts w:hint="eastAsia" w:ascii="宋体" w:hAnsi="宋体" w:eastAsia="宋体" w:cs="宋体"/>
          <w:color w:val="auto"/>
          <w:szCs w:val="21"/>
        </w:rPr>
        <w:t>备注：</w:t>
      </w:r>
    </w:p>
    <w:p>
      <w:pPr>
        <w:overflowPunct w:val="0"/>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（1）此表格式供参照，投标人可以根据本表格式内容自行划表填写</w:t>
      </w:r>
      <w:r>
        <w:rPr>
          <w:rFonts w:hint="eastAsia" w:ascii="宋体" w:hAnsi="宋体" w:eastAsia="宋体" w:cs="宋体"/>
          <w:color w:val="auto"/>
          <w:szCs w:val="21"/>
          <w:lang w:eastAsia="zh-CN"/>
        </w:rPr>
        <w:t>；</w:t>
      </w:r>
    </w:p>
    <w:p>
      <w:pPr>
        <w:spacing w:line="360" w:lineRule="auto"/>
        <w:ind w:right="420"/>
        <w:rPr>
          <w:rFonts w:hint="eastAsia" w:ascii="宋体" w:hAnsi="宋体" w:eastAsia="宋体" w:cs="宋体"/>
          <w:color w:val="auto"/>
          <w:szCs w:val="21"/>
          <w:lang w:eastAsia="zh-CN"/>
        </w:rPr>
      </w:pPr>
      <w:r>
        <w:rPr>
          <w:rFonts w:hint="eastAsia" w:ascii="宋体" w:hAnsi="宋体" w:eastAsia="宋体" w:cs="宋体"/>
          <w:color w:val="auto"/>
          <w:szCs w:val="21"/>
        </w:rPr>
        <w:t>（2）以上人员须提供身份证、职称证书或资格证书或注册证书、社会保障部门出具的最近1年（即2023年</w:t>
      </w:r>
      <w:r>
        <w:rPr>
          <w:rFonts w:hint="eastAsia" w:ascii="宋体" w:hAnsi="宋体" w:eastAsia="宋体" w:cs="宋体"/>
          <w:color w:val="auto"/>
          <w:szCs w:val="21"/>
          <w:lang w:val="en-US" w:eastAsia="zh-CN"/>
        </w:rPr>
        <w:t>4</w:t>
      </w:r>
      <w:r>
        <w:rPr>
          <w:rFonts w:hint="eastAsia" w:ascii="宋体" w:hAnsi="宋体" w:eastAsia="宋体" w:cs="宋体"/>
          <w:color w:val="auto"/>
          <w:szCs w:val="21"/>
        </w:rPr>
        <w:t>月至202</w:t>
      </w:r>
      <w:r>
        <w:rPr>
          <w:rFonts w:hint="eastAsia" w:ascii="宋体" w:hAnsi="宋体" w:eastAsia="宋体" w:cs="宋体"/>
          <w:color w:val="auto"/>
          <w:szCs w:val="21"/>
          <w:lang w:val="en-US" w:eastAsia="zh-CN"/>
        </w:rPr>
        <w:t>4</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3</w:t>
      </w:r>
      <w:r>
        <w:rPr>
          <w:rFonts w:hint="eastAsia" w:ascii="宋体" w:hAnsi="宋体" w:eastAsia="宋体" w:cs="宋体"/>
          <w:color w:val="auto"/>
          <w:szCs w:val="21"/>
        </w:rPr>
        <w:t>月）在投标人单位缴纳社会养老保险有效凭证等证明材料复印件加盖投标人公章</w:t>
      </w:r>
      <w:r>
        <w:rPr>
          <w:rFonts w:hint="eastAsia" w:ascii="宋体" w:hAnsi="宋体" w:eastAsia="宋体" w:cs="宋体"/>
          <w:color w:val="auto"/>
          <w:szCs w:val="21"/>
          <w:lang w:eastAsia="zh-CN"/>
        </w:rPr>
        <w:t>；</w:t>
      </w:r>
    </w:p>
    <w:p>
      <w:pPr>
        <w:spacing w:line="360" w:lineRule="auto"/>
        <w:ind w:right="420"/>
        <w:rPr>
          <w:rFonts w:hint="eastAsia" w:ascii="宋体" w:hAnsi="宋体" w:eastAsia="宋体" w:cs="宋体"/>
          <w:color w:val="auto"/>
          <w:szCs w:val="21"/>
          <w:lang w:eastAsia="zh-CN"/>
        </w:rPr>
      </w:pPr>
      <w:r>
        <w:rPr>
          <w:rFonts w:hint="eastAsia" w:ascii="宋体" w:hAnsi="宋体" w:eastAsia="宋体" w:cs="宋体"/>
          <w:color w:val="auto"/>
          <w:szCs w:val="21"/>
        </w:rPr>
        <w:t>（3）同一人员具备多个种类证书不重复得分</w:t>
      </w:r>
      <w:r>
        <w:rPr>
          <w:rFonts w:hint="eastAsia" w:ascii="宋体" w:hAnsi="宋体" w:eastAsia="宋体" w:cs="宋体"/>
          <w:color w:val="auto"/>
          <w:szCs w:val="21"/>
          <w:lang w:eastAsia="zh-CN"/>
        </w:rPr>
        <w:t>；</w:t>
      </w:r>
    </w:p>
    <w:p>
      <w:pPr>
        <w:spacing w:line="360" w:lineRule="auto"/>
        <w:ind w:right="420"/>
        <w:rPr>
          <w:rFonts w:ascii="宋体" w:hAnsi="宋体" w:eastAsia="宋体" w:cs="宋体"/>
          <w:color w:val="auto"/>
          <w:szCs w:val="21"/>
        </w:rPr>
      </w:pPr>
      <w:r>
        <w:rPr>
          <w:rFonts w:hint="eastAsia" w:ascii="宋体" w:hAnsi="宋体" w:eastAsia="宋体" w:cs="宋体"/>
          <w:color w:val="auto"/>
          <w:szCs w:val="21"/>
        </w:rPr>
        <w:t>（4）同一人员具备同一种类证书或同一个专业含有多个等级的仅按最高等级证书计算一次得分。</w:t>
      </w:r>
    </w:p>
    <w:p>
      <w:pPr>
        <w:spacing w:line="360" w:lineRule="auto"/>
        <w:ind w:right="420"/>
        <w:rPr>
          <w:rFonts w:ascii="宋体" w:hAnsi="宋体" w:eastAsia="宋体" w:cs="宋体"/>
          <w:color w:val="auto"/>
          <w:szCs w:val="21"/>
          <w:lang w:val="zh-CN"/>
        </w:rPr>
      </w:pPr>
    </w:p>
    <w:p>
      <w:pPr>
        <w:spacing w:line="360" w:lineRule="auto"/>
        <w:ind w:left="685" w:leftChars="176" w:hanging="315" w:hangingChars="150"/>
        <w:jc w:val="right"/>
        <w:rPr>
          <w:rFonts w:hint="eastAsia" w:ascii="宋体" w:hAnsi="宋体" w:eastAsia="宋体" w:cs="宋体"/>
          <w:color w:val="auto"/>
          <w:szCs w:val="21"/>
          <w:lang w:val="zh-CN"/>
        </w:rPr>
      </w:pPr>
      <w:r>
        <w:rPr>
          <w:rFonts w:hint="eastAsia" w:ascii="宋体" w:hAnsi="宋体" w:eastAsia="宋体" w:cs="宋体"/>
          <w:color w:val="auto"/>
          <w:szCs w:val="21"/>
          <w:lang w:val="zh-CN"/>
        </w:rPr>
        <w:t>投标人：（加盖投标人法人公章）</w:t>
      </w:r>
    </w:p>
    <w:p>
      <w:pPr>
        <w:spacing w:line="360" w:lineRule="auto"/>
        <w:ind w:left="685" w:leftChars="176" w:hanging="315" w:hangingChars="150"/>
        <w:jc w:val="center"/>
        <w:rPr>
          <w:rFonts w:ascii="宋体" w:hAnsi="宋体" w:eastAsia="宋体" w:cs="宋体"/>
          <w:color w:val="auto"/>
          <w:szCs w:val="21"/>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val="zh-CN"/>
        </w:rPr>
        <w:t>日期：   年    月     日</w:t>
      </w:r>
    </w:p>
    <w:p>
      <w:pPr>
        <w:spacing w:line="360" w:lineRule="auto"/>
        <w:ind w:firstLine="5040" w:firstLineChars="2400"/>
        <w:rPr>
          <w:rFonts w:ascii="宋体" w:hAnsi="宋体" w:eastAsia="宋体" w:cs="宋体"/>
          <w:color w:val="auto"/>
          <w:szCs w:val="21"/>
          <w:lang w:val="zh-CN"/>
        </w:rPr>
      </w:pPr>
    </w:p>
    <w:p>
      <w:pPr>
        <w:spacing w:line="360" w:lineRule="auto"/>
        <w:ind w:firstLine="5040" w:firstLineChars="2400"/>
        <w:rPr>
          <w:rFonts w:ascii="宋体" w:hAnsi="宋体" w:eastAsia="宋体" w:cs="宋体"/>
          <w:color w:val="auto"/>
          <w:szCs w:val="21"/>
          <w:lang w:val="zh-CN"/>
        </w:rPr>
      </w:pPr>
    </w:p>
    <w:p>
      <w:pPr>
        <w:pageBreakBefore/>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（2）拟投入项目负责人简历表</w:t>
      </w:r>
    </w:p>
    <w:tbl>
      <w:tblPr>
        <w:tblStyle w:val="36"/>
        <w:tblW w:w="5000" w:type="pct"/>
        <w:jc w:val="center"/>
        <w:tblLayout w:type="autofit"/>
        <w:tblCellMar>
          <w:top w:w="0" w:type="dxa"/>
          <w:left w:w="108" w:type="dxa"/>
          <w:bottom w:w="0" w:type="dxa"/>
          <w:right w:w="108" w:type="dxa"/>
        </w:tblCellMar>
      </w:tblPr>
      <w:tblGrid>
        <w:gridCol w:w="2303"/>
        <w:gridCol w:w="406"/>
        <w:gridCol w:w="577"/>
        <w:gridCol w:w="975"/>
        <w:gridCol w:w="531"/>
        <w:gridCol w:w="1037"/>
        <w:gridCol w:w="637"/>
        <w:gridCol w:w="473"/>
        <w:gridCol w:w="506"/>
        <w:gridCol w:w="944"/>
        <w:gridCol w:w="508"/>
        <w:gridCol w:w="1473"/>
      </w:tblGrid>
      <w:tr>
        <w:tblPrEx>
          <w:tblCellMar>
            <w:top w:w="0" w:type="dxa"/>
            <w:left w:w="108" w:type="dxa"/>
            <w:bottom w:w="0" w:type="dxa"/>
            <w:right w:w="108" w:type="dxa"/>
          </w:tblCellMar>
        </w:tblPrEx>
        <w:trPr>
          <w:trHeight w:val="915" w:hRule="atLeast"/>
          <w:jc w:val="center"/>
        </w:trPr>
        <w:tc>
          <w:tcPr>
            <w:tcW w:w="1111" w:type="pct"/>
            <w:tcBorders>
              <w:top w:val="single" w:color="auto" w:sz="8" w:space="0"/>
              <w:left w:val="single" w:color="auto" w:sz="8" w:space="0"/>
              <w:bottom w:val="single" w:color="auto" w:sz="8" w:space="0"/>
              <w:right w:val="single" w:color="auto"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姓名</w:t>
            </w:r>
          </w:p>
        </w:tc>
        <w:tc>
          <w:tcPr>
            <w:tcW w:w="1200" w:type="pct"/>
            <w:gridSpan w:val="4"/>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500" w:type="pct"/>
            <w:tcBorders>
              <w:top w:val="single" w:color="auto" w:sz="8" w:space="0"/>
              <w:left w:val="nil"/>
              <w:bottom w:val="single" w:color="auto" w:sz="8" w:space="0"/>
              <w:right w:val="single" w:color="auto"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性别</w:t>
            </w:r>
          </w:p>
        </w:tc>
        <w:tc>
          <w:tcPr>
            <w:tcW w:w="779" w:type="pct"/>
            <w:gridSpan w:val="3"/>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700" w:type="pct"/>
            <w:gridSpan w:val="2"/>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年龄</w:t>
            </w:r>
          </w:p>
        </w:tc>
        <w:tc>
          <w:tcPr>
            <w:tcW w:w="708" w:type="pct"/>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r>
      <w:tr>
        <w:tblPrEx>
          <w:tblCellMar>
            <w:top w:w="0" w:type="dxa"/>
            <w:left w:w="108" w:type="dxa"/>
            <w:bottom w:w="0" w:type="dxa"/>
            <w:right w:w="108" w:type="dxa"/>
          </w:tblCellMar>
        </w:tblPrEx>
        <w:trPr>
          <w:trHeight w:val="915" w:hRule="atLeast"/>
          <w:jc w:val="center"/>
        </w:trPr>
        <w:tc>
          <w:tcPr>
            <w:tcW w:w="1111" w:type="pct"/>
            <w:tcBorders>
              <w:top w:val="nil"/>
              <w:left w:val="single" w:color="auto" w:sz="8" w:space="0"/>
              <w:bottom w:val="single" w:color="auto" w:sz="8" w:space="0"/>
              <w:right w:val="single" w:color="auto"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职务</w:t>
            </w:r>
          </w:p>
        </w:tc>
        <w:tc>
          <w:tcPr>
            <w:tcW w:w="1200" w:type="pct"/>
            <w:gridSpan w:val="4"/>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500" w:type="pct"/>
            <w:tcBorders>
              <w:top w:val="nil"/>
              <w:left w:val="nil"/>
              <w:bottom w:val="single" w:color="auto" w:sz="8" w:space="0"/>
              <w:right w:val="single" w:color="auto"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职称</w:t>
            </w:r>
          </w:p>
        </w:tc>
        <w:tc>
          <w:tcPr>
            <w:tcW w:w="779" w:type="pct"/>
            <w:gridSpan w:val="3"/>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700" w:type="pct"/>
            <w:gridSpan w:val="2"/>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学历</w:t>
            </w:r>
          </w:p>
        </w:tc>
        <w:tc>
          <w:tcPr>
            <w:tcW w:w="708" w:type="pct"/>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r>
      <w:tr>
        <w:tblPrEx>
          <w:tblCellMar>
            <w:top w:w="0" w:type="dxa"/>
            <w:left w:w="108" w:type="dxa"/>
            <w:bottom w:w="0" w:type="dxa"/>
            <w:right w:w="108" w:type="dxa"/>
          </w:tblCellMar>
        </w:tblPrEx>
        <w:trPr>
          <w:trHeight w:val="915" w:hRule="atLeast"/>
          <w:jc w:val="center"/>
        </w:trPr>
        <w:tc>
          <w:tcPr>
            <w:tcW w:w="1585" w:type="pct"/>
            <w:gridSpan w:val="3"/>
            <w:tcBorders>
              <w:top w:val="single" w:color="auto" w:sz="8" w:space="0"/>
              <w:left w:val="single" w:color="auto" w:sz="8" w:space="0"/>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参加工作时间</w:t>
            </w:r>
          </w:p>
        </w:tc>
        <w:tc>
          <w:tcPr>
            <w:tcW w:w="1761" w:type="pct"/>
            <w:gridSpan w:val="5"/>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944" w:type="pct"/>
            <w:gridSpan w:val="3"/>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担任</w:t>
            </w:r>
            <w:r>
              <w:rPr>
                <w:rFonts w:hint="eastAsia" w:ascii="宋体" w:hAnsi="宋体" w:eastAsia="宋体" w:cs="宋体"/>
                <w:b/>
                <w:bCs/>
                <w:color w:val="auto"/>
                <w:szCs w:val="21"/>
                <w:u w:val="single"/>
              </w:rPr>
              <w:t xml:space="preserve"> </w:t>
            </w:r>
            <w:r>
              <w:rPr>
                <w:rFonts w:hint="eastAsia" w:ascii="宋体" w:hAnsi="宋体" w:eastAsia="宋体" w:cs="宋体"/>
                <w:color w:val="auto"/>
                <w:szCs w:val="21"/>
                <w:u w:val="single"/>
              </w:rPr>
              <w:t xml:space="preserve">    （职位名称）</w:t>
            </w:r>
            <w:r>
              <w:rPr>
                <w:rFonts w:hint="eastAsia" w:ascii="宋体" w:hAnsi="宋体" w:eastAsia="宋体" w:cs="宋体"/>
                <w:color w:val="auto"/>
                <w:szCs w:val="21"/>
              </w:rPr>
              <w:t>年限</w:t>
            </w:r>
          </w:p>
        </w:tc>
        <w:tc>
          <w:tcPr>
            <w:tcW w:w="708" w:type="pct"/>
            <w:tcBorders>
              <w:top w:val="nil"/>
              <w:left w:val="nil"/>
              <w:bottom w:val="single" w:color="auto" w:sz="8" w:space="0"/>
              <w:right w:val="single" w:color="auto"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r>
      <w:tr>
        <w:tblPrEx>
          <w:tblCellMar>
            <w:top w:w="0" w:type="dxa"/>
            <w:left w:w="108" w:type="dxa"/>
            <w:bottom w:w="0" w:type="dxa"/>
            <w:right w:w="108" w:type="dxa"/>
          </w:tblCellMar>
        </w:tblPrEx>
        <w:trPr>
          <w:trHeight w:val="915" w:hRule="atLeast"/>
          <w:jc w:val="center"/>
        </w:trPr>
        <w:tc>
          <w:tcPr>
            <w:tcW w:w="1585" w:type="pct"/>
            <w:gridSpan w:val="3"/>
            <w:tcBorders>
              <w:top w:val="single" w:color="auto" w:sz="8" w:space="0"/>
              <w:left w:val="single" w:color="auto" w:sz="8" w:space="0"/>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资格证书编号</w:t>
            </w:r>
          </w:p>
        </w:tc>
        <w:tc>
          <w:tcPr>
            <w:tcW w:w="1761" w:type="pct"/>
            <w:gridSpan w:val="5"/>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944" w:type="pct"/>
            <w:gridSpan w:val="3"/>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联系电话</w:t>
            </w:r>
          </w:p>
        </w:tc>
        <w:tc>
          <w:tcPr>
            <w:tcW w:w="708" w:type="pct"/>
            <w:tcBorders>
              <w:top w:val="nil"/>
              <w:left w:val="nil"/>
              <w:bottom w:val="single" w:color="auto" w:sz="8" w:space="0"/>
              <w:right w:val="single" w:color="auto"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r>
      <w:tr>
        <w:tblPrEx>
          <w:tblCellMar>
            <w:top w:w="0" w:type="dxa"/>
            <w:left w:w="108" w:type="dxa"/>
            <w:bottom w:w="0" w:type="dxa"/>
            <w:right w:w="108" w:type="dxa"/>
          </w:tblCellMar>
        </w:tblPrEx>
        <w:trPr>
          <w:trHeight w:val="915" w:hRule="atLeast"/>
          <w:jc w:val="center"/>
        </w:trPr>
        <w:tc>
          <w:tcPr>
            <w:tcW w:w="5000" w:type="pct"/>
            <w:gridSpan w:val="12"/>
            <w:tcBorders>
              <w:top w:val="single" w:color="auto" w:sz="8" w:space="0"/>
              <w:left w:val="single" w:color="auto" w:sz="8" w:space="0"/>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主要类似项目业绩</w:t>
            </w:r>
          </w:p>
        </w:tc>
      </w:tr>
      <w:tr>
        <w:tblPrEx>
          <w:tblCellMar>
            <w:top w:w="0" w:type="dxa"/>
            <w:left w:w="108" w:type="dxa"/>
            <w:bottom w:w="0" w:type="dxa"/>
            <w:right w:w="108" w:type="dxa"/>
          </w:tblCellMar>
        </w:tblPrEx>
        <w:trPr>
          <w:trHeight w:val="915" w:hRule="atLeast"/>
          <w:jc w:val="center"/>
        </w:trPr>
        <w:tc>
          <w:tcPr>
            <w:tcW w:w="1307" w:type="pct"/>
            <w:gridSpan w:val="2"/>
            <w:tcBorders>
              <w:top w:val="single" w:color="auto" w:sz="8" w:space="0"/>
              <w:left w:val="single" w:color="auto" w:sz="8" w:space="0"/>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项目名称</w:t>
            </w:r>
          </w:p>
        </w:tc>
        <w:tc>
          <w:tcPr>
            <w:tcW w:w="748" w:type="pct"/>
            <w:gridSpan w:val="2"/>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发包单位</w:t>
            </w:r>
          </w:p>
        </w:tc>
        <w:tc>
          <w:tcPr>
            <w:tcW w:w="1063" w:type="pct"/>
            <w:gridSpan w:val="3"/>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服务内容</w:t>
            </w:r>
          </w:p>
        </w:tc>
        <w:tc>
          <w:tcPr>
            <w:tcW w:w="927" w:type="pct"/>
            <w:gridSpan w:val="3"/>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本人在该项目中所任职务</w:t>
            </w:r>
          </w:p>
        </w:tc>
        <w:tc>
          <w:tcPr>
            <w:tcW w:w="953" w:type="pct"/>
            <w:gridSpan w:val="2"/>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起止时间</w:t>
            </w:r>
          </w:p>
        </w:tc>
      </w:tr>
      <w:tr>
        <w:tblPrEx>
          <w:tblCellMar>
            <w:top w:w="0" w:type="dxa"/>
            <w:left w:w="108" w:type="dxa"/>
            <w:bottom w:w="0" w:type="dxa"/>
            <w:right w:w="108" w:type="dxa"/>
          </w:tblCellMar>
        </w:tblPrEx>
        <w:trPr>
          <w:trHeight w:val="915" w:hRule="atLeast"/>
          <w:jc w:val="center"/>
        </w:trPr>
        <w:tc>
          <w:tcPr>
            <w:tcW w:w="1307" w:type="pct"/>
            <w:gridSpan w:val="2"/>
            <w:tcBorders>
              <w:top w:val="single" w:color="auto" w:sz="8" w:space="0"/>
              <w:left w:val="single" w:color="auto" w:sz="8" w:space="0"/>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748" w:type="pct"/>
            <w:gridSpan w:val="2"/>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1063" w:type="pct"/>
            <w:gridSpan w:val="3"/>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927" w:type="pct"/>
            <w:gridSpan w:val="3"/>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953" w:type="pct"/>
            <w:gridSpan w:val="2"/>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r>
      <w:tr>
        <w:tblPrEx>
          <w:tblCellMar>
            <w:top w:w="0" w:type="dxa"/>
            <w:left w:w="108" w:type="dxa"/>
            <w:bottom w:w="0" w:type="dxa"/>
            <w:right w:w="108" w:type="dxa"/>
          </w:tblCellMar>
        </w:tblPrEx>
        <w:trPr>
          <w:trHeight w:val="915" w:hRule="atLeast"/>
          <w:jc w:val="center"/>
        </w:trPr>
        <w:tc>
          <w:tcPr>
            <w:tcW w:w="1307" w:type="pct"/>
            <w:gridSpan w:val="2"/>
            <w:tcBorders>
              <w:top w:val="single" w:color="auto" w:sz="8" w:space="0"/>
              <w:left w:val="single" w:color="auto" w:sz="8" w:space="0"/>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748" w:type="pct"/>
            <w:gridSpan w:val="2"/>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1063" w:type="pct"/>
            <w:gridSpan w:val="3"/>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927" w:type="pct"/>
            <w:gridSpan w:val="3"/>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953" w:type="pct"/>
            <w:gridSpan w:val="2"/>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r>
      <w:tr>
        <w:tblPrEx>
          <w:tblCellMar>
            <w:top w:w="0" w:type="dxa"/>
            <w:left w:w="108" w:type="dxa"/>
            <w:bottom w:w="0" w:type="dxa"/>
            <w:right w:w="108" w:type="dxa"/>
          </w:tblCellMar>
        </w:tblPrEx>
        <w:trPr>
          <w:trHeight w:val="915" w:hRule="atLeast"/>
          <w:jc w:val="center"/>
        </w:trPr>
        <w:tc>
          <w:tcPr>
            <w:tcW w:w="1307" w:type="pct"/>
            <w:gridSpan w:val="2"/>
            <w:tcBorders>
              <w:top w:val="single" w:color="auto" w:sz="8" w:space="0"/>
              <w:left w:val="single" w:color="auto" w:sz="8" w:space="0"/>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748" w:type="pct"/>
            <w:gridSpan w:val="2"/>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1063" w:type="pct"/>
            <w:gridSpan w:val="3"/>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927" w:type="pct"/>
            <w:gridSpan w:val="3"/>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953" w:type="pct"/>
            <w:gridSpan w:val="2"/>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r>
    </w:tbl>
    <w:p>
      <w:pPr>
        <w:spacing w:line="360" w:lineRule="auto"/>
        <w:rPr>
          <w:rFonts w:ascii="宋体" w:hAnsi="宋体" w:eastAsia="宋体" w:cs="宋体"/>
          <w:color w:val="auto"/>
          <w:szCs w:val="21"/>
        </w:rPr>
      </w:pPr>
      <w:r>
        <w:rPr>
          <w:rFonts w:hint="eastAsia" w:ascii="宋体" w:hAnsi="宋体" w:eastAsia="宋体" w:cs="宋体"/>
          <w:color w:val="auto"/>
          <w:szCs w:val="21"/>
        </w:rPr>
        <w:t>备注：</w:t>
      </w:r>
    </w:p>
    <w:p>
      <w:pPr>
        <w:overflowPunct w:val="0"/>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（1）拟投入本项目的项目负责人需提供本简历表</w:t>
      </w:r>
      <w:r>
        <w:rPr>
          <w:rFonts w:hint="eastAsia" w:ascii="宋体" w:hAnsi="宋体" w:eastAsia="宋体" w:cs="宋体"/>
          <w:color w:val="auto"/>
          <w:szCs w:val="21"/>
          <w:lang w:eastAsia="zh-CN"/>
        </w:rPr>
        <w:t>；</w:t>
      </w:r>
    </w:p>
    <w:p>
      <w:pPr>
        <w:overflowPunct w:val="0"/>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（2）须提供身份证、职称证书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或注册证书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zCs w:val="21"/>
        </w:rPr>
        <w:t>、社会保障部门出具的最近1年（即2023年</w:t>
      </w:r>
      <w:r>
        <w:rPr>
          <w:rFonts w:hint="eastAsia" w:ascii="宋体" w:hAnsi="宋体" w:eastAsia="宋体" w:cs="宋体"/>
          <w:color w:val="auto"/>
          <w:szCs w:val="21"/>
          <w:lang w:val="en-US" w:eastAsia="zh-CN"/>
        </w:rPr>
        <w:t>4</w:t>
      </w:r>
      <w:r>
        <w:rPr>
          <w:rFonts w:hint="eastAsia" w:ascii="宋体" w:hAnsi="宋体" w:eastAsia="宋体" w:cs="宋体"/>
          <w:color w:val="auto"/>
          <w:szCs w:val="21"/>
        </w:rPr>
        <w:t>月至202</w:t>
      </w:r>
      <w:r>
        <w:rPr>
          <w:rFonts w:hint="eastAsia" w:ascii="宋体" w:hAnsi="宋体" w:eastAsia="宋体" w:cs="宋体"/>
          <w:color w:val="auto"/>
          <w:szCs w:val="21"/>
          <w:lang w:val="en-US" w:eastAsia="zh-CN"/>
        </w:rPr>
        <w:t>4</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3</w:t>
      </w:r>
      <w:r>
        <w:rPr>
          <w:rFonts w:hint="eastAsia" w:ascii="宋体" w:hAnsi="宋体" w:eastAsia="宋体" w:cs="宋体"/>
          <w:color w:val="auto"/>
          <w:szCs w:val="21"/>
        </w:rPr>
        <w:t>月）在投标人单位缴纳社会养老保险有效凭证等证明材料复印件加盖投标人公章</w:t>
      </w:r>
      <w:r>
        <w:rPr>
          <w:rFonts w:hint="eastAsia" w:ascii="宋体" w:hAnsi="宋体" w:eastAsia="宋体" w:cs="宋体"/>
          <w:color w:val="auto"/>
          <w:szCs w:val="21"/>
          <w:lang w:eastAsia="zh-CN"/>
        </w:rPr>
        <w:t>；</w:t>
      </w:r>
    </w:p>
    <w:p>
      <w:pPr>
        <w:overflowPunct w:val="0"/>
        <w:spacing w:line="360" w:lineRule="auto"/>
        <w:rPr>
          <w:rFonts w:ascii="宋体" w:hAnsi="宋体" w:eastAsia="宋体" w:cs="宋体"/>
          <w:color w:val="auto"/>
          <w:szCs w:val="21"/>
        </w:rPr>
      </w:pPr>
      <w:r>
        <w:rPr>
          <w:rFonts w:hint="eastAsia" w:ascii="宋体" w:hAnsi="宋体" w:eastAsia="宋体" w:cs="宋体"/>
          <w:color w:val="auto"/>
          <w:szCs w:val="21"/>
        </w:rPr>
        <w:t>（3）项目负责人业绩须附合同复印件加盖投标人公章，合同业绩证明材料必须能反映评审条件</w:t>
      </w:r>
      <w:r>
        <w:rPr>
          <w:rFonts w:hint="eastAsia" w:ascii="宋体" w:hAnsi="宋体" w:eastAsia="宋体" w:cs="宋体"/>
          <w:color w:val="auto"/>
          <w:szCs w:val="21"/>
          <w:lang w:eastAsia="zh-CN"/>
        </w:rPr>
        <w:t>（</w:t>
      </w:r>
      <w:r>
        <w:rPr>
          <w:rFonts w:hint="eastAsia" w:ascii="宋体" w:hAnsi="宋体" w:eastAsia="宋体" w:cs="宋体"/>
          <w:color w:val="auto"/>
          <w:szCs w:val="21"/>
        </w:rPr>
        <w:t>合同签订日期为2019年1月1日或以后，业绩类型为市政工程检测，项目负责人信息</w:t>
      </w:r>
      <w:r>
        <w:rPr>
          <w:rFonts w:hint="eastAsia" w:ascii="宋体" w:hAnsi="宋体" w:eastAsia="宋体" w:cs="宋体"/>
          <w:color w:val="auto"/>
          <w:szCs w:val="21"/>
          <w:lang w:eastAsia="zh-CN"/>
        </w:rPr>
        <w:t>）</w:t>
      </w:r>
      <w:r>
        <w:rPr>
          <w:rFonts w:hint="eastAsia" w:ascii="宋体" w:hAnsi="宋体" w:eastAsia="宋体" w:cs="宋体"/>
          <w:color w:val="auto"/>
          <w:szCs w:val="21"/>
        </w:rPr>
        <w:t>，否则需同时提供业主出具的书面补充情况说明文件（须加盖业主单位公章）复印件。</w:t>
      </w:r>
    </w:p>
    <w:p>
      <w:pPr>
        <w:spacing w:line="360" w:lineRule="auto"/>
        <w:ind w:left="685" w:leftChars="176" w:hanging="315" w:hangingChars="150"/>
        <w:jc w:val="right"/>
        <w:rPr>
          <w:rFonts w:hint="eastAsia" w:ascii="宋体" w:hAnsi="宋体" w:eastAsia="宋体" w:cs="宋体"/>
          <w:color w:val="auto"/>
          <w:szCs w:val="21"/>
          <w:lang w:val="zh-CN"/>
        </w:rPr>
      </w:pP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val="zh-CN"/>
        </w:rPr>
        <w:t>投标人：（加盖投标人法人公章）</w:t>
      </w:r>
    </w:p>
    <w:p>
      <w:pPr>
        <w:spacing w:line="360" w:lineRule="auto"/>
        <w:ind w:left="685" w:leftChars="176" w:hanging="315" w:hangingChars="150"/>
        <w:jc w:val="center"/>
        <w:rPr>
          <w:rFonts w:ascii="宋体" w:hAnsi="宋体" w:eastAsia="宋体" w:cs="宋体"/>
          <w:color w:val="auto"/>
          <w:szCs w:val="21"/>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val="zh-CN"/>
        </w:rPr>
        <w:t>日期：   年    月     日</w:t>
      </w:r>
    </w:p>
    <w:p>
      <w:pPr>
        <w:spacing w:before="120" w:after="120" w:line="360" w:lineRule="auto"/>
        <w:ind w:left="629" w:firstLine="5040"/>
        <w:rPr>
          <w:rFonts w:ascii="宋体" w:hAnsi="宋体" w:eastAsia="宋体" w:cs="宋体"/>
          <w:color w:val="auto"/>
          <w:szCs w:val="21"/>
          <w:lang w:val="zh-CN"/>
        </w:rPr>
      </w:pPr>
    </w:p>
    <w:p>
      <w:pPr>
        <w:rPr>
          <w:rFonts w:ascii="宋体" w:hAnsi="宋体" w:eastAsia="宋体" w:cs="宋体"/>
          <w:color w:val="auto"/>
          <w:szCs w:val="21"/>
          <w:lang w:val="zh-CN"/>
        </w:rPr>
      </w:pPr>
      <w:r>
        <w:rPr>
          <w:rFonts w:hint="eastAsia" w:ascii="宋体" w:hAnsi="宋体" w:eastAsia="宋体" w:cs="宋体"/>
          <w:color w:val="auto"/>
          <w:szCs w:val="21"/>
          <w:lang w:val="zh-CN"/>
        </w:rPr>
        <w:br w:type="page"/>
      </w:r>
    </w:p>
    <w:p>
      <w:pPr>
        <w:pageBreakBefore/>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（3）拟投入技术负责人简历表</w:t>
      </w:r>
    </w:p>
    <w:tbl>
      <w:tblPr>
        <w:tblStyle w:val="36"/>
        <w:tblW w:w="5000" w:type="pct"/>
        <w:jc w:val="center"/>
        <w:tblLayout w:type="autofit"/>
        <w:tblCellMar>
          <w:top w:w="0" w:type="dxa"/>
          <w:left w:w="108" w:type="dxa"/>
          <w:bottom w:w="0" w:type="dxa"/>
          <w:right w:w="108" w:type="dxa"/>
        </w:tblCellMar>
      </w:tblPr>
      <w:tblGrid>
        <w:gridCol w:w="2303"/>
        <w:gridCol w:w="406"/>
        <w:gridCol w:w="577"/>
        <w:gridCol w:w="975"/>
        <w:gridCol w:w="531"/>
        <w:gridCol w:w="1037"/>
        <w:gridCol w:w="637"/>
        <w:gridCol w:w="473"/>
        <w:gridCol w:w="506"/>
        <w:gridCol w:w="944"/>
        <w:gridCol w:w="508"/>
        <w:gridCol w:w="1473"/>
      </w:tblGrid>
      <w:tr>
        <w:tblPrEx>
          <w:tblCellMar>
            <w:top w:w="0" w:type="dxa"/>
            <w:left w:w="108" w:type="dxa"/>
            <w:bottom w:w="0" w:type="dxa"/>
            <w:right w:w="108" w:type="dxa"/>
          </w:tblCellMar>
        </w:tblPrEx>
        <w:trPr>
          <w:trHeight w:val="915" w:hRule="atLeast"/>
          <w:jc w:val="center"/>
        </w:trPr>
        <w:tc>
          <w:tcPr>
            <w:tcW w:w="1111" w:type="pct"/>
            <w:tcBorders>
              <w:top w:val="single" w:color="auto" w:sz="8" w:space="0"/>
              <w:left w:val="single" w:color="auto" w:sz="8" w:space="0"/>
              <w:bottom w:val="single" w:color="auto" w:sz="8" w:space="0"/>
              <w:right w:val="single" w:color="auto"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姓名</w:t>
            </w:r>
          </w:p>
        </w:tc>
        <w:tc>
          <w:tcPr>
            <w:tcW w:w="1200" w:type="pct"/>
            <w:gridSpan w:val="4"/>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500" w:type="pct"/>
            <w:tcBorders>
              <w:top w:val="single" w:color="auto" w:sz="8" w:space="0"/>
              <w:left w:val="nil"/>
              <w:bottom w:val="single" w:color="auto" w:sz="8" w:space="0"/>
              <w:right w:val="single" w:color="auto"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性别</w:t>
            </w:r>
          </w:p>
        </w:tc>
        <w:tc>
          <w:tcPr>
            <w:tcW w:w="779" w:type="pct"/>
            <w:gridSpan w:val="3"/>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700" w:type="pct"/>
            <w:gridSpan w:val="2"/>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年龄</w:t>
            </w:r>
          </w:p>
        </w:tc>
        <w:tc>
          <w:tcPr>
            <w:tcW w:w="708" w:type="pct"/>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r>
      <w:tr>
        <w:tblPrEx>
          <w:tblCellMar>
            <w:top w:w="0" w:type="dxa"/>
            <w:left w:w="108" w:type="dxa"/>
            <w:bottom w:w="0" w:type="dxa"/>
            <w:right w:w="108" w:type="dxa"/>
          </w:tblCellMar>
        </w:tblPrEx>
        <w:trPr>
          <w:trHeight w:val="915" w:hRule="atLeast"/>
          <w:jc w:val="center"/>
        </w:trPr>
        <w:tc>
          <w:tcPr>
            <w:tcW w:w="1111" w:type="pct"/>
            <w:tcBorders>
              <w:top w:val="nil"/>
              <w:left w:val="single" w:color="auto" w:sz="8" w:space="0"/>
              <w:bottom w:val="single" w:color="auto" w:sz="8" w:space="0"/>
              <w:right w:val="single" w:color="auto"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职务</w:t>
            </w:r>
          </w:p>
        </w:tc>
        <w:tc>
          <w:tcPr>
            <w:tcW w:w="1200" w:type="pct"/>
            <w:gridSpan w:val="4"/>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500" w:type="pct"/>
            <w:tcBorders>
              <w:top w:val="nil"/>
              <w:left w:val="nil"/>
              <w:bottom w:val="single" w:color="auto" w:sz="8" w:space="0"/>
              <w:right w:val="single" w:color="auto"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职称</w:t>
            </w:r>
          </w:p>
        </w:tc>
        <w:tc>
          <w:tcPr>
            <w:tcW w:w="779" w:type="pct"/>
            <w:gridSpan w:val="3"/>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700" w:type="pct"/>
            <w:gridSpan w:val="2"/>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学历</w:t>
            </w:r>
          </w:p>
        </w:tc>
        <w:tc>
          <w:tcPr>
            <w:tcW w:w="708" w:type="pct"/>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r>
      <w:tr>
        <w:tblPrEx>
          <w:tblCellMar>
            <w:top w:w="0" w:type="dxa"/>
            <w:left w:w="108" w:type="dxa"/>
            <w:bottom w:w="0" w:type="dxa"/>
            <w:right w:w="108" w:type="dxa"/>
          </w:tblCellMar>
        </w:tblPrEx>
        <w:trPr>
          <w:trHeight w:val="915" w:hRule="atLeast"/>
          <w:jc w:val="center"/>
        </w:trPr>
        <w:tc>
          <w:tcPr>
            <w:tcW w:w="1585" w:type="pct"/>
            <w:gridSpan w:val="3"/>
            <w:tcBorders>
              <w:top w:val="single" w:color="auto" w:sz="8" w:space="0"/>
              <w:left w:val="single" w:color="auto" w:sz="8" w:space="0"/>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参加工作时间</w:t>
            </w:r>
          </w:p>
        </w:tc>
        <w:tc>
          <w:tcPr>
            <w:tcW w:w="1761" w:type="pct"/>
            <w:gridSpan w:val="5"/>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944" w:type="pct"/>
            <w:gridSpan w:val="3"/>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担任</w:t>
            </w:r>
            <w:r>
              <w:rPr>
                <w:rFonts w:hint="eastAsia" w:ascii="宋体" w:hAnsi="宋体" w:eastAsia="宋体" w:cs="宋体"/>
                <w:b/>
                <w:bCs/>
                <w:color w:val="auto"/>
                <w:szCs w:val="21"/>
                <w:u w:val="single"/>
              </w:rPr>
              <w:t xml:space="preserve"> </w:t>
            </w:r>
            <w:r>
              <w:rPr>
                <w:rFonts w:hint="eastAsia" w:ascii="宋体" w:hAnsi="宋体" w:eastAsia="宋体" w:cs="宋体"/>
                <w:color w:val="auto"/>
                <w:szCs w:val="21"/>
                <w:u w:val="single"/>
              </w:rPr>
              <w:t xml:space="preserve">    （职位名称）</w:t>
            </w:r>
            <w:r>
              <w:rPr>
                <w:rFonts w:hint="eastAsia" w:ascii="宋体" w:hAnsi="宋体" w:eastAsia="宋体" w:cs="宋体"/>
                <w:color w:val="auto"/>
                <w:szCs w:val="21"/>
              </w:rPr>
              <w:t>年限</w:t>
            </w:r>
          </w:p>
        </w:tc>
        <w:tc>
          <w:tcPr>
            <w:tcW w:w="708" w:type="pct"/>
            <w:tcBorders>
              <w:top w:val="nil"/>
              <w:left w:val="nil"/>
              <w:bottom w:val="single" w:color="auto" w:sz="8" w:space="0"/>
              <w:right w:val="single" w:color="auto"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r>
      <w:tr>
        <w:tblPrEx>
          <w:tblCellMar>
            <w:top w:w="0" w:type="dxa"/>
            <w:left w:w="108" w:type="dxa"/>
            <w:bottom w:w="0" w:type="dxa"/>
            <w:right w:w="108" w:type="dxa"/>
          </w:tblCellMar>
        </w:tblPrEx>
        <w:trPr>
          <w:trHeight w:val="915" w:hRule="atLeast"/>
          <w:jc w:val="center"/>
        </w:trPr>
        <w:tc>
          <w:tcPr>
            <w:tcW w:w="1585" w:type="pct"/>
            <w:gridSpan w:val="3"/>
            <w:tcBorders>
              <w:top w:val="single" w:color="auto" w:sz="8" w:space="0"/>
              <w:left w:val="single" w:color="auto" w:sz="8" w:space="0"/>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资格证书编号</w:t>
            </w:r>
          </w:p>
        </w:tc>
        <w:tc>
          <w:tcPr>
            <w:tcW w:w="1761" w:type="pct"/>
            <w:gridSpan w:val="5"/>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944" w:type="pct"/>
            <w:gridSpan w:val="3"/>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联系电话</w:t>
            </w:r>
          </w:p>
        </w:tc>
        <w:tc>
          <w:tcPr>
            <w:tcW w:w="708" w:type="pct"/>
            <w:tcBorders>
              <w:top w:val="nil"/>
              <w:left w:val="nil"/>
              <w:bottom w:val="single" w:color="auto" w:sz="8" w:space="0"/>
              <w:right w:val="single" w:color="auto"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r>
      <w:tr>
        <w:tblPrEx>
          <w:tblCellMar>
            <w:top w:w="0" w:type="dxa"/>
            <w:left w:w="108" w:type="dxa"/>
            <w:bottom w:w="0" w:type="dxa"/>
            <w:right w:w="108" w:type="dxa"/>
          </w:tblCellMar>
        </w:tblPrEx>
        <w:trPr>
          <w:trHeight w:val="915" w:hRule="atLeast"/>
          <w:jc w:val="center"/>
        </w:trPr>
        <w:tc>
          <w:tcPr>
            <w:tcW w:w="5000" w:type="pct"/>
            <w:gridSpan w:val="12"/>
            <w:tcBorders>
              <w:top w:val="single" w:color="auto" w:sz="8" w:space="0"/>
              <w:left w:val="single" w:color="auto" w:sz="8" w:space="0"/>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主要类似项目业绩</w:t>
            </w:r>
          </w:p>
        </w:tc>
      </w:tr>
      <w:tr>
        <w:tblPrEx>
          <w:tblCellMar>
            <w:top w:w="0" w:type="dxa"/>
            <w:left w:w="108" w:type="dxa"/>
            <w:bottom w:w="0" w:type="dxa"/>
            <w:right w:w="108" w:type="dxa"/>
          </w:tblCellMar>
        </w:tblPrEx>
        <w:trPr>
          <w:trHeight w:val="915" w:hRule="atLeast"/>
          <w:jc w:val="center"/>
        </w:trPr>
        <w:tc>
          <w:tcPr>
            <w:tcW w:w="1307" w:type="pct"/>
            <w:gridSpan w:val="2"/>
            <w:tcBorders>
              <w:top w:val="single" w:color="auto" w:sz="8" w:space="0"/>
              <w:left w:val="single" w:color="auto" w:sz="8" w:space="0"/>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项目名称</w:t>
            </w:r>
          </w:p>
        </w:tc>
        <w:tc>
          <w:tcPr>
            <w:tcW w:w="748" w:type="pct"/>
            <w:gridSpan w:val="2"/>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发包单位</w:t>
            </w:r>
          </w:p>
        </w:tc>
        <w:tc>
          <w:tcPr>
            <w:tcW w:w="1063" w:type="pct"/>
            <w:gridSpan w:val="3"/>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服务内容</w:t>
            </w:r>
          </w:p>
        </w:tc>
        <w:tc>
          <w:tcPr>
            <w:tcW w:w="927" w:type="pct"/>
            <w:gridSpan w:val="3"/>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本人在该项目中所任职务</w:t>
            </w:r>
          </w:p>
        </w:tc>
        <w:tc>
          <w:tcPr>
            <w:tcW w:w="953" w:type="pct"/>
            <w:gridSpan w:val="2"/>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起止时间</w:t>
            </w:r>
          </w:p>
        </w:tc>
      </w:tr>
      <w:tr>
        <w:tblPrEx>
          <w:tblCellMar>
            <w:top w:w="0" w:type="dxa"/>
            <w:left w:w="108" w:type="dxa"/>
            <w:bottom w:w="0" w:type="dxa"/>
            <w:right w:w="108" w:type="dxa"/>
          </w:tblCellMar>
        </w:tblPrEx>
        <w:trPr>
          <w:trHeight w:val="915" w:hRule="atLeast"/>
          <w:jc w:val="center"/>
        </w:trPr>
        <w:tc>
          <w:tcPr>
            <w:tcW w:w="1307" w:type="pct"/>
            <w:gridSpan w:val="2"/>
            <w:tcBorders>
              <w:top w:val="single" w:color="auto" w:sz="8" w:space="0"/>
              <w:left w:val="single" w:color="auto" w:sz="8" w:space="0"/>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748" w:type="pct"/>
            <w:gridSpan w:val="2"/>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1063" w:type="pct"/>
            <w:gridSpan w:val="3"/>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927" w:type="pct"/>
            <w:gridSpan w:val="3"/>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953" w:type="pct"/>
            <w:gridSpan w:val="2"/>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r>
      <w:tr>
        <w:tblPrEx>
          <w:tblCellMar>
            <w:top w:w="0" w:type="dxa"/>
            <w:left w:w="108" w:type="dxa"/>
            <w:bottom w:w="0" w:type="dxa"/>
            <w:right w:w="108" w:type="dxa"/>
          </w:tblCellMar>
        </w:tblPrEx>
        <w:trPr>
          <w:trHeight w:val="915" w:hRule="atLeast"/>
          <w:jc w:val="center"/>
        </w:trPr>
        <w:tc>
          <w:tcPr>
            <w:tcW w:w="1307" w:type="pct"/>
            <w:gridSpan w:val="2"/>
            <w:tcBorders>
              <w:top w:val="single" w:color="auto" w:sz="8" w:space="0"/>
              <w:left w:val="single" w:color="auto" w:sz="8" w:space="0"/>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748" w:type="pct"/>
            <w:gridSpan w:val="2"/>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1063" w:type="pct"/>
            <w:gridSpan w:val="3"/>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927" w:type="pct"/>
            <w:gridSpan w:val="3"/>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953" w:type="pct"/>
            <w:gridSpan w:val="2"/>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r>
      <w:tr>
        <w:tblPrEx>
          <w:tblCellMar>
            <w:top w:w="0" w:type="dxa"/>
            <w:left w:w="108" w:type="dxa"/>
            <w:bottom w:w="0" w:type="dxa"/>
            <w:right w:w="108" w:type="dxa"/>
          </w:tblCellMar>
        </w:tblPrEx>
        <w:trPr>
          <w:trHeight w:val="915" w:hRule="atLeast"/>
          <w:jc w:val="center"/>
        </w:trPr>
        <w:tc>
          <w:tcPr>
            <w:tcW w:w="1307" w:type="pct"/>
            <w:gridSpan w:val="2"/>
            <w:tcBorders>
              <w:top w:val="single" w:color="auto" w:sz="8" w:space="0"/>
              <w:left w:val="single" w:color="auto" w:sz="8" w:space="0"/>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748" w:type="pct"/>
            <w:gridSpan w:val="2"/>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1063" w:type="pct"/>
            <w:gridSpan w:val="3"/>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927" w:type="pct"/>
            <w:gridSpan w:val="3"/>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c>
          <w:tcPr>
            <w:tcW w:w="953" w:type="pct"/>
            <w:gridSpan w:val="2"/>
            <w:tcBorders>
              <w:top w:val="single" w:color="auto" w:sz="8" w:space="0"/>
              <w:left w:val="nil"/>
              <w:bottom w:val="single" w:color="auto" w:sz="8" w:space="0"/>
              <w:right w:val="single" w:color="000000" w:sz="8" w:space="0"/>
            </w:tcBorders>
            <w:vAlign w:val="center"/>
          </w:tcPr>
          <w:p>
            <w:pPr>
              <w:widowControl/>
              <w:snapToGrid w:val="0"/>
              <w:jc w:val="center"/>
              <w:rPr>
                <w:rFonts w:ascii="宋体" w:hAnsi="宋体" w:eastAsia="宋体" w:cs="宋体"/>
                <w:color w:val="auto"/>
                <w:szCs w:val="21"/>
              </w:rPr>
            </w:pPr>
            <w:r>
              <w:rPr>
                <w:rFonts w:hint="eastAsia" w:ascii="宋体" w:hAnsi="宋体" w:eastAsia="宋体" w:cs="宋体"/>
                <w:color w:val="auto"/>
                <w:szCs w:val="21"/>
              </w:rPr>
              <w:t>　</w:t>
            </w:r>
          </w:p>
        </w:tc>
      </w:tr>
    </w:tbl>
    <w:p>
      <w:pPr>
        <w:spacing w:line="360" w:lineRule="auto"/>
        <w:rPr>
          <w:rFonts w:ascii="宋体" w:hAnsi="宋体" w:eastAsia="宋体" w:cs="宋体"/>
          <w:color w:val="auto"/>
          <w:szCs w:val="21"/>
        </w:rPr>
      </w:pPr>
      <w:r>
        <w:rPr>
          <w:rFonts w:hint="eastAsia" w:ascii="宋体" w:hAnsi="宋体" w:eastAsia="宋体" w:cs="宋体"/>
          <w:color w:val="auto"/>
          <w:szCs w:val="21"/>
        </w:rPr>
        <w:t>备注：</w:t>
      </w:r>
    </w:p>
    <w:p>
      <w:pPr>
        <w:numPr>
          <w:ilvl w:val="255"/>
          <w:numId w:val="0"/>
        </w:numPr>
        <w:overflowPunct w:val="0"/>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（1）拟投入本项目的技术负责人需提供本简历表</w:t>
      </w:r>
      <w:r>
        <w:rPr>
          <w:rFonts w:hint="eastAsia" w:ascii="宋体" w:hAnsi="宋体" w:eastAsia="宋体" w:cs="宋体"/>
          <w:color w:val="auto"/>
          <w:szCs w:val="21"/>
          <w:lang w:eastAsia="zh-CN"/>
        </w:rPr>
        <w:t>；</w:t>
      </w:r>
    </w:p>
    <w:p>
      <w:pPr>
        <w:numPr>
          <w:ilvl w:val="255"/>
          <w:numId w:val="0"/>
        </w:numPr>
        <w:overflowPunct w:val="0"/>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（2）须提供身份证、职称证书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或注册证书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zCs w:val="21"/>
        </w:rPr>
        <w:t>、社会保障部门出具的最近1年（即2023年</w:t>
      </w:r>
      <w:r>
        <w:rPr>
          <w:rFonts w:hint="eastAsia" w:ascii="宋体" w:hAnsi="宋体" w:eastAsia="宋体" w:cs="宋体"/>
          <w:color w:val="auto"/>
          <w:szCs w:val="21"/>
          <w:lang w:val="en-US" w:eastAsia="zh-CN"/>
        </w:rPr>
        <w:t>4</w:t>
      </w:r>
      <w:r>
        <w:rPr>
          <w:rFonts w:hint="eastAsia" w:ascii="宋体" w:hAnsi="宋体" w:eastAsia="宋体" w:cs="宋体"/>
          <w:color w:val="auto"/>
          <w:szCs w:val="21"/>
        </w:rPr>
        <w:t>月至202</w:t>
      </w:r>
      <w:r>
        <w:rPr>
          <w:rFonts w:hint="eastAsia" w:ascii="宋体" w:hAnsi="宋体" w:eastAsia="宋体" w:cs="宋体"/>
          <w:color w:val="auto"/>
          <w:szCs w:val="21"/>
          <w:lang w:val="en-US" w:eastAsia="zh-CN"/>
        </w:rPr>
        <w:t>4</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3</w:t>
      </w:r>
      <w:r>
        <w:rPr>
          <w:rFonts w:hint="eastAsia" w:ascii="宋体" w:hAnsi="宋体" w:eastAsia="宋体" w:cs="宋体"/>
          <w:color w:val="auto"/>
          <w:szCs w:val="21"/>
        </w:rPr>
        <w:t>月）在投标人单位缴纳社会养老保险有效凭证等证明材料复印件加盖投标人公章</w:t>
      </w:r>
      <w:r>
        <w:rPr>
          <w:rFonts w:hint="eastAsia" w:ascii="宋体" w:hAnsi="宋体" w:eastAsia="宋体" w:cs="宋体"/>
          <w:color w:val="auto"/>
          <w:szCs w:val="21"/>
          <w:lang w:eastAsia="zh-CN"/>
        </w:rPr>
        <w:t>；</w:t>
      </w:r>
    </w:p>
    <w:p>
      <w:pPr>
        <w:numPr>
          <w:ilvl w:val="255"/>
          <w:numId w:val="0"/>
        </w:numPr>
        <w:overflowPunct w:val="0"/>
        <w:spacing w:line="360" w:lineRule="auto"/>
        <w:rPr>
          <w:rFonts w:ascii="宋体" w:hAnsi="宋体" w:eastAsia="宋体" w:cs="宋体"/>
          <w:color w:val="auto"/>
          <w:szCs w:val="21"/>
        </w:rPr>
      </w:pPr>
      <w:r>
        <w:rPr>
          <w:rFonts w:hint="eastAsia" w:ascii="宋体" w:hAnsi="宋体" w:eastAsia="宋体" w:cs="宋体"/>
          <w:color w:val="auto"/>
          <w:szCs w:val="21"/>
        </w:rPr>
        <w:t>（3）技术负责人业绩须附合同复印件加盖投标人公章，合同业绩证明材料必须能反映评审条件</w:t>
      </w:r>
      <w:r>
        <w:rPr>
          <w:rFonts w:hint="eastAsia" w:ascii="宋体" w:hAnsi="宋体" w:eastAsia="宋体" w:cs="宋体"/>
          <w:color w:val="auto"/>
          <w:szCs w:val="21"/>
          <w:lang w:eastAsia="zh-CN"/>
        </w:rPr>
        <w:t>（</w:t>
      </w:r>
      <w:r>
        <w:rPr>
          <w:rFonts w:hint="eastAsia" w:ascii="宋体" w:hAnsi="宋体" w:eastAsia="宋体" w:cs="宋体"/>
          <w:color w:val="auto"/>
          <w:szCs w:val="21"/>
        </w:rPr>
        <w:t>合同签订日期为2019年1月1日或以后，业绩类型为市政工程检测，技术负责人信息</w:t>
      </w:r>
      <w:r>
        <w:rPr>
          <w:rFonts w:hint="eastAsia" w:ascii="宋体" w:hAnsi="宋体" w:eastAsia="宋体" w:cs="宋体"/>
          <w:color w:val="auto"/>
          <w:szCs w:val="21"/>
          <w:lang w:eastAsia="zh-CN"/>
        </w:rPr>
        <w:t>）</w:t>
      </w:r>
      <w:r>
        <w:rPr>
          <w:rFonts w:hint="eastAsia" w:ascii="宋体" w:hAnsi="宋体" w:eastAsia="宋体" w:cs="宋体"/>
          <w:color w:val="auto"/>
          <w:szCs w:val="21"/>
        </w:rPr>
        <w:t>，否则需同时提供业主出具的书面补充情况说明文件（须加盖业主单位公章）复印件。</w:t>
      </w:r>
    </w:p>
    <w:p>
      <w:pPr>
        <w:spacing w:line="360" w:lineRule="auto"/>
        <w:ind w:left="685" w:leftChars="176" w:hanging="315" w:hangingChars="150"/>
        <w:jc w:val="right"/>
        <w:rPr>
          <w:rFonts w:hint="eastAsia" w:ascii="宋体" w:hAnsi="宋体" w:eastAsia="宋体" w:cs="宋体"/>
          <w:color w:val="auto"/>
          <w:szCs w:val="21"/>
          <w:lang w:val="zh-CN"/>
        </w:rPr>
      </w:pPr>
      <w:r>
        <w:rPr>
          <w:rFonts w:hint="eastAsia" w:ascii="宋体" w:hAnsi="宋体" w:eastAsia="宋体" w:cs="宋体"/>
          <w:color w:val="auto"/>
          <w:szCs w:val="21"/>
          <w:lang w:val="zh-CN"/>
        </w:rPr>
        <w:t>投标人：（加盖投标人法人公章）</w:t>
      </w:r>
    </w:p>
    <w:p>
      <w:pPr>
        <w:spacing w:line="360" w:lineRule="auto"/>
        <w:ind w:left="685" w:leftChars="176" w:hanging="315" w:hangingChars="150"/>
        <w:jc w:val="center"/>
        <w:rPr>
          <w:rFonts w:ascii="宋体" w:hAnsi="宋体" w:eastAsia="宋体" w:cs="宋体"/>
          <w:color w:val="auto"/>
          <w:szCs w:val="21"/>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val="zh-CN"/>
        </w:rPr>
        <w:t>日期：   年    月     日</w:t>
      </w:r>
    </w:p>
    <w:p>
      <w:pPr>
        <w:numPr>
          <w:ilvl w:val="0"/>
          <w:numId w:val="5"/>
        </w:numPr>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689" w:name="_Toc3977"/>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、投标保证金汇入情况说明</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pPr>
        <w:autoSpaceDE w:val="0"/>
        <w:autoSpaceDN w:val="0"/>
        <w:adjustRightInd w:val="0"/>
        <w:spacing w:line="360" w:lineRule="auto"/>
        <w:jc w:val="left"/>
        <w:rPr>
          <w:rFonts w:ascii="宋体" w:hAnsi="宋体" w:eastAsia="宋体" w:cs="宋体"/>
          <w:color w:val="auto"/>
          <w:szCs w:val="24"/>
          <w:highlight w:val="none"/>
        </w:rPr>
      </w:pPr>
    </w:p>
    <w:p>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690" w:name="_Toc31832_WPSOffice_Level3"/>
      <w:r>
        <w:rPr>
          <w:rFonts w:hint="eastAsia" w:ascii="宋体" w:hAnsi="宋体" w:eastAsia="宋体" w:cs="宋体"/>
          <w:b/>
          <w:bCs/>
          <w:color w:val="auto"/>
          <w:kern w:val="0"/>
          <w:sz w:val="24"/>
          <w:szCs w:val="24"/>
          <w:highlight w:val="none"/>
        </w:rPr>
        <w:t>投标保证金汇入情况说明</w:t>
      </w:r>
      <w:bookmarkEnd w:id="690"/>
    </w:p>
    <w:p>
      <w:pPr>
        <w:autoSpaceDE w:val="0"/>
        <w:autoSpaceDN w:val="0"/>
        <w:adjustRightInd w:val="0"/>
        <w:spacing w:line="360" w:lineRule="auto"/>
        <w:jc w:val="center"/>
        <w:rPr>
          <w:rFonts w:ascii="宋体" w:hAnsi="宋体" w:eastAsia="宋体" w:cs="宋体"/>
          <w:b/>
          <w:bCs/>
          <w:color w:val="auto"/>
          <w:kern w:val="0"/>
          <w:szCs w:val="24"/>
          <w:highlight w:val="none"/>
        </w:rPr>
      </w:pP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东莞市水务集团建设管理有限公司</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东莞市茶山镇污水处理厂改扩建项目第三方检测服务（不含桩基完整性检测）采购项目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0832-SFCX24DG032C</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pPr>
        <w:spacing w:line="360" w:lineRule="auto"/>
        <w:ind w:left="340" w:leftChars="162" w:firstLine="425"/>
        <w:rPr>
          <w:rFonts w:ascii="宋体" w:hAnsi="宋体" w:eastAsia="宋体" w:cs="宋体"/>
          <w:b/>
          <w:bCs/>
          <w:color w:val="auto"/>
          <w:szCs w:val="21"/>
          <w:highlight w:val="none"/>
        </w:rPr>
      </w:pPr>
      <w:bookmarkStart w:id="691" w:name="_Toc26208_WPSOffice_Level3"/>
      <w:r>
        <w:rPr>
          <w:rFonts w:hint="eastAsia" w:ascii="宋体" w:hAnsi="宋体" w:eastAsia="宋体" w:cs="宋体"/>
          <w:b/>
          <w:bCs/>
          <w:color w:val="auto"/>
          <w:szCs w:val="21"/>
          <w:highlight w:val="none"/>
        </w:rPr>
        <w:t>附：1、我方投标保证金汇款凭证（复印件）</w:t>
      </w:r>
      <w:bookmarkEnd w:id="691"/>
    </w:p>
    <w:p>
      <w:pPr>
        <w:spacing w:line="360" w:lineRule="auto"/>
        <w:ind w:left="340" w:leftChars="162" w:firstLine="839" w:firstLineChars="398"/>
        <w:rPr>
          <w:rFonts w:ascii="宋体" w:hAnsi="宋体" w:eastAsia="宋体" w:cs="宋体"/>
          <w:b/>
          <w:bCs/>
          <w:color w:val="auto"/>
          <w:szCs w:val="21"/>
          <w:highlight w:val="none"/>
        </w:rPr>
      </w:pPr>
      <w:bookmarkStart w:id="692" w:name="_Toc12992_WPSOffice_Level3"/>
      <w:r>
        <w:rPr>
          <w:rFonts w:hint="eastAsia" w:ascii="宋体" w:hAnsi="宋体" w:eastAsia="宋体" w:cs="宋体"/>
          <w:b/>
          <w:bCs/>
          <w:color w:val="auto"/>
          <w:szCs w:val="21"/>
          <w:highlight w:val="none"/>
        </w:rPr>
        <w:t>2、我方基本账户开户许可证（复印件）</w:t>
      </w:r>
      <w:bookmarkEnd w:id="692"/>
    </w:p>
    <w:p>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pPr>
        <w:spacing w:line="360" w:lineRule="auto"/>
        <w:rPr>
          <w:rFonts w:ascii="宋体" w:hAnsi="宋体" w:eastAsia="宋体" w:cs="宋体"/>
          <w:b/>
          <w:color w:val="auto"/>
          <w:kern w:val="0"/>
          <w:szCs w:val="21"/>
          <w:highlight w:val="none"/>
        </w:rPr>
      </w:pPr>
      <w:bookmarkStart w:id="693" w:name="_Toc533708134"/>
      <w:bookmarkStart w:id="694" w:name="_Toc486167721"/>
    </w:p>
    <w:p>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695" w:name="_Toc94107221"/>
      <w:bookmarkStart w:id="696" w:name="_Toc102860084"/>
      <w:bookmarkStart w:id="697" w:name="_Toc140596939"/>
      <w:bookmarkStart w:id="698" w:name="_Toc24616"/>
      <w:bookmarkStart w:id="699" w:name="_Toc1977738"/>
      <w:bookmarkStart w:id="700" w:name="_Toc104991886"/>
      <w:bookmarkStart w:id="701" w:name="_Toc102860428"/>
      <w:bookmarkStart w:id="702" w:name="_Toc142508379"/>
    </w:p>
    <w:p>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703" w:name="_Toc2007"/>
      <w:bookmarkStart w:id="704" w:name="_Toc29652"/>
      <w:bookmarkStart w:id="705" w:name="_Toc24314"/>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三</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695"/>
      <w:bookmarkEnd w:id="696"/>
      <w:bookmarkEnd w:id="697"/>
      <w:bookmarkEnd w:id="698"/>
      <w:bookmarkEnd w:id="699"/>
      <w:bookmarkEnd w:id="700"/>
      <w:bookmarkEnd w:id="701"/>
      <w:bookmarkEnd w:id="702"/>
      <w:bookmarkEnd w:id="703"/>
      <w:bookmarkEnd w:id="704"/>
      <w:bookmarkEnd w:id="705"/>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706" w:name="_Toc1977739"/>
      <w:bookmarkStart w:id="707" w:name="_Toc94107222"/>
      <w:bookmarkStart w:id="708" w:name="_Toc140596940"/>
      <w:bookmarkStart w:id="709" w:name="_Toc104991887"/>
      <w:bookmarkStart w:id="710" w:name="_Toc18038"/>
      <w:bookmarkStart w:id="711" w:name="_Toc102860429"/>
      <w:bookmarkStart w:id="712" w:name="_Toc31916"/>
      <w:bookmarkStart w:id="713" w:name="_Toc27482"/>
      <w:bookmarkStart w:id="714" w:name="_Toc142508380"/>
      <w:bookmarkStart w:id="715" w:name="_Toc102860085"/>
      <w:bookmarkStart w:id="716" w:name="_Toc1120"/>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、技术响应文件格式</w:t>
      </w:r>
      <w:bookmarkEnd w:id="693"/>
      <w:bookmarkEnd w:id="706"/>
      <w:bookmarkEnd w:id="707"/>
      <w:bookmarkEnd w:id="708"/>
      <w:bookmarkEnd w:id="709"/>
      <w:bookmarkEnd w:id="710"/>
      <w:bookmarkEnd w:id="711"/>
      <w:bookmarkEnd w:id="712"/>
      <w:bookmarkEnd w:id="713"/>
      <w:bookmarkEnd w:id="714"/>
      <w:bookmarkEnd w:id="715"/>
      <w:bookmarkEnd w:id="716"/>
    </w:p>
    <w:p>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4</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rPr>
        <w:t>检测方案（投标人自行编写</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highlight w:val="none"/>
        </w:rPr>
        <w:t>；</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rPr>
        <w:t>检测成果准确性承诺书（</w:t>
      </w:r>
      <w:r>
        <w:rPr>
          <w:rFonts w:hint="default" w:ascii="宋体" w:hAnsi="宋体" w:eastAsia="宋体" w:cs="Times New Roman"/>
          <w:color w:val="auto"/>
          <w:szCs w:val="21"/>
          <w:lang w:val="zh-CN"/>
        </w:rPr>
        <w:t>详</w:t>
      </w:r>
      <w:r>
        <w:rPr>
          <w:rFonts w:hint="eastAsia" w:ascii="宋体" w:hAnsi="宋体" w:eastAsia="宋体" w:cs="宋体"/>
          <w:color w:val="auto"/>
          <w:kern w:val="0"/>
          <w:szCs w:val="21"/>
          <w:highlight w:val="none"/>
          <w:lang w:val="zh-CN"/>
        </w:rPr>
        <w:t>见1</w:t>
      </w:r>
      <w:r>
        <w:rPr>
          <w:rFonts w:hint="eastAsia" w:ascii="宋体" w:hAnsi="宋体" w:eastAsia="宋体" w:cs="宋体"/>
          <w:color w:val="auto"/>
          <w:kern w:val="0"/>
          <w:szCs w:val="21"/>
          <w:highlight w:val="none"/>
          <w:lang w:val="en-US" w:eastAsia="zh-CN"/>
        </w:rPr>
        <w:t>4.3</w:t>
      </w:r>
      <w:r>
        <w:rPr>
          <w:rFonts w:hint="eastAsia" w:ascii="宋体" w:hAnsi="宋体" w:eastAsia="宋体" w:cs="宋体"/>
          <w:color w:val="auto"/>
          <w:kern w:val="0"/>
          <w:szCs w:val="21"/>
        </w:rPr>
        <w:t>检测成果准确性承诺书格式）</w:t>
      </w:r>
      <w:r>
        <w:rPr>
          <w:rFonts w:hint="eastAsia" w:ascii="宋体" w:hAnsi="宋体" w:eastAsia="宋体" w:cs="宋体"/>
          <w:color w:val="auto"/>
          <w:kern w:val="0"/>
          <w:szCs w:val="21"/>
          <w:highlight w:val="none"/>
        </w:rPr>
        <w:t>；</w:t>
      </w:r>
    </w:p>
    <w:p>
      <w:pPr>
        <w:spacing w:line="360" w:lineRule="auto"/>
        <w:ind w:left="443" w:leftChars="77" w:hanging="281" w:hangingChars="134"/>
        <w:rPr>
          <w:rFonts w:ascii="宋体" w:hAnsi="宋体" w:eastAsia="宋体" w:cs="宋体"/>
          <w:color w:val="auto"/>
          <w:kern w:val="0"/>
          <w:szCs w:val="21"/>
          <w:highlight w:val="none"/>
        </w:rPr>
      </w:pPr>
      <w:r>
        <w:rPr>
          <w:rFonts w:ascii="宋体" w:hAnsi="宋体" w:eastAsia="宋体" w:cs="宋体"/>
          <w:color w:val="auto"/>
          <w:kern w:val="0"/>
          <w:szCs w:val="21"/>
          <w:highlight w:val="none"/>
        </w:rPr>
        <w:t>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rPr>
        <w:t>服务响应时间承诺书（</w:t>
      </w:r>
      <w:r>
        <w:rPr>
          <w:rFonts w:hint="default" w:ascii="宋体" w:hAnsi="宋体" w:eastAsia="宋体" w:cs="Times New Roman"/>
          <w:color w:val="auto"/>
          <w:szCs w:val="21"/>
          <w:lang w:val="zh-CN"/>
        </w:rPr>
        <w:t>详</w:t>
      </w:r>
      <w:r>
        <w:rPr>
          <w:rFonts w:hint="eastAsia" w:ascii="宋体" w:hAnsi="宋体" w:eastAsia="宋体" w:cs="宋体"/>
          <w:color w:val="auto"/>
          <w:kern w:val="0"/>
          <w:szCs w:val="21"/>
          <w:highlight w:val="none"/>
          <w:lang w:val="zh-CN"/>
        </w:rPr>
        <w:t>见1</w:t>
      </w:r>
      <w:r>
        <w:rPr>
          <w:rFonts w:hint="eastAsia" w:ascii="宋体" w:hAnsi="宋体" w:eastAsia="宋体" w:cs="宋体"/>
          <w:color w:val="auto"/>
          <w:kern w:val="0"/>
          <w:szCs w:val="21"/>
          <w:highlight w:val="none"/>
          <w:lang w:val="en-US" w:eastAsia="zh-CN"/>
        </w:rPr>
        <w:t>4.4</w:t>
      </w:r>
      <w:r>
        <w:rPr>
          <w:rFonts w:hint="eastAsia" w:ascii="宋体" w:hAnsi="宋体" w:eastAsia="宋体" w:cs="宋体"/>
          <w:color w:val="auto"/>
          <w:kern w:val="0"/>
          <w:szCs w:val="21"/>
        </w:rPr>
        <w:t>服务响应时间承诺书格式）</w:t>
      </w:r>
      <w:r>
        <w:rPr>
          <w:rFonts w:hint="eastAsia" w:ascii="宋体" w:hAnsi="宋体" w:eastAsia="宋体" w:cs="宋体"/>
          <w:color w:val="auto"/>
          <w:kern w:val="0"/>
          <w:szCs w:val="21"/>
          <w:highlight w:val="none"/>
        </w:rPr>
        <w:t>；</w:t>
      </w:r>
    </w:p>
    <w:p>
      <w:pPr>
        <w:spacing w:line="360" w:lineRule="auto"/>
        <w:ind w:left="443" w:leftChars="77" w:hanging="281" w:hangingChars="134"/>
        <w:rPr>
          <w:rFonts w:ascii="宋体" w:hAnsi="宋体" w:eastAsia="宋体" w:cs="宋体"/>
          <w:color w:val="auto"/>
          <w:kern w:val="0"/>
          <w:szCs w:val="21"/>
          <w:highlight w:val="none"/>
        </w:rPr>
      </w:pPr>
      <w:r>
        <w:rPr>
          <w:rFonts w:ascii="宋体" w:hAnsi="宋体" w:eastAsia="宋体" w:cs="宋体"/>
          <w:color w:val="auto"/>
          <w:kern w:val="0"/>
          <w:szCs w:val="21"/>
          <w:highlight w:val="none"/>
        </w:rPr>
        <w:t>5</w:t>
      </w:r>
      <w:r>
        <w:rPr>
          <w:rFonts w:hint="eastAsia" w:ascii="宋体" w:hAnsi="宋体" w:eastAsia="宋体" w:cs="宋体"/>
          <w:color w:val="auto"/>
          <w:kern w:val="0"/>
          <w:szCs w:val="21"/>
          <w:highlight w:val="none"/>
        </w:rPr>
        <w:t>、投标人认为有必要提供的其它材料（不做强制要求）。</w:t>
      </w:r>
    </w:p>
    <w:p>
      <w:pPr>
        <w:pStyle w:val="19"/>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694"/>
      <w:bookmarkStart w:id="717" w:name="_Toc94107223"/>
      <w:bookmarkStart w:id="718" w:name="_Toc102860430"/>
      <w:bookmarkStart w:id="719" w:name="_Toc142508381"/>
      <w:bookmarkStart w:id="720" w:name="_Toc104991888"/>
      <w:bookmarkStart w:id="721" w:name="_Toc533708135"/>
      <w:bookmarkStart w:id="722" w:name="_Toc140596941"/>
      <w:bookmarkStart w:id="723" w:name="_Toc1977740"/>
      <w:bookmarkStart w:id="724" w:name="_Toc102860086"/>
    </w:p>
    <w:p>
      <w:pPr>
        <w:pStyle w:val="19"/>
        <w:spacing w:line="360" w:lineRule="auto"/>
        <w:jc w:val="center"/>
        <w:rPr>
          <w:rFonts w:hint="eastAsia" w:ascii="宋体" w:hAnsi="宋体" w:eastAsia="宋体" w:cs="宋体"/>
          <w:b/>
          <w:color w:val="auto"/>
          <w:kern w:val="0"/>
          <w:szCs w:val="21"/>
          <w:highlight w:val="none"/>
        </w:rPr>
      </w:pPr>
    </w:p>
    <w:p>
      <w:pPr>
        <w:pStyle w:val="19"/>
        <w:spacing w:line="360" w:lineRule="auto"/>
        <w:jc w:val="center"/>
        <w:rPr>
          <w:rFonts w:hint="eastAsia" w:ascii="宋体" w:hAnsi="宋体" w:eastAsia="宋体" w:cs="宋体"/>
          <w:b/>
          <w:color w:val="auto"/>
          <w:kern w:val="0"/>
          <w:szCs w:val="21"/>
          <w:highlight w:val="none"/>
        </w:rPr>
      </w:pPr>
    </w:p>
    <w:p>
      <w:pPr>
        <w:pStyle w:val="19"/>
        <w:spacing w:line="360" w:lineRule="auto"/>
        <w:jc w:val="center"/>
        <w:rPr>
          <w:rFonts w:hint="eastAsia" w:ascii="宋体" w:hAnsi="宋体" w:eastAsia="宋体" w:cs="宋体"/>
          <w:b/>
          <w:color w:val="auto"/>
          <w:kern w:val="0"/>
          <w:szCs w:val="21"/>
          <w:highlight w:val="none"/>
        </w:rPr>
      </w:pPr>
    </w:p>
    <w:p>
      <w:pPr>
        <w:pStyle w:val="19"/>
        <w:spacing w:line="360" w:lineRule="auto"/>
        <w:jc w:val="center"/>
        <w:rPr>
          <w:rFonts w:hint="eastAsia" w:ascii="宋体" w:hAnsi="宋体" w:eastAsia="宋体" w:cs="宋体"/>
          <w:b/>
          <w:color w:val="auto"/>
          <w:kern w:val="0"/>
          <w:szCs w:val="21"/>
          <w:highlight w:val="none"/>
        </w:rPr>
      </w:pPr>
    </w:p>
    <w:p>
      <w:pPr>
        <w:pStyle w:val="19"/>
        <w:spacing w:line="360" w:lineRule="auto"/>
        <w:jc w:val="center"/>
        <w:rPr>
          <w:rFonts w:hint="eastAsia" w:ascii="宋体" w:hAnsi="宋体" w:eastAsia="宋体" w:cs="宋体"/>
          <w:b/>
          <w:color w:val="auto"/>
          <w:kern w:val="0"/>
          <w:szCs w:val="21"/>
          <w:highlight w:val="none"/>
        </w:rPr>
      </w:pPr>
    </w:p>
    <w:p>
      <w:pPr>
        <w:pStyle w:val="19"/>
        <w:spacing w:line="360" w:lineRule="auto"/>
        <w:jc w:val="center"/>
        <w:rPr>
          <w:rFonts w:hint="eastAsia" w:ascii="宋体" w:hAnsi="宋体" w:eastAsia="宋体" w:cs="宋体"/>
          <w:b/>
          <w:color w:val="auto"/>
          <w:kern w:val="0"/>
          <w:szCs w:val="21"/>
          <w:highlight w:val="none"/>
        </w:rPr>
      </w:pPr>
    </w:p>
    <w:p>
      <w:pPr>
        <w:pStyle w:val="19"/>
        <w:spacing w:line="360" w:lineRule="auto"/>
        <w:jc w:val="center"/>
        <w:rPr>
          <w:rFonts w:hint="eastAsia" w:ascii="宋体" w:hAnsi="宋体" w:eastAsia="宋体" w:cs="宋体"/>
          <w:b/>
          <w:color w:val="auto"/>
          <w:kern w:val="0"/>
          <w:szCs w:val="21"/>
          <w:highlight w:val="none"/>
        </w:rPr>
      </w:pPr>
    </w:p>
    <w:p>
      <w:pPr>
        <w:pStyle w:val="19"/>
        <w:spacing w:line="360" w:lineRule="auto"/>
        <w:jc w:val="center"/>
        <w:rPr>
          <w:rFonts w:hint="eastAsia" w:ascii="宋体" w:hAnsi="宋体" w:eastAsia="宋体" w:cs="宋体"/>
          <w:b/>
          <w:color w:val="auto"/>
          <w:kern w:val="0"/>
          <w:szCs w:val="21"/>
          <w:highlight w:val="none"/>
        </w:rPr>
      </w:pPr>
    </w:p>
    <w:p>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t>招标编号：</w:t>
      </w:r>
      <w:r>
        <w:rPr>
          <w:rFonts w:hint="eastAsia" w:ascii="宋体" w:hAnsi="宋体" w:cs="宋体"/>
          <w:color w:val="auto"/>
          <w:sz w:val="30"/>
          <w:highlight w:val="none"/>
          <w:u w:val="single"/>
          <w:lang w:eastAsia="zh-CN"/>
        </w:rPr>
        <w:t>0832-SFCX24DG032C</w:t>
      </w:r>
    </w:p>
    <w:p>
      <w:pPr>
        <w:pStyle w:val="19"/>
        <w:spacing w:line="360" w:lineRule="auto"/>
        <w:rPr>
          <w:rFonts w:hint="eastAsia" w:ascii="宋体" w:hAnsi="宋体" w:eastAsia="宋体" w:cs="宋体"/>
          <w:color w:val="auto"/>
          <w:sz w:val="30"/>
          <w:highlight w:val="none"/>
          <w:u w:val="single"/>
          <w:lang w:eastAsia="zh-CN"/>
        </w:rPr>
      </w:pPr>
      <w:r>
        <w:rPr>
          <w:rFonts w:hint="eastAsia" w:ascii="宋体" w:hAnsi="宋体" w:eastAsia="宋体" w:cs="宋体"/>
          <w:color w:val="auto"/>
          <w:sz w:val="30"/>
          <w:highlight w:val="none"/>
        </w:rPr>
        <w:t>项目名称：</w:t>
      </w:r>
      <w:r>
        <w:rPr>
          <w:rFonts w:hint="eastAsia" w:ascii="宋体" w:hAnsi="宋体" w:cs="宋体"/>
          <w:color w:val="auto"/>
          <w:sz w:val="30"/>
          <w:highlight w:val="none"/>
          <w:u w:val="single"/>
          <w:lang w:eastAsia="zh-CN"/>
        </w:rPr>
        <w:t>东莞市茶山镇污水处理厂改扩建项目第三方检测服务（不含桩基完整性检测）采购项目</w:t>
      </w:r>
    </w:p>
    <w:p>
      <w:pPr>
        <w:pStyle w:val="19"/>
        <w:spacing w:line="360" w:lineRule="auto"/>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pPr>
        <w:pStyle w:val="19"/>
        <w:spacing w:line="360" w:lineRule="auto"/>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t>招标人：</w:t>
      </w:r>
      <w:r>
        <w:rPr>
          <w:rFonts w:hint="eastAsia" w:ascii="宋体" w:hAnsi="宋体" w:cs="宋体"/>
          <w:color w:val="auto"/>
          <w:sz w:val="30"/>
          <w:highlight w:val="none"/>
          <w:u w:val="single"/>
          <w:lang w:eastAsia="zh-CN"/>
        </w:rPr>
        <w:t>东莞市水务集团建设管理有限公司</w:t>
      </w:r>
    </w:p>
    <w:p>
      <w:pPr>
        <w:pStyle w:val="19"/>
        <w:spacing w:line="360" w:lineRule="auto"/>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19"/>
        <w:spacing w:line="360" w:lineRule="auto"/>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19"/>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7" w:type="pct"/>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0" w:type="pct"/>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047"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pPr>
              <w:rPr>
                <w:rFonts w:hint="eastAsia" w:ascii="宋体" w:hAnsi="宋体" w:eastAsia="宋体" w:cs="宋体"/>
                <w:bCs/>
                <w:color w:val="auto"/>
                <w:szCs w:val="21"/>
                <w:highlight w:val="none"/>
              </w:rPr>
            </w:pPr>
          </w:p>
        </w:tc>
        <w:tc>
          <w:tcPr>
            <w:tcW w:w="1337" w:type="pct"/>
            <w:vAlign w:val="center"/>
          </w:tcPr>
          <w:p>
            <w:pPr>
              <w:rPr>
                <w:rFonts w:hint="eastAsia" w:ascii="宋体" w:hAnsi="宋体" w:eastAsia="宋体" w:cs="宋体"/>
                <w:bCs/>
                <w:color w:val="auto"/>
                <w:szCs w:val="21"/>
                <w:highlight w:val="none"/>
              </w:rPr>
            </w:pPr>
          </w:p>
        </w:tc>
        <w:tc>
          <w:tcPr>
            <w:tcW w:w="1047" w:type="pct"/>
            <w:vAlign w:val="center"/>
          </w:tcPr>
          <w:p>
            <w:pPr>
              <w:rPr>
                <w:rFonts w:hint="eastAsia" w:ascii="宋体" w:hAnsi="宋体" w:eastAsia="宋体" w:cs="宋体"/>
                <w:bCs/>
                <w:color w:val="auto"/>
                <w:szCs w:val="21"/>
                <w:highlight w:val="none"/>
              </w:rPr>
            </w:pPr>
          </w:p>
        </w:tc>
        <w:tc>
          <w:tcPr>
            <w:tcW w:w="1950" w:type="pct"/>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rPr>
                <w:rFonts w:hint="eastAsia" w:ascii="宋体" w:hAnsi="宋体" w:eastAsia="宋体" w:cs="宋体"/>
                <w:bCs/>
                <w:color w:val="auto"/>
                <w:szCs w:val="21"/>
                <w:highlight w:val="none"/>
              </w:rPr>
            </w:pPr>
          </w:p>
        </w:tc>
        <w:tc>
          <w:tcPr>
            <w:tcW w:w="1047"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104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7" w:type="pct"/>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25" w:name="_Toc18999"/>
      <w:bookmarkStart w:id="726" w:name="_Toc5936"/>
      <w:bookmarkStart w:id="727" w:name="_Toc30448"/>
      <w:bookmarkStart w:id="728" w:name="_Toc27934"/>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用户需求偏离表格式</w:t>
      </w:r>
      <w:bookmarkEnd w:id="717"/>
      <w:bookmarkEnd w:id="718"/>
      <w:bookmarkEnd w:id="719"/>
      <w:bookmarkEnd w:id="720"/>
      <w:bookmarkEnd w:id="721"/>
      <w:bookmarkEnd w:id="722"/>
      <w:bookmarkEnd w:id="723"/>
      <w:bookmarkEnd w:id="724"/>
      <w:bookmarkEnd w:id="725"/>
      <w:bookmarkEnd w:id="726"/>
      <w:bookmarkEnd w:id="727"/>
      <w:bookmarkEnd w:id="728"/>
    </w:p>
    <w:p>
      <w:pPr>
        <w:spacing w:before="120" w:after="120" w:line="360" w:lineRule="auto"/>
        <w:jc w:val="center"/>
        <w:rPr>
          <w:rFonts w:ascii="宋体" w:hAnsi="宋体" w:eastAsia="宋体" w:cs="Times New Roman"/>
          <w:color w:val="auto"/>
          <w:kern w:val="0"/>
          <w:szCs w:val="21"/>
          <w:highlight w:val="none"/>
        </w:rPr>
      </w:pPr>
      <w:bookmarkStart w:id="729" w:name="_Toc17449_WPSOffice_Level3"/>
      <w:r>
        <w:rPr>
          <w:rFonts w:hint="eastAsia" w:ascii="宋体" w:hAnsi="宋体" w:eastAsia="宋体" w:cs="宋体"/>
          <w:b/>
          <w:color w:val="auto"/>
          <w:kern w:val="0"/>
          <w:sz w:val="30"/>
          <w:szCs w:val="30"/>
          <w:highlight w:val="none"/>
          <w:lang w:val="zh-CN"/>
        </w:rPr>
        <w:t>用户需求偏离表</w:t>
      </w:r>
      <w:bookmarkEnd w:id="729"/>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952"/>
        <w:gridCol w:w="6414"/>
        <w:gridCol w:w="722"/>
        <w:gridCol w:w="867"/>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restart"/>
            <w:vAlign w:val="center"/>
          </w:tcPr>
          <w:p>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59" w:type="pct"/>
            <w:gridSpan w:val="3"/>
            <w:vAlign w:val="center"/>
          </w:tcPr>
          <w:p>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continue"/>
            <w:vAlign w:val="center"/>
          </w:tcPr>
          <w:p>
            <w:pPr>
              <w:keepNext/>
              <w:keepLines/>
              <w:spacing w:line="400" w:lineRule="exact"/>
              <w:jc w:val="center"/>
              <w:outlineLvl w:val="0"/>
              <w:rPr>
                <w:rFonts w:ascii="宋体" w:hAnsi="宋体" w:eastAsia="宋体" w:cs="宋体"/>
                <w:color w:val="auto"/>
                <w:kern w:val="0"/>
                <w:sz w:val="21"/>
                <w:szCs w:val="21"/>
                <w:highlight w:val="none"/>
              </w:rPr>
            </w:pPr>
          </w:p>
        </w:tc>
        <w:tc>
          <w:tcPr>
            <w:tcW w:w="459" w:type="pct"/>
            <w:vAlign w:val="center"/>
          </w:tcPr>
          <w:p>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8" w:type="pct"/>
            <w:vAlign w:val="center"/>
          </w:tcPr>
          <w:p>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392" w:type="pct"/>
            <w:vAlign w:val="center"/>
          </w:tcPr>
          <w:p>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9" w:type="pct"/>
            <w:vAlign w:val="center"/>
          </w:tcPr>
          <w:p>
            <w:pPr>
              <w:spacing w:line="400" w:lineRule="exact"/>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1</w:t>
            </w:r>
          </w:p>
        </w:tc>
        <w:tc>
          <w:tcPr>
            <w:tcW w:w="459" w:type="pct"/>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二</w:t>
            </w:r>
          </w:p>
        </w:tc>
        <w:tc>
          <w:tcPr>
            <w:tcW w:w="3092" w:type="pct"/>
            <w:vAlign w:val="center"/>
          </w:tcPr>
          <w:p>
            <w:pPr>
              <w:keepNext w:val="0"/>
              <w:keepLines w:val="0"/>
              <w:pageBreakBefore w:val="0"/>
              <w:widowControl w:val="0"/>
              <w:kinsoku/>
              <w:wordWrap/>
              <w:overflowPunct/>
              <w:topLinePunct w:val="0"/>
              <w:autoSpaceDE w:val="0"/>
              <w:autoSpaceDN w:val="0"/>
              <w:bidi w:val="0"/>
              <w:adjustRightInd w:val="0"/>
              <w:spacing w:line="240" w:lineRule="auto"/>
              <w:ind w:firstLine="0" w:firstLineChars="0"/>
              <w:jc w:val="left"/>
              <w:textAlignment w:val="auto"/>
              <w:rPr>
                <w:rFonts w:ascii="宋体" w:hAnsi="宋体" w:eastAsia="宋体" w:cs="Times New Roman"/>
                <w:b w:val="0"/>
                <w:bCs/>
                <w:color w:val="auto"/>
                <w:kern w:val="0"/>
                <w:sz w:val="21"/>
                <w:szCs w:val="21"/>
                <w:highlight w:val="none"/>
              </w:rPr>
            </w:pPr>
            <w:r>
              <w:rPr>
                <w:rFonts w:hint="eastAsia" w:ascii="宋体" w:hAnsi="宋体" w:eastAsia="宋体" w:cs="Times New Roman"/>
                <w:b w:val="0"/>
                <w:bCs/>
                <w:color w:val="auto"/>
                <w:kern w:val="0"/>
                <w:sz w:val="21"/>
                <w:szCs w:val="21"/>
                <w:highlight w:val="none"/>
              </w:rPr>
              <w:t>总体服务要求</w:t>
            </w:r>
          </w:p>
        </w:tc>
        <w:tc>
          <w:tcPr>
            <w:tcW w:w="348" w:type="pct"/>
            <w:vAlign w:val="center"/>
          </w:tcPr>
          <w:p>
            <w:pPr>
              <w:keepNext/>
              <w:keepLines/>
              <w:spacing w:line="400" w:lineRule="exact"/>
              <w:jc w:val="center"/>
              <w:outlineLvl w:val="2"/>
              <w:rPr>
                <w:rFonts w:ascii="宋体" w:hAnsi="宋体" w:eastAsia="宋体" w:cs="宋体"/>
                <w:color w:val="auto"/>
                <w:kern w:val="0"/>
                <w:sz w:val="21"/>
                <w:szCs w:val="21"/>
                <w:highlight w:val="none"/>
              </w:rPr>
            </w:pPr>
          </w:p>
        </w:tc>
        <w:tc>
          <w:tcPr>
            <w:tcW w:w="418" w:type="pct"/>
            <w:vAlign w:val="center"/>
          </w:tcPr>
          <w:p>
            <w:pPr>
              <w:keepNext/>
              <w:keepLines/>
              <w:spacing w:line="400" w:lineRule="exact"/>
              <w:jc w:val="center"/>
              <w:outlineLvl w:val="2"/>
              <w:rPr>
                <w:rFonts w:ascii="宋体" w:hAnsi="宋体" w:eastAsia="宋体" w:cs="宋体"/>
                <w:color w:val="auto"/>
                <w:kern w:val="0"/>
                <w:sz w:val="21"/>
                <w:szCs w:val="21"/>
                <w:highlight w:val="none"/>
              </w:rPr>
            </w:pPr>
          </w:p>
        </w:tc>
        <w:tc>
          <w:tcPr>
            <w:tcW w:w="392" w:type="pct"/>
            <w:vAlign w:val="center"/>
          </w:tcPr>
          <w:p>
            <w:pPr>
              <w:keepNext/>
              <w:keepLines/>
              <w:spacing w:line="400" w:lineRule="exact"/>
              <w:jc w:val="center"/>
              <w:outlineLvl w:val="2"/>
              <w:rPr>
                <w:rFonts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9" w:type="pct"/>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三</w:t>
            </w:r>
          </w:p>
        </w:tc>
        <w:tc>
          <w:tcPr>
            <w:tcW w:w="3092" w:type="pct"/>
            <w:vAlign w:val="center"/>
          </w:tcPr>
          <w:p>
            <w:pPr>
              <w:keepNext w:val="0"/>
              <w:keepLines w:val="0"/>
              <w:pageBreakBefore w:val="0"/>
              <w:widowControl w:val="0"/>
              <w:kinsoku/>
              <w:wordWrap/>
              <w:overflowPunct/>
              <w:topLinePunct w:val="0"/>
              <w:bidi w:val="0"/>
              <w:adjustRightInd w:val="0"/>
              <w:snapToGrid w:val="0"/>
              <w:spacing w:line="240" w:lineRule="auto"/>
              <w:ind w:firstLine="0" w:firstLineChars="0"/>
              <w:jc w:val="left"/>
              <w:textAlignment w:val="auto"/>
              <w:rPr>
                <w:rFonts w:ascii="宋体" w:hAnsi="宋体" w:eastAsia="宋体" w:cs="Times New Roman"/>
                <w:b w:val="0"/>
                <w:bCs/>
                <w:color w:val="auto"/>
                <w:sz w:val="21"/>
                <w:szCs w:val="21"/>
                <w:highlight w:val="none"/>
              </w:rPr>
            </w:pPr>
            <w:r>
              <w:rPr>
                <w:rFonts w:hint="eastAsia" w:ascii="宋体" w:hAnsi="宋体" w:eastAsia="宋体" w:cs="Times New Roman"/>
                <w:b w:val="0"/>
                <w:bCs/>
                <w:color w:val="auto"/>
                <w:sz w:val="21"/>
                <w:szCs w:val="21"/>
                <w:highlight w:val="none"/>
              </w:rPr>
              <w:t>合同价款</w:t>
            </w:r>
          </w:p>
        </w:tc>
        <w:tc>
          <w:tcPr>
            <w:tcW w:w="348" w:type="pct"/>
            <w:vAlign w:val="center"/>
          </w:tcPr>
          <w:p>
            <w:pPr>
              <w:keepNext/>
              <w:keepLines/>
              <w:spacing w:line="400" w:lineRule="exact"/>
              <w:jc w:val="center"/>
              <w:outlineLvl w:val="2"/>
              <w:rPr>
                <w:rFonts w:ascii="宋体" w:hAnsi="宋体" w:eastAsia="宋体" w:cs="宋体"/>
                <w:color w:val="auto"/>
                <w:kern w:val="0"/>
                <w:sz w:val="21"/>
                <w:szCs w:val="21"/>
                <w:highlight w:val="none"/>
              </w:rPr>
            </w:pPr>
          </w:p>
        </w:tc>
        <w:tc>
          <w:tcPr>
            <w:tcW w:w="418" w:type="pct"/>
            <w:vAlign w:val="center"/>
          </w:tcPr>
          <w:p>
            <w:pPr>
              <w:keepNext/>
              <w:keepLines/>
              <w:spacing w:line="400" w:lineRule="exact"/>
              <w:jc w:val="center"/>
              <w:outlineLvl w:val="2"/>
              <w:rPr>
                <w:rFonts w:ascii="宋体" w:hAnsi="宋体" w:eastAsia="宋体" w:cs="宋体"/>
                <w:color w:val="auto"/>
                <w:kern w:val="0"/>
                <w:sz w:val="21"/>
                <w:szCs w:val="21"/>
                <w:highlight w:val="none"/>
              </w:rPr>
            </w:pPr>
          </w:p>
        </w:tc>
        <w:tc>
          <w:tcPr>
            <w:tcW w:w="392" w:type="pct"/>
            <w:vAlign w:val="center"/>
          </w:tcPr>
          <w:p>
            <w:pPr>
              <w:keepNext/>
              <w:keepLines/>
              <w:spacing w:line="400" w:lineRule="exact"/>
              <w:jc w:val="center"/>
              <w:outlineLvl w:val="2"/>
              <w:rPr>
                <w:rFonts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lang w:val="en-US" w:eastAsia="zh-CN"/>
              </w:rPr>
              <w:t>四</w:t>
            </w:r>
          </w:p>
        </w:tc>
        <w:tc>
          <w:tcPr>
            <w:tcW w:w="3092" w:type="pct"/>
            <w:vAlign w:val="center"/>
          </w:tcPr>
          <w:p>
            <w:pPr>
              <w:keepNext w:val="0"/>
              <w:keepLines w:val="0"/>
              <w:pageBreakBefore w:val="0"/>
              <w:widowControl w:val="0"/>
              <w:kinsoku/>
              <w:wordWrap/>
              <w:overflowPunct/>
              <w:topLinePunct w:val="0"/>
              <w:bidi w:val="0"/>
              <w:spacing w:line="240" w:lineRule="auto"/>
              <w:ind w:firstLine="0" w:firstLineChars="0"/>
              <w:jc w:val="left"/>
              <w:textAlignment w:val="auto"/>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费用支付</w:t>
            </w:r>
          </w:p>
        </w:tc>
        <w:tc>
          <w:tcPr>
            <w:tcW w:w="348" w:type="pct"/>
            <w:vAlign w:val="center"/>
          </w:tcPr>
          <w:p>
            <w:pPr>
              <w:keepNext/>
              <w:keepLines/>
              <w:spacing w:line="400" w:lineRule="exact"/>
              <w:jc w:val="center"/>
              <w:outlineLvl w:val="2"/>
              <w:rPr>
                <w:rFonts w:ascii="宋体" w:hAnsi="宋体" w:eastAsia="宋体" w:cs="宋体"/>
                <w:color w:val="auto"/>
                <w:kern w:val="0"/>
                <w:sz w:val="21"/>
                <w:szCs w:val="21"/>
                <w:highlight w:val="none"/>
              </w:rPr>
            </w:pPr>
          </w:p>
        </w:tc>
        <w:tc>
          <w:tcPr>
            <w:tcW w:w="418" w:type="pct"/>
            <w:vAlign w:val="center"/>
          </w:tcPr>
          <w:p>
            <w:pPr>
              <w:keepNext/>
              <w:keepLines/>
              <w:spacing w:line="400" w:lineRule="exact"/>
              <w:jc w:val="center"/>
              <w:outlineLvl w:val="2"/>
              <w:rPr>
                <w:rFonts w:ascii="宋体" w:hAnsi="宋体" w:eastAsia="宋体" w:cs="宋体"/>
                <w:color w:val="auto"/>
                <w:kern w:val="0"/>
                <w:sz w:val="21"/>
                <w:szCs w:val="21"/>
                <w:highlight w:val="none"/>
              </w:rPr>
            </w:pPr>
          </w:p>
        </w:tc>
        <w:tc>
          <w:tcPr>
            <w:tcW w:w="392" w:type="pct"/>
            <w:vAlign w:val="center"/>
          </w:tcPr>
          <w:p>
            <w:pPr>
              <w:keepNext/>
              <w:keepLines/>
              <w:spacing w:line="400" w:lineRule="exact"/>
              <w:jc w:val="center"/>
              <w:outlineLvl w:val="2"/>
              <w:rPr>
                <w:rFonts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459" w:type="pct"/>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b w:val="0"/>
                <w:bCs/>
                <w:color w:val="auto"/>
                <w:sz w:val="21"/>
                <w:szCs w:val="21"/>
                <w:highlight w:val="none"/>
                <w:lang w:val="zh-CN"/>
              </w:rPr>
            </w:pPr>
            <w:r>
              <w:rPr>
                <w:rFonts w:hint="eastAsia" w:ascii="宋体" w:hAnsi="宋体" w:eastAsia="宋体"/>
                <w:b w:val="0"/>
                <w:bCs/>
                <w:color w:val="auto"/>
                <w:sz w:val="21"/>
                <w:szCs w:val="21"/>
                <w:highlight w:val="none"/>
                <w:lang w:val="zh-CN"/>
              </w:rPr>
              <w:t>五</w:t>
            </w:r>
          </w:p>
        </w:tc>
        <w:tc>
          <w:tcPr>
            <w:tcW w:w="3092" w:type="pct"/>
            <w:vAlign w:val="center"/>
          </w:tcPr>
          <w:p>
            <w:pPr>
              <w:keepNext w:val="0"/>
              <w:keepLines w:val="0"/>
              <w:pageBreakBefore w:val="0"/>
              <w:widowControl w:val="0"/>
              <w:kinsoku/>
              <w:wordWrap/>
              <w:overflowPunct/>
              <w:topLinePunct w:val="0"/>
              <w:bidi w:val="0"/>
              <w:spacing w:line="240" w:lineRule="auto"/>
              <w:ind w:firstLine="0" w:firstLineChars="0"/>
              <w:jc w:val="left"/>
              <w:textAlignment w:val="auto"/>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考核制度</w:t>
            </w:r>
          </w:p>
        </w:tc>
        <w:tc>
          <w:tcPr>
            <w:tcW w:w="348" w:type="pct"/>
            <w:vAlign w:val="center"/>
          </w:tcPr>
          <w:p>
            <w:pPr>
              <w:keepNext/>
              <w:keepLines/>
              <w:spacing w:line="400" w:lineRule="exact"/>
              <w:jc w:val="center"/>
              <w:outlineLvl w:val="2"/>
              <w:rPr>
                <w:rFonts w:ascii="宋体" w:hAnsi="宋体" w:eastAsia="宋体" w:cs="宋体"/>
                <w:color w:val="auto"/>
                <w:kern w:val="0"/>
                <w:sz w:val="21"/>
                <w:szCs w:val="21"/>
                <w:highlight w:val="none"/>
              </w:rPr>
            </w:pPr>
          </w:p>
        </w:tc>
        <w:tc>
          <w:tcPr>
            <w:tcW w:w="418" w:type="pct"/>
            <w:vAlign w:val="center"/>
          </w:tcPr>
          <w:p>
            <w:pPr>
              <w:keepNext/>
              <w:keepLines/>
              <w:spacing w:line="400" w:lineRule="exact"/>
              <w:jc w:val="center"/>
              <w:outlineLvl w:val="2"/>
              <w:rPr>
                <w:rFonts w:ascii="宋体" w:hAnsi="宋体" w:eastAsia="宋体" w:cs="宋体"/>
                <w:color w:val="auto"/>
                <w:kern w:val="0"/>
                <w:sz w:val="21"/>
                <w:szCs w:val="21"/>
                <w:highlight w:val="none"/>
              </w:rPr>
            </w:pPr>
          </w:p>
        </w:tc>
        <w:tc>
          <w:tcPr>
            <w:tcW w:w="392" w:type="pct"/>
            <w:vAlign w:val="center"/>
          </w:tcPr>
          <w:p>
            <w:pPr>
              <w:keepNext/>
              <w:keepLines/>
              <w:spacing w:line="400" w:lineRule="exact"/>
              <w:jc w:val="center"/>
              <w:outlineLvl w:val="2"/>
              <w:rPr>
                <w:rFonts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459" w:type="pct"/>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附件</w:t>
            </w:r>
          </w:p>
        </w:tc>
        <w:tc>
          <w:tcPr>
            <w:tcW w:w="3092" w:type="pct"/>
            <w:vAlign w:val="center"/>
          </w:tcPr>
          <w:p>
            <w:pPr>
              <w:keepNext w:val="0"/>
              <w:keepLines w:val="0"/>
              <w:pageBreakBefore w:val="0"/>
              <w:widowControl w:val="0"/>
              <w:kinsoku/>
              <w:wordWrap/>
              <w:overflowPunct/>
              <w:topLinePunct w:val="0"/>
              <w:bidi w:val="0"/>
              <w:spacing w:line="240" w:lineRule="auto"/>
              <w:ind w:firstLine="0" w:firstLineChars="0"/>
              <w:jc w:val="left"/>
              <w:textAlignment w:val="auto"/>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《工程量清单计价表》</w:t>
            </w:r>
          </w:p>
        </w:tc>
        <w:tc>
          <w:tcPr>
            <w:tcW w:w="348" w:type="pct"/>
            <w:vAlign w:val="center"/>
          </w:tcPr>
          <w:p>
            <w:pPr>
              <w:keepNext/>
              <w:keepLines/>
              <w:spacing w:line="400" w:lineRule="exact"/>
              <w:jc w:val="center"/>
              <w:outlineLvl w:val="2"/>
              <w:rPr>
                <w:rFonts w:ascii="宋体" w:hAnsi="宋体" w:eastAsia="宋体" w:cs="宋体"/>
                <w:color w:val="auto"/>
                <w:kern w:val="0"/>
                <w:sz w:val="21"/>
                <w:szCs w:val="21"/>
                <w:highlight w:val="none"/>
              </w:rPr>
            </w:pPr>
          </w:p>
        </w:tc>
        <w:tc>
          <w:tcPr>
            <w:tcW w:w="418" w:type="pct"/>
            <w:vAlign w:val="center"/>
          </w:tcPr>
          <w:p>
            <w:pPr>
              <w:keepNext/>
              <w:keepLines/>
              <w:spacing w:line="400" w:lineRule="exact"/>
              <w:jc w:val="center"/>
              <w:outlineLvl w:val="2"/>
              <w:rPr>
                <w:rFonts w:ascii="宋体" w:hAnsi="宋体" w:eastAsia="宋体" w:cs="宋体"/>
                <w:color w:val="auto"/>
                <w:kern w:val="0"/>
                <w:sz w:val="21"/>
                <w:szCs w:val="21"/>
                <w:highlight w:val="none"/>
              </w:rPr>
            </w:pPr>
          </w:p>
        </w:tc>
        <w:tc>
          <w:tcPr>
            <w:tcW w:w="392" w:type="pct"/>
            <w:vAlign w:val="center"/>
          </w:tcPr>
          <w:p>
            <w:pPr>
              <w:keepNext/>
              <w:keepLines/>
              <w:spacing w:line="400" w:lineRule="exact"/>
              <w:jc w:val="center"/>
              <w:outlineLvl w:val="2"/>
              <w:rPr>
                <w:rFonts w:ascii="宋体" w:hAnsi="宋体" w:eastAsia="宋体" w:cs="宋体"/>
                <w:color w:val="auto"/>
                <w:kern w:val="0"/>
                <w:sz w:val="21"/>
                <w:szCs w:val="21"/>
                <w:highlight w:val="none"/>
              </w:rPr>
            </w:pPr>
          </w:p>
        </w:tc>
      </w:tr>
    </w:tbl>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360" w:lineRule="auto"/>
        <w:ind w:left="605" w:leftChars="18" w:hanging="567" w:hangingChars="270"/>
        <w:rPr>
          <w:rFonts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u w:val="single"/>
        </w:rPr>
        <w:t>其中“一、项目概况”除外</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Times New Roman"/>
          <w:b/>
          <w:color w:val="auto"/>
          <w:kern w:val="0"/>
          <w:szCs w:val="21"/>
          <w:highlight w:val="none"/>
          <w:u w:val="single"/>
          <w:lang w:val="en-US" w:eastAsia="zh-CN"/>
        </w:rPr>
        <w:t>服务能力</w:t>
      </w:r>
      <w:r>
        <w:rPr>
          <w:rFonts w:hint="eastAsia" w:ascii="宋体" w:hAnsi="宋体" w:eastAsia="宋体" w:cs="Times New Roman"/>
          <w:b/>
          <w:color w:val="auto"/>
          <w:kern w:val="0"/>
          <w:szCs w:val="21"/>
          <w:highlight w:val="none"/>
          <w:u w:val="single"/>
        </w:rPr>
        <w:t>的技术支持资料作为本表的附件，并在本偏离表“对应证明材料页码”项内注明其在投标文件中的具体页码。</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w:t>
      </w:r>
      <w:r>
        <w:rPr>
          <w:rFonts w:ascii="宋体" w:hAnsi="宋体" w:eastAsia="宋体" w:cs="Times New Roman"/>
          <w:b/>
          <w:bCs w:val="0"/>
          <w:color w:val="auto"/>
          <w:kern w:val="0"/>
          <w:szCs w:val="21"/>
          <w:highlight w:val="none"/>
          <w:u w:val="single"/>
        </w:rPr>
        <w:t>理</w:t>
      </w:r>
      <w:r>
        <w:rPr>
          <w:rFonts w:ascii="宋体" w:hAnsi="宋体" w:eastAsia="宋体" w:cs="Times New Roman"/>
          <w:b/>
          <w:bCs w:val="0"/>
          <w:color w:val="auto"/>
          <w:kern w:val="0"/>
          <w:sz w:val="24"/>
          <w:szCs w:val="21"/>
          <w:highlight w:val="none"/>
          <w:u w:val="single"/>
          <w:lang w:val="zh-CN"/>
        </w:rPr>
        <w:t>。</w:t>
      </w:r>
    </w:p>
    <w:p>
      <w:pPr>
        <w:spacing w:line="360" w:lineRule="auto"/>
        <w:rPr>
          <w:rFonts w:ascii="宋体" w:hAnsi="宋体" w:eastAsia="宋体" w:cs="宋体"/>
          <w:color w:val="auto"/>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730" w:name="_Toc94107224"/>
      <w:bookmarkStart w:id="731" w:name="_Toc102860431"/>
      <w:bookmarkStart w:id="732" w:name="_Toc102860087"/>
      <w:bookmarkStart w:id="733" w:name="_Toc140596942"/>
      <w:bookmarkStart w:id="734" w:name="_Toc104991889"/>
      <w:bookmarkStart w:id="735" w:name="_Toc142508382"/>
      <w:bookmarkStart w:id="736" w:name="_Toc5046"/>
      <w:bookmarkStart w:id="737" w:name="_Toc23150"/>
      <w:bookmarkStart w:id="738" w:name="_Toc3593"/>
      <w:bookmarkStart w:id="739" w:name="_Toc23337"/>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bookmarkEnd w:id="730"/>
      <w:bookmarkEnd w:id="731"/>
      <w:bookmarkEnd w:id="732"/>
      <w:bookmarkEnd w:id="733"/>
      <w:bookmarkEnd w:id="734"/>
      <w:bookmarkEnd w:id="735"/>
      <w:bookmarkEnd w:id="736"/>
      <w:bookmarkEnd w:id="737"/>
      <w:bookmarkEnd w:id="738"/>
      <w:r>
        <w:rPr>
          <w:rFonts w:hint="eastAsia" w:ascii="宋体" w:hAnsi="宋体" w:eastAsia="宋体" w:cs="宋体"/>
          <w:b/>
          <w:color w:val="auto"/>
          <w:kern w:val="0"/>
          <w:sz w:val="30"/>
          <w:szCs w:val="30"/>
        </w:rPr>
        <w:t>检测方案（投标人自行编写）</w:t>
      </w:r>
      <w:bookmarkEnd w:id="739"/>
    </w:p>
    <w:p>
      <w:pPr>
        <w:widowControl/>
        <w:jc w:val="left"/>
        <w:rPr>
          <w:rFonts w:ascii="宋体" w:hAnsi="宋体" w:eastAsia="宋体" w:cs="Times New Roman"/>
          <w:color w:val="auto"/>
          <w:kern w:val="0"/>
          <w:szCs w:val="21"/>
          <w:highlight w:val="none"/>
        </w:rPr>
      </w:pPr>
      <w:bookmarkStart w:id="740" w:name="_Toc94107225"/>
      <w:r>
        <w:rPr>
          <w:rFonts w:ascii="宋体" w:hAnsi="宋体" w:eastAsia="宋体" w:cs="Times New Roman"/>
          <w:color w:val="auto"/>
          <w:kern w:val="0"/>
          <w:szCs w:val="21"/>
          <w:highlight w:val="none"/>
        </w:rPr>
        <w:br w:type="page"/>
      </w:r>
    </w:p>
    <w:bookmarkEnd w:id="740"/>
    <w:p>
      <w:pPr>
        <w:rPr>
          <w:rFonts w:ascii="宋体" w:hAnsi="宋体" w:eastAsia="宋体" w:cs="宋体"/>
          <w:b/>
          <w:color w:val="auto"/>
          <w:kern w:val="0"/>
          <w:sz w:val="30"/>
          <w:szCs w:val="30"/>
        </w:rPr>
      </w:pPr>
      <w:bookmarkStart w:id="741" w:name="_Toc102860094"/>
      <w:bookmarkStart w:id="742" w:name="_Toc140596949"/>
      <w:bookmarkStart w:id="743" w:name="_Toc142508389"/>
      <w:bookmarkStart w:id="744" w:name="_Toc102860438"/>
      <w:bookmarkStart w:id="745" w:name="_Toc104991896"/>
      <w:bookmarkStart w:id="746" w:name="_Toc533708139"/>
      <w:r>
        <w:rPr>
          <w:rFonts w:hint="eastAsia" w:ascii="宋体" w:hAnsi="宋体" w:eastAsia="宋体" w:cs="宋体"/>
          <w:b/>
          <w:color w:val="auto"/>
          <w:kern w:val="0"/>
          <w:sz w:val="30"/>
          <w:szCs w:val="30"/>
          <w:highlight w:val="none"/>
          <w:lang w:val="en-US" w:eastAsia="zh-CN"/>
        </w:rPr>
        <w:t xml:space="preserve">14.3 </w:t>
      </w:r>
      <w:r>
        <w:rPr>
          <w:rFonts w:hint="eastAsia" w:ascii="宋体" w:hAnsi="宋体" w:eastAsia="宋体" w:cs="宋体"/>
          <w:b/>
          <w:color w:val="auto"/>
          <w:kern w:val="0"/>
          <w:sz w:val="30"/>
          <w:szCs w:val="30"/>
        </w:rPr>
        <w:t>检测成果准确性承诺书格式</w:t>
      </w:r>
    </w:p>
    <w:p>
      <w:pPr>
        <w:rPr>
          <w:rFonts w:ascii="宋体" w:hAnsi="宋体" w:eastAsia="宋体" w:cs="宋体"/>
          <w:b/>
          <w:color w:val="auto"/>
          <w:kern w:val="0"/>
          <w:sz w:val="30"/>
          <w:szCs w:val="30"/>
        </w:rPr>
      </w:pPr>
    </w:p>
    <w:p>
      <w:pPr>
        <w:widowControl/>
        <w:spacing w:line="360" w:lineRule="auto"/>
        <w:jc w:val="center"/>
        <w:outlineLvl w:val="3"/>
        <w:rPr>
          <w:rFonts w:ascii="宋体" w:hAnsi="宋体" w:eastAsia="宋体" w:cs="宋体"/>
          <w:b/>
          <w:bCs/>
          <w:color w:val="auto"/>
          <w:sz w:val="30"/>
          <w:szCs w:val="30"/>
          <w:lang w:val="zh-CN"/>
        </w:rPr>
      </w:pPr>
      <w:r>
        <w:rPr>
          <w:rFonts w:hint="eastAsia" w:ascii="宋体" w:hAnsi="宋体" w:eastAsia="宋体" w:cs="宋体"/>
          <w:b/>
          <w:bCs/>
          <w:color w:val="auto"/>
          <w:sz w:val="30"/>
          <w:szCs w:val="30"/>
          <w:lang w:val="zh-CN"/>
        </w:rPr>
        <w:t>检测成果准确性承诺书</w:t>
      </w:r>
    </w:p>
    <w:tbl>
      <w:tblPr>
        <w:tblStyle w:val="3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5"/>
        <w:gridCol w:w="3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233" w:type="pct"/>
            <w:vAlign w:val="center"/>
          </w:tcPr>
          <w:p>
            <w:pPr>
              <w:jc w:val="center"/>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承诺事项</w:t>
            </w:r>
          </w:p>
        </w:tc>
        <w:tc>
          <w:tcPr>
            <w:tcW w:w="1766" w:type="pct"/>
            <w:vAlign w:val="center"/>
          </w:tcPr>
          <w:p>
            <w:pPr>
              <w:jc w:val="center"/>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错误点数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233" w:type="pct"/>
            <w:vAlign w:val="center"/>
          </w:tcPr>
          <w:p>
            <w:pPr>
              <w:jc w:val="center"/>
              <w:rPr>
                <w:rFonts w:ascii="宋体" w:hAnsi="宋体" w:eastAsia="宋体" w:cs="宋体"/>
                <w:color w:val="auto"/>
                <w:szCs w:val="21"/>
                <w:shd w:val="clear" w:color="auto" w:fill="FFFFFF"/>
              </w:rPr>
            </w:pPr>
            <w:r>
              <w:rPr>
                <w:rFonts w:hint="eastAsia" w:ascii="宋体" w:hAnsi="宋体" w:eastAsia="宋体" w:cs="宋体"/>
                <w:color w:val="auto"/>
                <w:szCs w:val="21"/>
              </w:rPr>
              <w:t>所有检测成果按实检测</w:t>
            </w:r>
          </w:p>
        </w:tc>
        <w:tc>
          <w:tcPr>
            <w:tcW w:w="1766" w:type="pct"/>
            <w:vAlign w:val="center"/>
          </w:tcPr>
          <w:p>
            <w:pPr>
              <w:jc w:val="center"/>
              <w:rPr>
                <w:rFonts w:ascii="宋体" w:hAnsi="宋体" w:eastAsia="宋体" w:cs="宋体"/>
                <w:color w:val="auto"/>
                <w:szCs w:val="21"/>
                <w:shd w:val="clear" w:color="auto" w:fill="FFFFFF"/>
              </w:rPr>
            </w:pPr>
            <w:r>
              <w:rPr>
                <w:rFonts w:hint="eastAsia" w:ascii="宋体" w:hAnsi="宋体" w:eastAsia="宋体" w:cs="宋体"/>
                <w:color w:val="auto"/>
                <w:szCs w:val="21"/>
                <w:u w:val="single"/>
                <w:shd w:val="clear" w:color="auto" w:fill="FFFFFF"/>
              </w:rPr>
              <w:t xml:space="preserve">   </w:t>
            </w:r>
            <w:r>
              <w:rPr>
                <w:rFonts w:hint="eastAsia" w:ascii="宋体" w:hAnsi="宋体" w:eastAsia="宋体" w:cs="宋体"/>
                <w:color w:val="auto"/>
                <w:szCs w:val="21"/>
                <w:shd w:val="clear" w:color="auto" w:fill="FFFFFF"/>
              </w:rPr>
              <w:t>个</w:t>
            </w:r>
            <w:r>
              <w:rPr>
                <w:rFonts w:hint="eastAsia" w:ascii="宋体" w:hAnsi="宋体" w:eastAsia="宋体" w:cs="宋体"/>
                <w:color w:val="auto"/>
                <w:szCs w:val="21"/>
              </w:rPr>
              <w:t>（含）</w:t>
            </w:r>
            <w:r>
              <w:rPr>
                <w:rFonts w:hint="eastAsia" w:ascii="宋体" w:hAnsi="宋体" w:eastAsia="宋体" w:cs="宋体"/>
                <w:color w:val="auto"/>
                <w:szCs w:val="21"/>
                <w:shd w:val="clear" w:color="auto" w:fill="FFFFFF"/>
              </w:rPr>
              <w:t>以内</w:t>
            </w:r>
          </w:p>
        </w:tc>
      </w:tr>
    </w:tbl>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备注：对于本承诺，如中标人后期未能做到，视为同意将其行为予以公示，且招标人有权将中标人纳入东莞市水务集团有限公司（含其全资子公司、控股公司、由其管理的参股公司）招标、采购、征集供应商或合作方采购“黑名单”中。</w:t>
      </w: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ind w:firstLine="5040"/>
        <w:rPr>
          <w:rFonts w:ascii="宋体" w:hAnsi="宋体" w:eastAsia="宋体" w:cs="宋体"/>
          <w:color w:val="auto"/>
          <w:lang w:val="zh-CN"/>
        </w:rPr>
      </w:pPr>
      <w:r>
        <w:rPr>
          <w:rFonts w:hint="eastAsia" w:ascii="宋体" w:hAnsi="宋体" w:eastAsia="宋体" w:cs="宋体"/>
          <w:color w:val="auto"/>
          <w:lang w:val="zh-CN"/>
        </w:rPr>
        <w:t>投标人：（加盖投标人法人公章）</w:t>
      </w:r>
    </w:p>
    <w:p>
      <w:pPr>
        <w:spacing w:line="360" w:lineRule="auto"/>
        <w:ind w:firstLine="5040"/>
        <w:rPr>
          <w:rFonts w:ascii="宋体" w:hAnsi="宋体" w:eastAsia="宋体" w:cs="宋体"/>
          <w:color w:val="auto"/>
        </w:rPr>
      </w:pPr>
      <w:r>
        <w:rPr>
          <w:rFonts w:hint="eastAsia" w:ascii="宋体" w:hAnsi="宋体" w:eastAsia="宋体" w:cs="宋体"/>
          <w:color w:val="auto"/>
          <w:lang w:val="zh-CN"/>
        </w:rPr>
        <w:t>日期：   年   月   日</w:t>
      </w:r>
    </w:p>
    <w:p>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rPr>
          <w:rFonts w:ascii="宋体" w:hAnsi="宋体" w:eastAsia="宋体" w:cs="宋体"/>
          <w:b/>
          <w:color w:val="auto"/>
          <w:kern w:val="0"/>
          <w:sz w:val="30"/>
          <w:szCs w:val="30"/>
        </w:rPr>
      </w:pPr>
      <w:r>
        <w:rPr>
          <w:rFonts w:hint="eastAsia" w:ascii="宋体" w:hAnsi="宋体" w:eastAsia="宋体" w:cs="宋体"/>
          <w:b/>
          <w:color w:val="auto"/>
          <w:kern w:val="0"/>
          <w:sz w:val="30"/>
          <w:szCs w:val="30"/>
          <w:highlight w:val="none"/>
          <w:lang w:val="en-US" w:eastAsia="zh-CN"/>
        </w:rPr>
        <w:t xml:space="preserve">14.4 </w:t>
      </w:r>
      <w:r>
        <w:rPr>
          <w:rFonts w:hint="eastAsia" w:ascii="宋体" w:hAnsi="宋体" w:eastAsia="宋体" w:cs="宋体"/>
          <w:b/>
          <w:color w:val="auto"/>
          <w:kern w:val="0"/>
          <w:sz w:val="30"/>
          <w:szCs w:val="30"/>
        </w:rPr>
        <w:t>服务响应时间承诺书格式</w:t>
      </w:r>
    </w:p>
    <w:p>
      <w:pPr>
        <w:spacing w:line="360" w:lineRule="auto"/>
        <w:rPr>
          <w:color w:val="auto"/>
        </w:rPr>
      </w:pPr>
    </w:p>
    <w:p>
      <w:pPr>
        <w:widowControl/>
        <w:spacing w:line="360" w:lineRule="auto"/>
        <w:jc w:val="center"/>
        <w:rPr>
          <w:rFonts w:ascii="宋体" w:hAnsi="宋体" w:eastAsia="宋体" w:cs="宋体"/>
          <w:b/>
          <w:bCs/>
          <w:color w:val="auto"/>
          <w:sz w:val="30"/>
          <w:szCs w:val="30"/>
          <w:lang w:val="zh-CN"/>
        </w:rPr>
      </w:pPr>
      <w:r>
        <w:rPr>
          <w:rFonts w:hint="eastAsia" w:ascii="宋体" w:hAnsi="宋体" w:eastAsia="宋体" w:cs="宋体"/>
          <w:b/>
          <w:color w:val="auto"/>
          <w:sz w:val="32"/>
          <w:szCs w:val="32"/>
        </w:rPr>
        <w:t>服务响应时间承诺书</w:t>
      </w:r>
    </w:p>
    <w:tbl>
      <w:tblPr>
        <w:tblStyle w:val="3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3"/>
        <w:gridCol w:w="3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309" w:type="pct"/>
            <w:vAlign w:val="center"/>
          </w:tcPr>
          <w:p>
            <w:pPr>
              <w:jc w:val="center"/>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承诺事项</w:t>
            </w:r>
          </w:p>
        </w:tc>
        <w:tc>
          <w:tcPr>
            <w:tcW w:w="1690" w:type="pct"/>
            <w:vAlign w:val="center"/>
          </w:tcPr>
          <w:p>
            <w:pPr>
              <w:jc w:val="center"/>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承诺时间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309" w:type="pct"/>
            <w:vAlign w:val="center"/>
          </w:tcPr>
          <w:p>
            <w:pPr>
              <w:jc w:val="center"/>
              <w:rPr>
                <w:rFonts w:ascii="宋体" w:hAnsi="宋体" w:eastAsia="宋体" w:cs="宋体"/>
                <w:color w:val="auto"/>
                <w:szCs w:val="21"/>
                <w:shd w:val="clear" w:color="auto" w:fill="FFFFFF"/>
              </w:rPr>
            </w:pPr>
            <w:r>
              <w:rPr>
                <w:rFonts w:hint="eastAsia" w:ascii="宋体" w:hAnsi="宋体" w:eastAsia="宋体" w:cs="宋体"/>
                <w:color w:val="auto"/>
                <w:szCs w:val="21"/>
              </w:rPr>
              <w:t>接到招标人电话通知后机械设备、人员进场服务</w:t>
            </w:r>
          </w:p>
        </w:tc>
        <w:tc>
          <w:tcPr>
            <w:tcW w:w="1690" w:type="pct"/>
            <w:vAlign w:val="center"/>
          </w:tcPr>
          <w:p>
            <w:pPr>
              <w:jc w:val="center"/>
              <w:rPr>
                <w:rFonts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小时（含）内</w:t>
            </w:r>
          </w:p>
        </w:tc>
      </w:tr>
    </w:tbl>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备注：对于本承诺，如中标人后期未能做到，视为同意将其行为予以公示，且招标人有权将中标人纳入东莞市水务集团有限公司（含其全资子公司、控股公司、由其管理的参股公司）招标、采购、征集供应商或合作方采购“黑名单”中。</w:t>
      </w:r>
    </w:p>
    <w:p>
      <w:pPr>
        <w:spacing w:line="360" w:lineRule="auto"/>
        <w:rPr>
          <w:rFonts w:ascii="宋体" w:hAnsi="宋体" w:eastAsia="宋体" w:cs="宋体"/>
          <w:color w:val="auto"/>
        </w:rPr>
      </w:pPr>
    </w:p>
    <w:p>
      <w:pPr>
        <w:spacing w:line="360" w:lineRule="auto"/>
        <w:rPr>
          <w:rFonts w:ascii="宋体" w:hAnsi="宋体" w:eastAsia="宋体" w:cs="宋体"/>
          <w:color w:val="auto"/>
        </w:rPr>
      </w:pPr>
    </w:p>
    <w:p>
      <w:pPr>
        <w:spacing w:line="360" w:lineRule="auto"/>
        <w:ind w:firstLine="5040"/>
        <w:rPr>
          <w:rFonts w:ascii="宋体" w:hAnsi="宋体" w:eastAsia="宋体" w:cs="宋体"/>
          <w:color w:val="auto"/>
          <w:lang w:val="zh-CN"/>
        </w:rPr>
      </w:pPr>
      <w:r>
        <w:rPr>
          <w:rFonts w:hint="eastAsia" w:ascii="宋体" w:hAnsi="宋体" w:eastAsia="宋体" w:cs="宋体"/>
          <w:color w:val="auto"/>
          <w:lang w:val="zh-CN"/>
        </w:rPr>
        <w:t>投标人：（加盖投标人法人公章）</w:t>
      </w:r>
    </w:p>
    <w:p>
      <w:pPr>
        <w:spacing w:line="360" w:lineRule="auto"/>
        <w:ind w:firstLine="5040"/>
        <w:rPr>
          <w:rFonts w:ascii="宋体" w:hAnsi="宋体" w:eastAsia="宋体" w:cs="宋体"/>
          <w:color w:val="auto"/>
        </w:rPr>
      </w:pPr>
      <w:r>
        <w:rPr>
          <w:rFonts w:hint="eastAsia" w:ascii="宋体" w:hAnsi="宋体" w:eastAsia="宋体" w:cs="宋体"/>
          <w:color w:val="auto"/>
          <w:lang w:val="zh-CN"/>
        </w:rPr>
        <w:t>日期：   年   月   日</w:t>
      </w:r>
    </w:p>
    <w:p>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47" w:name="_Toc30545"/>
      <w:bookmarkStart w:id="748" w:name="_Toc18180"/>
      <w:bookmarkStart w:id="749" w:name="_Toc18870"/>
      <w:bookmarkStart w:id="750" w:name="_Toc3750"/>
      <w:r>
        <w:rPr>
          <w:rFonts w:hint="eastAsia" w:ascii="宋体" w:hAnsi="宋体" w:eastAsia="宋体" w:cs="宋体"/>
          <w:b/>
          <w:color w:val="auto"/>
          <w:kern w:val="0"/>
          <w:sz w:val="30"/>
          <w:szCs w:val="30"/>
          <w:highlight w:val="none"/>
          <w:lang w:val="en-US" w:eastAsia="zh-CN"/>
        </w:rPr>
        <w:t xml:space="preserve">14.5 </w:t>
      </w:r>
      <w:r>
        <w:rPr>
          <w:rFonts w:hint="eastAsia" w:ascii="宋体" w:hAnsi="宋体" w:eastAsia="宋体" w:cs="宋体"/>
          <w:b/>
          <w:color w:val="auto"/>
          <w:kern w:val="0"/>
          <w:sz w:val="30"/>
          <w:szCs w:val="30"/>
          <w:highlight w:val="none"/>
        </w:rPr>
        <w:t>投标人认为有必要提供的其它材料（不做强制要求）</w:t>
      </w:r>
      <w:bookmarkEnd w:id="741"/>
      <w:bookmarkEnd w:id="742"/>
      <w:bookmarkEnd w:id="743"/>
      <w:bookmarkEnd w:id="744"/>
      <w:bookmarkEnd w:id="745"/>
      <w:bookmarkEnd w:id="747"/>
      <w:bookmarkEnd w:id="748"/>
      <w:bookmarkEnd w:id="749"/>
      <w:bookmarkEnd w:id="750"/>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pPr>
        <w:autoSpaceDE w:val="0"/>
        <w:autoSpaceDN w:val="0"/>
        <w:adjustRightInd w:val="0"/>
        <w:jc w:val="left"/>
        <w:rPr>
          <w:rFonts w:ascii="宋体" w:hAnsi="宋体" w:eastAsia="宋体" w:cs="Times New Roman"/>
          <w:color w:val="auto"/>
          <w:kern w:val="0"/>
          <w:sz w:val="24"/>
          <w:szCs w:val="24"/>
          <w:highlight w:val="none"/>
        </w:rPr>
      </w:pPr>
    </w:p>
    <w:p>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751" w:name="_Toc21059"/>
      <w:bookmarkStart w:id="752" w:name="_Toc14977"/>
      <w:bookmarkStart w:id="753" w:name="_Toc30548"/>
      <w:bookmarkStart w:id="754" w:name="_Toc32664"/>
      <w:bookmarkStart w:id="755" w:name="_Toc142508390"/>
      <w:bookmarkStart w:id="756" w:name="_Toc522047402"/>
      <w:bookmarkStart w:id="757" w:name="_Toc22601_WPSOffice_Level1"/>
      <w:bookmarkStart w:id="758" w:name="_Toc521918141"/>
      <w:r>
        <w:rPr>
          <w:rFonts w:hint="eastAsia" w:ascii="宋体" w:hAnsi="宋体" w:eastAsia="宋体" w:cs="宋体"/>
          <w:b/>
          <w:bCs/>
          <w:color w:val="auto"/>
          <w:kern w:val="44"/>
          <w:sz w:val="32"/>
          <w:szCs w:val="32"/>
          <w:highlight w:val="none"/>
          <w:lang w:val="zh-CN"/>
        </w:rPr>
        <w:t>附件一：评标工作大纲</w:t>
      </w:r>
      <w:bookmarkEnd w:id="751"/>
      <w:bookmarkEnd w:id="752"/>
      <w:bookmarkEnd w:id="753"/>
      <w:bookmarkEnd w:id="754"/>
      <w:bookmarkEnd w:id="755"/>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东莞市茶山镇污水处理厂改扩建项目第三方检测服务（不含桩基完整性检测）采购项目</w:t>
      </w:r>
    </w:p>
    <w:p>
      <w:pPr>
        <w:autoSpaceDE w:val="0"/>
        <w:autoSpaceDN w:val="0"/>
        <w:adjustRightInd w:val="0"/>
        <w:spacing w:line="360" w:lineRule="auto"/>
        <w:jc w:val="center"/>
        <w:rPr>
          <w:rFonts w:ascii="宋体" w:hAnsi="宋体" w:eastAsia="宋体" w:cs="宋体"/>
          <w:b/>
          <w:bCs/>
          <w:color w:val="auto"/>
          <w:sz w:val="36"/>
          <w:szCs w:val="36"/>
          <w:highlight w:val="none"/>
        </w:rPr>
      </w:pPr>
      <w:bookmarkStart w:id="759" w:name="_Toc14752_WPSOffice_Level1"/>
      <w:r>
        <w:rPr>
          <w:rFonts w:hint="eastAsia" w:ascii="宋体" w:hAnsi="宋体" w:eastAsia="宋体" w:cs="宋体"/>
          <w:b/>
          <w:bCs/>
          <w:color w:val="auto"/>
          <w:sz w:val="36"/>
          <w:szCs w:val="36"/>
          <w:highlight w:val="none"/>
          <w:lang w:val="zh-CN"/>
        </w:rPr>
        <w:t>（招标编号：0832-SFCX24DG032C）</w:t>
      </w:r>
      <w:bookmarkEnd w:id="759"/>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760" w:name="_Toc18947_WPSOffice_Level2"/>
      <w:r>
        <w:rPr>
          <w:rFonts w:hint="eastAsia" w:ascii="宋体" w:hAnsi="宋体" w:eastAsia="宋体" w:cs="宋体"/>
          <w:b/>
          <w:bCs/>
          <w:color w:val="auto"/>
          <w:sz w:val="72"/>
          <w:szCs w:val="72"/>
          <w:highlight w:val="none"/>
          <w:lang w:val="zh-CN"/>
        </w:rPr>
        <w:t>评标工作大纲</w:t>
      </w:r>
      <w:bookmarkEnd w:id="760"/>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三方诚信招标有限公司</w:t>
      </w: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61" w:name="_Toc32395_WPSOffice_Level1"/>
      <w:r>
        <w:rPr>
          <w:rFonts w:hint="eastAsia" w:ascii="宋体" w:hAnsi="宋体" w:eastAsia="宋体" w:cs="宋体"/>
          <w:b/>
          <w:bCs/>
          <w:color w:val="auto"/>
          <w:sz w:val="36"/>
          <w:szCs w:val="36"/>
          <w:highlight w:val="none"/>
          <w:lang w:val="zh-CN"/>
        </w:rPr>
        <w:t>目录</w:t>
      </w:r>
      <w:bookmarkEnd w:id="761"/>
    </w:p>
    <w:p>
      <w:pPr>
        <w:autoSpaceDE w:val="0"/>
        <w:autoSpaceDN w:val="0"/>
        <w:adjustRightInd w:val="0"/>
        <w:spacing w:line="400" w:lineRule="atLeast"/>
        <w:jc w:val="center"/>
        <w:rPr>
          <w:rFonts w:ascii="宋体" w:hAnsi="宋体" w:eastAsia="宋体" w:cs="宋体"/>
          <w:color w:val="auto"/>
          <w:sz w:val="44"/>
          <w:szCs w:val="44"/>
          <w:highlight w:val="none"/>
        </w:rPr>
      </w:pPr>
    </w:p>
    <w:p>
      <w:pPr>
        <w:autoSpaceDE w:val="0"/>
        <w:autoSpaceDN w:val="0"/>
        <w:adjustRightInd w:val="0"/>
        <w:spacing w:line="360" w:lineRule="auto"/>
        <w:ind w:left="567" w:hanging="567"/>
        <w:rPr>
          <w:rFonts w:ascii="宋体" w:hAnsi="宋体" w:eastAsia="宋体" w:cs="宋体"/>
          <w:color w:val="auto"/>
          <w:szCs w:val="30"/>
          <w:highlight w:val="none"/>
        </w:rPr>
      </w:pPr>
      <w:bookmarkStart w:id="762"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62"/>
    </w:p>
    <w:p>
      <w:pPr>
        <w:autoSpaceDE w:val="0"/>
        <w:autoSpaceDN w:val="0"/>
        <w:adjustRightInd w:val="0"/>
        <w:spacing w:line="360" w:lineRule="auto"/>
        <w:ind w:left="567" w:hanging="567"/>
        <w:rPr>
          <w:rFonts w:ascii="宋体" w:hAnsi="宋体" w:eastAsia="宋体" w:cs="宋体"/>
          <w:color w:val="auto"/>
          <w:szCs w:val="30"/>
          <w:highlight w:val="none"/>
        </w:rPr>
      </w:pPr>
      <w:bookmarkStart w:id="763"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63"/>
    </w:p>
    <w:p>
      <w:pPr>
        <w:autoSpaceDE w:val="0"/>
        <w:autoSpaceDN w:val="0"/>
        <w:adjustRightInd w:val="0"/>
        <w:spacing w:line="360" w:lineRule="auto"/>
        <w:ind w:left="567" w:hanging="567"/>
        <w:rPr>
          <w:rFonts w:ascii="宋体" w:hAnsi="宋体" w:eastAsia="宋体" w:cs="宋体"/>
          <w:color w:val="auto"/>
          <w:szCs w:val="30"/>
          <w:highlight w:val="none"/>
        </w:rPr>
      </w:pPr>
      <w:bookmarkStart w:id="764"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64"/>
    </w:p>
    <w:p>
      <w:pPr>
        <w:autoSpaceDE w:val="0"/>
        <w:autoSpaceDN w:val="0"/>
        <w:adjustRightInd w:val="0"/>
        <w:spacing w:line="360" w:lineRule="auto"/>
        <w:ind w:left="567" w:hanging="567"/>
        <w:rPr>
          <w:rFonts w:ascii="宋体" w:hAnsi="宋体" w:eastAsia="宋体" w:cs="宋体"/>
          <w:color w:val="auto"/>
          <w:szCs w:val="30"/>
          <w:highlight w:val="none"/>
        </w:rPr>
      </w:pPr>
      <w:bookmarkStart w:id="765" w:name="_Toc1206_WPSOffice_Level1"/>
      <w:r>
        <w:rPr>
          <w:rFonts w:hint="eastAsia" w:ascii="宋体" w:hAnsi="宋体" w:eastAsia="宋体" w:cs="宋体"/>
          <w:color w:val="auto"/>
          <w:szCs w:val="30"/>
          <w:highlight w:val="none"/>
        </w:rPr>
        <w:t>四、 比较和评价</w:t>
      </w:r>
      <w:bookmarkEnd w:id="765"/>
    </w:p>
    <w:p>
      <w:pPr>
        <w:autoSpaceDE w:val="0"/>
        <w:autoSpaceDN w:val="0"/>
        <w:adjustRightInd w:val="0"/>
        <w:spacing w:line="360" w:lineRule="auto"/>
        <w:ind w:left="567" w:hanging="567"/>
        <w:rPr>
          <w:rFonts w:ascii="宋体" w:hAnsi="宋体" w:eastAsia="宋体" w:cs="宋体"/>
          <w:color w:val="auto"/>
          <w:szCs w:val="30"/>
          <w:highlight w:val="none"/>
        </w:rPr>
      </w:pPr>
      <w:bookmarkStart w:id="766"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66"/>
    </w:p>
    <w:p>
      <w:pPr>
        <w:autoSpaceDE w:val="0"/>
        <w:autoSpaceDN w:val="0"/>
        <w:adjustRightInd w:val="0"/>
        <w:spacing w:line="360" w:lineRule="auto"/>
        <w:ind w:left="567" w:hanging="567"/>
        <w:rPr>
          <w:rFonts w:ascii="宋体" w:hAnsi="宋体" w:eastAsia="宋体" w:cs="宋体"/>
          <w:color w:val="auto"/>
          <w:szCs w:val="30"/>
          <w:highlight w:val="none"/>
        </w:rPr>
      </w:pPr>
      <w:bookmarkStart w:id="767"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67"/>
    </w:p>
    <w:p>
      <w:pPr>
        <w:autoSpaceDE w:val="0"/>
        <w:autoSpaceDN w:val="0"/>
        <w:adjustRightInd w:val="0"/>
        <w:spacing w:line="360" w:lineRule="auto"/>
        <w:ind w:left="567" w:hanging="567"/>
        <w:rPr>
          <w:rFonts w:ascii="宋体" w:hAnsi="宋体" w:eastAsia="宋体" w:cs="宋体"/>
          <w:color w:val="auto"/>
          <w:szCs w:val="30"/>
          <w:highlight w:val="none"/>
        </w:rPr>
      </w:pPr>
      <w:bookmarkStart w:id="768"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68"/>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69"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69"/>
    </w:p>
    <w:p>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东莞市茶山镇污水处理厂改扩建项目第三方检测服务（不含桩基完整性检测）采购项目</w:t>
      </w:r>
      <w:r>
        <w:rPr>
          <w:rFonts w:hint="eastAsia" w:ascii="宋体" w:hAnsi="宋体" w:eastAsia="宋体" w:cs="宋体"/>
          <w:color w:val="auto"/>
          <w:szCs w:val="21"/>
          <w:highlight w:val="none"/>
          <w:lang w:val="zh-CN"/>
        </w:rPr>
        <w:t>(招标编号：0832-SFCX24DG032C</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pPr>
        <w:numPr>
          <w:ilvl w:val="1"/>
          <w:numId w:val="6"/>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pPr>
        <w:autoSpaceDE w:val="0"/>
        <w:autoSpaceDN w:val="0"/>
        <w:adjustRightInd w:val="0"/>
        <w:spacing w:line="360" w:lineRule="auto"/>
        <w:rPr>
          <w:rFonts w:ascii="宋体" w:hAnsi="宋体" w:eastAsia="宋体" w:cs="宋体"/>
          <w:color w:val="auto"/>
          <w:sz w:val="24"/>
          <w:szCs w:val="24"/>
          <w:highlight w:val="none"/>
          <w:lang w:val="zh-CN"/>
        </w:rPr>
      </w:pPr>
    </w:p>
    <w:p>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pPr>
        <w:autoSpaceDE w:val="0"/>
        <w:autoSpaceDN w:val="0"/>
        <w:adjustRightInd w:val="0"/>
        <w:spacing w:line="360" w:lineRule="auto"/>
        <w:rPr>
          <w:rFonts w:ascii="宋体" w:hAnsi="宋体" w:eastAsia="宋体" w:cs="宋体"/>
          <w:color w:val="auto"/>
          <w:sz w:val="24"/>
          <w:szCs w:val="24"/>
          <w:highlight w:val="none"/>
          <w:lang w:val="zh-CN"/>
        </w:rPr>
      </w:pPr>
    </w:p>
    <w:p>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en-US" w:eastAsia="zh-CN"/>
        </w:rPr>
        <w:t>A.</w:t>
      </w:r>
      <w:r>
        <w:rPr>
          <w:rFonts w:hint="eastAsia" w:ascii="宋体" w:hAnsi="宋体" w:eastAsia="宋体" w:cs="Times New Roman"/>
          <w:b/>
          <w:color w:val="auto"/>
          <w:szCs w:val="24"/>
          <w:highlight w:val="none"/>
          <w:lang w:val="zh-CN"/>
        </w:rPr>
        <w:t>公开招标：</w:t>
      </w:r>
    </w:p>
    <w:p>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pPr>
        <w:autoSpaceDE w:val="0"/>
        <w:autoSpaceDN w:val="0"/>
        <w:adjustRightInd w:val="0"/>
        <w:spacing w:line="360" w:lineRule="auto"/>
        <w:ind w:left="567" w:hanging="567"/>
        <w:rPr>
          <w:rFonts w:ascii="宋体" w:hAnsi="宋体" w:eastAsia="宋体" w:cs="Times New Roman"/>
          <w:b/>
          <w:color w:val="auto"/>
          <w:szCs w:val="24"/>
          <w:lang w:val="zh-CN"/>
        </w:rPr>
      </w:pPr>
    </w:p>
    <w:p>
      <w:pPr>
        <w:autoSpaceDE w:val="0"/>
        <w:autoSpaceDN w:val="0"/>
        <w:adjustRightInd w:val="0"/>
        <w:spacing w:line="360" w:lineRule="auto"/>
        <w:ind w:left="567" w:hanging="567"/>
        <w:rPr>
          <w:rFonts w:ascii="宋体" w:hAnsi="宋体" w:eastAsia="宋体" w:cs="Times New Roman"/>
          <w:b/>
          <w:color w:val="auto"/>
          <w:szCs w:val="24"/>
          <w:lang w:val="zh-CN"/>
        </w:rPr>
      </w:pPr>
      <w:r>
        <w:rPr>
          <w:rFonts w:ascii="宋体" w:hAnsi="宋体" w:eastAsia="宋体" w:cs="Times New Roman"/>
          <w:b/>
          <w:color w:val="auto"/>
          <w:szCs w:val="24"/>
          <w:lang w:val="zh-CN"/>
        </w:rPr>
        <w:t>B</w:t>
      </w:r>
      <w:r>
        <w:rPr>
          <w:rFonts w:hint="eastAsia" w:ascii="宋体" w:hAnsi="宋体" w:eastAsia="宋体" w:cs="Times New Roman"/>
          <w:b/>
          <w:color w:val="auto"/>
          <w:szCs w:val="24"/>
          <w:lang w:val="zh-CN"/>
        </w:rPr>
        <w:t>．竞争性谈判：</w:t>
      </w:r>
    </w:p>
    <w:p>
      <w:pPr>
        <w:autoSpaceDE w:val="0"/>
        <w:autoSpaceDN w:val="0"/>
        <w:adjustRightInd w:val="0"/>
        <w:spacing w:line="360" w:lineRule="auto"/>
        <w:ind w:left="518" w:hanging="518"/>
        <w:rPr>
          <w:rFonts w:ascii="宋体" w:hAnsi="宋体" w:eastAsia="宋体" w:cs="Times New Roman"/>
          <w:color w:val="auto"/>
          <w:szCs w:val="21"/>
        </w:rPr>
      </w:pPr>
      <w:r>
        <w:rPr>
          <w:rFonts w:hint="eastAsia" w:ascii="宋体" w:hAnsi="宋体" w:eastAsia="宋体" w:cs="Times New Roman"/>
          <w:bCs/>
          <w:color w:val="auto"/>
          <w:szCs w:val="24"/>
          <w:lang w:val="zh-CN"/>
        </w:rPr>
        <w:t>5.8</w:t>
      </w:r>
      <w:r>
        <w:rPr>
          <w:rFonts w:ascii="宋体" w:hAnsi="宋体" w:eastAsia="宋体" w:cs="Times New Roman"/>
          <w:bCs/>
          <w:color w:val="auto"/>
          <w:szCs w:val="24"/>
        </w:rPr>
        <w:t xml:space="preserve">  </w:t>
      </w:r>
      <w:r>
        <w:rPr>
          <w:rFonts w:hint="eastAsia" w:ascii="宋体" w:hAnsi="宋体" w:eastAsia="宋体" w:cs="Times New Roman"/>
          <w:color w:val="auto"/>
          <w:szCs w:val="21"/>
        </w:rPr>
        <w:t>当有效</w:t>
      </w:r>
      <w:r>
        <w:rPr>
          <w:rFonts w:hint="eastAsia" w:ascii="宋体" w:hAnsi="宋体" w:eastAsia="宋体" w:cs="Times New Roman"/>
          <w:color w:val="auto"/>
          <w:szCs w:val="21"/>
          <w:lang w:val="zh-CN"/>
        </w:rPr>
        <w:t>投标人只有2个时，终止公开招标采购，经评标委员会论证，采购文件没有不合理条款、采购程序符合规定，现场经招标人代表和作出实质性响应的投标人代表同意后，现场更改为竞争性谈判的方式继续采购。</w:t>
      </w:r>
      <w:r>
        <w:rPr>
          <w:rFonts w:hint="eastAsia" w:ascii="宋体" w:hAnsi="宋体" w:eastAsia="宋体" w:cs="Times New Roman"/>
          <w:bCs/>
          <w:color w:val="auto"/>
          <w:szCs w:val="24"/>
          <w:lang w:val="zh-CN"/>
        </w:rPr>
        <w:t>评审首先由评标委员会对投标人的投标文件做</w:t>
      </w:r>
      <w:r>
        <w:rPr>
          <w:rFonts w:hint="eastAsia" w:ascii="宋体" w:hAnsi="宋体" w:eastAsia="宋体" w:cs="Times New Roman"/>
          <w:color w:val="auto"/>
          <w:szCs w:val="21"/>
          <w:lang w:val="zh-CN"/>
        </w:rPr>
        <w:t>初审</w:t>
      </w:r>
      <w:r>
        <w:rPr>
          <w:rFonts w:hint="eastAsia" w:ascii="宋体" w:hAnsi="宋体" w:eastAsia="宋体" w:cs="Times New Roman"/>
          <w:bCs/>
          <w:color w:val="auto"/>
          <w:szCs w:val="24"/>
          <w:lang w:val="zh-CN"/>
        </w:rPr>
        <w:t>，对未能通过初审的投标文件不再进入下一阶段评审。</w:t>
      </w:r>
    </w:p>
    <w:p>
      <w:pPr>
        <w:autoSpaceDE w:val="0"/>
        <w:autoSpaceDN w:val="0"/>
        <w:adjustRightInd w:val="0"/>
        <w:spacing w:line="360" w:lineRule="auto"/>
        <w:ind w:left="518" w:hanging="518"/>
        <w:rPr>
          <w:rFonts w:ascii="宋体" w:hAnsi="宋体" w:eastAsia="宋体" w:cs="Times New Roman"/>
          <w:color w:val="auto"/>
          <w:kern w:val="0"/>
          <w:szCs w:val="21"/>
        </w:rPr>
      </w:pPr>
      <w:r>
        <w:rPr>
          <w:rFonts w:ascii="宋体" w:hAnsi="宋体" w:eastAsia="宋体" w:cs="Times New Roman"/>
          <w:color w:val="auto"/>
          <w:szCs w:val="24"/>
          <w:lang w:val="zh-CN"/>
        </w:rPr>
        <w:t>5.9</w:t>
      </w:r>
      <w:r>
        <w:rPr>
          <w:rFonts w:ascii="宋体" w:hAnsi="宋体" w:eastAsia="宋体" w:cs="Times New Roman"/>
          <w:color w:val="auto"/>
          <w:szCs w:val="24"/>
        </w:rPr>
        <w:t xml:space="preserve">  </w:t>
      </w:r>
      <w:r>
        <w:rPr>
          <w:rFonts w:hint="eastAsia" w:ascii="宋体" w:hAnsi="宋体" w:eastAsia="宋体" w:cs="Times New Roman"/>
          <w:color w:val="auto"/>
          <w:szCs w:val="21"/>
          <w:lang w:val="zh-CN"/>
        </w:rPr>
        <w:t>评标委员会将集中按递交投标文件的先后顺序逐一与合格的投标人</w:t>
      </w:r>
      <w:r>
        <w:rPr>
          <w:rFonts w:hint="eastAsia" w:ascii="宋体" w:hAnsi="宋体" w:eastAsia="宋体" w:cs="Times New Roman"/>
          <w:color w:val="auto"/>
          <w:kern w:val="0"/>
          <w:szCs w:val="21"/>
        </w:rPr>
        <w:t>进行相同轮次（一个或多个回合）谈判</w:t>
      </w:r>
      <w:r>
        <w:rPr>
          <w:rFonts w:hint="eastAsia" w:ascii="宋体" w:hAnsi="宋体" w:eastAsia="宋体" w:cs="Times New Roman"/>
          <w:color w:val="auto"/>
          <w:szCs w:val="21"/>
          <w:lang w:val="zh-CN"/>
        </w:rPr>
        <w:t>，并给予所有参加谈判的响应投标人平等的谈判机会。</w:t>
      </w:r>
      <w:r>
        <w:rPr>
          <w:rFonts w:hint="eastAsia" w:ascii="宋体" w:hAnsi="宋体" w:eastAsia="宋体" w:cs="Times New Roman"/>
          <w:color w:val="auto"/>
          <w:szCs w:val="24"/>
          <w:lang w:val="zh-CN"/>
        </w:rPr>
        <w:t>如需要，进行必要的澄清工作。</w:t>
      </w:r>
      <w:r>
        <w:rPr>
          <w:rFonts w:hint="eastAsia" w:ascii="宋体" w:hAnsi="宋体" w:eastAsia="宋体" w:cs="Times New Roman"/>
          <w:color w:val="auto"/>
          <w:kern w:val="0"/>
          <w:szCs w:val="21"/>
        </w:rPr>
        <w:t>在谈判中，谈判的任何一方不得透露与谈判有关的其他投标人的技术资料、报价和其他信息。</w:t>
      </w:r>
    </w:p>
    <w:p>
      <w:pPr>
        <w:autoSpaceDE w:val="0"/>
        <w:autoSpaceDN w:val="0"/>
        <w:adjustRightInd w:val="0"/>
        <w:spacing w:line="360" w:lineRule="auto"/>
        <w:ind w:left="518" w:hanging="518"/>
        <w:rPr>
          <w:rFonts w:ascii="宋体" w:hAnsi="宋体" w:eastAsia="宋体" w:cs="Times New Roman"/>
          <w:color w:val="auto"/>
          <w:szCs w:val="24"/>
        </w:rPr>
      </w:pPr>
      <w:r>
        <w:rPr>
          <w:rFonts w:hint="eastAsia" w:ascii="宋体" w:hAnsi="宋体" w:eastAsia="宋体" w:cs="Times New Roman"/>
          <w:color w:val="auto"/>
          <w:szCs w:val="24"/>
          <w:lang w:val="zh-CN"/>
        </w:rPr>
        <w:t>5.</w:t>
      </w:r>
      <w:r>
        <w:rPr>
          <w:rFonts w:ascii="宋体" w:hAnsi="宋体" w:eastAsia="宋体" w:cs="Times New Roman"/>
          <w:color w:val="auto"/>
          <w:szCs w:val="24"/>
          <w:lang w:val="zh-CN"/>
        </w:rPr>
        <w:t>10</w:t>
      </w:r>
      <w:r>
        <w:rPr>
          <w:rFonts w:ascii="宋体" w:hAnsi="宋体" w:eastAsia="宋体" w:cs="Times New Roman"/>
          <w:color w:val="auto"/>
          <w:szCs w:val="24"/>
        </w:rPr>
        <w:t xml:space="preserve"> </w:t>
      </w:r>
      <w:r>
        <w:rPr>
          <w:rFonts w:hint="eastAsia" w:ascii="宋体" w:hAnsi="宋体" w:eastAsia="宋体" w:cs="Times New Roman"/>
          <w:color w:val="auto"/>
          <w:szCs w:val="24"/>
        </w:rPr>
        <w:t>在谈判过程中，评标委员会可以根据招标文件和谈判情况实质性变动采购需求中的技术、服务要求以及合同草案条款，但不得变动招标文件中的其他内容。实质性变动的内容，须经招标人代表确认，对招标文件作出的实质性变动是招标文件的有效组成部分，评标委员会应当及时以书面形式同时通知所有参加谈判的投标人。</w:t>
      </w:r>
    </w:p>
    <w:p>
      <w:pPr>
        <w:autoSpaceDE w:val="0"/>
        <w:autoSpaceDN w:val="0"/>
        <w:adjustRightInd w:val="0"/>
        <w:spacing w:line="360" w:lineRule="auto"/>
        <w:ind w:left="518" w:hanging="518"/>
        <w:rPr>
          <w:rFonts w:ascii="宋体" w:hAnsi="宋体" w:eastAsia="宋体" w:cs="Times New Roman"/>
          <w:color w:val="auto"/>
          <w:szCs w:val="24"/>
        </w:rPr>
      </w:pPr>
      <w:r>
        <w:rPr>
          <w:rFonts w:hint="eastAsia" w:ascii="宋体" w:hAnsi="宋体" w:eastAsia="宋体" w:cs="Times New Roman"/>
          <w:color w:val="auto"/>
          <w:szCs w:val="24"/>
        </w:rPr>
        <w:t>5.</w:t>
      </w:r>
      <w:r>
        <w:rPr>
          <w:rFonts w:ascii="宋体" w:hAnsi="宋体" w:eastAsia="宋体" w:cs="Times New Roman"/>
          <w:color w:val="auto"/>
          <w:szCs w:val="24"/>
        </w:rPr>
        <w:t xml:space="preserve">11 </w:t>
      </w:r>
      <w:r>
        <w:rPr>
          <w:rFonts w:hint="eastAsia" w:ascii="宋体" w:hAnsi="宋体" w:eastAsia="宋体" w:cs="Times New Roman"/>
          <w:color w:val="auto"/>
          <w:szCs w:val="24"/>
        </w:rPr>
        <w:t>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pPr>
        <w:autoSpaceDE w:val="0"/>
        <w:autoSpaceDN w:val="0"/>
        <w:adjustRightInd w:val="0"/>
        <w:spacing w:line="360" w:lineRule="auto"/>
        <w:ind w:left="518" w:hanging="518"/>
        <w:rPr>
          <w:rFonts w:ascii="宋体" w:hAnsi="宋体" w:eastAsia="宋体" w:cs="Times New Roman"/>
          <w:b/>
          <w:color w:val="auto"/>
          <w:szCs w:val="21"/>
          <w:lang w:val="zh-CN"/>
        </w:rPr>
      </w:pPr>
      <w:r>
        <w:rPr>
          <w:rFonts w:hint="eastAsia" w:ascii="宋体" w:hAnsi="宋体" w:eastAsia="宋体" w:cs="Times New Roman"/>
          <w:color w:val="auto"/>
          <w:szCs w:val="24"/>
        </w:rPr>
        <w:t>5.</w:t>
      </w:r>
      <w:r>
        <w:rPr>
          <w:rFonts w:ascii="宋体" w:hAnsi="宋体" w:eastAsia="宋体" w:cs="Times New Roman"/>
          <w:color w:val="auto"/>
          <w:szCs w:val="24"/>
        </w:rPr>
        <w:t xml:space="preserve">12 </w:t>
      </w:r>
      <w:r>
        <w:rPr>
          <w:rFonts w:hint="eastAsia" w:ascii="宋体" w:hAnsi="宋体" w:eastAsia="宋体" w:cs="Times New Roman"/>
          <w:color w:val="auto"/>
          <w:szCs w:val="24"/>
        </w:rPr>
        <w:t>招标文件能够详细列明采购标的的技术、服务要求的，</w:t>
      </w:r>
      <w:r>
        <w:rPr>
          <w:rFonts w:hint="eastAsia" w:ascii="宋体" w:hAnsi="宋体" w:eastAsia="宋体" w:cs="Times New Roman"/>
          <w:color w:val="auto"/>
          <w:szCs w:val="21"/>
          <w:lang w:val="zh-CN"/>
        </w:rPr>
        <w:t>谈判结束后，所有作出实质性响应的有效投标人应在规定的时间内集中密封提交二次报价（即最后报价，最后报价时间视谈判进程由评标委员会决定）及其在谈判过程中涉及的有关承诺，最后报价是投标人投标文件的有效组成部分。</w:t>
      </w:r>
      <w:r>
        <w:rPr>
          <w:rFonts w:hint="eastAsia" w:ascii="宋体" w:hAnsi="宋体" w:eastAsia="宋体" w:cs="Times New Roman"/>
          <w:b/>
          <w:color w:val="auto"/>
          <w:szCs w:val="21"/>
          <w:lang w:val="zh-CN"/>
        </w:rPr>
        <w:t>如在谈判中评标委员会没有对本招标文件作实质性变动增加新的需求，后一轮报价不得高于前一轮报价。</w:t>
      </w:r>
    </w:p>
    <w:p>
      <w:pPr>
        <w:tabs>
          <w:tab w:val="left" w:pos="567"/>
        </w:tabs>
        <w:autoSpaceDE w:val="0"/>
        <w:autoSpaceDN w:val="0"/>
        <w:adjustRightInd w:val="0"/>
        <w:spacing w:line="360" w:lineRule="auto"/>
        <w:ind w:left="525" w:hanging="525" w:hangingChars="250"/>
        <w:rPr>
          <w:rFonts w:ascii="宋体" w:hAnsi="宋体" w:eastAsia="宋体" w:cs="Times New Roman"/>
          <w:color w:val="auto"/>
          <w:szCs w:val="21"/>
          <w:lang w:val="zh-CN"/>
        </w:rPr>
      </w:pPr>
      <w:r>
        <w:rPr>
          <w:rFonts w:ascii="宋体" w:hAnsi="宋体" w:eastAsia="宋体" w:cs="Times New Roman"/>
          <w:color w:val="auto"/>
          <w:szCs w:val="21"/>
          <w:lang w:val="zh-CN"/>
        </w:rPr>
        <w:t>5.13</w:t>
      </w:r>
      <w:r>
        <w:rPr>
          <w:rFonts w:ascii="宋体" w:hAnsi="宋体" w:eastAsia="宋体" w:cs="Times New Roman"/>
          <w:color w:val="auto"/>
          <w:szCs w:val="21"/>
        </w:rPr>
        <w:t xml:space="preserve"> </w:t>
      </w:r>
      <w:r>
        <w:rPr>
          <w:rFonts w:hint="eastAsia" w:ascii="宋体" w:hAnsi="宋体" w:eastAsia="宋体" w:cs="Times New Roman"/>
          <w:b/>
          <w:color w:val="auto"/>
          <w:szCs w:val="24"/>
        </w:rPr>
        <w:t>投标</w:t>
      </w:r>
      <w:r>
        <w:rPr>
          <w:rFonts w:ascii="宋体" w:hAnsi="宋体" w:eastAsia="宋体" w:cs="Times New Roman"/>
          <w:b/>
          <w:color w:val="auto"/>
          <w:szCs w:val="21"/>
          <w:lang w:val="zh-CN"/>
        </w:rPr>
        <w:t>人不得违反标准规范规定，通过降低</w:t>
      </w:r>
      <w:r>
        <w:rPr>
          <w:rFonts w:hint="eastAsia" w:ascii="宋体" w:hAnsi="宋体" w:eastAsia="宋体" w:cs="Times New Roman"/>
          <w:b/>
          <w:color w:val="auto"/>
          <w:szCs w:val="21"/>
          <w:lang w:val="zh-CN"/>
        </w:rPr>
        <w:t>货物或</w:t>
      </w:r>
      <w:r>
        <w:rPr>
          <w:rFonts w:ascii="宋体" w:hAnsi="宋体" w:eastAsia="宋体" w:cs="Times New Roman"/>
          <w:b/>
          <w:color w:val="auto"/>
          <w:szCs w:val="21"/>
          <w:lang w:val="zh-CN"/>
        </w:rPr>
        <w:t>服务质量、减少服务内容等手段进行恶性竞争，扰乱正常市场秩序。</w:t>
      </w:r>
      <w:r>
        <w:rPr>
          <w:rFonts w:hint="eastAsia" w:ascii="宋体" w:hAnsi="宋体" w:eastAsia="宋体" w:cs="Times New Roman"/>
          <w:b/>
          <w:color w:val="auto"/>
          <w:szCs w:val="24"/>
        </w:rPr>
        <w:t>投标</w:t>
      </w:r>
      <w:r>
        <w:rPr>
          <w:rFonts w:hint="eastAsia" w:ascii="宋体" w:hAnsi="宋体" w:eastAsia="宋体" w:cs="Times New Roman"/>
          <w:b/>
          <w:color w:val="auto"/>
          <w:szCs w:val="21"/>
          <w:lang w:val="zh-CN"/>
        </w:rPr>
        <w:t>人不得以低于成本的报价竞标。如果评标委员会发现</w:t>
      </w:r>
      <w:r>
        <w:rPr>
          <w:rFonts w:hint="eastAsia" w:ascii="宋体" w:hAnsi="宋体" w:eastAsia="宋体" w:cs="Times New Roman"/>
          <w:b/>
          <w:color w:val="auto"/>
          <w:szCs w:val="24"/>
        </w:rPr>
        <w:t>投标</w:t>
      </w:r>
      <w:r>
        <w:rPr>
          <w:rFonts w:hint="eastAsia" w:ascii="宋体" w:hAnsi="宋体" w:eastAsia="宋体" w:cs="Times New Roman"/>
          <w:b/>
          <w:color w:val="auto"/>
          <w:szCs w:val="21"/>
          <w:lang w:val="zh-CN"/>
        </w:rPr>
        <w:t>人的最后报价明显低于其他投标人的最后报价，使得其报价可能低于其自身成本的，将要求该投标人作出书面说明并提供相关证明材料。投标人不能合理说明或不能提供相关证明材料的，评标委员会将认定该投标人以低于成本报价竞标，其投标将被视为无效投标。。</w:t>
      </w:r>
    </w:p>
    <w:p>
      <w:pPr>
        <w:tabs>
          <w:tab w:val="left" w:pos="567"/>
        </w:tabs>
        <w:autoSpaceDE w:val="0"/>
        <w:autoSpaceDN w:val="0"/>
        <w:adjustRightInd w:val="0"/>
        <w:spacing w:line="360" w:lineRule="auto"/>
        <w:ind w:left="525" w:hanging="525" w:hangingChars="250"/>
        <w:rPr>
          <w:rFonts w:ascii="宋体" w:hAnsi="宋体" w:eastAsia="宋体" w:cs="Times New Roman"/>
          <w:color w:val="auto"/>
          <w:kern w:val="0"/>
          <w:szCs w:val="21"/>
        </w:rPr>
      </w:pPr>
      <w:r>
        <w:rPr>
          <w:rFonts w:ascii="宋体" w:hAnsi="宋体" w:eastAsia="宋体" w:cs="Times New Roman"/>
          <w:color w:val="auto"/>
          <w:szCs w:val="21"/>
          <w:lang w:val="zh-CN"/>
        </w:rPr>
        <w:t xml:space="preserve">5.14 </w:t>
      </w:r>
      <w:r>
        <w:rPr>
          <w:rFonts w:hint="eastAsia" w:ascii="宋体" w:hAnsi="宋体" w:eastAsia="宋体" w:cs="Times New Roman"/>
          <w:color w:val="auto"/>
          <w:kern w:val="0"/>
          <w:szCs w:val="21"/>
        </w:rPr>
        <w:t>参与竞争性谈判的投标人，在提交最</w:t>
      </w:r>
      <w:r>
        <w:rPr>
          <w:rFonts w:hint="eastAsia" w:ascii="宋体" w:hAnsi="宋体" w:eastAsia="宋体" w:cs="Times New Roman"/>
          <w:color w:val="auto"/>
          <w:szCs w:val="21"/>
          <w:lang w:val="zh-CN"/>
        </w:rPr>
        <w:t>后</w:t>
      </w:r>
      <w:r>
        <w:rPr>
          <w:rFonts w:hint="eastAsia" w:ascii="宋体" w:hAnsi="宋体" w:eastAsia="宋体" w:cs="Times New Roman"/>
          <w:color w:val="auto"/>
          <w:kern w:val="0"/>
          <w:szCs w:val="21"/>
        </w:rPr>
        <w:t>报价之前，可以根据谈判情况退出谈判，招标人将退还其投标保证金。</w:t>
      </w:r>
    </w:p>
    <w:p>
      <w:pPr>
        <w:autoSpaceDE w:val="0"/>
        <w:autoSpaceDN w:val="0"/>
        <w:adjustRightInd w:val="0"/>
        <w:spacing w:line="360" w:lineRule="auto"/>
        <w:ind w:left="518" w:hanging="518"/>
        <w:rPr>
          <w:rFonts w:ascii="宋体" w:hAnsi="宋体" w:eastAsia="宋体" w:cs="Times New Roman"/>
          <w:color w:val="auto"/>
          <w:kern w:val="0"/>
          <w:szCs w:val="21"/>
          <w:u w:val="single"/>
        </w:rPr>
      </w:pPr>
      <w:r>
        <w:rPr>
          <w:rFonts w:hint="eastAsia" w:ascii="宋体" w:hAnsi="宋体" w:eastAsia="宋体" w:cs="Arial"/>
          <w:color w:val="auto"/>
          <w:szCs w:val="24"/>
          <w:lang w:val="zh-CN"/>
        </w:rPr>
        <w:t>5.</w:t>
      </w:r>
      <w:r>
        <w:rPr>
          <w:rFonts w:ascii="宋体" w:hAnsi="宋体" w:eastAsia="宋体" w:cs="Arial"/>
          <w:color w:val="auto"/>
          <w:szCs w:val="24"/>
          <w:lang w:val="zh-CN"/>
        </w:rPr>
        <w:t>15</w:t>
      </w:r>
      <w:r>
        <w:rPr>
          <w:rFonts w:ascii="宋体" w:hAnsi="宋体" w:eastAsia="宋体" w:cs="Arial"/>
          <w:color w:val="auto"/>
          <w:szCs w:val="24"/>
        </w:rPr>
        <w:t xml:space="preserve"> </w:t>
      </w:r>
      <w:r>
        <w:rPr>
          <w:rFonts w:hint="eastAsia" w:ascii="宋体" w:hAnsi="宋体" w:eastAsia="宋体" w:cs="Arial"/>
          <w:color w:val="auto"/>
          <w:szCs w:val="24"/>
          <w:lang w:val="zh-CN"/>
        </w:rPr>
        <w:t>评标</w:t>
      </w:r>
      <w:r>
        <w:rPr>
          <w:rFonts w:hint="eastAsia" w:ascii="宋体" w:hAnsi="宋体" w:eastAsia="宋体" w:cs="Times New Roman"/>
          <w:color w:val="auto"/>
          <w:szCs w:val="24"/>
        </w:rPr>
        <w:t>委员会</w:t>
      </w:r>
      <w:r>
        <w:rPr>
          <w:rFonts w:hint="eastAsia" w:ascii="宋体" w:hAnsi="宋体" w:eastAsia="宋体" w:cs="Times New Roman"/>
          <w:color w:val="auto"/>
          <w:szCs w:val="21"/>
          <w:lang w:val="zh-CN"/>
        </w:rPr>
        <w:t>将</w:t>
      </w:r>
      <w:r>
        <w:rPr>
          <w:rFonts w:hint="eastAsia" w:ascii="宋体" w:hAnsi="宋体" w:eastAsia="宋体" w:cs="Times New Roman"/>
          <w:color w:val="auto"/>
          <w:kern w:val="0"/>
          <w:szCs w:val="21"/>
        </w:rPr>
        <w:t>从质量和服务均能满足招标文件实质性响应要求的供应商中，按照最后报价由低到高的顺序向招标人推荐最后报价最低的投标人为第一成交候选人，推荐最后报价次低的投标人为第二成交候选人。如出现两个相同报价,则由评标委员会</w:t>
      </w:r>
      <w:r>
        <w:rPr>
          <w:rFonts w:hint="eastAsia" w:ascii="宋体" w:hAnsi="宋体" w:eastAsia="宋体" w:cs="Times New Roman"/>
          <w:color w:val="auto"/>
          <w:kern w:val="0"/>
          <w:szCs w:val="21"/>
          <w:lang w:val="zh-CN"/>
        </w:rPr>
        <w:t>主持，采取由最低报价的投标人抽签的方式确定</w:t>
      </w:r>
      <w:r>
        <w:rPr>
          <w:rFonts w:hint="eastAsia" w:ascii="宋体" w:hAnsi="宋体" w:eastAsia="宋体" w:cs="Times New Roman"/>
          <w:color w:val="auto"/>
          <w:kern w:val="0"/>
          <w:szCs w:val="21"/>
        </w:rPr>
        <w:t>第一成交候选人和第二成交候选人(抽签按投标人递交投标文件的先后顺序进行)。</w:t>
      </w:r>
    </w:p>
    <w:p>
      <w:pPr>
        <w:autoSpaceDE w:val="0"/>
        <w:autoSpaceDN w:val="0"/>
        <w:adjustRightInd w:val="0"/>
        <w:spacing w:line="360" w:lineRule="auto"/>
        <w:ind w:left="518" w:hanging="518"/>
        <w:rPr>
          <w:rFonts w:ascii="宋体" w:hAnsi="宋体" w:eastAsia="宋体" w:cs="Times New Roman"/>
          <w:color w:val="auto"/>
          <w:szCs w:val="24"/>
          <w:lang w:val="zh-CN"/>
        </w:rPr>
      </w:pPr>
      <w:r>
        <w:rPr>
          <w:rFonts w:hint="eastAsia" w:ascii="宋体" w:hAnsi="宋体" w:eastAsia="宋体" w:cs="Times New Roman"/>
          <w:color w:val="auto"/>
          <w:kern w:val="0"/>
          <w:szCs w:val="24"/>
          <w:lang w:val="zh-CN"/>
        </w:rPr>
        <w:t>5.</w:t>
      </w:r>
      <w:r>
        <w:rPr>
          <w:rFonts w:hint="eastAsia" w:ascii="宋体" w:hAnsi="宋体" w:eastAsia="宋体" w:cs="Times New Roman"/>
          <w:color w:val="auto"/>
          <w:szCs w:val="24"/>
          <w:lang w:val="zh-CN"/>
        </w:rPr>
        <w:t>1</w:t>
      </w:r>
      <w:r>
        <w:rPr>
          <w:rFonts w:ascii="宋体" w:hAnsi="宋体" w:eastAsia="宋体" w:cs="Times New Roman"/>
          <w:color w:val="auto"/>
          <w:szCs w:val="24"/>
          <w:lang w:val="zh-CN"/>
        </w:rPr>
        <w:t>6</w:t>
      </w:r>
      <w:r>
        <w:rPr>
          <w:rFonts w:ascii="宋体" w:hAnsi="宋体" w:eastAsia="宋体" w:cs="Times New Roman"/>
          <w:color w:val="auto"/>
          <w:szCs w:val="24"/>
        </w:rPr>
        <w:t xml:space="preserve"> </w:t>
      </w:r>
      <w:r>
        <w:rPr>
          <w:rFonts w:hint="eastAsia" w:ascii="宋体" w:hAnsi="宋体" w:eastAsia="宋体" w:cs="Times New Roman"/>
          <w:color w:val="auto"/>
          <w:kern w:val="0"/>
          <w:szCs w:val="24"/>
          <w:lang w:val="zh-CN"/>
        </w:rPr>
        <w:t>评标委员会</w:t>
      </w:r>
      <w:r>
        <w:rPr>
          <w:rFonts w:hint="eastAsia" w:ascii="宋体" w:hAnsi="宋体" w:eastAsia="宋体" w:cs="Times New Roman"/>
          <w:color w:val="auto"/>
          <w:szCs w:val="24"/>
          <w:lang w:val="zh-CN"/>
        </w:rPr>
        <w:t>根据评审结果编写评审报告。</w:t>
      </w:r>
    </w:p>
    <w:p>
      <w:pPr>
        <w:autoSpaceDE w:val="0"/>
        <w:autoSpaceDN w:val="0"/>
        <w:adjustRightInd w:val="0"/>
        <w:spacing w:line="360" w:lineRule="auto"/>
        <w:ind w:left="518" w:hanging="518"/>
        <w:rPr>
          <w:rFonts w:ascii="宋体" w:hAnsi="宋体" w:eastAsia="宋体" w:cs="Times New Roman"/>
          <w:color w:val="auto"/>
          <w:szCs w:val="21"/>
        </w:rPr>
      </w:pPr>
    </w:p>
    <w:p>
      <w:pPr>
        <w:autoSpaceDE w:val="0"/>
        <w:autoSpaceDN w:val="0"/>
        <w:adjustRightInd w:val="0"/>
        <w:spacing w:line="360" w:lineRule="auto"/>
        <w:ind w:left="567" w:hanging="567"/>
        <w:rPr>
          <w:rFonts w:ascii="宋体" w:hAnsi="宋体" w:eastAsia="宋体" w:cs="Times New Roman"/>
          <w:b/>
          <w:color w:val="auto"/>
          <w:szCs w:val="24"/>
          <w:lang w:val="zh-CN"/>
        </w:rPr>
      </w:pPr>
      <w:r>
        <w:rPr>
          <w:rFonts w:ascii="宋体" w:hAnsi="宋体" w:eastAsia="宋体" w:cs="Times New Roman"/>
          <w:b/>
          <w:color w:val="auto"/>
          <w:szCs w:val="24"/>
          <w:lang w:val="zh-CN"/>
        </w:rPr>
        <w:t>C</w:t>
      </w:r>
      <w:r>
        <w:rPr>
          <w:rFonts w:hint="eastAsia" w:ascii="宋体" w:hAnsi="宋体" w:eastAsia="宋体" w:cs="Times New Roman"/>
          <w:b/>
          <w:color w:val="auto"/>
          <w:szCs w:val="24"/>
          <w:lang w:val="zh-CN"/>
        </w:rPr>
        <w:t>．单一来源：</w:t>
      </w:r>
    </w:p>
    <w:p>
      <w:pPr>
        <w:autoSpaceDE w:val="0"/>
        <w:autoSpaceDN w:val="0"/>
        <w:adjustRightInd w:val="0"/>
        <w:spacing w:line="360" w:lineRule="auto"/>
        <w:ind w:left="518" w:hanging="518"/>
        <w:rPr>
          <w:rFonts w:hint="eastAsia" w:ascii="宋体" w:hAnsi="宋体" w:eastAsia="宋体" w:cs="Times New Roman"/>
          <w:color w:val="auto"/>
          <w:szCs w:val="21"/>
        </w:rPr>
      </w:pPr>
      <w:r>
        <w:rPr>
          <w:rFonts w:hint="eastAsia" w:ascii="宋体" w:hAnsi="宋体" w:eastAsia="宋体" w:cs="Times New Roman"/>
          <w:color w:val="auto"/>
          <w:szCs w:val="21"/>
        </w:rPr>
        <w:t>5.17 当有效的投标人只有1个时，终止公开招标采购，经评标委员会论证，采购文件没有不合理条款、采购程序符合规定，现场经招标人和作出实质性响应的投标人代表同意后，更改为单一来源的方式继续采购。由评标委员会按照本评标工作大纲总则内的5.18款至5.22款的约定直接与投标人在保证采购质量的前提下商定合理的成交价格。</w:t>
      </w:r>
    </w:p>
    <w:p>
      <w:pPr>
        <w:autoSpaceDE w:val="0"/>
        <w:autoSpaceDN w:val="0"/>
        <w:adjustRightInd w:val="0"/>
        <w:spacing w:line="360" w:lineRule="auto"/>
        <w:ind w:left="518" w:hanging="518"/>
        <w:rPr>
          <w:rFonts w:hint="eastAsia" w:ascii="宋体" w:hAnsi="宋体" w:eastAsia="宋体" w:cs="Times New Roman"/>
          <w:color w:val="auto"/>
          <w:szCs w:val="21"/>
        </w:rPr>
      </w:pPr>
      <w:r>
        <w:rPr>
          <w:rFonts w:hint="eastAsia" w:ascii="宋体" w:hAnsi="宋体" w:eastAsia="宋体" w:cs="Times New Roman"/>
          <w:color w:val="auto"/>
          <w:szCs w:val="21"/>
        </w:rPr>
        <w:t>5.18 评标委员会直接与投标人进行谈判协商，然后对最终报价及投标文件进行审查，得出评审结果，编写评审报告（含协商情况记录）及推荐成交候选人。</w:t>
      </w:r>
    </w:p>
    <w:p>
      <w:pPr>
        <w:autoSpaceDE w:val="0"/>
        <w:autoSpaceDN w:val="0"/>
        <w:adjustRightInd w:val="0"/>
        <w:spacing w:line="360" w:lineRule="auto"/>
        <w:ind w:left="518" w:hanging="518"/>
        <w:rPr>
          <w:rFonts w:hint="eastAsia" w:ascii="宋体" w:hAnsi="宋体" w:eastAsia="宋体" w:cs="Times New Roman"/>
          <w:color w:val="auto"/>
          <w:szCs w:val="21"/>
        </w:rPr>
      </w:pPr>
      <w:r>
        <w:rPr>
          <w:rFonts w:hint="eastAsia" w:ascii="宋体" w:hAnsi="宋体" w:eastAsia="宋体" w:cs="Times New Roman"/>
          <w:color w:val="auto"/>
          <w:szCs w:val="21"/>
        </w:rPr>
        <w:t>5.19 在协商的过程中，评标委员会可以根据招标文件和协商情况实质性变动采购需求中的技术、服务要求以及合同草案条款。实质性变动的内容，须经招标人确认，对招标文件作出的实质性变动是招标文件的有效组成部分。</w:t>
      </w:r>
    </w:p>
    <w:p>
      <w:pPr>
        <w:autoSpaceDE w:val="0"/>
        <w:autoSpaceDN w:val="0"/>
        <w:adjustRightInd w:val="0"/>
        <w:spacing w:line="360" w:lineRule="auto"/>
        <w:ind w:left="518" w:hanging="518"/>
        <w:rPr>
          <w:rFonts w:hint="eastAsia" w:ascii="宋体" w:hAnsi="宋体" w:eastAsia="宋体" w:cs="Times New Roman"/>
          <w:color w:val="auto"/>
          <w:szCs w:val="21"/>
        </w:rPr>
      </w:pPr>
      <w:r>
        <w:rPr>
          <w:rFonts w:hint="eastAsia" w:ascii="宋体" w:hAnsi="宋体" w:eastAsia="宋体" w:cs="Times New Roman"/>
          <w:color w:val="auto"/>
          <w:szCs w:val="21"/>
        </w:rPr>
        <w:t>5.20 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pPr>
        <w:autoSpaceDE w:val="0"/>
        <w:autoSpaceDN w:val="0"/>
        <w:adjustRightInd w:val="0"/>
        <w:spacing w:line="360" w:lineRule="auto"/>
        <w:ind w:left="518" w:hanging="518"/>
        <w:rPr>
          <w:rFonts w:hint="eastAsia" w:ascii="宋体" w:hAnsi="宋体" w:eastAsia="宋体" w:cs="Times New Roman"/>
          <w:color w:val="auto"/>
          <w:szCs w:val="21"/>
        </w:rPr>
      </w:pPr>
      <w:r>
        <w:rPr>
          <w:rFonts w:hint="eastAsia" w:ascii="宋体" w:hAnsi="宋体" w:eastAsia="宋体" w:cs="Times New Roman"/>
          <w:color w:val="auto"/>
          <w:szCs w:val="21"/>
        </w:rPr>
        <w:t>5.21 招标文件能够详细列明采购标的的技术、服务要求的，协商结束后，投标人应在规定的时间内提交二次报价（即最终报价，最终报价时间视协商进程由评标委员会决定），最终报价是投标人投标文件的有效组成部分。如在协商中评标委员会没有对本招标文件作实质性变动增加新的需求，后一轮报价不得高于前一轮报价。</w:t>
      </w:r>
    </w:p>
    <w:p>
      <w:pPr>
        <w:autoSpaceDE w:val="0"/>
        <w:autoSpaceDN w:val="0"/>
        <w:adjustRightInd w:val="0"/>
        <w:spacing w:line="360" w:lineRule="auto"/>
        <w:ind w:left="518" w:hanging="518"/>
        <w:rPr>
          <w:rFonts w:hint="eastAsia" w:ascii="宋体" w:hAnsi="宋体" w:eastAsia="宋体" w:cs="Times New Roman"/>
          <w:b/>
          <w:bCs/>
          <w:color w:val="auto"/>
          <w:szCs w:val="21"/>
          <w:lang w:val="zh-CN"/>
        </w:rPr>
      </w:pPr>
      <w:r>
        <w:rPr>
          <w:rFonts w:hint="eastAsia" w:ascii="宋体" w:hAnsi="宋体" w:eastAsia="宋体" w:cs="Times New Roman"/>
          <w:b/>
          <w:bCs/>
          <w:color w:val="auto"/>
          <w:szCs w:val="21"/>
          <w:lang w:val="en-US" w:eastAsia="zh-CN"/>
        </w:rPr>
        <w:t>5.22</w:t>
      </w:r>
      <w:r>
        <w:rPr>
          <w:rFonts w:hint="eastAsia" w:ascii="宋体" w:hAnsi="宋体" w:eastAsia="宋体" w:cs="Times New Roman"/>
          <w:b/>
          <w:bCs/>
          <w:color w:val="auto"/>
          <w:szCs w:val="21"/>
          <w:lang w:val="zh-CN"/>
        </w:rPr>
        <w:t>单一来源采购过程中，当出现下列情形之一的，评标委员会应当终止采购活动：</w:t>
      </w:r>
    </w:p>
    <w:p>
      <w:pPr>
        <w:autoSpaceDE w:val="0"/>
        <w:autoSpaceDN w:val="0"/>
        <w:adjustRightInd w:val="0"/>
        <w:spacing w:line="360" w:lineRule="auto"/>
        <w:ind w:left="518" w:hanging="518"/>
        <w:rPr>
          <w:rFonts w:hint="eastAsia" w:ascii="宋体" w:hAnsi="宋体" w:eastAsia="宋体" w:cs="Times New Roman"/>
          <w:b/>
          <w:bCs/>
          <w:color w:val="auto"/>
          <w:szCs w:val="21"/>
          <w:lang w:val="zh-CN"/>
        </w:rPr>
      </w:pPr>
      <w:r>
        <w:rPr>
          <w:rFonts w:hint="eastAsia" w:ascii="宋体" w:hAnsi="宋体" w:eastAsia="宋体" w:cs="Times New Roman"/>
          <w:b/>
          <w:bCs/>
          <w:color w:val="auto"/>
          <w:szCs w:val="21"/>
          <w:lang w:val="zh-CN"/>
        </w:rPr>
        <w:t>5.22.1 投标人（含其不具有独立法人资格的分支机构）被列入“信用中国”网站失信被执行人、重大税收违法失信主体、严重违法失信行为记录名单的；</w:t>
      </w:r>
    </w:p>
    <w:p>
      <w:pPr>
        <w:autoSpaceDE w:val="0"/>
        <w:autoSpaceDN w:val="0"/>
        <w:adjustRightInd w:val="0"/>
        <w:spacing w:line="360" w:lineRule="auto"/>
        <w:ind w:left="518" w:hanging="518"/>
        <w:rPr>
          <w:rFonts w:hint="eastAsia" w:ascii="宋体" w:hAnsi="宋体" w:eastAsia="宋体" w:cs="Times New Roman"/>
          <w:b/>
          <w:bCs/>
          <w:color w:val="auto"/>
          <w:szCs w:val="21"/>
          <w:lang w:val="zh-CN"/>
        </w:rPr>
      </w:pPr>
      <w:r>
        <w:rPr>
          <w:rFonts w:hint="eastAsia" w:ascii="宋体" w:hAnsi="宋体" w:eastAsia="宋体" w:cs="Times New Roman"/>
          <w:b/>
          <w:bCs/>
          <w:color w:val="auto"/>
          <w:szCs w:val="21"/>
          <w:lang w:val="zh-CN"/>
        </w:rPr>
        <w:t xml:space="preserve">5.22.2 </w:t>
      </w:r>
      <w:r>
        <w:rPr>
          <w:rFonts w:hint="eastAsia" w:ascii="宋体" w:hAnsi="宋体" w:eastAsia="宋体" w:cs="Times New Roman"/>
          <w:b/>
          <w:bCs/>
          <w:color w:val="auto"/>
          <w:szCs w:val="21"/>
          <w:lang w:val="en-US" w:eastAsia="zh-CN"/>
        </w:rPr>
        <w:t>检</w:t>
      </w:r>
      <w:r>
        <w:rPr>
          <w:rFonts w:hint="eastAsia" w:ascii="宋体" w:hAnsi="宋体" w:eastAsia="宋体" w:cs="Times New Roman"/>
          <w:b/>
          <w:bCs/>
          <w:color w:val="auto"/>
          <w:szCs w:val="21"/>
          <w:lang w:val="zh-CN"/>
        </w:rPr>
        <w:t>测服务系数报价</w:t>
      </w:r>
      <w:r>
        <w:rPr>
          <w:rFonts w:hint="eastAsia" w:ascii="宋体" w:hAnsi="宋体" w:eastAsia="宋体" w:cs="Times New Roman"/>
          <w:b/>
          <w:bCs/>
          <w:color w:val="auto"/>
          <w:szCs w:val="21"/>
          <w:lang w:val="en-US" w:eastAsia="zh-CN"/>
        </w:rPr>
        <w:t>超过0.80</w:t>
      </w:r>
      <w:r>
        <w:rPr>
          <w:rFonts w:hint="eastAsia" w:ascii="宋体" w:hAnsi="宋体" w:eastAsia="宋体" w:cs="Times New Roman"/>
          <w:b/>
          <w:bCs/>
          <w:color w:val="auto"/>
          <w:szCs w:val="21"/>
          <w:lang w:val="zh-CN"/>
        </w:rPr>
        <w:t>（保留小数点后2位）的；</w:t>
      </w:r>
    </w:p>
    <w:p>
      <w:pPr>
        <w:autoSpaceDE w:val="0"/>
        <w:autoSpaceDN w:val="0"/>
        <w:adjustRightInd w:val="0"/>
        <w:spacing w:line="360" w:lineRule="auto"/>
        <w:ind w:left="518" w:hanging="518"/>
        <w:rPr>
          <w:rFonts w:hint="eastAsia" w:ascii="宋体" w:hAnsi="宋体" w:eastAsia="宋体" w:cs="Times New Roman"/>
          <w:b/>
          <w:bCs/>
          <w:color w:val="auto"/>
          <w:szCs w:val="21"/>
          <w:lang w:val="zh-CN"/>
        </w:rPr>
      </w:pPr>
      <w:r>
        <w:rPr>
          <w:rFonts w:hint="eastAsia" w:ascii="宋体" w:hAnsi="宋体" w:eastAsia="宋体" w:cs="Times New Roman"/>
          <w:b/>
          <w:bCs/>
          <w:color w:val="auto"/>
          <w:szCs w:val="21"/>
          <w:lang w:val="zh-CN"/>
        </w:rPr>
        <w:t>5.22.3 投标人未能与评标委员会商定出合理的价格的；</w:t>
      </w:r>
    </w:p>
    <w:p>
      <w:pPr>
        <w:autoSpaceDE w:val="0"/>
        <w:autoSpaceDN w:val="0"/>
        <w:adjustRightInd w:val="0"/>
        <w:spacing w:line="360" w:lineRule="auto"/>
        <w:ind w:left="518" w:hanging="518"/>
        <w:rPr>
          <w:rFonts w:hint="eastAsia" w:ascii="宋体" w:hAnsi="宋体" w:eastAsia="宋体" w:cs="Times New Roman"/>
          <w:b/>
          <w:bCs/>
          <w:color w:val="auto"/>
          <w:szCs w:val="21"/>
          <w:lang w:val="zh-CN"/>
        </w:rPr>
      </w:pPr>
      <w:r>
        <w:rPr>
          <w:rFonts w:hint="eastAsia" w:ascii="宋体" w:hAnsi="宋体" w:eastAsia="宋体" w:cs="Times New Roman"/>
          <w:b/>
          <w:bCs/>
          <w:color w:val="auto"/>
          <w:szCs w:val="21"/>
          <w:lang w:val="zh-CN"/>
        </w:rPr>
        <w:t>5.22.4 评标委员会认定投标人最终的投标文件存在影响采购项目质量，且投标人不能合理说明或不能提供相关证明材料，导致招标人的利益得不到保障的。</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770" w:name="_Toc19435_WPSOffice_Level1"/>
      <w:r>
        <w:rPr>
          <w:rFonts w:hint="eastAsia" w:ascii="宋体" w:hAnsi="宋体" w:eastAsia="宋体" w:cs="宋体"/>
          <w:b/>
          <w:bCs/>
          <w:color w:val="auto"/>
          <w:sz w:val="28"/>
          <w:szCs w:val="28"/>
          <w:highlight w:val="none"/>
          <w:lang w:val="zh-CN"/>
        </w:rPr>
        <w:t>二、投标文件的初审</w:t>
      </w:r>
      <w:bookmarkEnd w:id="770"/>
    </w:p>
    <w:p>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eastAsia="宋体"/>
          <w:b/>
          <w:color w:val="auto"/>
          <w:szCs w:val="21"/>
        </w:rPr>
        <w:t>投标人报价未按照招标文件要求对检测服务系数进行报价的</w:t>
      </w:r>
      <w:r>
        <w:rPr>
          <w:rFonts w:hint="eastAsia" w:ascii="宋体" w:hAnsi="宋体" w:eastAsia="宋体" w:cs="宋体"/>
          <w:b/>
          <w:bCs/>
          <w:color w:val="auto"/>
          <w:kern w:val="0"/>
          <w:szCs w:val="21"/>
          <w:highlight w:val="none"/>
        </w:rPr>
        <w:t>；</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pPr>
        <w:tabs>
          <w:tab w:val="left" w:pos="567"/>
        </w:tabs>
        <w:spacing w:line="360" w:lineRule="auto"/>
        <w:ind w:left="632" w:hanging="632" w:hangingChars="300"/>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lang w:val="en-US" w:eastAsia="zh-CN"/>
        </w:rPr>
        <w:t>7.6</w:t>
      </w:r>
      <w:r>
        <w:rPr>
          <w:rFonts w:hint="eastAsia" w:ascii="宋体" w:hAnsi="宋体" w:eastAsia="宋体" w:cs="宋体"/>
          <w:b/>
          <w:color w:val="auto"/>
          <w:kern w:val="0"/>
          <w:szCs w:val="21"/>
          <w:highlight w:val="none"/>
        </w:rPr>
        <w:t>投标人为本工程的勘察设计单位、施工单位、桩基完整性检测、施工监理单位（包括与该单位法定代表人或负责人为同一人的单位，或者与该单位存在控股、管理关系的单位）</w:t>
      </w:r>
      <w:r>
        <w:rPr>
          <w:rFonts w:hint="eastAsia" w:ascii="宋体" w:hAnsi="宋体" w:eastAsia="宋体" w:cs="宋体"/>
          <w:b/>
          <w:color w:val="auto"/>
          <w:kern w:val="0"/>
          <w:szCs w:val="21"/>
          <w:highlight w:val="none"/>
          <w:lang w:eastAsia="zh-CN"/>
        </w:rPr>
        <w:t>；</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 xml:space="preserve"> </w:t>
      </w:r>
      <w:r>
        <w:rPr>
          <w:rFonts w:hint="eastAsia" w:ascii="宋体" w:hAnsi="宋体" w:eastAsia="宋体" w:cs="宋体"/>
          <w:b/>
          <w:bCs/>
          <w:color w:val="auto"/>
          <w:kern w:val="0"/>
          <w:szCs w:val="21"/>
          <w:highlight w:val="none"/>
        </w:rPr>
        <w:t xml:space="preserve">投标文件未按照招标文件规定要求密封；投标文件无法定代表人或其授权代表签字（或盖私章），或签字人无法定代表人有效授权的；签字盖章不符合招标文件要求的； </w:t>
      </w:r>
    </w:p>
    <w:p>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未提供或虚假填写《合同条款偏离表》，或对《合同条款偏离表》有负偏离的；</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11</w:t>
      </w:r>
      <w:r>
        <w:rPr>
          <w:rFonts w:ascii="宋体" w:hAnsi="宋体" w:eastAsia="宋体" w:cs="Times New Roman"/>
          <w:b/>
          <w:color w:val="auto"/>
          <w:kern w:val="0"/>
          <w:szCs w:val="21"/>
          <w:highlight w:val="none"/>
        </w:rPr>
        <w:t xml:space="preserve">  未填写或虚假填写《用户需求偏离表》的；</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2</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spacing w:line="360" w:lineRule="auto"/>
        <w:ind w:left="480"/>
        <w:rPr>
          <w:rFonts w:ascii="宋体" w:hAnsi="宋体" w:eastAsia="宋体" w:cs="宋体"/>
          <w:b/>
          <w:color w:val="auto"/>
          <w:kern w:val="0"/>
          <w:szCs w:val="21"/>
          <w:highlight w:val="none"/>
        </w:rPr>
      </w:pPr>
    </w:p>
    <w:p>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771" w:name="_Toc4109_WPSOffice_Level1"/>
      <w:r>
        <w:rPr>
          <w:rFonts w:hint="eastAsia" w:ascii="宋体" w:hAnsi="宋体" w:eastAsia="宋体" w:cs="宋体"/>
          <w:b/>
          <w:bCs/>
          <w:color w:val="auto"/>
          <w:sz w:val="28"/>
          <w:szCs w:val="28"/>
          <w:highlight w:val="none"/>
          <w:lang w:val="zh-CN"/>
        </w:rPr>
        <w:t>三、澄清有关问题</w:t>
      </w:r>
      <w:bookmarkEnd w:id="771"/>
    </w:p>
    <w:p>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 xml:space="preserve">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72" w:name="_Toc8518_WPSOffice_Level1"/>
    </w:p>
    <w:p>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72"/>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pPr>
        <w:autoSpaceDE w:val="0"/>
        <w:autoSpaceDN w:val="0"/>
        <w:adjustRightInd w:val="0"/>
        <w:spacing w:line="360" w:lineRule="auto"/>
        <w:rPr>
          <w:rFonts w:ascii="宋体" w:hAnsi="宋体" w:eastAsia="宋体" w:cs="宋体"/>
          <w:color w:val="auto"/>
          <w:szCs w:val="24"/>
          <w:highlight w:val="none"/>
          <w:lang w:val="zh-CN"/>
        </w:rPr>
      </w:pP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bl>
    <w:p>
      <w:pPr>
        <w:tabs>
          <w:tab w:val="left" w:pos="585"/>
        </w:tabs>
        <w:autoSpaceDE w:val="0"/>
        <w:autoSpaceDN w:val="0"/>
        <w:adjustRightInd w:val="0"/>
        <w:spacing w:line="360" w:lineRule="auto"/>
        <w:rPr>
          <w:rFonts w:ascii="宋体" w:hAnsi="宋体" w:eastAsia="宋体" w:cs="宋体"/>
          <w:b/>
          <w:color w:val="auto"/>
          <w:szCs w:val="21"/>
          <w:highlight w:val="none"/>
        </w:rPr>
      </w:pPr>
      <w:bookmarkStart w:id="773" w:name="_Toc18349_WPSOffice_Level2"/>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bookmarkEnd w:id="773"/>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5"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Cs/>
                <w:color w:val="auto"/>
                <w:kern w:val="0"/>
                <w:sz w:val="24"/>
                <w:szCs w:val="21"/>
                <w:highlight w:val="none"/>
              </w:rPr>
            </w:pPr>
            <w:r>
              <w:rPr>
                <w:rFonts w:hint="eastAsia" w:ascii="宋体" w:hAnsi="宋体" w:eastAsia="宋体" w:cs="宋体"/>
                <w:color w:val="auto"/>
                <w:szCs w:val="21"/>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eastAsia="宋体" w:cs="宋体"/>
                <w:color w:val="auto"/>
                <w:szCs w:val="21"/>
                <w:lang w:val="zh-CN"/>
              </w:rPr>
            </w:pPr>
            <w:r>
              <w:rPr>
                <w:rFonts w:hint="eastAsia" w:ascii="宋体" w:hAnsi="宋体" w:eastAsia="宋体" w:cs="宋体"/>
                <w:color w:val="auto"/>
                <w:szCs w:val="21"/>
                <w:lang w:val="zh-CN"/>
              </w:rPr>
              <w:t>投标人202</w:t>
            </w:r>
            <w:r>
              <w:rPr>
                <w:rFonts w:hint="eastAsia" w:ascii="宋体" w:hAnsi="宋体" w:eastAsia="宋体" w:cs="宋体"/>
                <w:color w:val="auto"/>
                <w:szCs w:val="21"/>
                <w:lang w:val="en-US" w:eastAsia="zh-CN"/>
              </w:rPr>
              <w:t>1</w:t>
            </w:r>
            <w:r>
              <w:rPr>
                <w:rFonts w:hint="eastAsia" w:ascii="宋体" w:hAnsi="宋体" w:eastAsia="宋体" w:cs="宋体"/>
                <w:color w:val="auto"/>
                <w:szCs w:val="21"/>
                <w:lang w:val="zh-CN"/>
              </w:rPr>
              <w:t>年-20</w:t>
            </w:r>
            <w:r>
              <w:rPr>
                <w:rFonts w:hint="eastAsia" w:ascii="宋体" w:hAnsi="宋体" w:eastAsia="宋体" w:cs="宋体"/>
                <w:color w:val="auto"/>
                <w:szCs w:val="21"/>
              </w:rPr>
              <w:t>2</w:t>
            </w:r>
            <w:r>
              <w:rPr>
                <w:rFonts w:hint="eastAsia" w:ascii="宋体" w:hAnsi="宋体" w:eastAsia="宋体" w:cs="宋体"/>
                <w:color w:val="auto"/>
                <w:szCs w:val="21"/>
                <w:lang w:val="en-US" w:eastAsia="zh-CN"/>
              </w:rPr>
              <w:t>3</w:t>
            </w:r>
            <w:r>
              <w:rPr>
                <w:rFonts w:hint="eastAsia" w:ascii="宋体" w:hAnsi="宋体" w:eastAsia="宋体" w:cs="宋体"/>
                <w:color w:val="auto"/>
                <w:szCs w:val="21"/>
                <w:lang w:val="zh-CN"/>
              </w:rPr>
              <w:t>年三个年度，每具有1个年度盈利的得</w:t>
            </w:r>
            <w:r>
              <w:rPr>
                <w:rFonts w:hint="eastAsia" w:ascii="宋体" w:hAnsi="宋体" w:eastAsia="宋体" w:cs="宋体"/>
                <w:color w:val="auto"/>
                <w:szCs w:val="21"/>
              </w:rPr>
              <w:t>0.5</w:t>
            </w:r>
            <w:r>
              <w:rPr>
                <w:rFonts w:hint="eastAsia" w:ascii="宋体" w:hAnsi="宋体" w:eastAsia="宋体" w:cs="宋体"/>
                <w:color w:val="auto"/>
                <w:szCs w:val="21"/>
                <w:lang w:val="zh-CN"/>
              </w:rPr>
              <w:t>分，满分</w:t>
            </w:r>
            <w:r>
              <w:rPr>
                <w:rFonts w:hint="eastAsia" w:ascii="宋体" w:hAnsi="宋体" w:eastAsia="宋体" w:cs="宋体"/>
                <w:color w:val="auto"/>
                <w:szCs w:val="21"/>
              </w:rPr>
              <w:t>1.5</w:t>
            </w:r>
            <w:r>
              <w:rPr>
                <w:rFonts w:hint="eastAsia" w:ascii="宋体" w:hAnsi="宋体" w:eastAsia="宋体" w:cs="宋体"/>
                <w:color w:val="auto"/>
                <w:szCs w:val="21"/>
                <w:lang w:val="zh-CN"/>
              </w:rPr>
              <w:t>分。</w:t>
            </w:r>
          </w:p>
          <w:p>
            <w:pPr>
              <w:spacing w:line="360" w:lineRule="auto"/>
              <w:contextualSpacing/>
              <w:rPr>
                <w:rFonts w:ascii="宋体" w:hAnsi="宋体" w:eastAsia="宋体" w:cs="Times New Roman"/>
                <w:b/>
                <w:color w:val="auto"/>
                <w:kern w:val="0"/>
                <w:szCs w:val="21"/>
                <w:highlight w:val="none"/>
                <w:lang w:val="zh-CN"/>
              </w:rPr>
            </w:pPr>
            <w:r>
              <w:rPr>
                <w:rFonts w:hint="eastAsia" w:ascii="宋体" w:hAnsi="宋体" w:eastAsia="宋体" w:cs="宋体"/>
                <w:b/>
                <w:color w:val="auto"/>
                <w:szCs w:val="21"/>
                <w:lang w:val="zh-CN"/>
              </w:rPr>
              <w:t>备注：</w:t>
            </w:r>
            <w:r>
              <w:rPr>
                <w:rFonts w:hint="eastAsia" w:ascii="宋体" w:hAnsi="宋体" w:eastAsia="宋体" w:cs="宋体"/>
                <w:b/>
                <w:color w:val="auto"/>
                <w:szCs w:val="21"/>
                <w:lang w:val="en-US" w:eastAsia="zh-CN"/>
              </w:rPr>
              <w:t>盈利指净利润为正数（非零、非负数），</w:t>
            </w:r>
            <w:r>
              <w:rPr>
                <w:rFonts w:hint="eastAsia" w:ascii="宋体" w:hAnsi="宋体" w:eastAsia="宋体" w:cs="宋体"/>
                <w:b/>
                <w:color w:val="auto"/>
                <w:szCs w:val="21"/>
                <w:lang w:val="zh-CN"/>
              </w:rPr>
              <w:t>投标人应提供202</w:t>
            </w:r>
            <w:r>
              <w:rPr>
                <w:rFonts w:hint="eastAsia" w:ascii="宋体" w:hAnsi="宋体" w:eastAsia="宋体" w:cs="宋体"/>
                <w:b/>
                <w:color w:val="auto"/>
                <w:szCs w:val="21"/>
                <w:lang w:val="en-US" w:eastAsia="zh-CN"/>
              </w:rPr>
              <w:t>1</w:t>
            </w:r>
            <w:r>
              <w:rPr>
                <w:rFonts w:hint="eastAsia" w:ascii="宋体" w:hAnsi="宋体" w:eastAsia="宋体" w:cs="宋体"/>
                <w:b/>
                <w:color w:val="auto"/>
                <w:szCs w:val="21"/>
                <w:lang w:val="zh-CN"/>
              </w:rPr>
              <w:t>年、202</w:t>
            </w:r>
            <w:r>
              <w:rPr>
                <w:rFonts w:hint="eastAsia" w:ascii="宋体" w:hAnsi="宋体" w:eastAsia="宋体" w:cs="宋体"/>
                <w:b/>
                <w:color w:val="auto"/>
                <w:szCs w:val="21"/>
                <w:lang w:val="en-US" w:eastAsia="zh-CN"/>
              </w:rPr>
              <w:t>2</w:t>
            </w:r>
            <w:r>
              <w:rPr>
                <w:rFonts w:hint="eastAsia" w:ascii="宋体" w:hAnsi="宋体" w:eastAsia="宋体" w:cs="宋体"/>
                <w:b/>
                <w:color w:val="auto"/>
                <w:szCs w:val="21"/>
                <w:lang w:val="zh-CN"/>
              </w:rPr>
              <w:t>年、202</w:t>
            </w:r>
            <w:r>
              <w:rPr>
                <w:rFonts w:hint="eastAsia" w:ascii="宋体" w:hAnsi="宋体" w:eastAsia="宋体" w:cs="宋体"/>
                <w:b/>
                <w:color w:val="auto"/>
                <w:szCs w:val="21"/>
                <w:lang w:val="en-US" w:eastAsia="zh-CN"/>
              </w:rPr>
              <w:t>3</w:t>
            </w:r>
            <w:r>
              <w:rPr>
                <w:rFonts w:hint="eastAsia" w:ascii="宋体" w:hAnsi="宋体" w:eastAsia="宋体" w:cs="宋体"/>
                <w:b/>
                <w:color w:val="auto"/>
                <w:szCs w:val="21"/>
                <w:lang w:val="zh-CN"/>
              </w:rPr>
              <w:t>年三个年度的财务报</w:t>
            </w:r>
            <w:r>
              <w:rPr>
                <w:rFonts w:hint="eastAsia" w:ascii="宋体" w:hAnsi="宋体" w:eastAsia="宋体" w:cs="宋体"/>
                <w:b/>
                <w:color w:val="auto"/>
                <w:szCs w:val="21"/>
                <w:lang w:val="en-US" w:eastAsia="zh-CN"/>
              </w:rPr>
              <w:t>表</w:t>
            </w:r>
            <w:r>
              <w:rPr>
                <w:rFonts w:hint="eastAsia" w:ascii="宋体" w:hAnsi="宋体" w:eastAsia="宋体" w:cs="宋体"/>
                <w:b/>
                <w:color w:val="auto"/>
                <w:szCs w:val="21"/>
                <w:lang w:val="zh-CN"/>
              </w:rPr>
              <w:t>，净利润以</w:t>
            </w:r>
            <w:r>
              <w:rPr>
                <w:rFonts w:hint="eastAsia" w:ascii="宋体" w:hAnsi="宋体" w:eastAsia="宋体" w:cs="宋体"/>
                <w:b/>
                <w:color w:val="auto"/>
                <w:szCs w:val="21"/>
                <w:lang w:val="en-US" w:eastAsia="zh-CN"/>
              </w:rPr>
              <w:t>对应年度</w:t>
            </w:r>
            <w:r>
              <w:rPr>
                <w:rFonts w:hint="eastAsia" w:ascii="宋体" w:hAnsi="宋体" w:eastAsia="宋体" w:cs="宋体"/>
                <w:b/>
                <w:color w:val="auto"/>
                <w:szCs w:val="21"/>
                <w:lang w:val="zh-CN"/>
              </w:rPr>
              <w:t>经审计的财务报表为准，应提供经独立会计师事务所审计过的有效的财务报告</w:t>
            </w:r>
            <w:r>
              <w:rPr>
                <w:rFonts w:hint="eastAsia" w:ascii="宋体" w:hAnsi="宋体" w:eastAsia="宋体" w:cs="宋体"/>
                <w:b/>
                <w:color w:val="auto"/>
                <w:szCs w:val="21"/>
                <w:lang w:val="en-US" w:eastAsia="zh-CN"/>
              </w:rPr>
              <w:t>复印件</w:t>
            </w:r>
            <w:r>
              <w:rPr>
                <w:rFonts w:hint="eastAsia" w:ascii="宋体" w:hAnsi="宋体" w:eastAsia="宋体" w:cs="宋体"/>
                <w:b/>
                <w:color w:val="auto"/>
                <w:szCs w:val="21"/>
                <w:lang w:val="zh-CN"/>
              </w:rPr>
              <w:t>；未提供前述财务报</w:t>
            </w:r>
            <w:r>
              <w:rPr>
                <w:rFonts w:hint="eastAsia" w:ascii="宋体" w:hAnsi="宋体" w:eastAsia="宋体" w:cs="宋体"/>
                <w:b/>
                <w:color w:val="auto"/>
                <w:szCs w:val="21"/>
                <w:lang w:val="en-US" w:eastAsia="zh-CN"/>
              </w:rPr>
              <w:t>表</w:t>
            </w:r>
            <w:r>
              <w:rPr>
                <w:rFonts w:hint="eastAsia" w:ascii="宋体" w:hAnsi="宋体" w:eastAsia="宋体" w:cs="宋体"/>
                <w:b/>
                <w:color w:val="auto"/>
                <w:szCs w:val="21"/>
                <w:lang w:val="zh-CN"/>
              </w:rPr>
              <w:t>或财务报</w:t>
            </w:r>
            <w:r>
              <w:rPr>
                <w:rFonts w:hint="eastAsia" w:ascii="宋体" w:hAnsi="宋体" w:eastAsia="宋体" w:cs="宋体"/>
                <w:b/>
                <w:color w:val="auto"/>
                <w:szCs w:val="21"/>
                <w:lang w:val="en-US" w:eastAsia="zh-CN"/>
              </w:rPr>
              <w:t>表</w:t>
            </w:r>
            <w:r>
              <w:rPr>
                <w:rFonts w:hint="eastAsia" w:ascii="宋体" w:hAnsi="宋体" w:eastAsia="宋体" w:cs="宋体"/>
                <w:b/>
                <w:color w:val="auto"/>
                <w:szCs w:val="21"/>
                <w:lang w:val="zh-CN"/>
              </w:rPr>
              <w:t>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kern w:val="0"/>
                <w:szCs w:val="21"/>
                <w:highlight w:val="none"/>
                <w:lang w:val="zh-CN"/>
              </w:rPr>
            </w:pPr>
            <w:r>
              <w:rPr>
                <w:rFonts w:hint="eastAsia" w:ascii="宋体" w:hAnsi="宋体" w:eastAsia="宋体" w:cs="宋体"/>
                <w:color w:val="auto"/>
                <w:szCs w:val="21"/>
              </w:rPr>
              <w:t>标准化程度</w:t>
            </w:r>
          </w:p>
        </w:tc>
        <w:tc>
          <w:tcPr>
            <w:tcW w:w="7655" w:type="dxa"/>
            <w:tcBorders>
              <w:top w:val="single" w:color="auto" w:sz="4" w:space="0"/>
              <w:left w:val="single" w:color="auto" w:sz="4" w:space="0"/>
              <w:bottom w:val="single" w:color="auto" w:sz="4" w:space="0"/>
              <w:right w:val="single" w:color="auto" w:sz="4" w:space="0"/>
            </w:tcBorders>
            <w:vAlign w:val="center"/>
          </w:tcPr>
          <w:p>
            <w:pPr>
              <w:tabs>
                <w:tab w:val="left" w:pos="134"/>
              </w:tabs>
              <w:spacing w:line="360" w:lineRule="auto"/>
              <w:contextualSpacing/>
              <w:rPr>
                <w:rFonts w:ascii="宋体" w:hAnsi="宋体" w:eastAsia="宋体" w:cs="宋体"/>
                <w:color w:val="auto"/>
                <w:szCs w:val="21"/>
              </w:rPr>
            </w:pPr>
            <w:r>
              <w:rPr>
                <w:rFonts w:hint="eastAsia" w:ascii="宋体" w:hAnsi="宋体" w:eastAsia="宋体" w:cs="宋体"/>
                <w:color w:val="auto"/>
                <w:szCs w:val="21"/>
              </w:rPr>
              <w:t>(1)投标人具有有效期内的ISO9001质量管理体系认证证书得0.5分；</w:t>
            </w:r>
          </w:p>
          <w:p>
            <w:pPr>
              <w:tabs>
                <w:tab w:val="left" w:pos="134"/>
              </w:tabs>
              <w:spacing w:line="360" w:lineRule="auto"/>
              <w:contextualSpacing/>
              <w:rPr>
                <w:rFonts w:ascii="宋体" w:hAnsi="宋体" w:eastAsia="宋体" w:cs="宋体"/>
                <w:color w:val="auto"/>
                <w:szCs w:val="21"/>
              </w:rPr>
            </w:pPr>
            <w:r>
              <w:rPr>
                <w:rFonts w:hint="eastAsia" w:ascii="宋体" w:hAnsi="宋体" w:eastAsia="宋体" w:cs="宋体"/>
                <w:color w:val="auto"/>
                <w:szCs w:val="21"/>
              </w:rPr>
              <w:t>(2)投标人具有有效期内的ISO14001环境管理体系认证证书得0.5分；</w:t>
            </w:r>
          </w:p>
          <w:p>
            <w:pPr>
              <w:tabs>
                <w:tab w:val="left" w:pos="134"/>
              </w:tabs>
              <w:spacing w:line="360" w:lineRule="auto"/>
              <w:contextualSpacing/>
              <w:rPr>
                <w:rFonts w:ascii="宋体" w:hAnsi="宋体" w:eastAsia="宋体" w:cs="宋体"/>
                <w:color w:val="auto"/>
                <w:szCs w:val="21"/>
              </w:rPr>
            </w:pPr>
            <w:r>
              <w:rPr>
                <w:rFonts w:hint="eastAsia" w:ascii="宋体" w:hAnsi="宋体" w:eastAsia="宋体" w:cs="宋体"/>
                <w:color w:val="auto"/>
                <w:szCs w:val="21"/>
              </w:rPr>
              <w:t>(3)投标人具有有效期内的OHSAS18001（或GB/T45001-2020，或IS045001）职业健康安全管理体系认证证书得0.5分。</w:t>
            </w:r>
          </w:p>
          <w:p>
            <w:pPr>
              <w:spacing w:line="360" w:lineRule="auto"/>
              <w:contextualSpacing/>
              <w:rPr>
                <w:rFonts w:ascii="宋体" w:hAnsi="宋体" w:eastAsia="宋体" w:cs="Times New Roman"/>
                <w:b/>
                <w:color w:val="auto"/>
                <w:kern w:val="0"/>
                <w:sz w:val="24"/>
                <w:szCs w:val="24"/>
                <w:highlight w:val="none"/>
              </w:rPr>
            </w:pPr>
            <w:r>
              <w:rPr>
                <w:rFonts w:hint="eastAsia" w:ascii="宋体" w:hAnsi="宋体" w:eastAsia="宋体" w:cs="宋体"/>
                <w:b/>
                <w:color w:val="auto"/>
                <w:szCs w:val="21"/>
              </w:rPr>
              <w:t>备注：投标人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9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kern w:val="0"/>
                <w:szCs w:val="21"/>
                <w:highlight w:val="none"/>
              </w:rPr>
            </w:pPr>
            <w:bookmarkStart w:id="774" w:name="_Hlk104987354"/>
            <w:r>
              <w:rPr>
                <w:rFonts w:hint="eastAsia" w:ascii="宋体" w:hAnsi="宋体" w:eastAsia="宋体" w:cs="宋体"/>
                <w:color w:val="auto"/>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rPr>
              <w:t>业绩</w:t>
            </w:r>
          </w:p>
        </w:tc>
        <w:tc>
          <w:tcPr>
            <w:tcW w:w="76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color w:val="auto"/>
                <w:szCs w:val="21"/>
              </w:rPr>
            </w:pPr>
            <w:r>
              <w:rPr>
                <w:rFonts w:hint="eastAsia" w:ascii="宋体" w:hAnsi="宋体" w:eastAsia="宋体" w:cs="宋体"/>
                <w:color w:val="auto"/>
                <w:szCs w:val="21"/>
              </w:rPr>
              <w:t>投标人2019年1月1日（以合同签订日期为准）至今承接的市政工程检测业绩，按下列情况评分（满分18分）：</w:t>
            </w:r>
          </w:p>
          <w:p>
            <w:pPr>
              <w:spacing w:line="400" w:lineRule="exact"/>
              <w:rPr>
                <w:rFonts w:ascii="宋体" w:hAnsi="宋体" w:eastAsia="宋体" w:cs="宋体"/>
                <w:color w:val="auto"/>
                <w:szCs w:val="21"/>
              </w:rPr>
            </w:pPr>
            <w:r>
              <w:rPr>
                <w:rFonts w:hint="eastAsia" w:ascii="宋体" w:hAnsi="宋体" w:eastAsia="宋体" w:cs="宋体"/>
                <w:color w:val="auto"/>
                <w:szCs w:val="21"/>
              </w:rPr>
              <w:t>①单项合同金额≥</w:t>
            </w:r>
            <w:r>
              <w:rPr>
                <w:rFonts w:hint="eastAsia" w:ascii="宋体" w:hAnsi="宋体" w:eastAsia="宋体" w:cs="宋体"/>
                <w:color w:val="auto"/>
                <w:szCs w:val="21"/>
                <w:lang w:val="en-US" w:eastAsia="zh-CN"/>
              </w:rPr>
              <w:t>140</w:t>
            </w:r>
            <w:r>
              <w:rPr>
                <w:rFonts w:hint="eastAsia" w:ascii="宋体" w:hAnsi="宋体" w:eastAsia="宋体" w:cs="宋体"/>
                <w:color w:val="auto"/>
                <w:szCs w:val="21"/>
              </w:rPr>
              <w:t>万元的前述业绩的，每项得3分；</w:t>
            </w:r>
          </w:p>
          <w:p>
            <w:pPr>
              <w:spacing w:line="400" w:lineRule="exact"/>
              <w:rPr>
                <w:rFonts w:ascii="宋体" w:hAnsi="宋体" w:eastAsia="宋体" w:cs="宋体"/>
                <w:color w:val="auto"/>
                <w:szCs w:val="21"/>
              </w:rPr>
            </w:pPr>
            <w:r>
              <w:rPr>
                <w:rFonts w:hint="eastAsia" w:ascii="宋体" w:hAnsi="宋体" w:eastAsia="宋体" w:cs="宋体"/>
                <w:color w:val="auto"/>
                <w:szCs w:val="21"/>
              </w:rPr>
              <w:t>②</w:t>
            </w:r>
            <w:r>
              <w:rPr>
                <w:rFonts w:hint="eastAsia" w:ascii="宋体" w:hAnsi="宋体" w:eastAsia="宋体" w:cs="宋体"/>
                <w:color w:val="auto"/>
                <w:szCs w:val="21"/>
                <w:lang w:val="en-US" w:eastAsia="zh-CN"/>
              </w:rPr>
              <w:t>90</w:t>
            </w:r>
            <w:r>
              <w:rPr>
                <w:rFonts w:hint="eastAsia" w:ascii="宋体" w:hAnsi="宋体" w:eastAsia="宋体" w:cs="宋体"/>
                <w:color w:val="auto"/>
                <w:szCs w:val="21"/>
              </w:rPr>
              <w:t>万元≤单项合同金额＜</w:t>
            </w:r>
            <w:r>
              <w:rPr>
                <w:rFonts w:hint="eastAsia" w:ascii="宋体" w:hAnsi="宋体" w:eastAsia="宋体" w:cs="宋体"/>
                <w:color w:val="auto"/>
                <w:szCs w:val="21"/>
                <w:lang w:val="en-US" w:eastAsia="zh-CN"/>
              </w:rPr>
              <w:t>140</w:t>
            </w:r>
            <w:r>
              <w:rPr>
                <w:rFonts w:hint="eastAsia" w:ascii="宋体" w:hAnsi="宋体" w:eastAsia="宋体" w:cs="宋体"/>
                <w:color w:val="auto"/>
                <w:szCs w:val="21"/>
              </w:rPr>
              <w:t>万元的前述业绩的，每项得2分；</w:t>
            </w:r>
          </w:p>
          <w:p>
            <w:pPr>
              <w:spacing w:line="400" w:lineRule="exact"/>
              <w:rPr>
                <w:rFonts w:ascii="宋体" w:hAnsi="宋体" w:eastAsia="宋体" w:cs="宋体"/>
                <w:color w:val="auto"/>
                <w:szCs w:val="21"/>
              </w:rPr>
            </w:pPr>
            <w:r>
              <w:rPr>
                <w:rFonts w:hint="eastAsia" w:ascii="宋体" w:hAnsi="宋体" w:eastAsia="宋体" w:cs="宋体"/>
                <w:color w:val="auto"/>
                <w:szCs w:val="21"/>
              </w:rPr>
              <w:t>③</w:t>
            </w:r>
            <w:r>
              <w:rPr>
                <w:rFonts w:hint="eastAsia" w:ascii="宋体" w:hAnsi="宋体" w:eastAsia="宋体" w:cs="宋体"/>
                <w:color w:val="auto"/>
                <w:szCs w:val="21"/>
                <w:lang w:val="en-US" w:eastAsia="zh-CN"/>
              </w:rPr>
              <w:t>40</w:t>
            </w:r>
            <w:r>
              <w:rPr>
                <w:rFonts w:hint="eastAsia" w:ascii="宋体" w:hAnsi="宋体" w:eastAsia="宋体" w:cs="宋体"/>
                <w:color w:val="auto"/>
                <w:szCs w:val="21"/>
              </w:rPr>
              <w:t>万元≤单项合同金额＜</w:t>
            </w:r>
            <w:r>
              <w:rPr>
                <w:rFonts w:hint="eastAsia" w:ascii="宋体" w:hAnsi="宋体" w:eastAsia="宋体" w:cs="宋体"/>
                <w:color w:val="auto"/>
                <w:szCs w:val="21"/>
                <w:lang w:val="en-US" w:eastAsia="zh-CN"/>
              </w:rPr>
              <w:t>90</w:t>
            </w:r>
            <w:r>
              <w:rPr>
                <w:rFonts w:hint="eastAsia" w:ascii="宋体" w:hAnsi="宋体" w:eastAsia="宋体" w:cs="宋体"/>
                <w:color w:val="auto"/>
                <w:szCs w:val="21"/>
              </w:rPr>
              <w:t>万元的前述业绩的，每项得1分，本子项满分6分。</w:t>
            </w:r>
          </w:p>
          <w:p>
            <w:pPr>
              <w:spacing w:line="400" w:lineRule="exact"/>
              <w:rPr>
                <w:rFonts w:ascii="宋体" w:hAnsi="宋体" w:eastAsia="宋体" w:cs="宋体"/>
                <w:b/>
                <w:bCs/>
                <w:color w:val="auto"/>
                <w:szCs w:val="21"/>
              </w:rPr>
            </w:pPr>
            <w:r>
              <w:rPr>
                <w:rFonts w:hint="eastAsia" w:ascii="宋体" w:hAnsi="宋体" w:eastAsia="宋体" w:cs="宋体"/>
                <w:b/>
                <w:bCs/>
                <w:color w:val="auto"/>
                <w:szCs w:val="21"/>
              </w:rPr>
              <w:t>备注：</w:t>
            </w:r>
          </w:p>
          <w:p>
            <w:pPr>
              <w:spacing w:line="400" w:lineRule="exact"/>
              <w:rPr>
                <w:rFonts w:ascii="宋体" w:hAnsi="宋体" w:eastAsia="宋体" w:cs="宋体"/>
                <w:b/>
                <w:bCs/>
                <w:color w:val="auto"/>
                <w:szCs w:val="21"/>
              </w:rPr>
            </w:pPr>
            <w:r>
              <w:rPr>
                <w:rFonts w:hint="eastAsia" w:ascii="宋体" w:hAnsi="宋体" w:eastAsia="宋体" w:cs="宋体"/>
                <w:b/>
                <w:bCs/>
                <w:color w:val="auto"/>
                <w:szCs w:val="21"/>
              </w:rPr>
              <w:t>1）业绩须附合同复印件加盖投标人公章，否则不得分；</w:t>
            </w:r>
          </w:p>
          <w:p>
            <w:pPr>
              <w:spacing w:line="400" w:lineRule="exact"/>
              <w:rPr>
                <w:rFonts w:ascii="宋体" w:hAnsi="宋体" w:eastAsia="宋体" w:cs="宋体"/>
                <w:b/>
                <w:bCs/>
                <w:color w:val="auto"/>
                <w:szCs w:val="21"/>
              </w:rPr>
            </w:pPr>
            <w:r>
              <w:rPr>
                <w:rFonts w:hint="eastAsia" w:ascii="宋体" w:hAnsi="宋体" w:eastAsia="宋体" w:cs="宋体"/>
                <w:b/>
                <w:bCs/>
                <w:color w:val="auto"/>
                <w:szCs w:val="21"/>
              </w:rPr>
              <w:t>2）合同业绩证明材料必须能反映评分条件</w:t>
            </w:r>
            <w:r>
              <w:rPr>
                <w:rFonts w:hint="eastAsia" w:ascii="宋体" w:hAnsi="宋体" w:eastAsia="宋体" w:cs="宋体"/>
                <w:b/>
                <w:bCs/>
                <w:color w:val="auto"/>
                <w:szCs w:val="21"/>
                <w:lang w:eastAsia="zh-CN"/>
              </w:rPr>
              <w:t>（</w:t>
            </w:r>
            <w:r>
              <w:rPr>
                <w:rFonts w:hint="eastAsia" w:ascii="宋体" w:hAnsi="宋体" w:eastAsia="宋体" w:cs="宋体"/>
                <w:b/>
                <w:bCs/>
                <w:color w:val="auto"/>
                <w:szCs w:val="21"/>
              </w:rPr>
              <w:t>合同签订日期为2019年1月1日或以后，业绩类型为市政工程检测，合同金额</w:t>
            </w:r>
            <w:r>
              <w:rPr>
                <w:rFonts w:hint="eastAsia" w:ascii="宋体" w:hAnsi="宋体" w:eastAsia="宋体" w:cs="宋体"/>
                <w:b/>
                <w:bCs/>
                <w:color w:val="auto"/>
                <w:szCs w:val="21"/>
                <w:lang w:eastAsia="zh-CN"/>
              </w:rPr>
              <w:t>）</w:t>
            </w:r>
            <w:r>
              <w:rPr>
                <w:rFonts w:hint="eastAsia" w:ascii="宋体" w:hAnsi="宋体" w:eastAsia="宋体" w:cs="宋体"/>
                <w:b/>
                <w:bCs/>
                <w:color w:val="auto"/>
                <w:szCs w:val="21"/>
              </w:rPr>
              <w:t>，若合同内容无法反映合同金额的，需提供可反映合同金额的结算资料复印件，否则需同时提供业主出具的书面补充情况说明文件（须加盖业主单位公章）复印件；</w:t>
            </w:r>
          </w:p>
          <w:p>
            <w:pPr>
              <w:spacing w:line="400" w:lineRule="exact"/>
              <w:rPr>
                <w:rFonts w:ascii="宋体" w:hAnsi="宋体" w:eastAsia="宋体" w:cs="Times New Roman"/>
                <w:b/>
                <w:color w:val="auto"/>
                <w:kern w:val="0"/>
                <w:szCs w:val="21"/>
                <w:highlight w:val="none"/>
              </w:rPr>
            </w:pPr>
            <w:r>
              <w:rPr>
                <w:rFonts w:hint="eastAsia" w:ascii="宋体" w:hAnsi="宋体" w:eastAsia="宋体" w:cs="宋体"/>
                <w:b/>
                <w:bCs/>
                <w:color w:val="auto"/>
                <w:szCs w:val="21"/>
              </w:rPr>
              <w:t>3）未按上述要求提供证明材料的业绩，或所附材料无法证明填报项目符合本项评分要求的业绩，在评标时将不予考虑。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Cs w:val="24"/>
                <w:highlight w:val="none"/>
              </w:rPr>
            </w:pPr>
            <w:r>
              <w:rPr>
                <w:rFonts w:hint="eastAsia" w:ascii="宋体" w:hAnsi="宋体" w:eastAsia="宋体" w:cs="宋体"/>
                <w:color w:val="auto"/>
                <w:szCs w:val="21"/>
              </w:rPr>
              <w:t>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kern w:val="0"/>
                <w:szCs w:val="21"/>
                <w:highlight w:val="none"/>
              </w:rPr>
            </w:pPr>
            <w:bookmarkStart w:id="775" w:name="_Toc11639_WPSOffice_Level2"/>
            <w:r>
              <w:rPr>
                <w:rFonts w:hint="eastAsia" w:ascii="宋体" w:hAnsi="宋体" w:eastAsia="宋体" w:cs="宋体"/>
                <w:color w:val="auto"/>
                <w:szCs w:val="21"/>
                <w:lang w:val="en-US" w:eastAsia="zh-CN"/>
              </w:rPr>
              <w:t>4</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rPr>
              <w:t>拟投入人员情况</w:t>
            </w:r>
          </w:p>
        </w:tc>
        <w:tc>
          <w:tcPr>
            <w:tcW w:w="76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color w:val="auto"/>
                <w:szCs w:val="21"/>
              </w:rPr>
            </w:pPr>
            <w:r>
              <w:rPr>
                <w:rFonts w:hint="eastAsia" w:ascii="宋体" w:hAnsi="宋体" w:eastAsia="宋体" w:cs="宋体"/>
                <w:color w:val="auto"/>
                <w:szCs w:val="21"/>
              </w:rPr>
              <w:t>(1)项目负责人（满分6分）：</w:t>
            </w:r>
          </w:p>
          <w:p>
            <w:pPr>
              <w:spacing w:line="400" w:lineRule="exact"/>
              <w:rPr>
                <w:rFonts w:ascii="宋体" w:hAnsi="宋体" w:eastAsia="宋体" w:cs="宋体"/>
                <w:color w:val="auto"/>
                <w:szCs w:val="21"/>
              </w:rPr>
            </w:pPr>
            <w:r>
              <w:rPr>
                <w:rFonts w:hint="eastAsia" w:ascii="宋体" w:hAnsi="宋体" w:eastAsia="宋体" w:cs="宋体"/>
                <w:color w:val="auto"/>
                <w:szCs w:val="21"/>
              </w:rPr>
              <w:t>①具有工程类专业高级工程师职称的，得3分；</w:t>
            </w:r>
          </w:p>
          <w:p>
            <w:pPr>
              <w:spacing w:line="400" w:lineRule="exact"/>
              <w:rPr>
                <w:rFonts w:hint="eastAsia" w:ascii="宋体" w:hAnsi="宋体" w:eastAsia="宋体" w:cs="宋体"/>
                <w:color w:val="auto"/>
                <w:szCs w:val="21"/>
                <w:lang w:eastAsia="zh-CN"/>
              </w:rPr>
            </w:pPr>
            <w:r>
              <w:rPr>
                <w:rFonts w:hint="eastAsia" w:ascii="宋体" w:hAnsi="宋体" w:eastAsia="宋体" w:cs="宋体"/>
                <w:color w:val="auto"/>
                <w:szCs w:val="21"/>
              </w:rPr>
              <w:t>②2019年1月1日以来（以合同签订日期为准），作为项目负责人，承接过一项市政工程检测项目的，得3分</w:t>
            </w:r>
            <w:r>
              <w:rPr>
                <w:rFonts w:hint="eastAsia" w:ascii="宋体" w:hAnsi="宋体" w:eastAsia="宋体" w:cs="宋体"/>
                <w:color w:val="auto"/>
                <w:szCs w:val="21"/>
                <w:lang w:eastAsia="zh-CN"/>
              </w:rPr>
              <w:t>。</w:t>
            </w:r>
          </w:p>
          <w:p>
            <w:pPr>
              <w:spacing w:line="400" w:lineRule="exact"/>
              <w:rPr>
                <w:rFonts w:ascii="宋体" w:hAnsi="宋体" w:eastAsia="宋体" w:cs="宋体"/>
                <w:b/>
                <w:bCs/>
                <w:color w:val="auto"/>
                <w:szCs w:val="21"/>
              </w:rPr>
            </w:pPr>
            <w:r>
              <w:rPr>
                <w:rFonts w:hint="eastAsia" w:ascii="宋体" w:hAnsi="宋体" w:eastAsia="宋体" w:cs="宋体"/>
                <w:b/>
                <w:bCs/>
                <w:color w:val="auto"/>
                <w:szCs w:val="21"/>
              </w:rPr>
              <w:t>备注：</w:t>
            </w:r>
          </w:p>
          <w:p>
            <w:pPr>
              <w:spacing w:line="400" w:lineRule="exact"/>
              <w:rPr>
                <w:rFonts w:hint="eastAsia" w:ascii="宋体" w:hAnsi="宋体" w:eastAsia="宋体" w:cs="宋体"/>
                <w:b/>
                <w:bCs/>
                <w:color w:val="auto"/>
                <w:szCs w:val="21"/>
                <w:lang w:eastAsia="zh-CN"/>
              </w:rPr>
            </w:pPr>
            <w:r>
              <w:rPr>
                <w:rFonts w:hint="eastAsia" w:ascii="宋体" w:hAnsi="宋体" w:eastAsia="宋体" w:cs="宋体"/>
                <w:b/>
                <w:bCs/>
                <w:color w:val="auto"/>
                <w:szCs w:val="21"/>
              </w:rPr>
              <w:t>1）须提供身份证、职称证书（或注册证书）、社会保障部门出具的最近1年（即2023年</w:t>
            </w:r>
            <w:r>
              <w:rPr>
                <w:rFonts w:hint="eastAsia" w:ascii="宋体" w:hAnsi="宋体" w:eastAsia="宋体" w:cs="宋体"/>
                <w:b/>
                <w:bCs/>
                <w:color w:val="auto"/>
                <w:szCs w:val="21"/>
                <w:lang w:val="en-US" w:eastAsia="zh-CN"/>
              </w:rPr>
              <w:t>4</w:t>
            </w:r>
            <w:r>
              <w:rPr>
                <w:rFonts w:hint="eastAsia" w:ascii="宋体" w:hAnsi="宋体" w:eastAsia="宋体" w:cs="宋体"/>
                <w:b/>
                <w:bCs/>
                <w:color w:val="auto"/>
                <w:szCs w:val="21"/>
              </w:rPr>
              <w:t>月至202</w:t>
            </w:r>
            <w:r>
              <w:rPr>
                <w:rFonts w:hint="eastAsia" w:ascii="宋体" w:hAnsi="宋体" w:eastAsia="宋体" w:cs="宋体"/>
                <w:b/>
                <w:bCs/>
                <w:color w:val="auto"/>
                <w:szCs w:val="21"/>
                <w:lang w:val="en-US" w:eastAsia="zh-CN"/>
              </w:rPr>
              <w:t>4</w:t>
            </w:r>
            <w:r>
              <w:rPr>
                <w:rFonts w:hint="eastAsia" w:ascii="宋体" w:hAnsi="宋体" w:eastAsia="宋体" w:cs="宋体"/>
                <w:b/>
                <w:bCs/>
                <w:color w:val="auto"/>
                <w:szCs w:val="21"/>
              </w:rPr>
              <w:t>年</w:t>
            </w:r>
            <w:r>
              <w:rPr>
                <w:rFonts w:hint="eastAsia" w:ascii="宋体" w:hAnsi="宋体" w:eastAsia="宋体" w:cs="宋体"/>
                <w:b/>
                <w:bCs/>
                <w:color w:val="auto"/>
                <w:szCs w:val="21"/>
                <w:lang w:val="en-US" w:eastAsia="zh-CN"/>
              </w:rPr>
              <w:t>3</w:t>
            </w:r>
            <w:r>
              <w:rPr>
                <w:rFonts w:hint="eastAsia" w:ascii="宋体" w:hAnsi="宋体" w:eastAsia="宋体" w:cs="宋体"/>
                <w:b/>
                <w:bCs/>
                <w:color w:val="auto"/>
                <w:szCs w:val="21"/>
              </w:rPr>
              <w:t>月）在投标人单位缴纳社会养老保险有效凭证等证明材料复印件加盖投标人公章</w:t>
            </w:r>
            <w:r>
              <w:rPr>
                <w:rFonts w:hint="eastAsia" w:ascii="宋体" w:hAnsi="宋体" w:eastAsia="宋体" w:cs="宋体"/>
                <w:b/>
                <w:bCs/>
                <w:color w:val="auto"/>
                <w:szCs w:val="21"/>
                <w:lang w:eastAsia="zh-CN"/>
              </w:rPr>
              <w:t>；</w:t>
            </w:r>
          </w:p>
          <w:p>
            <w:pPr>
              <w:spacing w:line="400" w:lineRule="exact"/>
              <w:rPr>
                <w:rFonts w:ascii="宋体" w:hAnsi="宋体" w:eastAsia="宋体" w:cs="Times New Roman"/>
                <w:b/>
                <w:color w:val="auto"/>
                <w:kern w:val="0"/>
                <w:szCs w:val="21"/>
                <w:highlight w:val="none"/>
              </w:rPr>
            </w:pPr>
            <w:r>
              <w:rPr>
                <w:rFonts w:hint="eastAsia" w:ascii="宋体" w:hAnsi="宋体" w:eastAsia="宋体" w:cs="宋体"/>
                <w:b/>
                <w:bCs/>
                <w:color w:val="auto"/>
                <w:szCs w:val="21"/>
              </w:rPr>
              <w:t>2）项目负责人业绩须附合同复印件加盖投标人公章，合同业绩证明材料必须能反映评审条件</w:t>
            </w:r>
            <w:r>
              <w:rPr>
                <w:rFonts w:hint="eastAsia" w:ascii="宋体" w:hAnsi="宋体" w:eastAsia="宋体" w:cs="宋体"/>
                <w:b/>
                <w:bCs/>
                <w:color w:val="auto"/>
                <w:szCs w:val="21"/>
                <w:lang w:eastAsia="zh-CN"/>
              </w:rPr>
              <w:t>（</w:t>
            </w:r>
            <w:r>
              <w:rPr>
                <w:rFonts w:hint="eastAsia" w:ascii="宋体" w:hAnsi="宋体" w:eastAsia="宋体" w:cs="宋体"/>
                <w:b/>
                <w:bCs/>
                <w:color w:val="auto"/>
                <w:szCs w:val="21"/>
              </w:rPr>
              <w:t>合同签订日期为2019年1月1日或以后，业绩类型为市政工程检测，项目负责人信息</w:t>
            </w:r>
            <w:r>
              <w:rPr>
                <w:rFonts w:hint="eastAsia" w:ascii="宋体" w:hAnsi="宋体" w:eastAsia="宋体" w:cs="宋体"/>
                <w:b/>
                <w:bCs/>
                <w:color w:val="auto"/>
                <w:szCs w:val="21"/>
                <w:lang w:eastAsia="zh-CN"/>
              </w:rPr>
              <w:t>）</w:t>
            </w:r>
            <w:r>
              <w:rPr>
                <w:rFonts w:hint="eastAsia" w:ascii="宋体" w:hAnsi="宋体" w:eastAsia="宋体" w:cs="宋体"/>
                <w:b/>
                <w:bCs/>
                <w:color w:val="auto"/>
                <w:szCs w:val="21"/>
              </w:rPr>
              <w:t>，否则需同时提供业主出具的书面补充情况说明文件（须加盖业主单位公章）复印件。</w:t>
            </w:r>
          </w:p>
        </w:tc>
        <w:tc>
          <w:tcPr>
            <w:tcW w:w="90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Cs w:val="24"/>
                <w:highlight w:val="none"/>
              </w:rPr>
            </w:pPr>
            <w:r>
              <w:rPr>
                <w:rFonts w:hint="eastAsia" w:ascii="宋体" w:hAnsi="宋体" w:eastAsia="宋体" w:cs="宋体"/>
                <w:color w:val="auto"/>
                <w:szCs w:val="21"/>
              </w:rPr>
              <w:t>17分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kern w:val="0"/>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kern w:val="0"/>
                <w:szCs w:val="21"/>
                <w:highlight w:val="none"/>
              </w:rPr>
            </w:pPr>
          </w:p>
        </w:tc>
        <w:tc>
          <w:tcPr>
            <w:tcW w:w="76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color w:val="auto"/>
                <w:szCs w:val="21"/>
              </w:rPr>
            </w:pPr>
            <w:r>
              <w:rPr>
                <w:rFonts w:hint="eastAsia" w:ascii="宋体" w:hAnsi="宋体" w:eastAsia="宋体" w:cs="宋体"/>
                <w:color w:val="auto"/>
                <w:szCs w:val="21"/>
              </w:rPr>
              <w:t>(2)技术负责人（满分6分）：</w:t>
            </w:r>
          </w:p>
          <w:p>
            <w:pPr>
              <w:spacing w:line="400" w:lineRule="exact"/>
              <w:rPr>
                <w:rFonts w:ascii="宋体" w:hAnsi="宋体" w:eastAsia="宋体" w:cs="宋体"/>
                <w:color w:val="auto"/>
                <w:szCs w:val="21"/>
              </w:rPr>
            </w:pPr>
            <w:r>
              <w:rPr>
                <w:rFonts w:hint="eastAsia" w:ascii="宋体" w:hAnsi="宋体" w:eastAsia="宋体" w:cs="宋体"/>
                <w:color w:val="auto"/>
                <w:szCs w:val="21"/>
              </w:rPr>
              <w:t>①具有工程类专业高级工程师职称的，得3分；</w:t>
            </w:r>
          </w:p>
          <w:p>
            <w:pPr>
              <w:spacing w:line="400" w:lineRule="exact"/>
              <w:rPr>
                <w:rFonts w:hint="eastAsia" w:ascii="宋体" w:hAnsi="宋体" w:eastAsia="宋体" w:cs="宋体"/>
                <w:color w:val="auto"/>
                <w:szCs w:val="21"/>
                <w:lang w:eastAsia="zh-CN"/>
              </w:rPr>
            </w:pPr>
            <w:r>
              <w:rPr>
                <w:rFonts w:hint="eastAsia" w:ascii="宋体" w:hAnsi="宋体" w:eastAsia="宋体" w:cs="宋体"/>
                <w:color w:val="auto"/>
                <w:szCs w:val="21"/>
              </w:rPr>
              <w:t>②2019年1月1日以来（以合同签订日期为准），作为技术负责人，承接过一项市政工程检测项目的，得3分</w:t>
            </w:r>
            <w:r>
              <w:rPr>
                <w:rFonts w:hint="eastAsia" w:ascii="宋体" w:hAnsi="宋体" w:eastAsia="宋体" w:cs="宋体"/>
                <w:color w:val="auto"/>
                <w:szCs w:val="21"/>
                <w:lang w:eastAsia="zh-CN"/>
              </w:rPr>
              <w:t>。</w:t>
            </w:r>
          </w:p>
          <w:p>
            <w:pPr>
              <w:spacing w:line="400" w:lineRule="exact"/>
              <w:rPr>
                <w:rFonts w:ascii="宋体" w:hAnsi="宋体" w:eastAsia="宋体" w:cs="宋体"/>
                <w:b/>
                <w:bCs/>
                <w:color w:val="auto"/>
                <w:szCs w:val="21"/>
              </w:rPr>
            </w:pPr>
            <w:r>
              <w:rPr>
                <w:rFonts w:hint="eastAsia" w:ascii="宋体" w:hAnsi="宋体" w:eastAsia="宋体" w:cs="宋体"/>
                <w:b/>
                <w:bCs/>
                <w:color w:val="auto"/>
                <w:szCs w:val="21"/>
              </w:rPr>
              <w:t>备注：</w:t>
            </w:r>
          </w:p>
          <w:p>
            <w:pPr>
              <w:spacing w:line="400" w:lineRule="exact"/>
              <w:rPr>
                <w:rFonts w:hint="eastAsia" w:ascii="宋体" w:hAnsi="宋体" w:eastAsia="宋体" w:cs="宋体"/>
                <w:b/>
                <w:bCs/>
                <w:color w:val="auto"/>
                <w:szCs w:val="21"/>
                <w:lang w:eastAsia="zh-CN"/>
              </w:rPr>
            </w:pPr>
            <w:r>
              <w:rPr>
                <w:rFonts w:hint="eastAsia" w:ascii="宋体" w:hAnsi="宋体" w:eastAsia="宋体" w:cs="宋体"/>
                <w:b/>
                <w:bCs/>
                <w:color w:val="auto"/>
                <w:szCs w:val="21"/>
              </w:rPr>
              <w:t>1）须提供身份证、职称证书（或注册证书）、社会保障部门出具的最近1年（即2023年</w:t>
            </w:r>
            <w:r>
              <w:rPr>
                <w:rFonts w:hint="eastAsia" w:ascii="宋体" w:hAnsi="宋体" w:eastAsia="宋体" w:cs="宋体"/>
                <w:b/>
                <w:bCs/>
                <w:color w:val="auto"/>
                <w:szCs w:val="21"/>
                <w:lang w:val="en-US" w:eastAsia="zh-CN"/>
              </w:rPr>
              <w:t>4</w:t>
            </w:r>
            <w:r>
              <w:rPr>
                <w:rFonts w:hint="eastAsia" w:ascii="宋体" w:hAnsi="宋体" w:eastAsia="宋体" w:cs="宋体"/>
                <w:b/>
                <w:bCs/>
                <w:color w:val="auto"/>
                <w:szCs w:val="21"/>
              </w:rPr>
              <w:t>月至202</w:t>
            </w:r>
            <w:r>
              <w:rPr>
                <w:rFonts w:hint="eastAsia" w:ascii="宋体" w:hAnsi="宋体" w:eastAsia="宋体" w:cs="宋体"/>
                <w:b/>
                <w:bCs/>
                <w:color w:val="auto"/>
                <w:szCs w:val="21"/>
                <w:lang w:val="en-US" w:eastAsia="zh-CN"/>
              </w:rPr>
              <w:t>4</w:t>
            </w:r>
            <w:r>
              <w:rPr>
                <w:rFonts w:hint="eastAsia" w:ascii="宋体" w:hAnsi="宋体" w:eastAsia="宋体" w:cs="宋体"/>
                <w:b/>
                <w:bCs/>
                <w:color w:val="auto"/>
                <w:szCs w:val="21"/>
              </w:rPr>
              <w:t>年</w:t>
            </w:r>
            <w:r>
              <w:rPr>
                <w:rFonts w:hint="eastAsia" w:ascii="宋体" w:hAnsi="宋体" w:eastAsia="宋体" w:cs="宋体"/>
                <w:b/>
                <w:bCs/>
                <w:color w:val="auto"/>
                <w:szCs w:val="21"/>
                <w:lang w:val="en-US" w:eastAsia="zh-CN"/>
              </w:rPr>
              <w:t>3</w:t>
            </w:r>
            <w:r>
              <w:rPr>
                <w:rFonts w:hint="eastAsia" w:ascii="宋体" w:hAnsi="宋体" w:eastAsia="宋体" w:cs="宋体"/>
                <w:b/>
                <w:bCs/>
                <w:color w:val="auto"/>
                <w:szCs w:val="21"/>
              </w:rPr>
              <w:t>月）在投标人单位缴纳社会养老保险有效凭证等证明材料复印件加盖投标人公章</w:t>
            </w:r>
            <w:r>
              <w:rPr>
                <w:rFonts w:hint="eastAsia" w:ascii="宋体" w:hAnsi="宋体" w:eastAsia="宋体" w:cs="宋体"/>
                <w:b/>
                <w:bCs/>
                <w:color w:val="auto"/>
                <w:szCs w:val="21"/>
                <w:lang w:eastAsia="zh-CN"/>
              </w:rPr>
              <w:t>；</w:t>
            </w:r>
          </w:p>
          <w:p>
            <w:pPr>
              <w:spacing w:line="400" w:lineRule="exact"/>
              <w:rPr>
                <w:rFonts w:ascii="宋体" w:hAnsi="宋体" w:eastAsia="宋体" w:cs="Times New Roman"/>
                <w:b/>
                <w:color w:val="auto"/>
                <w:kern w:val="0"/>
                <w:szCs w:val="21"/>
                <w:highlight w:val="none"/>
              </w:rPr>
            </w:pPr>
            <w:r>
              <w:rPr>
                <w:rFonts w:hint="eastAsia" w:ascii="宋体" w:hAnsi="宋体" w:eastAsia="宋体" w:cs="宋体"/>
                <w:b/>
                <w:bCs/>
                <w:color w:val="auto"/>
                <w:szCs w:val="21"/>
              </w:rPr>
              <w:t>2）技术负责人业绩须附合同复印件加盖投标人公章，合同业绩证明材料必须能反映评审条件</w:t>
            </w:r>
            <w:r>
              <w:rPr>
                <w:rFonts w:hint="eastAsia" w:ascii="宋体" w:hAnsi="宋体" w:eastAsia="宋体" w:cs="宋体"/>
                <w:b/>
                <w:bCs/>
                <w:color w:val="auto"/>
                <w:szCs w:val="21"/>
                <w:lang w:eastAsia="zh-CN"/>
              </w:rPr>
              <w:t>（</w:t>
            </w:r>
            <w:r>
              <w:rPr>
                <w:rFonts w:hint="eastAsia" w:ascii="宋体" w:hAnsi="宋体" w:eastAsia="宋体" w:cs="宋体"/>
                <w:b/>
                <w:bCs/>
                <w:color w:val="auto"/>
                <w:szCs w:val="21"/>
              </w:rPr>
              <w:t>合同签订日期为2019年1月1日或以后，业绩类型为市政工程检测，技术负责人信息</w:t>
            </w:r>
            <w:r>
              <w:rPr>
                <w:rFonts w:hint="eastAsia" w:ascii="宋体" w:hAnsi="宋体" w:eastAsia="宋体" w:cs="宋体"/>
                <w:b/>
                <w:bCs/>
                <w:color w:val="auto"/>
                <w:szCs w:val="21"/>
                <w:lang w:eastAsia="zh-CN"/>
              </w:rPr>
              <w:t>）</w:t>
            </w:r>
            <w:r>
              <w:rPr>
                <w:rFonts w:hint="eastAsia" w:ascii="宋体" w:hAnsi="宋体" w:eastAsia="宋体" w:cs="宋体"/>
                <w:b/>
                <w:bCs/>
                <w:color w:val="auto"/>
                <w:szCs w:val="21"/>
              </w:rPr>
              <w:t>，否则需同时提供业主出具的书面补充情况说明文件（须加盖业主单位公章）复印件。</w:t>
            </w:r>
          </w:p>
        </w:tc>
        <w:tc>
          <w:tcPr>
            <w:tcW w:w="90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kern w:val="0"/>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kern w:val="0"/>
                <w:szCs w:val="21"/>
                <w:highlight w:val="none"/>
              </w:rPr>
            </w:pPr>
          </w:p>
        </w:tc>
        <w:tc>
          <w:tcPr>
            <w:tcW w:w="76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color w:val="auto"/>
                <w:szCs w:val="21"/>
              </w:rPr>
            </w:pPr>
            <w:r>
              <w:rPr>
                <w:rFonts w:hint="eastAsia" w:ascii="宋体" w:hAnsi="宋体" w:eastAsia="宋体" w:cs="宋体"/>
                <w:color w:val="auto"/>
                <w:szCs w:val="21"/>
              </w:rPr>
              <w:t>(3)拟投入人员（不含项目负责人和技术负责人）：</w:t>
            </w:r>
          </w:p>
          <w:p>
            <w:pPr>
              <w:spacing w:line="400" w:lineRule="exact"/>
              <w:rPr>
                <w:rFonts w:ascii="宋体" w:hAnsi="宋体" w:eastAsia="宋体" w:cs="宋体"/>
                <w:color w:val="auto"/>
                <w:szCs w:val="21"/>
              </w:rPr>
            </w:pPr>
            <w:r>
              <w:rPr>
                <w:rFonts w:hint="eastAsia" w:ascii="宋体" w:hAnsi="宋体" w:eastAsia="宋体" w:cs="宋体"/>
                <w:color w:val="auto"/>
                <w:szCs w:val="21"/>
              </w:rPr>
              <w:t>具有工程类专业中级工程师（或以上）职称的，每人得1分，本子项满分5分。</w:t>
            </w:r>
          </w:p>
          <w:p>
            <w:pPr>
              <w:spacing w:line="400" w:lineRule="exact"/>
              <w:rPr>
                <w:rFonts w:ascii="宋体" w:hAnsi="宋体" w:eastAsia="宋体" w:cs="宋体"/>
                <w:b/>
                <w:bCs/>
                <w:color w:val="auto"/>
                <w:szCs w:val="21"/>
              </w:rPr>
            </w:pPr>
            <w:r>
              <w:rPr>
                <w:rFonts w:hint="eastAsia" w:ascii="宋体" w:hAnsi="宋体" w:eastAsia="宋体" w:cs="宋体"/>
                <w:b/>
                <w:bCs/>
                <w:color w:val="auto"/>
                <w:szCs w:val="21"/>
              </w:rPr>
              <w:t>备注：</w:t>
            </w:r>
          </w:p>
          <w:p>
            <w:pPr>
              <w:spacing w:line="400" w:lineRule="exact"/>
              <w:rPr>
                <w:rFonts w:hint="eastAsia" w:ascii="宋体" w:hAnsi="宋体" w:eastAsia="宋体" w:cs="宋体"/>
                <w:b/>
                <w:bCs/>
                <w:color w:val="auto"/>
                <w:szCs w:val="21"/>
                <w:lang w:eastAsia="zh-CN"/>
              </w:rPr>
            </w:pPr>
            <w:r>
              <w:rPr>
                <w:rFonts w:hint="eastAsia" w:ascii="宋体" w:hAnsi="宋体" w:eastAsia="宋体" w:cs="宋体"/>
                <w:b/>
                <w:bCs/>
                <w:color w:val="auto"/>
                <w:szCs w:val="21"/>
              </w:rPr>
              <w:t>1）须提供身份证、职称证书或资格证书、社会保障部门出具的最近1年（即2023年</w:t>
            </w:r>
            <w:r>
              <w:rPr>
                <w:rFonts w:hint="eastAsia" w:ascii="宋体" w:hAnsi="宋体" w:eastAsia="宋体" w:cs="宋体"/>
                <w:b/>
                <w:bCs/>
                <w:color w:val="auto"/>
                <w:szCs w:val="21"/>
                <w:lang w:val="en-US" w:eastAsia="zh-CN"/>
              </w:rPr>
              <w:t>4</w:t>
            </w:r>
            <w:r>
              <w:rPr>
                <w:rFonts w:hint="eastAsia" w:ascii="宋体" w:hAnsi="宋体" w:eastAsia="宋体" w:cs="宋体"/>
                <w:b/>
                <w:bCs/>
                <w:color w:val="auto"/>
                <w:szCs w:val="21"/>
              </w:rPr>
              <w:t>月至202</w:t>
            </w:r>
            <w:r>
              <w:rPr>
                <w:rFonts w:hint="eastAsia" w:ascii="宋体" w:hAnsi="宋体" w:eastAsia="宋体" w:cs="宋体"/>
                <w:b/>
                <w:bCs/>
                <w:color w:val="auto"/>
                <w:szCs w:val="21"/>
                <w:lang w:val="en-US" w:eastAsia="zh-CN"/>
              </w:rPr>
              <w:t>4</w:t>
            </w:r>
            <w:r>
              <w:rPr>
                <w:rFonts w:hint="eastAsia" w:ascii="宋体" w:hAnsi="宋体" w:eastAsia="宋体" w:cs="宋体"/>
                <w:b/>
                <w:bCs/>
                <w:color w:val="auto"/>
                <w:szCs w:val="21"/>
              </w:rPr>
              <w:t>年</w:t>
            </w:r>
            <w:r>
              <w:rPr>
                <w:rFonts w:hint="eastAsia" w:ascii="宋体" w:hAnsi="宋体" w:eastAsia="宋体" w:cs="宋体"/>
                <w:b/>
                <w:bCs/>
                <w:color w:val="auto"/>
                <w:szCs w:val="21"/>
                <w:lang w:val="en-US" w:eastAsia="zh-CN"/>
              </w:rPr>
              <w:t>3</w:t>
            </w:r>
            <w:r>
              <w:rPr>
                <w:rFonts w:hint="eastAsia" w:ascii="宋体" w:hAnsi="宋体" w:eastAsia="宋体" w:cs="宋体"/>
                <w:b/>
                <w:bCs/>
                <w:color w:val="auto"/>
                <w:szCs w:val="21"/>
              </w:rPr>
              <w:t>月）在投标人单位缴纳社会养老保险有效凭证等证明材料复印件加盖投标人公章</w:t>
            </w:r>
            <w:r>
              <w:rPr>
                <w:rFonts w:hint="eastAsia" w:ascii="宋体" w:hAnsi="宋体" w:eastAsia="宋体" w:cs="宋体"/>
                <w:b/>
                <w:bCs/>
                <w:color w:val="auto"/>
                <w:szCs w:val="21"/>
                <w:lang w:eastAsia="zh-CN"/>
              </w:rPr>
              <w:t>；</w:t>
            </w:r>
          </w:p>
          <w:p>
            <w:pPr>
              <w:spacing w:line="400" w:lineRule="exact"/>
              <w:rPr>
                <w:rFonts w:hint="eastAsia" w:ascii="宋体" w:hAnsi="宋体" w:eastAsia="宋体" w:cs="宋体"/>
                <w:b/>
                <w:bCs/>
                <w:color w:val="auto"/>
                <w:szCs w:val="21"/>
                <w:lang w:eastAsia="zh-CN"/>
              </w:rPr>
            </w:pPr>
            <w:r>
              <w:rPr>
                <w:rFonts w:hint="eastAsia" w:ascii="宋体" w:hAnsi="宋体" w:eastAsia="宋体" w:cs="宋体"/>
                <w:b/>
                <w:bCs/>
                <w:color w:val="auto"/>
                <w:szCs w:val="21"/>
              </w:rPr>
              <w:t>2）同一人员具备多个种类证书不重复得分</w:t>
            </w:r>
            <w:r>
              <w:rPr>
                <w:rFonts w:hint="eastAsia" w:ascii="宋体" w:hAnsi="宋体" w:eastAsia="宋体" w:cs="宋体"/>
                <w:b/>
                <w:bCs/>
                <w:color w:val="auto"/>
                <w:szCs w:val="21"/>
                <w:lang w:eastAsia="zh-CN"/>
              </w:rPr>
              <w:t>；</w:t>
            </w:r>
          </w:p>
          <w:p>
            <w:pPr>
              <w:spacing w:line="400" w:lineRule="exact"/>
              <w:rPr>
                <w:rFonts w:ascii="宋体" w:hAnsi="宋体" w:eastAsia="宋体" w:cs="Times New Roman"/>
                <w:b/>
                <w:color w:val="auto"/>
                <w:kern w:val="0"/>
                <w:szCs w:val="21"/>
                <w:highlight w:val="none"/>
              </w:rPr>
            </w:pPr>
            <w:r>
              <w:rPr>
                <w:rFonts w:hint="eastAsia" w:ascii="宋体" w:hAnsi="宋体" w:eastAsia="宋体" w:cs="宋体"/>
                <w:b/>
                <w:bCs/>
                <w:color w:val="auto"/>
                <w:szCs w:val="21"/>
              </w:rPr>
              <w:t>3）同一人员具备同一种类证书或同一个专业含有多个</w:t>
            </w:r>
            <w:r>
              <w:rPr>
                <w:rFonts w:hint="eastAsia" w:ascii="宋体" w:hAnsi="宋体" w:eastAsia="宋体" w:cs="宋体"/>
                <w:b/>
                <w:bCs/>
                <w:color w:val="auto"/>
                <w:szCs w:val="21"/>
                <w:lang w:val="en-US" w:eastAsia="zh-CN"/>
              </w:rPr>
              <w:t>等级</w:t>
            </w:r>
            <w:r>
              <w:rPr>
                <w:rFonts w:hint="eastAsia" w:ascii="宋体" w:hAnsi="宋体" w:eastAsia="宋体" w:cs="宋体"/>
                <w:b/>
                <w:bCs/>
                <w:color w:val="auto"/>
                <w:szCs w:val="21"/>
              </w:rPr>
              <w:t>的仅按最高等级证书计算一次得分。</w:t>
            </w:r>
          </w:p>
        </w:tc>
        <w:tc>
          <w:tcPr>
            <w:tcW w:w="90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lang w:val="en-US" w:eastAsia="zh-CN"/>
              </w:rPr>
              <w:t>5</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rPr>
              <w:t>获奖情况</w:t>
            </w:r>
          </w:p>
        </w:tc>
        <w:tc>
          <w:tcPr>
            <w:tcW w:w="7655"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eastAsia="宋体" w:cs="宋体"/>
                <w:color w:val="auto"/>
                <w:szCs w:val="21"/>
              </w:rPr>
            </w:pPr>
            <w:r>
              <w:rPr>
                <w:rFonts w:hint="eastAsia" w:ascii="宋体" w:hAnsi="宋体" w:eastAsia="宋体" w:cs="宋体"/>
                <w:color w:val="auto"/>
                <w:szCs w:val="21"/>
              </w:rPr>
              <w:t>根据投标人2019年1月1日以来获得（满分2分）:</w:t>
            </w:r>
          </w:p>
          <w:p>
            <w:pPr>
              <w:spacing w:line="360" w:lineRule="auto"/>
              <w:contextualSpacing/>
              <w:rPr>
                <w:rFonts w:hint="eastAsia" w:ascii="宋体" w:hAnsi="宋体" w:eastAsia="宋体" w:cs="宋体"/>
                <w:color w:val="auto"/>
                <w:szCs w:val="21"/>
                <w:lang w:eastAsia="zh-CN"/>
              </w:rPr>
            </w:pPr>
            <w:r>
              <w:rPr>
                <w:rFonts w:hint="eastAsia" w:ascii="宋体" w:hAnsi="宋体" w:eastAsia="宋体" w:cs="宋体"/>
                <w:color w:val="auto"/>
                <w:szCs w:val="21"/>
              </w:rPr>
              <w:t>(1)国家级行政部门或</w:t>
            </w:r>
            <w:r>
              <w:rPr>
                <w:rFonts w:hint="eastAsia" w:ascii="宋体" w:hAnsi="宋体" w:eastAsia="宋体" w:cs="宋体"/>
                <w:color w:val="auto"/>
                <w:szCs w:val="21"/>
                <w:lang w:val="en-US" w:eastAsia="zh-CN"/>
              </w:rPr>
              <w:t>国家级</w:t>
            </w:r>
            <w:r>
              <w:rPr>
                <w:rFonts w:hint="eastAsia" w:ascii="宋体" w:hAnsi="宋体" w:eastAsia="宋体" w:cs="宋体"/>
                <w:color w:val="auto"/>
                <w:szCs w:val="21"/>
              </w:rPr>
              <w:t>行业协会（学会）颁发的工程检测类项目奖项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不含科研类奖项）</w:t>
            </w:r>
            <w:r>
              <w:rPr>
                <w:rFonts w:hint="eastAsia" w:ascii="宋体" w:hAnsi="宋体" w:eastAsia="宋体" w:cs="宋体"/>
                <w:color w:val="auto"/>
                <w:szCs w:val="21"/>
              </w:rPr>
              <w:t>的，每项得1分</w:t>
            </w:r>
            <w:r>
              <w:rPr>
                <w:rFonts w:hint="eastAsia" w:ascii="宋体" w:hAnsi="宋体" w:eastAsia="宋体" w:cs="宋体"/>
                <w:color w:val="auto"/>
                <w:szCs w:val="21"/>
                <w:lang w:eastAsia="zh-CN"/>
              </w:rPr>
              <w:t>；</w:t>
            </w:r>
          </w:p>
          <w:p>
            <w:pPr>
              <w:spacing w:line="360" w:lineRule="auto"/>
              <w:contextualSpacing/>
              <w:rPr>
                <w:rFonts w:hint="eastAsia" w:ascii="宋体" w:hAnsi="宋体" w:eastAsia="宋体" w:cs="宋体"/>
                <w:color w:val="auto"/>
                <w:szCs w:val="21"/>
                <w:lang w:eastAsia="zh-CN"/>
              </w:rPr>
            </w:pPr>
            <w:r>
              <w:rPr>
                <w:rFonts w:hint="eastAsia" w:ascii="宋体" w:hAnsi="宋体" w:eastAsia="宋体" w:cs="宋体"/>
                <w:color w:val="auto"/>
                <w:szCs w:val="21"/>
              </w:rPr>
              <w:t>(2)省级行政部门或省级行业协会（学会）颁发的工程检测类项目奖项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不含科研类奖项）</w:t>
            </w:r>
            <w:r>
              <w:rPr>
                <w:rFonts w:hint="eastAsia" w:ascii="宋体" w:hAnsi="宋体" w:eastAsia="宋体" w:cs="宋体"/>
                <w:color w:val="auto"/>
                <w:szCs w:val="21"/>
              </w:rPr>
              <w:t>的，每项得0.5分</w:t>
            </w:r>
            <w:r>
              <w:rPr>
                <w:rFonts w:hint="eastAsia" w:ascii="宋体" w:hAnsi="宋体" w:eastAsia="宋体" w:cs="宋体"/>
                <w:color w:val="auto"/>
                <w:szCs w:val="21"/>
                <w:lang w:eastAsia="zh-CN"/>
              </w:rPr>
              <w:t>；</w:t>
            </w:r>
          </w:p>
          <w:p>
            <w:pPr>
              <w:spacing w:line="360" w:lineRule="auto"/>
              <w:contextualSpacing/>
              <w:rPr>
                <w:rFonts w:ascii="宋体" w:hAnsi="宋体" w:eastAsia="宋体" w:cs="宋体"/>
                <w:color w:val="auto"/>
                <w:szCs w:val="21"/>
              </w:rPr>
            </w:pPr>
            <w:r>
              <w:rPr>
                <w:rFonts w:hint="eastAsia" w:ascii="宋体" w:hAnsi="宋体" w:eastAsia="宋体" w:cs="宋体"/>
                <w:color w:val="auto"/>
                <w:szCs w:val="21"/>
              </w:rPr>
              <w:t>(3)市级行政部门或市级行业协会（学会）颁发的工程检测类项目奖项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不含科研类奖项）</w:t>
            </w:r>
            <w:r>
              <w:rPr>
                <w:rFonts w:hint="eastAsia" w:ascii="宋体" w:hAnsi="宋体" w:eastAsia="宋体" w:cs="宋体"/>
                <w:color w:val="auto"/>
                <w:szCs w:val="21"/>
              </w:rPr>
              <w:t>的，每项得0.2分，本子项最高得1分。</w:t>
            </w:r>
          </w:p>
          <w:p>
            <w:pPr>
              <w:spacing w:line="360" w:lineRule="auto"/>
              <w:contextualSpacing/>
              <w:rPr>
                <w:rFonts w:ascii="宋体" w:hAnsi="宋体" w:eastAsia="宋体" w:cs="Times New Roman"/>
                <w:b/>
                <w:color w:val="auto"/>
                <w:kern w:val="0"/>
                <w:szCs w:val="21"/>
                <w:highlight w:val="none"/>
              </w:rPr>
            </w:pPr>
            <w:r>
              <w:rPr>
                <w:rFonts w:hint="eastAsia" w:ascii="宋体" w:hAnsi="宋体" w:eastAsia="宋体" w:cs="宋体"/>
                <w:b/>
                <w:bCs/>
                <w:color w:val="auto"/>
                <w:szCs w:val="21"/>
              </w:rPr>
              <w:t>备注：提供相关获奖证明材料复印件加盖投标人公章，获奖时间以奖项落款时间为准，同一项目的奖项只计一次得分，若上述证明材料无法反映评分条件的，不得分。</w:t>
            </w:r>
          </w:p>
        </w:tc>
        <w:tc>
          <w:tcPr>
            <w:tcW w:w="9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Cs w:val="24"/>
                <w:highlight w:val="none"/>
              </w:rPr>
            </w:pPr>
            <w:r>
              <w:rPr>
                <w:rFonts w:hint="eastAsia" w:ascii="宋体" w:hAnsi="宋体" w:eastAsia="宋体" w:cs="宋体"/>
                <w:color w:val="auto"/>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46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color w:val="auto"/>
                <w:kern w:val="0"/>
                <w:szCs w:val="21"/>
                <w:highlight w:val="none"/>
              </w:rPr>
            </w:pPr>
            <w:r>
              <w:rPr>
                <w:rFonts w:hint="eastAsia" w:ascii="宋体" w:hAnsi="宋体" w:eastAsia="宋体" w:cs="宋体"/>
                <w:b/>
                <w:color w:val="auto"/>
                <w:szCs w:val="21"/>
                <w:lang w:val="zh-CN"/>
              </w:rPr>
              <w:t>商务总分</w:t>
            </w:r>
          </w:p>
        </w:tc>
        <w:tc>
          <w:tcPr>
            <w:tcW w:w="9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Cs w:val="24"/>
                <w:highlight w:val="none"/>
              </w:rPr>
            </w:pPr>
            <w:r>
              <w:rPr>
                <w:rFonts w:hint="eastAsia" w:ascii="宋体" w:hAnsi="宋体" w:eastAsia="宋体" w:cs="宋体"/>
                <w:b/>
                <w:color w:val="auto"/>
                <w:szCs w:val="21"/>
              </w:rPr>
              <w:t>40分</w:t>
            </w:r>
          </w:p>
        </w:tc>
      </w:tr>
      <w:bookmarkEnd w:id="774"/>
    </w:tbl>
    <w:p>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775"/>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133"/>
        <w:gridCol w:w="7659"/>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bookmarkStart w:id="776"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rPr>
              <w:t>1</w:t>
            </w:r>
          </w:p>
        </w:tc>
        <w:tc>
          <w:tcPr>
            <w:tcW w:w="54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rPr>
              <w:t>用户需求的响应程度</w:t>
            </w:r>
          </w:p>
        </w:tc>
        <w:tc>
          <w:tcPr>
            <w:tcW w:w="3690" w:type="pct"/>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eastAsia="宋体" w:cs="宋体"/>
                <w:color w:val="auto"/>
                <w:kern w:val="0"/>
                <w:szCs w:val="21"/>
                <w:highlight w:val="none"/>
              </w:rPr>
            </w:pPr>
            <w:r>
              <w:rPr>
                <w:rFonts w:hint="eastAsia" w:ascii="宋体" w:hAnsi="宋体" w:eastAsia="宋体" w:cs="宋体"/>
                <w:color w:val="auto"/>
                <w:szCs w:val="21"/>
                <w:lang w:val="zh-CN"/>
              </w:rPr>
              <w:t>对用户需求偏离表的偏离情况进行评审计分，完全满足用户需求书的要求得满分；每一处负偏离扣2.5分；同时参照其投标文件中其它部分的内容进行对比，每发现一处投标人填写为无偏离或正偏离，但评标委员会评审认定其为负偏离的，每处扣5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rPr>
              <w:t>2</w:t>
            </w:r>
          </w:p>
        </w:tc>
        <w:tc>
          <w:tcPr>
            <w:tcW w:w="54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rPr>
              <w:t>检测方案</w:t>
            </w:r>
          </w:p>
        </w:tc>
        <w:tc>
          <w:tcPr>
            <w:tcW w:w="3690" w:type="pct"/>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color w:val="auto"/>
                <w:kern w:val="0"/>
                <w:szCs w:val="21"/>
                <w:highlight w:val="none"/>
              </w:rPr>
            </w:pPr>
            <w:r>
              <w:rPr>
                <w:rFonts w:hint="eastAsia" w:ascii="宋体" w:hAnsi="宋体" w:eastAsia="宋体" w:cs="宋体"/>
                <w:color w:val="auto"/>
                <w:szCs w:val="21"/>
                <w:lang w:val="zh-CN"/>
              </w:rPr>
              <w:t>根据各投标人提供的检测方案，对本地区的认识熟悉程度、对检测项目的认知程度、检测质量的保障措施、配合施工进度的检测实施措施等，检测目标明确，实施方法可行、操作性高、手段科学，按优：[19-14分）、良：[14-9分）、中：[9-4分）、差：[4-0分]进行评审。</w:t>
            </w:r>
          </w:p>
        </w:tc>
        <w:tc>
          <w:tcPr>
            <w:tcW w:w="437"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rPr>
              <w:t>19分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rPr>
              <w:t>3</w:t>
            </w:r>
          </w:p>
        </w:tc>
        <w:tc>
          <w:tcPr>
            <w:tcW w:w="54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rPr>
              <w:t>承诺检测成果的准确性</w:t>
            </w:r>
          </w:p>
        </w:tc>
        <w:tc>
          <w:tcPr>
            <w:tcW w:w="3690" w:type="pct"/>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eastAsia="宋体" w:cs="宋体"/>
                <w:color w:val="auto"/>
                <w:szCs w:val="21"/>
                <w:lang w:val="zh-CN"/>
              </w:rPr>
            </w:pPr>
            <w:r>
              <w:rPr>
                <w:rFonts w:hint="eastAsia" w:ascii="宋体" w:hAnsi="宋体" w:eastAsia="宋体" w:cs="宋体"/>
                <w:color w:val="auto"/>
                <w:szCs w:val="21"/>
                <w:lang w:val="zh-CN"/>
              </w:rPr>
              <w:t>（1）承诺所有检测成果按实检测，错误点数0个（含）以内，得3分；</w:t>
            </w:r>
          </w:p>
          <w:p>
            <w:pPr>
              <w:spacing w:line="360" w:lineRule="auto"/>
              <w:contextualSpacing/>
              <w:rPr>
                <w:rFonts w:ascii="宋体" w:hAnsi="宋体" w:eastAsia="宋体" w:cs="宋体"/>
                <w:color w:val="auto"/>
                <w:szCs w:val="21"/>
                <w:lang w:val="zh-CN"/>
              </w:rPr>
            </w:pPr>
            <w:r>
              <w:rPr>
                <w:rFonts w:hint="eastAsia" w:ascii="宋体" w:hAnsi="宋体" w:eastAsia="宋体" w:cs="宋体"/>
                <w:color w:val="auto"/>
                <w:szCs w:val="21"/>
                <w:lang w:val="zh-CN"/>
              </w:rPr>
              <w:t>（2）承诺所有检测成果按实检测，错误点数1个（含）以内，得2分；</w:t>
            </w:r>
          </w:p>
          <w:p>
            <w:pPr>
              <w:spacing w:line="360" w:lineRule="auto"/>
              <w:contextualSpacing/>
              <w:rPr>
                <w:rFonts w:ascii="宋体" w:hAnsi="宋体" w:eastAsia="宋体" w:cs="宋体"/>
                <w:color w:val="auto"/>
                <w:szCs w:val="21"/>
                <w:lang w:val="zh-CN"/>
              </w:rPr>
            </w:pPr>
            <w:r>
              <w:rPr>
                <w:rFonts w:hint="eastAsia" w:ascii="宋体" w:hAnsi="宋体" w:eastAsia="宋体" w:cs="宋体"/>
                <w:color w:val="auto"/>
                <w:szCs w:val="21"/>
                <w:lang w:val="zh-CN"/>
              </w:rPr>
              <w:t>（3）承诺所有检测成果按实检测，错误点数2个（含）以内，得1分；</w:t>
            </w:r>
          </w:p>
          <w:p>
            <w:pPr>
              <w:spacing w:line="360" w:lineRule="auto"/>
              <w:contextualSpacing/>
              <w:rPr>
                <w:rFonts w:ascii="宋体" w:hAnsi="宋体" w:eastAsia="宋体" w:cs="宋体"/>
                <w:color w:val="auto"/>
                <w:szCs w:val="21"/>
                <w:lang w:val="zh-CN"/>
              </w:rPr>
            </w:pPr>
            <w:r>
              <w:rPr>
                <w:rFonts w:hint="eastAsia" w:ascii="宋体" w:hAnsi="宋体" w:eastAsia="宋体" w:cs="宋体"/>
                <w:color w:val="auto"/>
                <w:szCs w:val="21"/>
                <w:lang w:val="zh-CN"/>
              </w:rPr>
              <w:t>（4）承诺所有检测成果按实检测，错误点数大于或等于3个的，得0分。</w:t>
            </w:r>
          </w:p>
          <w:p>
            <w:pPr>
              <w:spacing w:line="360" w:lineRule="auto"/>
              <w:contextualSpacing/>
              <w:rPr>
                <w:rFonts w:ascii="宋体" w:hAnsi="宋体" w:eastAsia="宋体" w:cs="宋体"/>
                <w:color w:val="auto"/>
                <w:kern w:val="0"/>
                <w:szCs w:val="21"/>
                <w:highlight w:val="none"/>
              </w:rPr>
            </w:pPr>
            <w:r>
              <w:rPr>
                <w:rFonts w:hint="eastAsia" w:ascii="宋体" w:hAnsi="宋体" w:eastAsia="宋体" w:cs="宋体"/>
                <w:b/>
                <w:bCs/>
                <w:color w:val="auto"/>
                <w:szCs w:val="21"/>
                <w:lang w:val="zh-CN"/>
              </w:rPr>
              <w:t>备注：根据《检测成果准确性承诺书》对应的内容进行评审。提供承诺函加盖投标人公章。</w:t>
            </w:r>
          </w:p>
        </w:tc>
        <w:tc>
          <w:tcPr>
            <w:tcW w:w="437"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rPr>
              <w:t>4</w:t>
            </w:r>
          </w:p>
        </w:tc>
        <w:tc>
          <w:tcPr>
            <w:tcW w:w="54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rPr>
              <w:t>服务及时性承诺</w:t>
            </w:r>
          </w:p>
        </w:tc>
        <w:tc>
          <w:tcPr>
            <w:tcW w:w="3690" w:type="pct"/>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eastAsia="宋体" w:cs="宋体"/>
                <w:color w:val="auto"/>
                <w:szCs w:val="21"/>
                <w:lang w:val="zh-CN"/>
              </w:rPr>
            </w:pPr>
            <w:r>
              <w:rPr>
                <w:rFonts w:hint="eastAsia" w:ascii="宋体" w:hAnsi="宋体" w:eastAsia="宋体" w:cs="宋体"/>
                <w:color w:val="auto"/>
                <w:szCs w:val="21"/>
                <w:lang w:val="zh-CN"/>
              </w:rPr>
              <w:t>（1）承诺接到招标人电话通知后1小时（含）内机械设备、人员进场服务的，得3分；</w:t>
            </w:r>
          </w:p>
          <w:p>
            <w:pPr>
              <w:spacing w:line="360" w:lineRule="auto"/>
              <w:contextualSpacing/>
              <w:rPr>
                <w:rFonts w:ascii="宋体" w:hAnsi="宋体" w:eastAsia="宋体" w:cs="宋体"/>
                <w:color w:val="auto"/>
                <w:szCs w:val="21"/>
                <w:lang w:val="zh-CN"/>
              </w:rPr>
            </w:pPr>
            <w:r>
              <w:rPr>
                <w:rFonts w:hint="eastAsia" w:ascii="宋体" w:hAnsi="宋体" w:eastAsia="宋体" w:cs="宋体"/>
                <w:color w:val="auto"/>
                <w:szCs w:val="21"/>
                <w:lang w:val="zh-CN"/>
              </w:rPr>
              <w:t>（2）承诺接到招标人电话通知后2小时（含）内机械设备、人员进场服务的，得2分；</w:t>
            </w:r>
          </w:p>
          <w:p>
            <w:pPr>
              <w:spacing w:line="360" w:lineRule="auto"/>
              <w:contextualSpacing/>
              <w:rPr>
                <w:rFonts w:ascii="宋体" w:hAnsi="宋体" w:eastAsia="宋体" w:cs="宋体"/>
                <w:color w:val="auto"/>
                <w:szCs w:val="21"/>
                <w:lang w:val="zh-CN"/>
              </w:rPr>
            </w:pPr>
            <w:r>
              <w:rPr>
                <w:rFonts w:hint="eastAsia" w:ascii="宋体" w:hAnsi="宋体" w:eastAsia="宋体" w:cs="宋体"/>
                <w:color w:val="auto"/>
                <w:szCs w:val="21"/>
                <w:lang w:val="zh-CN"/>
              </w:rPr>
              <w:t>（3）承诺接到招标人电话通知后4小时（含）内机械设备、人员进场服务的，得1分；</w:t>
            </w:r>
          </w:p>
          <w:p>
            <w:pPr>
              <w:spacing w:line="360" w:lineRule="auto"/>
              <w:contextualSpacing/>
              <w:rPr>
                <w:rFonts w:ascii="宋体" w:hAnsi="宋体" w:eastAsia="宋体" w:cs="宋体"/>
                <w:color w:val="auto"/>
                <w:szCs w:val="21"/>
                <w:lang w:val="zh-CN"/>
              </w:rPr>
            </w:pPr>
            <w:r>
              <w:rPr>
                <w:rFonts w:hint="eastAsia" w:ascii="宋体" w:hAnsi="宋体" w:eastAsia="宋体" w:cs="宋体"/>
                <w:color w:val="auto"/>
                <w:szCs w:val="21"/>
                <w:lang w:val="zh-CN"/>
              </w:rPr>
              <w:t>（4）承诺接到招标人电话通知后超过4小时机械设备、人员进场服务的，得0分。</w:t>
            </w:r>
          </w:p>
          <w:p>
            <w:pPr>
              <w:spacing w:line="360" w:lineRule="auto"/>
              <w:contextualSpacing/>
              <w:rPr>
                <w:rFonts w:ascii="宋体" w:hAnsi="宋体" w:eastAsia="宋体" w:cs="宋体"/>
                <w:color w:val="auto"/>
                <w:kern w:val="0"/>
                <w:szCs w:val="21"/>
                <w:highlight w:val="none"/>
              </w:rPr>
            </w:pPr>
            <w:r>
              <w:rPr>
                <w:rFonts w:hint="eastAsia" w:ascii="宋体" w:hAnsi="宋体" w:eastAsia="宋体" w:cs="宋体"/>
                <w:b/>
                <w:bCs/>
                <w:color w:val="auto"/>
                <w:szCs w:val="21"/>
                <w:lang w:val="zh-CN"/>
              </w:rPr>
              <w:t>备注：根据《服务响应时间承诺书》对应的内容进行评审。提供承诺函加盖投标人公章。</w:t>
            </w:r>
          </w:p>
        </w:tc>
        <w:tc>
          <w:tcPr>
            <w:tcW w:w="437"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62" w:type="pct"/>
            <w:gridSpan w:val="3"/>
            <w:tcBorders>
              <w:top w:val="single" w:color="auto" w:sz="4" w:space="0"/>
              <w:left w:val="single" w:color="auto" w:sz="4" w:space="0"/>
              <w:right w:val="single" w:color="auto" w:sz="4" w:space="0"/>
            </w:tcBorders>
            <w:vAlign w:val="center"/>
          </w:tcPr>
          <w:p>
            <w:pPr>
              <w:pStyle w:val="192"/>
              <w:keepNext w:val="0"/>
              <w:tabs>
                <w:tab w:val="left" w:pos="585"/>
                <w:tab w:val="left" w:pos="680"/>
              </w:tabs>
              <w:spacing w:after="0" w:line="360" w:lineRule="auto"/>
              <w:ind w:right="0" w:rightChars="0"/>
              <w:jc w:val="center"/>
              <w:rPr>
                <w:rFonts w:ascii="宋体" w:hAnsi="宋体" w:eastAsia="宋体" w:cs="宋体"/>
                <w:color w:val="auto"/>
                <w:kern w:val="0"/>
                <w:szCs w:val="21"/>
                <w:highlight w:val="none"/>
              </w:rPr>
            </w:pPr>
            <w:r>
              <w:rPr>
                <w:rFonts w:hint="eastAsia" w:ascii="宋体" w:hAnsi="宋体" w:cs="宋体"/>
                <w:b/>
                <w:color w:val="auto"/>
                <w:szCs w:val="21"/>
                <w:lang w:val="zh-CN"/>
              </w:rPr>
              <w:t>技术总分</w:t>
            </w:r>
          </w:p>
        </w:tc>
        <w:tc>
          <w:tcPr>
            <w:tcW w:w="437" w:type="pct"/>
            <w:tcBorders>
              <w:top w:val="single" w:color="auto" w:sz="4" w:space="0"/>
              <w:left w:val="single" w:color="auto" w:sz="4" w:space="0"/>
              <w:right w:val="single" w:color="auto" w:sz="4" w:space="0"/>
            </w:tcBorders>
            <w:vAlign w:val="center"/>
          </w:tcPr>
          <w:p>
            <w:pPr>
              <w:pStyle w:val="192"/>
              <w:keepNext w:val="0"/>
              <w:tabs>
                <w:tab w:val="left" w:pos="585"/>
                <w:tab w:val="left" w:pos="680"/>
              </w:tabs>
              <w:spacing w:after="0" w:line="360" w:lineRule="auto"/>
              <w:ind w:right="0" w:rightChars="0"/>
              <w:jc w:val="center"/>
              <w:rPr>
                <w:rFonts w:ascii="宋体" w:hAnsi="宋体" w:eastAsia="宋体" w:cs="宋体"/>
                <w:color w:val="auto"/>
                <w:kern w:val="0"/>
                <w:szCs w:val="21"/>
                <w:highlight w:val="none"/>
              </w:rPr>
            </w:pPr>
            <w:r>
              <w:rPr>
                <w:rFonts w:hint="eastAsia" w:ascii="宋体" w:hAnsi="宋体" w:cs="宋体"/>
                <w:b/>
                <w:color w:val="auto"/>
                <w:szCs w:val="21"/>
              </w:rPr>
              <w:t>30</w:t>
            </w:r>
            <w:r>
              <w:rPr>
                <w:rFonts w:hint="eastAsia" w:ascii="宋体" w:hAnsi="宋体" w:cs="宋体"/>
                <w:b/>
                <w:color w:val="auto"/>
                <w:szCs w:val="21"/>
                <w:lang w:val="zh-CN"/>
              </w:rPr>
              <w:t>分</w:t>
            </w:r>
          </w:p>
        </w:tc>
      </w:tr>
      <w:bookmarkEnd w:id="776"/>
    </w:tbl>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pPr>
        <w:autoSpaceDE w:val="0"/>
        <w:autoSpaceDN w:val="0"/>
        <w:adjustRightInd w:val="0"/>
        <w:spacing w:line="360" w:lineRule="auto"/>
        <w:ind w:left="420" w:leftChars="200"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pPr>
        <w:spacing w:line="360" w:lineRule="auto"/>
        <w:ind w:left="420" w:leftChars="200" w:firstLine="420" w:firstLineChars="200"/>
        <w:rPr>
          <w:rFonts w:ascii="宋体" w:hAnsi="宋体" w:eastAsia="宋体" w:cs="宋体"/>
          <w:color w:val="auto"/>
          <w:kern w:val="0"/>
          <w:szCs w:val="21"/>
          <w:highlight w:val="none"/>
          <w:lang w:val="zh-CN"/>
        </w:rPr>
      </w:pPr>
    </w:p>
    <w:p>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lang w:val="zh-CN"/>
        </w:rPr>
        <w:t>分</w:t>
      </w:r>
    </w:p>
    <w:p>
      <w:pPr>
        <w:autoSpaceDN w:val="0"/>
        <w:adjustRightInd w:val="0"/>
        <w:snapToGrid w:val="0"/>
        <w:spacing w:line="360" w:lineRule="auto"/>
        <w:ind w:left="420" w:leftChars="100" w:hanging="210" w:hangingChars="100"/>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A、根据有效投标人的</w:t>
      </w:r>
      <w:r>
        <w:rPr>
          <w:rFonts w:hint="eastAsia" w:ascii="宋体" w:hAnsi="宋体" w:eastAsia="宋体" w:cs="宋体"/>
          <w:color w:val="auto"/>
          <w:kern w:val="0"/>
          <w:szCs w:val="21"/>
          <w:lang w:val="en-US" w:eastAsia="zh-CN"/>
        </w:rPr>
        <w:t>检测</w:t>
      </w:r>
      <w:r>
        <w:rPr>
          <w:rFonts w:hint="eastAsia" w:ascii="宋体" w:hAnsi="宋体" w:eastAsia="宋体" w:cs="宋体"/>
          <w:color w:val="auto"/>
          <w:kern w:val="0"/>
          <w:szCs w:val="21"/>
        </w:rPr>
        <w:t>服务系数，最低</w:t>
      </w:r>
      <w:r>
        <w:rPr>
          <w:rFonts w:hint="eastAsia" w:ascii="宋体" w:hAnsi="宋体" w:eastAsia="宋体" w:cs="宋体"/>
          <w:color w:val="auto"/>
          <w:kern w:val="0"/>
          <w:szCs w:val="21"/>
          <w:lang w:val="en-US" w:eastAsia="zh-CN"/>
        </w:rPr>
        <w:t>检测</w:t>
      </w:r>
      <w:r>
        <w:rPr>
          <w:rFonts w:hint="eastAsia" w:ascii="宋体" w:hAnsi="宋体" w:eastAsia="宋体" w:cs="宋体"/>
          <w:color w:val="auto"/>
          <w:kern w:val="0"/>
          <w:szCs w:val="21"/>
        </w:rPr>
        <w:t>服务系数作为基准系数（Y）。投标人</w:t>
      </w:r>
      <w:r>
        <w:rPr>
          <w:rFonts w:hint="eastAsia" w:ascii="宋体" w:hAnsi="宋体" w:eastAsia="宋体" w:cs="宋体"/>
          <w:color w:val="auto"/>
          <w:kern w:val="0"/>
          <w:szCs w:val="21"/>
          <w:lang w:val="en-US" w:eastAsia="zh-CN"/>
        </w:rPr>
        <w:t>检测</w:t>
      </w:r>
      <w:r>
        <w:rPr>
          <w:rFonts w:hint="eastAsia" w:ascii="宋体" w:hAnsi="宋体" w:eastAsia="宋体" w:cs="宋体"/>
          <w:color w:val="auto"/>
          <w:kern w:val="0"/>
          <w:szCs w:val="21"/>
        </w:rPr>
        <w:t>服务系数（X）等于基准系数的得满分</w:t>
      </w:r>
      <w:r>
        <w:rPr>
          <w:rFonts w:hint="eastAsia" w:ascii="宋体" w:hAnsi="宋体" w:eastAsia="宋体" w:cs="宋体"/>
          <w:color w:val="auto"/>
          <w:kern w:val="0"/>
          <w:szCs w:val="21"/>
          <w:lang w:val="en-US" w:eastAsia="zh-CN"/>
        </w:rPr>
        <w:t>30</w:t>
      </w:r>
      <w:r>
        <w:rPr>
          <w:rFonts w:hint="eastAsia" w:ascii="宋体" w:hAnsi="宋体" w:eastAsia="宋体" w:cs="宋体"/>
          <w:color w:val="auto"/>
          <w:kern w:val="0"/>
          <w:szCs w:val="21"/>
        </w:rPr>
        <w:t>分，其他投标人的价格得分统一按照下列公式计算：</w:t>
      </w:r>
    </w:p>
    <w:p>
      <w:pPr>
        <w:autoSpaceDN w:val="0"/>
        <w:adjustRightInd w:val="0"/>
        <w:snapToGrid w:val="0"/>
        <w:spacing w:line="360" w:lineRule="auto"/>
        <w:ind w:left="420" w:leftChars="100" w:hanging="210" w:hangingChars="100"/>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 xml:space="preserve">    价格得分=(基准系数／</w:t>
      </w:r>
      <w:r>
        <w:rPr>
          <w:rFonts w:hint="eastAsia" w:ascii="宋体" w:hAnsi="宋体" w:eastAsia="宋体" w:cs="宋体"/>
          <w:color w:val="auto"/>
          <w:kern w:val="0"/>
          <w:szCs w:val="21"/>
          <w:lang w:val="en-US" w:eastAsia="zh-CN"/>
        </w:rPr>
        <w:t>检测</w:t>
      </w:r>
      <w:r>
        <w:rPr>
          <w:rFonts w:hint="eastAsia" w:ascii="宋体" w:hAnsi="宋体" w:eastAsia="宋体" w:cs="宋体"/>
          <w:color w:val="auto"/>
          <w:kern w:val="0"/>
          <w:szCs w:val="21"/>
        </w:rPr>
        <w:t>服务系数)×</w:t>
      </w:r>
      <w:r>
        <w:rPr>
          <w:rFonts w:hint="eastAsia" w:ascii="宋体" w:hAnsi="宋体" w:eastAsia="宋体" w:cs="宋体"/>
          <w:color w:val="auto"/>
          <w:kern w:val="0"/>
          <w:szCs w:val="21"/>
          <w:lang w:val="en-US" w:eastAsia="zh-CN"/>
        </w:rPr>
        <w:t>30</w:t>
      </w:r>
    </w:p>
    <w:p>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pPr>
        <w:spacing w:line="400" w:lineRule="exact"/>
        <w:ind w:firstLine="848" w:firstLineChars="404"/>
        <w:rPr>
          <w:rFonts w:ascii="宋体" w:hAnsi="宋体" w:eastAsia="宋体" w:cs="宋体"/>
          <w:color w:val="auto"/>
          <w:kern w:val="0"/>
          <w:szCs w:val="28"/>
          <w:highlight w:val="none"/>
          <w:lang w:val="zh-CN"/>
        </w:rPr>
      </w:pPr>
      <w:bookmarkStart w:id="777" w:name="_Toc31624_WPSOffice_Level2"/>
      <w:r>
        <w:rPr>
          <w:rFonts w:hint="eastAsia" w:ascii="宋体" w:hAnsi="宋体" w:eastAsia="宋体" w:cs="宋体"/>
          <w:color w:val="auto"/>
          <w:kern w:val="0"/>
          <w:szCs w:val="28"/>
          <w:highlight w:val="none"/>
          <w:lang w:val="zh-CN"/>
        </w:rPr>
        <w:t>评标总得分=F1＋F2＋……+Fn</w:t>
      </w:r>
      <w:bookmarkEnd w:id="777"/>
    </w:p>
    <w:p>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778" w:name="_Toc13236_WPSOffice_Level2"/>
      <w:r>
        <w:rPr>
          <w:rFonts w:hint="eastAsia" w:ascii="宋体" w:hAnsi="宋体" w:eastAsia="宋体" w:cs="宋体"/>
          <w:color w:val="auto"/>
          <w:kern w:val="0"/>
          <w:szCs w:val="21"/>
          <w:highlight w:val="none"/>
        </w:rPr>
        <w:t>F1、F2、……Fn分别为各项评分因素的得分</w:t>
      </w:r>
      <w:bookmarkEnd w:id="778"/>
      <w:r>
        <w:rPr>
          <w:rFonts w:hint="eastAsia" w:ascii="宋体" w:hAnsi="宋体" w:eastAsia="宋体" w:cs="宋体"/>
          <w:color w:val="auto"/>
          <w:kern w:val="0"/>
          <w:szCs w:val="21"/>
          <w:highlight w:val="none"/>
        </w:rPr>
        <w:t>。</w:t>
      </w:r>
    </w:p>
    <w:p>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pPr>
        <w:autoSpaceDE w:val="0"/>
        <w:autoSpaceDN w:val="0"/>
        <w:adjustRightInd w:val="0"/>
        <w:spacing w:line="360" w:lineRule="auto"/>
        <w:jc w:val="center"/>
        <w:rPr>
          <w:rFonts w:ascii="宋体" w:hAnsi="宋体" w:eastAsia="宋体" w:cs="宋体"/>
          <w:b/>
          <w:bCs/>
          <w:color w:val="auto"/>
          <w:sz w:val="28"/>
          <w:szCs w:val="28"/>
          <w:highlight w:val="none"/>
        </w:rPr>
      </w:pPr>
      <w:bookmarkStart w:id="779" w:name="_Toc518_WPSOffice_Level1"/>
      <w:r>
        <w:rPr>
          <w:rFonts w:hint="eastAsia" w:ascii="宋体" w:hAnsi="宋体" w:eastAsia="宋体" w:cs="宋体"/>
          <w:b/>
          <w:bCs/>
          <w:color w:val="auto"/>
          <w:sz w:val="28"/>
          <w:szCs w:val="28"/>
          <w:highlight w:val="none"/>
          <w:lang w:val="zh-CN"/>
        </w:rPr>
        <w:t>五、推荐中标人</w:t>
      </w:r>
      <w:bookmarkEnd w:id="779"/>
    </w:p>
    <w:p>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pPr>
        <w:widowControl/>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780" w:name="_Toc22724_WPSOffice_Level1"/>
      <w:r>
        <w:rPr>
          <w:rFonts w:hint="eastAsia" w:ascii="宋体" w:hAnsi="宋体" w:eastAsia="宋体" w:cs="宋体"/>
          <w:b/>
          <w:bCs/>
          <w:color w:val="auto"/>
          <w:sz w:val="28"/>
          <w:szCs w:val="28"/>
          <w:highlight w:val="none"/>
          <w:lang w:val="zh-CN"/>
        </w:rPr>
        <w:t>六、编写评标报告</w:t>
      </w:r>
      <w:bookmarkEnd w:id="780"/>
    </w:p>
    <w:p>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p>
    <w:p>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781" w:name="_Toc23773_WPSOffice_Level1"/>
      <w:r>
        <w:rPr>
          <w:rFonts w:hint="eastAsia" w:ascii="宋体" w:hAnsi="宋体" w:eastAsia="宋体" w:cs="宋体"/>
          <w:b/>
          <w:bCs/>
          <w:color w:val="auto"/>
          <w:sz w:val="28"/>
          <w:szCs w:val="28"/>
          <w:highlight w:val="none"/>
          <w:lang w:val="zh-CN"/>
        </w:rPr>
        <w:t>七、注意事项</w:t>
      </w:r>
      <w:bookmarkEnd w:id="781"/>
    </w:p>
    <w:p>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746"/>
    <w:bookmarkEnd w:id="756"/>
    <w:bookmarkEnd w:id="757"/>
    <w:bookmarkEnd w:id="758"/>
    <w:p>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2BAED"/>
    <w:multiLevelType w:val="singleLevel"/>
    <w:tmpl w:val="91C2BAED"/>
    <w:lvl w:ilvl="0" w:tentative="0">
      <w:start w:val="11"/>
      <w:numFmt w:val="chineseCounting"/>
      <w:suff w:val="nothing"/>
      <w:lvlText w:val="%1、"/>
      <w:lvlJc w:val="left"/>
      <w:rPr>
        <w:rFonts w:hint="eastAsia"/>
      </w:rPr>
    </w:lvl>
  </w:abstractNum>
  <w:abstractNum w:abstractNumId="1">
    <w:nsid w:val="112975A4"/>
    <w:multiLevelType w:val="multilevel"/>
    <w:tmpl w:val="112975A4"/>
    <w:lvl w:ilvl="0" w:tentative="0">
      <w:start w:val="1"/>
      <w:numFmt w:val="japaneseCounting"/>
      <w:lvlText w:val="（%1）"/>
      <w:lvlJc w:val="left"/>
      <w:pPr>
        <w:ind w:left="1700" w:hanging="1080"/>
      </w:pPr>
      <w:rPr>
        <w:rFonts w:hint="default"/>
      </w:rPr>
    </w:lvl>
    <w:lvl w:ilvl="1" w:tentative="0">
      <w:start w:val="1"/>
      <w:numFmt w:val="lowerLetter"/>
      <w:lvlText w:val="%2)"/>
      <w:lvlJc w:val="left"/>
      <w:pPr>
        <w:ind w:left="1460" w:hanging="420"/>
      </w:pPr>
    </w:lvl>
    <w:lvl w:ilvl="2" w:tentative="0">
      <w:start w:val="1"/>
      <w:numFmt w:val="lowerRoman"/>
      <w:lvlText w:val="%3."/>
      <w:lvlJc w:val="right"/>
      <w:pPr>
        <w:ind w:left="1880" w:hanging="420"/>
      </w:pPr>
    </w:lvl>
    <w:lvl w:ilvl="3" w:tentative="0">
      <w:start w:val="1"/>
      <w:numFmt w:val="decimal"/>
      <w:lvlText w:val="%4."/>
      <w:lvlJc w:val="left"/>
      <w:pPr>
        <w:ind w:left="2300" w:hanging="420"/>
      </w:pPr>
    </w:lvl>
    <w:lvl w:ilvl="4" w:tentative="0">
      <w:start w:val="1"/>
      <w:numFmt w:val="lowerLetter"/>
      <w:lvlText w:val="%5)"/>
      <w:lvlJc w:val="left"/>
      <w:pPr>
        <w:ind w:left="2720" w:hanging="420"/>
      </w:pPr>
    </w:lvl>
    <w:lvl w:ilvl="5" w:tentative="0">
      <w:start w:val="1"/>
      <w:numFmt w:val="lowerRoman"/>
      <w:lvlText w:val="%6."/>
      <w:lvlJc w:val="right"/>
      <w:pPr>
        <w:ind w:left="3140" w:hanging="420"/>
      </w:pPr>
    </w:lvl>
    <w:lvl w:ilvl="6" w:tentative="0">
      <w:start w:val="1"/>
      <w:numFmt w:val="decimal"/>
      <w:lvlText w:val="%7."/>
      <w:lvlJc w:val="left"/>
      <w:pPr>
        <w:ind w:left="3560" w:hanging="420"/>
      </w:pPr>
    </w:lvl>
    <w:lvl w:ilvl="7" w:tentative="0">
      <w:start w:val="1"/>
      <w:numFmt w:val="lowerLetter"/>
      <w:lvlText w:val="%8)"/>
      <w:lvlJc w:val="left"/>
      <w:pPr>
        <w:ind w:left="3980" w:hanging="420"/>
      </w:pPr>
    </w:lvl>
    <w:lvl w:ilvl="8" w:tentative="0">
      <w:start w:val="1"/>
      <w:numFmt w:val="lowerRoman"/>
      <w:lvlText w:val="%9."/>
      <w:lvlJc w:val="right"/>
      <w:pPr>
        <w:ind w:left="4400" w:hanging="420"/>
      </w:p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60C59F"/>
    <w:multiLevelType w:val="singleLevel"/>
    <w:tmpl w:val="5860C59F"/>
    <w:lvl w:ilvl="0" w:tentative="0">
      <w:start w:val="3"/>
      <w:numFmt w:val="chineseCounting"/>
      <w:suff w:val="nothing"/>
      <w:lvlText w:val="%1、"/>
      <w:lvlJc w:val="left"/>
    </w:lvl>
  </w:abstractNum>
  <w:abstractNum w:abstractNumId="5">
    <w:nsid w:val="5860D940"/>
    <w:multiLevelType w:val="singleLevel"/>
    <w:tmpl w:val="5860D940"/>
    <w:lvl w:ilvl="0" w:tentative="0">
      <w:start w:val="1"/>
      <w:numFmt w:val="chineseCounting"/>
      <w:suff w:val="nothing"/>
      <w:lvlText w:val="%1、"/>
      <w:lvlJc w:val="left"/>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kYjU3ZWI0MDdlMjA5MGM2NmM2YWIwZWE0NzlkZmUifQ=="/>
    <w:docVar w:name="KSO_WPS_MARK_KEY" w:val="f885b62e-38d9-4ea0-bdc3-ebc527872538"/>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58F7720"/>
    <w:rsid w:val="06A75D00"/>
    <w:rsid w:val="0A9A32F9"/>
    <w:rsid w:val="0DCB6F7B"/>
    <w:rsid w:val="0F241091"/>
    <w:rsid w:val="10BC03C7"/>
    <w:rsid w:val="10FE7849"/>
    <w:rsid w:val="128F1748"/>
    <w:rsid w:val="130F4A87"/>
    <w:rsid w:val="14237C67"/>
    <w:rsid w:val="15A13C38"/>
    <w:rsid w:val="16B60189"/>
    <w:rsid w:val="182745FA"/>
    <w:rsid w:val="1A2569C7"/>
    <w:rsid w:val="1B0940FF"/>
    <w:rsid w:val="1B0A6763"/>
    <w:rsid w:val="1B956E0A"/>
    <w:rsid w:val="1DE336BF"/>
    <w:rsid w:val="1DE47C02"/>
    <w:rsid w:val="1EA43346"/>
    <w:rsid w:val="207A1985"/>
    <w:rsid w:val="22C62CF4"/>
    <w:rsid w:val="23A06120"/>
    <w:rsid w:val="26AE4CD1"/>
    <w:rsid w:val="280B7C22"/>
    <w:rsid w:val="286E02B3"/>
    <w:rsid w:val="28AC24C6"/>
    <w:rsid w:val="28CD7B64"/>
    <w:rsid w:val="28DA73F5"/>
    <w:rsid w:val="29AE6B2F"/>
    <w:rsid w:val="2A9E4307"/>
    <w:rsid w:val="2CFC2BFE"/>
    <w:rsid w:val="314D028A"/>
    <w:rsid w:val="355530AA"/>
    <w:rsid w:val="363E3878"/>
    <w:rsid w:val="364631D7"/>
    <w:rsid w:val="368928C2"/>
    <w:rsid w:val="37850378"/>
    <w:rsid w:val="38A25892"/>
    <w:rsid w:val="38F00B77"/>
    <w:rsid w:val="39BC436E"/>
    <w:rsid w:val="3B1F29B6"/>
    <w:rsid w:val="3C9B7C8C"/>
    <w:rsid w:val="3E444F53"/>
    <w:rsid w:val="3F5B255F"/>
    <w:rsid w:val="40DC5A18"/>
    <w:rsid w:val="41B36482"/>
    <w:rsid w:val="42E40008"/>
    <w:rsid w:val="43B50E83"/>
    <w:rsid w:val="44310EC3"/>
    <w:rsid w:val="44F97BD6"/>
    <w:rsid w:val="49684651"/>
    <w:rsid w:val="49A11F60"/>
    <w:rsid w:val="49AA5FD4"/>
    <w:rsid w:val="4BC8467F"/>
    <w:rsid w:val="4CFE53E3"/>
    <w:rsid w:val="4E2E1272"/>
    <w:rsid w:val="4F0A4599"/>
    <w:rsid w:val="4F3A3B8D"/>
    <w:rsid w:val="4F9662AF"/>
    <w:rsid w:val="4FE63648"/>
    <w:rsid w:val="5018666B"/>
    <w:rsid w:val="5161236A"/>
    <w:rsid w:val="54031CF0"/>
    <w:rsid w:val="54977258"/>
    <w:rsid w:val="54F06565"/>
    <w:rsid w:val="56632611"/>
    <w:rsid w:val="56637494"/>
    <w:rsid w:val="56B37004"/>
    <w:rsid w:val="570F757A"/>
    <w:rsid w:val="579E50CE"/>
    <w:rsid w:val="59633BAD"/>
    <w:rsid w:val="59FB128F"/>
    <w:rsid w:val="5BE12FA3"/>
    <w:rsid w:val="5C4D6613"/>
    <w:rsid w:val="5D8866EC"/>
    <w:rsid w:val="5EBF421E"/>
    <w:rsid w:val="62B13874"/>
    <w:rsid w:val="63672753"/>
    <w:rsid w:val="64461314"/>
    <w:rsid w:val="65E62E7A"/>
    <w:rsid w:val="66EC7F6C"/>
    <w:rsid w:val="675E72EA"/>
    <w:rsid w:val="67BB5990"/>
    <w:rsid w:val="67E46BB2"/>
    <w:rsid w:val="69F452BC"/>
    <w:rsid w:val="6AAD178D"/>
    <w:rsid w:val="6AB3020B"/>
    <w:rsid w:val="6AB73874"/>
    <w:rsid w:val="6CC649E7"/>
    <w:rsid w:val="6DDA5CDD"/>
    <w:rsid w:val="6F5F71DE"/>
    <w:rsid w:val="6FC4095F"/>
    <w:rsid w:val="70B51F27"/>
    <w:rsid w:val="715C648F"/>
    <w:rsid w:val="73A66718"/>
    <w:rsid w:val="745646B7"/>
    <w:rsid w:val="746A7B67"/>
    <w:rsid w:val="751D3132"/>
    <w:rsid w:val="77281627"/>
    <w:rsid w:val="790D22C6"/>
    <w:rsid w:val="79CD5792"/>
    <w:rsid w:val="7ADA3322"/>
    <w:rsid w:val="7B5F352B"/>
    <w:rsid w:val="7D630A43"/>
    <w:rsid w:val="7D6457E7"/>
    <w:rsid w:val="7F62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8"/>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0"/>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2"/>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3"/>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1"/>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4"/>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1"/>
    <w:unhideWhenUsed/>
    <w:qFormat/>
    <w:uiPriority w:val="99"/>
    <w:pPr>
      <w:jc w:val="left"/>
    </w:pPr>
  </w:style>
  <w:style w:type="paragraph" w:styleId="17">
    <w:name w:val="Body Text 3"/>
    <w:basedOn w:val="1"/>
    <w:link w:val="15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6"/>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next w:val="1"/>
    <w:link w:val="90"/>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8"/>
    <w:qFormat/>
    <w:uiPriority w:val="0"/>
    <w:rPr>
      <w:rFonts w:ascii="宋体" w:hAnsi="Courier New" w:eastAsia="宋体"/>
    </w:rPr>
  </w:style>
  <w:style w:type="paragraph" w:styleId="22">
    <w:name w:val="Date"/>
    <w:basedOn w:val="1"/>
    <w:next w:val="1"/>
    <w:link w:val="106"/>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99"/>
    <w:qFormat/>
    <w:uiPriority w:val="0"/>
    <w:pPr>
      <w:tabs>
        <w:tab w:val="left" w:pos="8640"/>
      </w:tabs>
      <w:ind w:left="1260"/>
    </w:pPr>
    <w:rPr>
      <w:rFonts w:ascii="宋体" w:hAnsi="Times New Roman" w:eastAsia="宋体" w:cs="Times New Roman"/>
      <w:szCs w:val="20"/>
    </w:rPr>
  </w:style>
  <w:style w:type="paragraph" w:styleId="24">
    <w:name w:val="Balloon Text"/>
    <w:basedOn w:val="1"/>
    <w:link w:val="72"/>
    <w:qFormat/>
    <w:uiPriority w:val="0"/>
    <w:rPr>
      <w:rFonts w:ascii="Times New Roman" w:hAnsi="Times New Roman" w:eastAsia="宋体" w:cs="Times New Roman"/>
      <w:sz w:val="18"/>
      <w:szCs w:val="18"/>
    </w:rPr>
  </w:style>
  <w:style w:type="paragraph" w:styleId="25">
    <w:name w:val="footer"/>
    <w:basedOn w:val="1"/>
    <w:link w:val="76"/>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8"/>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2"/>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41"/>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91"/>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56"/>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6"/>
    <w:next w:val="16"/>
    <w:link w:val="108"/>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18"/>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FollowedHyperlink"/>
    <w:unhideWhenUsed/>
    <w:qFormat/>
    <w:uiPriority w:val="99"/>
    <w:rPr>
      <w:color w:val="954F72"/>
      <w:u w:val="single"/>
    </w:rPr>
  </w:style>
  <w:style w:type="character" w:styleId="41">
    <w:name w:val="Emphasis"/>
    <w:qFormat/>
    <w:uiPriority w:val="0"/>
    <w:rPr>
      <w:i/>
      <w:iCs/>
    </w:rPr>
  </w:style>
  <w:style w:type="character" w:styleId="42">
    <w:name w:val="Hyperlink"/>
    <w:basedOn w:val="38"/>
    <w:qFormat/>
    <w:uiPriority w:val="99"/>
    <w:rPr>
      <w:rFonts w:hint="default" w:ascii="Arial" w:hAnsi="Arial" w:cs="Arial"/>
      <w:color w:val="000000"/>
      <w:sz w:val="20"/>
      <w:szCs w:val="20"/>
      <w:u w:val="none"/>
    </w:rPr>
  </w:style>
  <w:style w:type="character" w:styleId="43">
    <w:name w:val="annotation reference"/>
    <w:qFormat/>
    <w:uiPriority w:val="99"/>
    <w:rPr>
      <w:sz w:val="21"/>
      <w:szCs w:val="21"/>
    </w:rPr>
  </w:style>
  <w:style w:type="paragraph" w:customStyle="1" w:styleId="44">
    <w:name w:val="首行缩进"/>
    <w:basedOn w:val="1"/>
    <w:qFormat/>
    <w:uiPriority w:val="0"/>
    <w:pPr>
      <w:ind w:firstLine="480" w:firstLineChars="200"/>
    </w:pPr>
    <w:rPr>
      <w:lang w:val="zh-CN"/>
    </w:rPr>
  </w:style>
  <w:style w:type="character" w:customStyle="1" w:styleId="45">
    <w:name w:val="标题 1 字符"/>
    <w:basedOn w:val="38"/>
    <w:qFormat/>
    <w:uiPriority w:val="0"/>
    <w:rPr>
      <w:b/>
      <w:bCs/>
      <w:kern w:val="44"/>
      <w:sz w:val="44"/>
      <w:szCs w:val="44"/>
    </w:rPr>
  </w:style>
  <w:style w:type="character" w:customStyle="1" w:styleId="46">
    <w:name w:val="标题 2 Char"/>
    <w:basedOn w:val="38"/>
    <w:link w:val="3"/>
    <w:qFormat/>
    <w:uiPriority w:val="0"/>
    <w:rPr>
      <w:rFonts w:ascii="宋体" w:hAnsi="Calibri" w:eastAsia="宋体" w:cs="Times New Roman"/>
      <w:kern w:val="0"/>
      <w:sz w:val="24"/>
      <w:szCs w:val="24"/>
    </w:rPr>
  </w:style>
  <w:style w:type="character" w:customStyle="1" w:styleId="47">
    <w:name w:val="标题 3 字符"/>
    <w:basedOn w:val="38"/>
    <w:qFormat/>
    <w:uiPriority w:val="0"/>
    <w:rPr>
      <w:b/>
      <w:bCs/>
      <w:sz w:val="32"/>
      <w:szCs w:val="32"/>
    </w:rPr>
  </w:style>
  <w:style w:type="character" w:customStyle="1" w:styleId="48">
    <w:name w:val="标题 4 Char1"/>
    <w:basedOn w:val="38"/>
    <w:link w:val="5"/>
    <w:qFormat/>
    <w:uiPriority w:val="9"/>
    <w:rPr>
      <w:rFonts w:ascii="Arial" w:hAnsi="Arial" w:eastAsia="黑体" w:cs="Times New Roman"/>
      <w:b/>
      <w:bCs/>
      <w:kern w:val="0"/>
      <w:sz w:val="28"/>
      <w:szCs w:val="28"/>
    </w:rPr>
  </w:style>
  <w:style w:type="character" w:customStyle="1" w:styleId="49">
    <w:name w:val="标题 5 字符"/>
    <w:basedOn w:val="38"/>
    <w:qFormat/>
    <w:uiPriority w:val="9"/>
    <w:rPr>
      <w:b/>
      <w:bCs/>
      <w:sz w:val="28"/>
      <w:szCs w:val="28"/>
    </w:rPr>
  </w:style>
  <w:style w:type="character" w:customStyle="1" w:styleId="50">
    <w:name w:val="标题 6 字符"/>
    <w:basedOn w:val="38"/>
    <w:qFormat/>
    <w:uiPriority w:val="0"/>
    <w:rPr>
      <w:rFonts w:asciiTheme="majorHAnsi" w:hAnsiTheme="majorHAnsi" w:eastAsiaTheme="majorEastAsia" w:cstheme="majorBidi"/>
      <w:b/>
      <w:bCs/>
      <w:sz w:val="24"/>
      <w:szCs w:val="24"/>
    </w:rPr>
  </w:style>
  <w:style w:type="character" w:customStyle="1" w:styleId="51">
    <w:name w:val="标题 7 Char"/>
    <w:basedOn w:val="38"/>
    <w:link w:val="9"/>
    <w:qFormat/>
    <w:uiPriority w:val="9"/>
    <w:rPr>
      <w:rFonts w:ascii="Times New Roman" w:hAnsi="Calibri" w:eastAsia="黑体" w:cs="Times New Roman"/>
      <w:b/>
      <w:bCs/>
      <w:kern w:val="0"/>
      <w:sz w:val="28"/>
      <w:szCs w:val="24"/>
    </w:rPr>
  </w:style>
  <w:style w:type="character" w:customStyle="1" w:styleId="52">
    <w:name w:val="标题 8 Char"/>
    <w:basedOn w:val="38"/>
    <w:link w:val="10"/>
    <w:qFormat/>
    <w:uiPriority w:val="9"/>
    <w:rPr>
      <w:rFonts w:ascii="Times New Roman" w:hAnsi="Calibri" w:eastAsia="黑体" w:cs="Times New Roman"/>
      <w:b/>
      <w:kern w:val="0"/>
      <w:sz w:val="28"/>
      <w:szCs w:val="24"/>
    </w:rPr>
  </w:style>
  <w:style w:type="character" w:customStyle="1" w:styleId="53">
    <w:name w:val="标题 9 Char"/>
    <w:basedOn w:val="38"/>
    <w:link w:val="11"/>
    <w:qFormat/>
    <w:uiPriority w:val="9"/>
    <w:rPr>
      <w:rFonts w:ascii="Times New Roman" w:hAnsi="Calibri" w:eastAsia="黑体" w:cs="Times New Roman"/>
      <w:b/>
      <w:kern w:val="0"/>
      <w:sz w:val="28"/>
      <w:szCs w:val="24"/>
    </w:rPr>
  </w:style>
  <w:style w:type="character" w:customStyle="1" w:styleId="54">
    <w:name w:val="正文文本缩进 字符"/>
    <w:qFormat/>
    <w:uiPriority w:val="0"/>
    <w:rPr>
      <w:rFonts w:ascii="Times New Roman" w:hAnsi="Times New Roman" w:eastAsia="宋体" w:cs="Times New Roman"/>
      <w:szCs w:val="20"/>
    </w:rPr>
  </w:style>
  <w:style w:type="character" w:customStyle="1" w:styleId="55">
    <w:name w:val="普通(网站) Char"/>
    <w:qFormat/>
    <w:locked/>
    <w:uiPriority w:val="0"/>
    <w:rPr>
      <w:rFonts w:ascii="宋体" w:hAnsi="宋体"/>
      <w:sz w:val="15"/>
      <w:szCs w:val="15"/>
    </w:rPr>
  </w:style>
  <w:style w:type="character" w:customStyle="1" w:styleId="56">
    <w:name w:val="标题 Char"/>
    <w:link w:val="33"/>
    <w:qFormat/>
    <w:uiPriority w:val="10"/>
    <w:rPr>
      <w:rFonts w:ascii="等线 Light" w:hAnsi="等线 Light" w:eastAsia="仿宋"/>
      <w:b/>
      <w:bCs/>
      <w:sz w:val="28"/>
      <w:szCs w:val="32"/>
    </w:rPr>
  </w:style>
  <w:style w:type="character" w:customStyle="1" w:styleId="57">
    <w:name w:val="日期 Char"/>
    <w:semiHidden/>
    <w:qFormat/>
    <w:uiPriority w:val="99"/>
    <w:rPr>
      <w:kern w:val="2"/>
      <w:sz w:val="21"/>
    </w:rPr>
  </w:style>
  <w:style w:type="character" w:customStyle="1" w:styleId="58">
    <w:name w:val="文档结构图 字符1"/>
    <w:semiHidden/>
    <w:qFormat/>
    <w:uiPriority w:val="99"/>
    <w:rPr>
      <w:rFonts w:ascii="Microsoft YaHei UI" w:hAnsi="Calibri" w:eastAsia="Microsoft YaHei UI" w:cs="Times New Roman"/>
      <w:kern w:val="0"/>
      <w:sz w:val="18"/>
      <w:szCs w:val="18"/>
    </w:rPr>
  </w:style>
  <w:style w:type="character" w:customStyle="1" w:styleId="59">
    <w:name w:val="批注文字 Char"/>
    <w:semiHidden/>
    <w:qFormat/>
    <w:uiPriority w:val="99"/>
    <w:rPr>
      <w:kern w:val="2"/>
      <w:sz w:val="21"/>
    </w:rPr>
  </w:style>
  <w:style w:type="character" w:customStyle="1" w:styleId="60">
    <w:name w:val="正文缩进2格 Char"/>
    <w:link w:val="61"/>
    <w:qFormat/>
    <w:uiPriority w:val="0"/>
    <w:rPr>
      <w:rFonts w:ascii="仿宋_GB2312" w:hAnsi="宋体" w:eastAsia="仿宋_GB2312"/>
      <w:sz w:val="31"/>
      <w:szCs w:val="28"/>
    </w:rPr>
  </w:style>
  <w:style w:type="paragraph" w:customStyle="1" w:styleId="61">
    <w:name w:val="正文缩进2格"/>
    <w:basedOn w:val="1"/>
    <w:link w:val="60"/>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semiHidden/>
    <w:qFormat/>
    <w:uiPriority w:val="99"/>
    <w:rPr>
      <w:rFonts w:ascii="宋体" w:hAnsi="Calibri" w:eastAsia="宋体" w:cs="Times New Roman"/>
      <w:kern w:val="0"/>
      <w:sz w:val="18"/>
      <w:szCs w:val="18"/>
    </w:rPr>
  </w:style>
  <w:style w:type="character" w:customStyle="1" w:styleId="65">
    <w:name w:val="List Paragraph Char"/>
    <w:link w:val="66"/>
    <w:qFormat/>
    <w:uiPriority w:val="34"/>
    <w:rPr>
      <w:rFonts w:ascii="Calibri" w:hAnsi="Calibri"/>
    </w:rPr>
  </w:style>
  <w:style w:type="paragraph" w:customStyle="1" w:styleId="66">
    <w:name w:val="列出段落1"/>
    <w:basedOn w:val="1"/>
    <w:link w:val="65"/>
    <w:qFormat/>
    <w:uiPriority w:val="34"/>
    <w:pPr>
      <w:ind w:firstLine="420" w:firstLineChars="200"/>
    </w:pPr>
    <w:rPr>
      <w:rFonts w:ascii="Calibri" w:hAnsi="Calibri"/>
    </w:rPr>
  </w:style>
  <w:style w:type="character" w:customStyle="1" w:styleId="67">
    <w:name w:val="标书正文 字符"/>
    <w:link w:val="68"/>
    <w:qFormat/>
    <w:uiPriority w:val="0"/>
    <w:rPr>
      <w:rFonts w:ascii="Calibri" w:hAnsi="Calibri" w:eastAsia="仿宋"/>
      <w:sz w:val="24"/>
      <w:szCs w:val="21"/>
    </w:rPr>
  </w:style>
  <w:style w:type="paragraph" w:customStyle="1" w:styleId="68">
    <w:name w:val="标书正文"/>
    <w:basedOn w:val="1"/>
    <w:link w:val="67"/>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semiHidden/>
    <w:qFormat/>
    <w:uiPriority w:val="99"/>
    <w:rPr>
      <w:rFonts w:ascii="Times New Roman" w:hAnsi="Times New Roman"/>
      <w:kern w:val="2"/>
      <w:sz w:val="24"/>
      <w:szCs w:val="24"/>
    </w:rPr>
  </w:style>
  <w:style w:type="character" w:customStyle="1" w:styleId="70">
    <w:name w:val="页脚 Char"/>
    <w:qFormat/>
    <w:uiPriority w:val="0"/>
    <w:rPr>
      <w:kern w:val="2"/>
      <w:sz w:val="18"/>
      <w:szCs w:val="18"/>
    </w:rPr>
  </w:style>
  <w:style w:type="character" w:customStyle="1" w:styleId="71">
    <w:name w:val="neir1"/>
    <w:qFormat/>
    <w:uiPriority w:val="0"/>
    <w:rPr>
      <w:rFonts w:hint="default" w:ascii="ˎ̥" w:hAnsi="ˎ̥"/>
      <w:color w:val="333333"/>
      <w:sz w:val="21"/>
      <w:szCs w:val="21"/>
      <w:u w:val="none"/>
    </w:rPr>
  </w:style>
  <w:style w:type="character" w:customStyle="1" w:styleId="72">
    <w:name w:val="批注框文本 Char1"/>
    <w:link w:val="24"/>
    <w:qFormat/>
    <w:uiPriority w:val="0"/>
    <w:rPr>
      <w:rFonts w:ascii="Times New Roman" w:hAnsi="Times New Roman" w:eastAsia="宋体" w:cs="Times New Roman"/>
      <w:sz w:val="18"/>
      <w:szCs w:val="18"/>
    </w:rPr>
  </w:style>
  <w:style w:type="character" w:customStyle="1" w:styleId="73">
    <w:name w:val="正文文本 3 字符1"/>
    <w:semiHidden/>
    <w:qFormat/>
    <w:uiPriority w:val="99"/>
    <w:rPr>
      <w:rFonts w:ascii="宋体" w:hAnsi="Calibri" w:eastAsia="宋体" w:cs="Times New Roman"/>
      <w:kern w:val="0"/>
      <w:sz w:val="16"/>
      <w:szCs w:val="16"/>
    </w:rPr>
  </w:style>
  <w:style w:type="character" w:customStyle="1" w:styleId="74">
    <w:name w:val="正文文本 字符3"/>
    <w:semiHidden/>
    <w:qFormat/>
    <w:uiPriority w:val="99"/>
    <w:rPr>
      <w:rFonts w:ascii="宋体" w:hAnsi="Calibri" w:eastAsia="宋体" w:cs="Times New Roman"/>
      <w:kern w:val="0"/>
      <w:sz w:val="24"/>
      <w:szCs w:val="24"/>
    </w:rPr>
  </w:style>
  <w:style w:type="character" w:customStyle="1" w:styleId="75">
    <w:name w:val="日期 字符1"/>
    <w:semiHidden/>
    <w:qFormat/>
    <w:uiPriority w:val="99"/>
    <w:rPr>
      <w:rFonts w:ascii="宋体" w:hAnsi="Calibri" w:eastAsia="宋体" w:cs="Times New Roman"/>
      <w:kern w:val="0"/>
      <w:sz w:val="24"/>
      <w:szCs w:val="24"/>
    </w:rPr>
  </w:style>
  <w:style w:type="character" w:customStyle="1" w:styleId="76">
    <w:name w:val="页脚 Char2"/>
    <w:link w:val="25"/>
    <w:qFormat/>
    <w:uiPriority w:val="99"/>
    <w:rPr>
      <w:rFonts w:ascii="宋体" w:eastAsia="宋体"/>
      <w:sz w:val="18"/>
      <w:szCs w:val="18"/>
    </w:rPr>
  </w:style>
  <w:style w:type="character" w:customStyle="1" w:styleId="77">
    <w:name w:val="吉奥正文 Char"/>
    <w:link w:val="78"/>
    <w:qFormat/>
    <w:locked/>
    <w:uiPriority w:val="0"/>
    <w:rPr>
      <w:rFonts w:eastAsia="仿宋_GB2312"/>
      <w:sz w:val="28"/>
    </w:rPr>
  </w:style>
  <w:style w:type="paragraph" w:customStyle="1" w:styleId="78">
    <w:name w:val="吉奥正文"/>
    <w:basedOn w:val="1"/>
    <w:link w:val="77"/>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qFormat/>
    <w:uiPriority w:val="99"/>
    <w:rPr>
      <w:rFonts w:ascii="宋体" w:hAnsi="Times New Roman" w:eastAsia="宋体" w:cs="Times New Roman"/>
      <w:kern w:val="0"/>
      <w:sz w:val="18"/>
      <w:szCs w:val="18"/>
    </w:rPr>
  </w:style>
  <w:style w:type="character" w:customStyle="1" w:styleId="80">
    <w:name w:val="标题 字符"/>
    <w:qFormat/>
    <w:uiPriority w:val="10"/>
    <w:rPr>
      <w:rFonts w:ascii="Cambria" w:hAnsi="Cambria" w:eastAsia="宋体" w:cs="Times New Roman"/>
      <w:b/>
      <w:bCs/>
      <w:kern w:val="0"/>
      <w:sz w:val="32"/>
      <w:szCs w:val="32"/>
      <w:lang w:val="en-US" w:eastAsia="zh-CN"/>
    </w:rPr>
  </w:style>
  <w:style w:type="character" w:customStyle="1" w:styleId="81">
    <w:name w:val="题注 Char"/>
    <w:link w:val="13"/>
    <w:qFormat/>
    <w:uiPriority w:val="0"/>
    <w:rPr>
      <w:rFonts w:ascii="Arial" w:hAnsi="Arial" w:eastAsia="黑体" w:cs="Arial"/>
    </w:rPr>
  </w:style>
  <w:style w:type="character" w:customStyle="1" w:styleId="82">
    <w:name w:val="批注文字 字符2"/>
    <w:qFormat/>
    <w:uiPriority w:val="99"/>
    <w:rPr>
      <w:rFonts w:ascii="宋体" w:hAnsi="Times New Roman" w:eastAsia="宋体" w:cs="Times New Roman"/>
      <w:kern w:val="0"/>
      <w:sz w:val="24"/>
      <w:szCs w:val="24"/>
    </w:rPr>
  </w:style>
  <w:style w:type="character" w:customStyle="1" w:styleId="83">
    <w:name w:val="批注主题 字符1"/>
    <w:semiHidden/>
    <w:qFormat/>
    <w:uiPriority w:val="99"/>
    <w:rPr>
      <w:rFonts w:ascii="宋体" w:hAnsi="Calibri" w:eastAsia="宋体" w:cs="Times New Roman"/>
      <w:b/>
      <w:bCs/>
      <w:kern w:val="0"/>
      <w:sz w:val="24"/>
      <w:szCs w:val="24"/>
    </w:rPr>
  </w:style>
  <w:style w:type="character" w:customStyle="1" w:styleId="84">
    <w:name w:val="HTML 预设格式 Char"/>
    <w:link w:val="31"/>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4"/>
    <w:link w:val="8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semiHidden/>
    <w:qFormat/>
    <w:uiPriority w:val="99"/>
    <w:rPr>
      <w:rFonts w:ascii="Courier New" w:hAnsi="Courier New" w:eastAsia="宋体" w:cs="Courier New"/>
      <w:kern w:val="0"/>
      <w:sz w:val="20"/>
      <w:szCs w:val="20"/>
    </w:rPr>
  </w:style>
  <w:style w:type="character" w:customStyle="1" w:styleId="88">
    <w:name w:val="批注文字 字符1"/>
    <w:qFormat/>
    <w:uiPriority w:val="0"/>
    <w:rPr>
      <w:rFonts w:eastAsia="宋体"/>
      <w:kern w:val="2"/>
      <w:sz w:val="24"/>
      <w:szCs w:val="24"/>
      <w:lang w:val="en-US" w:eastAsia="zh-CN" w:bidi="ar-SA"/>
    </w:rPr>
  </w:style>
  <w:style w:type="character" w:customStyle="1" w:styleId="89">
    <w:name w:val="正文文本缩进 字符2"/>
    <w:semiHidden/>
    <w:qFormat/>
    <w:uiPriority w:val="99"/>
    <w:rPr>
      <w:rFonts w:ascii="宋体" w:hAnsi="Calibri" w:eastAsia="宋体" w:cs="Times New Roman"/>
      <w:kern w:val="0"/>
      <w:sz w:val="24"/>
      <w:szCs w:val="24"/>
    </w:rPr>
  </w:style>
  <w:style w:type="character" w:customStyle="1" w:styleId="90">
    <w:name w:val="正文文本缩进 Char1"/>
    <w:link w:val="19"/>
    <w:qFormat/>
    <w:uiPriority w:val="0"/>
    <w:rPr>
      <w:rFonts w:ascii="Times New Roman" w:hAnsi="Times New Roman" w:eastAsia="宋体" w:cs="Times New Roman"/>
      <w:szCs w:val="20"/>
    </w:rPr>
  </w:style>
  <w:style w:type="character" w:customStyle="1" w:styleId="91">
    <w:name w:val="普通(网站) Char1"/>
    <w:link w:val="32"/>
    <w:qFormat/>
    <w:locked/>
    <w:uiPriority w:val="0"/>
    <w:rPr>
      <w:rFonts w:ascii="宋体" w:hAnsi="宋体"/>
      <w:sz w:val="15"/>
      <w:szCs w:val="15"/>
    </w:rPr>
  </w:style>
  <w:style w:type="character" w:customStyle="1" w:styleId="92">
    <w:name w:val="模板正文 Char"/>
    <w:link w:val="8"/>
    <w:qFormat/>
    <w:uiPriority w:val="0"/>
    <w:rPr>
      <w:rFonts w:ascii="宋体" w:eastAsia="仿宋"/>
      <w:sz w:val="24"/>
      <w:szCs w:val="21"/>
    </w:rPr>
  </w:style>
  <w:style w:type="character" w:customStyle="1" w:styleId="93">
    <w:name w:val="批注主题 Char"/>
    <w:semiHidden/>
    <w:qFormat/>
    <w:uiPriority w:val="99"/>
    <w:rPr>
      <w:b/>
      <w:bCs/>
      <w:kern w:val="2"/>
      <w:sz w:val="21"/>
    </w:rPr>
  </w:style>
  <w:style w:type="character" w:customStyle="1" w:styleId="94">
    <w:name w:val="正文文本 Char1"/>
    <w:qFormat/>
    <w:uiPriority w:val="0"/>
    <w:rPr>
      <w:rFonts w:ascii="宋体" w:hAnsi="Times New Roman" w:eastAsia="宋体" w:cs="Times New Roman"/>
      <w:kern w:val="0"/>
      <w:sz w:val="24"/>
      <w:szCs w:val="24"/>
    </w:rPr>
  </w:style>
  <w:style w:type="character" w:customStyle="1" w:styleId="95">
    <w:name w:val="正文文本 字符1"/>
    <w:qFormat/>
    <w:uiPriority w:val="99"/>
    <w:rPr>
      <w:rFonts w:ascii="宋体" w:eastAsia="宋体"/>
      <w:b/>
      <w:bCs/>
      <w:sz w:val="84"/>
      <w:szCs w:val="84"/>
      <w:lang w:val="zh-CN"/>
    </w:rPr>
  </w:style>
  <w:style w:type="character" w:customStyle="1" w:styleId="96">
    <w:name w:val="标题 1 Char"/>
    <w:qFormat/>
    <w:uiPriority w:val="9"/>
    <w:rPr>
      <w:rFonts w:ascii="宋体" w:hAnsi="Times New Roman" w:eastAsia="宋体" w:cs="Times New Roman"/>
      <w:kern w:val="0"/>
      <w:sz w:val="24"/>
      <w:szCs w:val="24"/>
    </w:rPr>
  </w:style>
  <w:style w:type="character" w:customStyle="1" w:styleId="97">
    <w:name w:val="正文文本 Char2"/>
    <w:qFormat/>
    <w:uiPriority w:val="99"/>
    <w:rPr>
      <w:rFonts w:ascii="宋体" w:eastAsia="宋体"/>
      <w:b/>
      <w:bCs/>
      <w:sz w:val="84"/>
      <w:szCs w:val="84"/>
      <w:lang w:val="zh-CN"/>
    </w:rPr>
  </w:style>
  <w:style w:type="character" w:customStyle="1" w:styleId="98">
    <w:name w:val="纯文本 Char2"/>
    <w:link w:val="21"/>
    <w:qFormat/>
    <w:uiPriority w:val="0"/>
    <w:rPr>
      <w:rFonts w:ascii="宋体" w:hAnsi="Courier New" w:eastAsia="宋体"/>
    </w:rPr>
  </w:style>
  <w:style w:type="character" w:customStyle="1" w:styleId="99">
    <w:name w:val="正文文本缩进 2 Char"/>
    <w:link w:val="23"/>
    <w:qFormat/>
    <w:uiPriority w:val="0"/>
    <w:rPr>
      <w:rFonts w:ascii="宋体" w:hAnsi="Times New Roman" w:eastAsia="宋体" w:cs="Times New Roman"/>
      <w:szCs w:val="20"/>
    </w:rPr>
  </w:style>
  <w:style w:type="character" w:customStyle="1" w:styleId="100">
    <w:name w:val="HTML Markup"/>
    <w:qFormat/>
    <w:uiPriority w:val="0"/>
    <w:rPr>
      <w:vanish/>
      <w:color w:val="FF0000"/>
    </w:rPr>
  </w:style>
  <w:style w:type="character" w:customStyle="1" w:styleId="101">
    <w:name w:val="页眉 Char1"/>
    <w:qFormat/>
    <w:uiPriority w:val="0"/>
    <w:rPr>
      <w:rFonts w:ascii="宋体" w:hAnsi="Times New Roman" w:eastAsia="宋体" w:cs="Times New Roman"/>
      <w:kern w:val="0"/>
      <w:sz w:val="18"/>
      <w:szCs w:val="18"/>
    </w:rPr>
  </w:style>
  <w:style w:type="character" w:customStyle="1" w:styleId="102">
    <w:name w:val="font11"/>
    <w:qFormat/>
    <w:uiPriority w:val="0"/>
    <w:rPr>
      <w:rFonts w:hint="eastAsia" w:ascii="宋体" w:hAnsi="宋体" w:eastAsia="宋体" w:cs="宋体"/>
      <w:color w:val="FF0000"/>
      <w:sz w:val="22"/>
      <w:szCs w:val="22"/>
      <w:u w:val="none"/>
    </w:rPr>
  </w:style>
  <w:style w:type="character" w:customStyle="1" w:styleId="103">
    <w:name w:val="style61"/>
    <w:qFormat/>
    <w:uiPriority w:val="0"/>
    <w:rPr>
      <w:b/>
      <w:bCs/>
    </w:rPr>
  </w:style>
  <w:style w:type="character" w:customStyle="1" w:styleId="104">
    <w:name w:val="表头文字 Char"/>
    <w:link w:val="105"/>
    <w:qFormat/>
    <w:uiPriority w:val="0"/>
    <w:rPr>
      <w:rFonts w:eastAsia="仿宋_GB2312"/>
      <w:b/>
      <w:sz w:val="28"/>
      <w:szCs w:val="21"/>
    </w:rPr>
  </w:style>
  <w:style w:type="paragraph" w:customStyle="1" w:styleId="105">
    <w:name w:val="表头文字"/>
    <w:basedOn w:val="1"/>
    <w:link w:val="104"/>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2"/>
    <w:qFormat/>
    <w:uiPriority w:val="99"/>
    <w:rPr>
      <w:rFonts w:ascii="宋体" w:hAnsi="Times New Roman" w:eastAsia="宋体" w:cs="Times New Roman"/>
      <w:b/>
      <w:bCs/>
      <w:szCs w:val="21"/>
      <w:lang w:val="zh-CN"/>
    </w:rPr>
  </w:style>
  <w:style w:type="character" w:customStyle="1" w:styleId="107">
    <w:name w:val="纯文本 Char1"/>
    <w:qFormat/>
    <w:uiPriority w:val="0"/>
    <w:rPr>
      <w:rFonts w:ascii="宋体" w:hAnsi="Courier New" w:eastAsia="宋体" w:cs="Courier New"/>
      <w:kern w:val="0"/>
      <w:szCs w:val="21"/>
    </w:rPr>
  </w:style>
  <w:style w:type="character" w:customStyle="1" w:styleId="108">
    <w:name w:val="批注主题 Char1"/>
    <w:link w:val="34"/>
    <w:qFormat/>
    <w:uiPriority w:val="99"/>
    <w:rPr>
      <w:rFonts w:ascii="宋体" w:hAnsi="Times New Roman" w:eastAsia="宋体" w:cs="Times New Roman"/>
      <w:b/>
      <w:bCs/>
      <w:kern w:val="0"/>
      <w:sz w:val="24"/>
      <w:szCs w:val="24"/>
    </w:rPr>
  </w:style>
  <w:style w:type="character" w:customStyle="1" w:styleId="109">
    <w:name w:val="纯文本 字符"/>
    <w:qFormat/>
    <w:uiPriority w:val="99"/>
    <w:rPr>
      <w:rFonts w:ascii="宋体" w:hAnsi="Courier New" w:eastAsia="宋体" w:cs="Times New Roman"/>
      <w:szCs w:val="20"/>
      <w:lang w:val="en-US" w:eastAsia="zh-CN"/>
    </w:rPr>
  </w:style>
  <w:style w:type="character" w:customStyle="1" w:styleId="110">
    <w:name w:val="font71"/>
    <w:qFormat/>
    <w:uiPriority w:val="0"/>
    <w:rPr>
      <w:rFonts w:hint="eastAsia" w:ascii="宋体" w:hAnsi="宋体" w:eastAsia="宋体" w:cs="宋体"/>
      <w:color w:val="FF0000"/>
      <w:sz w:val="18"/>
      <w:szCs w:val="18"/>
      <w:u w:val="none"/>
    </w:rPr>
  </w:style>
  <w:style w:type="character" w:customStyle="1" w:styleId="111">
    <w:name w:val="font21"/>
    <w:qFormat/>
    <w:uiPriority w:val="0"/>
    <w:rPr>
      <w:rFonts w:hint="eastAsia" w:ascii="宋体" w:hAnsi="宋体" w:eastAsia="宋体" w:cs="宋体"/>
      <w:b/>
      <w:color w:val="000000"/>
      <w:sz w:val="21"/>
      <w:szCs w:val="21"/>
      <w:u w:val="none"/>
    </w:rPr>
  </w:style>
  <w:style w:type="character" w:customStyle="1" w:styleId="112">
    <w:name w:val="纯文本 字符3"/>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Char3"/>
    <w:link w:val="18"/>
    <w:qFormat/>
    <w:uiPriority w:val="99"/>
    <w:rPr>
      <w:rFonts w:ascii="宋体" w:eastAsia="宋体"/>
      <w:b/>
      <w:bCs/>
      <w:sz w:val="84"/>
      <w:szCs w:val="84"/>
      <w:lang w:val="zh-CN"/>
    </w:rPr>
  </w:style>
  <w:style w:type="character" w:customStyle="1" w:styleId="117">
    <w:name w:val="标题 5 Char"/>
    <w:semiHidden/>
    <w:qFormat/>
    <w:uiPriority w:val="9"/>
    <w:rPr>
      <w:b/>
      <w:bCs/>
      <w:kern w:val="2"/>
      <w:sz w:val="28"/>
      <w:szCs w:val="28"/>
    </w:rPr>
  </w:style>
  <w:style w:type="character" w:customStyle="1" w:styleId="118">
    <w:name w:val="页眉 Char2"/>
    <w:link w:val="26"/>
    <w:qFormat/>
    <w:uiPriority w:val="99"/>
    <w:rPr>
      <w:rFonts w:ascii="宋体" w:eastAsia="宋体"/>
      <w:sz w:val="18"/>
      <w:szCs w:val="18"/>
    </w:rPr>
  </w:style>
  <w:style w:type="character" w:customStyle="1" w:styleId="119">
    <w:name w:val="表格文字 Char"/>
    <w:link w:val="120"/>
    <w:qFormat/>
    <w:uiPriority w:val="0"/>
    <w:rPr>
      <w:rFonts w:eastAsia="仿宋_GB2312"/>
      <w:sz w:val="28"/>
      <w:szCs w:val="24"/>
    </w:rPr>
  </w:style>
  <w:style w:type="paragraph" w:customStyle="1" w:styleId="120">
    <w:name w:val="表格文字"/>
    <w:basedOn w:val="1"/>
    <w:link w:val="119"/>
    <w:qFormat/>
    <w:uiPriority w:val="0"/>
    <w:rPr>
      <w:rFonts w:eastAsia="仿宋_GB2312"/>
      <w:sz w:val="28"/>
      <w:szCs w:val="24"/>
    </w:rPr>
  </w:style>
  <w:style w:type="character" w:customStyle="1" w:styleId="121">
    <w:name w:val="标题 字符2"/>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Char"/>
    <w:link w:val="127"/>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semiHidden/>
    <w:qFormat/>
    <w:uiPriority w:val="99"/>
    <w:rPr>
      <w:rFonts w:ascii="宋体" w:hAnsi="Calibri" w:eastAsia="宋体" w:cs="Times New Roman"/>
      <w:kern w:val="0"/>
      <w:sz w:val="18"/>
      <w:szCs w:val="18"/>
    </w:rPr>
  </w:style>
  <w:style w:type="character" w:customStyle="1" w:styleId="130">
    <w:name w:val="标题 5 Char1"/>
    <w:link w:val="6"/>
    <w:qFormat/>
    <w:uiPriority w:val="9"/>
    <w:rPr>
      <w:rFonts w:ascii="宋体" w:hAnsi="Calibri" w:eastAsia="宋体" w:cs="Times New Roman"/>
      <w:b/>
      <w:bCs/>
      <w:kern w:val="0"/>
      <w:sz w:val="28"/>
      <w:szCs w:val="28"/>
    </w:rPr>
  </w:style>
  <w:style w:type="character" w:customStyle="1" w:styleId="131">
    <w:name w:val="keyfeatures1"/>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qFormat/>
    <w:uiPriority w:val="0"/>
    <w:rPr>
      <w:rFonts w:ascii="宋体" w:hAnsi="宋体" w:eastAsia="宋体"/>
      <w:b/>
      <w:kern w:val="2"/>
      <w:sz w:val="21"/>
      <w:szCs w:val="24"/>
      <w:lang w:val="en-US" w:eastAsia="zh-CN" w:bidi="ar-SA"/>
    </w:rPr>
  </w:style>
  <w:style w:type="character" w:customStyle="1" w:styleId="134">
    <w:name w:val="批注文字 字符3"/>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qFormat/>
    <w:uiPriority w:val="0"/>
    <w:rPr>
      <w:rFonts w:ascii="宋体" w:hAnsi="Courier New" w:eastAsia="宋体" w:cs="Times New Roman"/>
      <w:szCs w:val="20"/>
    </w:rPr>
  </w:style>
  <w:style w:type="character" w:customStyle="1" w:styleId="140">
    <w:name w:val="标题 6 Char"/>
    <w:link w:val="7"/>
    <w:qFormat/>
    <w:uiPriority w:val="9"/>
    <w:rPr>
      <w:rFonts w:ascii="Times New Roman" w:hAnsi="Calibri" w:eastAsia="黑体" w:cs="Times New Roman"/>
      <w:b/>
      <w:bCs/>
      <w:kern w:val="0"/>
      <w:sz w:val="28"/>
      <w:szCs w:val="24"/>
    </w:rPr>
  </w:style>
  <w:style w:type="character" w:customStyle="1" w:styleId="141">
    <w:name w:val="正文文本 2 Char"/>
    <w:link w:val="30"/>
    <w:qFormat/>
    <w:uiPriority w:val="0"/>
    <w:rPr>
      <w:rFonts w:ascii="Arial" w:hAnsi="Arial" w:eastAsia="宋体" w:cs="Times New Roman"/>
      <w:color w:val="000000"/>
      <w:szCs w:val="24"/>
    </w:rPr>
  </w:style>
  <w:style w:type="character" w:customStyle="1" w:styleId="142">
    <w:name w:val="标题 3 Char"/>
    <w:link w:val="4"/>
    <w:qFormat/>
    <w:uiPriority w:val="0"/>
    <w:rPr>
      <w:rFonts w:ascii="宋体" w:hAnsi="Calibri" w:eastAsia="宋体" w:cs="Times New Roman"/>
      <w:kern w:val="0"/>
      <w:sz w:val="24"/>
      <w:szCs w:val="24"/>
    </w:rPr>
  </w:style>
  <w:style w:type="character" w:customStyle="1" w:styleId="143">
    <w:name w:val="正文文本缩进 2 字符1"/>
    <w:semiHidden/>
    <w:qFormat/>
    <w:uiPriority w:val="99"/>
    <w:rPr>
      <w:rFonts w:ascii="宋体" w:hAnsi="Calibri" w:eastAsia="宋体" w:cs="Times New Roman"/>
      <w:kern w:val="0"/>
      <w:sz w:val="24"/>
      <w:szCs w:val="24"/>
    </w:rPr>
  </w:style>
  <w:style w:type="character" w:customStyle="1" w:styleId="144">
    <w:name w:val="正文文本缩进 3 字符1"/>
    <w:semiHidden/>
    <w:qFormat/>
    <w:uiPriority w:val="99"/>
    <w:rPr>
      <w:rFonts w:ascii="宋体" w:hAnsi="Calibri" w:eastAsia="宋体" w:cs="Times New Roman"/>
      <w:kern w:val="0"/>
      <w:sz w:val="16"/>
      <w:szCs w:val="16"/>
    </w:rPr>
  </w:style>
  <w:style w:type="character" w:customStyle="1" w:styleId="145">
    <w:name w:val="正文文本 2 字符1"/>
    <w:semiHidden/>
    <w:qFormat/>
    <w:uiPriority w:val="99"/>
    <w:rPr>
      <w:rFonts w:ascii="宋体" w:hAnsi="Calibri" w:eastAsia="宋体" w:cs="Times New Roman"/>
      <w:kern w:val="0"/>
      <w:sz w:val="24"/>
      <w:szCs w:val="24"/>
    </w:rPr>
  </w:style>
  <w:style w:type="character" w:customStyle="1" w:styleId="146">
    <w:name w:val="eschoolnr"/>
    <w:qFormat/>
    <w:uiPriority w:val="0"/>
    <w:rPr>
      <w:sz w:val="23"/>
      <w:szCs w:val="23"/>
    </w:rPr>
  </w:style>
  <w:style w:type="character" w:customStyle="1" w:styleId="147">
    <w:name w:val="访问过的超链接1"/>
    <w:qFormat/>
    <w:uiPriority w:val="0"/>
    <w:rPr>
      <w:rFonts w:ascii="Arial" w:hAnsi="Arial" w:cs="Arial"/>
      <w:color w:val="000000"/>
      <w:sz w:val="20"/>
      <w:szCs w:val="20"/>
      <w:u w:val="none"/>
    </w:rPr>
  </w:style>
  <w:style w:type="character" w:customStyle="1" w:styleId="148">
    <w:name w:val="标题 1 Char1"/>
    <w:link w:val="2"/>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semiHidden/>
    <w:qFormat/>
    <w:uiPriority w:val="99"/>
    <w:rPr>
      <w:kern w:val="2"/>
      <w:sz w:val="18"/>
      <w:szCs w:val="18"/>
    </w:rPr>
  </w:style>
  <w:style w:type="character" w:customStyle="1" w:styleId="151">
    <w:name w:val="DAS正文 Char"/>
    <w:qFormat/>
    <w:uiPriority w:val="0"/>
    <w:rPr>
      <w:rFonts w:ascii="Verdana" w:hAnsi="Verdana" w:eastAsia="宋体"/>
      <w:kern w:val="2"/>
      <w:sz w:val="21"/>
      <w:szCs w:val="21"/>
      <w:lang w:val="en-US" w:eastAsia="zh-CN" w:bidi="ar-SA"/>
    </w:rPr>
  </w:style>
  <w:style w:type="character" w:customStyle="1" w:styleId="152">
    <w:name w:val="正文文本缩进 3 Char"/>
    <w:link w:val="29"/>
    <w:qFormat/>
    <w:uiPriority w:val="0"/>
    <w:rPr>
      <w:rFonts w:ascii="宋体" w:hAnsi="Times New Roman" w:eastAsia="宋体" w:cs="Times New Roman"/>
      <w:kern w:val="0"/>
      <w:sz w:val="24"/>
      <w:szCs w:val="24"/>
    </w:rPr>
  </w:style>
  <w:style w:type="character" w:customStyle="1" w:styleId="153">
    <w:name w:val="页眉 Char"/>
    <w:qFormat/>
    <w:uiPriority w:val="99"/>
    <w:rPr>
      <w:kern w:val="2"/>
      <w:sz w:val="18"/>
      <w:szCs w:val="18"/>
    </w:rPr>
  </w:style>
  <w:style w:type="character" w:customStyle="1" w:styleId="154">
    <w:name w:val="正文文本 3 Char"/>
    <w:link w:val="17"/>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qFormat/>
    <w:uiPriority w:val="0"/>
    <w:rPr>
      <w:rFonts w:ascii="宋体"/>
      <w:sz w:val="24"/>
      <w:szCs w:val="24"/>
    </w:rPr>
  </w:style>
  <w:style w:type="paragraph" w:customStyle="1" w:styleId="157">
    <w:name w:val="彩色列表 - 强调文字颜色 11"/>
    <w:basedOn w:val="1"/>
    <w:link w:val="156"/>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Char2"/>
    <w:basedOn w:val="38"/>
    <w:link w:val="16"/>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semiHidden/>
    <w:qFormat/>
    <w:uiPriority w:val="99"/>
    <w:rPr>
      <w:rFonts w:ascii="宋体" w:hAnsi="Calibri" w:eastAsia="宋体" w:cs="Times New Roman"/>
      <w:sz w:val="24"/>
      <w:szCs w:val="24"/>
      <w:lang w:val="en-US" w:eastAsia="zh-CN" w:bidi="ar-SA"/>
    </w:rPr>
  </w:style>
  <w:style w:type="paragraph" w:customStyle="1" w:styleId="181">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35"/>
    <w:semiHidden/>
    <w:qFormat/>
    <w:uiPriority w:val="99"/>
    <w:rPr>
      <w:rFonts w:ascii="宋体" w:eastAsia="宋体"/>
      <w:b w:val="0"/>
      <w:bCs w:val="0"/>
      <w:sz w:val="84"/>
      <w:szCs w:val="84"/>
      <w:lang w:val="zh-CN"/>
    </w:rPr>
  </w:style>
  <w:style w:type="paragraph" w:customStyle="1" w:styleId="200">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1">
    <w:name w:val="10"/>
    <w:basedOn w:val="38"/>
    <w:qFormat/>
    <w:uiPriority w:val="0"/>
    <w:rPr>
      <w:rFonts w:hint="default" w:ascii="Times New Roman" w:hAnsi="Times New Roman" w:cs="Times New Roman"/>
    </w:rPr>
  </w:style>
  <w:style w:type="character" w:customStyle="1" w:styleId="202">
    <w:name w:val="15"/>
    <w:basedOn w:val="38"/>
    <w:qFormat/>
    <w:uiPriority w:val="0"/>
    <w:rPr>
      <w:rFonts w:hint="eastAsia" w:ascii="宋体" w:hAnsi="宋体" w:eastAsia="宋体" w:cs="宋体"/>
      <w:color w:val="FF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70724</Words>
  <Characters>74091</Characters>
  <Lines>1</Lines>
  <Paragraphs>1</Paragraphs>
  <TotalTime>4</TotalTime>
  <ScaleCrop>false</ScaleCrop>
  <LinksUpToDate>false</LinksUpToDate>
  <CharactersWithSpaces>77090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penguin</cp:lastModifiedBy>
  <dcterms:modified xsi:type="dcterms:W3CDTF">2024-05-17T06:45:52Z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FC86529555864147A6D2C0B502DD08A7_13</vt:lpwstr>
  </property>
</Properties>
</file>