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bookmarkStart w:id="687" w:name="_GoBack"/>
    </w:p>
    <w:p>
      <w:pPr>
        <w:autoSpaceDE w:val="0"/>
        <w:autoSpaceDN w:val="0"/>
        <w:adjustRightInd w:val="0"/>
        <w:spacing w:line="276" w:lineRule="auto"/>
        <w:ind w:left="247"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东莞市水务集团有限公司2024年度食堂食材采购项目</w:t>
      </w:r>
    </w:p>
    <w:p>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pPr>
        <w:autoSpaceDE w:val="0"/>
        <w:autoSpaceDN w:val="0"/>
        <w:adjustRightInd w:val="0"/>
        <w:ind w:left="247"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pPr>
        <w:autoSpaceDE w:val="0"/>
        <w:autoSpaceDN w:val="0"/>
        <w:adjustRightInd w:val="0"/>
        <w:ind w:left="247"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pPr>
        <w:autoSpaceDE w:val="0"/>
        <w:autoSpaceDN w:val="0"/>
        <w:adjustRightInd w:val="0"/>
        <w:ind w:left="247"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pPr>
        <w:autoSpaceDE w:val="0"/>
        <w:autoSpaceDN w:val="0"/>
        <w:adjustRightInd w:val="0"/>
        <w:ind w:left="247"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pPr>
        <w:autoSpaceDE w:val="0"/>
        <w:autoSpaceDN w:val="0"/>
        <w:adjustRightInd w:val="0"/>
        <w:ind w:left="247"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pPr>
        <w:autoSpaceDE w:val="0"/>
        <w:autoSpaceDN w:val="0"/>
        <w:adjustRightInd w:val="0"/>
        <w:ind w:left="247"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pPr>
        <w:tabs>
          <w:tab w:val="left" w:pos="9240"/>
        </w:tabs>
        <w:autoSpaceDE w:val="0"/>
        <w:autoSpaceDN w:val="0"/>
        <w:adjustRightInd w:val="0"/>
        <w:spacing w:line="700" w:lineRule="exact"/>
        <w:ind w:left="247"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号：广建咨询（东招）2024-0038号</w:t>
      </w:r>
    </w:p>
    <w:p>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pPr>
        <w:autoSpaceDE w:val="0"/>
        <w:autoSpaceDN w:val="0"/>
        <w:adjustRightInd w:val="0"/>
        <w:ind w:left="247"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pPr>
        <w:autoSpaceDE w:val="0"/>
        <w:autoSpaceDN w:val="0"/>
        <w:adjustRightInd w:val="0"/>
        <w:ind w:left="247"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pPr>
        <w:ind w:left="247"/>
        <w:rPr>
          <w:color w:val="000000" w:themeColor="text1"/>
          <w:highlight w:val="none"/>
          <w:lang w:val="zh-CN"/>
          <w14:textFill>
            <w14:solidFill>
              <w14:schemeClr w14:val="tx1"/>
            </w14:solidFill>
          </w14:textFill>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30</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pPr>
        <w:tabs>
          <w:tab w:val="left" w:pos="9923"/>
          <w:tab w:val="left" w:pos="10206"/>
        </w:tabs>
        <w:autoSpaceDE w:val="0"/>
        <w:autoSpaceDN w:val="0"/>
        <w:adjustRightInd w:val="0"/>
        <w:spacing w:line="360" w:lineRule="auto"/>
        <w:ind w:left="247"/>
        <w:jc w:val="center"/>
        <w:rPr>
          <w:rFonts w:ascii="宋体" w:hAnsi="宋体" w:eastAsia="宋体" w:cs="Times New Roman"/>
          <w:b/>
          <w:color w:val="000000" w:themeColor="text1"/>
          <w:kern w:val="0"/>
          <w:szCs w:val="21"/>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pPr>
        <w:pStyle w:val="29"/>
        <w:rPr>
          <w:color w:val="000000" w:themeColor="text1"/>
          <w:sz w:val="20"/>
          <w:highlight w:val="none"/>
          <w14:textFill>
            <w14:solidFill>
              <w14:schemeClr w14:val="tx1"/>
            </w14:solidFill>
          </w14:textFill>
          <w14:ligatures w14:val="standardContextual"/>
        </w:rPr>
      </w:pPr>
      <w:r>
        <w:rPr>
          <w:rFonts w:hint="eastAsia"/>
          <w:b/>
          <w:bCs/>
          <w:color w:val="000000" w:themeColor="text1"/>
          <w:szCs w:val="21"/>
          <w:highlight w:val="none"/>
          <w14:textFill>
            <w14:solidFill>
              <w14:schemeClr w14:val="tx1"/>
            </w14:solidFill>
          </w14:textFill>
        </w:rPr>
        <w:fldChar w:fldCharType="begin"/>
      </w:r>
      <w:r>
        <w:rPr>
          <w:rFonts w:hint="eastAsia"/>
          <w:b/>
          <w:bCs/>
          <w:color w:val="000000" w:themeColor="text1"/>
          <w:szCs w:val="21"/>
          <w:highlight w:val="none"/>
          <w14:textFill>
            <w14:solidFill>
              <w14:schemeClr w14:val="tx1"/>
            </w14:solidFill>
          </w14:textFill>
        </w:rPr>
        <w:instrText xml:space="preserve">TOC \o "1-3" \h \u </w:instrText>
      </w:r>
      <w:r>
        <w:rPr>
          <w:rFonts w:hint="eastAsia"/>
          <w:b/>
          <w:bC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第一篇 招标公告</w:t>
      </w:r>
      <w:r>
        <w:rPr>
          <w:rFonts w:hint="eastAsia"/>
          <w:color w:val="000000" w:themeColor="text1"/>
          <w:sz w:val="20"/>
          <w:highlight w:val="none"/>
          <w14:textFill>
            <w14:solidFill>
              <w14:schemeClr w14:val="tx1"/>
            </w14:solidFill>
          </w14:textFill>
        </w:rPr>
        <w:tab/>
      </w:r>
      <w:r>
        <w:rPr>
          <w:rFonts w:hint="eastAsia"/>
          <w:color w:val="000000" w:themeColor="text1"/>
          <w:sz w:val="20"/>
          <w:highlight w:val="none"/>
          <w14:textFill>
            <w14:solidFill>
              <w14:schemeClr w14:val="tx1"/>
            </w14:solidFill>
          </w14:textFill>
        </w:rPr>
        <w:fldChar w:fldCharType="begin"/>
      </w:r>
      <w:r>
        <w:rPr>
          <w:rFonts w:hint="eastAsia"/>
          <w:color w:val="000000" w:themeColor="text1"/>
          <w:sz w:val="20"/>
          <w:highlight w:val="none"/>
          <w14:textFill>
            <w14:solidFill>
              <w14:schemeClr w14:val="tx1"/>
            </w14:solidFill>
          </w14:textFill>
        </w:rPr>
        <w:instrText xml:space="preserve"> PAGEREF _Toc161843140 \h </w:instrText>
      </w:r>
      <w:r>
        <w:rPr>
          <w:rFonts w:hint="eastAsia"/>
          <w:color w:val="000000" w:themeColor="text1"/>
          <w:sz w:val="20"/>
          <w:highlight w:val="none"/>
          <w14:textFill>
            <w14:solidFill>
              <w14:schemeClr w14:val="tx1"/>
            </w14:solidFill>
          </w14:textFill>
        </w:rPr>
        <w:fldChar w:fldCharType="separate"/>
      </w:r>
      <w:r>
        <w:rPr>
          <w:color w:val="000000" w:themeColor="text1"/>
          <w:sz w:val="20"/>
          <w:highlight w:val="none"/>
          <w14:textFill>
            <w14:solidFill>
              <w14:schemeClr w14:val="tx1"/>
            </w14:solidFill>
          </w14:textFill>
        </w:rPr>
        <w:t>4</w:t>
      </w:r>
      <w:r>
        <w:rPr>
          <w:rFonts w:hint="eastAsia"/>
          <w:color w:val="000000" w:themeColor="text1"/>
          <w:sz w:val="20"/>
          <w:highlight w:val="none"/>
          <w14:textFill>
            <w14:solidFill>
              <w14:schemeClr w14:val="tx1"/>
            </w14:solidFill>
          </w14:textFill>
        </w:rPr>
        <w:fldChar w:fldCharType="end"/>
      </w:r>
      <w:r>
        <w:rPr>
          <w:rFonts w:hint="eastAsia"/>
          <w:color w:val="000000" w:themeColor="text1"/>
          <w:sz w:val="20"/>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第二篇</w:t>
      </w:r>
      <w:r>
        <w:rPr>
          <w:rStyle w:val="43"/>
          <w:rFonts w:hint="eastAsia" w:ascii="宋体" w:hAnsi="宋体" w:eastAsia="宋体" w:cs="宋体"/>
          <w:b/>
          <w:bCs/>
          <w:color w:val="000000" w:themeColor="text1"/>
          <w:kern w:val="44"/>
          <w:highlight w:val="none"/>
          <w14:textFill>
            <w14:solidFill>
              <w14:schemeClr w14:val="tx1"/>
            </w14:solidFill>
          </w14:textFill>
        </w:rPr>
        <w:t xml:space="preserve"> </w:t>
      </w:r>
      <w:r>
        <w:rPr>
          <w:rStyle w:val="43"/>
          <w:rFonts w:hint="eastAsia" w:ascii="宋体" w:hAnsi="宋体" w:eastAsia="宋体" w:cs="宋体"/>
          <w:b/>
          <w:bCs/>
          <w:color w:val="000000" w:themeColor="text1"/>
          <w:kern w:val="44"/>
          <w:highlight w:val="none"/>
          <w:lang w:val="zh-CN"/>
          <w14:textFill>
            <w14:solidFill>
              <w14:schemeClr w14:val="tx1"/>
            </w14:solidFill>
          </w14:textFill>
        </w:rPr>
        <w:t>投标人须知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"_Toc161843142"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一、总则</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_Toc161843142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"_Toc161843143"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 资金来源：企业自筹资金。</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_Toc161843143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"_Toc161843144"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 合格的投标人</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_Toc161843144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"_Toc161843145"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3 合格的服务</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_Toc161843145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"_Toc161843146"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4 其它说明</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_Toc161843146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"_Toc161843147"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二、招标文件</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_Toc161843147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5 招标文件的构成</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"_Toc161843149"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6 招标文件的异议</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_Toc161843149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7 招标文件的澄清及修改</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_Toc161843150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三、投标文件的编制</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"_Toc161843152"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8 投标使用的文字及度量衡单位</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_Toc161843152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"_Toc161843153"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9 投标文件的组成</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_Toc161843153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"_Toc161843154"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10 投标函</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_Toc161843154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"_Toc161843155"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11 投标报价</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_Toc161843155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"_Toc161843156"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12 投标报价货币</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_Toc161843156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"_Toc161843157"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13 证明投标人的合格性和资格的声明文件</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_Toc161843157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14 证明服务的合格性并符合招标文件规定的声明文件</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"_Toc161843159"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15 投标保证金</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_Toc161843159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16 投标有效期</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_Toc161843160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17 投标文件的式样和签署</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"_Toc161843162"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四、投标文件的递交</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_Toc161843162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"_Toc161843163"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18 投标文件的密封和标记</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_Toc161843163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"_Toc161843164"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19 递交投标文件的截止日期</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_Toc161843164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"_Toc161843165"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20 迟交的投标文件</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_Toc161843165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"_Toc161843166"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21 投标文件的修改和撤回</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_Toc161843166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"_Toc161843167"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五、开标与评标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_Toc161843167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22 开标</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"_Toc161843169"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 xml:space="preserve">23 </w:t>
      </w:r>
      <w:r>
        <w:rPr>
          <w:rStyle w:val="43"/>
          <w:rFonts w:hint="eastAsia" w:ascii="宋体" w:hAnsi="宋体" w:eastAsia="宋体" w:cs="宋体"/>
          <w:color w:val="000000" w:themeColor="text1"/>
          <w:kern w:val="0"/>
          <w:highlight w:val="none"/>
          <w14:textFill>
            <w14:solidFill>
              <w14:schemeClr w14:val="tx1"/>
            </w14:solidFill>
          </w14:textFill>
        </w:rPr>
        <w:t>评标过程的保密性</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_Toc161843169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24 评标委员会</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_Toc161843170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25 投标文件的初审</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"_Toc161843172"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26 投标文件的澄清</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_Toc161843172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"_Toc161843173"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27 对投标文件的比较和评价</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_Toc161843173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"_Toc161843174"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28 评标原则及方法</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_Toc161843174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"_Toc161843175"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2</w:t>
      </w:r>
      <w:r>
        <w:rPr>
          <w:rStyle w:val="43"/>
          <w:rFonts w:hint="eastAsia" w:ascii="宋体" w:hAnsi="宋体" w:eastAsia="宋体" w:cs="宋体"/>
          <w:color w:val="000000" w:themeColor="text1"/>
          <w:highlight w:val="none"/>
          <w14:textFill>
            <w14:solidFill>
              <w14:schemeClr w14:val="tx1"/>
            </w14:solidFill>
          </w14:textFill>
        </w:rPr>
        <w:t xml:space="preserve">9 </w:t>
      </w:r>
      <w:r>
        <w:rPr>
          <w:rStyle w:val="43"/>
          <w:rFonts w:hint="eastAsia" w:ascii="宋体" w:hAnsi="宋体" w:eastAsia="宋体" w:cs="宋体"/>
          <w:color w:val="000000" w:themeColor="text1"/>
          <w:highlight w:val="none"/>
          <w:lang w:val="zh-CN"/>
          <w14:textFill>
            <w14:solidFill>
              <w14:schemeClr w14:val="tx1"/>
            </w14:solidFill>
          </w14:textFill>
        </w:rPr>
        <w:t>评标结果公示及异议、投诉</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_Toc161843175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"_Toc161843176"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30 真实性审查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_Toc161843176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"_Toc161843177"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31</w:t>
      </w:r>
      <w:r>
        <w:rPr>
          <w:rStyle w:val="43"/>
          <w:rFonts w:hint="eastAsia" w:ascii="宋体" w:hAnsi="宋体" w:eastAsia="宋体" w:cs="宋体"/>
          <w:color w:val="000000" w:themeColor="text1"/>
          <w:highlight w:val="none"/>
          <w:lang w:val="zh-CN"/>
          <w14:textFill>
            <w14:solidFill>
              <w14:schemeClr w14:val="tx1"/>
            </w14:solidFill>
          </w14:textFill>
        </w:rPr>
        <w:t xml:space="preserve"> 评标委员会和招标人接受或拒绝任何投标或所有投标的权利</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_Toc161843177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六、授予合同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"_Toc161843179"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32</w:t>
      </w:r>
      <w:r>
        <w:rPr>
          <w:rStyle w:val="43"/>
          <w:rFonts w:hint="eastAsia" w:ascii="宋体" w:hAnsi="宋体" w:eastAsia="宋体" w:cs="宋体"/>
          <w:color w:val="000000" w:themeColor="text1"/>
          <w:highlight w:val="none"/>
          <w:lang w:val="zh-CN"/>
          <w14:textFill>
            <w14:solidFill>
              <w14:schemeClr w14:val="tx1"/>
            </w14:solidFill>
          </w14:textFill>
        </w:rPr>
        <w:t xml:space="preserve"> 授予合同的准则</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_Toc161843179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lang w:val="zh-CN"/>
          <w14:textFill>
            <w14:solidFill>
              <w14:schemeClr w14:val="tx1"/>
            </w14:solidFill>
          </w14:textFill>
        </w:rPr>
        <w:t>33 中标通知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_Toc161843180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34</w:t>
      </w:r>
      <w:r>
        <w:rPr>
          <w:rStyle w:val="43"/>
          <w:rFonts w:hint="eastAsia" w:ascii="宋体" w:hAnsi="宋体" w:eastAsia="宋体" w:cs="宋体"/>
          <w:color w:val="000000" w:themeColor="text1"/>
          <w:highlight w:val="none"/>
          <w:lang w:val="zh-CN"/>
          <w14:textFill>
            <w14:solidFill>
              <w14:schemeClr w14:val="tx1"/>
            </w14:solidFill>
          </w14:textFill>
        </w:rPr>
        <w:t xml:space="preserve"> 签署合同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"_Toc161843182"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 xml:space="preserve">35 </w:t>
      </w:r>
      <w:r>
        <w:rPr>
          <w:rStyle w:val="43"/>
          <w:rFonts w:hint="eastAsia" w:ascii="宋体" w:hAnsi="宋体" w:eastAsia="宋体" w:cs="宋体"/>
          <w:color w:val="000000" w:themeColor="text1"/>
          <w:highlight w:val="none"/>
          <w:lang w:val="zh-CN"/>
          <w14:textFill>
            <w14:solidFill>
              <w14:schemeClr w14:val="tx1"/>
            </w14:solidFill>
          </w14:textFill>
        </w:rPr>
        <w:t>履约担保</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_Toc161843182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"_Toc161843183"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36</w:t>
      </w:r>
      <w:r>
        <w:rPr>
          <w:rStyle w:val="43"/>
          <w:rFonts w:hint="eastAsia" w:ascii="宋体" w:hAnsi="宋体" w:eastAsia="宋体" w:cs="宋体"/>
          <w:color w:val="000000" w:themeColor="text1"/>
          <w:highlight w:val="none"/>
          <w:lang w:val="zh-CN"/>
          <w14:textFill>
            <w14:solidFill>
              <w14:schemeClr w14:val="tx1"/>
            </w14:solidFill>
          </w14:textFill>
        </w:rPr>
        <w:t xml:space="preserve"> 在合同履行中变更采购范围的权利</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_Toc161843183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"_Toc161843184"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37</w:t>
      </w:r>
      <w:r>
        <w:rPr>
          <w:rStyle w:val="43"/>
          <w:rFonts w:hint="eastAsia" w:ascii="宋体" w:hAnsi="宋体" w:eastAsia="宋体" w:cs="宋体"/>
          <w:color w:val="000000" w:themeColor="text1"/>
          <w:highlight w:val="none"/>
          <w:lang w:val="zh-CN"/>
          <w14:textFill>
            <w14:solidFill>
              <w14:schemeClr w14:val="tx1"/>
            </w14:solidFill>
          </w14:textFill>
        </w:rPr>
        <w:t xml:space="preserve"> 中标服务费</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_Toc161843184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"_Toc161843185"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38</w:t>
      </w:r>
      <w:r>
        <w:rPr>
          <w:rStyle w:val="43"/>
          <w:rFonts w:hint="eastAsia" w:ascii="宋体" w:hAnsi="宋体" w:eastAsia="宋体" w:cs="宋体"/>
          <w:color w:val="000000" w:themeColor="text1"/>
          <w:highlight w:val="none"/>
          <w:lang w:val="zh-CN"/>
          <w14:textFill>
            <w14:solidFill>
              <w14:schemeClr w14:val="tx1"/>
            </w14:solidFill>
          </w14:textFill>
        </w:rPr>
        <w:t xml:space="preserve"> 发票</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_Toc161843185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"_Toc161843186"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39 招标相关补充约定</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_Toc161843186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2"/>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"_Toc161843187"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highlight w:val="none"/>
          <w14:textFill>
            <w14:solidFill>
              <w14:schemeClr w14:val="tx1"/>
            </w14:solidFill>
          </w14:textFill>
        </w:rPr>
        <w:t>40 本次招标活动的最终解释权归招标代理机构及招标人所有。</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_Toc161843187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第三篇 用户需求书</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"_Toc161843189"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第四篇 合同条款格式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_Toc161843189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"_Toc161843190"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highlight w:val="none"/>
          <w:lang w:val="zh-CN"/>
          <w14:textFill>
            <w14:solidFill>
              <w14:schemeClr w14:val="tx1"/>
            </w14:solidFill>
          </w14:textFill>
        </w:rPr>
        <w:t>第五篇 相关保函格式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_Toc161843190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"_Toc161843191"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第六篇 投标文件格式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_Toc161843191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pStyle w:val="29"/>
        <w:rPr>
          <w:color w:val="000000" w:themeColor="text1"/>
          <w:sz w:val="22"/>
          <w:szCs w:val="24"/>
          <w:highlight w:val="none"/>
          <w14:textFill>
            <w14:solidFill>
              <w14:schemeClr w14:val="tx1"/>
            </w14:solidFill>
          </w14:textFill>
          <w14:ligatures w14:val="standardContextua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"_Toc161843208"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b/>
          <w:bCs/>
          <w:color w:val="000000" w:themeColor="text1"/>
          <w:kern w:val="44"/>
          <w:highlight w:val="none"/>
          <w:lang w:val="zh-CN"/>
          <w14:textFill>
            <w14:solidFill>
              <w14:schemeClr w14:val="tx1"/>
            </w14:solidFill>
          </w14:textFill>
        </w:rPr>
        <w:t>附件一：评标工作大纲</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PAGEREF _Toc161843208 \h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pPr>
        <w:tabs>
          <w:tab w:val="left" w:pos="851"/>
          <w:tab w:val="right" w:leader="dot" w:pos="10206"/>
        </w:tabs>
        <w:spacing w:line="360" w:lineRule="auto"/>
        <w:ind w:left="-320" w:firstLine="420"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pPr>
        <w:rPr>
          <w:rFonts w:ascii="宋体" w:hAnsi="宋体" w:eastAsia="宋体" w:cs="Times New Roman"/>
          <w:b/>
          <w:bCs/>
          <w:color w:val="000000" w:themeColor="text1"/>
          <w:kern w:val="44"/>
          <w:sz w:val="32"/>
          <w:szCs w:val="32"/>
          <w:highlight w:val="none"/>
          <w:lang w:val="zh-CN"/>
          <w14:textFill>
            <w14:solidFill>
              <w14:schemeClr w14:val="tx1"/>
            </w14:solidFill>
          </w14:textFill>
        </w:rPr>
      </w:pPr>
      <w:bookmarkStart w:id="1" w:name="_Toc142508310"/>
      <w:bookmarkStart w:id="2" w:name="_Toc486167660"/>
      <w:bookmarkStart w:id="3" w:name="_Toc4869"/>
      <w:bookmarkStart w:id="4" w:name="_Toc161843140"/>
      <w:bookmarkStart w:id="5" w:name="_Toc450662846"/>
      <w:bookmarkStart w:id="6" w:name="_Toc17326"/>
      <w:bookmarkStart w:id="7" w:name="_Toc2723_WPSOffice_Level1"/>
      <w:r>
        <w:rPr>
          <w:rFonts w:ascii="宋体" w:hAnsi="宋体" w:eastAsia="宋体" w:cs="Times New Roman"/>
          <w:b/>
          <w:bCs/>
          <w:color w:val="000000" w:themeColor="text1"/>
          <w:kern w:val="44"/>
          <w:sz w:val="32"/>
          <w:szCs w:val="32"/>
          <w:highlight w:val="none"/>
          <w:lang w:val="zh-CN"/>
          <w14:textFill>
            <w14:solidFill>
              <w14:schemeClr w14:val="tx1"/>
            </w14:solidFill>
          </w14:textFill>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pPr>
        <w:autoSpaceDE w:val="0"/>
        <w:autoSpaceDN w:val="0"/>
        <w:adjustRightInd w:val="0"/>
        <w:snapToGrid w:val="0"/>
        <w:spacing w:line="360" w:lineRule="auto"/>
        <w:ind w:left="-320"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14:textFill>
            <w14:solidFill>
              <w14:schemeClr w14:val="tx1"/>
            </w14:solidFill>
          </w14:textFill>
        </w:rPr>
        <w:t>东莞市水务集团有限公司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14:textFill>
            <w14:solidFill>
              <w14:schemeClr w14:val="tx1"/>
            </w14:solidFill>
          </w14:textFill>
        </w:rPr>
        <w:t>东莞市水务集团有限公司2024年度食堂食材采购项目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广建咨询（东招）2024-0038号</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pPr>
        <w:autoSpaceDE w:val="0"/>
        <w:autoSpaceDN w:val="0"/>
        <w:adjustRightInd w:val="0"/>
        <w:spacing w:line="360" w:lineRule="auto"/>
        <w:ind w:left="-320"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招标范围：（具体内容详见：第三篇用户需求书）。</w:t>
      </w:r>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9"/>
        <w:gridCol w:w="2254"/>
        <w:gridCol w:w="1203"/>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59" w:type="dxa"/>
            <w:shd w:val="clear" w:color="auto" w:fill="E0E0E0"/>
            <w:vAlign w:val="center"/>
          </w:tcPr>
          <w:p>
            <w:pPr>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采购内容</w:t>
            </w:r>
          </w:p>
        </w:tc>
        <w:tc>
          <w:tcPr>
            <w:tcW w:w="2254" w:type="dxa"/>
            <w:shd w:val="clear" w:color="auto" w:fill="E0E0E0"/>
            <w:vAlign w:val="center"/>
          </w:tcPr>
          <w:p>
            <w:pPr>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服务期限</w:t>
            </w:r>
          </w:p>
        </w:tc>
        <w:tc>
          <w:tcPr>
            <w:tcW w:w="1203" w:type="dxa"/>
            <w:shd w:val="clear" w:color="auto" w:fill="E0E0E0"/>
            <w:vAlign w:val="center"/>
          </w:tcPr>
          <w:p>
            <w:pPr>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采购数量</w:t>
            </w:r>
          </w:p>
        </w:tc>
        <w:tc>
          <w:tcPr>
            <w:tcW w:w="2254" w:type="dxa"/>
            <w:shd w:val="clear" w:color="auto" w:fill="E0E0E0"/>
            <w:vAlign w:val="center"/>
          </w:tcPr>
          <w:p>
            <w:pPr>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65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东莞市水务集团有限公司2024年度食堂食材采购项目</w:t>
            </w:r>
          </w:p>
        </w:tc>
        <w:tc>
          <w:tcPr>
            <w:tcW w:w="2254" w:type="dxa"/>
            <w:vAlign w:val="center"/>
          </w:tcPr>
          <w:p>
            <w:pPr>
              <w:tabs>
                <w:tab w:val="left" w:pos="360"/>
              </w:tabs>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自合同签订之日起一年</w:t>
            </w:r>
          </w:p>
        </w:tc>
        <w:tc>
          <w:tcPr>
            <w:tcW w:w="1203" w:type="dxa"/>
            <w:vAlign w:val="center"/>
          </w:tcPr>
          <w:p>
            <w:pPr>
              <w:tabs>
                <w:tab w:val="left" w:pos="360"/>
              </w:tabs>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1家</w:t>
            </w:r>
          </w:p>
        </w:tc>
        <w:tc>
          <w:tcPr>
            <w:tcW w:w="2254" w:type="dxa"/>
            <w:vAlign w:val="center"/>
          </w:tcPr>
          <w:p>
            <w:pPr>
              <w:tabs>
                <w:tab w:val="left" w:pos="360"/>
              </w:tabs>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详见第三篇用户需求书</w:t>
            </w:r>
          </w:p>
        </w:tc>
      </w:tr>
    </w:tbl>
    <w:p>
      <w:pPr>
        <w:autoSpaceDE w:val="0"/>
        <w:autoSpaceDN w:val="0"/>
        <w:adjustRightInd w:val="0"/>
        <w:spacing w:line="360" w:lineRule="auto"/>
        <w:ind w:left="247" w:right="-29" w:rightChars="-14"/>
        <w:rPr>
          <w:rFonts w:ascii="宋体" w:hAnsi="宋体" w:eastAsia="宋体" w:cs="Times New Roman"/>
          <w:color w:val="000000" w:themeColor="text1"/>
          <w:szCs w:val="21"/>
          <w:highlight w:val="none"/>
          <w:lang w:val="zh-CN"/>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2</w:t>
      </w:r>
      <w:r>
        <w:rPr>
          <w:rFonts w:hint="eastAsia" w:ascii="宋体" w:hAnsi="宋体" w:eastAsia="宋体" w:cs="Times New Roman"/>
          <w:b/>
          <w:color w:val="000000" w:themeColor="text1"/>
          <w:szCs w:val="21"/>
          <w:highlight w:val="none"/>
          <w14:textFill>
            <w14:solidFill>
              <w14:schemeClr w14:val="tx1"/>
            </w14:solidFill>
          </w14:textFill>
        </w:rPr>
        <w:t xml:space="preserve">  </w:t>
      </w: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pPr>
        <w:pStyle w:val="159"/>
        <w:spacing w:line="360" w:lineRule="auto"/>
        <w:ind w:left="-320"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pPr>
        <w:pStyle w:val="159"/>
        <w:spacing w:line="360" w:lineRule="auto"/>
        <w:ind w:left="-320" w:right="-29" w:rightChars="-14" w:firstLine="0" w:firstLineChars="0"/>
        <w:jc w:val="both"/>
        <w:rPr>
          <w:rFonts w:hAnsi="宋体" w:eastAsia="宋体"/>
          <w:b/>
          <w:color w:val="000000" w:themeColor="text1"/>
          <w:sz w:val="21"/>
          <w:szCs w:val="21"/>
          <w:highlight w:val="none"/>
          <w14:textFill>
            <w14:solidFill>
              <w14:schemeClr w14:val="tx1"/>
            </w14:solidFill>
          </w14:textFill>
        </w:rPr>
      </w:pPr>
      <w:bookmarkStart w:id="9" w:name="_Toc25819"/>
      <w:r>
        <w:rPr>
          <w:rFonts w:hint="eastAsia" w:hAnsi="宋体" w:eastAsia="宋体"/>
          <w:b/>
          <w:color w:val="000000" w:themeColor="text1"/>
          <w:sz w:val="21"/>
          <w:szCs w:val="21"/>
          <w:highlight w:val="none"/>
          <w14:textFill>
            <w14:solidFill>
              <w14:schemeClr w14:val="tx1"/>
            </w14:solidFill>
          </w14:textFill>
        </w:rPr>
        <w:t>2.2 投标人须具有食品药品监督管理部门或市场监督管理部门颁发并在有效期内的食品经营许可证；</w:t>
      </w:r>
    </w:p>
    <w:p>
      <w:pPr>
        <w:pStyle w:val="159"/>
        <w:spacing w:line="360" w:lineRule="auto"/>
        <w:ind w:left="-320"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投标人202</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年1月1日以来具有一份已完成或正在服务的饭堂、食堂食品或者食材供应链配送服务项目业绩（合同签订日期为202</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年1月1日或以后）</w:t>
      </w:r>
      <w:r>
        <w:rPr>
          <w:rFonts w:hint="eastAsia" w:hAnsi="宋体" w:eastAsia="宋体"/>
          <w:b/>
          <w:color w:val="000000" w:themeColor="text1"/>
          <w:sz w:val="21"/>
          <w:szCs w:val="21"/>
          <w:highlight w:val="none"/>
          <w14:textFill>
            <w14:solidFill>
              <w14:schemeClr w14:val="tx1"/>
            </w14:solidFill>
          </w14:textFill>
        </w:rPr>
        <w:t>（服务内容必须为食品或者食材配送服务）</w:t>
      </w:r>
      <w:r>
        <w:rPr>
          <w:rFonts w:hint="eastAsia" w:hAnsi="宋体" w:eastAsia="宋体"/>
          <w:b/>
          <w:color w:val="000000" w:themeColor="text1"/>
          <w:sz w:val="21"/>
          <w:szCs w:val="21"/>
          <w:highlight w:val="none"/>
          <w:lang w:val="zh-CN"/>
          <w14:textFill>
            <w14:solidFill>
              <w14:schemeClr w14:val="tx1"/>
            </w14:solidFill>
          </w14:textFill>
        </w:rPr>
        <w:t>；</w:t>
      </w:r>
    </w:p>
    <w:p>
      <w:pPr>
        <w:pStyle w:val="159"/>
        <w:spacing w:line="360" w:lineRule="auto"/>
        <w:ind w:left="-320"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pPr>
        <w:autoSpaceDE w:val="0"/>
        <w:autoSpaceDN w:val="0"/>
        <w:adjustRightInd w:val="0"/>
        <w:spacing w:line="360" w:lineRule="auto"/>
        <w:ind w:left="-320"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pPr>
        <w:pStyle w:val="177"/>
        <w:spacing w:line="360" w:lineRule="auto"/>
        <w:ind w:left="100" w:right="-34" w:hanging="420" w:firstLineChars="0"/>
        <w:rPr>
          <w:rFonts w:ascii="宋体" w:hAnsi="宋体"/>
          <w:color w:val="000000" w:themeColor="text1"/>
          <w:szCs w:val="21"/>
          <w:highlight w:val="none"/>
          <w:lang w:val="zh-CN"/>
          <w14:textFill>
            <w14:solidFill>
              <w14:schemeClr w14:val="tx1"/>
            </w14:solidFill>
          </w14:textFill>
        </w:rPr>
      </w:pPr>
      <w:r>
        <w:rPr>
          <w:rFonts w:ascii="宋体" w:hAnsi="宋体"/>
          <w:bCs/>
          <w:color w:val="000000" w:themeColor="text1"/>
          <w:szCs w:val="21"/>
          <w:highlight w:val="none"/>
          <w:lang w:val="zh-CN"/>
          <w14:textFill>
            <w14:solidFill>
              <w14:schemeClr w14:val="tx1"/>
            </w14:solidFill>
          </w14:textFill>
        </w:rPr>
        <w:t>3  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bCs/>
          <w:color w:val="000000" w:themeColor="text1"/>
          <w:szCs w:val="21"/>
          <w:highlight w:val="none"/>
          <w:lang w:val="zh-CN"/>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4  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p>
    <w:p>
      <w:pPr>
        <w:autoSpaceDE w:val="0"/>
        <w:autoSpaceDN w:val="0"/>
        <w:adjustRightInd w:val="0"/>
        <w:spacing w:line="360" w:lineRule="auto"/>
        <w:ind w:left="-320"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5  </w:t>
      </w: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pPr>
        <w:autoSpaceDE w:val="0"/>
        <w:autoSpaceDN w:val="0"/>
        <w:adjustRightInd w:val="0"/>
        <w:spacing w:line="360" w:lineRule="auto"/>
        <w:ind w:left="247"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22</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09</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09</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247"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22</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09</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247"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东莞市南城街道西平社区宏伟三路45号东莞市公共资源交易中心</w:t>
      </w:r>
      <w:r>
        <w:rPr>
          <w:rFonts w:hint="eastAsia" w:ascii="宋体" w:hAnsi="宋体" w:eastAsia="宋体" w:cs="Times New Roman"/>
          <w:color w:val="000000" w:themeColor="text1"/>
          <w:kern w:val="0"/>
          <w:szCs w:val="21"/>
          <w:highlight w:val="none"/>
          <w:u w:val="single"/>
          <w14:textFill>
            <w14:solidFill>
              <w14:schemeClr w14:val="tx1"/>
            </w14:solidFill>
          </w14:textFill>
        </w:rPr>
        <w:t>开标室（</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20"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  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7  本项目相关公告在以下媒介发布：广东省公共资源交易平台（ygp.gdzwfw.gov.cn）、中国招标投标公共服务平台（www.cebpubservice.com）、东莞市水务集团有限公司网（www.dgswjt.cn）、招标代理机构网站（www.gzjc.com.cn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247" w:right="-34"/>
        <w:jc w:val="left"/>
        <w:rPr>
          <w:rFonts w:ascii="宋体" w:hAnsi="宋体" w:eastAsia="宋体" w:cs="Times New Roman"/>
          <w:bCs/>
          <w:color w:val="000000" w:themeColor="text1"/>
          <w:szCs w:val="21"/>
          <w:highlight w:val="none"/>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8  </w:t>
      </w: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东莞市水务集团有限公司</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广东省东莞市东城街道育华路1号</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：陈工</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bCs/>
          <w:color w:val="000000" w:themeColor="text1"/>
          <w:szCs w:val="21"/>
          <w:highlight w:val="none"/>
          <w:lang w:val="zh-CN"/>
          <w14:textFill>
            <w14:solidFill>
              <w14:schemeClr w14:val="tx1"/>
            </w14:solidFill>
          </w14:textFill>
        </w:rPr>
      </w:pPr>
      <w:r>
        <w:rPr>
          <w:rFonts w:hint="eastAsia" w:ascii="宋体" w:hAnsi="宋体" w:eastAsia="宋体"/>
          <w:bCs/>
          <w:color w:val="000000" w:themeColor="text1"/>
          <w:szCs w:val="21"/>
          <w:highlight w:val="none"/>
          <w:lang w:val="zh-CN"/>
          <w14:textFill>
            <w14:solidFill>
              <w14:schemeClr w14:val="tx1"/>
            </w14:solidFill>
          </w14:textFill>
        </w:rPr>
        <w:t>电  话：0769-22329626</w:t>
      </w:r>
    </w:p>
    <w:p>
      <w:pPr>
        <w:autoSpaceDE w:val="0"/>
        <w:autoSpaceDN w:val="0"/>
        <w:adjustRightInd w:val="0"/>
        <w:spacing w:line="360" w:lineRule="auto"/>
        <w:ind w:left="-320"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napToGrid w:val="0"/>
        <w:spacing w:line="360" w:lineRule="auto"/>
        <w:ind w:left="40" w:right="-34" w:hanging="36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9  </w:t>
      </w:r>
      <w:r>
        <w:rPr>
          <w:rFonts w:ascii="宋体" w:hAnsi="宋体" w:eastAsia="宋体" w:cs="Times New Roman"/>
          <w:color w:val="000000" w:themeColor="text1"/>
          <w:szCs w:val="21"/>
          <w:highlight w:val="none"/>
          <w14:textFill>
            <w14:solidFill>
              <w14:schemeClr w14:val="tx1"/>
            </w14:solidFill>
          </w14:textFill>
        </w:rPr>
        <w:t>招标代理机构联系方式</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bookmarkStart w:id="10" w:name="_Toc31764_WPSOffice_Level1"/>
      <w:bookmarkStart w:id="11" w:name="_Toc450662847"/>
      <w:bookmarkStart w:id="12" w:name="_Toc48616766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张文琪</w:t>
      </w:r>
    </w:p>
    <w:p>
      <w:pPr>
        <w:widowControl/>
        <w:autoSpaceDE w:val="0"/>
        <w:autoSpaceDN w:val="0"/>
        <w:adjustRightInd w:val="0"/>
        <w:spacing w:line="360" w:lineRule="auto"/>
        <w:ind w:left="-320"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3" w:name="_Toc142508311"/>
      <w:bookmarkStart w:id="14" w:name="_Toc18212"/>
      <w:bookmarkStart w:id="15" w:name="_Toc161843141"/>
      <w:bookmarkStart w:id="16" w:name="_Toc151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p>
    <w:p>
      <w:pPr>
        <w:keepNext/>
        <w:keepLines/>
        <w:autoSpaceDE w:val="0"/>
        <w:autoSpaceDN w:val="0"/>
        <w:adjustRightInd w:val="0"/>
        <w:spacing w:line="360" w:lineRule="auto"/>
        <w:ind w:left="247"/>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7" w:name="_Toc142508312"/>
      <w:bookmarkStart w:id="18" w:name="_Toc450662848"/>
      <w:bookmarkStart w:id="19" w:name="_Toc24479"/>
      <w:bookmarkStart w:id="20" w:name="_Toc161843142"/>
      <w:bookmarkStart w:id="21" w:name="_Toc486167662"/>
      <w:bookmarkStart w:id="22" w:name="_Toc15366_WPSOffice_Level2"/>
      <w:bookmarkStart w:id="23" w:name="_Toc140596871"/>
      <w:bookmarkStart w:id="24" w:name="_Toc9555"/>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7"/>
      <w:bookmarkEnd w:id="18"/>
      <w:bookmarkEnd w:id="19"/>
      <w:bookmarkEnd w:id="20"/>
      <w:bookmarkEnd w:id="21"/>
      <w:bookmarkEnd w:id="22"/>
      <w:bookmarkEnd w:id="23"/>
      <w:bookmarkEnd w:id="2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 w:name="_Toc142508313"/>
      <w:bookmarkStart w:id="26" w:name="_Toc450662849"/>
      <w:bookmarkStart w:id="27" w:name="_Toc486167663"/>
      <w:bookmarkStart w:id="28" w:name="_Toc23333"/>
      <w:bookmarkStart w:id="29" w:name="_Toc9608"/>
      <w:bookmarkStart w:id="30" w:name="_Toc21710_WPSOffice_Level3"/>
      <w:bookmarkStart w:id="31" w:name="_Toc16184314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5"/>
      <w:bookmarkEnd w:id="26"/>
      <w:bookmarkEnd w:id="27"/>
      <w:bookmarkEnd w:id="28"/>
      <w:bookmarkEnd w:id="29"/>
      <w:bookmarkEnd w:id="30"/>
      <w:bookmarkEnd w:id="31"/>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 w:name="_Toc18557"/>
      <w:bookmarkStart w:id="33" w:name="_Toc486167664"/>
      <w:bookmarkStart w:id="34" w:name="_Toc80_WPSOffice_Level3"/>
      <w:bookmarkStart w:id="35" w:name="_Toc161843144"/>
      <w:bookmarkStart w:id="36" w:name="_Toc450662850"/>
      <w:bookmarkStart w:id="37" w:name="_Toc142508314"/>
      <w:bookmarkStart w:id="38" w:name="_Toc32244"/>
      <w:r>
        <w:rPr>
          <w:rFonts w:hint="eastAsia" w:ascii="宋体" w:hAnsi="宋体" w:eastAsia="宋体" w:cs="宋体"/>
          <w:color w:val="000000" w:themeColor="text1"/>
          <w:szCs w:val="21"/>
          <w:highlight w:val="none"/>
          <w:lang w:val="zh-CN"/>
          <w14:textFill>
            <w14:solidFill>
              <w14:schemeClr w14:val="tx1"/>
            </w14:solidFill>
          </w14:textFill>
        </w:rPr>
        <w:t>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合格的投标人</w:t>
      </w:r>
      <w:bookmarkEnd w:id="32"/>
      <w:bookmarkEnd w:id="33"/>
      <w:bookmarkEnd w:id="34"/>
      <w:bookmarkEnd w:id="35"/>
      <w:bookmarkEnd w:id="36"/>
      <w:bookmarkEnd w:id="37"/>
      <w:bookmarkEnd w:id="38"/>
    </w:p>
    <w:p>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9" w:name="_Toc23847_WPSOffice_Level3"/>
      <w:bookmarkStart w:id="40" w:name="_Toc142508315"/>
      <w:bookmarkStart w:id="41" w:name="_Toc11689"/>
      <w:bookmarkStart w:id="42" w:name="_Toc19774"/>
      <w:bookmarkStart w:id="43" w:name="_Toc161843145"/>
      <w:bookmarkStart w:id="44" w:name="_Toc450662851"/>
      <w:bookmarkStart w:id="45" w:name="_Toc486167665"/>
      <w:r>
        <w:rPr>
          <w:rFonts w:hint="eastAsia" w:ascii="宋体" w:hAnsi="宋体" w:eastAsia="宋体" w:cs="宋体"/>
          <w:color w:val="000000" w:themeColor="text1"/>
          <w:szCs w:val="21"/>
          <w:highlight w:val="none"/>
          <w:lang w:val="zh-CN"/>
          <w14:textFill>
            <w14:solidFill>
              <w14:schemeClr w14:val="tx1"/>
            </w14:solidFill>
          </w14:textFill>
        </w:rPr>
        <w:t>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合格的</w:t>
      </w:r>
      <w:bookmarkEnd w:id="39"/>
      <w:bookmarkEnd w:id="40"/>
      <w:r>
        <w:rPr>
          <w:rFonts w:hint="eastAsia" w:ascii="宋体" w:hAnsi="宋体" w:eastAsia="宋体" w:cs="宋体"/>
          <w:color w:val="000000" w:themeColor="text1"/>
          <w:szCs w:val="21"/>
          <w:highlight w:val="none"/>
          <w:lang w:val="zh-CN"/>
          <w14:textFill>
            <w14:solidFill>
              <w14:schemeClr w14:val="tx1"/>
            </w14:solidFill>
          </w14:textFill>
        </w:rPr>
        <w:t>服务</w:t>
      </w:r>
      <w:bookmarkEnd w:id="41"/>
      <w:bookmarkEnd w:id="42"/>
      <w:bookmarkEnd w:id="43"/>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533708063"/>
      <w:bookmarkStart w:id="47" w:name="_Toc19776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46"/>
      <w:bookmarkEnd w:id="47"/>
      <w:bookmarkStart w:id="48" w:name="_Toc533708065"/>
      <w:bookmarkStart w:id="49"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w:t>
      </w:r>
      <w:r>
        <w:rPr>
          <w:rFonts w:hint="eastAsia" w:ascii="宋体" w:hAnsi="宋体" w:eastAsia="宋体" w:cs="Times New Roman"/>
          <w:color w:val="000000" w:themeColor="text1"/>
          <w:szCs w:val="21"/>
          <w:highlight w:val="none"/>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或</w:t>
      </w:r>
      <w:r>
        <w:rPr>
          <w:rFonts w:hint="eastAsia" w:ascii="宋体" w:hAnsi="宋体" w:eastAsia="宋体" w:cs="Times New Roman"/>
          <w:color w:val="000000" w:themeColor="text1"/>
          <w:szCs w:val="21"/>
          <w:highlight w:val="none"/>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48"/>
      <w:bookmarkEnd w:id="49"/>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0" w:name="_Toc1977666"/>
      <w:bookmarkStart w:id="51"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50"/>
      <w:bookmarkEnd w:id="51"/>
      <w:bookmarkStart w:id="52" w:name="_Toc1977667"/>
      <w:bookmarkStart w:id="53" w:name="_Toc5337080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服务或服务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2"/>
      <w:bookmarkEnd w:id="53"/>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533708068"/>
      <w:bookmarkStart w:id="55"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54"/>
      <w:bookmarkEnd w:id="55"/>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47"/>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6" w:name="_Toc3404"/>
      <w:bookmarkStart w:id="57" w:name="_Toc11533"/>
      <w:bookmarkStart w:id="58" w:name="_Toc161843146"/>
      <w:bookmarkStart w:id="59" w:name="_Toc142508316"/>
      <w:bookmarkStart w:id="60" w:name="_Toc9658_WPSOffice_Level3"/>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6"/>
      <w:bookmarkEnd w:id="57"/>
      <w:bookmarkEnd w:id="58"/>
      <w:bookmarkEnd w:id="59"/>
      <w:bookmarkEnd w:id="60"/>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1" w:name="_Toc1977670"/>
      <w:bookmarkStart w:id="62"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1"/>
      <w:bookmarkEnd w:id="62"/>
    </w:p>
    <w:p>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3" w:name="_Toc1977672"/>
      <w:bookmarkStart w:id="64"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3"/>
      <w:bookmarkEnd w:id="64"/>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5" w:name="_Toc533708073"/>
      <w:bookmarkStart w:id="66"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5"/>
      <w:bookmarkEnd w:id="66"/>
    </w:p>
    <w:p>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7" w:name="_Toc1977676"/>
      <w:bookmarkStart w:id="68"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7"/>
      <w:bookmarkEnd w:id="68"/>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pPr>
        <w:keepNext/>
        <w:keepLines/>
        <w:autoSpaceDE w:val="0"/>
        <w:autoSpaceDN w:val="0"/>
        <w:adjustRightInd w:val="0"/>
        <w:spacing w:line="360" w:lineRule="auto"/>
        <w:ind w:left="247"/>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69" w:name="_Toc486167667"/>
      <w:bookmarkStart w:id="70" w:name="_Toc161843147"/>
      <w:bookmarkStart w:id="71" w:name="_Toc5395"/>
      <w:bookmarkStart w:id="72" w:name="_Toc450662853"/>
      <w:bookmarkStart w:id="73" w:name="_Toc142508317"/>
      <w:bookmarkStart w:id="74" w:name="_Toc30507_WPSOffice_Level2"/>
      <w:bookmarkStart w:id="75" w:name="_Toc140596876"/>
      <w:bookmarkStart w:id="76" w:name="_Toc1565"/>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69"/>
      <w:bookmarkEnd w:id="70"/>
      <w:bookmarkEnd w:id="71"/>
      <w:bookmarkEnd w:id="72"/>
      <w:bookmarkEnd w:id="73"/>
      <w:bookmarkEnd w:id="74"/>
      <w:bookmarkEnd w:id="75"/>
      <w:bookmarkEnd w:id="7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7" w:name="_Toc26635_WPSOffice_Level3"/>
      <w:bookmarkStart w:id="78" w:name="_Toc28893"/>
      <w:bookmarkStart w:id="79" w:name="_Toc161843148"/>
      <w:bookmarkStart w:id="80" w:name="_Toc486167668"/>
      <w:bookmarkStart w:id="81" w:name="_Toc2406"/>
      <w:bookmarkStart w:id="82" w:name="_Toc450662854"/>
      <w:bookmarkStart w:id="83" w:name="_Toc142508318"/>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7"/>
      <w:bookmarkEnd w:id="78"/>
      <w:bookmarkEnd w:id="79"/>
      <w:bookmarkEnd w:id="80"/>
      <w:bookmarkEnd w:id="81"/>
      <w:bookmarkEnd w:id="82"/>
      <w:bookmarkEnd w:id="83"/>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pPr>
        <w:tabs>
          <w:tab w:val="left" w:pos="1890"/>
        </w:tabs>
        <w:autoSpaceDE w:val="0"/>
        <w:autoSpaceDN w:val="0"/>
        <w:adjustRightInd w:val="0"/>
        <w:spacing w:line="360" w:lineRule="auto"/>
        <w:ind w:left="-320"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评标工作大纲</w:t>
      </w:r>
    </w:p>
    <w:p>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（1）“招标人”指东莞市水务集团有限公司；</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）“招标代理机构”指建成工程咨询股份有限公司；</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）“投标人”指参加东莞市水务集团有限公司2024年度食堂食材采购项目所需的服务的投标，并向招标代理机构提交投标文件的当事人；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）“中标人”指其投标被招标人接受，并与招标人及招标人权属子公司、招标人权属子公司的分公司签订合同的当事人；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）“甲方”指在合同条款中指明的购买服务的单位，即东莞市水务集团有限公司、</w:t>
      </w:r>
      <w:r>
        <w:rPr>
          <w:rFonts w:hint="eastAsia" w:ascii="宋体" w:hAnsi="宋体" w:eastAsia="宋体" w:cs="宋体"/>
          <w:color w:val="000000" w:themeColor="text1"/>
          <w:szCs w:val="21"/>
          <w:highlight w:val="none"/>
          <w14:textFill>
            <w14:solidFill>
              <w14:schemeClr w14:val="tx1"/>
            </w14:solidFill>
          </w14:textFill>
        </w:rPr>
        <w:t>东莞市水务集团实业发展有限公司、东莞市水务集团科技发展有限公司、东莞市水务集团供水有限公司长安分公司</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及销项税之和。本招标文件所称的含税价和含税合同价是指含本采购项目投标人的销项税额，包含了投标人完成合同义务（含投标人代缴代扣、分包及委外服务、施工、采购货物等所产生的价税）的其他全部费用。</w:t>
      </w:r>
    </w:p>
    <w:p>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4" w:name="_Toc161843149"/>
      <w:bookmarkStart w:id="85" w:name="_Toc11346"/>
      <w:bookmarkStart w:id="86" w:name="_Toc3727"/>
      <w:bookmarkStart w:id="87" w:name="_Toc486167669"/>
      <w:bookmarkStart w:id="88" w:name="_Toc142508319"/>
      <w:bookmarkStart w:id="89" w:name="_Toc29125_WPSOffice_Level3"/>
      <w:bookmarkStart w:id="90" w:name="_Toc450662855"/>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4"/>
      <w:bookmarkEnd w:id="85"/>
      <w:bookmarkEnd w:id="86"/>
      <w:bookmarkEnd w:id="87"/>
      <w:bookmarkEnd w:id="88"/>
      <w:bookmarkEnd w:id="89"/>
      <w:bookmarkEnd w:id="90"/>
    </w:p>
    <w:p>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1" w:name="_Toc450662856"/>
      <w:bookmarkStart w:id="92" w:name="_Toc486167670"/>
      <w:bookmarkStart w:id="93" w:name="_Toc17145"/>
      <w:bookmarkStart w:id="94" w:name="_Toc142508320"/>
      <w:bookmarkStart w:id="95" w:name="_Toc161843150"/>
      <w:bookmarkStart w:id="96" w:name="_Toc29864"/>
      <w:bookmarkStart w:id="97" w:name="_Toc23483_WPSOffice_Level3"/>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1"/>
      <w:bookmarkEnd w:id="92"/>
      <w:bookmarkEnd w:id="93"/>
      <w:bookmarkEnd w:id="94"/>
      <w:bookmarkEnd w:id="95"/>
      <w:bookmarkEnd w:id="96"/>
      <w:bookmarkEnd w:id="97"/>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"file:///D:\\C盘转移文件\\东莞市水务集团有限公司2024年度食堂食材采购项目\\www.dgswjt.cn）、招标代理公司网站（http:\\%20%20%20%20%20%20%20%20%20%20%20%20%20%20）" </w:instrText>
      </w:r>
      <w:r>
        <w:rPr>
          <w:color w:val="000000" w:themeColor="text1"/>
          <w:highlight w:val="none"/>
          <w14:textFill>
            <w14:solidFill>
              <w14:schemeClr w14:val="tx1"/>
            </w14:solidFill>
          </w14:textFill>
        </w:rPr>
        <w:fldChar w:fldCharType="separate"/>
      </w:r>
      <w:r>
        <w:rPr>
          <w:rStyle w:val="43"/>
          <w:rFonts w:ascii="宋体" w:hAnsi="宋体" w:eastAsia="宋体" w:cs="Times New Roman"/>
          <w:color w:val="000000" w:themeColor="text1"/>
          <w:sz w:val="21"/>
          <w:szCs w:val="21"/>
          <w:highlight w:val="none"/>
          <w14:textFill>
            <w14:solidFill>
              <w14:schemeClr w14:val="tx1"/>
            </w14:solidFill>
          </w14:textFill>
        </w:rPr>
        <w:t>www.dgswjt.cn）</w:t>
      </w:r>
      <w:r>
        <w:rPr>
          <w:rStyle w:val="43"/>
          <w:rFonts w:ascii="宋体" w:hAnsi="宋体" w:eastAsia="宋体" w:cs="Times New Roman"/>
          <w:color w:val="000000" w:themeColor="text1"/>
          <w:sz w:val="21"/>
          <w:szCs w:val="21"/>
          <w:highlight w:val="none"/>
          <w:lang w:val="zh-CN"/>
          <w14:textFill>
            <w14:solidFill>
              <w14:schemeClr w14:val="tx1"/>
            </w14:solidFill>
          </w14:textFill>
        </w:rPr>
        <w:t>、</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招标代理机构网站（</w:t>
      </w:r>
      <w:r>
        <w:rPr>
          <w:rStyle w:val="43"/>
          <w:rFonts w:hint="eastAsia" w:ascii="宋体" w:hAnsi="宋体" w:eastAsia="宋体" w:cs="Times New Roman"/>
          <w:bCs/>
          <w:color w:val="000000" w:themeColor="text1"/>
          <w:kern w:val="0"/>
          <w:szCs w:val="21"/>
          <w:highlight w:val="none"/>
          <w14:textFill>
            <w14:solidFill>
              <w14:schemeClr w14:val="tx1"/>
            </w14:solidFill>
          </w14:textFill>
        </w:rPr>
        <w:t>www.gzjc.com.cn</w:t>
      </w:r>
      <w:r>
        <w:rPr>
          <w:rStyle w:val="43"/>
          <w:rFonts w:ascii="宋体" w:hAnsi="宋体" w:eastAsia="宋体" w:cs="Times New Roman"/>
          <w:bCs/>
          <w:color w:val="000000" w:themeColor="text1"/>
          <w:kern w:val="0"/>
          <w:sz w:val="21"/>
          <w:szCs w:val="21"/>
          <w:highlight w:val="none"/>
          <w14:textFill>
            <w14:solidFill>
              <w14:schemeClr w14:val="tx1"/>
            </w14:solidFill>
          </w14:textFill>
        </w:rPr>
        <w:t>）</w:t>
      </w:r>
      <w:r>
        <w:rPr>
          <w:rStyle w:val="43"/>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pPr>
        <w:keepNext/>
        <w:keepLines/>
        <w:tabs>
          <w:tab w:val="left" w:pos="509"/>
        </w:tabs>
        <w:autoSpaceDE w:val="0"/>
        <w:autoSpaceDN w:val="0"/>
        <w:adjustRightInd w:val="0"/>
        <w:spacing w:line="360" w:lineRule="auto"/>
        <w:ind w:left="247"/>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8" w:name="_Toc161843151"/>
      <w:bookmarkStart w:id="99" w:name="_Toc29659_WPSOffice_Level2"/>
      <w:bookmarkStart w:id="100" w:name="_Toc23342"/>
      <w:bookmarkStart w:id="101" w:name="_Toc142508321"/>
      <w:bookmarkStart w:id="102" w:name="_Toc140596880"/>
      <w:bookmarkStart w:id="103" w:name="_Toc486167671"/>
      <w:bookmarkStart w:id="104" w:name="_Toc8711"/>
      <w:bookmarkStart w:id="105" w:name="_Toc450662857"/>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98"/>
      <w:bookmarkEnd w:id="99"/>
      <w:bookmarkEnd w:id="100"/>
      <w:bookmarkEnd w:id="101"/>
      <w:bookmarkEnd w:id="102"/>
      <w:bookmarkEnd w:id="103"/>
      <w:bookmarkEnd w:id="104"/>
      <w:bookmarkEnd w:id="105"/>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6" w:name="_Toc142508322"/>
      <w:bookmarkStart w:id="107" w:name="_Toc450662858"/>
      <w:bookmarkStart w:id="108" w:name="_Toc6244"/>
      <w:bookmarkStart w:id="109" w:name="_Toc31162"/>
      <w:bookmarkStart w:id="110" w:name="_Toc486167672"/>
      <w:bookmarkStart w:id="111" w:name="_Toc161843152"/>
      <w:bookmarkStart w:id="112" w:name="_Toc10015_WPSOffice_Level3"/>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6"/>
      <w:bookmarkEnd w:id="107"/>
      <w:bookmarkEnd w:id="108"/>
      <w:bookmarkEnd w:id="109"/>
      <w:bookmarkEnd w:id="110"/>
      <w:bookmarkEnd w:id="111"/>
      <w:bookmarkEnd w:id="112"/>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pPr>
        <w:autoSpaceDE w:val="0"/>
        <w:autoSpaceDN w:val="0"/>
        <w:adjustRightInd w:val="0"/>
        <w:spacing w:line="360" w:lineRule="auto"/>
        <w:ind w:left="247"/>
        <w:rPr>
          <w:rFonts w:ascii="宋体" w:hAnsi="宋体" w:eastAsia="宋体" w:cs="宋体"/>
          <w:color w:val="000000" w:themeColor="text1"/>
          <w:szCs w:val="21"/>
          <w:highlight w:val="none"/>
          <w:lang w:val="zh-CN"/>
          <w14:textFill>
            <w14:solidFill>
              <w14:schemeClr w14:val="tx1"/>
            </w14:solidFill>
          </w14:textFill>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3" w:name="_Toc7348"/>
      <w:bookmarkStart w:id="114" w:name="_Toc24916_WPSOffice_Level3"/>
      <w:bookmarkStart w:id="115" w:name="_Toc450662859"/>
      <w:bookmarkStart w:id="116" w:name="_Toc486167673"/>
      <w:bookmarkStart w:id="117" w:name="_Toc14943"/>
      <w:bookmarkStart w:id="118" w:name="_Toc142508323"/>
      <w:bookmarkStart w:id="119" w:name="_Toc16184315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3"/>
      <w:bookmarkEnd w:id="114"/>
      <w:bookmarkEnd w:id="115"/>
      <w:bookmarkEnd w:id="116"/>
      <w:bookmarkEnd w:id="117"/>
      <w:bookmarkEnd w:id="118"/>
      <w:bookmarkEnd w:id="119"/>
    </w:p>
    <w:p>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pPr>
        <w:autoSpaceDE w:val="0"/>
        <w:autoSpaceDN w:val="0"/>
        <w:adjustRightInd w:val="0"/>
        <w:spacing w:line="360" w:lineRule="auto"/>
        <w:ind w:left="247"/>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lang w:val="zh-CN"/>
          <w14:textFill>
            <w14:solidFill>
              <w14:schemeClr w14:val="tx1"/>
            </w14:solidFill>
          </w14:textFill>
        </w:rPr>
        <w:t>）食品药品监督管理部门或市场监督管理部门颁发并在有效期内的食品经营许可证</w:t>
      </w:r>
      <w:r>
        <w:rPr>
          <w:rFonts w:ascii="宋体" w:hAnsi="宋体" w:eastAsia="宋体" w:cs="Times New Roman"/>
          <w:color w:val="000000" w:themeColor="text1"/>
          <w:szCs w:val="21"/>
          <w:highlight w:val="none"/>
          <w:lang w:val="zh-CN"/>
          <w14:textFill>
            <w14:solidFill>
              <w14:schemeClr w14:val="tx1"/>
            </w14:solidFill>
          </w14:textFill>
        </w:rPr>
        <w:t>复印件</w:t>
      </w:r>
      <w:r>
        <w:rPr>
          <w:rFonts w:hint="eastAsia" w:ascii="宋体" w:hAnsi="宋体" w:eastAsia="宋体" w:cs="Times New Roman"/>
          <w:color w:val="000000" w:themeColor="text1"/>
          <w:szCs w:val="21"/>
          <w:highlight w:val="none"/>
          <w:lang w:val="zh-CN"/>
          <w14:textFill>
            <w14:solidFill>
              <w14:schemeClr w14:val="tx1"/>
            </w14:solidFill>
          </w14:textFill>
        </w:rPr>
        <w:t>；</w:t>
      </w:r>
    </w:p>
    <w:p>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w:t>
      </w:r>
      <w:r>
        <w:rPr>
          <w:rFonts w:hint="eastAsia" w:ascii="宋体" w:hAnsi="宋体" w:eastAsia="宋体"/>
          <w:color w:val="000000" w:themeColor="text1"/>
          <w:szCs w:val="21"/>
          <w:highlight w:val="none"/>
          <w:lang w:val="zh-CN"/>
          <w14:textFill>
            <w14:solidFill>
              <w14:schemeClr w14:val="tx1"/>
            </w14:solidFill>
          </w14:textFill>
        </w:rPr>
        <w:t>【投标人提供一份2021年1月1日以来已完成或正在服务的饭堂、食堂食品或者食材供应链配送服务项目业绩（合同签订日期为2021年1月1日或以后）（服务内容必须为食品或者食材配送服务）</w:t>
      </w:r>
      <w:r>
        <w:rPr>
          <w:rFonts w:hint="eastAsia" w:ascii="宋体" w:hAnsi="宋体" w:eastAsia="宋体"/>
          <w:color w:val="000000" w:themeColor="text1"/>
          <w:szCs w:val="21"/>
          <w:highlight w:val="none"/>
          <w14:textFill>
            <w14:solidFill>
              <w14:schemeClr w14:val="tx1"/>
            </w14:solidFill>
          </w14:textFill>
        </w:rPr>
        <w:t>，资格业绩证明材料提交要求详见招标文件第六篇投标文件格式5.5】；</w:t>
      </w:r>
    </w:p>
    <w:p>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拟投入本项目的配送场所面积</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）拟投入本项目的人员及车辆情况；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）拟供应货品来源情况；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（13）食品安全责任险；</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pPr>
        <w:autoSpaceDE w:val="0"/>
        <w:autoSpaceDN w:val="0"/>
        <w:adjustRightInd w:val="0"/>
        <w:spacing w:line="360" w:lineRule="auto"/>
        <w:ind w:left="247"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pPr>
        <w:numPr>
          <w:ilvl w:val="0"/>
          <w:numId w:val="1"/>
        </w:num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ascii="宋体" w:hAnsi="宋体" w:eastAsia="宋体" w:cs="宋体"/>
          <w:color w:val="000000" w:themeColor="text1"/>
          <w:kern w:val="0"/>
          <w:szCs w:val="21"/>
          <w:highlight w:val="none"/>
          <w:lang w:val="zh-CN"/>
          <w14:textFill>
            <w14:solidFill>
              <w14:schemeClr w14:val="tx1"/>
            </w14:solidFill>
          </w14:textFill>
        </w:rPr>
        <w:t>用户需求响应程度（即用户需求偏离表格式）；</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购买食品安全责任险承诺书；</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）总体实施方案；</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zh-CN"/>
          <w14:textFill>
            <w14:solidFill>
              <w14:schemeClr w14:val="tx1"/>
            </w14:solidFill>
          </w14:textFill>
        </w:rPr>
        <w:t>）食品安全管理；</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）应急处理方案；</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6</w:t>
      </w:r>
      <w:r>
        <w:rPr>
          <w:rFonts w:hint="eastAsia" w:ascii="宋体" w:hAnsi="宋体" w:eastAsia="宋体" w:cs="宋体"/>
          <w:color w:val="000000" w:themeColor="text1"/>
          <w:kern w:val="0"/>
          <w:szCs w:val="21"/>
          <w:highlight w:val="none"/>
          <w:lang w:val="zh-CN"/>
          <w14:textFill>
            <w14:solidFill>
              <w14:schemeClr w14:val="tx1"/>
            </w14:solidFill>
          </w14:textFill>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0" w:name="_Toc161843154"/>
      <w:bookmarkStart w:id="121" w:name="_Toc13214"/>
      <w:bookmarkStart w:id="122" w:name="_Toc450662860"/>
      <w:bookmarkStart w:id="123" w:name="_Toc11170"/>
      <w:bookmarkStart w:id="124" w:name="_Toc486167674"/>
      <w:bookmarkStart w:id="125" w:name="_Toc142508324"/>
      <w:bookmarkStart w:id="126" w:name="_Toc8675_WPSOffice_Level3"/>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0"/>
      <w:bookmarkEnd w:id="121"/>
      <w:bookmarkEnd w:id="122"/>
      <w:bookmarkEnd w:id="123"/>
      <w:bookmarkEnd w:id="124"/>
      <w:bookmarkEnd w:id="125"/>
      <w:bookmarkEnd w:id="126"/>
    </w:p>
    <w:p>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7" w:name="_Toc24311"/>
      <w:bookmarkStart w:id="128" w:name="_Toc486167675"/>
      <w:bookmarkStart w:id="129" w:name="_Toc161843155"/>
      <w:bookmarkStart w:id="130" w:name="_Toc15427"/>
      <w:bookmarkStart w:id="131" w:name="_Toc142508325"/>
      <w:bookmarkStart w:id="132" w:name="_Toc450662861"/>
      <w:bookmarkStart w:id="133" w:name="_Toc4385_WPSOffice_Level3"/>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7"/>
      <w:bookmarkEnd w:id="128"/>
      <w:bookmarkEnd w:id="129"/>
      <w:bookmarkEnd w:id="130"/>
      <w:bookmarkEnd w:id="131"/>
      <w:bookmarkEnd w:id="132"/>
      <w:bookmarkEnd w:id="133"/>
    </w:p>
    <w:p>
      <w:pPr>
        <w:tabs>
          <w:tab w:val="left" w:pos="567"/>
        </w:tabs>
        <w:autoSpaceDE w:val="0"/>
        <w:autoSpaceDN w:val="0"/>
        <w:adjustRightInd w:val="0"/>
        <w:spacing w:line="360" w:lineRule="auto"/>
        <w:ind w:left="357" w:leftChars="-100" w:hanging="567"/>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 xml:space="preserve">11.1 </w:t>
      </w:r>
      <w:r>
        <w:rPr>
          <w:rFonts w:hint="eastAsia" w:ascii="宋体" w:hAnsi="宋体" w:eastAsia="宋体" w:cs="Times New Roman"/>
          <w:b/>
          <w:color w:val="000000" w:themeColor="text1"/>
          <w:szCs w:val="21"/>
          <w:highlight w:val="none"/>
          <w:lang w:val="zh-CN"/>
          <w14:textFill>
            <w14:solidFill>
              <w14:schemeClr w14:val="tx1"/>
            </w14:solidFill>
          </w14:textFill>
        </w:rPr>
        <w:t>本项目不需要进行投标报价。</w:t>
      </w:r>
    </w:p>
    <w:p>
      <w:pPr>
        <w:autoSpaceDE w:val="0"/>
        <w:autoSpaceDN w:val="0"/>
        <w:adjustRightInd w:val="0"/>
        <w:spacing w:line="360" w:lineRule="auto"/>
        <w:ind w:left="357" w:leftChars="-100" w:hanging="567"/>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11.2 本项目采用以下方式确定供货价格（定价原则）：</w:t>
      </w:r>
    </w:p>
    <w:p>
      <w:pPr>
        <w:autoSpaceDE w:val="0"/>
        <w:autoSpaceDN w:val="0"/>
        <w:adjustRightInd w:val="0"/>
        <w:spacing w:line="360" w:lineRule="auto"/>
        <w:ind w:left="357" w:leftChars="-100" w:hanging="567"/>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（1）原则上以东莞市发展和改革局（http://dgdp.dg.gov.cn/jggl/spjg/，网址仅供参考，具体以东莞市发展和改革局官方网址发布的为准）“东莞市菜篮子价格监测表”当月份最新公布本期</w:t>
      </w:r>
      <w:r>
        <w:rPr>
          <w:rFonts w:hint="eastAsia" w:hAnsi="宋体" w:eastAsia="宋体" w:cs="宋体"/>
          <w:color w:val="000000" w:themeColor="text1"/>
          <w:szCs w:val="21"/>
          <w:highlight w:val="none"/>
          <w14:textFill>
            <w14:solidFill>
              <w14:schemeClr w14:val="tx1"/>
            </w14:solidFill>
          </w14:textFill>
        </w:rPr>
        <w:t>（指招标人或招标人权属子公司或招标人权属子公司的分公司审批之日的最新期次）价格</w:t>
      </w:r>
      <w:r>
        <w:rPr>
          <w:rFonts w:hint="eastAsia" w:ascii="宋体" w:hAnsi="宋体" w:eastAsia="宋体" w:cs="Times New Roman"/>
          <w:color w:val="000000" w:themeColor="text1"/>
          <w:szCs w:val="21"/>
          <w:highlight w:val="none"/>
          <w:lang w:val="zh-CN"/>
          <w14:textFill>
            <w14:solidFill>
              <w14:schemeClr w14:val="tx1"/>
            </w14:solidFill>
          </w14:textFill>
        </w:rPr>
        <w:t>作为基准价抽样审核；若东莞物价专栏无最近当月份公布或招标人或招标人权属子公司或招标人权属子公司的分公司所需的相同品种，则招标人或招标人权属子公司或招标人权属子公司的分公司将对本市区农副产品市场（莞城细村农贸市场或新光明市场或长安沙头综合市场）的市场零售价（与中标人供货产品等级、质量相近的产品零售价）进行抽样调查，核定相同品种的市场零售价格作基准价。</w:t>
      </w:r>
    </w:p>
    <w:p>
      <w:pPr>
        <w:autoSpaceDE w:val="0"/>
        <w:autoSpaceDN w:val="0"/>
        <w:adjustRightInd w:val="0"/>
        <w:spacing w:line="360" w:lineRule="auto"/>
        <w:ind w:left="357" w:leftChars="-100" w:hanging="567"/>
        <w:rPr>
          <w:color w:val="000000" w:themeColor="text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2）临时委托采购：中标人必须按照招标人或招标人权属子公司或招标人权属子公司的分公司急需餐料物资品种、数量、送货时间、地点等在2小时内进行供货，若急需餐料物资不在供货物资清单表上，该项临时需求食品材料纳入下次供货清单内，并按上述定价原则确定供货价。</w:t>
      </w:r>
    </w:p>
    <w:p>
      <w:pPr>
        <w:autoSpaceDE w:val="0"/>
        <w:autoSpaceDN w:val="0"/>
        <w:adjustRightInd w:val="0"/>
        <w:spacing w:line="360" w:lineRule="auto"/>
        <w:ind w:left="357" w:leftChars="-100" w:hanging="567"/>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11.3 定价周期：</w:t>
      </w:r>
    </w:p>
    <w:p>
      <w:pPr>
        <w:autoSpaceDE w:val="0"/>
        <w:autoSpaceDN w:val="0"/>
        <w:adjustRightInd w:val="0"/>
        <w:spacing w:line="360" w:lineRule="auto"/>
        <w:ind w:left="357" w:leftChars="-100" w:hanging="567"/>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 A类（粮油干货类）、 B类（肉类）、 C类（蔬果类、其他类项）价格每半月更新一次，中标人每月12日前提交下半月报价给招标人或招标人权属子公司或招标人权属子公司的分公司审核，每月25日前提交下个月上半月报价给招标人或招标人权属子公司或招标人权属子公司的分公司审核。</w:t>
      </w:r>
    </w:p>
    <w:p>
      <w:pPr>
        <w:autoSpaceDE w:val="0"/>
        <w:autoSpaceDN w:val="0"/>
        <w:adjustRightInd w:val="0"/>
        <w:spacing w:line="360" w:lineRule="auto"/>
        <w:ind w:left="357" w:leftChars="-100" w:hanging="567"/>
        <w:rPr>
          <w:rFonts w:eastAsia="宋体"/>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2）所供货品规格、型号报价与实际配送的规格型号相符合。核定价格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 xml:space="preserve">本项目的价格为含税价，本招标文件所称的含税价是包含了投标人完成合同义务（含投标人代缴代扣、委外服务、采购服务或货物等所产生的价税）的其他全部费用。供货价格均包括但不限于以下内容涉及的费用： </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（1）货物的采购费、运至合同指定地点的运输费、装卸费、检验费、储存费、合理利润、保险费、</w:t>
      </w:r>
      <w:r>
        <w:rPr>
          <w:rFonts w:hint="eastAsia" w:ascii="宋体" w:hAnsi="宋体" w:eastAsia="宋体" w:cs="宋体"/>
          <w:color w:val="000000" w:themeColor="text1"/>
          <w:kern w:val="0"/>
          <w:szCs w:val="21"/>
          <w:highlight w:val="none"/>
          <w14:textFill>
            <w14:solidFill>
              <w14:schemeClr w14:val="tx1"/>
            </w14:solidFill>
          </w14:textFill>
        </w:rPr>
        <w:t>中标服务费及招标文件所要求的相关服务等全过程产生的成本和费用以及税费</w:t>
      </w:r>
      <w:r>
        <w:rPr>
          <w:rFonts w:hint="eastAsia" w:ascii="宋体" w:hAnsi="宋体" w:eastAsia="宋体" w:cs="宋体"/>
          <w:color w:val="000000" w:themeColor="text1"/>
          <w:szCs w:val="21"/>
          <w:highlight w:val="none"/>
          <w:lang w:val="zh-CN"/>
          <w14:textFill>
            <w14:solidFill>
              <w14:schemeClr w14:val="tx1"/>
            </w14:solidFill>
          </w14:textFill>
        </w:rPr>
        <w:t>；</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34" w:name="_Toc450662862"/>
      <w:bookmarkStart w:id="135" w:name="_Toc161843156"/>
      <w:bookmarkStart w:id="136" w:name="_Toc486167676"/>
      <w:bookmarkStart w:id="137" w:name="_Toc142508326"/>
      <w:bookmarkStart w:id="138" w:name="_Toc3469"/>
      <w:bookmarkStart w:id="139" w:name="_Toc30042_WPSOffice_Level3"/>
      <w:bookmarkStart w:id="140" w:name="_Toc20312"/>
      <w:r>
        <w:rPr>
          <w:rFonts w:hint="eastAsia" w:ascii="宋体" w:hAnsi="宋体" w:eastAsia="宋体" w:cs="宋体"/>
          <w:color w:val="000000" w:themeColor="text1"/>
          <w:szCs w:val="21"/>
          <w:highlight w:val="none"/>
          <w:lang w:val="zh-CN"/>
          <w14:textFill>
            <w14:solidFill>
              <w14:schemeClr w14:val="tx1"/>
            </w14:solidFill>
          </w14:textFill>
        </w:rPr>
        <w:t>12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投标报价货币</w:t>
      </w:r>
      <w:bookmarkEnd w:id="134"/>
      <w:bookmarkEnd w:id="135"/>
      <w:bookmarkEnd w:id="136"/>
      <w:bookmarkEnd w:id="137"/>
      <w:bookmarkEnd w:id="138"/>
      <w:bookmarkEnd w:id="139"/>
      <w:bookmarkEnd w:id="140"/>
    </w:p>
    <w:p>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1" w:name="_Toc9411_WPSOffice_Level3"/>
      <w:bookmarkStart w:id="142" w:name="_Toc486167677"/>
      <w:bookmarkStart w:id="143" w:name="_Toc142508327"/>
      <w:bookmarkStart w:id="144" w:name="_Toc450662863"/>
      <w:bookmarkStart w:id="145" w:name="_Toc20031"/>
      <w:bookmarkStart w:id="146" w:name="_Toc161843157"/>
      <w:bookmarkStart w:id="147" w:name="_Toc3961"/>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1"/>
      <w:bookmarkEnd w:id="142"/>
      <w:bookmarkEnd w:id="143"/>
      <w:bookmarkEnd w:id="144"/>
      <w:bookmarkEnd w:id="145"/>
      <w:bookmarkEnd w:id="146"/>
      <w:bookmarkEnd w:id="147"/>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8" w:name="_Toc8615"/>
      <w:bookmarkStart w:id="149" w:name="_Toc29754"/>
      <w:bookmarkStart w:id="150" w:name="_Toc142508328"/>
      <w:bookmarkStart w:id="151" w:name="_Toc27771_WPSOffice_Level3"/>
      <w:bookmarkStart w:id="152" w:name="_Toc486167678"/>
      <w:bookmarkStart w:id="153" w:name="_Toc161843158"/>
      <w:bookmarkStart w:id="154" w:name="_Toc450662864"/>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证明服务的合格性并符合招标文件规定的声明文件</w:t>
      </w:r>
      <w:bookmarkEnd w:id="148"/>
      <w:bookmarkEnd w:id="149"/>
      <w:bookmarkEnd w:id="150"/>
      <w:bookmarkEnd w:id="151"/>
      <w:bookmarkEnd w:id="152"/>
      <w:bookmarkEnd w:id="153"/>
      <w:bookmarkEnd w:id="154"/>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相关服务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ind w:left="247"/>
        <w:rPr>
          <w:rFonts w:ascii="宋体" w:hAnsi="宋体" w:eastAsia="宋体" w:cs="Times New Roman"/>
          <w:color w:val="000000" w:themeColor="text1"/>
          <w:kern w:val="0"/>
          <w:sz w:val="24"/>
          <w:szCs w:val="24"/>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5" w:name="_Toc30555"/>
      <w:bookmarkStart w:id="156" w:name="_Toc142508329"/>
      <w:bookmarkStart w:id="157" w:name="_Toc8644"/>
      <w:bookmarkStart w:id="158" w:name="_Toc486167679"/>
      <w:bookmarkStart w:id="159" w:name="_Toc5356_WPSOffice_Level3"/>
      <w:bookmarkStart w:id="160" w:name="_Toc16184315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5"/>
      <w:bookmarkEnd w:id="156"/>
      <w:bookmarkEnd w:id="157"/>
      <w:bookmarkEnd w:id="158"/>
      <w:bookmarkEnd w:id="159"/>
      <w:bookmarkEnd w:id="160"/>
    </w:p>
    <w:p>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14:textFill>
            <w14:solidFill>
              <w14:schemeClr w14:val="tx1"/>
            </w14:solidFill>
          </w14:textFill>
        </w:rPr>
        <w:t>200,000.00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元（大写：人民币贰拾万元整）</w:t>
      </w:r>
      <w:r>
        <w:rPr>
          <w:rFonts w:hint="eastAsia" w:ascii="宋体" w:hAnsi="宋体" w:eastAsia="宋体" w:cs="宋体"/>
          <w:b/>
          <w:color w:val="000000" w:themeColor="text1"/>
          <w:kern w:val="0"/>
          <w:szCs w:val="21"/>
          <w:highlight w:val="none"/>
          <w14:textFill>
            <w14:solidFill>
              <w14:schemeClr w14:val="tx1"/>
            </w14:solidFill>
          </w14:textFill>
        </w:rPr>
        <w:t>。</w:t>
      </w:r>
    </w:p>
    <w:p>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pPr>
        <w:spacing w:line="360" w:lineRule="auto"/>
        <w:ind w:left="-320"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开户名称：东莞市水务集团有限公司</w:t>
      </w:r>
    </w:p>
    <w:p>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开户银行：东莞农村商业银行中心支行</w:t>
      </w:r>
    </w:p>
    <w:p>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银行账号：380010190010046195</w:t>
      </w:r>
    </w:p>
    <w:p>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1" w:name="_Toc22649_WPSOffice_Level3"/>
      <w:bookmarkStart w:id="162" w:name="_Toc29607"/>
      <w:bookmarkStart w:id="163" w:name="_Toc1458"/>
      <w:bookmarkStart w:id="164" w:name="_Toc161843160"/>
      <w:bookmarkStart w:id="165" w:name="_Toc450662865"/>
      <w:bookmarkStart w:id="166" w:name="_Toc142508330"/>
      <w:bookmarkStart w:id="167" w:name="_Toc48616768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1"/>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8" w:name="_Toc932"/>
      <w:bookmarkStart w:id="169" w:name="_Toc486167681"/>
      <w:bookmarkStart w:id="170" w:name="_Toc161843161"/>
      <w:bookmarkStart w:id="171" w:name="_Toc142508331"/>
      <w:bookmarkStart w:id="172" w:name="_Toc25637_WPSOffice_Level3"/>
      <w:bookmarkStart w:id="173" w:name="_Toc450662866"/>
      <w:bookmarkStart w:id="174" w:name="_Toc20422"/>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68"/>
      <w:bookmarkEnd w:id="169"/>
      <w:bookmarkEnd w:id="170"/>
      <w:bookmarkEnd w:id="171"/>
      <w:bookmarkEnd w:id="172"/>
      <w:bookmarkEnd w:id="173"/>
      <w:bookmarkEnd w:id="174"/>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w:t>
      </w:r>
      <w:r>
        <w:rPr>
          <w:rFonts w:hint="eastAsia" w:ascii="宋体" w:hAnsi="宋体" w:eastAsia="宋体" w:cs="宋体"/>
          <w:b/>
          <w:color w:val="000000" w:themeColor="text1"/>
          <w:szCs w:val="21"/>
          <w:highlight w:val="none"/>
          <w:u w:val="single"/>
          <w14:textFill>
            <w14:solidFill>
              <w14:schemeClr w14:val="tx1"/>
            </w14:solidFill>
          </w14:textFill>
        </w:rPr>
        <w:t>柒</w:t>
      </w:r>
      <w:r>
        <w:rPr>
          <w:rFonts w:hint="eastAsia" w:ascii="宋体" w:hAnsi="宋体" w:eastAsia="宋体" w:cs="宋体"/>
          <w:b/>
          <w:color w:val="000000" w:themeColor="text1"/>
          <w:szCs w:val="21"/>
          <w:highlight w:val="none"/>
          <w:u w:val="single"/>
          <w:lang w:val="zh-CN"/>
          <w14:textFill>
            <w14:solidFill>
              <w14:schemeClr w14:val="tx1"/>
            </w14:solidFill>
          </w14:textFill>
        </w:rPr>
        <w:t>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法人授权委托证明书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bookmarkStart w:id="175" w:name="_Toc450662867"/>
    </w:p>
    <w:p>
      <w:pPr>
        <w:keepNext/>
        <w:keepLines/>
        <w:tabs>
          <w:tab w:val="left" w:pos="509"/>
        </w:tabs>
        <w:autoSpaceDE w:val="0"/>
        <w:autoSpaceDN w:val="0"/>
        <w:adjustRightInd w:val="0"/>
        <w:spacing w:line="360" w:lineRule="auto"/>
        <w:ind w:left="247"/>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6" w:name="_Toc486167682"/>
      <w:bookmarkStart w:id="177" w:name="_Toc140596891"/>
      <w:bookmarkStart w:id="178" w:name="_Toc22356_WPSOffice_Level2"/>
      <w:bookmarkStart w:id="179" w:name="_Toc17199"/>
      <w:bookmarkStart w:id="180" w:name="_Toc26605"/>
      <w:bookmarkStart w:id="181" w:name="_Toc142508332"/>
      <w:bookmarkStart w:id="182" w:name="_Toc16184316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5"/>
      <w:bookmarkEnd w:id="176"/>
      <w:bookmarkEnd w:id="177"/>
      <w:bookmarkEnd w:id="178"/>
      <w:bookmarkEnd w:id="179"/>
      <w:bookmarkEnd w:id="180"/>
      <w:bookmarkEnd w:id="181"/>
      <w:bookmarkEnd w:id="18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3" w:name="_Toc29885"/>
      <w:bookmarkStart w:id="184" w:name="_Toc161843163"/>
      <w:bookmarkStart w:id="185" w:name="_Toc486167683"/>
      <w:bookmarkStart w:id="186" w:name="_Toc31551"/>
      <w:bookmarkStart w:id="187" w:name="_Toc142508333"/>
      <w:bookmarkStart w:id="188" w:name="_Toc450662868"/>
      <w:bookmarkStart w:id="189" w:name="_Toc12192_WPSOffice_Level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3"/>
      <w:bookmarkEnd w:id="184"/>
      <w:bookmarkEnd w:id="185"/>
      <w:bookmarkEnd w:id="186"/>
      <w:bookmarkEnd w:id="187"/>
      <w:bookmarkEnd w:id="188"/>
      <w:bookmarkEnd w:id="189"/>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320"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0" w:name="_Toc486167684"/>
      <w:bookmarkStart w:id="191" w:name="_Toc12582"/>
      <w:bookmarkStart w:id="192" w:name="_Toc142508334"/>
      <w:bookmarkStart w:id="193" w:name="_Toc29665_WPSOffice_Level3"/>
      <w:bookmarkStart w:id="194" w:name="_Toc161843164"/>
      <w:bookmarkStart w:id="195" w:name="_Toc450662869"/>
      <w:bookmarkStart w:id="196" w:name="_Toc497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0"/>
      <w:bookmarkEnd w:id="191"/>
      <w:bookmarkEnd w:id="192"/>
      <w:bookmarkEnd w:id="193"/>
      <w:bookmarkEnd w:id="194"/>
      <w:bookmarkEnd w:id="195"/>
      <w:bookmarkEnd w:id="196"/>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7" w:name="_Toc486167685"/>
      <w:bookmarkStart w:id="198" w:name="_Toc161843165"/>
      <w:bookmarkStart w:id="199" w:name="_Toc30287"/>
      <w:bookmarkStart w:id="200" w:name="_Toc22431_WPSOffice_Level3"/>
      <w:bookmarkStart w:id="201" w:name="_Toc20835"/>
      <w:bookmarkStart w:id="202" w:name="_Toc142508335"/>
      <w:bookmarkStart w:id="203" w:name="_Toc450662870"/>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7"/>
      <w:bookmarkEnd w:id="198"/>
      <w:bookmarkEnd w:id="199"/>
      <w:bookmarkEnd w:id="200"/>
      <w:bookmarkEnd w:id="201"/>
      <w:bookmarkEnd w:id="202"/>
      <w:bookmarkEnd w:id="203"/>
    </w:p>
    <w:p>
      <w:pPr>
        <w:autoSpaceDE w:val="0"/>
        <w:autoSpaceDN w:val="0"/>
        <w:adjustRightInd w:val="0"/>
        <w:spacing w:line="360" w:lineRule="auto"/>
        <w:ind w:left="-320"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4" w:name="_Toc27851"/>
      <w:bookmarkStart w:id="205" w:name="_Toc161843166"/>
      <w:bookmarkStart w:id="206" w:name="_Toc3814"/>
      <w:bookmarkStart w:id="207" w:name="_Toc486167686"/>
      <w:bookmarkStart w:id="208" w:name="_Toc4883_WPSOffice_Level3"/>
      <w:bookmarkStart w:id="209" w:name="_Toc450662871"/>
      <w:bookmarkStart w:id="210" w:name="_Toc14250833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4"/>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pPr>
        <w:keepNext/>
        <w:keepLines/>
        <w:tabs>
          <w:tab w:val="left" w:pos="509"/>
        </w:tabs>
        <w:autoSpaceDE w:val="0"/>
        <w:autoSpaceDN w:val="0"/>
        <w:adjustRightInd w:val="0"/>
        <w:spacing w:line="360" w:lineRule="auto"/>
        <w:ind w:left="247"/>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1" w:name="_Toc161843167"/>
      <w:bookmarkStart w:id="212" w:name="_Toc486167687"/>
      <w:bookmarkStart w:id="213" w:name="_Toc28824"/>
      <w:bookmarkStart w:id="214" w:name="_Toc450662872"/>
      <w:bookmarkStart w:id="215" w:name="_Toc140596896"/>
      <w:bookmarkStart w:id="216" w:name="_Toc30428"/>
      <w:bookmarkStart w:id="217" w:name="_Toc142508337"/>
      <w:bookmarkStart w:id="218" w:name="_Toc104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1"/>
      <w:bookmarkEnd w:id="212"/>
      <w:bookmarkEnd w:id="213"/>
      <w:bookmarkEnd w:id="214"/>
      <w:bookmarkEnd w:id="215"/>
      <w:bookmarkEnd w:id="216"/>
      <w:bookmarkEnd w:id="217"/>
      <w:bookmarkEnd w:id="218"/>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9" w:name="_Toc8728"/>
      <w:bookmarkStart w:id="220" w:name="_Toc11256"/>
      <w:bookmarkStart w:id="221" w:name="_Toc142508338"/>
      <w:bookmarkStart w:id="222" w:name="_Toc144_WPSOffice_Level3"/>
      <w:bookmarkStart w:id="223" w:name="_Toc161843168"/>
      <w:bookmarkStart w:id="224" w:name="_Toc486167688"/>
      <w:bookmarkStart w:id="225" w:name="_Toc450662873"/>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19"/>
      <w:bookmarkEnd w:id="220"/>
      <w:bookmarkEnd w:id="221"/>
      <w:bookmarkEnd w:id="222"/>
      <w:bookmarkEnd w:id="223"/>
      <w:bookmarkEnd w:id="224"/>
      <w:bookmarkEnd w:id="225"/>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招标代理机构将做开标记录，开标记录包括第22.</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6" w:name="_Toc32534"/>
      <w:bookmarkStart w:id="227" w:name="_Toc161843169"/>
      <w:bookmarkStart w:id="228" w:name="_Toc486167689"/>
      <w:bookmarkStart w:id="229" w:name="_Toc12165_WPSOffice_Level3"/>
      <w:bookmarkStart w:id="230" w:name="_Toc142508339"/>
      <w:bookmarkStart w:id="231" w:name="_Toc23059"/>
      <w:bookmarkStart w:id="232"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6"/>
      <w:bookmarkEnd w:id="227"/>
      <w:bookmarkEnd w:id="228"/>
      <w:bookmarkEnd w:id="229"/>
      <w:bookmarkEnd w:id="230"/>
      <w:bookmarkEnd w:id="231"/>
      <w:bookmarkEnd w:id="232"/>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3" w:name="_Toc161843170"/>
      <w:bookmarkStart w:id="234" w:name="_Toc16920"/>
      <w:bookmarkStart w:id="235" w:name="_Toc15565_WPSOffice_Level3"/>
      <w:bookmarkStart w:id="236" w:name="_Toc486167690"/>
      <w:bookmarkStart w:id="237" w:name="_Toc450662875"/>
      <w:bookmarkStart w:id="238" w:name="_Toc800"/>
      <w:bookmarkStart w:id="239" w:name="_Toc14250834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3"/>
      <w:bookmarkEnd w:id="234"/>
      <w:bookmarkEnd w:id="235"/>
      <w:bookmarkEnd w:id="236"/>
      <w:bookmarkEnd w:id="237"/>
      <w:bookmarkEnd w:id="238"/>
      <w:bookmarkEnd w:id="239"/>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0" w:name="_Toc18668"/>
      <w:bookmarkStart w:id="241" w:name="_Toc12715"/>
      <w:bookmarkStart w:id="242" w:name="_Toc161843171"/>
      <w:bookmarkStart w:id="243" w:name="_Toc28910_WPSOffice_Level3"/>
      <w:bookmarkStart w:id="244" w:name="_Toc142508341"/>
      <w:bookmarkStart w:id="245" w:name="_Toc486167691"/>
      <w:bookmarkStart w:id="246" w:name="_Toc450662876"/>
      <w:r>
        <w:rPr>
          <w:rFonts w:hint="eastAsia" w:ascii="宋体" w:hAnsi="宋体" w:eastAsia="宋体" w:cs="宋体"/>
          <w:color w:val="000000" w:themeColor="text1"/>
          <w:szCs w:val="21"/>
          <w:highlight w:val="none"/>
          <w:lang w:val="zh-CN"/>
          <w14:textFill>
            <w14:solidFill>
              <w14:schemeClr w14:val="tx1"/>
            </w14:solidFill>
          </w14:textFill>
        </w:rPr>
        <w:t>25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投标文件的初审</w:t>
      </w:r>
      <w:bookmarkEnd w:id="240"/>
      <w:bookmarkEnd w:id="241"/>
      <w:bookmarkEnd w:id="242"/>
      <w:bookmarkEnd w:id="243"/>
      <w:bookmarkEnd w:id="244"/>
      <w:bookmarkEnd w:id="245"/>
      <w:bookmarkEnd w:id="246"/>
    </w:p>
    <w:p>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7" w:name="_Toc30225"/>
      <w:bookmarkStart w:id="248" w:name="_Toc486167692"/>
      <w:bookmarkStart w:id="249" w:name="_Toc338_WPSOffice_Level3"/>
      <w:bookmarkStart w:id="250" w:name="_Toc142508342"/>
      <w:bookmarkStart w:id="251" w:name="_Toc450662877"/>
      <w:bookmarkStart w:id="252" w:name="_Toc4837"/>
      <w:bookmarkStart w:id="253" w:name="_Toc161843172"/>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7"/>
      <w:bookmarkEnd w:id="248"/>
      <w:bookmarkEnd w:id="249"/>
      <w:bookmarkEnd w:id="250"/>
      <w:bookmarkEnd w:id="251"/>
      <w:bookmarkEnd w:id="252"/>
      <w:bookmarkEnd w:id="253"/>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4"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254"/>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5" w:name="_Toc522047355"/>
      <w:bookmarkStart w:id="256" w:name="_Toc142508343"/>
      <w:bookmarkStart w:id="257" w:name="_Toc18368_WPSOffice_Level3"/>
      <w:bookmarkStart w:id="258" w:name="_Toc521918096"/>
      <w:bookmarkStart w:id="259" w:name="_Toc161843173"/>
      <w:bookmarkStart w:id="260" w:name="_Toc10967"/>
      <w:bookmarkStart w:id="261" w:name="_Toc22065"/>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5"/>
      <w:bookmarkEnd w:id="256"/>
      <w:bookmarkEnd w:id="257"/>
      <w:bookmarkEnd w:id="258"/>
      <w:bookmarkEnd w:id="259"/>
      <w:bookmarkEnd w:id="260"/>
      <w:bookmarkEnd w:id="261"/>
    </w:p>
    <w:p>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评标委员会将对资格性检查和符合性检查合格的投标文件进行比较和评价，包括商务、技术的详细评审。</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2" w:name="_Toc522047356"/>
      <w:bookmarkStart w:id="263"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4" w:name="_Toc161843174"/>
      <w:bookmarkStart w:id="265" w:name="_Toc27026"/>
      <w:bookmarkStart w:id="266" w:name="_Toc14804"/>
      <w:bookmarkStart w:id="267" w:name="_Toc142508344"/>
      <w:bookmarkStart w:id="268" w:name="_Toc21460_WPSOffice_Level3"/>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2"/>
      <w:bookmarkEnd w:id="263"/>
      <w:bookmarkEnd w:id="264"/>
      <w:bookmarkEnd w:id="265"/>
      <w:bookmarkEnd w:id="266"/>
      <w:bookmarkEnd w:id="267"/>
      <w:bookmarkEnd w:id="268"/>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9" w:name="_Toc161843175"/>
      <w:bookmarkStart w:id="270" w:name="_Toc466882017"/>
      <w:bookmarkStart w:id="271" w:name="_Toc486167694"/>
      <w:bookmarkStart w:id="272" w:name="_Toc11615"/>
      <w:bookmarkStart w:id="273" w:name="_Toc4819"/>
      <w:bookmarkStart w:id="274" w:name="_Toc142508345"/>
      <w:bookmarkStart w:id="275" w:name="_Toc465358969"/>
      <w:bookmarkStart w:id="276" w:name="_Toc32498_WPSOffice_Level3"/>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69"/>
      <w:bookmarkEnd w:id="270"/>
      <w:bookmarkEnd w:id="271"/>
      <w:bookmarkEnd w:id="272"/>
      <w:bookmarkEnd w:id="273"/>
      <w:bookmarkEnd w:id="274"/>
      <w:bookmarkEnd w:id="275"/>
      <w:bookmarkEnd w:id="276"/>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autoSpaceDE w:val="0"/>
        <w:autoSpaceDN w:val="0"/>
        <w:adjustRightInd w:val="0"/>
        <w:spacing w:line="360" w:lineRule="auto"/>
        <w:ind w:left="248"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77" w:name="_Toc142508346"/>
      <w:bookmarkStart w:id="278" w:name="_Toc465358970"/>
      <w:bookmarkStart w:id="279" w:name="_Toc466882018"/>
      <w:bookmarkStart w:id="280" w:name="_Toc3154"/>
      <w:bookmarkStart w:id="281" w:name="_Toc26354"/>
      <w:bookmarkStart w:id="282" w:name="_Toc486167695"/>
      <w:bookmarkStart w:id="283" w:name="_Toc161843176"/>
      <w:bookmarkStart w:id="284" w:name="_Toc1848_WPSOffice_Level3"/>
      <w:r>
        <w:rPr>
          <w:rFonts w:hint="eastAsia" w:ascii="宋体" w:hAnsi="宋体" w:eastAsia="宋体" w:cs="宋体"/>
          <w:color w:val="000000" w:themeColor="text1"/>
          <w:szCs w:val="21"/>
          <w:highlight w:val="none"/>
          <w:lang w:val="zh-CN"/>
          <w14:textFill>
            <w14:solidFill>
              <w14:schemeClr w14:val="tx1"/>
            </w14:solidFill>
          </w14:textFill>
        </w:rPr>
        <w:t>30 真实性审查</w:t>
      </w:r>
      <w:bookmarkEnd w:id="277"/>
      <w:bookmarkEnd w:id="278"/>
      <w:bookmarkEnd w:id="279"/>
      <w:bookmarkEnd w:id="280"/>
      <w:bookmarkEnd w:id="281"/>
      <w:bookmarkEnd w:id="282"/>
      <w:bookmarkEnd w:id="283"/>
      <w:bookmarkEnd w:id="284"/>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pPr>
        <w:autoSpaceDE w:val="0"/>
        <w:autoSpaceDN w:val="0"/>
        <w:adjustRightInd w:val="0"/>
        <w:snapToGrid w:val="0"/>
        <w:spacing w:line="360" w:lineRule="auto"/>
        <w:ind w:left="247"/>
        <w:jc w:val="left"/>
        <w:rPr>
          <w:rFonts w:ascii="宋体" w:hAnsi="宋体" w:eastAsia="宋体" w:cs="宋体"/>
          <w:color w:val="000000" w:themeColor="text1"/>
          <w:szCs w:val="21"/>
          <w:highlight w:val="none"/>
          <w14:textFill>
            <w14:solidFill>
              <w14:schemeClr w14:val="tx1"/>
            </w14:solidFill>
          </w14:textFill>
        </w:rPr>
      </w:pPr>
      <w:bookmarkStart w:id="285" w:name="_Toc466882019"/>
      <w:bookmarkStart w:id="286"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7" w:name="_Toc142508347"/>
      <w:bookmarkStart w:id="288" w:name="_Toc486167696"/>
      <w:bookmarkStart w:id="289" w:name="_Toc23672"/>
      <w:bookmarkStart w:id="290" w:name="_Toc8654"/>
      <w:bookmarkStart w:id="291" w:name="_Toc10867_WPSOffice_Level3"/>
      <w:bookmarkStart w:id="292" w:name="_Toc161843177"/>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5"/>
      <w:bookmarkEnd w:id="286"/>
      <w:bookmarkEnd w:id="287"/>
      <w:bookmarkEnd w:id="288"/>
      <w:bookmarkEnd w:id="289"/>
      <w:bookmarkEnd w:id="290"/>
      <w:bookmarkEnd w:id="291"/>
      <w:bookmarkEnd w:id="292"/>
    </w:p>
    <w:p>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3" w:name="_Toc450662880"/>
    </w:p>
    <w:p>
      <w:pPr>
        <w:keepNext/>
        <w:keepLines/>
        <w:autoSpaceDE w:val="0"/>
        <w:autoSpaceDN w:val="0"/>
        <w:adjustRightInd w:val="0"/>
        <w:spacing w:line="360" w:lineRule="auto"/>
        <w:ind w:left="247"/>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4" w:name="_Toc486167697"/>
      <w:bookmarkStart w:id="295" w:name="_Toc140596907"/>
      <w:bookmarkStart w:id="296" w:name="_Toc16848_WPSOffice_Level2"/>
      <w:bookmarkStart w:id="297" w:name="_Toc161843178"/>
      <w:bookmarkStart w:id="298" w:name="_Toc142508348"/>
      <w:bookmarkStart w:id="299" w:name="_Toc16789"/>
      <w:bookmarkStart w:id="300" w:name="_Toc27936"/>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3"/>
      <w:bookmarkEnd w:id="294"/>
      <w:bookmarkEnd w:id="295"/>
      <w:bookmarkEnd w:id="296"/>
      <w:bookmarkEnd w:id="297"/>
      <w:bookmarkEnd w:id="298"/>
      <w:bookmarkEnd w:id="299"/>
      <w:bookmarkEnd w:id="300"/>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1" w:name="_Toc161843179"/>
      <w:bookmarkStart w:id="302" w:name="_Toc29383"/>
      <w:bookmarkStart w:id="303" w:name="_Toc31713"/>
      <w:bookmarkStart w:id="304" w:name="_Toc486167698"/>
      <w:bookmarkStart w:id="305" w:name="_Toc6401_WPSOffice_Level3"/>
      <w:bookmarkStart w:id="306" w:name="_Toc450662881"/>
      <w:bookmarkStart w:id="307" w:name="_Toc142508349"/>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1"/>
      <w:bookmarkEnd w:id="302"/>
      <w:bookmarkEnd w:id="303"/>
      <w:bookmarkEnd w:id="304"/>
      <w:bookmarkEnd w:id="305"/>
      <w:bookmarkEnd w:id="306"/>
      <w:bookmarkEnd w:id="307"/>
    </w:p>
    <w:p>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8" w:name="_Toc450662885"/>
    </w:p>
    <w:p>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9" w:name="_Toc486167699"/>
      <w:bookmarkStart w:id="310" w:name="_Toc161843180"/>
      <w:bookmarkStart w:id="311" w:name="_Toc6726_WPSOffice_Level3"/>
      <w:bookmarkStart w:id="312" w:name="_Toc18984"/>
      <w:bookmarkStart w:id="313" w:name="_Toc142508350"/>
      <w:bookmarkStart w:id="314" w:name="_Toc8196"/>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08"/>
      <w:bookmarkEnd w:id="309"/>
      <w:bookmarkEnd w:id="310"/>
      <w:bookmarkEnd w:id="311"/>
      <w:bookmarkEnd w:id="312"/>
      <w:bookmarkEnd w:id="313"/>
      <w:bookmarkEnd w:id="314"/>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5"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6" w:name="_Toc486167700"/>
      <w:bookmarkStart w:id="317" w:name="_Toc19127"/>
      <w:bookmarkStart w:id="318" w:name="_Toc161843181"/>
      <w:bookmarkStart w:id="319" w:name="_Toc142508351"/>
      <w:bookmarkStart w:id="320" w:name="_Toc28020"/>
      <w:bookmarkStart w:id="321" w:name="_Toc9694_WPSOffice_Level3"/>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5"/>
      <w:bookmarkEnd w:id="316"/>
      <w:bookmarkEnd w:id="317"/>
      <w:bookmarkEnd w:id="318"/>
      <w:bookmarkEnd w:id="319"/>
      <w:bookmarkEnd w:id="320"/>
      <w:bookmarkEnd w:id="321"/>
    </w:p>
    <w:p>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40"/>
        </w:tabs>
        <w:autoSpaceDE w:val="0"/>
        <w:autoSpaceDN w:val="0"/>
        <w:adjustRightInd w:val="0"/>
        <w:spacing w:line="360" w:lineRule="auto"/>
        <w:ind w:left="330" w:leftChars="-100" w:right="15" w:rightChars="7" w:hanging="54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 本项目中标人分别与招标人（东莞市水务集团有限公司）、招标人权属子公司（东莞市水务集团实业发展有限公司、东莞市水务集团科技发展有限公司）、招标人权属子公司的分公司（东莞市水务集团供水有限公司长安分公司）签署合同（即在招标文件提供的合同格式基础上，根据投标文件的响应内容分别与中标人签署四个单项合同），招标人及招标人权属子公司、招标人权属子公司的分公司有权要求中标人分别办理单项合同履约担保。</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2" w:name="_Toc450662887"/>
      <w:bookmarkStart w:id="323" w:name="_Toc5304"/>
      <w:bookmarkStart w:id="324" w:name="_Toc161843182"/>
      <w:bookmarkStart w:id="325" w:name="_Toc10513_WPSOffice_Level3"/>
      <w:bookmarkStart w:id="326" w:name="_Toc8181"/>
      <w:bookmarkStart w:id="327" w:name="_Toc142508352"/>
      <w:bookmarkStart w:id="328" w:name="_Toc486167701"/>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2"/>
      <w:bookmarkEnd w:id="323"/>
      <w:bookmarkEnd w:id="324"/>
      <w:bookmarkEnd w:id="325"/>
      <w:bookmarkEnd w:id="326"/>
      <w:bookmarkEnd w:id="327"/>
      <w:bookmarkEnd w:id="328"/>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Times New Roman"/>
          <w:color w:val="000000" w:themeColor="text1"/>
          <w:szCs w:val="21"/>
          <w:highlight w:val="none"/>
          <w:u w:val="single"/>
          <w:lang w:val="zh-CN"/>
          <w14:textFill>
            <w14:solidFill>
              <w14:schemeClr w14:val="tx1"/>
            </w14:solidFill>
          </w14:textFill>
        </w:rPr>
      </w:pPr>
      <w:bookmarkStart w:id="329" w:name="_Toc466882025"/>
      <w:bookmarkStart w:id="330"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及招标人权属子公司、招标人权属子公司的分公司提交不可撤销银行履约保函（或履约保证金或履约保证保险或担保公司履约担保书），作为履约担保（所需费用由中标人自行承担），否则招标人可取消中标人的中标资格，不予退还其投标保证金。其中，中标人应在与东莞市水务集团有限公司签订合同前，向其提交履约保证金（银行转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柒万捌仟叁佰元整，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壹拾万零壹仟捌佰元整，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采用履约保证保险形式的金额为人民币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壹拾万零壹仟捌佰元整，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壹拾贰万伍仟叁佰元整；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中标人应在与东莞市水务集团实业发展有限公司签订合同前，向其提交履约保证金（银行转账形式）的金额为人民币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壹拾贰万壹仟柒佰元整，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壹拾伍万捌仟贰佰元整，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采用履约保证保险形式的金额为人民币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壹拾伍万捌仟贰佰元整，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壹拾玖万肆仟柒佰元整；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中标人应在与东莞市水务集团科技发展有限公司签订合同前，向其提交履约保证金（银行转账形式）的金额为人民币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壹拾壹万捌仟壹佰元整，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壹拾伍万叁仟伍佰元整，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采用履约保证保险形式的金额为人民币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壹拾伍万叁仟伍佰元整，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壹拾捌万捌仟玖佰元整；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中标人应在与东莞市水务集团供水有限公司长安分公司签订合同前，向其提交履约保证金（银行转账形式）的金额为人民币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壹拾捌万壹仟玖佰元整，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采用不可撤销银行履约保函形式的金额为人民币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贰拾叁万陆仟伍佰元整，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采用履约保证保险形式的金额为人民币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贰拾叁万陆仟伍佰元整，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采用担保公司履约担保书形式的金额为人民币</w:t>
      </w:r>
      <w:r>
        <w:rPr>
          <w:rFonts w:hint="eastAsia" w:ascii="宋体" w:hAnsi="宋体" w:eastAsia="宋体" w:cs="Times New Roman"/>
          <w:b/>
          <w:bCs/>
          <w:color w:val="000000" w:themeColor="text1"/>
          <w:szCs w:val="21"/>
          <w:highlight w:val="none"/>
          <w:u w:val="single"/>
          <w14:textFill>
            <w14:solidFill>
              <w14:schemeClr w14:val="tx1"/>
            </w14:solidFill>
          </w14:textFill>
        </w:rPr>
        <w:t>贰拾玖万壹仟壹佰元整</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color w:val="000000" w:themeColor="text1"/>
          <w:szCs w:val="21"/>
          <w:highlight w:val="none"/>
          <w:u w:val="single"/>
          <w:lang w:val="zh-CN"/>
          <w14:textFill>
            <w14:solidFill>
              <w14:schemeClr w14:val="tx1"/>
            </w14:solidFill>
          </w14:textFill>
        </w:rPr>
        <w:t>合同履行过程中，中标人给招标人或招标人权属子公司或招标人权属子公司的分公司造成的损失超过履约担保数额的，中标人还应当对超过部分予以赔偿，招标人或招标人权属子公司或招标人权属子公司的分公司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或招标人权属子公司或招标人权属子公司的分公司因中标人不能完全履行其合同义务而蒙受的损失或其他合同约定的事项。如发生下列任一情况时，招标人或招标人权属子公司或招标人权属子公司的分公司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或招标人权属子公司或招标人权属子公司的分公司书面同意将部分权利义务转让给第三方的，招标人或招标人权属子公司或招标人权属子公司的分公司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或招标人权属子公司或招标人权属子公司的分公司通知或要求承担违约金后仍拒不改正的，招标人或招标人权属子公司或招标人权属子公司的分公司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宋体"/>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经济损失、中标人</w:t>
      </w:r>
      <w:r>
        <w:rPr>
          <w:rFonts w:hint="eastAsia" w:ascii="宋体" w:hAnsi="宋体" w:eastAsia="宋体" w:cs="宋体"/>
          <w:color w:val="000000" w:themeColor="text1"/>
          <w:kern w:val="0"/>
          <w:szCs w:val="21"/>
          <w:highlight w:val="none"/>
          <w14:textFill>
            <w14:solidFill>
              <w14:schemeClr w14:val="tx1"/>
            </w14:solidFill>
          </w14:textFill>
        </w:rPr>
        <w:t>所雇佣人员</w:t>
      </w:r>
      <w:r>
        <w:rPr>
          <w:rFonts w:ascii="宋体" w:hAnsi="宋体" w:eastAsia="宋体" w:cs="Times New Roman"/>
          <w:color w:val="000000" w:themeColor="text1"/>
          <w:kern w:val="0"/>
          <w:szCs w:val="21"/>
          <w:highlight w:val="none"/>
          <w14:textFill>
            <w14:solidFill>
              <w14:schemeClr w14:val="tx1"/>
            </w14:solidFill>
          </w14:textFill>
        </w:rPr>
        <w:t>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拖欠原材料供应商货款或与其所雇用员工发生劳资纠纷、上访、闹事或其他影响招标人或招标人权属子公司或招标人权属子公司的分公司生产经营等情况而其未及时妥善处理的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招标人或招标人权属子公司或招标人权属子公司的分公司有权使用履约担保予以支付或作出相应处理，由此产生的一切法律后果由中标人承担。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或招标人权属子公司或招标人权属子公司的分公司同意，执行本款时所发生的费用由中标人承担。如招标人或招标人权属子公司或招标人权属子公司的分公司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符合招标人或招标人权属子公司或招标人权属子公司的分公司要求的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未按招标人或招标人权属子公司或招标人权属子公司的分公司要求重新提供的，招标人或招标人权属子公司或招标人权属子公司的分公司有权要求中标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或招标人权属子公司或招标人权属子公司的分公司有权按需补足的金额要求中标人承担违约金，并要求限期补足。如中标人仍不补足的，招标人或招标人权属子公司或招标人权属子公司的分公司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可撤销银行履约保函（或履约保证保险或担保公司履约担保书）应从合同签订之日起至合同期限届满并完成全部供货及相关服务义务后二十八（28）日内保持有效。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ascii="宋体" w:hAnsi="宋体" w:eastAsia="宋体" w:cs="Times New Roman"/>
          <w:color w:val="000000" w:themeColor="text1"/>
          <w:kern w:val="0"/>
          <w:szCs w:val="21"/>
          <w:highlight w:val="none"/>
          <w14:textFill>
            <w14:solidFill>
              <w14:schemeClr w14:val="tx1"/>
            </w14:solidFill>
          </w14:textFill>
        </w:rPr>
        <w:t>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w:t>
      </w:r>
      <w:r>
        <w:rPr>
          <w:rFonts w:hint="eastAsia" w:ascii="宋体" w:hAnsi="宋体" w:eastAsia="宋体" w:cs="Times New Roman"/>
          <w:color w:val="000000" w:themeColor="text1"/>
          <w:kern w:val="0"/>
          <w:szCs w:val="21"/>
          <w:highlight w:val="none"/>
          <w14:textFill>
            <w14:solidFill>
              <w14:schemeClr w14:val="tx1"/>
            </w14:solidFill>
          </w14:textFill>
        </w:rPr>
        <w:t>及招标人权属子公司、招标人权属子公司的分公司</w:t>
      </w:r>
      <w:r>
        <w:rPr>
          <w:rFonts w:ascii="宋体" w:hAnsi="宋体" w:eastAsia="宋体" w:cs="Times New Roman"/>
          <w:color w:val="000000" w:themeColor="text1"/>
          <w:kern w:val="0"/>
          <w:szCs w:val="21"/>
          <w:highlight w:val="none"/>
          <w14:textFill>
            <w14:solidFill>
              <w14:schemeClr w14:val="tx1"/>
            </w14:solidFill>
          </w14:textFill>
        </w:rPr>
        <w:t>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东莞市水务集团有限公司履约保证金账户：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 xml:space="preserve">开户名称： 东莞市水务集团有限公司 </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 xml:space="preserve">银行账号：2010 0213 0920 0288 889 </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 中国工商银行东莞分行</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东莞市水务集团实业发展有限公司履约保证金账户：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 xml:space="preserve">开户名称：东莞市水务集团实业发展有限公司 </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 xml:space="preserve">银行账号：2010 0216 0900 0030 431 </w:t>
      </w:r>
    </w:p>
    <w:p>
      <w:pPr>
        <w:autoSpaceDE w:val="0"/>
        <w:autoSpaceDN w:val="0"/>
        <w:adjustRightInd w:val="0"/>
        <w:snapToGrid w:val="0"/>
        <w:spacing w:line="360" w:lineRule="auto"/>
        <w:ind w:left="-320"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开户银行：中国工商银行东莞市城区支行新河北分理处</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东莞市水务集团科技发展有限公司履约保证金账户：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w:t>
      </w:r>
      <w:r>
        <w:rPr>
          <w:rFonts w:hint="eastAsia" w:ascii="宋体" w:hAnsi="宋体" w:eastAsia="宋体" w:cs="宋体"/>
          <w:b/>
          <w:color w:val="000000" w:themeColor="text1"/>
          <w:kern w:val="0"/>
          <w:szCs w:val="21"/>
          <w:highlight w:val="none"/>
          <w14:textFill>
            <w14:solidFill>
              <w14:schemeClr w14:val="tx1"/>
            </w14:solidFill>
          </w14:textFill>
        </w:rPr>
        <w:t xml:space="preserve">称：东莞市水务集团科技发展有限公司  </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银行账号：2010 0213 0920 0593 250</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开户银行：中国工商银行东莞分行</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东莞市水务集团供水有限公司长安分公司履约保证金账户：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w:t>
      </w:r>
      <w:r>
        <w:rPr>
          <w:rFonts w:hint="eastAsia" w:ascii="宋体" w:hAnsi="宋体" w:eastAsia="宋体" w:cs="宋体"/>
          <w:b/>
          <w:color w:val="000000" w:themeColor="text1"/>
          <w:kern w:val="0"/>
          <w:szCs w:val="21"/>
          <w:highlight w:val="none"/>
          <w14:textFill>
            <w14:solidFill>
              <w14:schemeClr w14:val="tx1"/>
            </w14:solidFill>
          </w14:textFill>
        </w:rPr>
        <w:t xml:space="preserve">：东莞市水务集团供水有限公司长安分公司  </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银行账号：5590 0001 4469 121 </w:t>
      </w:r>
    </w:p>
    <w:p>
      <w:pPr>
        <w:tabs>
          <w:tab w:val="left" w:pos="360"/>
          <w:tab w:val="left" w:pos="4725"/>
        </w:tabs>
        <w:autoSpaceDE w:val="0"/>
        <w:autoSpaceDN w:val="0"/>
        <w:adjustRightInd w:val="0"/>
        <w:spacing w:line="360" w:lineRule="auto"/>
        <w:ind w:left="-320"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开户银行：东莞银行富丽支行</w:t>
      </w:r>
    </w:p>
    <w:p>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w:t>
      </w:r>
      <w:r>
        <w:rPr>
          <w:rFonts w:hint="eastAsia" w:ascii="宋体" w:hAnsi="宋体" w:eastAsia="宋体" w:cs="Times New Roman"/>
          <w:color w:val="000000" w:themeColor="text1"/>
          <w:kern w:val="0"/>
          <w:szCs w:val="24"/>
          <w:highlight w:val="none"/>
          <w14:textFill>
            <w14:solidFill>
              <w14:schemeClr w14:val="tx1"/>
            </w14:solidFill>
          </w14:textFill>
        </w:rPr>
        <w:t>提交了履约担保后，当履约保证金转达招标人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Times New Roman"/>
          <w:color w:val="000000" w:themeColor="text1"/>
          <w:kern w:val="0"/>
          <w:szCs w:val="24"/>
          <w:highlight w:val="none"/>
          <w14:textFill>
            <w14:solidFill>
              <w14:schemeClr w14:val="tx1"/>
            </w14:solidFill>
          </w14:textFill>
        </w:rPr>
        <w:t>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Times New Roman"/>
          <w:color w:val="000000" w:themeColor="text1"/>
          <w:szCs w:val="21"/>
          <w:highlight w:val="none"/>
          <w:lang w:val="zh-CN"/>
          <w14:textFill>
            <w14:solidFill>
              <w14:schemeClr w14:val="tx1"/>
            </w14:solidFill>
          </w14:textFill>
        </w:rPr>
        <w:t>，由招标人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Times New Roman"/>
          <w:color w:val="000000" w:themeColor="text1"/>
          <w:szCs w:val="21"/>
          <w:highlight w:val="none"/>
          <w:lang w:val="zh-CN"/>
          <w14:textFill>
            <w14:solidFill>
              <w14:schemeClr w14:val="tx1"/>
            </w14:solidFill>
          </w14:textFill>
        </w:rPr>
        <w:t>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确认，中标人可向招标人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提交退回履约担保的申请。招标人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审核无异议后，办理履约担保退还手续，退回时一律以银行转账的形式无息退回到中标人的账户。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1" w:name="_Toc142508353"/>
      <w:bookmarkStart w:id="332" w:name="_Toc486167702"/>
      <w:bookmarkStart w:id="333" w:name="_Toc10548"/>
      <w:bookmarkStart w:id="334" w:name="_Toc161843183"/>
      <w:bookmarkStart w:id="335" w:name="_Toc2716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29"/>
      <w:bookmarkEnd w:id="330"/>
      <w:bookmarkEnd w:id="331"/>
      <w:bookmarkEnd w:id="332"/>
      <w:bookmarkEnd w:id="333"/>
      <w:bookmarkEnd w:id="334"/>
      <w:bookmarkEnd w:id="335"/>
    </w:p>
    <w:p>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6"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7" w:name="_Toc2401"/>
      <w:bookmarkStart w:id="338" w:name="_Toc23218"/>
      <w:bookmarkStart w:id="339" w:name="_Toc28921_WPSOffice_Level3"/>
      <w:bookmarkStart w:id="340" w:name="_Toc142508354"/>
      <w:bookmarkStart w:id="341" w:name="_Toc486167703"/>
      <w:bookmarkStart w:id="342" w:name="_Toc161843184"/>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6"/>
      <w:bookmarkEnd w:id="337"/>
      <w:bookmarkEnd w:id="338"/>
      <w:bookmarkEnd w:id="339"/>
      <w:bookmarkEnd w:id="340"/>
      <w:bookmarkEnd w:id="341"/>
      <w:bookmarkEnd w:id="342"/>
    </w:p>
    <w:p>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43"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4" w:name="_Toc142508355"/>
      <w:bookmarkStart w:id="345" w:name="_Toc21985"/>
      <w:bookmarkStart w:id="346" w:name="_Toc161843185"/>
      <w:bookmarkStart w:id="347" w:name="_Toc6796"/>
      <w:bookmarkStart w:id="348" w:name="_Toc486167704"/>
      <w:bookmarkStart w:id="349" w:name="_Toc6764_WPSOffice_Level3"/>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3"/>
      <w:bookmarkEnd w:id="344"/>
      <w:bookmarkEnd w:id="345"/>
      <w:bookmarkEnd w:id="346"/>
      <w:bookmarkEnd w:id="347"/>
      <w:bookmarkEnd w:id="348"/>
      <w:bookmarkEnd w:id="349"/>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350" w:name="_Toc31106_WPSOffice_Level3"/>
      <w:bookmarkStart w:id="351" w:name="_Toc486167705"/>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或招标人权属子公司的分公司</w:t>
      </w:r>
      <w:r>
        <w:rPr>
          <w:rFonts w:hint="eastAsia" w:ascii="宋体" w:hAnsi="宋体" w:eastAsia="宋体" w:cs="Times New Roman"/>
          <w:color w:val="000000" w:themeColor="text1"/>
          <w:szCs w:val="21"/>
          <w:highlight w:val="none"/>
          <w:lang w:val="zh-CN"/>
          <w14:textFill>
            <w14:solidFill>
              <w14:schemeClr w14:val="tx1"/>
            </w14:solidFill>
          </w14:textFill>
        </w:rPr>
        <w:t>）出具的发票必须是由中标人开具，不得以其他单位或个人名义出具，本项目中标人向招标人（或招标人的权属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w:t>
      </w:r>
      <w:r>
        <w:rPr>
          <w:rFonts w:hint="eastAsia" w:ascii="宋体" w:hAnsi="宋体" w:eastAsia="宋体" w:cs="Times New Roman"/>
          <w:color w:val="000000" w:themeColor="text1"/>
          <w:kern w:val="0"/>
          <w:szCs w:val="21"/>
          <w:highlight w:val="none"/>
          <w14:textFill>
            <w14:solidFill>
              <w14:schemeClr w14:val="tx1"/>
            </w14:solidFill>
          </w14:textFill>
        </w:rPr>
        <w:t>或招标人权属子公司的分公司</w:t>
      </w:r>
      <w:r>
        <w:rPr>
          <w:rFonts w:hint="eastAsia" w:ascii="宋体" w:hAnsi="宋体" w:eastAsia="宋体" w:cs="Times New Roman"/>
          <w:color w:val="000000" w:themeColor="text1"/>
          <w:szCs w:val="21"/>
          <w:highlight w:val="none"/>
          <w:lang w:val="zh-CN"/>
          <w14:textFill>
            <w14:solidFill>
              <w14:schemeClr w14:val="tx1"/>
            </w14:solidFill>
          </w14:textFill>
        </w:rPr>
        <w:t>）出具的发票类型为增值税</w:t>
      </w:r>
      <w:r>
        <w:rPr>
          <w:rFonts w:hint="eastAsia" w:ascii="宋体" w:hAnsi="宋体" w:eastAsia="宋体" w:cs="Times New Roman"/>
          <w:color w:val="000000" w:themeColor="text1"/>
          <w:szCs w:val="21"/>
          <w:highlight w:val="none"/>
          <w14:textFill>
            <w14:solidFill>
              <w14:schemeClr w14:val="tx1"/>
            </w14:solidFill>
          </w14:textFill>
        </w:rPr>
        <w:t>普通发票</w:t>
      </w:r>
      <w:r>
        <w:rPr>
          <w:rFonts w:hint="eastAsia"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2" w:name="_Toc8619"/>
      <w:bookmarkStart w:id="353" w:name="_Toc142508356"/>
      <w:bookmarkStart w:id="354" w:name="_Toc161843186"/>
      <w:bookmarkStart w:id="355" w:name="_Toc24547"/>
      <w:r>
        <w:rPr>
          <w:rFonts w:ascii="宋体" w:hAnsi="宋体" w:eastAsia="宋体" w:cs="宋体"/>
          <w:color w:val="000000" w:themeColor="text1"/>
          <w:szCs w:val="21"/>
          <w:highlight w:val="none"/>
          <w14:textFill>
            <w14:solidFill>
              <w14:schemeClr w14:val="tx1"/>
            </w14:solidFill>
          </w14:textFill>
        </w:rPr>
        <w:t>39 招标相关补充约定</w:t>
      </w:r>
      <w:bookmarkEnd w:id="352"/>
      <w:bookmarkEnd w:id="353"/>
      <w:bookmarkEnd w:id="354"/>
      <w:bookmarkEnd w:id="355"/>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6" w:name="_Toc161843187"/>
      <w:bookmarkStart w:id="357" w:name="_Toc142508357"/>
      <w:bookmarkStart w:id="358" w:name="_Toc26594"/>
      <w:bookmarkStart w:id="359" w:name="_Toc29758"/>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0"/>
      <w:bookmarkEnd w:id="351"/>
      <w:bookmarkEnd w:id="356"/>
      <w:bookmarkEnd w:id="357"/>
      <w:bookmarkEnd w:id="358"/>
      <w:bookmarkEnd w:id="359"/>
    </w:p>
    <w:p>
      <w:pPr>
        <w:ind w:left="247"/>
        <w:jc w:val="left"/>
        <w:rPr>
          <w:color w:val="000000" w:themeColor="text1"/>
          <w:highlight w:val="none"/>
          <w:lang w:val="zh-CN"/>
          <w14:textFill>
            <w14:solidFill>
              <w14:schemeClr w14:val="tx1"/>
            </w14:solidFill>
          </w14:textFill>
        </w:rPr>
      </w:pPr>
      <w:bookmarkStart w:id="360" w:name="_Toc450662891"/>
      <w:bookmarkStart w:id="361" w:name="_Toc27939_WPSOffice_Level1"/>
      <w:bookmarkStart w:id="362" w:name="_Toc142508358"/>
      <w:bookmarkStart w:id="363" w:name="_Toc486167706"/>
      <w:bookmarkStart w:id="364" w:name="_Toc14879"/>
      <w:bookmarkStart w:id="365" w:name="_Toc21446"/>
    </w:p>
    <w:p>
      <w:pPr>
        <w:ind w:left="247"/>
        <w:jc w:val="left"/>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pageBreakBefore/>
        <w:tabs>
          <w:tab w:val="left" w:pos="1080"/>
        </w:tabs>
        <w:autoSpaceDE w:val="0"/>
        <w:autoSpaceDN w:val="0"/>
        <w:adjustRightInd w:val="0"/>
        <w:spacing w:line="360" w:lineRule="auto"/>
        <w:ind w:left="357" w:leftChars="-100" w:hanging="567"/>
        <w:jc w:val="center"/>
        <w:outlineLvl w:val="0"/>
        <w:rPr>
          <w:rFonts w:hAnsi="宋体" w:cs="宋体"/>
          <w:b/>
          <w:bCs/>
          <w:color w:val="000000" w:themeColor="text1"/>
          <w:sz w:val="32"/>
          <w:szCs w:val="32"/>
          <w:highlight w:val="none"/>
          <w:lang w:val="zh-CN"/>
          <w14:textFill>
            <w14:solidFill>
              <w14:schemeClr w14:val="tx1"/>
            </w14:solidFill>
          </w14:textFill>
        </w:rPr>
      </w:pPr>
      <w:bookmarkStart w:id="366" w:name="_Toc16184318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0"/>
      <w:bookmarkEnd w:id="361"/>
      <w:bookmarkEnd w:id="362"/>
      <w:bookmarkEnd w:id="363"/>
      <w:bookmarkEnd w:id="364"/>
      <w:bookmarkEnd w:id="365"/>
      <w:bookmarkEnd w:id="366"/>
    </w:p>
    <w:p>
      <w:pPr>
        <w:spacing w:line="360" w:lineRule="auto"/>
        <w:ind w:left="247"/>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一、项目概况</w:t>
      </w:r>
    </w:p>
    <w:p>
      <w:pPr>
        <w:spacing w:line="360" w:lineRule="auto"/>
        <w:ind w:left="-320"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为保障食堂食材供应质量，确保</w:t>
      </w:r>
      <w:r>
        <w:rPr>
          <w:rFonts w:hint="eastAsia" w:ascii="宋体" w:hAnsi="宋体" w:eastAsia="宋体" w:cs="宋体"/>
          <w:color w:val="000000" w:themeColor="text1"/>
          <w:szCs w:val="21"/>
          <w:highlight w:val="none"/>
          <w:lang w:val="zh-CN"/>
          <w14:textFill>
            <w14:solidFill>
              <w14:schemeClr w14:val="tx1"/>
            </w14:solidFill>
          </w14:textFill>
        </w:rPr>
        <w:t>符合食品安全、卫生要求，东莞市水务集团有限公司、东莞市水务集团实业发展有限公司、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东莞市水务集团科技发展有限公司、东莞市水务集团供水有限公司长安分公司</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含</w:t>
      </w:r>
      <w:r>
        <w:rPr>
          <w:rFonts w:hint="eastAsia" w:ascii="宋体" w:hAnsi="宋体" w:eastAsia="宋体" w:cs="宋体"/>
          <w:color w:val="000000" w:themeColor="text1"/>
          <w:szCs w:val="21"/>
          <w:highlight w:val="none"/>
          <w:lang w:val="zh-CN"/>
          <w14:textFill>
            <w14:solidFill>
              <w14:schemeClr w14:val="tx1"/>
            </w14:solidFill>
          </w14:textFill>
        </w:rPr>
        <w:t>招标人全资子公司、控股公司、由招标人管理的参股公司，当前包括10家子公司，后续将根据业务发展增加权属企业），拟开展食堂食材配送服务的招标采购工作。</w:t>
      </w:r>
    </w:p>
    <w:p>
      <w:pPr>
        <w:pStyle w:val="18"/>
        <w:ind w:left="247"/>
        <w:rPr>
          <w:rFonts w:hAnsi="宋体" w:cs="宋体"/>
          <w:color w:val="000000" w:themeColor="text1"/>
          <w:sz w:val="21"/>
          <w:szCs w:val="21"/>
          <w:highlight w:val="none"/>
          <w14:textFill>
            <w14:solidFill>
              <w14:schemeClr w14:val="tx1"/>
            </w14:solidFill>
          </w14:textFill>
        </w:rPr>
      </w:pPr>
    </w:p>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二、总体要求</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（一）服务单位</w:t>
      </w:r>
    </w:p>
    <w:p>
      <w:pPr>
        <w:spacing w:line="360" w:lineRule="auto"/>
        <w:ind w:left="-320" w:firstLine="420"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本项目通过公开招标确定一家食堂食材配送单位。</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（二）服务期限</w:t>
      </w:r>
    </w:p>
    <w:p>
      <w:pPr>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公司自合同签订之日起一年。服务期限满后，双方经友好协商一致之后，可在保持原合同约定条款的情况下，签订补充协议延长服务资格期限，延长的服务资格期限原则上不超过三个月。本项目确定的中标人与东莞市水务集团有限公司、</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东莞市水务集团供水有限公司长安分公司签订农副产品食品材料配送合同，招标人不确保中标人农副产品、主副食品、其他食品材料实际产生配送量，每月份按实际产生量结算。</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（三）付款方法</w:t>
      </w:r>
    </w:p>
    <w:p>
      <w:pPr>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招标人或招标人权属子公司或招标人权属子公司的分公司每月与中标人按实际产生量结算一次。</w:t>
      </w:r>
    </w:p>
    <w:p>
      <w:pPr>
        <w:spacing w:line="360" w:lineRule="auto"/>
        <w:ind w:left="247"/>
        <w:rPr>
          <w:rFonts w:ascii="宋体" w:hAnsi="宋体" w:eastAsia="宋体" w:cs="宋体"/>
          <w:b/>
          <w:bCs/>
          <w:color w:val="000000" w:themeColor="text1"/>
          <w:szCs w:val="21"/>
          <w:highlight w:val="none"/>
          <w14:textFill>
            <w14:solidFill>
              <w14:schemeClr w14:val="tx1"/>
            </w14:solidFill>
          </w14:textFill>
        </w:rPr>
      </w:pPr>
    </w:p>
    <w:p>
      <w:pPr>
        <w:spacing w:line="360" w:lineRule="auto"/>
        <w:ind w:left="247"/>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三、具体要求</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（一）采购内容</w:t>
      </w:r>
    </w:p>
    <w:p>
      <w:pPr>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建设、运营</w:t>
      </w:r>
      <w:r>
        <w:rPr>
          <w:rFonts w:hint="eastAsia" w:ascii="宋体" w:hAnsi="宋体" w:eastAsia="宋体" w:cs="宋体"/>
          <w:color w:val="000000" w:themeColor="text1"/>
          <w:szCs w:val="21"/>
          <w:highlight w:val="none"/>
          <w14:textFill>
            <w14:solidFill>
              <w14:schemeClr w14:val="tx1"/>
            </w14:solidFill>
          </w14:textFill>
        </w:rPr>
        <w:t>需要委托供应商提供食堂食材采购及配送服务，供货内容包括但不限于以下：</w:t>
      </w:r>
    </w:p>
    <w:p>
      <w:pPr>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A类（粮油干货类）：大米、食用油、调味品、干货、杂货、米粉面粉类等食品材料；</w:t>
      </w:r>
    </w:p>
    <w:p>
      <w:pPr>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B类（肉类）：生鲜猪、牛、羊、三鸟，鱼及冰冻水产、畜、禽肉类；</w:t>
      </w:r>
    </w:p>
    <w:p>
      <w:pPr>
        <w:autoSpaceDE w:val="0"/>
        <w:autoSpaceDN w:val="0"/>
        <w:adjustRightInd w:val="0"/>
        <w:spacing w:line="360" w:lineRule="auto"/>
        <w:ind w:left="-320"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C类（蔬果类）：生鲜蔬菜、水果等食品材料。</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（二）就餐人数</w:t>
      </w:r>
    </w:p>
    <w:p>
      <w:pPr>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2024年-2025年计划员工数量830人，东莞市水务集团有限公司130人、东莞市水务集团科技发展有限公司196人、</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202人、东莞市水务集团供水有限公司长安分公司302人员工食堂（具体就餐人数以实际为准）。</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（三）供货地点</w:t>
      </w:r>
    </w:p>
    <w:tbl>
      <w:tblPr>
        <w:tblStyle w:val="38"/>
        <w:tblW w:w="10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4928"/>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vAlign w:val="center"/>
          </w:tcPr>
          <w:p>
            <w:pP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4928" w:type="dxa"/>
            <w:vAlign w:val="center"/>
          </w:tcPr>
          <w:p>
            <w:pPr>
              <w:ind w:left="247"/>
              <w:jc w:val="center"/>
              <w:rPr>
                <w:rFonts w:ascii="宋体" w:hAnsi="宋体" w:eastAsia="宋体" w:cs="宋体"/>
                <w:b/>
                <w:bCs/>
                <w:color w:val="000000" w:themeColor="text1"/>
                <w:szCs w:val="21"/>
                <w:highlight w:val="none"/>
                <w14:textFill>
                  <w14:solidFill>
                    <w14:schemeClr w14:val="tx1"/>
                  </w14:solidFill>
                </w14:textFill>
              </w:rPr>
            </w:pPr>
            <w:bookmarkStart w:id="367" w:name="OLE_LINK1"/>
            <w:r>
              <w:rPr>
                <w:rFonts w:hint="eastAsia" w:ascii="宋体" w:hAnsi="宋体" w:eastAsia="宋体" w:cs="宋体"/>
                <w:b/>
                <w:bCs/>
                <w:color w:val="000000" w:themeColor="text1"/>
                <w:szCs w:val="21"/>
                <w:highlight w:val="none"/>
                <w14:textFill>
                  <w14:solidFill>
                    <w14:schemeClr w14:val="tx1"/>
                  </w14:solidFill>
                </w14:textFill>
              </w:rPr>
              <w:t>食堂</w:t>
            </w:r>
            <w:bookmarkEnd w:id="367"/>
            <w:r>
              <w:rPr>
                <w:rFonts w:hint="eastAsia" w:ascii="宋体" w:hAnsi="宋体" w:eastAsia="宋体" w:cs="宋体"/>
                <w:b/>
                <w:bCs/>
                <w:color w:val="000000" w:themeColor="text1"/>
                <w:szCs w:val="21"/>
                <w:highlight w:val="none"/>
                <w14:textFill>
                  <w14:solidFill>
                    <w14:schemeClr w14:val="tx1"/>
                  </w14:solidFill>
                </w14:textFill>
              </w:rPr>
              <w:t>名称</w:t>
            </w:r>
          </w:p>
        </w:tc>
        <w:tc>
          <w:tcPr>
            <w:tcW w:w="4890" w:type="dxa"/>
            <w:vAlign w:val="center"/>
          </w:tcPr>
          <w:p>
            <w:pPr>
              <w:ind w:left="247"/>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配送地址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492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东莞市水务集团有限公司</w:t>
            </w:r>
          </w:p>
        </w:tc>
        <w:tc>
          <w:tcPr>
            <w:tcW w:w="4890" w:type="dxa"/>
            <w:tcBorders>
              <w:right w:val="single" w:color="auto" w:sz="4" w:space="0"/>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东莞市东城街道育华路1号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492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p>
        </w:tc>
        <w:tc>
          <w:tcPr>
            <w:tcW w:w="4890" w:type="dxa"/>
            <w:tcBorders>
              <w:right w:val="single" w:color="auto" w:sz="4" w:space="0"/>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东莞市南城街道石鼓滨河路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492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东莞市水务集团科技发展有限公司</w:t>
            </w:r>
          </w:p>
        </w:tc>
        <w:tc>
          <w:tcPr>
            <w:tcW w:w="4890" w:type="dxa"/>
            <w:tcBorders>
              <w:right w:val="single" w:color="auto" w:sz="4" w:space="0"/>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东莞市南城街道石鼓滨河路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492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东莞市水务集团供水有限公司长安分公司</w:t>
            </w:r>
          </w:p>
        </w:tc>
        <w:tc>
          <w:tcPr>
            <w:tcW w:w="4890" w:type="dxa"/>
            <w:tcBorders>
              <w:right w:val="single" w:color="auto" w:sz="4" w:space="0"/>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1.东莞市长安镇莲湖路108号</w:t>
            </w:r>
          </w:p>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2.东莞市长安镇滨河路92号</w:t>
            </w:r>
          </w:p>
        </w:tc>
      </w:tr>
    </w:tbl>
    <w:p>
      <w:pPr>
        <w:spacing w:line="360" w:lineRule="auto"/>
        <w:ind w:left="-320" w:firstLine="422" w:firstLineChars="200"/>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备注：若在服务期内，招标人办公地点发生改变，服务地址以新办公地点地址为准。</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（四）定价及定价周期</w:t>
      </w:r>
    </w:p>
    <w:p>
      <w:pPr>
        <w:spacing w:line="360" w:lineRule="auto"/>
        <w:ind w:left="-317"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1.招标人和中标人按以下方式确定供货价格（定价原则）：</w:t>
      </w:r>
    </w:p>
    <w:p>
      <w:pPr>
        <w:spacing w:line="360" w:lineRule="auto"/>
        <w:ind w:left="-317"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（1）原则上以东莞市发展和改革局</w:t>
      </w:r>
      <w:r>
        <w:rPr>
          <w:rFonts w:hint="eastAsia" w:ascii="宋体" w:hAnsi="宋体" w:eastAsia="宋体" w:cs="Times New Roman"/>
          <w:color w:val="000000" w:themeColor="text1"/>
          <w:szCs w:val="21"/>
          <w:highlight w:val="none"/>
          <w14:textFill>
            <w14:solidFill>
              <w14:schemeClr w14:val="tx1"/>
            </w14:solidFill>
          </w14:textFill>
        </w:rPr>
        <w:t>（http://dgdp.dg.gov.cn/jggl/spjg/，</w:t>
      </w:r>
      <w:r>
        <w:rPr>
          <w:rFonts w:hint="eastAsia" w:ascii="宋体" w:hAnsi="宋体" w:eastAsia="宋体" w:cs="Times New Roman"/>
          <w:color w:val="000000" w:themeColor="text1"/>
          <w:szCs w:val="21"/>
          <w:highlight w:val="none"/>
          <w:lang w:val="zh-CN"/>
          <w14:textFill>
            <w14:solidFill>
              <w14:schemeClr w14:val="tx1"/>
            </w14:solidFill>
          </w14:textFill>
        </w:rPr>
        <w:t>网址仅供参考</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具体以东莞市发展和改革局官方网址发布的为准</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东莞市菜篮子价格监测表</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当月份最新公布本期</w:t>
      </w:r>
      <w:r>
        <w:rPr>
          <w:rFonts w:hint="eastAsia" w:hAnsi="宋体" w:eastAsia="宋体" w:cs="宋体"/>
          <w:color w:val="000000" w:themeColor="text1"/>
          <w:szCs w:val="21"/>
          <w:highlight w:val="none"/>
          <w14:textFill>
            <w14:solidFill>
              <w14:schemeClr w14:val="tx1"/>
            </w14:solidFill>
          </w14:textFill>
        </w:rPr>
        <w:t>（指招标人或招标人权属子公司或招标人权属子公司的分公司审批之日的最新期次）价格</w:t>
      </w:r>
      <w:r>
        <w:rPr>
          <w:rFonts w:hint="eastAsia" w:ascii="宋体" w:hAnsi="宋体" w:eastAsia="宋体" w:cs="宋体"/>
          <w:color w:val="000000" w:themeColor="text1"/>
          <w:szCs w:val="21"/>
          <w:highlight w:val="none"/>
          <w14:textFill>
            <w14:solidFill>
              <w14:schemeClr w14:val="tx1"/>
            </w14:solidFill>
          </w14:textFill>
        </w:rPr>
        <w:t>作为基准价抽样审核；若东莞物价专栏无最近当月份公布或招标人</w:t>
      </w:r>
      <w:r>
        <w:rPr>
          <w:rFonts w:hint="eastAsia" w:ascii="宋体" w:hAnsi="宋体" w:eastAsia="宋体" w:cs="Times New Roman"/>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所需的相同品种，则招标人</w:t>
      </w:r>
      <w:r>
        <w:rPr>
          <w:rFonts w:hint="eastAsia" w:ascii="宋体" w:hAnsi="宋体" w:eastAsia="宋体" w:cs="Times New Roman"/>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将对本市区农副产品市场（莞城细村农贸市场或新光明市场或长安沙头综合市场）的市场零售价（与中标人供货产品等级、质量相近的产品零售价）进行抽样调查，核定相同品种的市场零售价格作基准价。</w:t>
      </w:r>
    </w:p>
    <w:p>
      <w:pPr>
        <w:snapToGrid w:val="0"/>
        <w:spacing w:line="360" w:lineRule="auto"/>
        <w:ind w:left="-317"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（2）临时委托采购：中标人必须按照招标人</w:t>
      </w:r>
      <w:r>
        <w:rPr>
          <w:rFonts w:hint="eastAsia" w:ascii="宋体" w:hAnsi="宋体" w:eastAsia="宋体" w:cs="Times New Roman"/>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急需餐料物资品种、数量、送货时间、地点等在2小时内进行供货，若急需餐料物资不在供货物资清单表上，该项临时需求食品材料纳入下次供货清单内，并按上述定价原则确定供货价。</w:t>
      </w:r>
    </w:p>
    <w:p>
      <w:pPr>
        <w:pStyle w:val="19"/>
        <w:spacing w:line="360" w:lineRule="auto"/>
        <w:ind w:left="-317" w:firstLine="21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2.定价周期</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（1）A类（粮油干货类）、B类（肉类）、C类（蔬果类、其他类项）价格每半月更新一次，中标人每月12日前提交下半月报价给招标人</w:t>
      </w:r>
      <w:r>
        <w:rPr>
          <w:rFonts w:hint="eastAsia" w:ascii="宋体" w:hAnsi="宋体" w:eastAsia="宋体" w:cs="Times New Roman"/>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审核，每月25日前提交下个月上半月报价给招标人</w:t>
      </w:r>
      <w:r>
        <w:rPr>
          <w:rFonts w:hint="eastAsia" w:ascii="宋体" w:hAnsi="宋体" w:eastAsia="宋体" w:cs="Times New Roman"/>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审核。</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供货品规格、型号报价与实际配送的规格型号相符合。核定价格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（五）考核管理</w:t>
      </w:r>
    </w:p>
    <w:p>
      <w:pPr>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人及招标人权属子公司、招标人权属子公司的分公司每月安排相关人员对中标人进行服务质量跟踪，两个月为一个考核期，并填写“XX公司食堂配送服务考核评分表”（附件1），考核成绩较差（低于80分）时由招标人或招标人权属子公司或招标人权属子公司的分公司下达整改意见书，以确保中标人的服务质量能满足招标人或招标人权属子公司或招标人权属子公司的分公司要求；如连续两次接收整改意见书仍未符合整改要求，招标人或招标人权属子公司或招标人权属子公司的分公司将有权</w:t>
      </w:r>
      <w:r>
        <w:rPr>
          <w:rFonts w:hint="eastAsia" w:ascii="宋体" w:hAnsi="宋体" w:eastAsia="宋体" w:cs="宋体"/>
          <w:color w:val="000000" w:themeColor="text1"/>
          <w:kern w:val="0"/>
          <w:szCs w:val="21"/>
          <w:highlight w:val="none"/>
          <w14:textFill>
            <w14:solidFill>
              <w14:schemeClr w14:val="tx1"/>
            </w14:solidFill>
          </w14:textFill>
        </w:rPr>
        <w:t>单方</w:t>
      </w:r>
      <w:r>
        <w:rPr>
          <w:rFonts w:hint="eastAsia" w:ascii="宋体" w:hAnsi="宋体" w:eastAsia="宋体" w:cs="宋体"/>
          <w:color w:val="000000" w:themeColor="text1"/>
          <w:szCs w:val="21"/>
          <w:highlight w:val="none"/>
          <w14:textFill>
            <w14:solidFill>
              <w14:schemeClr w14:val="tx1"/>
            </w14:solidFill>
          </w14:textFill>
        </w:rPr>
        <w:t>解除相关配送合同并没收履约担保，同时中标人应当承担违约责任。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2.中标人按照招标人提出的物品订货清单，不论数量多少，必须保证在规定的时间、地点送货。</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3.中标人对招标人提出的临时性服务要求应按招标人要求按时、按质、按量将货品送到指定地点。</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4.中标人提供的货品必须符合国家食品卫生法规相关标准，保质、保量。不合格的货品，中标人必须包退包换。</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5.中标人提供的货品必须出示真实有效的合格证书、检验报告：</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（1）A类：食品材料按招标人要求定期提供有效检验合格报告；B类、C类食品要提交所有相关检验、检测证明报告。</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（2）凡国家有明文规定的必须提供产品检验报告交食堂存档，符合国家溯源制度规定。</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6.中标人每次送货应有相应的送货清单（盖有中标人的有效公章），且必须时提供合法的进货单据。</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7.中标人提供的货品导致招标人有任何食物安全事件出现，由中标人承担全部责任及赔偿招标人一切损失，招标人保留法律追究权利。</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8.中标人应按照招标人指定时间内对下月供货价格进行签字确认。</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9.中标人的供货价应包含货品交给招标人之前的一切费用，包括运输费、储存费等，并承担送货途中的一切风险。</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10.未列入物资明细表内又需要购买的货品，其单价由双方以本用户需求书规定的定价原则确定供货价格。</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11.中标人进入招标人范围内必须遵守招标人有关规定，不得影响招标人的正常工作，由于中标人的过失造成招标人直接经济损失则要负全部责任及赔偿招标人一切损失。</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12.中标人须提供以往交易记录。</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13.中标人须有固定分割肉加工场所，具备空调作业环境，配套设备设施齐全，有相应加工作业流程及相关管理制度。</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★14.中标人须承诺中标后为招标人（</w:t>
      </w:r>
      <w:r>
        <w:rPr>
          <w:rFonts w:hint="eastAsia" w:ascii="宋体" w:hAnsi="宋体" w:eastAsia="宋体" w:cs="宋体"/>
          <w:color w:val="000000" w:themeColor="text1"/>
          <w:szCs w:val="21"/>
          <w:highlight w:val="none"/>
          <w:lang w:val="zh-CN"/>
          <w14:textFill>
            <w14:solidFill>
              <w14:schemeClr w14:val="tx1"/>
            </w14:solidFill>
          </w14:textFill>
        </w:rPr>
        <w:t>东莞市水务集团有限公司</w:t>
      </w:r>
      <w:r>
        <w:rPr>
          <w:rFonts w:hint="eastAsia" w:ascii="宋体" w:hAnsi="宋体" w:eastAsia="宋体" w:cs="宋体"/>
          <w:color w:val="000000" w:themeColor="text1"/>
          <w:szCs w:val="21"/>
          <w:highlight w:val="none"/>
          <w14:textFill>
            <w14:solidFill>
              <w14:schemeClr w14:val="tx1"/>
            </w14:solidFill>
          </w14:textFill>
        </w:rPr>
        <w:t>）及招标人权属子公司（</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招标人权属子公司的分公司（东莞市水务集团供水有限公司长安分公司）为受益人）提供一份额度不少于人民币20000万元的保险（食品安全责任险），各受益人均享有同等受益权，保险承保期限不短于配送时间一年，如配送服务合同延期，保险承保期需同步延期。</w:t>
      </w:r>
      <w:r>
        <w:rPr>
          <w:rFonts w:hint="eastAsia" w:ascii="宋体" w:hAnsi="宋体" w:eastAsia="宋体" w:cs="宋体"/>
          <w:color w:val="000000" w:themeColor="text1"/>
          <w:kern w:val="0"/>
          <w:szCs w:val="21"/>
          <w:highlight w:val="none"/>
          <w14:textFill>
            <w14:solidFill>
              <w14:schemeClr w14:val="tx1"/>
            </w14:solidFill>
          </w14:textFill>
        </w:rPr>
        <w:t>若因</w:t>
      </w:r>
      <w:r>
        <w:rPr>
          <w:rFonts w:hint="eastAsia" w:ascii="宋体" w:hAnsi="宋体" w:eastAsia="宋体" w:cs="宋体"/>
          <w:color w:val="000000" w:themeColor="text1"/>
          <w:szCs w:val="21"/>
          <w:highlight w:val="none"/>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原因造成</w:t>
      </w:r>
      <w:r>
        <w:rPr>
          <w:rFonts w:hint="eastAsia" w:ascii="宋体" w:hAnsi="宋体" w:eastAsia="宋体" w:cs="宋体"/>
          <w:color w:val="000000" w:themeColor="text1"/>
          <w:szCs w:val="21"/>
          <w:highlight w:val="none"/>
          <w14:textFill>
            <w14:solidFill>
              <w14:schemeClr w14:val="tx1"/>
            </w14:solidFill>
          </w14:textFill>
        </w:rPr>
        <w:t>招标人或招标人权属子公司或招标人权属子公司的分公司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人员食物中毒等事故而索赔并超出相应保险赔偿额度，超出部分由</w:t>
      </w:r>
      <w:r>
        <w:rPr>
          <w:rFonts w:hint="eastAsia" w:ascii="宋体" w:hAnsi="宋体" w:eastAsia="宋体" w:cs="宋体"/>
          <w:color w:val="000000" w:themeColor="text1"/>
          <w:szCs w:val="21"/>
          <w:highlight w:val="none"/>
          <w14:textFill>
            <w14:solidFill>
              <w14:schemeClr w14:val="tx1"/>
            </w14:solidFill>
          </w14:textFill>
        </w:rPr>
        <w:t>中标人</w:t>
      </w:r>
      <w:r>
        <w:rPr>
          <w:rFonts w:hint="eastAsia" w:ascii="宋体" w:hAnsi="宋体" w:eastAsia="宋体" w:cs="宋体"/>
          <w:color w:val="000000" w:themeColor="text1"/>
          <w:kern w:val="0"/>
          <w:szCs w:val="21"/>
          <w:highlight w:val="none"/>
          <w14:textFill>
            <w14:solidFill>
              <w14:schemeClr w14:val="tx1"/>
            </w14:solidFill>
          </w14:textFill>
        </w:rPr>
        <w:t>负责承担。</w:t>
      </w:r>
      <w:r>
        <w:rPr>
          <w:rFonts w:hint="eastAsia" w:ascii="宋体" w:hAnsi="宋体" w:eastAsia="宋体" w:cs="宋体"/>
          <w:b/>
          <w:bCs/>
          <w:color w:val="000000" w:themeColor="text1"/>
          <w:szCs w:val="21"/>
          <w:highlight w:val="none"/>
          <w14:textFill>
            <w14:solidFill>
              <w14:schemeClr w14:val="tx1"/>
            </w14:solidFill>
          </w14:textFill>
        </w:rPr>
        <w:t>（注：须提供《购买食品安全责任险承诺书》加盖投标人公章）</w:t>
      </w:r>
    </w:p>
    <w:p>
      <w:pPr>
        <w:spacing w:line="360" w:lineRule="auto"/>
        <w:ind w:left="247"/>
        <w:contextualSpacing/>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（六）验收标准</w:t>
      </w:r>
    </w:p>
    <w:p>
      <w:pPr>
        <w:snapToGrid w:val="0"/>
        <w:spacing w:line="360" w:lineRule="auto"/>
        <w:ind w:left="-320" w:firstLine="42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A类（粮油干货类）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1.粮食大米类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（1）由正规厂家出厂、颜色品质纯正，米粒形均匀、整齐、重量大没有碎米和爆腰。</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（2）有清香味和光泽，无米糠和其它杂质、无虫害、无异味、无霉味，用手摸时滑爽、干燥。</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（3）符合食品卫生标准，无毒、无污染。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2.食用油类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（1）由知名正规厂家生产的植物油，非转基因类。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（2）色泽纯正，透明度好。</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3.调味品类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（1）由正规厂家生产、颜色品质纯正。</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4.干货、杂货、副食品类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（1）必须选用符合国家食品卫生法规相关标准的商品，选用无毒、无害、无污染、可溯源的食品。掺假、掺杂食品坚决不能使用。</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（2）副食品等级标准要相符，其包装盒或标签上须注明食品名称、生产厂家、厂址、生产日期、食品的主要原料成份和食品保质期等信息，注明不详或没有注明的商品不予验收。</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（3）副食品表面外观新鲜、完整，无霉变异味，无砂粒杂质，无虫尸鼠粪等不洁卫生问题。</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5.米粉面粉类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（1）米粉面粉类及其制品颜色品质要纯正，不掺假、掺杂。</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（2）符合食品卫生标准，粉质细腻干爽无异物、无毒、无污染。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（3）制成品不能出现异味、霉变结块、虫尸鼠粪等不洁的卫生问题。</w:t>
      </w:r>
    </w:p>
    <w:p>
      <w:pPr>
        <w:snapToGrid w:val="0"/>
        <w:spacing w:line="360" w:lineRule="auto"/>
        <w:ind w:left="-320" w:firstLine="420" w:firstLineChars="200"/>
        <w:contextualSpacing/>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上述货品必须符合国家食品卫生法规相关标准，符合招标人使用要求，货品必须保证有三分之二以上保质期（如货品有保质期）。</w:t>
      </w:r>
    </w:p>
    <w:p>
      <w:pPr>
        <w:snapToGrid w:val="0"/>
        <w:spacing w:line="360" w:lineRule="auto"/>
        <w:ind w:left="-320" w:firstLine="422" w:firstLineChars="200"/>
        <w:contextualSpacing/>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B类（肉类）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1.猪肉类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（1）具有当天卫生监督部门发放的“动物检疫合格证明”，肉体印有检疫章。</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（2）表皮干爽、肌体结实、肉质紧密、肉色淡红新鲜，肥肉洁白而细腻。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（3）外观检测无异味、无寄生虫、无粘液、无渗出液体、指压反弹迅速、具有猪肉自然气味。</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（4）运输设备具备恒温保鲜（5℃度），存放容器保持清洁卫生，包装合理且材料无污染。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2.牛肉类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（1）具有当天卫生监督部门发放的“动物检疫合格证明”，外观检测新鲜肉质柔软有光泽、无腐臭变质异味、无寄生虫、无粘液、无渗出液体。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（2）牛肉色泽棕红，脂肪呈淡黄色或深黄色，肉质坚硬，弹性足。</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（3）运输设备具备恒温保鲜（5℃度），存放容器保持清洁卫生，包装合理且材料无污染。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3.羊肉类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（2）羊肉色泽暗红，纤维细而软，肌间少脂肪。</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（3）运输设备具备恒温保鲜（5℃度），存放容器保持清洁卫生，包装合理且材料无污染。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4.水产品类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（1）必须鲜活。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（2）鲜鱼鳞片完整，有光泽无脱落，鳃口紧闭，眼球光亮透明，鱼鳃鲜红，鳍尾完整，确保新鲜。</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（3）身体饱满结实，无腐烂异味，肉质紧密有弹性，无离骨脱刺现象。</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（4）来源可靠放心，无毒、无害、无污染。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5.三鸟类（已经屠杀完成）</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（2）肉质新鲜柔软有光泽，质地紧密，脂肪呈白色或淡黄色，肉质细腻、无腐烂异味， 肉体结实，内脏清掏干净，肉质弹性足无明显渗出液体，总体无粘液。</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（3）运输设备具备恒温保鲜（5℃度），存放容器保持清洁卫生，包装合理，来源可靠放心，无毒、无害、无污染。</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6.零星冻品、加工副食品类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（1）必须选用符合国家食品卫生法规相关标准的商品，选用无毒、无害、无污染、可溯源的副食品。掺假、掺杂副食品坚决不能使用。</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（2）食品等级标准要相符，其包装盒或标签上须注明食品名称，生产厂家、厂址、生产日期、食品的主要原料成份和食品保质期等信息，注明不详或没有注明的商品不予验收。</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（3）冻肉类产品中间不能有过多冰块，重量必须和包装箱上标明的重量一致。</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（4）奶制品色泽乳白，口味鲜香，包装完整，无破损，验收每批在保质期二分之一以上，符合国家规定的质量卫生标准。</w:t>
      </w:r>
    </w:p>
    <w:p>
      <w:pPr>
        <w:snapToGrid w:val="0"/>
        <w:spacing w:line="360" w:lineRule="auto"/>
        <w:ind w:left="-320" w:firstLine="422" w:firstLineChars="200"/>
        <w:contextualSpacing/>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C类：蔬果类</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1.应保持较好的色泽和新鲜度。</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2.符合国家食品卫生标准，蔬菜不得有黄叶；不得腐烂和泥沙等现象。</w:t>
      </w:r>
    </w:p>
    <w:p>
      <w:pPr>
        <w:snapToGrid w:val="0"/>
        <w:spacing w:line="360" w:lineRule="auto"/>
        <w:ind w:left="-320" w:firstLine="420"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3.无公害、农药残留不得超标，提供农药残留检测证明。</w:t>
      </w:r>
    </w:p>
    <w:p>
      <w:pPr>
        <w:pStyle w:val="205"/>
        <w:spacing w:before="0" w:after="0" w:line="360" w:lineRule="auto"/>
        <w:ind w:left="247" w:right="0"/>
        <w:rPr>
          <w:rFonts w:ascii="宋体" w:hAnsi="宋体" w:eastAsia="宋体" w:cs="宋体"/>
          <w:b/>
          <w:color w:val="000000" w:themeColor="text1"/>
          <w:szCs w:val="21"/>
          <w:highlight w:val="none"/>
          <w14:textFill>
            <w14:solidFill>
              <w14:schemeClr w14:val="tx1"/>
            </w14:solidFill>
          </w14:textFill>
        </w:rPr>
      </w:pPr>
    </w:p>
    <w:p>
      <w:pPr>
        <w:spacing w:line="360" w:lineRule="auto"/>
        <w:ind w:left="24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四、其他</w:t>
      </w:r>
    </w:p>
    <w:p>
      <w:pPr>
        <w:tabs>
          <w:tab w:val="left" w:pos="1800"/>
        </w:tabs>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其他未尽事宜，将在合同签订或项目执行过程中双方协商确定，中标人须无条件满足招标人的合理要求。</w:t>
      </w:r>
    </w:p>
    <w:p>
      <w:pPr>
        <w:ind w:left="24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pPr>
        <w:spacing w:line="288" w:lineRule="auto"/>
        <w:ind w:left="24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附件1：</w:t>
      </w:r>
    </w:p>
    <w:p>
      <w:pPr>
        <w:ind w:left="247"/>
        <w:jc w:val="center"/>
        <w:rPr>
          <w:rFonts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XX公司食堂配送服务考核评分表</w:t>
      </w:r>
    </w:p>
    <w:tbl>
      <w:tblPr>
        <w:tblStyle w:val="37"/>
        <w:tblpPr w:leftFromText="180" w:rightFromText="180" w:vertAnchor="text" w:horzAnchor="page" w:tblpX="982" w:tblpY="828"/>
        <w:tblOverlap w:val="never"/>
        <w:tblW w:w="103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0"/>
        <w:gridCol w:w="614"/>
        <w:gridCol w:w="4634"/>
        <w:gridCol w:w="879"/>
        <w:gridCol w:w="775"/>
        <w:gridCol w:w="672"/>
        <w:gridCol w:w="672"/>
        <w:gridCol w:w="6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8"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20"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考核指标</w:t>
            </w:r>
          </w:p>
        </w:tc>
        <w:tc>
          <w:tcPr>
            <w:tcW w:w="614"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分值</w:t>
            </w:r>
          </w:p>
        </w:tc>
        <w:tc>
          <w:tcPr>
            <w:tcW w:w="4634" w:type="dxa"/>
            <w:vMerge w:val="restart"/>
            <w:tcBorders>
              <w:tl2br w:val="nil"/>
              <w:tr2bl w:val="nil"/>
            </w:tcBorders>
            <w:vAlign w:val="center"/>
          </w:tcPr>
          <w:p>
            <w:pPr>
              <w:spacing w:line="480" w:lineRule="exact"/>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考核要素和评估内容及其标准</w:t>
            </w:r>
          </w:p>
        </w:tc>
        <w:tc>
          <w:tcPr>
            <w:tcW w:w="879"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优秀</w:t>
            </w:r>
          </w:p>
        </w:tc>
        <w:tc>
          <w:tcPr>
            <w:tcW w:w="775"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良好</w:t>
            </w:r>
          </w:p>
        </w:tc>
        <w:tc>
          <w:tcPr>
            <w:tcW w:w="67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不合格</w:t>
            </w:r>
          </w:p>
        </w:tc>
        <w:tc>
          <w:tcPr>
            <w:tcW w:w="672"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扣分情况</w:t>
            </w:r>
          </w:p>
        </w:tc>
        <w:tc>
          <w:tcPr>
            <w:tcW w:w="682"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8"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720" w:type="dxa"/>
            <w:vMerge w:val="continue"/>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614"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4634" w:type="dxa"/>
            <w:vMerge w:val="continue"/>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p>
        </w:tc>
        <w:tc>
          <w:tcPr>
            <w:tcW w:w="879"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8-10分</w:t>
            </w:r>
          </w:p>
        </w:tc>
        <w:tc>
          <w:tcPr>
            <w:tcW w:w="775"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5-7分</w:t>
            </w:r>
          </w:p>
        </w:tc>
        <w:tc>
          <w:tcPr>
            <w:tcW w:w="672"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5分以下</w:t>
            </w:r>
          </w:p>
        </w:tc>
        <w:tc>
          <w:tcPr>
            <w:tcW w:w="672"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682"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送货时间</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非不可抗拒情况下：本月内每次送货准时得 8-10 分；本月内2次不准时但能与食堂方及时沟通得 5-7分，不沟通或沟通不及时3次得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服务态度</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工作人员工作认真，服务热情周到，运送搬装文明得8-10分；本月内发现因搬装等原因造成食物污染、破损2次得 5-7分；发生3次以上情况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差错情况</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本月内每次送货无差错得 8-10 分；有2次差错但能及时补救得 5-7 分；4次出错且补救不及时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足斤足两</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本月内送货没有出现短斤缺两现象得 8-10 分；2次出现短近缺两但能及时更正得 5-7 分；上述情况发生且不能及时更正3次得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价格与质量合理性</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按照菜篮子价格与指定市场的同等价格品种的质量相比较,价格合理下浮得 8 -10分；对比市场价，价格有偏高20％，得 5-7 分；价格高于市场价30％，得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质量服务</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所供商品经过挑选后利用率达到 98%得 8-10 分，本月内3次发现商品利用率在 97%-90%，得5-7 分；4次发现未经挑选并有腐烂情况的质量问题得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品牌意识</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按食堂发出的订单品种采购，无擅自更换商品品种现象 8-10 分；本月内发现有3次以下擅自更换商品品种现象得5-7 分，发现3 次及以上擅自更换商品品种现象得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联系制度</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更换商品前，与食堂联系并谈妥商品事项，得 8-10 分；本月内2次更改商品单方定价得 5-7 分；本月内3次出现更改商品单方定价得 5 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18"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跟踪随访</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供货商能主动到食堂随访，倾听食堂意见，每月2次得8-10 分，供货商每月回访食堂1次得 5-0 分。</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18"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720"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检测资料</w:t>
            </w:r>
          </w:p>
        </w:tc>
        <w:tc>
          <w:tcPr>
            <w:tcW w:w="614"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本月内向食堂提供全部有关商品的检测资料得 8-10 分；遗漏2次但当月内可以及时补交的 得5分，遗漏 2 次以上没有在当月份补充的得 3分以下。</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18"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334" w:type="dxa"/>
            <w:gridSpan w:val="2"/>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一票否决项</w:t>
            </w:r>
          </w:p>
        </w:tc>
        <w:tc>
          <w:tcPr>
            <w:tcW w:w="4634"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1、食堂发现假冒伪劣、腐败变质、三无产品；2、商品由他人代送，经整改无效；3、要求检测的商品未经检测，且未按要求限时整改。</w:t>
            </w:r>
          </w:p>
        </w:tc>
        <w:tc>
          <w:tcPr>
            <w:tcW w:w="879"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67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2" w:type="dxa"/>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86" w:type="dxa"/>
            <w:gridSpan w:val="4"/>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考核得分</w:t>
            </w:r>
          </w:p>
        </w:tc>
        <w:tc>
          <w:tcPr>
            <w:tcW w:w="3680" w:type="dxa"/>
            <w:gridSpan w:val="5"/>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86" w:type="dxa"/>
            <w:gridSpan w:val="4"/>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考核结果</w:t>
            </w:r>
          </w:p>
        </w:tc>
        <w:tc>
          <w:tcPr>
            <w:tcW w:w="3680" w:type="dxa"/>
            <w:gridSpan w:val="5"/>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r>
    </w:tbl>
    <w:p>
      <w:pPr>
        <w:ind w:left="24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考核月份：                                    </w:t>
      </w:r>
      <w:r>
        <w:rPr>
          <w:rFonts w:hint="eastAsia" w:ascii="宋体" w:hAnsi="宋体" w:eastAsia="宋体" w:cs="宋体"/>
          <w:color w:val="000000" w:themeColor="text1"/>
          <w:szCs w:val="21"/>
          <w:highlight w:val="none"/>
          <w14:textFill>
            <w14:solidFill>
              <w14:schemeClr w14:val="tx1"/>
            </w14:solidFill>
          </w14:textFill>
        </w:rPr>
        <w:t>考核日期：  年  月  日</w:t>
      </w:r>
    </w:p>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考核人：                                      审核人：</w:t>
      </w:r>
    </w:p>
    <w:p>
      <w:pPr>
        <w:pageBreakBefore/>
        <w:spacing w:before="120" w:beforeLines="50" w:after="120" w:afterLines="50" w:line="360" w:lineRule="auto"/>
        <w:ind w:left="-320"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68" w:name="_Toc161843189"/>
      <w:bookmarkStart w:id="369" w:name="_Toc11281_WPSOffice_Level1"/>
      <w:bookmarkStart w:id="370" w:name="_Toc25251"/>
      <w:bookmarkStart w:id="371" w:name="_Toc450662892"/>
      <w:bookmarkStart w:id="372" w:name="_Toc142508359"/>
      <w:bookmarkStart w:id="373" w:name="_Toc486167707"/>
      <w:bookmarkStart w:id="374" w:name="_Toc20401"/>
      <w:r>
        <w:rPr>
          <w:rFonts w:hint="eastAsia" w:ascii="宋体" w:hAnsi="宋体" w:eastAsia="宋体" w:cs="Times New Roman"/>
          <w:b/>
          <w:bCs/>
          <w:color w:val="000000" w:themeColor="text1"/>
          <w:sz w:val="32"/>
          <w:szCs w:val="32"/>
          <w:highlight w:val="none"/>
          <w:lang w:val="zh-CN"/>
          <w14:textFill>
            <w14:solidFill>
              <w14:schemeClr w14:val="tx1"/>
            </w14:solidFill>
          </w14:textFill>
        </w:rPr>
        <w:t>第四篇 合同条款格式</w:t>
      </w:r>
      <w:bookmarkEnd w:id="368"/>
      <w:bookmarkEnd w:id="369"/>
      <w:bookmarkEnd w:id="370"/>
      <w:bookmarkEnd w:id="371"/>
      <w:bookmarkEnd w:id="372"/>
      <w:bookmarkEnd w:id="373"/>
      <w:bookmarkEnd w:id="374"/>
    </w:p>
    <w:p>
      <w:pPr>
        <w:ind w:left="247"/>
        <w:rPr>
          <w:rFonts w:ascii="宋体" w:hAnsi="宋体" w:eastAsia="宋体" w:cs="宋体"/>
          <w:color w:val="000000" w:themeColor="text1"/>
          <w:highlight w:val="none"/>
          <w:lang w:val="zh-CN"/>
          <w14:textFill>
            <w14:solidFill>
              <w14:schemeClr w14:val="tx1"/>
            </w14:solidFill>
          </w14:textFill>
        </w:rPr>
      </w:pPr>
      <w:bookmarkStart w:id="375" w:name="_Toc142508360"/>
      <w:bookmarkStart w:id="376" w:name="_Toc512353083"/>
      <w:bookmarkStart w:id="377" w:name="_Toc25564"/>
      <w:bookmarkStart w:id="378" w:name="_Toc24427_WPSOffice_Level1"/>
      <w:bookmarkStart w:id="379" w:name="_Toc447044603"/>
      <w:bookmarkStart w:id="380" w:name="_Toc447045090"/>
      <w:bookmarkStart w:id="381" w:name="_Toc447044479"/>
      <w:bookmarkStart w:id="382" w:name="_Toc30025"/>
      <w:r>
        <w:rPr>
          <w:rFonts w:hint="eastAsia" w:ascii="宋体" w:hAnsi="宋体" w:eastAsia="宋体" w:cs="宋体"/>
          <w:color w:val="000000" w:themeColor="text1"/>
          <w:szCs w:val="21"/>
          <w:highlight w:val="none"/>
          <w14:textFill>
            <w14:solidFill>
              <w14:schemeClr w14:val="tx1"/>
            </w14:solidFill>
          </w14:textFill>
        </w:rPr>
        <w:t>合同编号：</w:t>
      </w:r>
    </w:p>
    <w:p>
      <w:pPr>
        <w:spacing w:after="60" w:line="360" w:lineRule="auto"/>
        <w:ind w:left="247"/>
        <w:rPr>
          <w:rFonts w:hAnsi="宋体" w:cs="宋体"/>
          <w:b/>
          <w:color w:val="000000" w:themeColor="text1"/>
          <w:sz w:val="52"/>
          <w:szCs w:val="52"/>
          <w:highlight w:val="none"/>
          <w14:textFill>
            <w14:solidFill>
              <w14:schemeClr w14:val="tx1"/>
            </w14:solidFill>
          </w14:textFill>
        </w:rPr>
      </w:pPr>
    </w:p>
    <w:p>
      <w:pPr>
        <w:spacing w:after="60" w:line="360" w:lineRule="auto"/>
        <w:ind w:left="247"/>
        <w:jc w:val="center"/>
        <w:rPr>
          <w:rFonts w:hAnsi="宋体" w:cs="宋体"/>
          <w:b/>
          <w:color w:val="000000" w:themeColor="text1"/>
          <w:sz w:val="52"/>
          <w:szCs w:val="52"/>
          <w:highlight w:val="none"/>
          <w14:textFill>
            <w14:solidFill>
              <w14:schemeClr w14:val="tx1"/>
            </w14:solidFill>
          </w14:textFill>
        </w:rPr>
      </w:pPr>
      <w:r>
        <w:rPr>
          <w:rFonts w:hint="eastAsia" w:hAnsi="宋体" w:cs="宋体"/>
          <w:b/>
          <w:color w:val="000000" w:themeColor="text1"/>
          <w:sz w:val="52"/>
          <w:szCs w:val="52"/>
          <w:highlight w:val="none"/>
          <w14:textFill>
            <w14:solidFill>
              <w14:schemeClr w14:val="tx1"/>
            </w14:solidFill>
          </w14:textFill>
        </w:rPr>
        <w:t>东莞市水务集团有限公司2024年度食堂食材采购项目</w:t>
      </w:r>
    </w:p>
    <w:p>
      <w:pPr>
        <w:spacing w:after="60" w:line="360" w:lineRule="auto"/>
        <w:ind w:left="247"/>
        <w:jc w:val="center"/>
        <w:rPr>
          <w:rFonts w:hAnsi="宋体" w:cs="宋体"/>
          <w:b/>
          <w:color w:val="000000" w:themeColor="text1"/>
          <w:sz w:val="52"/>
          <w:szCs w:val="52"/>
          <w:highlight w:val="none"/>
          <w14:textFill>
            <w14:solidFill>
              <w14:schemeClr w14:val="tx1"/>
            </w14:solidFill>
          </w14:textFill>
        </w:rPr>
      </w:pPr>
      <w:r>
        <w:rPr>
          <w:rFonts w:hint="eastAsia" w:hAnsi="宋体" w:cs="宋体"/>
          <w:b/>
          <w:color w:val="000000" w:themeColor="text1"/>
          <w:sz w:val="52"/>
          <w:szCs w:val="52"/>
          <w:highlight w:val="none"/>
          <w14:textFill>
            <w14:solidFill>
              <w14:schemeClr w14:val="tx1"/>
            </w14:solidFill>
          </w14:textFill>
        </w:rPr>
        <w:t>合同书</w:t>
      </w:r>
    </w:p>
    <w:p>
      <w:pPr>
        <w:spacing w:after="60" w:line="360" w:lineRule="auto"/>
        <w:ind w:left="247"/>
        <w:jc w:val="center"/>
        <w:rPr>
          <w:rFonts w:hAnsi="宋体"/>
          <w:b/>
          <w:color w:val="000000" w:themeColor="text1"/>
          <w:sz w:val="32"/>
          <w:highlight w:val="none"/>
          <w14:textFill>
            <w14:solidFill>
              <w14:schemeClr w14:val="tx1"/>
            </w14:solidFill>
          </w14:textFill>
        </w:rPr>
      </w:pPr>
    </w:p>
    <w:p>
      <w:pPr>
        <w:pStyle w:val="18"/>
        <w:ind w:left="247"/>
        <w:jc w:val="both"/>
        <w:rPr>
          <w:rFonts w:hAnsi="宋体"/>
          <w:b w:val="0"/>
          <w:color w:val="000000" w:themeColor="text1"/>
          <w:sz w:val="32"/>
          <w:highlight w:val="none"/>
          <w14:textFill>
            <w14:solidFill>
              <w14:schemeClr w14:val="tx1"/>
            </w14:solidFill>
          </w14:textFill>
        </w:rPr>
      </w:pPr>
    </w:p>
    <w:p>
      <w:pPr>
        <w:spacing w:line="360" w:lineRule="auto"/>
        <w:ind w:left="-320" w:firstLine="1280" w:firstLineChars="400"/>
        <w:rPr>
          <w:rFonts w:hAnsi="宋体"/>
          <w:color w:val="000000" w:themeColor="text1"/>
          <w:sz w:val="32"/>
          <w:szCs w:val="32"/>
          <w:highlight w:val="non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t>甲方：</w:t>
      </w:r>
      <w:r>
        <w:rPr>
          <w:rFonts w:hint="eastAsia" w:hAnsi="宋体"/>
          <w:color w:val="000000" w:themeColor="text1"/>
          <w:sz w:val="32"/>
          <w:szCs w:val="32"/>
          <w:highlight w:val="none"/>
          <w:u w:val="single"/>
          <w14:textFill>
            <w14:solidFill>
              <w14:schemeClr w14:val="tx1"/>
            </w14:solidFill>
          </w14:textFill>
        </w:rPr>
        <w:t xml:space="preserve"> </w:t>
      </w:r>
      <w:r>
        <w:rPr>
          <w:rFonts w:hAnsi="宋体"/>
          <w:color w:val="000000" w:themeColor="text1"/>
          <w:sz w:val="32"/>
          <w:szCs w:val="32"/>
          <w:highlight w:val="none"/>
          <w:u w:val="single"/>
          <w14:textFill>
            <w14:solidFill>
              <w14:schemeClr w14:val="tx1"/>
            </w14:solidFill>
          </w14:textFill>
        </w:rPr>
        <w:t xml:space="preserve">                         </w:t>
      </w:r>
    </w:p>
    <w:p>
      <w:pPr>
        <w:spacing w:line="360" w:lineRule="auto"/>
        <w:ind w:left="-320" w:firstLine="1280" w:firstLineChars="400"/>
        <w:rPr>
          <w:rFonts w:hAnsi="宋体"/>
          <w:color w:val="000000" w:themeColor="text1"/>
          <w:sz w:val="32"/>
          <w:szCs w:val="32"/>
          <w:highlight w:val="none"/>
          <w:u w:val="singl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t>乙方：</w:t>
      </w:r>
      <w:r>
        <w:rPr>
          <w:rFonts w:hint="eastAsia" w:hAnsi="宋体"/>
          <w:color w:val="000000" w:themeColor="text1"/>
          <w:sz w:val="32"/>
          <w:szCs w:val="32"/>
          <w:highlight w:val="none"/>
          <w:u w:val="single"/>
          <w14:textFill>
            <w14:solidFill>
              <w14:schemeClr w14:val="tx1"/>
            </w14:solidFill>
          </w14:textFill>
        </w:rPr>
        <w:t xml:space="preserve"> </w:t>
      </w:r>
      <w:r>
        <w:rPr>
          <w:rFonts w:hAnsi="宋体"/>
          <w:color w:val="000000" w:themeColor="text1"/>
          <w:sz w:val="32"/>
          <w:szCs w:val="32"/>
          <w:highlight w:val="none"/>
          <w:u w:val="single"/>
          <w14:textFill>
            <w14:solidFill>
              <w14:schemeClr w14:val="tx1"/>
            </w14:solidFill>
          </w14:textFill>
        </w:rPr>
        <w:t xml:space="preserve">                         </w:t>
      </w:r>
    </w:p>
    <w:p>
      <w:pPr>
        <w:pStyle w:val="2"/>
        <w:ind w:left="247"/>
        <w:rPr>
          <w:color w:val="000000" w:themeColor="text1"/>
          <w:highlight w:val="none"/>
          <w14:textFill>
            <w14:solidFill>
              <w14:schemeClr w14:val="tx1"/>
            </w14:solidFill>
          </w14:textFill>
        </w:rPr>
      </w:pPr>
    </w:p>
    <w:p>
      <w:pPr>
        <w:spacing w:line="360" w:lineRule="auto"/>
        <w:ind w:left="-320" w:firstLine="1280" w:firstLineChars="400"/>
        <w:jc w:val="center"/>
        <w:rPr>
          <w:rFonts w:hAnsi="宋体"/>
          <w:color w:val="000000" w:themeColor="text1"/>
          <w:sz w:val="32"/>
          <w:szCs w:val="32"/>
          <w:highlight w:val="none"/>
          <w14:textFill>
            <w14:solidFill>
              <w14:schemeClr w14:val="tx1"/>
            </w14:solidFill>
          </w14:textFill>
        </w:rPr>
      </w:pPr>
    </w:p>
    <w:p>
      <w:pPr>
        <w:spacing w:line="360" w:lineRule="auto"/>
        <w:ind w:left="247"/>
        <w:jc w:val="center"/>
        <w:rPr>
          <w:rFonts w:hAnsi="宋体"/>
          <w:color w:val="000000" w:themeColor="text1"/>
          <w:sz w:val="32"/>
          <w:szCs w:val="32"/>
          <w:highlight w:val="non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t>签订日期：   年   月   日</w:t>
      </w:r>
    </w:p>
    <w:p>
      <w:pPr>
        <w:spacing w:line="360" w:lineRule="auto"/>
        <w:ind w:left="-320" w:firstLine="1280" w:firstLineChars="400"/>
        <w:rPr>
          <w:rFonts w:hAnsi="宋体"/>
          <w:color w:val="000000" w:themeColor="text1"/>
          <w:sz w:val="32"/>
          <w:szCs w:val="32"/>
          <w:highlight w:val="none"/>
          <w14:textFill>
            <w14:solidFill>
              <w14:schemeClr w14:val="tx1"/>
            </w14:solidFill>
          </w14:textFill>
        </w:rPr>
      </w:pPr>
    </w:p>
    <w:p>
      <w:pPr>
        <w:ind w:left="24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ind w:left="247"/>
        <w:rPr>
          <w:color w:val="000000" w:themeColor="text1"/>
          <w:highlight w:val="none"/>
          <w14:textFill>
            <w14:solidFill>
              <w14:schemeClr w14:val="tx1"/>
            </w14:solidFill>
          </w14:textFill>
        </w:rPr>
      </w:pPr>
    </w:p>
    <w:p>
      <w:pPr>
        <w:spacing w:line="520" w:lineRule="exact"/>
        <w:ind w:left="247"/>
        <w:jc w:val="center"/>
        <w:rPr>
          <w:rFonts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bCs/>
          <w:color w:val="000000" w:themeColor="text1"/>
          <w:kern w:val="0"/>
          <w:sz w:val="36"/>
          <w:szCs w:val="36"/>
          <w:highlight w:val="none"/>
          <w14:textFill>
            <w14:solidFill>
              <w14:schemeClr w14:val="tx1"/>
            </w14:solidFill>
          </w14:textFill>
        </w:rPr>
        <w:t>东莞市水务集团有限公司2024年度食堂食材采购项目合同</w:t>
      </w:r>
    </w:p>
    <w:p>
      <w:pPr>
        <w:autoSpaceDE w:val="0"/>
        <w:autoSpaceDN w:val="0"/>
        <w:adjustRightInd w:val="0"/>
        <w:spacing w:line="520" w:lineRule="exact"/>
        <w:ind w:left="247"/>
        <w:jc w:val="center"/>
        <w:rPr>
          <w:rFonts w:ascii="宋体" w:hAnsi="宋体" w:eastAsia="宋体" w:cs="宋体"/>
          <w:b/>
          <w:color w:val="000000" w:themeColor="text1"/>
          <w:kern w:val="0"/>
          <w:sz w:val="32"/>
          <w:szCs w:val="32"/>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247"/>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乙方：                           </w:t>
      </w:r>
    </w:p>
    <w:p>
      <w:pPr>
        <w:autoSpaceDE w:val="0"/>
        <w:autoSpaceDN w:val="0"/>
        <w:adjustRightInd w:val="0"/>
        <w:spacing w:line="360" w:lineRule="auto"/>
        <w:ind w:left="247"/>
        <w:jc w:val="left"/>
        <w:rPr>
          <w:rFonts w:ascii="宋体" w:hAnsi="宋体" w:eastAsia="宋体" w:cs="宋体"/>
          <w:b/>
          <w:color w:val="000000" w:themeColor="text1"/>
          <w:kern w:val="0"/>
          <w:szCs w:val="21"/>
          <w:highlight w:val="none"/>
          <w14:textFill>
            <w14:solidFill>
              <w14:schemeClr w14:val="tx1"/>
            </w14:solidFill>
          </w14:textFill>
        </w:rPr>
      </w:pPr>
    </w:p>
    <w:p>
      <w:pPr>
        <w:widowControl/>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根据《中华人民共和国招标投标法》、《中华人民共和国民法典》</w:t>
      </w:r>
      <w:r>
        <w:rPr>
          <w:rFonts w:hint="eastAsia" w:ascii="宋体" w:hAnsi="宋体" w:eastAsia="宋体" w:cs="宋体"/>
          <w:color w:val="000000" w:themeColor="text1"/>
          <w:kern w:val="0"/>
          <w:szCs w:val="21"/>
          <w:highlight w:val="none"/>
          <w:lang w:bidi="zh-CN"/>
          <w14:textFill>
            <w14:solidFill>
              <w14:schemeClr w14:val="tx1"/>
            </w14:solidFill>
          </w14:textFill>
        </w:rPr>
        <w:t>等有关法律法规及</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东莞市水务集团有限公司2024年度食堂食材采购项目</w:t>
      </w:r>
      <w:r>
        <w:rPr>
          <w:rFonts w:hint="eastAsia" w:ascii="宋体" w:hAnsi="宋体" w:eastAsia="宋体" w:cs="宋体"/>
          <w:color w:val="000000" w:themeColor="text1"/>
          <w:kern w:val="0"/>
          <w:szCs w:val="21"/>
          <w:highlight w:val="none"/>
          <w14:textFill>
            <w14:solidFill>
              <w14:schemeClr w14:val="tx1"/>
            </w14:solidFill>
          </w14:textFill>
        </w:rPr>
        <w:t>（招标编号：广建咨询（东招）2024-0038号）招投标结果，甲乙双方本着平等互利和诚实信用的原则，协商一致同意签订本合同，并共同遵守各项条款。</w:t>
      </w:r>
    </w:p>
    <w:p>
      <w:pPr>
        <w:autoSpaceDE w:val="0"/>
        <w:autoSpaceDN w:val="0"/>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一、食品材料名称、规格、品牌</w:t>
      </w:r>
    </w:p>
    <w:p>
      <w:pPr>
        <w:spacing w:line="360" w:lineRule="auto"/>
        <w:ind w:left="-320"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根据建设、运营需要委托供应商提供食堂食材采购及配送服务，供货内容包括但不限于：</w:t>
      </w:r>
    </w:p>
    <w:p>
      <w:pPr>
        <w:numPr>
          <w:ilvl w:val="1"/>
          <w:numId w:val="0"/>
        </w:num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 A类（粮油干货类）：大米、食用油、调味品、干货、杂货、米粉面粉类等食品材料；B类（肉类）：生鲜猪、牛、羊、三鸟，鱼及冰冻水产、畜、禽肉类；C类（蔬果类）：生鲜蔬菜、水果等食品材料。未列入物资明细表内而甲方又需采购的食材，单价根据本合同第五条约定的定价原则确定价格。</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 乙方知悉并同意，甲方不确保本条第1.1项约定的各项食材的配送量，均根据实际需要确定。</w:t>
      </w:r>
    </w:p>
    <w:p>
      <w:pPr>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二、订货方式、送货时间、地点及凭证</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2.1订货方式：送货前一天，甲方以电话、书面、传真或电子邮箱的形式向乙方下达订货清单。</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2.2送货时间：以订单时间或双方协商为准；A、B、C类货品每天均需按配送订单送货，送货验收时间段为6：00-6：30；其他或临时送货，具体时间以订单或双方协商为准。</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2.3送货地点：</w:t>
      </w:r>
    </w:p>
    <w:tbl>
      <w:tblPr>
        <w:tblStyle w:val="38"/>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275"/>
        <w:gridCol w:w="447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33"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4275"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食堂名称</w:t>
            </w:r>
          </w:p>
        </w:tc>
        <w:tc>
          <w:tcPr>
            <w:tcW w:w="4478"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配送地址</w:t>
            </w:r>
          </w:p>
        </w:tc>
        <w:tc>
          <w:tcPr>
            <w:tcW w:w="1080"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w:t>
            </w:r>
          </w:p>
        </w:tc>
        <w:tc>
          <w:tcPr>
            <w:tcW w:w="4275"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p>
        </w:tc>
        <w:tc>
          <w:tcPr>
            <w:tcW w:w="4478"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p>
        </w:tc>
        <w:tc>
          <w:tcPr>
            <w:tcW w:w="1080" w:type="dxa"/>
            <w:vAlign w:val="center"/>
          </w:tcPr>
          <w:p>
            <w:pPr>
              <w:autoSpaceDE w:val="0"/>
              <w:autoSpaceDN w:val="0"/>
              <w:adjustRightInd w:val="0"/>
              <w:spacing w:line="360" w:lineRule="auto"/>
              <w:ind w:left="247"/>
              <w:contextualSpacing/>
              <w:jc w:val="center"/>
              <w:rPr>
                <w:rFonts w:ascii="宋体" w:hAnsi="宋体" w:eastAsia="宋体" w:cs="宋体"/>
                <w:b/>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p>
        </w:tc>
        <w:tc>
          <w:tcPr>
            <w:tcW w:w="4275" w:type="dxa"/>
            <w:vAlign w:val="center"/>
          </w:tcPr>
          <w:p>
            <w:pPr>
              <w:autoSpaceDE w:val="0"/>
              <w:autoSpaceDN w:val="0"/>
              <w:adjustRightInd w:val="0"/>
              <w:spacing w:line="360" w:lineRule="auto"/>
              <w:contextualSpacing/>
              <w:jc w:val="center"/>
              <w:rPr>
                <w:rFonts w:ascii="宋体" w:hAnsi="宋体" w:eastAsia="宋体" w:cs="宋体"/>
                <w:bCs/>
                <w:color w:val="000000" w:themeColor="text1"/>
                <w:kern w:val="0"/>
                <w:szCs w:val="21"/>
                <w:highlight w:val="none"/>
                <w14:textFill>
                  <w14:solidFill>
                    <w14:schemeClr w14:val="tx1"/>
                  </w14:solidFill>
                </w14:textFill>
              </w:rPr>
            </w:pPr>
          </w:p>
        </w:tc>
        <w:tc>
          <w:tcPr>
            <w:tcW w:w="4478"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p>
        </w:tc>
        <w:tc>
          <w:tcPr>
            <w:tcW w:w="1080" w:type="dxa"/>
            <w:vAlign w:val="center"/>
          </w:tcPr>
          <w:p>
            <w:pPr>
              <w:autoSpaceDE w:val="0"/>
              <w:autoSpaceDN w:val="0"/>
              <w:adjustRightInd w:val="0"/>
              <w:spacing w:line="360" w:lineRule="auto"/>
              <w:ind w:left="247"/>
              <w:contextualSpacing/>
              <w:jc w:val="center"/>
              <w:rPr>
                <w:rFonts w:ascii="宋体" w:hAnsi="宋体" w:eastAsia="宋体" w:cs="宋体"/>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3</w:t>
            </w:r>
          </w:p>
        </w:tc>
        <w:tc>
          <w:tcPr>
            <w:tcW w:w="4275" w:type="dxa"/>
            <w:vAlign w:val="center"/>
          </w:tcPr>
          <w:p>
            <w:pPr>
              <w:autoSpaceDE w:val="0"/>
              <w:autoSpaceDN w:val="0"/>
              <w:adjustRightInd w:val="0"/>
              <w:spacing w:line="360" w:lineRule="auto"/>
              <w:contextualSpacing/>
              <w:jc w:val="center"/>
              <w:rPr>
                <w:rFonts w:ascii="宋体" w:hAnsi="宋体" w:eastAsia="宋体" w:cs="宋体"/>
                <w:bCs/>
                <w:color w:val="000000" w:themeColor="text1"/>
                <w:kern w:val="0"/>
                <w:szCs w:val="21"/>
                <w:highlight w:val="none"/>
                <w14:textFill>
                  <w14:solidFill>
                    <w14:schemeClr w14:val="tx1"/>
                  </w14:solidFill>
                </w14:textFill>
              </w:rPr>
            </w:pPr>
          </w:p>
        </w:tc>
        <w:tc>
          <w:tcPr>
            <w:tcW w:w="4478" w:type="dxa"/>
            <w:vAlign w:val="center"/>
          </w:tcPr>
          <w:p>
            <w:pPr>
              <w:autoSpaceDE w:val="0"/>
              <w:autoSpaceDN w:val="0"/>
              <w:adjustRightInd w:val="0"/>
              <w:spacing w:line="360" w:lineRule="auto"/>
              <w:contextualSpacing/>
              <w:jc w:val="center"/>
              <w:rPr>
                <w:rFonts w:ascii="宋体" w:hAnsi="宋体" w:eastAsia="宋体" w:cs="宋体"/>
                <w:bCs/>
                <w:color w:val="000000" w:themeColor="text1"/>
                <w:kern w:val="0"/>
                <w:szCs w:val="21"/>
                <w:highlight w:val="none"/>
                <w14:textFill>
                  <w14:solidFill>
                    <w14:schemeClr w14:val="tx1"/>
                  </w14:solidFill>
                </w14:textFill>
              </w:rPr>
            </w:pPr>
          </w:p>
        </w:tc>
        <w:tc>
          <w:tcPr>
            <w:tcW w:w="1080" w:type="dxa"/>
            <w:vAlign w:val="center"/>
          </w:tcPr>
          <w:p>
            <w:pPr>
              <w:autoSpaceDE w:val="0"/>
              <w:autoSpaceDN w:val="0"/>
              <w:adjustRightInd w:val="0"/>
              <w:spacing w:line="360" w:lineRule="auto"/>
              <w:ind w:left="247"/>
              <w:contextualSpacing/>
              <w:jc w:val="center"/>
              <w:rPr>
                <w:rFonts w:ascii="宋体" w:hAnsi="宋体" w:eastAsia="宋体" w:cs="宋体"/>
                <w:b/>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pPr>
              <w:autoSpaceDE w:val="0"/>
              <w:autoSpaceDN w:val="0"/>
              <w:adjustRightInd w:val="0"/>
              <w:spacing w:line="360" w:lineRule="auto"/>
              <w:contextualSpacing/>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4</w:t>
            </w:r>
          </w:p>
        </w:tc>
        <w:tc>
          <w:tcPr>
            <w:tcW w:w="4275" w:type="dxa"/>
            <w:vAlign w:val="center"/>
          </w:tcPr>
          <w:p>
            <w:pPr>
              <w:autoSpaceDE w:val="0"/>
              <w:autoSpaceDN w:val="0"/>
              <w:adjustRightInd w:val="0"/>
              <w:spacing w:line="360" w:lineRule="auto"/>
              <w:contextualSpacing/>
              <w:jc w:val="center"/>
              <w:rPr>
                <w:rFonts w:ascii="宋体" w:hAnsi="宋体" w:eastAsia="宋体" w:cs="宋体"/>
                <w:bCs/>
                <w:color w:val="000000" w:themeColor="text1"/>
                <w:kern w:val="0"/>
                <w:szCs w:val="21"/>
                <w:highlight w:val="none"/>
                <w14:textFill>
                  <w14:solidFill>
                    <w14:schemeClr w14:val="tx1"/>
                  </w14:solidFill>
                </w14:textFill>
              </w:rPr>
            </w:pPr>
          </w:p>
        </w:tc>
        <w:tc>
          <w:tcPr>
            <w:tcW w:w="4478" w:type="dxa"/>
            <w:vAlign w:val="center"/>
          </w:tcPr>
          <w:p>
            <w:pPr>
              <w:autoSpaceDE w:val="0"/>
              <w:autoSpaceDN w:val="0"/>
              <w:adjustRightInd w:val="0"/>
              <w:spacing w:line="360" w:lineRule="auto"/>
              <w:contextualSpacing/>
              <w:jc w:val="center"/>
              <w:rPr>
                <w:rFonts w:ascii="宋体" w:hAnsi="宋体" w:eastAsia="宋体" w:cs="宋体"/>
                <w:bCs/>
                <w:color w:val="000000" w:themeColor="text1"/>
                <w:kern w:val="0"/>
                <w:szCs w:val="21"/>
                <w:highlight w:val="none"/>
                <w14:textFill>
                  <w14:solidFill>
                    <w14:schemeClr w14:val="tx1"/>
                  </w14:solidFill>
                </w14:textFill>
              </w:rPr>
            </w:pPr>
          </w:p>
        </w:tc>
        <w:tc>
          <w:tcPr>
            <w:tcW w:w="1080" w:type="dxa"/>
            <w:vAlign w:val="center"/>
          </w:tcPr>
          <w:p>
            <w:pPr>
              <w:autoSpaceDE w:val="0"/>
              <w:autoSpaceDN w:val="0"/>
              <w:adjustRightInd w:val="0"/>
              <w:spacing w:line="360" w:lineRule="auto"/>
              <w:ind w:left="247"/>
              <w:contextualSpacing/>
              <w:jc w:val="center"/>
              <w:rPr>
                <w:rFonts w:ascii="宋体" w:hAnsi="宋体" w:eastAsia="宋体" w:cs="宋体"/>
                <w:b/>
                <w:color w:val="000000" w:themeColor="text1"/>
                <w:kern w:val="0"/>
                <w:szCs w:val="21"/>
                <w:highlight w:val="none"/>
                <w14:textFill>
                  <w14:solidFill>
                    <w14:schemeClr w14:val="tx1"/>
                  </w14:solidFill>
                </w14:textFill>
              </w:rPr>
            </w:pPr>
          </w:p>
        </w:tc>
      </w:tr>
    </w:tbl>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备注：若在服务期内，甲方办公地点发生改变，服务地址以新办公地点地址为准。</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2.4送货凭证：乙方每次送货必须出具送货清单及合法的进货单据并以此作为送货凭证，送货清单一式三份（甲方两份、乙方一份）并加盖乙方公章或送货专用章。</w:t>
      </w:r>
    </w:p>
    <w:p>
      <w:pPr>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三、验收要求</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  乙方配送的食材需符合以下要求，同时甲方会根据以下要求进行验收。</w:t>
      </w:r>
    </w:p>
    <w:p>
      <w:pPr>
        <w:autoSpaceDE w:val="0"/>
        <w:autoSpaceDN w:val="0"/>
        <w:adjustRightInd w:val="0"/>
        <w:snapToGrid w:val="0"/>
        <w:spacing w:line="360" w:lineRule="auto"/>
        <w:ind w:left="-320" w:firstLine="422"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A类（粮油干货类）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1、粮食大米类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（1）由正规厂家出厂、颜色品质纯正，米粒形均匀、整齐、重量大没有碎米和爆腰。</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（2）有清香味和光泽，无米糠和其它杂质、无虫害、无异味、无霉味，用手摸时滑爽、干燥。</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（3）符合食品卫生标准，无毒、无污染。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2、食用油类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（1）由知名正规厂家生产的植物油，非转基因类。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（2）色泽纯正，透明度好。</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3、调味品类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（1）由正规厂家生产、颜色品质纯正。</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4、干货、杂货、副食品类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（1）必须选用符合国家食品卫生法规相关标准的商品，选用无毒、无害、无污染、可溯源的食品。掺假、掺杂食品坚决不能使用。</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（2）副食品等级标准要相符，其包装盒或标签上须注明食品名称、生产厂家、厂址、生产日期、食品的主要原料成份和食品保质期等信息，注明不详或没有注明的商品不予验收。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（3）副食品表面外观新鲜、完整，无霉变异味，无砂粒杂质，无虫尸鼠粪等不洁卫生问题。</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5、米粉面粉类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（1）米粉面粉类及其制品颜色品质要纯正，不掺假、掺杂。</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（2）符合食品卫生标准，粉质细腻干爽无异物、无毒、无污染。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（3）制成品不能出现异味、霉变结块、虫尸鼠粪等不洁的卫生问题。</w:t>
      </w:r>
    </w:p>
    <w:p>
      <w:pPr>
        <w:autoSpaceDE w:val="0"/>
        <w:autoSpaceDN w:val="0"/>
        <w:adjustRightInd w:val="0"/>
        <w:snapToGrid w:val="0"/>
        <w:spacing w:line="360" w:lineRule="auto"/>
        <w:ind w:left="-320" w:firstLine="420" w:firstLineChars="200"/>
        <w:contextualSpacing/>
        <w:jc w:val="left"/>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上述货品必须符合国家食品卫生法规相关标准，符合甲方使用要求，货品必须保证有三分之二以上保质期（如货品有保质期）。</w:t>
      </w:r>
    </w:p>
    <w:p>
      <w:pPr>
        <w:autoSpaceDE w:val="0"/>
        <w:autoSpaceDN w:val="0"/>
        <w:adjustRightInd w:val="0"/>
        <w:snapToGrid w:val="0"/>
        <w:spacing w:line="360" w:lineRule="auto"/>
        <w:ind w:left="-320" w:firstLine="422" w:firstLineChars="200"/>
        <w:contextualSpacing/>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B类（肉类）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1、猪肉类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（1）具有当天卫生监督部门发放的“动物检疫合格证明”，肉体印有检疫章。</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（2）表皮干爽、肌体结实、肉质紧密、肉色淡红新鲜，肥肉洁白而细腻。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（3）外观检测无异味、无寄生虫、无粘液、无渗出液体、指压反弹迅速、具有猪肉自然气味。</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（4）运输设备具备恒温保鲜（5℃度），存放容器保持清洁卫生，包装合理且材料无污染。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2、牛肉类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（1）具有当天卫生监督部门发放的“动物检疫合格证明”，外观检测新鲜肉质柔软有光泽、无腐臭变质异味、无寄生虫、无粘液、无渗出液体。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（2）牛肉色泽棕红，脂肪呈淡黄色或深黄色，肉质坚硬，弹性足。</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（3）运输设备具备恒温保鲜（5℃度），存放容器保持清洁卫生，包装合理且材料无污染。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3、羊肉类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（1）具有当天卫生监督部门发放的“动物检疫合格证明”。</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（2）羊肉色泽暗红，纤维细而软，肌间少脂肪。</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（3）运输设备具备恒温保鲜（5℃度），存放容器保持清洁卫生，包装合理且材料无污染。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4、水产品类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（1）必须鲜活。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（2）鲜鱼鳞片完整，有光泽无脱落，鳃口紧闭，眼球光亮透明，鱼鳃鲜红，鳍尾完整，确保新鲜。</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（3）身体饱满结实，无腐烂异味，肉质紧密有弹性，无离骨脱刺现象。</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（4）来源可靠放心，无毒、无害、无污染。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5、三鸟类（已经屠杀完成）</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（1）具有当天卫生监督部门发放的“动物检疫合格证明”。</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（2）肉质新鲜柔软有光泽，质地紧密，脂肪呈白色或淡黄色，肉质细腻、无腐烂异味， 肉体结实，内脏清掏干净，肉质弹性足无明显渗出液体，总体无粘液。</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（3）运输设备具备恒温保鲜（5℃度），存放容器保持清洁卫生，包装合理，来源可靠放心，无毒、无害、无污染。</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6、零星冻品、加工副食品类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（1）必须选用符合国家食品卫生法规相关标准的商品，选用无毒、无害、无污染、可溯源的副食品。掺假、掺杂副食品坚决不能使用。</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（3）冻肉类产品中间不能有过多冰块，重量必须和包装箱上标明的重量一致。</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（4）奶制品色泽乳白，口味鲜香，包装完整，无破损，验收每批在保质期二分之一以上，符合国家规定的质量卫生标准。</w:t>
      </w:r>
    </w:p>
    <w:p>
      <w:pPr>
        <w:autoSpaceDE w:val="0"/>
        <w:autoSpaceDN w:val="0"/>
        <w:adjustRightInd w:val="0"/>
        <w:snapToGrid w:val="0"/>
        <w:spacing w:line="360" w:lineRule="auto"/>
        <w:ind w:left="-320" w:firstLine="422" w:firstLineChars="200"/>
        <w:contextualSpacing/>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C类：蔬果类</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（1）应保持较好的色泽和新鲜度。</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（2）符合国家食品卫生标准，蔬菜不得有黄叶；不得腐烂和泥沙等现象。</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（3）无公害、农药残留不得超标，提供农药残留检测证明。</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 乙方必须履行招标文件要求的所有承诺内容，如乙方投标文件承诺标准高于招标文件要求的，乙方应按其投标承诺内容履行义务，甲方在合同有效期内定期对乙方进行评估考核。</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 经验收不符合《用户需求书》以及甲方要求的，甲方有权拒绝收货、要求退货或换货，乙方应及时将相应货物自行运回，并在甲方指定期限内重新提供相应食材，由此产生的费用由乙方承担。</w:t>
      </w:r>
    </w:p>
    <w:p>
      <w:pPr>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四、合同期限</w:t>
      </w:r>
    </w:p>
    <w:p>
      <w:pPr>
        <w:autoSpaceDE w:val="0"/>
        <w:autoSpaceDN w:val="0"/>
        <w:adjustRightIn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服务期限：自合同签订之日起一年。服务期限满后，双方经友好协商一致之后，可在保持原合同约定条款的情况下，签订补充协议延长服务资格期限，延长的服务资格期限原则上不超过三个月。乙方须与东莞市水务集团有限公司、</w:t>
      </w:r>
      <w:r>
        <w:rPr>
          <w:rFonts w:hint="eastAsia" w:ascii="宋体" w:hAnsi="宋体" w:eastAsia="宋体" w:cs="宋体"/>
          <w:color w:val="000000" w:themeColor="text1"/>
          <w:kern w:val="0"/>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kern w:val="0"/>
          <w:szCs w:val="21"/>
          <w:highlight w:val="none"/>
          <w14:textFill>
            <w14:solidFill>
              <w14:schemeClr w14:val="tx1"/>
            </w14:solidFill>
          </w14:textFill>
        </w:rPr>
        <w:t>东莞市水务集团科技发展有限公司、东莞市水务集团供水有限公司长安分公司签定农副产品食品材料配送合同，甲方不确保乙方农副产品、主副食品、其他食品材料实际产生配送量，每月份按实际产生量结算。</w:t>
      </w:r>
    </w:p>
    <w:p>
      <w:pPr>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五、合同价格</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w:t>
      </w:r>
      <w:r>
        <w:rPr>
          <w:rFonts w:hint="eastAsia" w:ascii="宋体" w:hAnsi="宋体" w:eastAsia="宋体" w:cs="宋体"/>
          <w:b/>
          <w:color w:val="000000" w:themeColor="text1"/>
          <w:kern w:val="0"/>
          <w:szCs w:val="21"/>
          <w:highlight w:val="none"/>
          <w14:textFill>
            <w14:solidFill>
              <w14:schemeClr w14:val="tx1"/>
            </w14:solidFill>
          </w14:textFill>
        </w:rPr>
        <w:t>定价原则</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5.1.1原则上以东莞市发展和改革局（</w:t>
      </w:r>
      <w:r>
        <w:rPr>
          <w:rFonts w:hint="eastAsia" w:ascii="宋体" w:hAnsi="宋体" w:eastAsia="宋体" w:cs="Times New Roman"/>
          <w:color w:val="000000" w:themeColor="text1"/>
          <w:szCs w:val="21"/>
          <w:highlight w:val="none"/>
          <w14:textFill>
            <w14:solidFill>
              <w14:schemeClr w14:val="tx1"/>
            </w14:solidFill>
          </w14:textFill>
        </w:rPr>
        <w:t>http://dgdp.dg.gov.cn/jggl/spjg/，</w:t>
      </w:r>
      <w:r>
        <w:rPr>
          <w:rFonts w:hint="eastAsia" w:ascii="宋体" w:hAnsi="宋体" w:eastAsia="宋体" w:cs="Times New Roman"/>
          <w:color w:val="000000" w:themeColor="text1"/>
          <w:szCs w:val="21"/>
          <w:highlight w:val="none"/>
          <w:lang w:val="zh-CN"/>
          <w14:textFill>
            <w14:solidFill>
              <w14:schemeClr w14:val="tx1"/>
            </w14:solidFill>
          </w14:textFill>
        </w:rPr>
        <w:t>网址仅供参考</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具体以东莞市发展和改革局官方网址发布的为准</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东莞市菜篮子价格监测表</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当月份最新公布本期</w:t>
      </w:r>
      <w:r>
        <w:rPr>
          <w:rFonts w:hint="eastAsia" w:hAnsi="宋体" w:eastAsia="宋体" w:cs="宋体"/>
          <w:color w:val="000000" w:themeColor="text1"/>
          <w:szCs w:val="21"/>
          <w:highlight w:val="none"/>
          <w14:textFill>
            <w14:solidFill>
              <w14:schemeClr w14:val="tx1"/>
            </w14:solidFill>
          </w14:textFill>
        </w:rPr>
        <w:t>（指甲方审批之日的最新期次）价格</w:t>
      </w:r>
      <w:r>
        <w:rPr>
          <w:rFonts w:hint="eastAsia" w:ascii="宋体" w:hAnsi="宋体" w:eastAsia="宋体" w:cs="宋体"/>
          <w:color w:val="000000" w:themeColor="text1"/>
          <w:kern w:val="0"/>
          <w:szCs w:val="21"/>
          <w:highlight w:val="none"/>
          <w14:textFill>
            <w14:solidFill>
              <w14:schemeClr w14:val="tx1"/>
            </w14:solidFill>
          </w14:textFill>
        </w:rPr>
        <w:t>作为基准价抽样审核；若东莞物价专栏无最近当月份公布或</w:t>
      </w:r>
      <w:r>
        <w:rPr>
          <w:rFonts w:hint="eastAsia"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kern w:val="0"/>
          <w:szCs w:val="21"/>
          <w:highlight w:val="none"/>
          <w14:textFill>
            <w14:solidFill>
              <w14:schemeClr w14:val="tx1"/>
            </w14:solidFill>
          </w14:textFill>
        </w:rPr>
        <w:t>所需的相同品种，则甲方将对本市区农副产品市场（莞城细村农贸市场或新光明市场或长安沙头综合市场）的市场零售价（与</w:t>
      </w:r>
      <w:r>
        <w:rPr>
          <w:rFonts w:ascii="宋体" w:hAnsi="宋体" w:eastAsia="宋体" w:cs="宋体"/>
          <w:color w:val="000000" w:themeColor="text1"/>
          <w:kern w:val="0"/>
          <w:szCs w:val="21"/>
          <w:highlight w:val="none"/>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供货产品等级、质量相近的产品零售价）进行抽样调查，核定相同品种的市场零售价格作基准价。</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5.1.2临时委托采购：乙方必须按照甲方急需餐料物资品种、数量、送货时间、地点等在2小时内进行供货，若急需餐料物资不在供货物资清单表上，该项临时需求食品材料纳入下次供货清单内，并按上述定价原则确定供货价。</w:t>
      </w:r>
    </w:p>
    <w:p>
      <w:pPr>
        <w:widowControl/>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5.1.3食材定价为综合单价，包括货物的采购费、运至合同指定地点的运输费、装卸费、检验费、储存费、</w:t>
      </w:r>
      <w:r>
        <w:rPr>
          <w:rFonts w:hint="eastAsia" w:ascii="宋体" w:hAnsi="宋体" w:eastAsia="宋体" w:cs="宋体"/>
          <w:color w:val="000000" w:themeColor="text1"/>
          <w:kern w:val="0"/>
          <w:szCs w:val="21"/>
          <w:highlight w:val="none"/>
          <w:lang w:val="zh-CN"/>
          <w14:textFill>
            <w14:solidFill>
              <w14:schemeClr w14:val="tx1"/>
            </w14:solidFill>
          </w14:textFill>
        </w:rPr>
        <w:t>合理利润、</w:t>
      </w:r>
      <w:r>
        <w:rPr>
          <w:rFonts w:hint="eastAsia" w:ascii="宋体" w:hAnsi="宋体" w:eastAsia="宋体" w:cs="宋体"/>
          <w:color w:val="000000" w:themeColor="text1"/>
          <w:kern w:val="0"/>
          <w:szCs w:val="21"/>
          <w:highlight w:val="none"/>
          <w14:textFill>
            <w14:solidFill>
              <w14:schemeClr w14:val="tx1"/>
            </w14:solidFill>
          </w14:textFill>
        </w:rPr>
        <w:t>保险费、中标服务费及招标文件所要求的相关服务等全过程产生的成本和费用以及税费，并由乙方承担送货途中的风险，货物未被甲方签收前发生的毁损、灭失等风险均由乙方自行承担。</w:t>
      </w:r>
    </w:p>
    <w:p>
      <w:pPr>
        <w:adjustRightInd w:val="0"/>
        <w:spacing w:line="360" w:lineRule="auto"/>
        <w:ind w:left="-320" w:firstLine="422"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5.2定价周期</w:t>
      </w:r>
    </w:p>
    <w:p>
      <w:pPr>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食品材料供货价格为浮动价格，A类（粮油干货类）、 B类（肉类）、 C类（蔬果类、其他类项）价格每半月更新一次，乙方每月12日前提交下半月报价给甲方审核，每月25日前提交下个月上半月报价给甲方审核。</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5.3价格调整</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核定价格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 个工作日内给予函复，若在此期限内不予函复则以新定价格执行，除此之外，双方约定的供货物资价格在有效期内任何一方不得随意更改。</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六、支付方式</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6.1本合同生效后15日内，乙方按本合同第十条第</w:t>
      </w:r>
      <w:r>
        <w:rPr>
          <w:rFonts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.7款要求购买食品安全责任险后，乙方按甲方的每次订单提交货物，由甲方收货验收并签字确认，并由甲方按月支付给乙方。</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双方于每月10日（节假日顺延）对账核算上月采购货物明细，核对无误后，结算款项。乙方向甲方提交请款报告并根据甲方需求，按照应支付结算款项开具对应金额的合法有效的增值税普通发票，开票信息如下：</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户名： </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纳税人识别号：</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开户行： </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地址： </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于收到发票后15个工作日内向乙方一次性支付结算款项。乙方迟延提供发票或提供的发票不合格，甲方的付款时间可相应顺延，且不视为违约。由于乙方提供的发票不符合税法规定，给甲方造成的损失由乙方承担赔偿责任。</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6.3乙方的指定收款账户信息如下： </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账户名称：</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开户行：</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账号：</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七、履约担保</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7.1乙方应当根据招标文件的规定在签订本合同前向甲方提供履约担保，履约担保形式及金额由乙方从以下方式中任选一种：</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履约保证金（银行转账形式）金额为¥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（大写：人民币</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元整）；</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银行不可撤销履约保函金额为¥</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（大写：人民币</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元整）；</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担保公司履约担保书金额为¥</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（大写：人民币</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元整）；</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履约保证保险</w:t>
      </w:r>
      <w:r>
        <w:rPr>
          <w:rFonts w:hint="eastAsia" w:ascii="宋体" w:hAnsi="宋体" w:eastAsia="宋体" w:cs="宋体"/>
          <w:color w:val="000000" w:themeColor="text1"/>
          <w:kern w:val="0"/>
          <w:szCs w:val="21"/>
          <w:highlight w:val="none"/>
          <w14:textFill>
            <w14:solidFill>
              <w14:schemeClr w14:val="tx1"/>
            </w14:solidFill>
          </w14:textFill>
        </w:rPr>
        <w:t>金额为¥         （大写：人民币         元整）</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7.2履约担保用于补偿甲方因乙方不能完全履行其合同义务而蒙受的损失，如发生下列任一情况时，甲方除有权依合同追究乙方违约责任外，并按下列情况进行相应处理：</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7.2.1乙方将合同项下的权利义务全部转让给第三方，或未经甲方书面同意将部分权利义务转让给第三方的，甲方有权没收其履约担保。</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7.2.2在合同履行期间，乙方怠于履行合同义务，经甲方通知或要求</w:t>
      </w:r>
      <w:r>
        <w:rPr>
          <w:rFonts w:hint="eastAsia" w:ascii="宋体" w:hAnsi="宋体" w:eastAsia="宋体" w:cs="Times New Roman"/>
          <w:color w:val="000000" w:themeColor="text1"/>
          <w:kern w:val="0"/>
          <w:szCs w:val="21"/>
          <w:highlight w:val="none"/>
          <w14:textFill>
            <w14:solidFill>
              <w14:schemeClr w14:val="tx1"/>
            </w14:solidFill>
          </w14:textFill>
        </w:rPr>
        <w:t>承担违约金</w:t>
      </w:r>
      <w:r>
        <w:rPr>
          <w:rFonts w:hint="eastAsia" w:ascii="宋体" w:hAnsi="宋体" w:eastAsia="宋体" w:cs="宋体"/>
          <w:color w:val="000000" w:themeColor="text1"/>
          <w:kern w:val="0"/>
          <w:szCs w:val="21"/>
          <w:highlight w:val="none"/>
          <w14:textFill>
            <w14:solidFill>
              <w14:schemeClr w14:val="tx1"/>
            </w14:solidFill>
          </w14:textFill>
        </w:rPr>
        <w:t>后仍拒不改正的，甲方可依法没收或适当扣除其履约担保。</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7.2.3在合同履行期间，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使用履约担保予以支付或作出相应处理，由此产生的法律后果由乙方承担。</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7.2.4</w:t>
      </w:r>
      <w:r>
        <w:rPr>
          <w:rFonts w:ascii="宋体" w:hAnsi="宋体" w:eastAsia="宋体" w:cs="Times New Roman"/>
          <w:color w:val="000000" w:themeColor="text1"/>
          <w:kern w:val="0"/>
          <w:szCs w:val="21"/>
          <w:highlight w:val="none"/>
          <w14:textFill>
            <w14:solidFill>
              <w14:schemeClr w14:val="tx1"/>
            </w14:solidFill>
          </w14:textFill>
        </w:rPr>
        <w:t>在合同履行期间，</w:t>
      </w:r>
      <w:r>
        <w:rPr>
          <w:rFonts w:hint="eastAsia" w:ascii="宋体" w:hAnsi="宋体" w:eastAsia="宋体" w:cs="宋体"/>
          <w:color w:val="000000" w:themeColor="text1"/>
          <w:kern w:val="0"/>
          <w:szCs w:val="21"/>
          <w:highlight w:val="none"/>
          <w14:textFill>
            <w14:solidFill>
              <w14:schemeClr w14:val="tx1"/>
            </w14:solidFill>
          </w14:textFill>
        </w:rPr>
        <w:t>乙方</w:t>
      </w:r>
      <w:r>
        <w:rPr>
          <w:rFonts w:ascii="宋体" w:hAnsi="宋体" w:eastAsia="宋体" w:cs="Times New Roman"/>
          <w:color w:val="000000" w:themeColor="text1"/>
          <w:kern w:val="0"/>
          <w:szCs w:val="21"/>
          <w:highlight w:val="none"/>
          <w14:textFill>
            <w14:solidFill>
              <w14:schemeClr w14:val="tx1"/>
            </w14:solidFill>
          </w14:textFill>
        </w:rPr>
        <w:t>违约产生的违约金、赔偿、罚款或其他应付费用等款项，</w:t>
      </w:r>
      <w:r>
        <w:rPr>
          <w:rFonts w:hint="eastAsia" w:ascii="宋体" w:hAnsi="宋体" w:eastAsia="宋体" w:cs="Times New Roman"/>
          <w:color w:val="000000" w:themeColor="text1"/>
          <w:kern w:val="0"/>
          <w:szCs w:val="21"/>
          <w:highlight w:val="none"/>
          <w14:textFill>
            <w14:solidFill>
              <w14:schemeClr w14:val="tx1"/>
            </w14:solidFill>
          </w14:textFill>
        </w:rPr>
        <w:t>甲方</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7.2.5合同期内，乙方不能及时完成合同某项义务的，甲方有权使用履约担保用于处理该项工作。</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7.2.6其他根据本合同约定或法律规定，甲方可</w:t>
      </w:r>
      <w:r>
        <w:rPr>
          <w:rFonts w:ascii="宋体" w:hAnsi="宋体" w:eastAsia="宋体" w:cs="Times New Roman"/>
          <w:color w:val="000000" w:themeColor="text1"/>
          <w:kern w:val="0"/>
          <w:szCs w:val="21"/>
          <w:highlight w:val="none"/>
          <w14:textFill>
            <w14:solidFill>
              <w14:schemeClr w14:val="tx1"/>
            </w14:solidFill>
          </w14:textFill>
        </w:rPr>
        <w:t>启用</w:t>
      </w:r>
      <w:r>
        <w:rPr>
          <w:rFonts w:hint="eastAsia" w:ascii="宋体" w:hAnsi="宋体" w:eastAsia="宋体" w:cs="宋体"/>
          <w:color w:val="000000" w:themeColor="text1"/>
          <w:kern w:val="0"/>
          <w:szCs w:val="21"/>
          <w:highlight w:val="none"/>
          <w14:textFill>
            <w14:solidFill>
              <w14:schemeClr w14:val="tx1"/>
            </w14:solidFill>
          </w14:textFill>
        </w:rPr>
        <w:t>履约担保的情形。</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7.3在乙方完成本合同下全部义务，且在合同期限届满并完成全部供货及相关服务义务后二十八（28）日内，甲方将履约担保余额无息退还乙方。</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7.4如乙方提供银行不可撤销履约保函或担保公司履约担保书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作为履约担保的，银行不可撤销履约保函或担保公司履约担保书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应从合同签订之日起至合同期限届满并完成全部供货及相关服务义务后二十八（28）日内保持有效。如银行不可撤销履约保函或担保公司履约担保书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在规定有效期届满时而货物尚未全部最终验收合格的，乙方必须在银行不可撤销履约保函或担保公司履约担保书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到期15日前无条件办理办妥符合甲方要求的延期手续或重新提供银行不可撤销履约保函或重新提供担保公司履约担保书或重新提供</w:t>
      </w:r>
      <w:r>
        <w:rPr>
          <w:rFonts w:hint="eastAsia" w:ascii="宋体" w:hAnsi="宋体" w:eastAsia="宋体" w:cs="Times New Roman"/>
          <w:color w:val="000000" w:themeColor="text1"/>
          <w:kern w:val="0"/>
          <w:szCs w:val="21"/>
          <w:highlight w:val="none"/>
          <w14:textFill>
            <w14:solidFill>
              <w14:schemeClr w14:val="tx1"/>
            </w14:solidFill>
          </w14:textFill>
        </w:rPr>
        <w:t>履约保证保险</w:t>
      </w:r>
      <w:r>
        <w:rPr>
          <w:rFonts w:hint="eastAsia" w:ascii="宋体" w:hAnsi="宋体" w:eastAsia="宋体" w:cs="宋体"/>
          <w:color w:val="000000" w:themeColor="text1"/>
          <w:kern w:val="0"/>
          <w:szCs w:val="21"/>
          <w:highlight w:val="none"/>
          <w14:textFill>
            <w14:solidFill>
              <w14:schemeClr w14:val="tx1"/>
            </w14:solidFill>
          </w14:textFill>
        </w:rPr>
        <w:t>；否则视为乙方违约，甲方有权在银行不可撤销履约保函或担保公司履约担保书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到期前向出具履约担保的机构提取履约保证金。在银行不可撤销履约保函或担保公司履约担保书</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1"/>
          <w:highlight w:val="none"/>
          <w14:textFill>
            <w14:solidFill>
              <w14:schemeClr w14:val="tx1"/>
            </w14:solidFill>
          </w14:textFill>
        </w:rPr>
        <w:t>到期后乙方未按甲方要求重新提供的，甲方有权要求乙方以履约担保金额为限承担违约金</w:t>
      </w:r>
      <w:r>
        <w:rPr>
          <w:rFonts w:hint="eastAsia" w:ascii="宋体" w:hAnsi="宋体" w:eastAsia="宋体" w:cs="Times New Roman"/>
          <w:color w:val="000000" w:themeColor="text1"/>
          <w:kern w:val="0"/>
          <w:szCs w:val="21"/>
          <w:highlight w:val="none"/>
          <w14:textFill>
            <w14:solidFill>
              <w14:schemeClr w14:val="tx1"/>
            </w14:solidFill>
          </w14:textFill>
        </w:rPr>
        <w:t>，违约金可直接从未付采购合同费用中扣除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000000" w:themeColor="text1"/>
          <w:kern w:val="0"/>
          <w:szCs w:val="21"/>
          <w:highlight w:val="none"/>
          <w14:textFill>
            <w14:solidFill>
              <w14:schemeClr w14:val="tx1"/>
            </w14:solidFill>
          </w14:textFill>
        </w:rPr>
        <w:t>，违约金可直接从未付合同款或履约担保中扣除</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八、考核管理</w:t>
      </w:r>
    </w:p>
    <w:p>
      <w:pPr>
        <w:autoSpaceDE w:val="0"/>
        <w:autoSpaceDN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每月安排相关人员对乙方进行服务质量跟踪，两个月为一个考核期，并填写“XX公司食堂配送服务考核评分表”（附件1），考核成绩较差（低于80分）时由甲方下达整改意见书，以确保乙方的服务质量能满足甲方要求；如连续两次接收整改意见书仍未符合整改要求，甲方将有权单方解除相关配送合同，并没收履约担保，同时乙方应当承担违约责任。</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九、甲方的权利和义务</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9.1甲方应按合同条款的有关规定向乙方支付货款。</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9.2甲方安排相关人员配合乙方做好订货、收货、验货、结算等工作。</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9.3甲方有权对乙方供货质量、配送时间、服务态度等方面出现误差建立档案记录。</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乙方因供货物资质量问题导致甲方发生食品、安全事故，经市（区）级卫生防疫部门鉴定属乙方责任，甲方有权单方终止合同，乙方应承担事故相关的一切赔偿责任，并承担违约责任以及为鉴定质量所支出的一切费用。</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9.5在日常供货过程中，因乙方工作出现失误等原因而影响甲方生产或食堂供餐的正常运作，经甲方2次告知仍不整改或整改不到位的，甲方有权单方终止合同，没收乙方履约担保，并选择其他供货商的权利。</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9.6本项目确定的乙方与甲方签订农副产品食品材料配送合同，甲方不确保乙方农副产品、主副食品、其他食品材料实际产生配送量，每月份按实际产生量结算。</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9.7甲方有权要求乙方提供以往交易记录。</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十、乙方的权利和义务</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10.1乙方须按甲方订货内容按时按质按量配送到达约定地点。乙方每次送货应有相应的送货清单（盖有乙方的有效公章），且必须时提供合法的进货单据。</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10.2甲方对乙方供货质量、配送时间、服务态度等方面出现误差建立档案记录，乙方人员应予以签名确认。</w:t>
      </w:r>
    </w:p>
    <w:p>
      <w:pPr>
        <w:adjustRightInd w:val="0"/>
        <w:spacing w:line="360" w:lineRule="auto"/>
        <w:ind w:left="-320" w:firstLine="422" w:firstLineChars="20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10.3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提供假冒伪劣商品，甲方保留追究乙方法律责任的权利。</w:t>
      </w:r>
    </w:p>
    <w:p>
      <w:pPr>
        <w:autoSpaceDE w:val="0"/>
        <w:autoSpaceDN w:val="0"/>
        <w:adjustRightInd w:val="0"/>
        <w:snapToGrid w:val="0"/>
        <w:spacing w:line="360" w:lineRule="auto"/>
        <w:ind w:left="-320" w:firstLine="420" w:firstLineChars="200"/>
        <w:contextualSpacing/>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10.4乙方应按照国家《餐饮服务食品安全监督管理办法》相关规定，按时段或批次向甲方提交卫生防疫合格证明或产品检验合格证明，并保证所提供餐料商品的卫生防疫合格证或产品检验合格证均是真实有效。其中A类食品材料根据甲方要求定期提供有效检验合格报告；B类、C类食品要提交所有相关检验、检测证明报告。凡国家有明文规定的必须提供产品检验报告交食堂存档，符合国家溯源制度规定。</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10.5乙方配送食品材料车辆应符合卫生防疫技术标准或要求，食品材料应分类储运或独立包装，确保在运输途中不受污染。</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10.6乙方应配合甲方做好食品材料供应溯源工作，乙方有义务对提供给甲方的食品材料来源信息予以存档、备查、生产厂可溯源。</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10.7乙方须为甲方就A类（粮油干货类），B类（肉类）及C类（蔬果类）货品免费提供一份以甲方为受益人、额度为￥       万元的保险（食品安全责任险），</w:t>
      </w:r>
      <w:r>
        <w:rPr>
          <w:rFonts w:hint="eastAsia" w:ascii="宋体" w:hAnsi="宋体" w:eastAsia="宋体" w:cs="宋体"/>
          <w:color w:val="000000" w:themeColor="text1"/>
          <w:szCs w:val="21"/>
          <w:highlight w:val="none"/>
          <w14:textFill>
            <w14:solidFill>
              <w14:schemeClr w14:val="tx1"/>
            </w14:solidFill>
          </w14:textFill>
        </w:rPr>
        <w:t>各受益人均享有同等受益权，</w:t>
      </w:r>
      <w:r>
        <w:rPr>
          <w:rFonts w:hint="eastAsia" w:ascii="宋体" w:hAnsi="宋体" w:eastAsia="宋体" w:cs="宋体"/>
          <w:color w:val="000000" w:themeColor="text1"/>
          <w:kern w:val="0"/>
          <w:szCs w:val="21"/>
          <w:highlight w:val="none"/>
          <w14:textFill>
            <w14:solidFill>
              <w14:schemeClr w14:val="tx1"/>
            </w14:solidFill>
          </w14:textFill>
        </w:rPr>
        <w:t>上述保险承保期限不短于配送时间一年，</w:t>
      </w:r>
      <w:r>
        <w:rPr>
          <w:rFonts w:hint="eastAsia" w:ascii="宋体" w:hAnsi="宋体" w:eastAsia="宋体" w:cs="宋体"/>
          <w:color w:val="000000" w:themeColor="text1"/>
          <w:szCs w:val="21"/>
          <w:highlight w:val="none"/>
          <w14:textFill>
            <w14:solidFill>
              <w14:schemeClr w14:val="tx1"/>
            </w14:solidFill>
          </w14:textFill>
        </w:rPr>
        <w:t>如配送服务合同延期，保险承保期需同步延期。</w:t>
      </w:r>
      <w:r>
        <w:rPr>
          <w:rFonts w:hint="eastAsia" w:ascii="宋体" w:hAnsi="宋体" w:eastAsia="宋体" w:cs="宋体"/>
          <w:color w:val="000000" w:themeColor="text1"/>
          <w:kern w:val="0"/>
          <w:szCs w:val="21"/>
          <w:highlight w:val="none"/>
          <w14:textFill>
            <w14:solidFill>
              <w14:schemeClr w14:val="tx1"/>
            </w14:solidFill>
          </w14:textFill>
        </w:rPr>
        <w:t>若因乙方原因造成甲方人员食物中毒等事故而索赔并超出相应保险赔偿额度，超出部分由乙方负责承担。</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10.8乙方进入甲方范围内必须遵守甲方有关规定，不得影响甲方的正常工作，由于乙方的过失造成甲方直接经济损失的，乙方应承担全部责任及赔偿甲方的一切损失。</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10.9乙方须有固定分割肉加工场所，具备空调作业环境，配套设备设施齐全，有相应加工作业流程及相关管理制度。</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10.10</w:t>
      </w:r>
      <w:r>
        <w:rPr>
          <w:rFonts w:hint="eastAsia" w:ascii="宋体" w:hAnsi="宋体" w:eastAsia="宋体" w:cs="宋体"/>
          <w:color w:val="000000" w:themeColor="text1"/>
          <w:kern w:val="0"/>
          <w:szCs w:val="21"/>
          <w:highlight w:val="none"/>
          <w:lang w:val="zh-CN"/>
          <w14:textFill>
            <w14:solidFill>
              <w14:schemeClr w14:val="tx1"/>
            </w14:solidFill>
          </w14:textFill>
        </w:rPr>
        <w:t>甲方如有临时决定的加餐，需要临时增加采购的，乙方应及时全力配合，并在甲方要求的期限内送达。</w:t>
      </w:r>
    </w:p>
    <w:p>
      <w:pPr>
        <w:autoSpaceDE w:val="0"/>
        <w:autoSpaceDN w:val="0"/>
        <w:adjustRightInd w:val="0"/>
        <w:spacing w:line="360" w:lineRule="auto"/>
        <w:ind w:left="-320" w:firstLine="420" w:firstLineChars="200"/>
        <w:jc w:val="left"/>
        <w:rPr>
          <w:rFonts w:ascii="宋体" w:hAnsi="Times New Roman" w:eastAsia="宋体" w:cs="Times New Roman"/>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ascii="宋体" w:hAnsi="宋体" w:eastAsia="宋体" w:cs="宋体"/>
          <w:color w:val="000000" w:themeColor="text1"/>
          <w:kern w:val="0"/>
          <w:szCs w:val="21"/>
          <w:highlight w:val="none"/>
          <w14:textFill>
            <w14:solidFill>
              <w14:schemeClr w14:val="tx1"/>
            </w14:solidFill>
          </w14:textFill>
        </w:rPr>
        <w:t>0.1</w:t>
      </w:r>
      <w:r>
        <w:rPr>
          <w:rFonts w:hint="eastAsia" w:ascii="宋体" w:hAnsi="宋体" w:eastAsia="宋体" w:cs="宋体"/>
          <w:color w:val="000000" w:themeColor="text1"/>
          <w:kern w:val="0"/>
          <w:szCs w:val="21"/>
          <w:highlight w:val="none"/>
          <w14:textFill>
            <w14:solidFill>
              <w14:schemeClr w14:val="tx1"/>
            </w14:solidFill>
          </w14:textFill>
        </w:rPr>
        <w:t xml:space="preserve">1乙方如需更换配送场所、食品冷藏冷冻库，需征得甲方书面同意，否则视为乙方违约。乙方配送场所地点：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，面积：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平方米；食品冷藏冷冻库地点：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，面积：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平方米。</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十一、保密条款</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十二、违约处理</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如果甲方或乙方违反本合同条款，守约方可向违约方提出书面通知，违约方接到通知须在5个工作日内给予书面回复，回复内容应包含承诺的整改或补救措施内容，并立即落实执行。如果守约方向违约方发出书面通知10个工作日后，违约方不予回复或没有补救措施，守约方可以终止本合同执行，要求赔偿损失，并支付累计已结算货款的10%的违约金。</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乙方人员进入甲方管辖区域、工作范围，必须遵守甲方有关管理规章制度，未经许可不得自行操控甲方设备、设施以及影响甲方的生产和正常工作，若造成甲方事故或经济损失，乙方须负全部法律责任或赔偿甲方经济损失，并处予扣除全部履约担保。</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合同在有效期内，因乙方提供食品材料质量问题造成甲方人员食物中毒事故，经市（或区）级卫生防疫部门鉴定属乙方责任的，或虽未造成中毒事故但给甲方造成经济损失的，乙方须承担全部法律责任并赔偿甲方全部经济损失（包括直接和间接经济损失），甲方有权单方终止本合同执行，并没收乙方全部履约担保。</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w:t>
      </w:r>
      <w:r>
        <w:rPr>
          <w:rFonts w:hint="eastAsia" w:ascii="宋体" w:hAnsi="宋体" w:eastAsia="宋体" w:cs="宋体"/>
          <w:color w:val="000000" w:themeColor="text1"/>
          <w:kern w:val="0"/>
          <w:szCs w:val="21"/>
          <w:highlight w:val="none"/>
          <w:lang w:val="zh-CN"/>
          <w14:textFill>
            <w14:solidFill>
              <w14:schemeClr w14:val="tx1"/>
            </w14:solidFill>
          </w14:textFill>
        </w:rPr>
        <w:t>若送货时间超过合同规定30分钟以上，甲方有权要求乙方支付当天订购货款总额5%的违约金。如果超时一个小时以上，甲方</w:t>
      </w:r>
      <w:r>
        <w:rPr>
          <w:rFonts w:hint="eastAsia" w:ascii="宋体" w:hAnsi="宋体" w:eastAsia="宋体" w:cs="宋体"/>
          <w:color w:val="000000" w:themeColor="text1"/>
          <w:kern w:val="0"/>
          <w:szCs w:val="21"/>
          <w:highlight w:val="none"/>
          <w14:textFill>
            <w14:solidFill>
              <w14:schemeClr w14:val="tx1"/>
            </w14:solidFill>
          </w14:textFill>
        </w:rPr>
        <w:t>有权</w:t>
      </w:r>
      <w:r>
        <w:rPr>
          <w:rFonts w:hint="eastAsia" w:ascii="宋体" w:hAnsi="宋体" w:eastAsia="宋体" w:cs="宋体"/>
          <w:color w:val="000000" w:themeColor="text1"/>
          <w:kern w:val="0"/>
          <w:szCs w:val="21"/>
          <w:highlight w:val="none"/>
          <w:lang w:val="zh-CN"/>
          <w14:textFill>
            <w14:solidFill>
              <w14:schemeClr w14:val="tx1"/>
            </w14:solidFill>
          </w14:textFill>
        </w:rPr>
        <w:t>自行采购并拒收乙方货物</w:t>
      </w:r>
      <w:r>
        <w:rPr>
          <w:rFonts w:hint="eastAsia" w:ascii="宋体" w:hAnsi="宋体" w:eastAsia="宋体" w:cs="宋体"/>
          <w:color w:val="000000" w:themeColor="text1"/>
          <w:kern w:val="0"/>
          <w:szCs w:val="21"/>
          <w:highlight w:val="none"/>
          <w14:textFill>
            <w14:solidFill>
              <w14:schemeClr w14:val="tx1"/>
            </w14:solidFill>
          </w14:textFill>
        </w:rPr>
        <w:t>及拒绝支付当日货款</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并对乙方处1000元罚款，于当月货款中扣除。</w:t>
      </w:r>
      <w:r>
        <w:rPr>
          <w:rFonts w:hint="eastAsia" w:ascii="宋体" w:hAnsi="宋体" w:eastAsia="宋体" w:cs="宋体"/>
          <w:color w:val="000000" w:themeColor="text1"/>
          <w:kern w:val="0"/>
          <w:szCs w:val="21"/>
          <w:highlight w:val="none"/>
          <w:lang w:val="zh-CN"/>
          <w14:textFill>
            <w14:solidFill>
              <w14:schemeClr w14:val="tx1"/>
            </w14:solidFill>
          </w14:textFill>
        </w:rPr>
        <w:t>每月累计逾期送货超过</w:t>
      </w:r>
      <w:r>
        <w:rPr>
          <w:rFonts w:hint="eastAsia" w:ascii="宋体" w:hAnsi="宋体" w:eastAsia="宋体" w:cs="宋体"/>
          <w:color w:val="000000" w:themeColor="text1"/>
          <w:kern w:val="0"/>
          <w:szCs w:val="21"/>
          <w:highlight w:val="none"/>
          <w14:textFill>
            <w14:solidFill>
              <w14:schemeClr w14:val="tx1"/>
            </w14:solidFill>
          </w14:textFill>
        </w:rPr>
        <w:t>两</w:t>
      </w:r>
      <w:r>
        <w:rPr>
          <w:rFonts w:hint="eastAsia" w:ascii="宋体" w:hAnsi="宋体" w:eastAsia="宋体" w:cs="宋体"/>
          <w:color w:val="000000" w:themeColor="text1"/>
          <w:kern w:val="0"/>
          <w:szCs w:val="21"/>
          <w:highlight w:val="none"/>
          <w:lang w:val="zh-CN"/>
          <w14:textFill>
            <w14:solidFill>
              <w14:schemeClr w14:val="tx1"/>
            </w14:solidFill>
          </w14:textFill>
        </w:rPr>
        <w:t>次</w:t>
      </w:r>
      <w:r>
        <w:rPr>
          <w:rFonts w:hint="eastAsia" w:ascii="宋体" w:hAnsi="宋体" w:eastAsia="宋体" w:cs="宋体"/>
          <w:color w:val="000000" w:themeColor="text1"/>
          <w:kern w:val="0"/>
          <w:szCs w:val="21"/>
          <w:highlight w:val="none"/>
          <w14:textFill>
            <w14:solidFill>
              <w14:schemeClr w14:val="tx1"/>
            </w14:solidFill>
          </w14:textFill>
        </w:rPr>
        <w:t>或以上</w:t>
      </w:r>
      <w:r>
        <w:rPr>
          <w:rFonts w:hint="eastAsia" w:ascii="宋体" w:hAnsi="宋体" w:eastAsia="宋体" w:cs="宋体"/>
          <w:color w:val="000000" w:themeColor="text1"/>
          <w:kern w:val="0"/>
          <w:szCs w:val="21"/>
          <w:highlight w:val="none"/>
          <w:lang w:val="zh-CN"/>
          <w14:textFill>
            <w14:solidFill>
              <w14:schemeClr w14:val="tx1"/>
            </w14:solidFill>
          </w14:textFill>
        </w:rPr>
        <w:t>的，甲方有权单方解除本合同。如给甲方造成损失的，</w:t>
      </w:r>
      <w:r>
        <w:rPr>
          <w:rFonts w:hint="eastAsia" w:ascii="宋体" w:hAnsi="宋体" w:eastAsia="宋体" w:cs="宋体"/>
          <w:color w:val="000000" w:themeColor="text1"/>
          <w:kern w:val="0"/>
          <w:szCs w:val="21"/>
          <w:highlight w:val="none"/>
          <w14:textFill>
            <w14:solidFill>
              <w14:schemeClr w14:val="tx1"/>
            </w14:solidFill>
          </w14:textFill>
        </w:rPr>
        <w:t>甲方有权根据损失从履约担保中扣除和要求</w:t>
      </w:r>
      <w:r>
        <w:rPr>
          <w:rFonts w:hint="eastAsia" w:ascii="宋体" w:hAnsi="宋体" w:eastAsia="宋体" w:cs="宋体"/>
          <w:color w:val="000000" w:themeColor="text1"/>
          <w:kern w:val="0"/>
          <w:szCs w:val="21"/>
          <w:highlight w:val="none"/>
          <w:lang w:val="zh-CN"/>
          <w14:textFill>
            <w14:solidFill>
              <w14:schemeClr w14:val="tx1"/>
            </w14:solidFill>
          </w14:textFill>
        </w:rPr>
        <w:t>乙方</w:t>
      </w:r>
      <w:r>
        <w:rPr>
          <w:rFonts w:hint="eastAsia" w:ascii="宋体" w:hAnsi="宋体" w:eastAsia="宋体" w:cs="宋体"/>
          <w:color w:val="000000" w:themeColor="text1"/>
          <w:kern w:val="0"/>
          <w:szCs w:val="21"/>
          <w:highlight w:val="none"/>
          <w14:textFill>
            <w14:solidFill>
              <w14:schemeClr w14:val="tx1"/>
            </w14:solidFill>
          </w14:textFill>
        </w:rPr>
        <w:t>支付造成损失的所有费用</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w:t>
      </w:r>
      <w:r>
        <w:rPr>
          <w:rFonts w:hint="eastAsia" w:ascii="宋体" w:hAnsi="宋体" w:eastAsia="宋体" w:cs="宋体"/>
          <w:color w:val="000000" w:themeColor="text1"/>
          <w:kern w:val="0"/>
          <w:szCs w:val="21"/>
          <w:highlight w:val="none"/>
          <w:lang w:val="zh-CN"/>
          <w14:textFill>
            <w14:solidFill>
              <w14:schemeClr w14:val="tx1"/>
            </w14:solidFill>
          </w14:textFill>
        </w:rPr>
        <w:t>乙方提供货品，经甲方验收，出现重量不足（重量少于100克及以上的即为重量不足）或质量不好（被拒收或要求退换货的即视为质量不好）的情况，每月累计达</w:t>
      </w:r>
      <w:r>
        <w:rPr>
          <w:rFonts w:hint="eastAsia" w:ascii="宋体" w:hAnsi="宋体" w:eastAsia="宋体" w:cs="宋体"/>
          <w:color w:val="000000" w:themeColor="text1"/>
          <w:kern w:val="0"/>
          <w:szCs w:val="21"/>
          <w:highlight w:val="none"/>
          <w14:textFill>
            <w14:solidFill>
              <w14:schemeClr w14:val="tx1"/>
            </w14:solidFill>
          </w14:textFill>
        </w:rPr>
        <w:t>两</w:t>
      </w:r>
      <w:r>
        <w:rPr>
          <w:rFonts w:hint="eastAsia" w:ascii="宋体" w:hAnsi="宋体" w:eastAsia="宋体" w:cs="宋体"/>
          <w:color w:val="000000" w:themeColor="text1"/>
          <w:kern w:val="0"/>
          <w:szCs w:val="21"/>
          <w:highlight w:val="none"/>
          <w:lang w:val="zh-CN"/>
          <w14:textFill>
            <w14:solidFill>
              <w14:schemeClr w14:val="tx1"/>
            </w14:solidFill>
          </w14:textFill>
        </w:rPr>
        <w:t>次</w:t>
      </w:r>
      <w:r>
        <w:rPr>
          <w:rFonts w:hint="eastAsia" w:ascii="宋体" w:hAnsi="宋体" w:eastAsia="宋体" w:cs="宋体"/>
          <w:color w:val="000000" w:themeColor="text1"/>
          <w:kern w:val="0"/>
          <w:szCs w:val="21"/>
          <w:highlight w:val="none"/>
          <w14:textFill>
            <w14:solidFill>
              <w14:schemeClr w14:val="tx1"/>
            </w14:solidFill>
          </w14:textFill>
        </w:rPr>
        <w:t>及</w:t>
      </w:r>
      <w:r>
        <w:rPr>
          <w:rFonts w:hint="eastAsia" w:ascii="宋体" w:hAnsi="宋体" w:eastAsia="宋体" w:cs="宋体"/>
          <w:color w:val="000000" w:themeColor="text1"/>
          <w:kern w:val="0"/>
          <w:szCs w:val="21"/>
          <w:highlight w:val="none"/>
          <w:lang w:val="zh-CN"/>
          <w14:textFill>
            <w14:solidFill>
              <w14:schemeClr w14:val="tx1"/>
            </w14:solidFill>
          </w14:textFill>
        </w:rPr>
        <w:t>以上的，甲方有权单方解除本合同，并有权要求乙方</w:t>
      </w:r>
      <w:r>
        <w:rPr>
          <w:rFonts w:hint="eastAsia" w:ascii="宋体" w:hAnsi="宋体" w:eastAsia="宋体" w:cs="宋体"/>
          <w:color w:val="000000" w:themeColor="text1"/>
          <w:kern w:val="0"/>
          <w:szCs w:val="21"/>
          <w:highlight w:val="none"/>
          <w14:textFill>
            <w14:solidFill>
              <w14:schemeClr w14:val="tx1"/>
            </w14:solidFill>
          </w14:textFill>
        </w:rPr>
        <w:t>支付当月货款10%的违约金</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若因乙方提供的食物货品质量问题，导致甲方出现食物安全问题，甲方有权单方面解除本合同，乙方应承担全部法律责任和由此给甲方造成的全部损失。</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合同在有效期内，因乙方货物、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单方终止合同执行，并没收全部履约担保，由此产生的一切法律后果及费用由乙方承担。</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12.7乙方应及时、足额向配送人员发放工资待遇以及其他劳动待遇等，不得无故拖欠或克扣，如乙方违反上述约定，并造成损失的，由乙方独立承担全部责任。如该行为对甲方工作造成影响的，甲方有权根据配送人员的诉求，从当月应支付的订货款中直接扣除，先行支付，如因此给甲方造成损失的，甲方有权要求乙方承担赔偿责任。情况严重的，甲方有权上报相关行政主管部门处理且有权单方解除本合同。</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12.8在合同履行期间，因乙方违约而产生的违约金、赔偿、罚款或其他应付费用等款项，甲方有权直接从未付货款中直接扣除或启用履约担保予以支付。</w:t>
      </w:r>
    </w:p>
    <w:p>
      <w:pPr>
        <w:autoSpaceDE w:val="0"/>
        <w:autoSpaceDN w:val="0"/>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十三、严禁转包或再分包</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乙方不得将本合同项下的食材配送服务转包或再分包给其他单位或个人。否则，甲方有权单方解除本合同并要求乙方承担当月订货款总额的20%的违约金，如因此造成甲方损失的，乙方还应予全额赔偿。</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十四、合同终止</w:t>
      </w:r>
    </w:p>
    <w:p>
      <w:pPr>
        <w:autoSpaceDE w:val="0"/>
        <w:autoSpaceDN w:val="0"/>
        <w:adjustRightInd w:val="0"/>
        <w:spacing w:line="360" w:lineRule="auto"/>
        <w:ind w:left="-320" w:firstLine="420" w:firstLineChars="2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14.1本合同服务期满且双方权利义务履行完毕后终止。</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14.2在合同有效期内，若发现乙方有转包（部分转包或全部转包）或对食品供应安全构成威胁，经查证后，甲方有权单方终止本合同执行、没收履约担保和使用其它备选供货商。</w:t>
      </w:r>
    </w:p>
    <w:p>
      <w:pPr>
        <w:widowControl/>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14.3在合同期满一年内双方没有发生违约行为，甲方完成支付乙方货款后，本合同自然终止。</w:t>
      </w:r>
    </w:p>
    <w:p>
      <w:pPr>
        <w:widowControl/>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14.4甲方或乙方存在其他违反双方约定可以终止合同的情形。 </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十五、争议处理</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15.1执行本合同发生争议，当事人双方应尽力协商解决；若协商不能解决，任何一方有权向甲方所在地有管辖权的人民法院提起诉讼。</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15.2发生争议时，乙方应保护好已完成的食堂食材配送服务记录，除出现下列情况外，双方必须继续履行合同，保持服务的连续性。</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（1）合同确已无法履行；</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（2）双方协议停止服务；</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（3）调解要求停止服务，且双方接受；</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（4）法院或仲裁机关要求停止服务；</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（5）甲方按约定另行委托第三方提供本合同项下服务的；</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（6）甲方按约定单方解除或者提前终止合同。</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十六、不可抗力</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因不可抗力事件（包括但不限于：地震、水灾或其他灾难，战争或暴乱，以及其他在受影响的一方合理控制范围以外且经该方合理努力后也不能防止的类似事件；国家宏观政策调控导致资源紧张视为不可抗力）导致本合同延迟履行或未能履行，甲乙双方互不承担责任，受不可抗力影响的一方应及时向另一方反映情况，以减轻给对方造成的损失。</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不可抗力是指合同双方在订立合同时不可预见，在项目实施过程中不可避免发生并不能克服的自然灾害和社会性突发事件，如海啸、瘟疫、暴动、战争和下述情形：</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（1）6级以上的地震；</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（2）8级以上的持续2天的台风；</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（3）250mm以上的持续24小时的大雨、暴雨；</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（4）50年以上未发生过、持续2天的高温天气；</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（5）因项目所在地政府抽象行政行为和具体行政行为导致的项目暂停、取消等，如政府决策、政策调整等原因。</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十七、需要双方明确的其他事项</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若市场供应原因，乙方无法按甲方的一些特别要求供货时，甲方有权向市场其他机构开展采购，甲方不负违约责任；乙方无权对甲方的行为提出异议。</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十八、合同生效</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18.1本合同经双方签字、盖章之日起生效。本合同一式四份，甲方两份、乙方一份、招标代理机构一份。</w:t>
      </w:r>
    </w:p>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18.2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pPr>
        <w:adjustRightInd w:val="0"/>
        <w:spacing w:line="360" w:lineRule="auto"/>
        <w:ind w:left="-320" w:firstLine="422" w:firstLineChars="20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十九、附件</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XX公司食堂配送服务考核评分表</w:t>
      </w:r>
    </w:p>
    <w:p>
      <w:pPr>
        <w:spacing w:after="120"/>
        <w:ind w:left="-320" w:firstLine="420" w:firstLineChars="200"/>
        <w:rPr>
          <w:rFonts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2.廉洁协议书</w:t>
      </w:r>
    </w:p>
    <w:tbl>
      <w:tblPr>
        <w:tblStyle w:val="37"/>
        <w:tblW w:w="9344" w:type="dxa"/>
        <w:tblInd w:w="0" w:type="dxa"/>
        <w:tblLayout w:type="fixed"/>
        <w:tblCellMar>
          <w:top w:w="15" w:type="dxa"/>
          <w:left w:w="15" w:type="dxa"/>
          <w:bottom w:w="15" w:type="dxa"/>
          <w:right w:w="15" w:type="dxa"/>
        </w:tblCellMar>
      </w:tblPr>
      <w:tblGrid>
        <w:gridCol w:w="4919"/>
        <w:gridCol w:w="4425"/>
      </w:tblGrid>
      <w:tr>
        <w:tblPrEx>
          <w:tblCellMar>
            <w:top w:w="15" w:type="dxa"/>
            <w:left w:w="15" w:type="dxa"/>
            <w:bottom w:w="15" w:type="dxa"/>
            <w:right w:w="15" w:type="dxa"/>
          </w:tblCellMar>
        </w:tblPrEx>
        <w:trPr>
          <w:trHeight w:val="540" w:hRule="atLeast"/>
        </w:trPr>
        <w:tc>
          <w:tcPr>
            <w:tcW w:w="4919"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甲方（公章）：</w:t>
            </w:r>
          </w:p>
        </w:tc>
        <w:tc>
          <w:tcPr>
            <w:tcW w:w="4425"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乙方（公章）：</w:t>
            </w:r>
          </w:p>
        </w:tc>
      </w:tr>
      <w:tr>
        <w:tblPrEx>
          <w:tblCellMar>
            <w:top w:w="15" w:type="dxa"/>
            <w:left w:w="15" w:type="dxa"/>
            <w:bottom w:w="15" w:type="dxa"/>
            <w:right w:w="15" w:type="dxa"/>
          </w:tblCellMar>
        </w:tblPrEx>
        <w:trPr>
          <w:trHeight w:val="540" w:hRule="atLeast"/>
        </w:trPr>
        <w:tc>
          <w:tcPr>
            <w:tcW w:w="4919" w:type="dxa"/>
            <w:vAlign w:val="center"/>
          </w:tcPr>
          <w:p>
            <w:pPr>
              <w:adjustRightInd w:val="0"/>
              <w:spacing w:line="360" w:lineRule="auto"/>
              <w:ind w:left="-320" w:firstLine="422" w:firstLineChars="201"/>
              <w:jc w:val="left"/>
              <w:rPr>
                <w:rFonts w:ascii="宋体" w:hAnsi="宋体" w:eastAsia="宋体" w:cs="宋体"/>
                <w:color w:val="000000" w:themeColor="text1"/>
                <w:kern w:val="0"/>
                <w:szCs w:val="21"/>
                <w:highlight w:val="none"/>
                <w14:textFill>
                  <w14:solidFill>
                    <w14:schemeClr w14:val="tx1"/>
                  </w14:solidFill>
                </w14:textFill>
              </w:rPr>
            </w:pPr>
          </w:p>
        </w:tc>
        <w:tc>
          <w:tcPr>
            <w:tcW w:w="4425" w:type="dxa"/>
            <w:vAlign w:val="center"/>
          </w:tcPr>
          <w:p>
            <w:pPr>
              <w:adjustRightInd w:val="0"/>
              <w:spacing w:line="360" w:lineRule="auto"/>
              <w:ind w:left="-320" w:firstLine="422" w:firstLineChars="201"/>
              <w:jc w:val="left"/>
              <w:rPr>
                <w:rFonts w:ascii="宋体" w:hAnsi="宋体" w:eastAsia="宋体" w:cs="宋体"/>
                <w:color w:val="000000" w:themeColor="text1"/>
                <w:kern w:val="0"/>
                <w:szCs w:val="21"/>
                <w:highlight w:val="none"/>
                <w14:textFill>
                  <w14:solidFill>
                    <w14:schemeClr w14:val="tx1"/>
                  </w14:solidFill>
                </w14:textFill>
              </w:rPr>
            </w:pPr>
          </w:p>
        </w:tc>
      </w:tr>
      <w:tr>
        <w:tblPrEx>
          <w:tblCellMar>
            <w:top w:w="15" w:type="dxa"/>
            <w:left w:w="15" w:type="dxa"/>
            <w:bottom w:w="15" w:type="dxa"/>
            <w:right w:w="15" w:type="dxa"/>
          </w:tblCellMar>
        </w:tblPrEx>
        <w:trPr>
          <w:trHeight w:val="540" w:hRule="atLeast"/>
        </w:trPr>
        <w:tc>
          <w:tcPr>
            <w:tcW w:w="4919"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w:t>
            </w:r>
          </w:p>
        </w:tc>
        <w:tc>
          <w:tcPr>
            <w:tcW w:w="4425"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w:t>
            </w:r>
          </w:p>
        </w:tc>
      </w:tr>
      <w:tr>
        <w:tblPrEx>
          <w:tblCellMar>
            <w:top w:w="15" w:type="dxa"/>
            <w:left w:w="15" w:type="dxa"/>
            <w:bottom w:w="15" w:type="dxa"/>
            <w:right w:w="15" w:type="dxa"/>
          </w:tblCellMar>
        </w:tblPrEx>
        <w:trPr>
          <w:trHeight w:val="540" w:hRule="atLeast"/>
        </w:trPr>
        <w:tc>
          <w:tcPr>
            <w:tcW w:w="4919"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授权代表（签字）：</w:t>
            </w:r>
          </w:p>
        </w:tc>
        <w:tc>
          <w:tcPr>
            <w:tcW w:w="4425" w:type="dxa"/>
            <w:vAlign w:val="center"/>
          </w:tcPr>
          <w:p>
            <w:pPr>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授权代表（签字）：</w:t>
            </w:r>
          </w:p>
        </w:tc>
      </w:tr>
    </w:tbl>
    <w:p>
      <w:pPr>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合同签订地点： </w:t>
      </w:r>
    </w:p>
    <w:p>
      <w:pPr>
        <w:adjustRightInd w:val="0"/>
        <w:spacing w:line="360" w:lineRule="auto"/>
        <w:ind w:left="-320" w:firstLine="422" w:firstLineChars="201"/>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合同签订时间：    年   月   日</w:t>
      </w:r>
    </w:p>
    <w:p>
      <w:pP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pPr>
        <w:spacing w:line="288" w:lineRule="auto"/>
        <w:ind w:left="24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附件1：</w:t>
      </w:r>
    </w:p>
    <w:p>
      <w:pPr>
        <w:ind w:left="247"/>
        <w:jc w:val="center"/>
        <w:rPr>
          <w:rFonts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XX公司食堂配送服务考核评分表</w:t>
      </w:r>
    </w:p>
    <w:tbl>
      <w:tblPr>
        <w:tblStyle w:val="37"/>
        <w:tblpPr w:leftFromText="180" w:rightFromText="180" w:vertAnchor="text" w:horzAnchor="page" w:tblpX="982" w:tblpY="828"/>
        <w:tblOverlap w:val="never"/>
        <w:tblW w:w="103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12"/>
        <w:gridCol w:w="510"/>
        <w:gridCol w:w="4868"/>
        <w:gridCol w:w="879"/>
        <w:gridCol w:w="775"/>
        <w:gridCol w:w="672"/>
        <w:gridCol w:w="672"/>
        <w:gridCol w:w="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2" w:type="dxa"/>
            <w:vMerge w:val="restart"/>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812" w:type="dxa"/>
            <w:vMerge w:val="restart"/>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考核指标</w:t>
            </w:r>
          </w:p>
        </w:tc>
        <w:tc>
          <w:tcPr>
            <w:tcW w:w="510" w:type="dxa"/>
            <w:vMerge w:val="restart"/>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分值</w:t>
            </w:r>
          </w:p>
        </w:tc>
        <w:tc>
          <w:tcPr>
            <w:tcW w:w="4868" w:type="dxa"/>
            <w:vMerge w:val="restart"/>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考核要素和评估内容及其标准</w:t>
            </w:r>
          </w:p>
        </w:tc>
        <w:tc>
          <w:tcPr>
            <w:tcW w:w="879"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优秀</w:t>
            </w:r>
          </w:p>
        </w:tc>
        <w:tc>
          <w:tcPr>
            <w:tcW w:w="775"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良好</w:t>
            </w:r>
          </w:p>
        </w:tc>
        <w:tc>
          <w:tcPr>
            <w:tcW w:w="672"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不合格</w:t>
            </w:r>
          </w:p>
        </w:tc>
        <w:tc>
          <w:tcPr>
            <w:tcW w:w="672" w:type="dxa"/>
            <w:vMerge w:val="restart"/>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扣分情况</w:t>
            </w:r>
          </w:p>
        </w:tc>
        <w:tc>
          <w:tcPr>
            <w:tcW w:w="686" w:type="dxa"/>
            <w:vMerge w:val="restart"/>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2"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812"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510"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4868" w:type="dxa"/>
            <w:vMerge w:val="continue"/>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p>
        </w:tc>
        <w:tc>
          <w:tcPr>
            <w:tcW w:w="879"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8-10分</w:t>
            </w:r>
          </w:p>
        </w:tc>
        <w:tc>
          <w:tcPr>
            <w:tcW w:w="775"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5-7分</w:t>
            </w:r>
          </w:p>
        </w:tc>
        <w:tc>
          <w:tcPr>
            <w:tcW w:w="672"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5分以下</w:t>
            </w:r>
          </w:p>
        </w:tc>
        <w:tc>
          <w:tcPr>
            <w:tcW w:w="672" w:type="dxa"/>
            <w:vMerge w:val="continue"/>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p>
        </w:tc>
        <w:tc>
          <w:tcPr>
            <w:tcW w:w="686" w:type="dxa"/>
            <w:vMerge w:val="continue"/>
            <w:tcBorders>
              <w:tl2br w:val="nil"/>
              <w:tr2bl w:val="nil"/>
            </w:tcBorders>
          </w:tcPr>
          <w:p>
            <w:pPr>
              <w:ind w:left="247"/>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送货时间</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非不可抗拒情况下：本月内每次送货准时得 8-10 分；本月内2次不准时但能与食堂方及时沟通得 5-7分，不沟通或沟通不及时3次得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服务态度</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工作人员工作认真，服务热情周到，运送搬装文明得8-10分；本月内发现因搬装等原因造成食物污染、破损2次得 5-7分；发生3次以上情况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差错情况</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本月内每次送货无差错得 8-10 分；有2次差错但能及时补救得 5-7 分；4次出错且补救不及时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足斤足两</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本月内送货没有出现短斤缺两现象得 8-10 分；2次出现短近缺两但能及时更正得 5-7 分；上述情况发生且不能及时更正3次得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价格与质量合理性</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按照菜篮子价格与指定市场的同等价格品种的质量相比较,价格合理下浮得 8 -10分；对比市场价，价格有偏高20％，得 5-7 分；价格高于市场价30％，得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质量服务</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所供商品经过挑选后利用率达到 98%得 8-10 分，本月内3次发现商品利用率在 97%-90%，得5-7 分；4次发现未经挑选并有腐烂情况的质量问题得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品牌意识</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按食堂发出的订单品种采购，无擅自更换商品品种现象 8-10 分；本月内发现有3次以下擅自更换商品品种现象得5-7 分，发现3 次及以上擅自更换商品品种现象得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联系制度</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更换商品前，与食堂联系并谈妥商品事项，得 8-10 分；本月内2次更改商品单方定价得 5-7 分；本月内3次出现更改商品单方定价得 5 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跟踪随访</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供货商能主动到食堂随访，倾听食堂意见，每月2次得8-10 分，供货商每月回访食堂1次得 5-0 分。</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81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检测资料</w:t>
            </w:r>
          </w:p>
        </w:tc>
        <w:tc>
          <w:tcPr>
            <w:tcW w:w="510" w:type="dxa"/>
            <w:tcBorders>
              <w:tl2br w:val="nil"/>
              <w:tr2bl w:val="nil"/>
            </w:tcBorders>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868" w:type="dxa"/>
            <w:tcBorders>
              <w:tl2br w:val="nil"/>
              <w:tr2bl w:val="nil"/>
            </w:tcBorders>
            <w:vAlign w:val="center"/>
          </w:tcPr>
          <w:p>
            <w:pPr>
              <w:spacing w:line="4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本月内向食堂提供全部有关商品的检测资料得 8-10 分；遗漏2次但当月内可以及时补交的 得5分，遗漏 2 次以上没有在当月份补充的得 3分以下。</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92" w:type="dxa"/>
            <w:tcBorders>
              <w:tl2br w:val="nil"/>
              <w:tr2bl w:val="nil"/>
            </w:tcBorders>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1322" w:type="dxa"/>
            <w:gridSpan w:val="2"/>
            <w:tcBorders>
              <w:tl2br w:val="nil"/>
              <w:tr2bl w:val="nil"/>
            </w:tcBorders>
            <w:vAlign w:val="center"/>
          </w:tcPr>
          <w:p>
            <w:pPr>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一票否决项</w:t>
            </w:r>
          </w:p>
        </w:tc>
        <w:tc>
          <w:tcPr>
            <w:tcW w:w="4868" w:type="dxa"/>
            <w:tcBorders>
              <w:tl2br w:val="nil"/>
              <w:tr2bl w:val="nil"/>
            </w:tcBorders>
            <w:vAlign w:val="center"/>
          </w:tcPr>
          <w:p>
            <w:pPr>
              <w:spacing w:line="480" w:lineRule="exact"/>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1、食堂发现假冒伪劣、腐败变质、三无产品；2、商品由他人代送，经整改无效；3、要求检测的商品未经检测，且未按要求限时整改。</w:t>
            </w:r>
          </w:p>
        </w:tc>
        <w:tc>
          <w:tcPr>
            <w:tcW w:w="879"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775"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672" w:type="dxa"/>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686" w:type="dxa"/>
            <w:tcBorders>
              <w:tl2br w:val="nil"/>
              <w:tr2bl w:val="nil"/>
            </w:tcBorders>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82" w:type="dxa"/>
            <w:gridSpan w:val="4"/>
            <w:tcBorders>
              <w:tl2br w:val="nil"/>
              <w:tr2bl w:val="nil"/>
            </w:tcBorders>
            <w:vAlign w:val="center"/>
          </w:tcPr>
          <w:p>
            <w:pPr>
              <w:spacing w:line="480" w:lineRule="exact"/>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考核得分</w:t>
            </w:r>
          </w:p>
        </w:tc>
        <w:tc>
          <w:tcPr>
            <w:tcW w:w="3684" w:type="dxa"/>
            <w:gridSpan w:val="5"/>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682" w:type="dxa"/>
            <w:gridSpan w:val="4"/>
            <w:tcBorders>
              <w:tl2br w:val="nil"/>
              <w:tr2bl w:val="nil"/>
            </w:tcBorders>
            <w:vAlign w:val="center"/>
          </w:tcPr>
          <w:p>
            <w:pPr>
              <w:spacing w:line="480" w:lineRule="exact"/>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考核结果</w:t>
            </w:r>
          </w:p>
        </w:tc>
        <w:tc>
          <w:tcPr>
            <w:tcW w:w="3684" w:type="dxa"/>
            <w:gridSpan w:val="5"/>
            <w:tcBorders>
              <w:tl2br w:val="nil"/>
              <w:tr2bl w:val="nil"/>
            </w:tcBorders>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bl>
    <w:p>
      <w:pPr>
        <w:ind w:left="24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考核月份：                                    </w:t>
      </w:r>
      <w:r>
        <w:rPr>
          <w:rFonts w:hint="eastAsia" w:ascii="宋体" w:hAnsi="宋体" w:eastAsia="宋体" w:cs="宋体"/>
          <w:color w:val="000000" w:themeColor="text1"/>
          <w:szCs w:val="21"/>
          <w:highlight w:val="none"/>
          <w14:textFill>
            <w14:solidFill>
              <w14:schemeClr w14:val="tx1"/>
            </w14:solidFill>
          </w14:textFill>
        </w:rPr>
        <w:t>考核日期：  年  月  日</w:t>
      </w:r>
    </w:p>
    <w:p>
      <w:pPr>
        <w:ind w:left="24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考核人：                                      审核人：</w:t>
      </w:r>
    </w:p>
    <w:p>
      <w:pP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p>
    <w:p>
      <w:pPr>
        <w:widowControl/>
        <w:ind w:left="247"/>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附件2：廉洁协议书</w:t>
      </w:r>
    </w:p>
    <w:p>
      <w:pPr>
        <w:spacing w:line="480" w:lineRule="auto"/>
        <w:ind w:left="247" w:right="31" w:rightChars="15"/>
        <w:jc w:val="center"/>
        <w:rPr>
          <w:rFonts w:ascii="宋体" w:hAnsi="宋体" w:eastAsia="宋体" w:cs="宋体"/>
          <w:b/>
          <w:color w:val="000000" w:themeColor="text1"/>
          <w:sz w:val="28"/>
          <w:szCs w:val="44"/>
          <w:highlight w:val="none"/>
          <w14:textFill>
            <w14:solidFill>
              <w14:schemeClr w14:val="tx1"/>
            </w14:solidFill>
          </w14:textFill>
        </w:rPr>
      </w:pPr>
      <w:r>
        <w:rPr>
          <w:rFonts w:hint="eastAsia" w:ascii="宋体" w:hAnsi="宋体" w:eastAsia="宋体" w:cs="宋体"/>
          <w:b/>
          <w:color w:val="000000" w:themeColor="text1"/>
          <w:sz w:val="28"/>
          <w:szCs w:val="44"/>
          <w:highlight w:val="none"/>
          <w14:textFill>
            <w14:solidFill>
              <w14:schemeClr w14:val="tx1"/>
            </w14:solidFill>
          </w14:textFill>
        </w:rPr>
        <w:t>廉洁协议书</w:t>
      </w:r>
    </w:p>
    <w:p>
      <w:pPr>
        <w:spacing w:line="480" w:lineRule="auto"/>
        <w:ind w:left="247"/>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项目名称：东莞市水务集团有限公司2024年度食堂食材采购项目(招标编号：广建咨询（东招）2024-0038号 )</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甲方（业主单位）：</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第一条  甲乙双方的权利和义务</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第二条  甲方的义务</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第三条  乙方义务</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第四条  违约责任</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第五条  监督检查</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甲乙双方的廉洁从业行为由双方或双方上级单位的纪检、监察负责监督，对本协议履行情况进行检查。</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第六条  举报信访受理</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 东莞市水务集团有限公司纪检监察部。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 ( 0769 ) 23076092</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（三）举报邮箱:jcsi@dgswit.cn.</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 广东省东莞市东城街道育华路 1 号</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第七条  其他</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本协议有效期为甲乙双方签字并加盖公章之日起至该工程/采购项目竣工验收完毕，质保期/服务期满后止。本协议一式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                                  法定代表人：</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甲方代表：                                    乙方代表：</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   年  月  日                       年  月  日</w:t>
      </w:r>
    </w:p>
    <w:p>
      <w:pPr>
        <w:pageBreakBefore/>
        <w:spacing w:before="120" w:beforeLines="50" w:after="120" w:afterLines="50" w:line="360" w:lineRule="auto"/>
        <w:ind w:left="-320"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83" w:name="设计变更通知单"/>
      <w:bookmarkEnd w:id="383"/>
      <w:bookmarkStart w:id="384" w:name="现场签证通知单"/>
      <w:bookmarkEnd w:id="384"/>
      <w:bookmarkStart w:id="385" w:name="_Toc161843190"/>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375"/>
      <w:bookmarkEnd w:id="376"/>
      <w:bookmarkEnd w:id="377"/>
      <w:bookmarkEnd w:id="378"/>
      <w:bookmarkEnd w:id="379"/>
      <w:bookmarkEnd w:id="380"/>
      <w:bookmarkEnd w:id="381"/>
      <w:bookmarkEnd w:id="382"/>
      <w:bookmarkEnd w:id="385"/>
      <w:bookmarkStart w:id="386" w:name="_Toc447045091"/>
      <w:bookmarkStart w:id="387" w:name="_Toc447044604"/>
      <w:bookmarkStart w:id="388" w:name="_Toc447044480"/>
    </w:p>
    <w:p>
      <w:pPr>
        <w:autoSpaceDE w:val="0"/>
        <w:autoSpaceDN w:val="0"/>
        <w:adjustRightInd w:val="0"/>
        <w:spacing w:after="120" w:afterLines="50" w:line="360" w:lineRule="auto"/>
        <w:ind w:left="247"/>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389"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386"/>
      <w:bookmarkEnd w:id="387"/>
      <w:bookmarkEnd w:id="388"/>
      <w:bookmarkEnd w:id="389"/>
    </w:p>
    <w:p>
      <w:pPr>
        <w:autoSpaceDE w:val="0"/>
        <w:autoSpaceDN w:val="0"/>
        <w:adjustRightInd w:val="0"/>
        <w:ind w:left="247"/>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pPr>
        <w:widowControl/>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left="-320"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pPr>
        <w:widowControl/>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pPr>
        <w:widowControl/>
        <w:autoSpaceDE w:val="0"/>
        <w:autoSpaceDN w:val="0"/>
        <w:adjustRightInd w:val="0"/>
        <w:spacing w:line="360" w:lineRule="auto"/>
        <w:ind w:left="-320"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pPr>
        <w:widowControl/>
        <w:autoSpaceDE w:val="0"/>
        <w:autoSpaceDN w:val="0"/>
        <w:adjustRightInd w:val="0"/>
        <w:spacing w:line="360" w:lineRule="auto"/>
        <w:ind w:left="-320"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pPr>
        <w:widowControl/>
        <w:autoSpaceDE w:val="0"/>
        <w:autoSpaceDN w:val="0"/>
        <w:adjustRightInd w:val="0"/>
        <w:spacing w:line="360" w:lineRule="auto"/>
        <w:ind w:left="-320"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pPr>
        <w:widowControl/>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left="-320"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本保函应自合同签订之日起至合同期限届满并完成全部供货及相关服务义务后二十八（28）日内保持有效。</w:t>
      </w:r>
    </w:p>
    <w:p>
      <w:pPr>
        <w:widowControl/>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ind w:left="-320"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pPr>
        <w:widowControl/>
        <w:autoSpaceDE w:val="0"/>
        <w:autoSpaceDN w:val="0"/>
        <w:adjustRightInd w:val="0"/>
        <w:spacing w:line="360" w:lineRule="auto"/>
        <w:ind w:left="-320"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pPr>
        <w:widowControl/>
        <w:autoSpaceDE w:val="0"/>
        <w:autoSpaceDN w:val="0"/>
        <w:adjustRightInd w:val="0"/>
        <w:spacing w:line="360" w:lineRule="auto"/>
        <w:ind w:left="-320"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pPr>
        <w:widowControl/>
        <w:autoSpaceDE w:val="0"/>
        <w:autoSpaceDN w:val="0"/>
        <w:adjustRightInd w:val="0"/>
        <w:spacing w:line="360" w:lineRule="auto"/>
        <w:ind w:left="-320"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pPr>
        <w:widowControl/>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left="247"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autoSpaceDE w:val="0"/>
        <w:autoSpaceDN w:val="0"/>
        <w:adjustRightInd w:val="0"/>
        <w:spacing w:after="120" w:afterLines="50" w:line="360" w:lineRule="auto"/>
        <w:ind w:left="247"/>
        <w:jc w:val="left"/>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pPr>
        <w:autoSpaceDE w:val="0"/>
        <w:autoSpaceDN w:val="0"/>
        <w:adjustRightInd w:val="0"/>
        <w:ind w:left="247"/>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p>
    <w:p>
      <w:pPr>
        <w:autoSpaceDE w:val="0"/>
        <w:autoSpaceDN w:val="0"/>
        <w:adjustRightInd w:val="0"/>
        <w:spacing w:line="360" w:lineRule="auto"/>
        <w:ind w:left="-320"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20"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pPr>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pPr>
        <w:autoSpaceDE w:val="0"/>
        <w:autoSpaceDN w:val="0"/>
        <w:adjustRightInd w:val="0"/>
        <w:spacing w:line="360" w:lineRule="auto"/>
        <w:ind w:left="-320"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履约保证保险</w:t>
      </w:r>
      <w:r>
        <w:rPr>
          <w:rFonts w:hint="eastAsia" w:ascii="宋体" w:hAnsi="宋体" w:eastAsia="宋体"/>
          <w:color w:val="000000" w:themeColor="text1"/>
          <w:szCs w:val="21"/>
          <w:highlight w:val="none"/>
          <w14:textFill>
            <w14:solidFill>
              <w14:schemeClr w14:val="tx1"/>
            </w14:solidFill>
          </w14:textFill>
        </w:rPr>
        <w:t>应自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合同签订之日起至合同期限届满并完成全部供货及相关服务义务后二十八（28）日内保持有效。</w:t>
      </w:r>
    </w:p>
    <w:p>
      <w:pPr>
        <w:ind w:left="247"/>
        <w:rPr>
          <w:color w:val="000000" w:themeColor="text1"/>
          <w:highlight w:val="none"/>
          <w14:textFill>
            <w14:solidFill>
              <w14:schemeClr w14:val="tx1"/>
            </w14:solidFill>
          </w14:textFill>
        </w:rPr>
      </w:pPr>
    </w:p>
    <w:p>
      <w:pPr>
        <w:autoSpaceDE w:val="0"/>
        <w:autoSpaceDN w:val="0"/>
        <w:adjustRightInd w:val="0"/>
        <w:spacing w:line="360" w:lineRule="auto"/>
        <w:ind w:left="-320"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pPr>
        <w:autoSpaceDE w:val="0"/>
        <w:autoSpaceDN w:val="0"/>
        <w:adjustRightInd w:val="0"/>
        <w:spacing w:line="360" w:lineRule="auto"/>
        <w:ind w:left="-320"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20"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pPr>
        <w:autoSpaceDE w:val="0"/>
        <w:autoSpaceDN w:val="0"/>
        <w:adjustRightInd w:val="0"/>
        <w:spacing w:line="360" w:lineRule="auto"/>
        <w:ind w:left="-320"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pPr>
        <w:autoSpaceDE w:val="0"/>
        <w:autoSpaceDN w:val="0"/>
        <w:adjustRightInd w:val="0"/>
        <w:spacing w:line="360" w:lineRule="auto"/>
        <w:ind w:left="-320"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pPr>
        <w:ind w:left="247"/>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br w:type="page"/>
      </w:r>
    </w:p>
    <w:p>
      <w:pPr>
        <w:autoSpaceDE w:val="0"/>
        <w:autoSpaceDN w:val="0"/>
        <w:adjustRightInd w:val="0"/>
        <w:spacing w:after="120" w:afterLines="50" w:line="360" w:lineRule="auto"/>
        <w:ind w:left="247"/>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pPr>
        <w:autoSpaceDE w:val="0"/>
        <w:autoSpaceDN w:val="0"/>
        <w:adjustRightInd w:val="0"/>
        <w:ind w:left="247"/>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pPr>
        <w:widowControl/>
        <w:spacing w:before="100" w:beforeAutospacing="1" w:after="100" w:afterAutospacing="1"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（下称“受益人”）</w:t>
      </w:r>
    </w:p>
    <w:p>
      <w:pPr>
        <w:spacing w:line="360" w:lineRule="auto"/>
        <w:ind w:left="-320" w:firstLine="437"/>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鉴于</w:t>
      </w:r>
      <w:r>
        <w:rPr>
          <w:rFonts w:hint="eastAsia" w:ascii="宋体" w:hAnsi="宋体" w:eastAsia="宋体" w:cs="宋体"/>
          <w:color w:val="000000" w:themeColor="text1"/>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szCs w:val="21"/>
          <w:highlight w:val="none"/>
          <w14:textFill>
            <w14:solidFill>
              <w14:schemeClr w14:val="tx1"/>
            </w14:solidFill>
          </w14:textFill>
        </w:rPr>
        <w:t>（下称“申请人”），已保证按拟签订的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宋体"/>
          <w:color w:val="000000" w:themeColor="text1"/>
          <w:szCs w:val="21"/>
          <w:highlight w:val="none"/>
          <w14:textFill>
            <w14:solidFill>
              <w14:schemeClr w14:val="tx1"/>
            </w14:solidFill>
          </w14:textFill>
        </w:rPr>
        <w:t>合同（招标文件）中规定的义务履行合同。</w:t>
      </w:r>
    </w:p>
    <w:p>
      <w:pPr>
        <w:spacing w:line="360" w:lineRule="auto"/>
        <w:ind w:left="-320" w:firstLine="436" w:firstLineChars="208"/>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根据上述合同（招标文件）规定，申请人应向受益人提供一份金额为</w:t>
      </w:r>
      <w:r>
        <w:rPr>
          <w:rFonts w:ascii="宋体" w:hAnsi="宋体" w:eastAsia="宋体" w:cs="Times New Roman"/>
          <w:color w:val="000000" w:themeColor="text1"/>
          <w:kern w:val="0"/>
          <w:szCs w:val="21"/>
          <w:highlight w:val="none"/>
          <w14:textFill>
            <w14:solidFill>
              <w14:schemeClr w14:val="tx1"/>
            </w14:solidFill>
          </w14:textFill>
        </w:rPr>
        <w:t>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szCs w:val="21"/>
          <w:highlight w:val="none"/>
          <w14:textFill>
            <w14:solidFill>
              <w14:schemeClr w14:val="tx1"/>
            </w14:solidFill>
          </w14:textFill>
        </w:rPr>
        <w:t>的无条件、</w:t>
      </w:r>
      <w:r>
        <w:rPr>
          <w:rFonts w:hint="eastAsia" w:ascii="宋体" w:hAnsi="宋体" w:eastAsia="宋体" w:cs="宋体"/>
          <w:bCs/>
          <w:color w:val="000000" w:themeColor="text1"/>
          <w:szCs w:val="21"/>
          <w:highlight w:val="none"/>
          <w14:textFill>
            <w14:solidFill>
              <w14:schemeClr w14:val="tx1"/>
            </w14:solidFill>
          </w14:textFill>
        </w:rPr>
        <w:t>不可撤销</w:t>
      </w:r>
      <w:r>
        <w:rPr>
          <w:rFonts w:hint="eastAsia" w:ascii="宋体" w:hAnsi="宋体" w:eastAsia="宋体" w:cs="宋体"/>
          <w:color w:val="000000" w:themeColor="text1"/>
          <w:szCs w:val="21"/>
          <w:highlight w:val="none"/>
          <w14:textFill>
            <w14:solidFill>
              <w14:schemeClr w14:val="tx1"/>
            </w14:solidFill>
          </w14:textFill>
        </w:rPr>
        <w:t>履约担保，作为申请人履行上述合同的担保，</w:t>
      </w:r>
      <w:r>
        <w:rPr>
          <w:rFonts w:hint="eastAsia" w:ascii="宋体" w:hAnsi="宋体" w:eastAsia="宋体" w:cs="宋体"/>
          <w:color w:val="000000" w:themeColor="text1"/>
          <w:szCs w:val="21"/>
          <w:highlight w:val="none"/>
          <w:lang w:eastAsia="zh-Hans"/>
          <w14:textFill>
            <w14:solidFill>
              <w14:schemeClr w14:val="tx1"/>
            </w14:solidFill>
          </w14:textFill>
        </w:rPr>
        <w:t>我方</w:t>
      </w:r>
      <w:r>
        <w:rPr>
          <w:rFonts w:hint="eastAsia" w:ascii="宋体" w:hAnsi="宋体" w:eastAsia="宋体" w:cs="宋体"/>
          <w:color w:val="000000" w:themeColor="text1"/>
          <w:szCs w:val="21"/>
          <w:highlight w:val="none"/>
          <w:u w:val="single"/>
          <w14:textFill>
            <w14:solidFill>
              <w14:schemeClr w14:val="tx1"/>
            </w14:solidFill>
          </w14:textFill>
        </w:rPr>
        <w:t xml:space="preserve">     （担保公司名称）在</w:t>
      </w:r>
      <w:r>
        <w:rPr>
          <w:rFonts w:hint="eastAsia" w:ascii="宋体" w:hAnsi="宋体" w:eastAsia="宋体" w:cs="宋体"/>
          <w:color w:val="000000" w:themeColor="text1"/>
          <w:szCs w:val="21"/>
          <w:highlight w:val="none"/>
          <w:u w:val="single"/>
          <w:lang w:eastAsia="zh-Hans"/>
          <w14:textFill>
            <w14:solidFill>
              <w14:schemeClr w14:val="tx1"/>
            </w14:solidFill>
          </w14:textFill>
        </w:rPr>
        <w:t>本合同项下的保证责任为连带责任保证</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left="-320" w:firstLine="437"/>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w:t>
      </w:r>
      <w:r>
        <w:rPr>
          <w:rFonts w:hint="eastAsia" w:ascii="宋体" w:hAnsi="宋体" w:eastAsia="宋体" w:cs="宋体"/>
          <w:color w:val="000000" w:themeColor="text1"/>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szCs w:val="21"/>
          <w:highlight w:val="none"/>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_______元）的款项。</w:t>
      </w:r>
    </w:p>
    <w:p>
      <w:pPr>
        <w:spacing w:line="360" w:lineRule="auto"/>
        <w:ind w:left="-320" w:firstLine="437"/>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pPr>
        <w:spacing w:line="360" w:lineRule="auto"/>
        <w:ind w:left="-320" w:firstLine="437"/>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本担保书应自</w:t>
      </w:r>
      <w:r>
        <w:rPr>
          <w:rFonts w:hint="eastAsia" w:ascii="宋体" w:hAnsi="宋体" w:eastAsia="宋体" w:cs="宋体"/>
          <w:color w:val="000000" w:themeColor="text1"/>
          <w:kern w:val="0"/>
          <w:szCs w:val="21"/>
          <w:highlight w:val="none"/>
          <w14:textFill>
            <w14:solidFill>
              <w14:schemeClr w14:val="tx1"/>
            </w14:solidFill>
          </w14:textFill>
        </w:rPr>
        <w:t>合同签订之日起至合同期限届满并完成全部供货及相关服务义务后二十八（28）日内保持有效。</w:t>
      </w:r>
    </w:p>
    <w:p>
      <w:pPr>
        <w:spacing w:line="360" w:lineRule="auto"/>
        <w:ind w:left="247"/>
        <w:contextualSpacing/>
        <w:rPr>
          <w:rFonts w:ascii="宋体" w:hAnsi="宋体" w:eastAsia="宋体" w:cs="宋体"/>
          <w:color w:val="000000" w:themeColor="text1"/>
          <w:szCs w:val="21"/>
          <w:highlight w:val="none"/>
          <w14:textFill>
            <w14:solidFill>
              <w14:schemeClr w14:val="tx1"/>
            </w14:solidFill>
          </w14:textFill>
        </w:rPr>
      </w:pPr>
    </w:p>
    <w:p>
      <w:pPr>
        <w:spacing w:line="360" w:lineRule="auto"/>
        <w:ind w:left="-320" w:firstLine="3990" w:firstLineChars="19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法定代表人或其授权的代理人：（签字或盖私章）</w:t>
      </w:r>
    </w:p>
    <w:p>
      <w:pPr>
        <w:spacing w:line="360" w:lineRule="auto"/>
        <w:ind w:left="-320" w:firstLine="3990" w:firstLineChars="19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担保公司盖章：</w:t>
      </w:r>
    </w:p>
    <w:p>
      <w:pPr>
        <w:spacing w:line="360" w:lineRule="auto"/>
        <w:ind w:left="-320" w:firstLine="3990" w:firstLineChars="19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p>
      <w:pPr>
        <w:spacing w:line="360" w:lineRule="auto"/>
        <w:ind w:left="-320" w:firstLine="3990" w:firstLineChars="19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pPr>
        <w:spacing w:line="360" w:lineRule="auto"/>
        <w:ind w:left="-320" w:firstLine="3990" w:firstLineChars="19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p>
      <w:pPr>
        <w:ind w:left="247"/>
        <w:rPr>
          <w:color w:val="000000" w:themeColor="text1"/>
          <w:highlight w:val="none"/>
          <w14:textFill>
            <w14:solidFill>
              <w14:schemeClr w14:val="tx1"/>
            </w14:solidFill>
          </w14:textFill>
        </w:rPr>
      </w:pPr>
    </w:p>
    <w:p>
      <w:pPr>
        <w:ind w:left="24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pPr>
        <w:pageBreakBefore/>
        <w:tabs>
          <w:tab w:val="left" w:pos="1080"/>
        </w:tabs>
        <w:autoSpaceDE w:val="0"/>
        <w:autoSpaceDN w:val="0"/>
        <w:adjustRightInd w:val="0"/>
        <w:spacing w:line="360" w:lineRule="auto"/>
        <w:ind w:left="24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90" w:name="_Toc161843191"/>
      <w:bookmarkStart w:id="391" w:name="_Toc9840"/>
      <w:bookmarkStart w:id="392" w:name="_Toc142508361"/>
      <w:bookmarkStart w:id="393" w:name="_Toc32761_WPSOffice_Level1"/>
      <w:bookmarkStart w:id="394" w:name="_Toc486167708"/>
      <w:bookmarkStart w:id="395" w:name="_Toc450662895"/>
      <w:bookmarkStart w:id="396" w:name="_Toc1581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90"/>
      <w:bookmarkEnd w:id="391"/>
      <w:bookmarkEnd w:id="392"/>
      <w:bookmarkEnd w:id="393"/>
      <w:bookmarkEnd w:id="394"/>
      <w:bookmarkEnd w:id="395"/>
      <w:bookmarkEnd w:id="396"/>
    </w:p>
    <w:p>
      <w:pPr>
        <w:ind w:left="247"/>
        <w:rPr>
          <w:rFonts w:ascii="宋体" w:hAnsi="宋体" w:eastAsia="宋体" w:cs="宋体"/>
          <w:color w:val="000000" w:themeColor="text1"/>
          <w:sz w:val="84"/>
          <w:highlight w:val="none"/>
          <w14:textFill>
            <w14:solidFill>
              <w14:schemeClr w14:val="tx1"/>
            </w14:solidFill>
          </w14:textFill>
        </w:rPr>
      </w:pPr>
      <w:bookmarkStart w:id="397" w:name="_Toc102860067"/>
      <w:bookmarkStart w:id="398" w:name="_Toc21133_WPSOffice_Level2"/>
      <w:bookmarkStart w:id="399" w:name="_Toc140596921"/>
      <w:bookmarkStart w:id="400" w:name="_Toc94107202"/>
      <w:bookmarkStart w:id="401" w:name="_Toc104991868"/>
      <w:bookmarkStart w:id="402" w:name="_Toc1977721"/>
      <w:bookmarkStart w:id="403" w:name="_Toc102860411"/>
      <w:bookmarkStart w:id="404" w:name="_Toc142508362"/>
      <w:bookmarkStart w:id="405" w:name="_Toc486167709"/>
      <w:bookmarkStart w:id="406" w:name="_Toc533708121"/>
      <w:r>
        <w:rPr>
          <w:rFonts w:hint="eastAsia" w:ascii="宋体" w:hAnsi="宋体" w:eastAsia="宋体" w:cs="宋体"/>
          <w:b/>
          <w:color w:val="000000" w:themeColor="text1"/>
          <w:kern w:val="0"/>
          <w:sz w:val="32"/>
          <w:szCs w:val="32"/>
          <w:highlight w:val="none"/>
          <w14:textFill>
            <w14:solidFill>
              <w14:schemeClr w14:val="tx1"/>
            </w14:solidFill>
          </w14:textFill>
        </w:rPr>
        <w:br w:type="page"/>
      </w:r>
    </w:p>
    <w:p>
      <w:pPr>
        <w:pStyle w:val="21"/>
        <w:spacing w:line="360" w:lineRule="auto"/>
        <w:jc w:val="center"/>
        <w:rPr>
          <w:rFonts w:ascii="宋体" w:hAnsi="宋体" w:cs="宋体"/>
          <w:color w:val="000000" w:themeColor="text1"/>
          <w:sz w:val="84"/>
          <w:highlight w:val="none"/>
          <w14:textFill>
            <w14:solidFill>
              <w14:schemeClr w14:val="tx1"/>
            </w14:solidFill>
          </w14:textFill>
        </w:rPr>
      </w:pPr>
    </w:p>
    <w:p>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ind w:firstLine="1500" w:firstLineChars="500"/>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500" w:firstLineChars="500"/>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500" w:firstLineChars="500"/>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投标文件商务部分 </w:t>
      </w:r>
    </w:p>
    <w:p>
      <w:pPr>
        <w:pStyle w:val="21"/>
        <w:spacing w:line="360" w:lineRule="auto"/>
        <w:ind w:firstLine="1500" w:firstLineChars="500"/>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500" w:firstLineChars="500"/>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500" w:firstLineChars="500"/>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Bdr>
          <w:bottom w:val="single" w:color="auto" w:sz="6" w:space="0"/>
        </w:pBdr>
        <w:spacing w:line="480" w:lineRule="auto"/>
        <w:ind w:left="-320"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80"/>
        <w:gridCol w:w="2597"/>
        <w:gridCol w:w="2426"/>
        <w:gridCol w:w="39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597"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2426"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3965" w:type="dxa"/>
            <w:tcBorders>
              <w:left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597"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426"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965" w:type="dxa"/>
            <w:tcBorders>
              <w:left w:val="single" w:color="auto" w:sz="4"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80"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2597"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2426"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3965" w:type="dxa"/>
            <w:tcBorders>
              <w:left w:val="single" w:color="auto" w:sz="4" w:space="0"/>
            </w:tcBorders>
            <w:vAlign w:val="center"/>
          </w:tcPr>
          <w:p>
            <w:pPr>
              <w:adjustRightInd w:val="0"/>
              <w:snapToGrid w:val="0"/>
              <w:spacing w:line="360" w:lineRule="auto"/>
              <w:ind w:left="-320" w:firstLine="105" w:firstLineChars="50"/>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597" w:type="dxa"/>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c>
          <w:tcPr>
            <w:tcW w:w="2426"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965" w:type="dxa"/>
            <w:tcBorders>
              <w:left w:val="single" w:color="auto" w:sz="4" w:space="0"/>
            </w:tcBorders>
            <w:vAlign w:val="center"/>
          </w:tcPr>
          <w:p>
            <w:pPr>
              <w:spacing w:line="360" w:lineRule="auto"/>
              <w:ind w:left="-320" w:firstLine="8" w:firstLineChars="4"/>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8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59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c>
          <w:tcPr>
            <w:tcW w:w="242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965"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3977" w:type="dxa"/>
            <w:gridSpan w:val="2"/>
            <w:tcBorders>
              <w:bottom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2426" w:type="dxa"/>
            <w:tcBorders>
              <w:bottom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965" w:type="dxa"/>
            <w:tcBorders>
              <w:left w:val="single" w:color="auto" w:sz="4" w:space="0"/>
              <w:bottom w:val="single" w:color="auto" w:sz="4" w:space="0"/>
            </w:tcBorders>
            <w:vAlign w:val="center"/>
          </w:tcPr>
          <w:p>
            <w:pPr>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r>
    </w:tbl>
    <w:p>
      <w:pPr>
        <w:ind w:left="247"/>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07" w:name="_Toc161843192"/>
      <w:bookmarkStart w:id="408" w:name="_Toc23782"/>
      <w:bookmarkStart w:id="409" w:name="_Toc13281"/>
      <w:bookmarkStart w:id="410" w:name="_Toc27679"/>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autoSpaceDE w:val="0"/>
        <w:autoSpaceDN w:val="0"/>
        <w:adjustRightInd w:val="0"/>
        <w:spacing w:line="360" w:lineRule="auto"/>
        <w:ind w:left="247"/>
        <w:jc w:val="center"/>
        <w:rPr>
          <w:rFonts w:ascii="宋体" w:hAnsi="宋体" w:eastAsia="宋体" w:cs="宋体"/>
          <w:b/>
          <w:bCs/>
          <w:color w:val="000000" w:themeColor="text1"/>
          <w:sz w:val="30"/>
          <w:szCs w:val="30"/>
          <w:highlight w:val="none"/>
          <w14:textFill>
            <w14:solidFill>
              <w14:schemeClr w14:val="tx1"/>
            </w14:solidFill>
          </w14:textFill>
        </w:rPr>
      </w:pPr>
      <w:bookmarkStart w:id="411"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11"/>
    </w:p>
    <w:p>
      <w:pPr>
        <w:autoSpaceDE w:val="0"/>
        <w:autoSpaceDN w:val="0"/>
        <w:adjustRightInd w:val="0"/>
        <w:spacing w:line="360" w:lineRule="auto"/>
        <w:ind w:left="24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东莞市水务集团有限公司</w:t>
      </w:r>
    </w:p>
    <w:p>
      <w:pPr>
        <w:autoSpaceDE w:val="0"/>
        <w:autoSpaceDN w:val="0"/>
        <w:adjustRightInd w:val="0"/>
        <w:spacing w:line="360" w:lineRule="auto"/>
        <w:ind w:left="247"/>
        <w:rPr>
          <w:rFonts w:ascii="宋体" w:hAnsi="宋体" w:eastAsia="宋体" w:cs="宋体"/>
          <w:color w:val="000000" w:themeColor="text1"/>
          <w:szCs w:val="21"/>
          <w:highlight w:val="none"/>
          <w14:textFill>
            <w14:solidFill>
              <w14:schemeClr w14:val="tx1"/>
            </w14:solidFill>
          </w14:textFill>
        </w:rPr>
      </w:pPr>
    </w:p>
    <w:p>
      <w:pPr>
        <w:wordWrap w:val="0"/>
        <w:autoSpaceDE w:val="0"/>
        <w:autoSpaceDN w:val="0"/>
        <w:adjustRightInd w:val="0"/>
        <w:spacing w:line="360" w:lineRule="auto"/>
        <w:ind w:left="-320"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东莞市水务集团有限公司2024年度食堂食材采购项目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广建咨询（东招）2024-0038号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pPr>
        <w:autoSpaceDE w:val="0"/>
        <w:autoSpaceDN w:val="0"/>
        <w:adjustRightInd w:val="0"/>
        <w:spacing w:line="360" w:lineRule="auto"/>
        <w:ind w:left="-320"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pPr>
        <w:autoSpaceDE w:val="0"/>
        <w:autoSpaceDN w:val="0"/>
        <w:adjustRightInd w:val="0"/>
        <w:spacing w:line="360" w:lineRule="auto"/>
        <w:ind w:left="-320"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pPr>
        <w:autoSpaceDE w:val="0"/>
        <w:autoSpaceDN w:val="0"/>
        <w:adjustRightInd w:val="0"/>
        <w:spacing w:line="360" w:lineRule="auto"/>
        <w:ind w:left="-320"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pPr>
        <w:autoSpaceDE w:val="0"/>
        <w:autoSpaceDN w:val="0"/>
        <w:adjustRightInd w:val="0"/>
        <w:spacing w:line="360" w:lineRule="auto"/>
        <w:ind w:left="-320"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广建咨询（东招）2024-0038号</w:t>
      </w:r>
      <w:r>
        <w:rPr>
          <w:rFonts w:hint="eastAsia" w:ascii="宋体" w:hAnsi="宋体" w:eastAsia="宋体" w:cs="宋体"/>
          <w:color w:val="000000" w:themeColor="text1"/>
          <w:szCs w:val="21"/>
          <w:highlight w:val="none"/>
          <w:lang w:val="zh-CN"/>
          <w14:textFill>
            <w14:solidFill>
              <w14:schemeClr w14:val="tx1"/>
            </w14:solidFill>
          </w14:textFill>
        </w:rPr>
        <w:t>的投标；</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pPr>
        <w:autoSpaceDE w:val="0"/>
        <w:autoSpaceDN w:val="0"/>
        <w:adjustRightInd w:val="0"/>
        <w:spacing w:line="360" w:lineRule="auto"/>
        <w:ind w:left="-320"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pPr>
        <w:autoSpaceDE w:val="0"/>
        <w:autoSpaceDN w:val="0"/>
        <w:adjustRightInd w:val="0"/>
        <w:spacing w:line="360" w:lineRule="auto"/>
        <w:ind w:left="-320"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pPr>
        <w:autoSpaceDE w:val="0"/>
        <w:autoSpaceDN w:val="0"/>
        <w:adjustRightInd w:val="0"/>
        <w:spacing w:line="360" w:lineRule="auto"/>
        <w:ind w:left="-320" w:firstLine="4960" w:firstLineChars="2362"/>
        <w:rPr>
          <w:rFonts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ind w:left="-320"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20"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left="-320"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12" w:name="_Toc102860412"/>
      <w:bookmarkStart w:id="413" w:name="_Toc140596922"/>
      <w:bookmarkStart w:id="414" w:name="_Toc3104"/>
      <w:bookmarkStart w:id="415" w:name="_Toc94107203"/>
      <w:bookmarkStart w:id="416" w:name="_Toc104991869"/>
      <w:bookmarkStart w:id="417" w:name="_Toc161843193"/>
      <w:bookmarkStart w:id="418" w:name="_Toc12417"/>
      <w:bookmarkStart w:id="419" w:name="_Toc533708122"/>
      <w:bookmarkStart w:id="420" w:name="_Toc28613_WPSOffice_Level2"/>
      <w:bookmarkStart w:id="421" w:name="_Toc142508363"/>
      <w:bookmarkStart w:id="422" w:name="_Toc102860068"/>
      <w:bookmarkStart w:id="423" w:name="_Toc1977722"/>
      <w:bookmarkStart w:id="424" w:name="_Toc30995"/>
      <w:bookmarkStart w:id="425" w:name="_Toc486167710"/>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autoSpaceDE w:val="0"/>
        <w:autoSpaceDN w:val="0"/>
        <w:adjustRightInd w:val="0"/>
        <w:spacing w:line="360" w:lineRule="auto"/>
        <w:ind w:left="247"/>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pPr>
        <w:widowControl/>
        <w:autoSpaceDE w:val="0"/>
        <w:autoSpaceDN w:val="0"/>
        <w:adjustRightInd w:val="0"/>
        <w:spacing w:line="360" w:lineRule="auto"/>
        <w:ind w:left="-320"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东莞市水务集团有限公司2024年度食堂食材采购项目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广建咨询（东招）2024-0038号）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left="-320"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320"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left="-320"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left="-320"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pPr>
        <w:autoSpaceDE w:val="0"/>
        <w:autoSpaceDN w:val="0"/>
        <w:adjustRightInd w:val="0"/>
        <w:spacing w:line="360" w:lineRule="auto"/>
        <w:ind w:left="-320"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宋体"/>
          <w:color w:val="000000" w:themeColor="text1"/>
          <w:kern w:val="0"/>
          <w:sz w:val="24"/>
          <w:szCs w:val="24"/>
          <w:highlight w:val="none"/>
          <w14:textFill>
            <w14:solidFill>
              <w14:schemeClr w14:val="tx1"/>
            </w14:solidFill>
          </w14:textFill>
        </w:rPr>
      </w:pPr>
      <w:bookmarkStart w:id="426" w:name="_Toc326768876"/>
      <w:bookmarkStart w:id="427" w:name="_Toc316896755"/>
      <w:bookmarkStart w:id="428" w:name="_Toc311032584"/>
    </w:p>
    <w:p>
      <w:pPr>
        <w:ind w:left="247"/>
        <w:rPr>
          <w:rFonts w:ascii="宋体" w:hAnsi="宋体" w:eastAsia="宋体" w:cs="宋体"/>
          <w:b/>
          <w:color w:val="000000" w:themeColor="text1"/>
          <w:kern w:val="0"/>
          <w:sz w:val="32"/>
          <w:szCs w:val="32"/>
          <w:highlight w:val="none"/>
          <w14:textFill>
            <w14:solidFill>
              <w14:schemeClr w14:val="tx1"/>
            </w14:solidFill>
          </w14:textFill>
        </w:rPr>
      </w:pPr>
      <w:bookmarkStart w:id="429" w:name="_Toc102860415"/>
      <w:bookmarkStart w:id="430" w:name="_Toc104991872"/>
      <w:bookmarkStart w:id="431" w:name="_Toc94107206"/>
      <w:bookmarkStart w:id="432" w:name="_Toc7024_WPSOffice_Level2"/>
      <w:bookmarkStart w:id="433" w:name="_Toc18346"/>
      <w:bookmarkStart w:id="434" w:name="_Toc140596925"/>
      <w:bookmarkStart w:id="435" w:name="_Toc1140"/>
      <w:bookmarkStart w:id="436" w:name="_Toc102860071"/>
      <w:bookmarkStart w:id="437" w:name="_Toc486167711"/>
      <w:bookmarkStart w:id="438" w:name="_Toc142508366"/>
      <w:bookmarkStart w:id="439" w:name="_Toc533708123"/>
      <w:bookmarkStart w:id="440" w:name="_Toc13416"/>
      <w:bookmarkStart w:id="441" w:name="_Toc1977723"/>
      <w:r>
        <w:rPr>
          <w:rFonts w:hint="eastAsia" w:ascii="宋体" w:hAnsi="宋体" w:eastAsia="宋体" w:cs="宋体"/>
          <w:b/>
          <w:color w:val="000000" w:themeColor="text1"/>
          <w:kern w:val="0"/>
          <w:sz w:val="32"/>
          <w:szCs w:val="32"/>
          <w:highlight w:val="none"/>
          <w14:textFill>
            <w14:solidFill>
              <w14:schemeClr w14:val="tx1"/>
            </w14:solidFill>
          </w14:textFill>
        </w:rPr>
        <w:br w:type="page"/>
      </w:r>
    </w:p>
    <w:p>
      <w:pPr>
        <w:pageBreakBefore/>
        <w:autoSpaceDE w:val="0"/>
        <w:autoSpaceDN w:val="0"/>
        <w:adjustRightInd w:val="0"/>
        <w:spacing w:line="360" w:lineRule="auto"/>
        <w:ind w:left="24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42" w:name="_Toc5075"/>
      <w:bookmarkStart w:id="443" w:name="_Toc102860069"/>
      <w:bookmarkStart w:id="444" w:name="_Toc161843194"/>
      <w:bookmarkStart w:id="445" w:name="_Toc86764083"/>
      <w:bookmarkStart w:id="446" w:name="_Toc102860413"/>
      <w:bookmarkStart w:id="447" w:name="_Toc82182546"/>
      <w:bookmarkStart w:id="448" w:name="_Toc140596923"/>
      <w:bookmarkStart w:id="449" w:name="_Toc24336"/>
      <w:bookmarkStart w:id="450" w:name="_Toc94107204"/>
      <w:bookmarkStart w:id="451" w:name="_Toc142508364"/>
      <w:bookmarkStart w:id="452" w:name="_Toc29910"/>
      <w:bookmarkStart w:id="453" w:name="_Toc104991870"/>
      <w:r>
        <w:rPr>
          <w:rFonts w:hint="eastAsia" w:ascii="宋体" w:hAnsi="Calibri" w:eastAsia="宋体" w:cs="宋体"/>
          <w:b/>
          <w:color w:val="000000" w:themeColor="text1"/>
          <w:kern w:val="0"/>
          <w:sz w:val="32"/>
          <w:szCs w:val="32"/>
          <w:highlight w:val="none"/>
          <w14:textFill>
            <w14:solidFill>
              <w14:schemeClr w14:val="tx1"/>
            </w14:solidFill>
          </w14:textFill>
        </w:rPr>
        <w:t>三、供货</w:t>
      </w:r>
      <w:r>
        <w:rPr>
          <w:rFonts w:hint="eastAsia" w:ascii="宋体" w:hAnsi="宋体" w:eastAsia="宋体" w:cs="宋体"/>
          <w:b/>
          <w:color w:val="000000" w:themeColor="text1"/>
          <w:kern w:val="0"/>
          <w:sz w:val="32"/>
          <w:szCs w:val="32"/>
          <w:highlight w:val="none"/>
          <w14:textFill>
            <w14:solidFill>
              <w14:schemeClr w14:val="tx1"/>
            </w14:solidFill>
          </w14:textFill>
        </w:rPr>
        <w:t>及/或提供服务过程承诺函格式</w:t>
      </w:r>
      <w:bookmarkEnd w:id="442"/>
      <w:bookmarkEnd w:id="443"/>
      <w:bookmarkEnd w:id="444"/>
      <w:bookmarkEnd w:id="445"/>
      <w:bookmarkEnd w:id="446"/>
      <w:bookmarkEnd w:id="447"/>
      <w:bookmarkEnd w:id="448"/>
      <w:bookmarkEnd w:id="449"/>
      <w:bookmarkEnd w:id="450"/>
      <w:bookmarkEnd w:id="451"/>
      <w:bookmarkEnd w:id="452"/>
      <w:bookmarkEnd w:id="453"/>
    </w:p>
    <w:p>
      <w:pPr>
        <w:autoSpaceDE w:val="0"/>
        <w:autoSpaceDN w:val="0"/>
        <w:adjustRightInd w:val="0"/>
        <w:spacing w:line="360" w:lineRule="auto"/>
        <w:ind w:left="247"/>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pPr>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致东莞市水务集团有限公司：</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14:textFill>
            <w14:solidFill>
              <w14:schemeClr w14:val="tx1"/>
            </w14:solidFill>
          </w14:textFill>
        </w:rPr>
        <w:t>东莞市水务集团有限公司2024年度食堂食材采购项目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广建咨询（东招）2024-0038号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left="-32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left="-320"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20"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left="-320"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left="-320"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pPr>
        <w:ind w:left="247"/>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pPr>
        <w:pageBreakBefore/>
        <w:autoSpaceDE w:val="0"/>
        <w:autoSpaceDN w:val="0"/>
        <w:adjustRightInd w:val="0"/>
        <w:spacing w:line="360" w:lineRule="auto"/>
        <w:ind w:left="24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54" w:name="_Toc161843195"/>
      <w:r>
        <w:rPr>
          <w:rFonts w:hint="eastAsia" w:ascii="宋体" w:hAnsi="宋体" w:eastAsia="宋体" w:cs="宋体"/>
          <w:b/>
          <w:color w:val="000000" w:themeColor="text1"/>
          <w:kern w:val="0"/>
          <w:sz w:val="32"/>
          <w:szCs w:val="32"/>
          <w:highlight w:val="none"/>
          <w14:textFill>
            <w14:solidFill>
              <w14:schemeClr w14:val="tx1"/>
            </w14:solidFill>
          </w14:textFill>
        </w:rPr>
        <w:t>四、投标报价表格式</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54"/>
    </w:p>
    <w:p>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455" w:name="_Toc102860416"/>
      <w:bookmarkStart w:id="456" w:name="_Toc1294"/>
      <w:bookmarkStart w:id="457" w:name="_Toc140596926"/>
      <w:bookmarkStart w:id="458" w:name="_Toc15425"/>
      <w:bookmarkStart w:id="459" w:name="_Toc24175"/>
      <w:bookmarkStart w:id="460" w:name="_Toc142508367"/>
      <w:bookmarkStart w:id="461" w:name="_Toc2395_WPSOffice_Level3"/>
      <w:bookmarkStart w:id="462" w:name="_Toc102860072"/>
      <w:bookmarkStart w:id="463" w:name="_Toc94107207"/>
      <w:bookmarkStart w:id="464" w:name="_Toc104991873"/>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455"/>
      <w:bookmarkEnd w:id="456"/>
      <w:bookmarkEnd w:id="457"/>
      <w:bookmarkEnd w:id="458"/>
      <w:bookmarkEnd w:id="459"/>
      <w:bookmarkEnd w:id="460"/>
      <w:bookmarkEnd w:id="461"/>
      <w:bookmarkEnd w:id="462"/>
      <w:bookmarkEnd w:id="463"/>
      <w:bookmarkEnd w:id="464"/>
    </w:p>
    <w:p>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pPr>
        <w:spacing w:line="360" w:lineRule="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东莞市水务集团有限公司2024年度食堂食材采购项目</w:t>
      </w:r>
    </w:p>
    <w:p>
      <w:pPr>
        <w:spacing w:line="360" w:lineRule="auto"/>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14:textFill>
            <w14:solidFill>
              <w14:schemeClr w14:val="tx1"/>
            </w14:solidFill>
          </w14:textFill>
        </w:rPr>
        <w:t>广建咨询（东招）2024-0038号</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331"/>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9" w:type="dxa"/>
            <w:vAlign w:val="center"/>
          </w:tcPr>
          <w:p>
            <w:pPr>
              <w:tabs>
                <w:tab w:val="left" w:pos="654"/>
                <w:tab w:val="left" w:pos="1734"/>
                <w:tab w:val="left" w:pos="2814"/>
                <w:tab w:val="left" w:pos="3894"/>
                <w:tab w:val="left" w:pos="5334"/>
                <w:tab w:val="left" w:pos="6414"/>
                <w:tab w:val="left" w:pos="7254"/>
                <w:tab w:val="left" w:pos="8574"/>
                <w:tab w:val="left" w:pos="9654"/>
              </w:tabs>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6331" w:type="dxa"/>
            <w:vAlign w:val="center"/>
          </w:tcPr>
          <w:p>
            <w:pPr>
              <w:tabs>
                <w:tab w:val="left" w:pos="654"/>
                <w:tab w:val="left" w:pos="1734"/>
                <w:tab w:val="left" w:pos="2814"/>
                <w:tab w:val="left" w:pos="3894"/>
                <w:tab w:val="left" w:pos="5334"/>
                <w:tab w:val="left" w:pos="6414"/>
                <w:tab w:val="left" w:pos="7254"/>
                <w:tab w:val="left" w:pos="8574"/>
                <w:tab w:val="left" w:pos="9654"/>
              </w:tabs>
              <w:ind w:left="247"/>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c>
        <w:tc>
          <w:tcPr>
            <w:tcW w:w="316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9" w:type="dxa"/>
            <w:vAlign w:val="center"/>
          </w:tcPr>
          <w:p>
            <w:pPr>
              <w:tabs>
                <w:tab w:val="left" w:pos="654"/>
                <w:tab w:val="left" w:pos="1734"/>
                <w:tab w:val="left" w:pos="2814"/>
                <w:tab w:val="left" w:pos="3894"/>
                <w:tab w:val="left" w:pos="5334"/>
                <w:tab w:val="left" w:pos="6414"/>
                <w:tab w:val="left" w:pos="7254"/>
                <w:tab w:val="left" w:pos="8574"/>
                <w:tab w:val="left" w:pos="9654"/>
              </w:tabs>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6331"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东莞市水务集团有限公司2024年度食堂食材采购项目</w:t>
            </w:r>
          </w:p>
        </w:tc>
        <w:tc>
          <w:tcPr>
            <w:tcW w:w="3168" w:type="dxa"/>
            <w:vAlign w:val="center"/>
          </w:tcPr>
          <w:p>
            <w:pPr>
              <w:tabs>
                <w:tab w:val="left" w:pos="360"/>
              </w:tabs>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自合同签订之日起一年</w:t>
            </w:r>
          </w:p>
        </w:tc>
      </w:tr>
    </w:tbl>
    <w:p>
      <w:pPr>
        <w:spacing w:line="353" w:lineRule="auto"/>
        <w:ind w:left="247"/>
        <w:rPr>
          <w:rFonts w:ascii="宋体" w:hAnsi="宋体" w:eastAsia="宋体" w:cs="宋体"/>
          <w:color w:val="000000" w:themeColor="text1"/>
          <w:highlight w:val="none"/>
          <w14:textFill>
            <w14:solidFill>
              <w14:schemeClr w14:val="tx1"/>
            </w14:solidFill>
          </w14:textFill>
        </w:rPr>
      </w:pPr>
    </w:p>
    <w:p>
      <w:pPr>
        <w:spacing w:line="360" w:lineRule="auto"/>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 本项目采用以下方式确定供货价格（定价原则）：</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原则上以东莞市发展和改革局（http://dgdp.dg.gov.cn/jggl/spjg/，网址仅供参考，具体以东莞市发展和改革局官方网址发布的为准）“东莞市菜篮子价格监测表”当月份最新公布本期（指招标人或招标人权属子公司或招标人权属子公司的分公司审批之日的最新期次）价格作为基准价抽样审核；若东莞物价专栏无最近当月份公布或招标人或招标人权属子公司或招标人权属子公司的分公司所需的相同品种，则招标人或招标人权属子公司或招标人权属子公司的分公司将对本市区农副产品市场（莞城细村农贸市场或新光明市场或长安沙头综合市场）的市场零售价（与中标人供货产品等级、质量相近的产品零售价）进行抽样调查，核定相同品种的市场零售价格作基准价。</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临时委托采购：中标人必须按照招标人或招标人权属子公司或招标人权属子公司的分公司急需餐料物资品种、数量、送货时间、地点等在2小时内进行供货，若急需餐料物资不在供货物资清单表上，该项临时需求食品材料纳入下次供货清单内，并按上述定价原则确定供货价。</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 定价周期：</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 A类（粮油干货类）、 B类（肉类）、 C类（蔬果类、其他类项）价格每半月更新一次，中标人每月12日前提交下半月报价给招标人或招标人权属子公司或招标人权属子公司的分公司审核，每月25日前提交下个月上半月报价给招标人或招标人权属子公司或招标人权属子公司的分公司审核。</w:t>
      </w:r>
    </w:p>
    <w:p>
      <w:pPr>
        <w:spacing w:line="360" w:lineRule="auto"/>
        <w:ind w:firstLine="422"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所供货品规格、型号报价与实际配送的规格型号相符合。核定价格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p>
      <w:pPr>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本表一式二份，一份随唱标信封一起提交，一份编入投标文件商务文件。</w:t>
      </w: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firstLine="4960" w:firstLineChars="2362"/>
        <w:rPr>
          <w:color w:val="000000" w:themeColor="text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日期：   年   月   日</w:t>
      </w:r>
      <w:r>
        <w:rPr>
          <w:color w:val="000000" w:themeColor="text1"/>
          <w:highlight w:val="none"/>
          <w:lang w:val="zh-CN"/>
          <w14:textFill>
            <w14:solidFill>
              <w14:schemeClr w14:val="tx1"/>
            </w14:solidFill>
          </w14:textFill>
        </w:rPr>
        <w:br w:type="page"/>
      </w:r>
      <w:bookmarkStart w:id="465" w:name="_Toc1977725"/>
      <w:bookmarkStart w:id="466" w:name="_Toc142508369"/>
      <w:bookmarkStart w:id="467" w:name="_Toc140596928"/>
      <w:bookmarkStart w:id="468" w:name="_Toc23083"/>
      <w:bookmarkStart w:id="469" w:name="_Toc102860074"/>
      <w:bookmarkStart w:id="470" w:name="_Toc94107209"/>
      <w:bookmarkStart w:id="471" w:name="_Toc6190"/>
      <w:bookmarkStart w:id="472" w:name="_Toc26516"/>
      <w:bookmarkStart w:id="473" w:name="_Toc102860418"/>
      <w:bookmarkStart w:id="474" w:name="_Toc104991875"/>
      <w:bookmarkStart w:id="475" w:name="_Toc533708124"/>
      <w:bookmarkStart w:id="476" w:name="_Toc20759_WPSOffice_Level2"/>
      <w:bookmarkStart w:id="477" w:name="_Toc486167712"/>
    </w:p>
    <w:p>
      <w:pPr>
        <w:pStyle w:val="2"/>
        <w:ind w:left="247" w:right="2247"/>
        <w:jc w:val="both"/>
        <w:rPr>
          <w:rFonts w:cs="宋体"/>
          <w:b/>
          <w:color w:val="000000" w:themeColor="text1"/>
          <w:sz w:val="32"/>
          <w:szCs w:val="32"/>
          <w:highlight w:val="none"/>
          <w14:textFill>
            <w14:solidFill>
              <w14:schemeClr w14:val="tx1"/>
            </w14:solidFill>
          </w14:textFill>
        </w:rPr>
      </w:pPr>
      <w:bookmarkStart w:id="478" w:name="_Toc161843196"/>
      <w:r>
        <w:rPr>
          <w:rFonts w:hint="eastAsia" w:cs="宋体"/>
          <w:b/>
          <w:color w:val="000000" w:themeColor="text1"/>
          <w:sz w:val="32"/>
          <w:szCs w:val="32"/>
          <w:highlight w:val="none"/>
          <w14:textFill>
            <w14:solidFill>
              <w14:schemeClr w14:val="tx1"/>
            </w14:solidFill>
          </w14:textFill>
        </w:rPr>
        <w:t>五、投标人资格证明文件</w:t>
      </w:r>
      <w:bookmarkEnd w:id="465"/>
      <w:bookmarkEnd w:id="466"/>
      <w:bookmarkEnd w:id="467"/>
      <w:bookmarkEnd w:id="468"/>
      <w:bookmarkEnd w:id="469"/>
      <w:bookmarkEnd w:id="470"/>
      <w:bookmarkEnd w:id="471"/>
      <w:bookmarkEnd w:id="472"/>
      <w:bookmarkEnd w:id="473"/>
      <w:bookmarkEnd w:id="474"/>
      <w:bookmarkEnd w:id="478"/>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479" w:name="_Toc17358"/>
      <w:bookmarkStart w:id="480" w:name="_Toc142508370"/>
      <w:bookmarkStart w:id="481" w:name="_Toc104991876"/>
      <w:bookmarkStart w:id="482" w:name="_Toc29874"/>
      <w:bookmarkStart w:id="483" w:name="_Toc25267"/>
      <w:bookmarkStart w:id="484" w:name="_Toc102860075"/>
      <w:bookmarkStart w:id="485" w:name="_Toc102860419"/>
      <w:bookmarkStart w:id="486" w:name="_Toc140596929"/>
      <w:bookmarkStart w:id="487" w:name="_Toc94107210"/>
      <w:bookmarkStart w:id="488"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479"/>
      <w:bookmarkEnd w:id="480"/>
      <w:bookmarkEnd w:id="481"/>
      <w:bookmarkEnd w:id="482"/>
      <w:bookmarkEnd w:id="483"/>
      <w:bookmarkEnd w:id="484"/>
      <w:bookmarkEnd w:id="485"/>
      <w:bookmarkEnd w:id="486"/>
      <w:bookmarkEnd w:id="487"/>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tabs>
          <w:tab w:val="left" w:pos="567"/>
        </w:tabs>
        <w:autoSpaceDE w:val="0"/>
        <w:autoSpaceDN w:val="0"/>
        <w:adjustRightInd w:val="0"/>
        <w:spacing w:line="360" w:lineRule="auto"/>
        <w:ind w:left="-320"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489" w:name="_Toc25013"/>
      <w:bookmarkStart w:id="490" w:name="_Toc102860420"/>
      <w:bookmarkStart w:id="491" w:name="_Toc102860076"/>
      <w:bookmarkStart w:id="492" w:name="_Toc104991877"/>
      <w:bookmarkStart w:id="493" w:name="_Toc94107211"/>
      <w:bookmarkStart w:id="494" w:name="_Toc7756"/>
      <w:bookmarkStart w:id="495" w:name="_Toc27861"/>
      <w:bookmarkStart w:id="496" w:name="_Toc142508371"/>
      <w:bookmarkStart w:id="497" w:name="_Toc140596930"/>
      <w:r>
        <w:rPr>
          <w:rFonts w:hint="eastAsia" w:ascii="宋体" w:hAnsi="宋体" w:eastAsia="宋体" w:cs="宋体"/>
          <w:b/>
          <w:color w:val="000000" w:themeColor="text1"/>
          <w:kern w:val="0"/>
          <w:sz w:val="30"/>
          <w:szCs w:val="30"/>
          <w:highlight w:val="none"/>
          <w14:textFill>
            <w14:solidFill>
              <w14:schemeClr w14:val="tx1"/>
            </w14:solidFill>
          </w14:textFill>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89"/>
      <w:bookmarkEnd w:id="490"/>
      <w:bookmarkEnd w:id="491"/>
      <w:bookmarkEnd w:id="492"/>
      <w:bookmarkEnd w:id="493"/>
      <w:bookmarkEnd w:id="494"/>
      <w:bookmarkEnd w:id="495"/>
      <w:bookmarkEnd w:id="496"/>
      <w:bookmarkEnd w:id="497"/>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498" w:name="_Toc17499"/>
      <w:bookmarkStart w:id="499" w:name="_Toc142508372"/>
      <w:bookmarkStart w:id="500" w:name="_Toc9132"/>
      <w:bookmarkStart w:id="501" w:name="_Toc94107212"/>
      <w:bookmarkStart w:id="502" w:name="_Toc140596931"/>
      <w:bookmarkStart w:id="503" w:name="_Toc104991878"/>
      <w:bookmarkStart w:id="504" w:name="_Toc7441"/>
      <w:bookmarkStart w:id="505" w:name="_Toc102860421"/>
      <w:bookmarkStart w:id="506" w:name="_Toc102860077"/>
      <w:r>
        <w:rPr>
          <w:rFonts w:hint="eastAsia" w:ascii="宋体" w:hAnsi="宋体" w:eastAsia="宋体" w:cs="宋体"/>
          <w:b/>
          <w:color w:val="000000" w:themeColor="text1"/>
          <w:kern w:val="0"/>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5.3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498"/>
      <w:bookmarkEnd w:id="499"/>
      <w:bookmarkEnd w:id="500"/>
      <w:bookmarkEnd w:id="501"/>
      <w:bookmarkEnd w:id="502"/>
      <w:bookmarkEnd w:id="503"/>
      <w:bookmarkEnd w:id="504"/>
      <w:bookmarkEnd w:id="505"/>
      <w:bookmarkEnd w:id="506"/>
    </w:p>
    <w:p>
      <w:pPr>
        <w:spacing w:before="120" w:after="120" w:line="360" w:lineRule="auto"/>
        <w:ind w:left="-320"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75"/>
      <w:bookmarkEnd w:id="476"/>
      <w:bookmarkEnd w:id="477"/>
      <w:bookmarkEnd w:id="488"/>
    </w:p>
    <w:p>
      <w:pPr>
        <w:spacing w:before="120" w:after="120" w:line="360" w:lineRule="auto"/>
        <w:ind w:left="-320"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pPr>
        <w:spacing w:before="120" w:after="120" w:line="360" w:lineRule="auto"/>
        <w:ind w:left="-320"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07"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08" w:name="_Toc45995270"/>
      <w:bookmarkStart w:id="509"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07"/>
    </w:p>
    <w:bookmarkEnd w:id="508"/>
    <w:bookmarkEnd w:id="509"/>
    <w:p>
      <w:pPr>
        <w:spacing w:before="120" w:after="120" w:line="360" w:lineRule="auto"/>
        <w:ind w:left="-320"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pPr>
        <w:spacing w:before="120" w:after="120"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pPr>
        <w:spacing w:before="120" w:after="120" w:line="360" w:lineRule="auto"/>
        <w:ind w:left="-320"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pPr>
        <w:spacing w:before="120" w:after="120"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pPr>
        <w:spacing w:before="120" w:after="120" w:line="360" w:lineRule="auto"/>
        <w:ind w:left="-320"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pPr>
        <w:spacing w:before="120" w:after="120" w:line="360" w:lineRule="auto"/>
        <w:ind w:left="-320"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pPr>
        <w:spacing w:before="120" w:after="120"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pPr>
        <w:autoSpaceDE w:val="0"/>
        <w:autoSpaceDN w:val="0"/>
        <w:adjustRightInd w:val="0"/>
        <w:spacing w:line="360" w:lineRule="auto"/>
        <w:ind w:left="-320"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0" t="0" r="9525" b="0"/>
                <wp:wrapNone/>
                <wp:docPr id="7"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CVEFsYRwIAAJYEAAAOAAAAAAAA&#10;AAEAIAAAACcBAABkcnMvZTJvRG9jLnhtbFBLBQYAAAAABgAGAFkBAADg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0" t="0" r="9525" b="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TR2QAAAAoBAAAPAAAAAAAAAAEA&#10;IAAAACIAAABkcnMvZG93bnJldi54bWxQSwECFAAUAAAACACHTuJAVeVNYEcCAACWBAAADgAAAAAA&#10;AAABACAAAAAoAQAAZHJzL2Uyb0RvYy54bWxQSwUGAAAAAAYABgBZAQAA4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0" t="0" r="9525" b="0"/>
                <wp:wrapNone/>
                <wp:docPr id="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DqAxrZRwIAAJYEAAAOAAAAAAAA&#10;AAEAIAAAACcBAABkcnMvZTJvRG9jLnhtbFBLBQYAAAAABgAGAFkBAADgBQ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ind w:left="247"/>
        <w:jc w:val="left"/>
        <w:rPr>
          <w:rFonts w:ascii="宋体" w:hAnsi="宋体" w:eastAsia="宋体" w:cs="宋体"/>
          <w:b/>
          <w:color w:val="000000" w:themeColor="text1"/>
          <w:kern w:val="0"/>
          <w:szCs w:val="21"/>
          <w:highlight w:val="none"/>
          <w14:textFill>
            <w14:solidFill>
              <w14:schemeClr w14:val="tx1"/>
            </w14:solidFill>
          </w14:textFill>
        </w:rPr>
      </w:pPr>
    </w:p>
    <w:p>
      <w:pPr>
        <w:autoSpaceDE w:val="0"/>
        <w:autoSpaceDN w:val="0"/>
        <w:adjustRightInd w:val="0"/>
        <w:ind w:left="247"/>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pPr>
        <w:autoSpaceDE w:val="0"/>
        <w:autoSpaceDN w:val="0"/>
        <w:adjustRightInd w:val="0"/>
        <w:ind w:left="247"/>
        <w:jc w:val="left"/>
        <w:rPr>
          <w:rFonts w:ascii="宋体" w:hAnsi="宋体" w:eastAsia="宋体" w:cs="宋体"/>
          <w:color w:val="000000" w:themeColor="text1"/>
          <w:kern w:val="0"/>
          <w:szCs w:val="21"/>
          <w:highlight w:val="none"/>
          <w14:textFill>
            <w14:solidFill>
              <w14:schemeClr w14:val="tx1"/>
            </w14:solidFill>
          </w14:textFill>
        </w:rPr>
      </w:pPr>
    </w:p>
    <w:p>
      <w:pPr>
        <w:spacing w:before="120" w:after="120" w:line="360" w:lineRule="auto"/>
        <w:ind w:left="-320"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26"/>
      <w:bookmarkEnd w:id="427"/>
      <w:bookmarkEnd w:id="428"/>
      <w:bookmarkStart w:id="510" w:name="_Toc6240_WPSOffice_Level2"/>
      <w:bookmarkStart w:id="511" w:name="_Toc533708125"/>
      <w:bookmarkStart w:id="512" w:name="_Toc1977727"/>
      <w:bookmarkStart w:id="513"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10"/>
      <w:bookmarkEnd w:id="511"/>
      <w:bookmarkEnd w:id="512"/>
      <w:bookmarkEnd w:id="513"/>
    </w:p>
    <w:p>
      <w:pPr>
        <w:autoSpaceDE w:val="0"/>
        <w:autoSpaceDN w:val="0"/>
        <w:adjustRightInd w:val="0"/>
        <w:spacing w:line="360" w:lineRule="auto"/>
        <w:ind w:left="247"/>
        <w:jc w:val="center"/>
        <w:rPr>
          <w:rFonts w:ascii="宋体" w:hAnsi="宋体" w:eastAsia="宋体" w:cs="宋体"/>
          <w:b/>
          <w:bCs/>
          <w:color w:val="000000" w:themeColor="text1"/>
          <w:sz w:val="30"/>
          <w:szCs w:val="30"/>
          <w:highlight w:val="none"/>
          <w:lang w:val="zh-CN"/>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14"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14"/>
    </w:p>
    <w:p>
      <w:pPr>
        <w:autoSpaceDE w:val="0"/>
        <w:autoSpaceDN w:val="0"/>
        <w:adjustRightInd w:val="0"/>
        <w:spacing w:line="360" w:lineRule="auto"/>
        <w:ind w:left="247"/>
        <w:jc w:val="center"/>
        <w:rPr>
          <w:rFonts w:ascii="宋体" w:hAnsi="宋体" w:eastAsia="宋体" w:cs="宋体"/>
          <w:color w:val="000000" w:themeColor="text1"/>
          <w:szCs w:val="28"/>
          <w:highlight w:val="none"/>
          <w:lang w:val="zh-CN"/>
          <w14:textFill>
            <w14:solidFill>
              <w14:schemeClr w14:val="tx1"/>
            </w14:solidFill>
          </w14:textFill>
        </w:rPr>
      </w:pPr>
    </w:p>
    <w:p>
      <w:pPr>
        <w:spacing w:before="120" w:after="120" w:line="360" w:lineRule="auto"/>
        <w:ind w:left="24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致：东莞市水务集团有限公司</w:t>
      </w:r>
    </w:p>
    <w:p>
      <w:pPr>
        <w:spacing w:before="120" w:after="120" w:line="360" w:lineRule="auto"/>
        <w:ind w:left="-320"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14:textFill>
            <w14:solidFill>
              <w14:schemeClr w14:val="tx1"/>
            </w14:solidFill>
          </w14:textFill>
        </w:rPr>
        <w:t>东莞市水务集团有限公司2024年度食堂食材采购项目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广建咨询（东招）2024-0038号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pPr>
        <w:spacing w:before="120" w:after="120" w:line="360" w:lineRule="auto"/>
        <w:ind w:left="-32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0" t="0" r="9525" b="9525"/>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EQPedkAAAAKAQAADwAAAAAAAAABACAA&#10;AAAiAAAAZHJzL2Rvd25yZXYueG1sUEsBAhQAFAAAAAgAh07iQKfapJpFAgAAlgQAAA4AAAAAAAAA&#10;AQAgAAAAKAEAAGRycy9lMm9Eb2MueG1sUEsFBgAAAAAGAAYAWQEAAN8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0" t="0" r="9525" b="952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u+XY2AAAAAkBAAAPAAAAAAAAAAEAIAAA&#10;ACIAAABkcnMvZG93bnJldi54bWxQSwECFAAUAAAACACHTuJAWORsS0UCAACWBAAADgAAAAAAAAAB&#10;ACAAAAAnAQAAZHJzL2Uyb0RvYy54bWxQSwUGAAAAAAYABgBZAQAA3g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YHyI9kAAAAKAQAADwAAAAAA&#10;AAABACAAAAAiAAAAZHJzL2Rvd25yZXYueG1sUEsBAhQAFAAAAAgAh07iQDeNZqVLAgAAlgQAAA4A&#10;AAAAAAAAAQAgAAAAKAEAAGRycy9lMm9Eb2MueG1sUEsFBgAAAAAGAAYAWQEAAOU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FRAn2AAAAAkBAAAPAAAAAAAA&#10;AAEAIAAAACIAAABkcnMvZG93bnJldi54bWxQSwECFAAUAAAACACHTuJAB5cOi0sCAACWBAAADgAA&#10;AAAAAAABACAAAAAnAQAAZHJzL2Uyb0RvYy54bWxQSwUGAAAAAAYABgBZAQAA5A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left="-320"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515" w:name="_Toc12400"/>
      <w:bookmarkStart w:id="516" w:name="_Toc32328"/>
      <w:bookmarkStart w:id="517" w:name="_Toc15716"/>
      <w:bookmarkStart w:id="518" w:name="_Toc1977730"/>
      <w:bookmarkStart w:id="519" w:name="_Toc142508373"/>
      <w:bookmarkStart w:id="520" w:name="_Toc104991880"/>
      <w:bookmarkStart w:id="521" w:name="_Toc140596933"/>
      <w:bookmarkStart w:id="522" w:name="_Toc94107214"/>
      <w:r>
        <w:rPr>
          <w:rFonts w:hint="eastAsia" w:ascii="宋体" w:hAnsi="宋体" w:eastAsia="宋体" w:cs="宋体"/>
          <w:b/>
          <w:color w:val="000000" w:themeColor="text1"/>
          <w:kern w:val="0"/>
          <w:sz w:val="30"/>
          <w:szCs w:val="30"/>
          <w:highlight w:val="none"/>
          <w14:textFill>
            <w14:solidFill>
              <w14:schemeClr w14:val="tx1"/>
            </w14:solidFill>
          </w14:textFill>
        </w:rPr>
        <w:t>5.4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食品药品监督管理部门或市场监督管理部门颁发并在有效期内的食品经营许可证复印件</w:t>
      </w:r>
    </w:p>
    <w:p>
      <w:pPr>
        <w:ind w:left="247"/>
        <w:rPr>
          <w:rFonts w:hAnsi="宋体" w:cs="宋体"/>
          <w:b/>
          <w:color w:val="000000" w:themeColor="text1"/>
          <w:sz w:val="30"/>
          <w:szCs w:val="30"/>
          <w:highlight w:val="none"/>
          <w14:textFill>
            <w14:solidFill>
              <w14:schemeClr w14:val="tx1"/>
            </w14:solidFill>
          </w14:textFill>
        </w:rPr>
      </w:pPr>
      <w:r>
        <w:rPr>
          <w:rFonts w:hAnsi="宋体" w:cs="宋体"/>
          <w:b/>
          <w:color w:val="000000" w:themeColor="text1"/>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5.5资格业绩【投标人提供一份2021年1月1日以来已完成或正在服务的饭堂、食堂食品或者食材供应链配送服务项目业绩（合同签订日期为2021年1月1日或以后）】</w:t>
      </w:r>
      <w:bookmarkEnd w:id="515"/>
      <w:bookmarkEnd w:id="516"/>
      <w:bookmarkEnd w:id="517"/>
    </w:p>
    <w:p>
      <w:pPr>
        <w:spacing w:line="360" w:lineRule="auto"/>
        <w:ind w:left="247"/>
        <w:rPr>
          <w:rFonts w:ascii="宋体" w:hAnsi="宋体" w:eastAsia="宋体" w:cs="宋体"/>
          <w:b/>
          <w:color w:val="000000" w:themeColor="text1"/>
          <w:szCs w:val="21"/>
          <w:highlight w:val="none"/>
          <w:lang w:val="zh-CN"/>
          <w14:textFill>
            <w14:solidFill>
              <w14:schemeClr w14:val="tx1"/>
            </w14:solidFill>
          </w14:textFill>
        </w:rPr>
      </w:pPr>
    </w:p>
    <w:tbl>
      <w:tblPr>
        <w:tblStyle w:val="37"/>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46"/>
        <w:gridCol w:w="1085"/>
        <w:gridCol w:w="1087"/>
        <w:gridCol w:w="1087"/>
        <w:gridCol w:w="1087"/>
        <w:gridCol w:w="1270"/>
        <w:gridCol w:w="1087"/>
        <w:gridCol w:w="1089"/>
        <w:gridCol w:w="108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46"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085"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108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项目规模</w:t>
            </w:r>
          </w:p>
        </w:tc>
        <w:tc>
          <w:tcPr>
            <w:tcW w:w="108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合同主要服务内容</w:t>
            </w:r>
          </w:p>
        </w:tc>
        <w:tc>
          <w:tcPr>
            <w:tcW w:w="108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合同期限</w:t>
            </w:r>
          </w:p>
        </w:tc>
        <w:tc>
          <w:tcPr>
            <w:tcW w:w="1270"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签约日期</w:t>
            </w:r>
          </w:p>
        </w:tc>
        <w:tc>
          <w:tcPr>
            <w:tcW w:w="108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服务完成情况</w:t>
            </w:r>
          </w:p>
        </w:tc>
        <w:tc>
          <w:tcPr>
            <w:tcW w:w="1089"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服务质量情况</w:t>
            </w:r>
          </w:p>
        </w:tc>
        <w:tc>
          <w:tcPr>
            <w:tcW w:w="1088"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业主联系人及电话</w:t>
            </w:r>
          </w:p>
        </w:tc>
        <w:tc>
          <w:tcPr>
            <w:tcW w:w="89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08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27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9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08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27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9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08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27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9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108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27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08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9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bl>
    <w:p>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pPr>
        <w:spacing w:line="360" w:lineRule="auto"/>
        <w:ind w:left="424" w:hanging="424" w:hangingChars="201"/>
        <w:jc w:val="lef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（1）业绩须附合同复印件加盖投标人公章；</w:t>
      </w:r>
    </w:p>
    <w:p>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（2）合同必须能反映评分条件（合同签订日期为</w:t>
      </w:r>
      <w:r>
        <w:rPr>
          <w:rFonts w:hint="eastAsia" w:ascii="宋体" w:hAnsi="宋体" w:eastAsia="宋体" w:cs="宋体"/>
          <w:color w:val="000000" w:themeColor="text1"/>
          <w:szCs w:val="21"/>
          <w:highlight w:val="none"/>
          <w14:textFill>
            <w14:solidFill>
              <w14:schemeClr w14:val="tx1"/>
            </w14:solidFill>
          </w14:textFill>
        </w:rPr>
        <w:t>2021</w:t>
      </w:r>
      <w:r>
        <w:rPr>
          <w:rFonts w:hint="eastAsia" w:ascii="宋体" w:hAnsi="宋体" w:eastAsia="宋体" w:cs="宋体"/>
          <w:color w:val="000000" w:themeColor="text1"/>
          <w:szCs w:val="21"/>
          <w:highlight w:val="none"/>
          <w:lang w:val="zh-CN"/>
          <w14:textFill>
            <w14:solidFill>
              <w14:schemeClr w14:val="tx1"/>
            </w14:solidFill>
          </w14:textFill>
        </w:rPr>
        <w:t>年1月1日或以后，合同服务内容必须为食品或者食材配送服务），否则，需同时提供合同买方出具的书面补充说明文件复印件作为证明文件（需加盖合同买方公章）；</w:t>
      </w:r>
    </w:p>
    <w:p>
      <w:pPr>
        <w:spacing w:line="360" w:lineRule="auto"/>
        <w:ind w:left="424" w:hanging="424" w:hangingChars="201"/>
        <w:jc w:val="left"/>
        <w:rPr>
          <w:rFonts w:ascii="宋体" w:hAnsi="宋体" w:eastAsia="宋体" w:cs="宋体"/>
          <w:b/>
          <w:color w:val="000000" w:themeColor="text1"/>
          <w:kern w:val="0"/>
          <w:sz w:val="30"/>
          <w:szCs w:val="30"/>
          <w:highlight w:val="none"/>
          <w14:textFill>
            <w14:solidFill>
              <w14:schemeClr w14:val="tx1"/>
            </w14:solidFill>
          </w14:textFill>
        </w:rPr>
      </w:pPr>
      <w:bookmarkStart w:id="523" w:name="_Toc24862"/>
      <w:bookmarkStart w:id="524" w:name="_Toc20010"/>
      <w:bookmarkStart w:id="525" w:name="_Toc12931"/>
      <w:r>
        <w:rPr>
          <w:rFonts w:hint="eastAsia" w:ascii="宋体" w:hAnsi="宋体" w:eastAsia="宋体" w:cs="宋体"/>
          <w:b/>
          <w:color w:val="000000" w:themeColor="text1"/>
          <w:szCs w:val="21"/>
          <w:highlight w:val="none"/>
          <w:lang w:val="zh-CN"/>
          <w14:textFill>
            <w14:solidFill>
              <w14:schemeClr w14:val="tx1"/>
            </w14:solidFill>
          </w14:textFill>
        </w:rPr>
        <w:t>（3）</w:t>
      </w:r>
      <w:bookmarkEnd w:id="523"/>
      <w:bookmarkEnd w:id="524"/>
      <w:bookmarkEnd w:id="525"/>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526" w:name="_Toc8121"/>
      <w:bookmarkStart w:id="527" w:name="_Toc7508"/>
      <w:bookmarkStart w:id="528" w:name="_Toc21843"/>
      <w:r>
        <w:rPr>
          <w:rFonts w:hint="eastAsia" w:ascii="宋体" w:hAnsi="宋体" w:eastAsia="宋体" w:cs="宋体"/>
          <w:b/>
          <w:color w:val="000000" w:themeColor="text1"/>
          <w:kern w:val="0"/>
          <w:sz w:val="30"/>
          <w:szCs w:val="30"/>
          <w:highlight w:val="none"/>
          <w14:textFill>
            <w14:solidFill>
              <w14:schemeClr w14:val="tx1"/>
            </w14:solidFill>
          </w14:textFill>
        </w:rPr>
        <w:t>5.6 最近3年投标人牵涉的其他（失信和违法）处罚说明格式</w:t>
      </w:r>
      <w:bookmarkEnd w:id="518"/>
      <w:bookmarkEnd w:id="519"/>
      <w:bookmarkEnd w:id="520"/>
      <w:bookmarkEnd w:id="521"/>
      <w:bookmarkEnd w:id="522"/>
      <w:bookmarkEnd w:id="526"/>
      <w:bookmarkEnd w:id="527"/>
      <w:bookmarkEnd w:id="528"/>
    </w:p>
    <w:p>
      <w:pPr>
        <w:autoSpaceDE w:val="0"/>
        <w:autoSpaceDN w:val="0"/>
        <w:adjustRightInd w:val="0"/>
        <w:spacing w:line="360" w:lineRule="auto"/>
        <w:ind w:left="247"/>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7"/>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1642"/>
        <w:gridCol w:w="262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933"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事项名称</w:t>
            </w:r>
          </w:p>
        </w:tc>
        <w:tc>
          <w:tcPr>
            <w:tcW w:w="1642"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62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47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33"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642"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62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147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33"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642"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62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147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33"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642"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62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147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pacing w:line="360" w:lineRule="auto"/>
        <w:ind w:left="247"/>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left="247"/>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ind w:left="247"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left="-320"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left="-320"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left="-320"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left="-320"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left="-320"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ind w:left="247"/>
        <w:rPr>
          <w:rFonts w:ascii="宋体" w:hAnsi="宋体" w:eastAsia="宋体" w:cs="宋体"/>
          <w:color w:val="000000" w:themeColor="text1"/>
          <w:szCs w:val="24"/>
          <w:highlight w:val="none"/>
          <w:lang w:val="zh-CN"/>
          <w14:textFill>
            <w14:solidFill>
              <w14:schemeClr w14:val="tx1"/>
            </w14:solidFill>
          </w14:textFill>
        </w:rPr>
      </w:pPr>
      <w:bookmarkStart w:id="529" w:name="_Toc102860423"/>
      <w:bookmarkStart w:id="530" w:name="_Toc1977731"/>
      <w:bookmarkStart w:id="531" w:name="_Toc30939"/>
      <w:bookmarkStart w:id="532" w:name="_Toc142508374"/>
      <w:bookmarkStart w:id="533" w:name="_Toc140596934"/>
      <w:bookmarkStart w:id="534" w:name="_Toc6412"/>
      <w:bookmarkStart w:id="535" w:name="_Toc486167714"/>
      <w:bookmarkStart w:id="536" w:name="_Toc94107215"/>
      <w:bookmarkStart w:id="537" w:name="_Toc533708126"/>
      <w:bookmarkStart w:id="538" w:name="_Toc102860079"/>
      <w:bookmarkStart w:id="539" w:name="_Toc2031_WPSOffice_Level2"/>
      <w:bookmarkStart w:id="540" w:name="_Toc104991881"/>
      <w:r>
        <w:rPr>
          <w:rFonts w:ascii="宋体" w:hAnsi="宋体" w:eastAsia="宋体" w:cs="宋体"/>
          <w:color w:val="000000" w:themeColor="text1"/>
          <w:szCs w:val="24"/>
          <w:highlight w:val="none"/>
          <w:lang w:val="zh-CN"/>
          <w14:textFill>
            <w14:solidFill>
              <w14:schemeClr w14:val="tx1"/>
            </w14:solidFill>
          </w14:textFill>
        </w:rPr>
        <w:br w:type="page"/>
      </w:r>
    </w:p>
    <w:p>
      <w:pPr>
        <w:tabs>
          <w:tab w:val="left" w:pos="567"/>
        </w:tabs>
        <w:autoSpaceDE w:val="0"/>
        <w:autoSpaceDN w:val="0"/>
        <w:adjustRightInd w:val="0"/>
        <w:spacing w:line="360" w:lineRule="auto"/>
        <w:ind w:left="247"/>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41" w:name="_Toc17508"/>
      <w:bookmarkStart w:id="542" w:name="_Toc161843197"/>
      <w:r>
        <w:rPr>
          <w:rFonts w:hint="eastAsia" w:ascii="宋体" w:hAnsi="宋体" w:eastAsia="宋体" w:cs="宋体"/>
          <w:b/>
          <w:color w:val="000000" w:themeColor="text1"/>
          <w:kern w:val="0"/>
          <w:sz w:val="32"/>
          <w:szCs w:val="32"/>
          <w:highlight w:val="none"/>
          <w14:textFill>
            <w14:solidFill>
              <w14:schemeClr w14:val="tx1"/>
            </w14:solidFill>
          </w14:textFill>
        </w:rPr>
        <w:t>六、投标人基本情况一览表</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autoSpaceDE w:val="0"/>
        <w:autoSpaceDN w:val="0"/>
        <w:adjustRightInd w:val="0"/>
        <w:spacing w:line="360" w:lineRule="auto"/>
        <w:ind w:left="247"/>
        <w:jc w:val="center"/>
        <w:rPr>
          <w:rFonts w:ascii="宋体" w:hAnsi="宋体" w:eastAsia="宋体" w:cs="宋体"/>
          <w:b/>
          <w:bCs/>
          <w:color w:val="000000" w:themeColor="text1"/>
          <w:sz w:val="30"/>
          <w:szCs w:val="30"/>
          <w:highlight w:val="none"/>
          <w14:textFill>
            <w14:solidFill>
              <w14:schemeClr w14:val="tx1"/>
            </w14:solidFill>
          </w14:textFill>
        </w:rPr>
      </w:pPr>
      <w:bookmarkStart w:id="543"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43"/>
    </w:p>
    <w:p>
      <w:pPr>
        <w:autoSpaceDE w:val="0"/>
        <w:autoSpaceDN w:val="0"/>
        <w:adjustRightInd w:val="0"/>
        <w:spacing w:line="360" w:lineRule="auto"/>
        <w:ind w:left="-320"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pPr>
        <w:autoSpaceDE w:val="0"/>
        <w:autoSpaceDN w:val="0"/>
        <w:adjustRightInd w:val="0"/>
        <w:spacing w:line="360" w:lineRule="auto"/>
        <w:ind w:left="-320"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pPr>
        <w:autoSpaceDE w:val="0"/>
        <w:autoSpaceDN w:val="0"/>
        <w:adjustRightInd w:val="0"/>
        <w:spacing w:line="360" w:lineRule="auto"/>
        <w:ind w:left="-320"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pPr>
        <w:autoSpaceDE w:val="0"/>
        <w:autoSpaceDN w:val="0"/>
        <w:adjustRightInd w:val="0"/>
        <w:spacing w:line="360" w:lineRule="auto"/>
        <w:ind w:left="247"/>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pPr>
        <w:autoSpaceDE w:val="0"/>
        <w:autoSpaceDN w:val="0"/>
        <w:adjustRightInd w:val="0"/>
        <w:spacing w:line="360" w:lineRule="auto"/>
        <w:ind w:left="-320"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pPr>
        <w:autoSpaceDE w:val="0"/>
        <w:autoSpaceDN w:val="0"/>
        <w:adjustRightInd w:val="0"/>
        <w:spacing w:line="360" w:lineRule="auto"/>
        <w:ind w:left="-320"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pPr>
        <w:autoSpaceDE w:val="0"/>
        <w:autoSpaceDN w:val="0"/>
        <w:adjustRightInd w:val="0"/>
        <w:spacing w:line="360" w:lineRule="auto"/>
        <w:ind w:left="-320"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pPr>
        <w:autoSpaceDE w:val="0"/>
        <w:autoSpaceDN w:val="0"/>
        <w:adjustRightInd w:val="0"/>
        <w:spacing w:line="360" w:lineRule="auto"/>
        <w:ind w:left="-320"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pPr>
        <w:autoSpaceDE w:val="0"/>
        <w:autoSpaceDN w:val="0"/>
        <w:adjustRightInd w:val="0"/>
        <w:spacing w:line="360" w:lineRule="auto"/>
        <w:ind w:left="-320"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left="-32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pPr>
        <w:autoSpaceDE w:val="0"/>
        <w:autoSpaceDN w:val="0"/>
        <w:adjustRightInd w:val="0"/>
        <w:spacing w:line="360" w:lineRule="auto"/>
        <w:ind w:left="-320" w:firstLine="420" w:firstLineChars="200"/>
        <w:rPr>
          <w:rFonts w:ascii="宋体" w:hAnsi="宋体" w:eastAsia="宋体" w:cs="宋体"/>
          <w:color w:val="000000" w:themeColor="text1"/>
          <w:szCs w:val="24"/>
          <w:highlight w:val="none"/>
          <w14:textFill>
            <w14:solidFill>
              <w14:schemeClr w14:val="tx1"/>
            </w14:solidFill>
          </w14:textFill>
        </w:rPr>
      </w:pPr>
    </w:p>
    <w:p>
      <w:pPr>
        <w:autoSpaceDE w:val="0"/>
        <w:autoSpaceDN w:val="0"/>
        <w:adjustRightInd w:val="0"/>
        <w:spacing w:line="360" w:lineRule="auto"/>
        <w:ind w:left="247"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left="-320"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44" w:name="_Toc161843198"/>
      <w:bookmarkStart w:id="545" w:name="_Toc102860424"/>
      <w:bookmarkStart w:id="546" w:name="_Toc102860080"/>
      <w:bookmarkStart w:id="547" w:name="_Toc4023"/>
      <w:bookmarkStart w:id="548" w:name="_Toc10443"/>
      <w:bookmarkStart w:id="549" w:name="_Toc94107216"/>
      <w:bookmarkStart w:id="550" w:name="_Toc29014"/>
      <w:bookmarkStart w:id="551" w:name="_Toc142508375"/>
      <w:bookmarkStart w:id="552" w:name="_Toc140596935"/>
      <w:bookmarkStart w:id="553" w:name="_Toc104991882"/>
      <w:bookmarkStart w:id="554" w:name="_Toc533708128"/>
      <w:bookmarkStart w:id="555" w:name="_Toc486167715"/>
      <w:bookmarkStart w:id="556" w:name="_Toc9051_WPSOffice_Level2"/>
      <w:bookmarkStart w:id="557" w:name="_Toc1977733"/>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44"/>
      <w:bookmarkEnd w:id="545"/>
      <w:bookmarkEnd w:id="546"/>
      <w:bookmarkEnd w:id="547"/>
      <w:bookmarkEnd w:id="548"/>
      <w:bookmarkEnd w:id="549"/>
      <w:bookmarkEnd w:id="550"/>
      <w:bookmarkEnd w:id="551"/>
      <w:bookmarkEnd w:id="552"/>
      <w:bookmarkEnd w:id="553"/>
    </w:p>
    <w:p>
      <w:pPr>
        <w:autoSpaceDE w:val="0"/>
        <w:autoSpaceDN w:val="0"/>
        <w:adjustRightInd w:val="0"/>
        <w:spacing w:line="360" w:lineRule="auto"/>
        <w:ind w:left="247"/>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pPr>
        <w:autoSpaceDE w:val="0"/>
        <w:autoSpaceDN w:val="0"/>
        <w:adjustRightInd w:val="0"/>
        <w:spacing w:line="360" w:lineRule="auto"/>
        <w:ind w:left="24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106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2111"/>
        <w:gridCol w:w="2118"/>
        <w:gridCol w:w="2947"/>
        <w:gridCol w:w="2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65"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2111"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211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947"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23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65"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ascii="宋体" w:hAnsi="宋体" w:eastAsia="宋体" w:cs="宋体"/>
                <w:color w:val="000000" w:themeColor="text1"/>
                <w:kern w:val="0"/>
                <w:szCs w:val="21"/>
                <w:highlight w:val="none"/>
                <w14:textFill>
                  <w14:solidFill>
                    <w14:schemeClr w14:val="tx1"/>
                  </w14:solidFill>
                </w14:textFill>
              </w:rPr>
              <w:t>0</w:t>
            </w:r>
          </w:p>
        </w:tc>
        <w:tc>
          <w:tcPr>
            <w:tcW w:w="2111"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11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947"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23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65"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ascii="宋体" w:hAnsi="宋体" w:eastAsia="宋体" w:cs="宋体"/>
                <w:color w:val="000000" w:themeColor="text1"/>
                <w:kern w:val="0"/>
                <w:szCs w:val="21"/>
                <w:highlight w:val="none"/>
                <w14:textFill>
                  <w14:solidFill>
                    <w14:schemeClr w14:val="tx1"/>
                  </w14:solidFill>
                </w14:textFill>
              </w:rPr>
              <w:t>1</w:t>
            </w:r>
          </w:p>
        </w:tc>
        <w:tc>
          <w:tcPr>
            <w:tcW w:w="2111"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11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947" w:type="dxa"/>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23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65"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w:t>
            </w:r>
            <w:r>
              <w:rPr>
                <w:rFonts w:ascii="宋体" w:hAnsi="宋体" w:eastAsia="宋体" w:cs="宋体"/>
                <w:color w:val="000000" w:themeColor="text1"/>
                <w:kern w:val="0"/>
                <w:szCs w:val="21"/>
                <w:highlight w:val="none"/>
                <w14:textFill>
                  <w14:solidFill>
                    <w14:schemeClr w14:val="tx1"/>
                  </w14:solidFill>
                </w14:textFill>
              </w:rPr>
              <w:t>2</w:t>
            </w:r>
          </w:p>
        </w:tc>
        <w:tc>
          <w:tcPr>
            <w:tcW w:w="2111"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11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947" w:type="dxa"/>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23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494" w:type="dxa"/>
            <w:gridSpan w:val="3"/>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947" w:type="dxa"/>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238" w:type="dxa"/>
            <w:vAlign w:val="center"/>
          </w:tcPr>
          <w:p>
            <w:pPr>
              <w:autoSpaceDE w:val="0"/>
              <w:autoSpaceDN w:val="0"/>
              <w:adjustRightInd w:val="0"/>
              <w:spacing w:line="360" w:lineRule="auto"/>
              <w:ind w:left="247"/>
              <w:jc w:val="center"/>
              <w:rPr>
                <w:rFonts w:ascii="宋体" w:hAnsi="宋体" w:eastAsia="宋体" w:cs="宋体"/>
                <w:color w:val="000000" w:themeColor="text1"/>
                <w:kern w:val="0"/>
                <w:szCs w:val="21"/>
                <w:highlight w:val="none"/>
                <w14:textFill>
                  <w14:solidFill>
                    <w14:schemeClr w14:val="tx1"/>
                  </w14:solidFill>
                </w14:textFill>
              </w:rPr>
            </w:pPr>
          </w:p>
        </w:tc>
      </w:tr>
    </w:tbl>
    <w:p>
      <w:pPr>
        <w:spacing w:line="360" w:lineRule="auto"/>
        <w:ind w:left="247"/>
        <w:rPr>
          <w:rFonts w:ascii="宋体" w:hAnsi="宋体" w:eastAsia="宋体" w:cs="宋体"/>
          <w:color w:val="000000" w:themeColor="text1"/>
          <w:kern w:val="0"/>
          <w:szCs w:val="21"/>
          <w:highlight w:val="none"/>
          <w14:textFill>
            <w14:solidFill>
              <w14:schemeClr w14:val="tx1"/>
            </w14:solidFill>
          </w14:textFill>
        </w:rPr>
      </w:pPr>
    </w:p>
    <w:p>
      <w:pPr>
        <w:spacing w:line="360" w:lineRule="auto"/>
        <w:ind w:left="24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left="-320" w:firstLine="5409" w:firstLineChars="2576"/>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left="-320" w:firstLine="5409" w:firstLineChars="2576"/>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left="-320"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pPr>
        <w:autoSpaceDE w:val="0"/>
        <w:autoSpaceDN w:val="0"/>
        <w:adjustRightInd w:val="0"/>
        <w:spacing w:line="360" w:lineRule="auto"/>
        <w:ind w:left="-320"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720" w:right="720" w:bottom="720" w:left="720"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54"/>
    <w:bookmarkEnd w:id="555"/>
    <w:bookmarkEnd w:id="556"/>
    <w:bookmarkEnd w:id="557"/>
    <w:p>
      <w:pPr>
        <w:tabs>
          <w:tab w:val="left" w:pos="567"/>
        </w:tabs>
        <w:autoSpaceDE w:val="0"/>
        <w:autoSpaceDN w:val="0"/>
        <w:adjustRightInd w:val="0"/>
        <w:spacing w:line="360" w:lineRule="auto"/>
        <w:ind w:left="247"/>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58" w:name="_Toc104991883"/>
      <w:bookmarkStart w:id="559" w:name="_Toc140596936"/>
      <w:bookmarkStart w:id="560" w:name="_Toc102860081"/>
      <w:bookmarkStart w:id="561" w:name="_Toc739_WPSOffice_Level2"/>
      <w:bookmarkStart w:id="562" w:name="_Toc486167716"/>
      <w:bookmarkStart w:id="563" w:name="_Toc533708130"/>
      <w:bookmarkStart w:id="564" w:name="_Toc161843199"/>
      <w:bookmarkStart w:id="565" w:name="_Toc17995"/>
      <w:bookmarkStart w:id="566" w:name="_Toc333"/>
      <w:bookmarkStart w:id="567" w:name="_Toc142508376"/>
      <w:bookmarkStart w:id="568" w:name="_Toc94107217"/>
      <w:bookmarkStart w:id="569" w:name="_Toc102860425"/>
      <w:bookmarkStart w:id="570" w:name="_Toc26821"/>
      <w:bookmarkStart w:id="571" w:name="_Toc1977736"/>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autoSpaceDE w:val="0"/>
        <w:autoSpaceDN w:val="0"/>
        <w:adjustRightInd w:val="0"/>
        <w:spacing w:line="360" w:lineRule="auto"/>
        <w:ind w:left="247"/>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572"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东莞市水务集团有限公司2024年度食堂食材采购项目合同条款偏离表</w:t>
      </w:r>
      <w:bookmarkEnd w:id="572"/>
    </w:p>
    <w:tbl>
      <w:tblPr>
        <w:tblStyle w:val="37"/>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570"/>
        <w:gridCol w:w="3368"/>
        <w:gridCol w:w="1483"/>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125" w:type="dxa"/>
            <w:vMerge w:val="restart"/>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938" w:type="dxa"/>
            <w:gridSpan w:val="2"/>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305" w:type="dxa"/>
            <w:gridSpan w:val="2"/>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125" w:type="dxa"/>
            <w:vMerge w:val="continue"/>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一</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食品材料名称、规格、品牌</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二</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订货方式、送货时间、地点及凭证</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三</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四</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合同期限</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合同价格</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六</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支付方式</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七</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八</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考核管理</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九</w:t>
            </w:r>
          </w:p>
        </w:tc>
        <w:tc>
          <w:tcPr>
            <w:tcW w:w="3368" w:type="dxa"/>
            <w:vAlign w:val="center"/>
          </w:tcPr>
          <w:p>
            <w:pPr>
              <w:autoSpaceDE w:val="0"/>
              <w:autoSpaceDN w:val="0"/>
              <w:adjustRightInd w:val="0"/>
              <w:spacing w:line="400" w:lineRule="exact"/>
              <w:ind w:left="247"/>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甲方的权利和义务</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乙方的权利和义务</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十一</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保密条款</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十二</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违约处理</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十三</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严禁转包或再分包</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十四</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合同终止</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十五</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争议处理</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十六</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十七</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需要双方明确的其他事项</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十八</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合同生效</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zh-CN"/>
                <w14:textFill>
                  <w14:solidFill>
                    <w14:schemeClr w14:val="tx1"/>
                  </w14:solidFill>
                </w14:textFill>
              </w:rPr>
              <w:t>1</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XX公司食堂配送服务考核评分表</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1570"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附件2</w:t>
            </w:r>
          </w:p>
        </w:tc>
        <w:tc>
          <w:tcPr>
            <w:tcW w:w="3368"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w:t>
            </w:r>
          </w:p>
        </w:tc>
        <w:tc>
          <w:tcPr>
            <w:tcW w:w="157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w:t>
            </w:r>
          </w:p>
        </w:tc>
        <w:tc>
          <w:tcPr>
            <w:tcW w:w="3368"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p>
        </w:tc>
        <w:tc>
          <w:tcPr>
            <w:tcW w:w="157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w:t>
            </w:r>
          </w:p>
        </w:tc>
        <w:tc>
          <w:tcPr>
            <w:tcW w:w="3368"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5"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w:t>
            </w:r>
          </w:p>
        </w:tc>
        <w:tc>
          <w:tcPr>
            <w:tcW w:w="157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w:t>
            </w:r>
          </w:p>
        </w:tc>
        <w:tc>
          <w:tcPr>
            <w:tcW w:w="3368"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483"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c>
          <w:tcPr>
            <w:tcW w:w="2822" w:type="dxa"/>
            <w:vAlign w:val="center"/>
          </w:tcPr>
          <w:p>
            <w:pPr>
              <w:autoSpaceDE w:val="0"/>
              <w:autoSpaceDN w:val="0"/>
              <w:adjustRightInd w:val="0"/>
              <w:spacing w:line="400" w:lineRule="exact"/>
              <w:ind w:left="247"/>
              <w:jc w:val="center"/>
              <w:rPr>
                <w:rFonts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pPr>
        <w:spacing w:line="360" w:lineRule="auto"/>
        <w:ind w:left="-320"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left="-320"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tabs>
          <w:tab w:val="left" w:pos="567"/>
        </w:tabs>
        <w:autoSpaceDE w:val="0"/>
        <w:autoSpaceDN w:val="0"/>
        <w:adjustRightInd w:val="0"/>
        <w:spacing w:line="360" w:lineRule="auto"/>
        <w:ind w:left="247"/>
        <w:jc w:val="left"/>
        <w:outlineLvl w:val="2"/>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573" w:name="_Toc104991884"/>
      <w:bookmarkStart w:id="574" w:name="_Toc161843200"/>
      <w:bookmarkStart w:id="575" w:name="_Toc94107218"/>
      <w:bookmarkStart w:id="576" w:name="_Toc13179"/>
      <w:bookmarkStart w:id="577" w:name="_Toc140596937"/>
      <w:bookmarkStart w:id="578" w:name="_Toc102860426"/>
      <w:bookmarkStart w:id="579" w:name="_Toc29505"/>
      <w:bookmarkStart w:id="580" w:name="_Toc102860082"/>
      <w:bookmarkStart w:id="581" w:name="_Toc142508377"/>
      <w:bookmarkStart w:id="582" w:name="_Toc5473"/>
      <w:bookmarkStart w:id="583" w:name="_Toc27980_WPSOffice_Level2"/>
      <w:bookmarkStart w:id="584" w:name="_Toc486167717"/>
      <w:r>
        <w:rPr>
          <w:rFonts w:hint="eastAsia" w:ascii="宋体" w:hAnsi="宋体" w:eastAsia="宋体" w:cs="宋体"/>
          <w:b/>
          <w:color w:val="000000" w:themeColor="text1"/>
          <w:kern w:val="0"/>
          <w:sz w:val="32"/>
          <w:szCs w:val="32"/>
          <w:highlight w:val="none"/>
          <w14:textFill>
            <w14:solidFill>
              <w14:schemeClr w14:val="tx1"/>
            </w14:solidFill>
          </w14:textFill>
        </w:rPr>
        <w:t>九、业绩表格式</w:t>
      </w:r>
      <w:bookmarkEnd w:id="573"/>
      <w:bookmarkEnd w:id="574"/>
      <w:bookmarkEnd w:id="575"/>
      <w:bookmarkEnd w:id="576"/>
      <w:bookmarkEnd w:id="577"/>
      <w:bookmarkEnd w:id="578"/>
      <w:bookmarkEnd w:id="579"/>
      <w:bookmarkEnd w:id="580"/>
      <w:bookmarkEnd w:id="581"/>
      <w:bookmarkEnd w:id="582"/>
    </w:p>
    <w:p>
      <w:pPr>
        <w:ind w:left="247"/>
        <w:rPr>
          <w:color w:val="000000" w:themeColor="text1"/>
          <w:highlight w:val="none"/>
          <w:lang w:val="zh-CN"/>
          <w14:textFill>
            <w14:solidFill>
              <w14:schemeClr w14:val="tx1"/>
            </w14:solidFill>
          </w14:textFill>
        </w:rPr>
      </w:pPr>
    </w:p>
    <w:p>
      <w:pPr>
        <w:autoSpaceDE w:val="0"/>
        <w:autoSpaceDN w:val="0"/>
        <w:adjustRightInd w:val="0"/>
        <w:spacing w:line="360" w:lineRule="auto"/>
        <w:ind w:left="247"/>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年1月1日（合同签订日期为202</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年1月1日或以后）至今已完成或正在服务的饭堂、食堂食品或食材供应链配送服务项目业绩表</w:t>
      </w:r>
    </w:p>
    <w:p>
      <w:pPr>
        <w:ind w:left="247"/>
        <w:rPr>
          <w:color w:val="000000" w:themeColor="text1"/>
          <w:highlight w:val="none"/>
          <w:lang w:val="zh-CN"/>
          <w14:textFill>
            <w14:solidFill>
              <w14:schemeClr w14:val="tx1"/>
            </w14:solidFill>
          </w14:textFill>
        </w:rPr>
      </w:pPr>
    </w:p>
    <w:tbl>
      <w:tblPr>
        <w:tblStyle w:val="37"/>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7"/>
        <w:gridCol w:w="706"/>
        <w:gridCol w:w="706"/>
        <w:gridCol w:w="1105"/>
        <w:gridCol w:w="1546"/>
        <w:gridCol w:w="958"/>
        <w:gridCol w:w="707"/>
        <w:gridCol w:w="707"/>
        <w:gridCol w:w="833"/>
        <w:gridCol w:w="833"/>
        <w:gridCol w:w="95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807" w:hRule="exact"/>
          <w:jc w:val="center"/>
        </w:trPr>
        <w:tc>
          <w:tcPr>
            <w:tcW w:w="577"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06"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706"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项目规模</w:t>
            </w:r>
          </w:p>
        </w:tc>
        <w:tc>
          <w:tcPr>
            <w:tcW w:w="1105"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合同金额（万元）</w:t>
            </w:r>
          </w:p>
        </w:tc>
        <w:tc>
          <w:tcPr>
            <w:tcW w:w="1546"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年度配送服务项目总金额（万元）</w:t>
            </w:r>
          </w:p>
        </w:tc>
        <w:tc>
          <w:tcPr>
            <w:tcW w:w="958"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合同主要服务内容</w:t>
            </w:r>
          </w:p>
        </w:tc>
        <w:tc>
          <w:tcPr>
            <w:tcW w:w="707"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合同期限</w:t>
            </w:r>
          </w:p>
        </w:tc>
        <w:tc>
          <w:tcPr>
            <w:tcW w:w="707"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签约日期</w:t>
            </w:r>
          </w:p>
        </w:tc>
        <w:tc>
          <w:tcPr>
            <w:tcW w:w="833"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服务完成情况</w:t>
            </w:r>
          </w:p>
        </w:tc>
        <w:tc>
          <w:tcPr>
            <w:tcW w:w="833"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服务质量情况</w:t>
            </w:r>
          </w:p>
        </w:tc>
        <w:tc>
          <w:tcPr>
            <w:tcW w:w="958"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业主联系人及电话</w:t>
            </w:r>
          </w:p>
        </w:tc>
        <w:tc>
          <w:tcPr>
            <w:tcW w:w="578"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07" w:hRule="exact"/>
          <w:jc w:val="center"/>
        </w:trPr>
        <w:tc>
          <w:tcPr>
            <w:tcW w:w="57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0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5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57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86" w:hRule="exact"/>
          <w:jc w:val="center"/>
        </w:trPr>
        <w:tc>
          <w:tcPr>
            <w:tcW w:w="57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0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5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57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87" w:hRule="exact"/>
          <w:jc w:val="center"/>
        </w:trPr>
        <w:tc>
          <w:tcPr>
            <w:tcW w:w="57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0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5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57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24" w:hRule="exact"/>
          <w:jc w:val="center"/>
        </w:trPr>
        <w:tc>
          <w:tcPr>
            <w:tcW w:w="57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05"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546"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707"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833"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95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578"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bl>
    <w:p>
      <w:pPr>
        <w:autoSpaceDE w:val="0"/>
        <w:autoSpaceDN w:val="0"/>
        <w:adjustRightInd w:val="0"/>
        <w:snapToGrid w:val="0"/>
        <w:spacing w:line="360" w:lineRule="auto"/>
        <w:ind w:left="247"/>
        <w:jc w:val="left"/>
        <w:rPr>
          <w:rFonts w:ascii="宋体" w:hAnsi="宋体" w:eastAsia="宋体" w:cs="Times New Roman"/>
          <w:color w:val="000000" w:themeColor="text1"/>
          <w:szCs w:val="24"/>
          <w:highlight w:val="none"/>
          <w:lang w:val="zh-CN"/>
          <w14:textFill>
            <w14:solidFill>
              <w14:schemeClr w14:val="tx1"/>
            </w14:solidFill>
          </w14:textFill>
        </w:rPr>
      </w:pPr>
    </w:p>
    <w:p>
      <w:pPr>
        <w:autoSpaceDE w:val="0"/>
        <w:autoSpaceDN w:val="0"/>
        <w:adjustRightInd w:val="0"/>
        <w:snapToGrid w:val="0"/>
        <w:spacing w:line="360" w:lineRule="auto"/>
        <w:ind w:left="247"/>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w:t>
      </w:r>
      <w:r>
        <w:rPr>
          <w:rFonts w:hint="eastAsia" w:ascii="宋体" w:hAnsi="宋体" w:eastAsia="宋体" w:cs="Times New Roman"/>
          <w:color w:val="000000" w:themeColor="text1"/>
          <w:szCs w:val="24"/>
          <w:highlight w:val="none"/>
          <w:lang w:val="zh-CN"/>
          <w14:textFill>
            <w14:solidFill>
              <w14:schemeClr w14:val="tx1"/>
            </w14:solidFill>
          </w14:textFill>
        </w:rPr>
        <w:t>合同年度配送服务</w:t>
      </w:r>
      <w:r>
        <w:rPr>
          <w:rFonts w:hint="eastAsia" w:ascii="宋体" w:hAnsi="宋体" w:eastAsia="宋体" w:cs="宋体"/>
          <w:color w:val="000000" w:themeColor="text1"/>
          <w:szCs w:val="21"/>
          <w:highlight w:val="none"/>
          <w14:textFill>
            <w14:solidFill>
              <w14:schemeClr w14:val="tx1"/>
            </w14:solidFill>
          </w14:textFill>
        </w:rPr>
        <w:t>项目总金额</w:t>
      </w:r>
      <w:r>
        <w:rPr>
          <w:rFonts w:ascii="宋体" w:hAnsi="宋体" w:eastAsia="宋体" w:cs="Times New Roman"/>
          <w:color w:val="000000" w:themeColor="text1"/>
          <w:szCs w:val="24"/>
          <w:highlight w:val="none"/>
          <w:lang w:val="zh-CN"/>
          <w14:textFill>
            <w14:solidFill>
              <w14:schemeClr w14:val="tx1"/>
            </w14:solidFill>
          </w14:textFill>
        </w:rPr>
        <w:t>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lang w:val="zh-CN"/>
          <w14:textFill>
            <w14:solidFill>
              <w14:schemeClr w14:val="tx1"/>
            </w14:solidFill>
          </w14:textFill>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业绩须附合同复印件加盖投标人公章；</w:t>
      </w:r>
    </w:p>
    <w:p>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必须能反映评分条件（合同签订日期为2021年1月1日或以后，合同服务内容必须为食品或者食材配送服务，合同金额），否则，需同时提供对应金额的发票或合同买方出具的书面补充说明文件复印件作为证明文件（需加盖合同买方公章）；</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若业绩为框架式协议或资格入围无明确金额的合同，必须同时提供合同期限内已服务发票金额统计表和发票复印件；</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w:t>
      </w:r>
    </w:p>
    <w:p>
      <w:pPr>
        <w:autoSpaceDE w:val="0"/>
        <w:autoSpaceDN w:val="0"/>
        <w:adjustRightInd w:val="0"/>
        <w:snapToGrid w:val="0"/>
        <w:spacing w:line="360" w:lineRule="auto"/>
        <w:ind w:left="483" w:leftChars="-41" w:hanging="569"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14:textFill>
            <w14:solidFill>
              <w14:schemeClr w14:val="tx1"/>
            </w14:solidFill>
          </w14:textFill>
        </w:rPr>
        <w:t>6</w:t>
      </w:r>
      <w:r>
        <w:rPr>
          <w:rFonts w:hint="eastAsia" w:ascii="宋体" w:hAnsi="宋体" w:eastAsia="宋体" w:cs="Times New Roman"/>
          <w:b/>
          <w:bCs/>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w:t>
      </w:r>
      <w:r>
        <w:rPr>
          <w:rFonts w:hint="eastAsia" w:ascii="宋体" w:hAnsi="宋体" w:eastAsia="宋体" w:cs="Times New Roman"/>
          <w:b/>
          <w:bCs/>
          <w:color w:val="000000" w:themeColor="text1"/>
          <w:szCs w:val="24"/>
          <w:highlight w:val="none"/>
          <w14:textFill>
            <w14:solidFill>
              <w14:schemeClr w14:val="tx1"/>
            </w14:solidFill>
          </w14:textFill>
        </w:rPr>
        <w:t>予</w:t>
      </w:r>
      <w:r>
        <w:rPr>
          <w:rFonts w:hint="eastAsia" w:ascii="宋体" w:hAnsi="宋体" w:eastAsia="宋体" w:cs="Times New Roman"/>
          <w:b/>
          <w:bCs/>
          <w:color w:val="000000" w:themeColor="text1"/>
          <w:szCs w:val="24"/>
          <w:highlight w:val="none"/>
          <w:lang w:val="zh-CN"/>
          <w14:textFill>
            <w14:solidFill>
              <w14:schemeClr w14:val="tx1"/>
            </w14:solidFill>
          </w14:textFill>
        </w:rPr>
        <w:t>考虑</w:t>
      </w:r>
      <w:r>
        <w:rPr>
          <w:rFonts w:hint="eastAsia" w:ascii="宋体" w:hAnsi="宋体" w:eastAsia="宋体" w:cs="Times New Roman"/>
          <w:b/>
          <w:bCs/>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7）招标人有权对上述业绩进行核查，若发现弄虚作假，有权按照评标委员会推荐的中标候选人名单排序依次确定其他中标候选人为中标人或重新招标，并不予退还投标保证金，若合同履行过程中发现弄虚作假，将没收履约担保，并将上报行政管理部门，从严处理。</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（8）在接到招标人通知之日起3个工作日内，投标人必须提供上述合同及其证明材料的原件供招标人核对其真实性。</w:t>
      </w:r>
    </w:p>
    <w:p>
      <w:pPr>
        <w:autoSpaceDE w:val="0"/>
        <w:autoSpaceDN w:val="0"/>
        <w:adjustRightInd w:val="0"/>
        <w:spacing w:line="360" w:lineRule="auto"/>
        <w:ind w:left="-320"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left="-320"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pPr>
        <w:ind w:left="247"/>
        <w:rPr>
          <w:color w:val="000000" w:themeColor="text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pStyle w:val="18"/>
        <w:ind w:left="247"/>
        <w:jc w:val="both"/>
        <w:rPr>
          <w:rFonts w:hAnsi="宋体" w:cs="宋体"/>
          <w:color w:val="000000" w:themeColor="text1"/>
          <w:sz w:val="21"/>
          <w:highlight w:val="none"/>
          <w14:textFill>
            <w14:solidFill>
              <w14:schemeClr w14:val="tx1"/>
            </w14:solidFill>
          </w14:textFill>
        </w:rPr>
      </w:pPr>
    </w:p>
    <w:p>
      <w:pPr>
        <w:ind w:left="247"/>
        <w:rPr>
          <w:rFonts w:hAnsi="宋体" w:cs="宋体"/>
          <w:b/>
          <w:color w:val="000000" w:themeColor="text1"/>
          <w:sz w:val="32"/>
          <w:szCs w:val="32"/>
          <w:highlight w:val="none"/>
          <w14:textFill>
            <w14:solidFill>
              <w14:schemeClr w14:val="tx1"/>
            </w14:solidFill>
          </w14:textFill>
        </w:rPr>
      </w:pPr>
      <w:bookmarkStart w:id="585" w:name="_Toc12972"/>
      <w:r>
        <w:rPr>
          <w:rFonts w:hint="eastAsia" w:hAnsi="宋体" w:cs="宋体"/>
          <w:b/>
          <w:color w:val="000000" w:themeColor="text1"/>
          <w:sz w:val="32"/>
          <w:szCs w:val="32"/>
          <w:highlight w:val="none"/>
          <w14:textFill>
            <w14:solidFill>
              <w14:schemeClr w14:val="tx1"/>
            </w14:solidFill>
          </w14:textFill>
        </w:rPr>
        <w:br w:type="page"/>
      </w:r>
    </w:p>
    <w:p>
      <w:pPr>
        <w:spacing w:line="360" w:lineRule="auto"/>
        <w:ind w:left="247"/>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附表：已服务发票金额统计表</w:t>
      </w:r>
    </w:p>
    <w:tbl>
      <w:tblPr>
        <w:tblStyle w:val="3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5208" w:type="dxa"/>
            <w:gridSpan w:val="4"/>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合同约定的服务期</w:t>
            </w:r>
          </w:p>
        </w:tc>
        <w:tc>
          <w:tcPr>
            <w:tcW w:w="5208" w:type="dxa"/>
            <w:gridSpan w:val="4"/>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发票抬头（</w:t>
            </w:r>
            <w:r>
              <w:rPr>
                <w:rFonts w:hint="eastAsia" w:ascii="宋体" w:hAnsi="宋体" w:cs="宋体"/>
                <w:color w:val="000000" w:themeColor="text1"/>
                <w:highlight w:val="none"/>
                <w14:textFill>
                  <w14:solidFill>
                    <w14:schemeClr w14:val="tx1"/>
                  </w14:solidFill>
                </w14:textFill>
              </w:rPr>
              <w:t>合同甲方）</w:t>
            </w:r>
          </w:p>
        </w:tc>
        <w:tc>
          <w:tcPr>
            <w:tcW w:w="5208" w:type="dxa"/>
            <w:gridSpan w:val="4"/>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3202"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发票名目</w:t>
            </w: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发票金额</w:t>
            </w: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发票号码</w:t>
            </w: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发票所属时期</w:t>
            </w: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202"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202"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202"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202"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发票金额合计</w:t>
            </w:r>
          </w:p>
        </w:tc>
        <w:tc>
          <w:tcPr>
            <w:tcW w:w="1135"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74"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558"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c>
          <w:tcPr>
            <w:tcW w:w="1241" w:type="dxa"/>
            <w:vAlign w:val="center"/>
          </w:tcPr>
          <w:p>
            <w:pPr>
              <w:pStyle w:val="21"/>
              <w:snapToGrid w:val="0"/>
              <w:spacing w:line="360" w:lineRule="auto"/>
              <w:ind w:left="0" w:leftChars="0"/>
              <w:jc w:val="center"/>
              <w:rPr>
                <w:rFonts w:ascii="宋体" w:hAnsi="宋体" w:cs="宋体"/>
                <w:color w:val="000000" w:themeColor="text1"/>
                <w:szCs w:val="21"/>
                <w:highlight w:val="none"/>
                <w14:textFill>
                  <w14:solidFill>
                    <w14:schemeClr w14:val="tx1"/>
                  </w14:solidFill>
                </w14:textFill>
              </w:rPr>
            </w:pPr>
          </w:p>
        </w:tc>
      </w:tr>
    </w:tbl>
    <w:p>
      <w:pPr>
        <w:snapToGrid w:val="0"/>
        <w:spacing w:line="360" w:lineRule="auto"/>
        <w:ind w:left="491" w:leftChars="-57" w:hanging="611" w:hangingChars="291"/>
        <w:rPr>
          <w:rFonts w:ascii="宋体" w:hAnsi="宋体" w:eastAsia="宋体" w:cs="宋体"/>
          <w:color w:val="000000" w:themeColor="text1"/>
          <w:highlight w:val="none"/>
          <w14:textFill>
            <w14:solidFill>
              <w14:schemeClr w14:val="tx1"/>
            </w14:solidFill>
          </w14:textFill>
        </w:rPr>
      </w:pPr>
    </w:p>
    <w:p>
      <w:pPr>
        <w:snapToGrid w:val="0"/>
        <w:spacing w:line="360" w:lineRule="auto"/>
        <w:ind w:left="491" w:leftChars="-57" w:hanging="611" w:hangingChars="29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snapToGrid w:val="0"/>
        <w:spacing w:line="360" w:lineRule="auto"/>
        <w:ind w:left="396" w:leftChars="-58" w:hanging="518" w:hangingChars="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（1）投标人提供框架式协议或资格入围无明确金额的合同时，须同时提供本统计表及服务发票复印件，本统计表及服务发票复印件应后附于合同复印件；</w:t>
      </w:r>
    </w:p>
    <w:p>
      <w:pPr>
        <w:snapToGrid w:val="0"/>
        <w:spacing w:line="360" w:lineRule="auto"/>
        <w:ind w:left="396" w:leftChars="-58" w:hanging="518" w:hangingChars="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（2）发票抬头应为合同服务购买方，销售方应为投标人，且发票名目、所属时期应与合同约定内容一致，否则不计分；</w:t>
      </w:r>
      <w:bookmarkStart w:id="586" w:name="_Toc22445"/>
      <w:bookmarkStart w:id="587" w:name="_Toc2780"/>
    </w:p>
    <w:p>
      <w:pPr>
        <w:snapToGrid w:val="0"/>
        <w:spacing w:line="360" w:lineRule="auto"/>
        <w:ind w:left="396" w:leftChars="-58" w:hanging="518" w:hangingChars="247"/>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bookmarkEnd w:id="586"/>
      <w:bookmarkEnd w:id="587"/>
      <w:r>
        <w:rPr>
          <w:rFonts w:hint="eastAsia" w:ascii="宋体" w:hAnsi="宋体" w:eastAsia="宋体" w:cs="宋体"/>
          <w:color w:val="000000" w:themeColor="text1"/>
          <w:highlight w:val="none"/>
          <w14:textFill>
            <w14:solidFill>
              <w14:schemeClr w14:val="tx1"/>
            </w14:solidFill>
          </w14:textFill>
        </w:rPr>
        <w:t>发票合计金额视为投标人所提供该单项</w:t>
      </w:r>
      <w:r>
        <w:rPr>
          <w:rFonts w:hint="eastAsia" w:ascii="宋体" w:hAnsi="宋体" w:eastAsia="宋体" w:cs="宋体"/>
          <w:color w:val="000000" w:themeColor="text1"/>
          <w:highlight w:val="none"/>
          <w:lang w:val="pt-BR"/>
          <w14:textFill>
            <w14:solidFill>
              <w14:schemeClr w14:val="tx1"/>
            </w14:solidFill>
          </w14:textFill>
        </w:rPr>
        <w:t>饭堂、食堂食品或者食材供应链配送服务项目</w:t>
      </w:r>
      <w:r>
        <w:rPr>
          <w:rFonts w:hint="eastAsia" w:ascii="宋体" w:hAnsi="宋体" w:eastAsia="宋体" w:cs="宋体"/>
          <w:color w:val="000000" w:themeColor="text1"/>
          <w:highlight w:val="none"/>
          <w14:textFill>
            <w14:solidFill>
              <w14:schemeClr w14:val="tx1"/>
            </w14:solidFill>
          </w14:textFill>
        </w:rPr>
        <w:t>实际总金额，评审时将按照“年度配送服务项目总金额”进行评审。</w:t>
      </w:r>
    </w:p>
    <w:p>
      <w:pPr>
        <w:ind w:left="247"/>
        <w:rPr>
          <w:rFonts w:hAnsi="宋体" w:cs="宋体"/>
          <w:b/>
          <w:color w:val="000000" w:themeColor="text1"/>
          <w:sz w:val="32"/>
          <w:szCs w:val="32"/>
          <w:highlight w:val="none"/>
          <w14:textFill>
            <w14:solidFill>
              <w14:schemeClr w14:val="tx1"/>
            </w14:solidFill>
          </w14:textFill>
        </w:rPr>
      </w:pPr>
    </w:p>
    <w:p>
      <w:pPr>
        <w:ind w:left="247"/>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br w:type="page"/>
      </w:r>
    </w:p>
    <w:bookmarkEnd w:id="583"/>
    <w:bookmarkEnd w:id="584"/>
    <w:bookmarkEnd w:id="585"/>
    <w:p>
      <w:pPr>
        <w:ind w:left="247"/>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588" w:name="_Toc161843201"/>
      <w:bookmarkStart w:id="589" w:name="_Toc18413"/>
      <w:bookmarkStart w:id="590" w:name="_Toc18175_WPSOffice_Level2"/>
      <w:bookmarkStart w:id="591" w:name="_Toc94107220"/>
      <w:bookmarkStart w:id="592" w:name="_Toc31965"/>
      <w:bookmarkStart w:id="593" w:name="_Toc104991885"/>
      <w:bookmarkStart w:id="594" w:name="_Toc102860427"/>
      <w:bookmarkStart w:id="595" w:name="_Toc140596938"/>
      <w:bookmarkStart w:id="596" w:name="_Toc1977737"/>
      <w:bookmarkStart w:id="597" w:name="_Toc142508378"/>
      <w:bookmarkStart w:id="598" w:name="_Toc102860083"/>
      <w:bookmarkStart w:id="599" w:name="_Toc533708132"/>
      <w:bookmarkStart w:id="600" w:name="_Toc19890"/>
      <w:bookmarkStart w:id="601" w:name="_Toc486167719"/>
      <w:r>
        <w:rPr>
          <w:rFonts w:hint="eastAsia" w:ascii="宋体" w:hAnsi="宋体" w:eastAsia="宋体" w:cs="宋体"/>
          <w:b/>
          <w:color w:val="000000" w:themeColor="text1"/>
          <w:kern w:val="0"/>
          <w:sz w:val="32"/>
          <w:szCs w:val="32"/>
          <w:highlight w:val="none"/>
          <w14:textFill>
            <w14:solidFill>
              <w14:schemeClr w14:val="tx1"/>
            </w14:solidFill>
          </w14:textFill>
        </w:rPr>
        <w:t>十、</w:t>
      </w:r>
      <w:bookmarkEnd w:id="588"/>
      <w:r>
        <w:rPr>
          <w:rFonts w:hint="eastAsia" w:ascii="宋体" w:hAnsi="宋体" w:eastAsia="宋体" w:cs="宋体"/>
          <w:b/>
          <w:color w:val="000000" w:themeColor="text1"/>
          <w:kern w:val="0"/>
          <w:sz w:val="32"/>
          <w:szCs w:val="32"/>
          <w:highlight w:val="none"/>
          <w14:textFill>
            <w14:solidFill>
              <w14:schemeClr w14:val="tx1"/>
            </w14:solidFill>
          </w14:textFill>
        </w:rPr>
        <w:t>拟投入本项目的配送场所面积</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pPr>
        <w:pStyle w:val="2"/>
        <w:ind w:left="247"/>
        <w:jc w:val="left"/>
        <w:rPr>
          <w:rFonts w:hAnsi="宋体" w:cs="宋体"/>
          <w:b/>
          <w:color w:val="000000" w:themeColor="text1"/>
          <w:sz w:val="32"/>
          <w:szCs w:val="32"/>
          <w:highlight w:val="none"/>
          <w:lang w:val="zh-CN"/>
          <w14:textFill>
            <w14:solidFill>
              <w14:schemeClr w14:val="tx1"/>
            </w14:solidFill>
          </w14:textFill>
        </w:rPr>
      </w:pPr>
      <w:bookmarkStart w:id="602" w:name="_Toc161843202"/>
      <w:bookmarkStart w:id="603" w:name="_Toc22292"/>
      <w:bookmarkStart w:id="604" w:name="_Toc12060"/>
      <w:r>
        <w:rPr>
          <w:rFonts w:hint="eastAsia" w:hAnsi="宋体" w:cs="宋体"/>
          <w:b/>
          <w:color w:val="000000" w:themeColor="text1"/>
          <w:sz w:val="32"/>
          <w:szCs w:val="32"/>
          <w:highlight w:val="none"/>
          <w14:textFill>
            <w14:solidFill>
              <w14:schemeClr w14:val="tx1"/>
            </w14:solidFill>
          </w14:textFill>
        </w:rPr>
        <w:t>十一、拟投入本项目的人员及车辆情况</w:t>
      </w:r>
      <w:r>
        <w:rPr>
          <w:rFonts w:hint="eastAsia" w:hAnsi="宋体" w:cs="宋体"/>
          <w:b/>
          <w:color w:val="000000" w:themeColor="text1"/>
          <w:sz w:val="32"/>
          <w:szCs w:val="32"/>
          <w:highlight w:val="none"/>
          <w:lang w:val="zh-CN"/>
          <w14:textFill>
            <w14:solidFill>
              <w14:schemeClr w14:val="tx1"/>
            </w14:solidFill>
          </w14:textFill>
        </w:rPr>
        <w:t>【投标人自行编写，应包括拟投入本项目的人员、车辆配置情况表及项目负责人（专业技术人员）简历表】）</w:t>
      </w:r>
      <w:bookmarkEnd w:id="602"/>
      <w:bookmarkEnd w:id="603"/>
      <w:bookmarkEnd w:id="604"/>
    </w:p>
    <w:p>
      <w:pPr>
        <w:ind w:left="247"/>
        <w:rPr>
          <w:rFonts w:ascii="宋体" w:hAnsi="宋体" w:eastAsia="宋体" w:cs="宋体"/>
          <w:b/>
          <w:color w:val="000000" w:themeColor="text1"/>
          <w:kern w:val="0"/>
          <w:sz w:val="32"/>
          <w:szCs w:val="32"/>
          <w:highlight w:val="none"/>
          <w14:textFill>
            <w14:solidFill>
              <w14:schemeClr w14:val="tx1"/>
            </w14:solidFill>
          </w14:textFill>
        </w:rPr>
      </w:pPr>
    </w:p>
    <w:p>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人员配置情况表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66"/>
        <w:gridCol w:w="865"/>
        <w:gridCol w:w="865"/>
        <w:gridCol w:w="865"/>
        <w:gridCol w:w="1439"/>
        <w:gridCol w:w="1439"/>
        <w:gridCol w:w="2298"/>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66"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866"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姓名</w:t>
            </w:r>
          </w:p>
        </w:tc>
        <w:tc>
          <w:tcPr>
            <w:tcW w:w="865"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性别</w:t>
            </w:r>
          </w:p>
        </w:tc>
        <w:tc>
          <w:tcPr>
            <w:tcW w:w="865"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年龄</w:t>
            </w:r>
          </w:p>
        </w:tc>
        <w:tc>
          <w:tcPr>
            <w:tcW w:w="865"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学历</w:t>
            </w:r>
          </w:p>
        </w:tc>
        <w:tc>
          <w:tcPr>
            <w:tcW w:w="1439"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资格证书</w:t>
            </w:r>
          </w:p>
        </w:tc>
        <w:tc>
          <w:tcPr>
            <w:tcW w:w="1439"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拟任职务</w:t>
            </w:r>
          </w:p>
        </w:tc>
        <w:tc>
          <w:tcPr>
            <w:tcW w:w="2298"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从事本行业年限</w:t>
            </w:r>
          </w:p>
        </w:tc>
        <w:tc>
          <w:tcPr>
            <w:tcW w:w="865" w:type="dxa"/>
            <w:vAlign w:val="center"/>
          </w:tcPr>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6"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39"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298"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865"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pPr>
        <w:spacing w:line="360" w:lineRule="auto"/>
        <w:ind w:left="210" w:left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pPr>
        <w:spacing w:line="360" w:lineRule="auto"/>
        <w:ind w:left="422" w:leftChars="101" w:hanging="210" w:hanging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（2）应附有资格证书（或注册/执业/岗位证书/技术职称）、以及社会保障部门（或税务部门）出具的</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b/>
          <w:bCs/>
          <w:color w:val="000000" w:themeColor="text1"/>
          <w:szCs w:val="21"/>
          <w:highlight w:val="none"/>
          <w14:textFill>
            <w14:solidFill>
              <w14:schemeClr w14:val="tx1"/>
            </w14:solidFill>
          </w14:textFill>
        </w:rPr>
        <w:t>2023年12月至2024年02月</w:t>
      </w:r>
      <w:r>
        <w:rPr>
          <w:rFonts w:hint="eastAsia" w:ascii="宋体" w:hAnsi="宋体" w:eastAsia="宋体" w:cs="宋体"/>
          <w:color w:val="000000" w:themeColor="text1"/>
          <w:szCs w:val="21"/>
          <w:highlight w:val="none"/>
          <w:lang w:val="zh-CN"/>
          <w14:textFill>
            <w14:solidFill>
              <w14:schemeClr w14:val="tx1"/>
            </w14:solidFill>
          </w14:textFill>
        </w:rPr>
        <w:t>为其缴纳的社保证明复印件加盖投标人公章。</w:t>
      </w:r>
    </w:p>
    <w:p>
      <w:pPr>
        <w:spacing w:line="360" w:lineRule="auto"/>
        <w:ind w:left="420" w:leftChars="100" w:hanging="210" w:hanging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拟投入本项目的项目负责人、专业技术人员还需提供简历表，上述第2项的证明材料按简历表格式附件要求放置。</w:t>
      </w:r>
    </w:p>
    <w:p>
      <w:pPr>
        <w:spacing w:line="360" w:lineRule="auto"/>
        <w:ind w:left="247"/>
        <w:rPr>
          <w:rFonts w:ascii="宋体" w:hAnsi="宋体" w:eastAsia="宋体" w:cs="宋体"/>
          <w:color w:val="000000" w:themeColor="text1"/>
          <w:szCs w:val="21"/>
          <w:highlight w:val="none"/>
          <w14:textFill>
            <w14:solidFill>
              <w14:schemeClr w14:val="tx1"/>
            </w14:solidFill>
          </w14:textFill>
        </w:rPr>
      </w:pPr>
    </w:p>
    <w:p>
      <w:pPr>
        <w:spacing w:line="360" w:lineRule="auto"/>
        <w:ind w:left="-320"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投标人名称（并加盖法人公章）：</w:t>
      </w:r>
    </w:p>
    <w:p>
      <w:pPr>
        <w:spacing w:line="360" w:lineRule="auto"/>
        <w:ind w:left="-320" w:right="17"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w:t>
      </w:r>
    </w:p>
    <w:p>
      <w:pPr>
        <w:ind w:left="247"/>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pPr>
        <w:ind w:firstLine="3855" w:firstLineChars="12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车辆配置情况表</w:t>
      </w:r>
    </w:p>
    <w:tbl>
      <w:tblPr>
        <w:tblStyle w:val="37"/>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132"/>
        <w:gridCol w:w="1882"/>
        <w:gridCol w:w="1132"/>
        <w:gridCol w:w="1882"/>
        <w:gridCol w:w="2071"/>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33"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1132"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名称</w:t>
            </w:r>
          </w:p>
        </w:tc>
        <w:tc>
          <w:tcPr>
            <w:tcW w:w="1882"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规格型号</w:t>
            </w:r>
          </w:p>
        </w:tc>
        <w:tc>
          <w:tcPr>
            <w:tcW w:w="1132"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数量</w:t>
            </w:r>
          </w:p>
        </w:tc>
        <w:tc>
          <w:tcPr>
            <w:tcW w:w="1882"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使用年限</w:t>
            </w:r>
          </w:p>
        </w:tc>
        <w:tc>
          <w:tcPr>
            <w:tcW w:w="2071"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自有/租赁</w:t>
            </w:r>
          </w:p>
        </w:tc>
        <w:tc>
          <w:tcPr>
            <w:tcW w:w="1132" w:type="dxa"/>
            <w:vAlign w:val="center"/>
          </w:tcPr>
          <w:p>
            <w:pPr>
              <w:spacing w:line="360" w:lineRule="auto"/>
              <w:ind w:left="247"/>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33"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8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071"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132"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若是自有车辆的须提供在有效期内的车辆行驶证复印件；若为租赁车辆的须提供租赁合同复印件及在有效期内的车辆行驶证复印件。</w:t>
      </w:r>
    </w:p>
    <w:p>
      <w:pPr>
        <w:spacing w:line="360" w:lineRule="auto"/>
        <w:ind w:left="247"/>
        <w:rPr>
          <w:rFonts w:ascii="宋体" w:hAnsi="宋体" w:eastAsia="宋体" w:cs="宋体"/>
          <w:color w:val="000000" w:themeColor="text1"/>
          <w:highlight w:val="none"/>
          <w:lang w:val="pt-BR"/>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pt-BR"/>
          <w14:textFill>
            <w14:solidFill>
              <w14:schemeClr w14:val="tx1"/>
            </w14:solidFill>
          </w14:textFill>
        </w:rPr>
        <w:t>）车辆是否为投标人自有的，以车辆行驶证上的“所有人”为准；</w:t>
      </w:r>
    </w:p>
    <w:p>
      <w:pPr>
        <w:spacing w:line="360" w:lineRule="auto"/>
        <w:ind w:left="24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pt-BR"/>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pt-BR"/>
          <w14:textFill>
            <w14:solidFill>
              <w14:schemeClr w14:val="tx1"/>
            </w14:solidFill>
          </w14:textFill>
        </w:rPr>
        <w:t>）车辆是否为冷链（或冷藏或冷冻）车辆以机动车登记证书上所标注的车辆类型（或购车发票上注明的车辆类型）或者提供三张从不同角度拍摄，能有力证明是冷链（或冷藏或冷冻）车辆的照片为准（照片须清晰反映拍摄时间为202</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pt-BR"/>
          <w14:textFill>
            <w14:solidFill>
              <w14:schemeClr w14:val="tx1"/>
            </w14:solidFill>
          </w14:textFill>
        </w:rPr>
        <w:t>年</w:t>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pt-BR"/>
          <w14:textFill>
            <w14:solidFill>
              <w14:schemeClr w14:val="tx1"/>
            </w14:solidFill>
          </w14:textFill>
        </w:rPr>
        <w:t>月1日或以后，否则评标时将不予考虑）。</w:t>
      </w:r>
    </w:p>
    <w:p>
      <w:pPr>
        <w:spacing w:line="360" w:lineRule="auto"/>
        <w:ind w:left="-320" w:right="840" w:firstLine="4200" w:firstLineChars="2000"/>
        <w:rPr>
          <w:rFonts w:ascii="宋体" w:hAnsi="宋体" w:eastAsia="宋体" w:cs="宋体"/>
          <w:color w:val="000000" w:themeColor="text1"/>
          <w:szCs w:val="21"/>
          <w:highlight w:val="none"/>
          <w:lang w:val="zh-CN"/>
          <w14:textFill>
            <w14:solidFill>
              <w14:schemeClr w14:val="tx1"/>
            </w14:solidFill>
          </w14:textFill>
        </w:rPr>
      </w:pPr>
    </w:p>
    <w:p>
      <w:pPr>
        <w:spacing w:line="360" w:lineRule="auto"/>
        <w:ind w:left="-320" w:right="840" w:firstLine="4200" w:firstLineChars="20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投标人名称（并加盖法人公章）：</w:t>
      </w:r>
    </w:p>
    <w:p>
      <w:pPr>
        <w:spacing w:line="360" w:lineRule="auto"/>
        <w:ind w:left="-320" w:right="840" w:firstLine="6090" w:firstLineChars="29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w:t>
      </w:r>
    </w:p>
    <w:p>
      <w:pPr>
        <w:ind w:left="247"/>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pPr>
        <w:ind w:firstLine="1606" w:firstLineChars="500"/>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拟担任本项目负责人（专业技术人员）简历表</w:t>
      </w:r>
    </w:p>
    <w:tbl>
      <w:tblPr>
        <w:tblStyle w:val="37"/>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82"/>
        <w:gridCol w:w="1607"/>
        <w:gridCol w:w="384"/>
        <w:gridCol w:w="220"/>
        <w:gridCol w:w="995"/>
        <w:gridCol w:w="641"/>
        <w:gridCol w:w="17"/>
        <w:gridCol w:w="1246"/>
        <w:gridCol w:w="87"/>
        <w:gridCol w:w="514"/>
        <w:gridCol w:w="765"/>
        <w:gridCol w:w="5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0"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309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995"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991"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279" w:type="dxa"/>
            <w:gridSpan w:val="2"/>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2138"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70"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309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995"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资格或职称</w:t>
            </w:r>
          </w:p>
        </w:tc>
        <w:tc>
          <w:tcPr>
            <w:tcW w:w="1991"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279" w:type="dxa"/>
            <w:gridSpan w:val="2"/>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2138"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9"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参加工作时间</w:t>
            </w:r>
          </w:p>
        </w:tc>
        <w:tc>
          <w:tcPr>
            <w:tcW w:w="2240"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683" w:type="dxa"/>
            <w:gridSpan w:val="6"/>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担任</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（职位名称）</w:t>
            </w:r>
            <w:r>
              <w:rPr>
                <w:rFonts w:hint="eastAsia" w:ascii="宋体" w:hAnsi="宋体" w:eastAsia="宋体" w:cs="宋体"/>
                <w:color w:val="000000" w:themeColor="text1"/>
                <w:szCs w:val="21"/>
                <w:highlight w:val="none"/>
                <w14:textFill>
                  <w14:solidFill>
                    <w14:schemeClr w14:val="tx1"/>
                  </w14:solidFill>
                </w14:textFill>
              </w:rPr>
              <w:t>年限</w:t>
            </w:r>
          </w:p>
        </w:tc>
        <w:tc>
          <w:tcPr>
            <w:tcW w:w="2084"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359"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资格证书编号</w:t>
            </w:r>
          </w:p>
        </w:tc>
        <w:tc>
          <w:tcPr>
            <w:tcW w:w="3503" w:type="dxa"/>
            <w:gridSpan w:val="6"/>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420" w:type="dxa"/>
            <w:gridSpan w:val="4"/>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p>
        </w:tc>
        <w:tc>
          <w:tcPr>
            <w:tcW w:w="2084" w:type="dxa"/>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366" w:type="dxa"/>
            <w:gridSpan w:val="1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2" w:type="dxa"/>
            <w:gridSpan w:val="2"/>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w:t>
            </w:r>
          </w:p>
        </w:tc>
        <w:tc>
          <w:tcPr>
            <w:tcW w:w="1991" w:type="dxa"/>
            <w:gridSpan w:val="2"/>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1873" w:type="dxa"/>
            <w:gridSpan w:val="4"/>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项目规模</w:t>
            </w:r>
          </w:p>
        </w:tc>
        <w:tc>
          <w:tcPr>
            <w:tcW w:w="1847" w:type="dxa"/>
            <w:gridSpan w:val="3"/>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所任职务</w:t>
            </w:r>
          </w:p>
        </w:tc>
        <w:tc>
          <w:tcPr>
            <w:tcW w:w="2903" w:type="dxa"/>
            <w:gridSpan w:val="3"/>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2"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991"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7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47"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903"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2"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991"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7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47"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903"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2"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991"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7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47"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903"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2"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991"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7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47"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903"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52"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991" w:type="dxa"/>
            <w:gridSpan w:val="2"/>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73" w:type="dxa"/>
            <w:gridSpan w:val="4"/>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1847"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c>
          <w:tcPr>
            <w:tcW w:w="2903" w:type="dxa"/>
            <w:gridSpan w:val="3"/>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p>
        </w:tc>
      </w:tr>
    </w:tbl>
    <w:p>
      <w:pPr>
        <w:pStyle w:val="18"/>
        <w:overflowPunct w:val="0"/>
        <w:spacing w:line="360" w:lineRule="auto"/>
        <w:ind w:left="-320" w:firstLine="420" w:firstLineChars="200"/>
        <w:jc w:val="left"/>
        <w:rPr>
          <w:rFonts w:hAnsi="宋体" w:cs="宋体"/>
          <w:b w:val="0"/>
          <w:color w:val="000000" w:themeColor="text1"/>
          <w:sz w:val="21"/>
          <w:szCs w:val="21"/>
          <w:highlight w:val="none"/>
          <w14:textFill>
            <w14:solidFill>
              <w14:schemeClr w14:val="tx1"/>
            </w14:solidFill>
          </w14:textFill>
        </w:rPr>
      </w:pPr>
      <w:r>
        <w:rPr>
          <w:rFonts w:hint="eastAsia" w:hAnsi="宋体" w:cs="宋体"/>
          <w:b w:val="0"/>
          <w:color w:val="000000" w:themeColor="text1"/>
          <w:sz w:val="21"/>
          <w:szCs w:val="21"/>
          <w:highlight w:val="none"/>
          <w14:textFill>
            <w14:solidFill>
              <w14:schemeClr w14:val="tx1"/>
            </w14:solidFill>
          </w14:textFill>
        </w:rPr>
        <w:t>备注：</w:t>
      </w:r>
    </w:p>
    <w:p>
      <w:pPr>
        <w:spacing w:line="360" w:lineRule="auto"/>
        <w:ind w:left="840" w:leftChars="100" w:hanging="630" w:hanging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（1）拟投入本项目的项目负责人（专业技术人员）需提供简历表。</w:t>
      </w:r>
    </w:p>
    <w:p>
      <w:pPr>
        <w:spacing w:line="360" w:lineRule="auto"/>
        <w:ind w:left="840" w:leftChars="100" w:hanging="630" w:hanging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（2）应附有资格证书（或注册/执业/岗位证书/技术职称）、以及社会保障部门（或税务部门）出具的</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b/>
          <w:bCs/>
          <w:color w:val="000000" w:themeColor="text1"/>
          <w:szCs w:val="21"/>
          <w:highlight w:val="none"/>
          <w14:textFill>
            <w14:solidFill>
              <w14:schemeClr w14:val="tx1"/>
            </w14:solidFill>
          </w14:textFill>
        </w:rPr>
        <w:t>2023年12月至2024年02月</w:t>
      </w:r>
      <w:r>
        <w:rPr>
          <w:rFonts w:hint="eastAsia" w:ascii="宋体" w:hAnsi="宋体" w:eastAsia="宋体" w:cs="宋体"/>
          <w:color w:val="000000" w:themeColor="text1"/>
          <w:szCs w:val="21"/>
          <w:highlight w:val="none"/>
          <w:lang w:val="zh-CN"/>
          <w14:textFill>
            <w14:solidFill>
              <w14:schemeClr w14:val="tx1"/>
            </w14:solidFill>
          </w14:textFill>
        </w:rPr>
        <w:t>为其缴纳的社保证明复印件加盖投标人公章。</w:t>
      </w:r>
    </w:p>
    <w:p>
      <w:pPr>
        <w:spacing w:line="360" w:lineRule="auto"/>
        <w:ind w:left="-320" w:firstLine="3780" w:firstLineChars="1800"/>
        <w:rPr>
          <w:rFonts w:ascii="宋体" w:hAnsi="宋体" w:eastAsia="宋体" w:cs="宋体"/>
          <w:color w:val="000000" w:themeColor="text1"/>
          <w:szCs w:val="21"/>
          <w:highlight w:val="none"/>
          <w:lang w:val="zh-CN"/>
          <w14:textFill>
            <w14:solidFill>
              <w14:schemeClr w14:val="tx1"/>
            </w14:solidFill>
          </w14:textFill>
        </w:rPr>
      </w:pPr>
    </w:p>
    <w:p>
      <w:pPr>
        <w:spacing w:line="360" w:lineRule="auto"/>
        <w:ind w:left="-320" w:right="840" w:firstLine="3780" w:firstLineChars="18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投标人名称（并加盖法人公章）：</w:t>
      </w:r>
    </w:p>
    <w:p>
      <w:pPr>
        <w:ind w:left="-320" w:firstLine="4410" w:firstLineChars="2100"/>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　　　期：</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br w:type="page"/>
      </w:r>
    </w:p>
    <w:p>
      <w:pPr>
        <w:pageBreakBefore/>
        <w:spacing w:before="120" w:after="120" w:line="360" w:lineRule="auto"/>
        <w:ind w:left="24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05" w:name="_Toc6220"/>
      <w:bookmarkStart w:id="606" w:name="_Toc161843203"/>
      <w:bookmarkStart w:id="607" w:name="_Toc31207"/>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十二、拟供应货品来源情况</w:t>
      </w:r>
      <w:bookmarkEnd w:id="605"/>
      <w:bookmarkEnd w:id="606"/>
      <w:bookmarkEnd w:id="607"/>
      <w:bookmarkStart w:id="608" w:name="_Toc10570"/>
      <w:bookmarkStart w:id="609" w:name="_Toc17152"/>
    </w:p>
    <w:p>
      <w:pPr>
        <w:widowControl/>
        <w:ind w:left="247"/>
        <w:jc w:val="left"/>
        <w:rPr>
          <w:rFonts w:ascii="宋体" w:eastAsia="宋体"/>
          <w:b/>
          <w:bCs/>
          <w:color w:val="000000" w:themeColor="text1"/>
          <w:sz w:val="84"/>
          <w:szCs w:val="84"/>
          <w:highlight w:val="none"/>
          <w:lang w:val="zh-CN"/>
          <w14:textFill>
            <w14:solidFill>
              <w14:schemeClr w14:val="tx1"/>
            </w14:solidFill>
          </w14:textFill>
        </w:rPr>
      </w:pPr>
      <w:r>
        <w:rPr>
          <w:color w:val="000000" w:themeColor="text1"/>
          <w:highlight w:val="none"/>
          <w14:textFill>
            <w14:solidFill>
              <w14:schemeClr w14:val="tx1"/>
            </w14:solidFill>
          </w14:textFill>
        </w:rPr>
        <w:br w:type="page"/>
      </w:r>
    </w:p>
    <w:bookmarkEnd w:id="608"/>
    <w:bookmarkEnd w:id="609"/>
    <w:p>
      <w:pPr>
        <w:pageBreakBefore/>
        <w:numPr>
          <w:ilvl w:val="0"/>
          <w:numId w:val="2"/>
        </w:numPr>
        <w:spacing w:before="120" w:after="120" w:line="360" w:lineRule="auto"/>
        <w:ind w:left="24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t>食品安全责任险</w:t>
      </w:r>
    </w:p>
    <w:tbl>
      <w:tblPr>
        <w:tblStyle w:val="37"/>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22"/>
        <w:gridCol w:w="1914"/>
        <w:gridCol w:w="1600"/>
        <w:gridCol w:w="2969"/>
        <w:gridCol w:w="198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807" w:hRule="exact"/>
          <w:jc w:val="center"/>
        </w:trPr>
        <w:tc>
          <w:tcPr>
            <w:tcW w:w="622" w:type="dxa"/>
            <w:vAlign w:val="center"/>
          </w:tcPr>
          <w:p>
            <w:pPr>
              <w:jc w:val="center"/>
              <w:rPr>
                <w:rFonts w:ascii="宋体" w:hAnsi="宋体" w:eastAsia="宋体" w:cs="宋体"/>
                <w:color w:val="000000" w:themeColor="text1"/>
                <w:szCs w:val="21"/>
                <w:highlight w:val="none"/>
                <w14:textFill>
                  <w14:solidFill>
                    <w14:schemeClr w14:val="tx1"/>
                  </w14:solidFill>
                </w14:textFill>
              </w:rPr>
            </w:pPr>
            <w:bookmarkStart w:id="610" w:name="_Toc161843205"/>
            <w:r>
              <w:rPr>
                <w:rFonts w:hint="eastAsia" w:ascii="宋体" w:hAnsi="宋体" w:eastAsia="宋体" w:cs="宋体"/>
                <w:color w:val="000000" w:themeColor="text1"/>
                <w:szCs w:val="21"/>
                <w:highlight w:val="none"/>
                <w14:textFill>
                  <w14:solidFill>
                    <w14:schemeClr w14:val="tx1"/>
                  </w14:solidFill>
                </w14:textFill>
              </w:rPr>
              <w:t>序号</w:t>
            </w:r>
          </w:p>
        </w:tc>
        <w:tc>
          <w:tcPr>
            <w:tcW w:w="1914"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保险合同或保险单单号</w:t>
            </w:r>
          </w:p>
        </w:tc>
        <w:tc>
          <w:tcPr>
            <w:tcW w:w="1600"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保障内容</w:t>
            </w:r>
          </w:p>
        </w:tc>
        <w:tc>
          <w:tcPr>
            <w:tcW w:w="2969"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已购买食品安全责任险</w:t>
            </w:r>
            <w:r>
              <w:rPr>
                <w:rFonts w:ascii="宋体" w:hAnsi="宋体" w:eastAsia="宋体" w:cs="宋体"/>
                <w:color w:val="000000" w:themeColor="text1"/>
                <w:szCs w:val="21"/>
                <w:highlight w:val="none"/>
                <w14:textFill>
                  <w14:solidFill>
                    <w14:schemeClr w14:val="tx1"/>
                  </w14:solidFill>
                </w14:textFill>
              </w:rPr>
              <w:t>额度</w:t>
            </w:r>
            <w:r>
              <w:rPr>
                <w:rFonts w:hint="eastAsia" w:ascii="宋体" w:hAnsi="宋体" w:eastAsia="宋体" w:cs="宋体"/>
                <w:color w:val="000000" w:themeColor="text1"/>
                <w:szCs w:val="21"/>
                <w:highlight w:val="none"/>
                <w14:textFill>
                  <w14:solidFill>
                    <w14:schemeClr w14:val="tx1"/>
                  </w14:solidFill>
                </w14:textFill>
              </w:rPr>
              <w:t>（万元）</w:t>
            </w:r>
          </w:p>
        </w:tc>
        <w:tc>
          <w:tcPr>
            <w:tcW w:w="1980"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保险合同签订时间或保险单签单时间</w:t>
            </w:r>
          </w:p>
        </w:tc>
        <w:tc>
          <w:tcPr>
            <w:tcW w:w="1129"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07" w:hRule="exact"/>
          <w:jc w:val="center"/>
        </w:trPr>
        <w:tc>
          <w:tcPr>
            <w:tcW w:w="622" w:type="dxa"/>
            <w:vAlign w:val="center"/>
          </w:tcPr>
          <w:p>
            <w:pPr>
              <w:ind w:left="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91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60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296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98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2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86" w:hRule="exact"/>
          <w:jc w:val="center"/>
        </w:trPr>
        <w:tc>
          <w:tcPr>
            <w:tcW w:w="622" w:type="dxa"/>
            <w:vAlign w:val="center"/>
          </w:tcPr>
          <w:p>
            <w:pPr>
              <w:ind w:left="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91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60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296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98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2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87" w:hRule="exact"/>
          <w:jc w:val="center"/>
        </w:trPr>
        <w:tc>
          <w:tcPr>
            <w:tcW w:w="622" w:type="dxa"/>
            <w:vAlign w:val="center"/>
          </w:tcPr>
          <w:p>
            <w:pPr>
              <w:ind w:left="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91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60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296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98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2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24" w:hRule="exact"/>
          <w:jc w:val="center"/>
        </w:trPr>
        <w:tc>
          <w:tcPr>
            <w:tcW w:w="622" w:type="dxa"/>
            <w:vAlign w:val="center"/>
          </w:tcPr>
          <w:p>
            <w:pPr>
              <w:ind w:left="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91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60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296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98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2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24" w:hRule="exact"/>
          <w:jc w:val="center"/>
        </w:trPr>
        <w:tc>
          <w:tcPr>
            <w:tcW w:w="622" w:type="dxa"/>
            <w:vAlign w:val="center"/>
          </w:tcPr>
          <w:p>
            <w:pPr>
              <w:ind w:left="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914"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60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296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980"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c>
          <w:tcPr>
            <w:tcW w:w="1129" w:type="dxa"/>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24" w:hRule="exact"/>
          <w:jc w:val="center"/>
        </w:trPr>
        <w:tc>
          <w:tcPr>
            <w:tcW w:w="4136" w:type="dxa"/>
            <w:gridSpan w:val="3"/>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累计已购买食品安全责任险</w:t>
            </w:r>
            <w:r>
              <w:rPr>
                <w:rFonts w:ascii="宋体" w:hAnsi="宋体" w:eastAsia="宋体" w:cs="宋体"/>
                <w:color w:val="000000" w:themeColor="text1"/>
                <w:szCs w:val="21"/>
                <w:highlight w:val="none"/>
                <w14:textFill>
                  <w14:solidFill>
                    <w14:schemeClr w14:val="tx1"/>
                  </w14:solidFill>
                </w14:textFill>
              </w:rPr>
              <w:t>额度</w:t>
            </w:r>
            <w:r>
              <w:rPr>
                <w:rFonts w:hint="eastAsia" w:ascii="宋体" w:hAnsi="宋体" w:eastAsia="宋体" w:cs="宋体"/>
                <w:color w:val="000000" w:themeColor="text1"/>
                <w:szCs w:val="21"/>
                <w:highlight w:val="none"/>
                <w14:textFill>
                  <w14:solidFill>
                    <w14:schemeClr w14:val="tx1"/>
                  </w14:solidFill>
                </w14:textFill>
              </w:rPr>
              <w:t>（万元）</w:t>
            </w:r>
          </w:p>
        </w:tc>
        <w:tc>
          <w:tcPr>
            <w:tcW w:w="6078" w:type="dxa"/>
            <w:gridSpan w:val="3"/>
            <w:vAlign w:val="center"/>
          </w:tcPr>
          <w:p>
            <w:pPr>
              <w:ind w:left="247"/>
              <w:jc w:val="center"/>
              <w:rPr>
                <w:rFonts w:ascii="宋体" w:hAnsi="宋体" w:eastAsia="宋体" w:cs="宋体"/>
                <w:color w:val="000000" w:themeColor="text1"/>
                <w:szCs w:val="21"/>
                <w:highlight w:val="none"/>
                <w14:textFill>
                  <w14:solidFill>
                    <w14:schemeClr w14:val="tx1"/>
                  </w14:solidFill>
                </w14:textFill>
              </w:rPr>
            </w:pPr>
          </w:p>
        </w:tc>
      </w:tr>
    </w:tbl>
    <w:p>
      <w:pPr>
        <w:jc w:val="left"/>
        <w:rPr>
          <w:rFonts w:ascii="宋体" w:hAnsi="宋体" w:eastAsia="宋体" w:cs="宋体"/>
          <w:color w:val="000000" w:themeColor="text1"/>
          <w:highlight w:val="none"/>
          <w14:textFill>
            <w14:solidFill>
              <w14:schemeClr w14:val="tx1"/>
            </w14:solidFill>
          </w14:textFill>
        </w:rPr>
      </w:pPr>
    </w:p>
    <w:p>
      <w:pPr>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1.投标人须附对应保险合同（或保险单）复印件，加盖投标人公章。（保险合同签订时间或保险单的签单时间须在本项目招标公告发布日期之前）</w:t>
      </w:r>
    </w:p>
    <w:p>
      <w:pPr>
        <w:jc w:val="left"/>
        <w:rPr>
          <w:color w:val="000000" w:themeColor="text1"/>
          <w:highlight w:val="none"/>
          <w:lang w:val="zh-CN"/>
          <w14:textFill>
            <w14:solidFill>
              <w14:schemeClr w14:val="tx1"/>
            </w14:solidFill>
          </w14:textFill>
        </w:rPr>
      </w:pPr>
    </w:p>
    <w:p>
      <w:pPr>
        <w:autoSpaceDE w:val="0"/>
        <w:autoSpaceDN w:val="0"/>
        <w:adjustRightInd w:val="0"/>
        <w:spacing w:line="360" w:lineRule="auto"/>
        <w:ind w:left="-320"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left="-320"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p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br w:type="page"/>
      </w:r>
    </w:p>
    <w:p>
      <w:pPr>
        <w:pageBreakBefore/>
        <w:spacing w:before="120" w:after="120" w:line="360" w:lineRule="auto"/>
        <w:ind w:left="24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四</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10"/>
    </w:p>
    <w:p>
      <w:pPr>
        <w:autoSpaceDE w:val="0"/>
        <w:autoSpaceDN w:val="0"/>
        <w:adjustRightInd w:val="0"/>
        <w:spacing w:line="360" w:lineRule="auto"/>
        <w:ind w:left="247"/>
        <w:jc w:val="left"/>
        <w:rPr>
          <w:rFonts w:ascii="宋体" w:hAnsi="宋体" w:eastAsia="宋体" w:cs="宋体"/>
          <w:color w:val="000000" w:themeColor="text1"/>
          <w:szCs w:val="24"/>
          <w:highlight w:val="none"/>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11"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11"/>
    </w:p>
    <w:p>
      <w:pPr>
        <w:autoSpaceDE w:val="0"/>
        <w:autoSpaceDN w:val="0"/>
        <w:adjustRightInd w:val="0"/>
        <w:spacing w:line="360" w:lineRule="auto"/>
        <w:ind w:left="247"/>
        <w:jc w:val="center"/>
        <w:rPr>
          <w:rFonts w:ascii="宋体" w:hAnsi="宋体" w:eastAsia="宋体" w:cs="宋体"/>
          <w:b/>
          <w:bCs/>
          <w:color w:val="000000" w:themeColor="text1"/>
          <w:kern w:val="0"/>
          <w:szCs w:val="24"/>
          <w:highlight w:val="none"/>
          <w14:textFill>
            <w14:solidFill>
              <w14:schemeClr w14:val="tx1"/>
            </w14:solidFill>
          </w14:textFill>
        </w:rPr>
      </w:pP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东莞市水务集团有限公司：</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东莞市水务集团有限公司2024年度食堂食材采购项目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广建咨询（东招）2024-0038号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pPr>
        <w:spacing w:line="360" w:lineRule="auto"/>
        <w:ind w:left="-320" w:firstLine="424" w:firstLineChars="202"/>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pPr>
        <w:spacing w:line="360" w:lineRule="auto"/>
        <w:ind w:left="-320"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pPr>
        <w:spacing w:line="360" w:lineRule="auto"/>
        <w:ind w:left="-320"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pPr>
        <w:spacing w:line="360" w:lineRule="auto"/>
        <w:ind w:left="-320"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pPr>
        <w:spacing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pPr>
        <w:spacing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pPr>
        <w:spacing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pPr>
        <w:spacing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pPr>
        <w:spacing w:line="360" w:lineRule="auto"/>
        <w:ind w:left="-320"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12"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12"/>
    </w:p>
    <w:p>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13"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13"/>
    </w:p>
    <w:p>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pPr>
        <w:autoSpaceDE w:val="0"/>
        <w:autoSpaceDN w:val="0"/>
        <w:adjustRightInd w:val="0"/>
        <w:spacing w:line="360" w:lineRule="auto"/>
        <w:ind w:left="-320" w:firstLine="5145" w:firstLineChars="2450"/>
        <w:rPr>
          <w:rFonts w:ascii="宋体" w:hAnsi="宋体" w:eastAsia="宋体" w:cs="宋体"/>
          <w:color w:val="000000" w:themeColor="text1"/>
          <w:szCs w:val="24"/>
          <w:highlight w:val="none"/>
          <w:lang w:val="zh-CN"/>
          <w14:textFill>
            <w14:solidFill>
              <w14:schemeClr w14:val="tx1"/>
            </w14:solidFill>
          </w14:textFill>
        </w:rPr>
      </w:pPr>
    </w:p>
    <w:p>
      <w:pPr>
        <w:spacing w:line="360" w:lineRule="auto"/>
        <w:ind w:left="247"/>
        <w:rPr>
          <w:rFonts w:ascii="宋体" w:hAnsi="宋体" w:eastAsia="宋体" w:cs="宋体"/>
          <w:b/>
          <w:color w:val="000000" w:themeColor="text1"/>
          <w:kern w:val="0"/>
          <w:szCs w:val="21"/>
          <w:highlight w:val="none"/>
          <w14:textFill>
            <w14:solidFill>
              <w14:schemeClr w14:val="tx1"/>
            </w14:solidFill>
          </w14:textFill>
        </w:rPr>
      </w:pPr>
      <w:bookmarkStart w:id="614" w:name="_Toc533708134"/>
      <w:bookmarkStart w:id="615" w:name="_Toc486167721"/>
    </w:p>
    <w:p>
      <w:pPr>
        <w:ind w:left="247"/>
        <w:jc w:val="left"/>
        <w:rPr>
          <w:color w:val="000000" w:themeColor="text1"/>
          <w:highlight w:val="none"/>
          <w:lang w:val="zh-CN"/>
          <w14:textFill>
            <w14:solidFill>
              <w14:schemeClr w14:val="tx1"/>
            </w14:solidFill>
          </w14:textFill>
        </w:rPr>
      </w:pPr>
      <w:bookmarkStart w:id="616" w:name="_Toc94107221"/>
      <w:bookmarkStart w:id="617" w:name="_Toc24616"/>
      <w:bookmarkStart w:id="618" w:name="_Toc142508379"/>
      <w:bookmarkStart w:id="619" w:name="_Toc1977738"/>
      <w:bookmarkStart w:id="620" w:name="_Toc102860084"/>
      <w:bookmarkStart w:id="621" w:name="_Toc104991886"/>
      <w:bookmarkStart w:id="622" w:name="_Toc140596939"/>
      <w:bookmarkStart w:id="623" w:name="_Toc102860428"/>
    </w:p>
    <w:p>
      <w:pPr>
        <w:pStyle w:val="15"/>
        <w:ind w:left="247"/>
        <w:rPr>
          <w:color w:val="000000" w:themeColor="text1"/>
          <w:highlight w:val="none"/>
          <w:lang w:val="zh-CN"/>
          <w14:textFill>
            <w14:solidFill>
              <w14:schemeClr w14:val="tx1"/>
            </w14:solidFill>
          </w14:textFill>
        </w:rPr>
      </w:pPr>
    </w:p>
    <w:p>
      <w:pPr>
        <w:ind w:left="247"/>
        <w:jc w:val="left"/>
        <w:rPr>
          <w:color w:val="000000" w:themeColor="text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headerReference r:id="rId9" w:type="first"/>
          <w:headerReference r:id="rId8" w:type="default"/>
          <w:pgSz w:w="12240" w:h="15840"/>
          <w:pgMar w:top="1191" w:right="1043" w:bottom="1191" w:left="1043" w:header="720" w:footer="720" w:gutter="0"/>
          <w:cols w:space="720" w:num="1"/>
          <w:titlePg/>
          <w:docGrid w:linePitch="326" w:charSpace="0"/>
        </w:sectPr>
      </w:pPr>
      <w:bookmarkStart w:id="624" w:name="_Toc2007"/>
      <w:bookmarkStart w:id="625" w:name="_Toc29652"/>
      <w:bookmarkStart w:id="626" w:name="_Toc161843206"/>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五</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16"/>
      <w:bookmarkEnd w:id="617"/>
      <w:bookmarkEnd w:id="618"/>
      <w:bookmarkEnd w:id="619"/>
      <w:bookmarkEnd w:id="620"/>
      <w:bookmarkEnd w:id="621"/>
      <w:bookmarkEnd w:id="622"/>
      <w:bookmarkEnd w:id="623"/>
      <w:bookmarkEnd w:id="624"/>
      <w:bookmarkEnd w:id="625"/>
      <w:bookmarkEnd w:id="626"/>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27" w:name="_Toc104991887"/>
      <w:bookmarkStart w:id="628" w:name="_Toc142508380"/>
      <w:bookmarkStart w:id="629" w:name="_Toc102860085"/>
      <w:bookmarkStart w:id="630" w:name="_Toc161843207"/>
      <w:bookmarkStart w:id="631" w:name="_Toc1977739"/>
      <w:bookmarkStart w:id="632" w:name="_Toc18038"/>
      <w:bookmarkStart w:id="633" w:name="_Toc94107222"/>
      <w:bookmarkStart w:id="634" w:name="_Toc27482"/>
      <w:bookmarkStart w:id="635" w:name="_Toc140596940"/>
      <w:bookmarkStart w:id="636" w:name="_Toc31916"/>
      <w:bookmarkStart w:id="637" w:name="_Toc102860429"/>
      <w:r>
        <w:rPr>
          <w:rFonts w:hint="eastAsia" w:ascii="宋体" w:hAnsi="宋体" w:eastAsia="宋体" w:cs="宋体"/>
          <w:b/>
          <w:color w:val="000000" w:themeColor="text1"/>
          <w:kern w:val="0"/>
          <w:sz w:val="32"/>
          <w:szCs w:val="32"/>
          <w:highlight w:val="none"/>
          <w14:textFill>
            <w14:solidFill>
              <w14:schemeClr w14:val="tx1"/>
            </w14:solidFill>
          </w14:textFill>
        </w:rPr>
        <w:t>十六、技术响应文件格式</w:t>
      </w:r>
      <w:bookmarkEnd w:id="614"/>
      <w:bookmarkEnd w:id="627"/>
      <w:bookmarkEnd w:id="628"/>
      <w:bookmarkEnd w:id="629"/>
      <w:bookmarkEnd w:id="630"/>
      <w:bookmarkEnd w:id="631"/>
      <w:bookmarkEnd w:id="632"/>
      <w:bookmarkEnd w:id="633"/>
      <w:bookmarkEnd w:id="634"/>
      <w:bookmarkEnd w:id="635"/>
      <w:bookmarkEnd w:id="636"/>
      <w:bookmarkEnd w:id="637"/>
    </w:p>
    <w:p>
      <w:pPr>
        <w:tabs>
          <w:tab w:val="left" w:pos="8640"/>
        </w:tabs>
        <w:spacing w:line="360" w:lineRule="auto"/>
        <w:ind w:left="-320"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1、用户需求的响应程度（</w:t>
      </w:r>
      <w:r>
        <w:rPr>
          <w:rFonts w:hint="eastAsia" w:ascii="宋体" w:hAnsi="宋体" w:eastAsia="宋体" w:cs="宋体"/>
          <w:color w:val="000000" w:themeColor="text1"/>
          <w:kern w:val="0"/>
          <w:szCs w:val="21"/>
          <w:highlight w:val="none"/>
          <w14:textFill>
            <w14:solidFill>
              <w14:schemeClr w14:val="tx1"/>
            </w14:solidFill>
          </w14:textFill>
        </w:rPr>
        <w:t>即16.</w:t>
      </w:r>
      <w:r>
        <w:rPr>
          <w:rFonts w:hint="eastAsia" w:ascii="宋体" w:hAnsi="宋体" w:eastAsia="宋体" w:cs="宋体"/>
          <w:color w:val="000000" w:themeColor="text1"/>
          <w:kern w:val="0"/>
          <w:szCs w:val="21"/>
          <w:highlight w:val="none"/>
          <w:lang w:val="zh-CN"/>
          <w14:textFill>
            <w14:solidFill>
              <w14:schemeClr w14:val="tx1"/>
            </w14:solidFill>
          </w14:textFill>
        </w:rPr>
        <w:t>1 用户需求偏离表格式）；</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购买食品安全责任险承诺书</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总体</w:t>
      </w:r>
      <w:r>
        <w:rPr>
          <w:rFonts w:hint="eastAsia" w:ascii="宋体" w:hAnsi="宋体" w:eastAsia="宋体" w:cs="宋体"/>
          <w:color w:val="000000" w:themeColor="text1"/>
          <w:kern w:val="0"/>
          <w:szCs w:val="21"/>
          <w:highlight w:val="none"/>
          <w:lang w:val="zh-CN"/>
          <w14:textFill>
            <w14:solidFill>
              <w14:schemeClr w14:val="tx1"/>
            </w14:solidFill>
          </w14:textFill>
        </w:rPr>
        <w:t>实施方案</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投标人自行编写</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val="zh-CN"/>
          <w14:textFill>
            <w14:solidFill>
              <w14:schemeClr w14:val="tx1"/>
            </w14:solidFill>
          </w14:textFill>
        </w:rPr>
        <w:t>、食品安全管理；</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（1）食材检验制度、食材进货制度、食材安全管理制度、人员管理制度</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投标人自行编写</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检测能力（</w:t>
      </w:r>
      <w:r>
        <w:rPr>
          <w:rFonts w:hint="eastAsia" w:ascii="宋体" w:hAnsi="宋体" w:eastAsia="宋体" w:cs="宋体"/>
          <w:color w:val="000000" w:themeColor="text1"/>
          <w:kern w:val="0"/>
          <w:szCs w:val="21"/>
          <w:highlight w:val="none"/>
          <w:lang w:val="zh-CN"/>
          <w14:textFill>
            <w14:solidFill>
              <w14:schemeClr w14:val="tx1"/>
            </w14:solidFill>
          </w14:textFill>
        </w:rPr>
        <w:t>投标人自行编写</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食材合格检测报告</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应急处理方案</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投标人自行编写</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8640"/>
        </w:tabs>
        <w:spacing w:line="360" w:lineRule="auto"/>
        <w:ind w:left="-32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r>
        <w:rPr>
          <w:rFonts w:hint="eastAsia" w:ascii="宋体" w:hAnsi="宋体" w:eastAsia="宋体" w:cs="宋体"/>
          <w:color w:val="000000" w:themeColor="text1"/>
          <w:kern w:val="0"/>
          <w:szCs w:val="21"/>
          <w:highlight w:val="none"/>
          <w:lang w:val="zh-CN"/>
          <w14:textFill>
            <w14:solidFill>
              <w14:schemeClr w14:val="tx1"/>
            </w14:solidFill>
          </w14:textFill>
        </w:rPr>
        <w:t>投标人认为有必要提供的其它材料（不做强制要求）。</w:t>
      </w: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br w:type="page"/>
      </w:r>
      <w:bookmarkEnd w:id="615"/>
      <w:bookmarkStart w:id="638" w:name="_Toc102860086"/>
      <w:bookmarkStart w:id="639" w:name="_Toc1977740"/>
      <w:bookmarkStart w:id="640" w:name="_Toc140596941"/>
      <w:bookmarkStart w:id="641" w:name="_Toc142508381"/>
      <w:bookmarkStart w:id="642" w:name="_Toc102860430"/>
      <w:bookmarkStart w:id="643" w:name="_Toc94107223"/>
      <w:bookmarkStart w:id="644" w:name="_Toc104991888"/>
      <w:bookmarkStart w:id="645" w:name="_Toc533708135"/>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b/>
          <w:color w:val="000000" w:themeColor="text1"/>
          <w:kern w:val="0"/>
          <w:szCs w:val="21"/>
          <w:highlight w:val="none"/>
          <w14:textFill>
            <w14:solidFill>
              <w14:schemeClr w14:val="tx1"/>
            </w14:solidFill>
          </w14:textFill>
        </w:rPr>
      </w:pPr>
    </w:p>
    <w:p>
      <w:pPr>
        <w:pStyle w:val="21"/>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投标文件技术部分 </w:t>
      </w:r>
    </w:p>
    <w:p>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pPr>
        <w:pStyle w:val="21"/>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pPr>
        <w:pStyle w:val="21"/>
        <w:spacing w:line="360" w:lineRule="auto"/>
        <w:rPr>
          <w:rFonts w:ascii="宋体" w:hAnsi="宋体" w:cs="宋体"/>
          <w:color w:val="000000" w:themeColor="text1"/>
          <w:highlight w:val="none"/>
          <w14:textFill>
            <w14:solidFill>
              <w14:schemeClr w14:val="tx1"/>
            </w14:solidFill>
          </w14:textFill>
        </w:rPr>
      </w:pPr>
    </w:p>
    <w:p>
      <w:pPr>
        <w:pStyle w:val="21"/>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21"/>
        <w:spacing w:line="360" w:lineRule="auto"/>
        <w:rPr>
          <w:rFonts w:ascii="宋体" w:hAnsi="宋体" w:cs="宋体"/>
          <w:color w:val="000000" w:themeColor="text1"/>
          <w:highlight w:val="none"/>
          <w14:textFill>
            <w14:solidFill>
              <w14:schemeClr w14:val="tx1"/>
            </w14:solidFill>
          </w14:textFill>
        </w:rPr>
      </w:pPr>
    </w:p>
    <w:p>
      <w:pPr>
        <w:pBdr>
          <w:bottom w:val="single" w:color="auto" w:sz="6" w:space="0"/>
        </w:pBdr>
        <w:spacing w:line="480" w:lineRule="auto"/>
        <w:ind w:left="-320"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80"/>
        <w:gridCol w:w="2773"/>
        <w:gridCol w:w="2387"/>
        <w:gridCol w:w="38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773"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2387"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3828" w:type="dxa"/>
            <w:tcBorders>
              <w:left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387"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828" w:type="dxa"/>
            <w:tcBorders>
              <w:left w:val="single" w:color="auto" w:sz="4"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80"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2387" w:type="dxa"/>
            <w:vAlign w:val="center"/>
          </w:tcPr>
          <w:p>
            <w:pPr>
              <w:ind w:left="247"/>
              <w:rPr>
                <w:rFonts w:ascii="宋体" w:hAnsi="宋体" w:eastAsia="宋体" w:cs="宋体"/>
                <w:bCs/>
                <w:color w:val="000000" w:themeColor="text1"/>
                <w:szCs w:val="21"/>
                <w:highlight w:val="none"/>
                <w14:textFill>
                  <w14:solidFill>
                    <w14:schemeClr w14:val="tx1"/>
                  </w14:solidFill>
                </w14:textFill>
              </w:rPr>
            </w:pPr>
          </w:p>
        </w:tc>
        <w:tc>
          <w:tcPr>
            <w:tcW w:w="3828" w:type="dxa"/>
            <w:tcBorders>
              <w:left w:val="single" w:color="auto" w:sz="4" w:space="0"/>
            </w:tcBorders>
            <w:vAlign w:val="center"/>
          </w:tcPr>
          <w:p>
            <w:pPr>
              <w:adjustRightInd w:val="0"/>
              <w:snapToGrid w:val="0"/>
              <w:spacing w:line="360" w:lineRule="auto"/>
              <w:ind w:left="-320" w:firstLine="105" w:firstLineChars="50"/>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80"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c>
          <w:tcPr>
            <w:tcW w:w="2387" w:type="dxa"/>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828" w:type="dxa"/>
            <w:tcBorders>
              <w:left w:val="single" w:color="auto" w:sz="4" w:space="0"/>
            </w:tcBorders>
            <w:vAlign w:val="center"/>
          </w:tcPr>
          <w:p>
            <w:pPr>
              <w:spacing w:line="360" w:lineRule="auto"/>
              <w:ind w:left="-320" w:firstLine="8" w:firstLineChars="4"/>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8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c>
          <w:tcPr>
            <w:tcW w:w="238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828"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ind w:left="247"/>
              <w:rPr>
                <w:rFonts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3" w:type="dxa"/>
            <w:gridSpan w:val="2"/>
            <w:tcBorders>
              <w:bottom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2387" w:type="dxa"/>
            <w:tcBorders>
              <w:bottom w:val="single" w:color="auto" w:sz="4" w:space="0"/>
            </w:tcBorders>
            <w:vAlign w:val="center"/>
          </w:tcPr>
          <w:p>
            <w:pPr>
              <w:adjustRightInd w:val="0"/>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c>
          <w:tcPr>
            <w:tcW w:w="3828" w:type="dxa"/>
            <w:tcBorders>
              <w:left w:val="single" w:color="auto" w:sz="4" w:space="0"/>
              <w:bottom w:val="single" w:color="auto" w:sz="4" w:space="0"/>
            </w:tcBorders>
            <w:vAlign w:val="center"/>
          </w:tcPr>
          <w:p>
            <w:pPr>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p>
        </w:tc>
      </w:tr>
    </w:tbl>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 w:val="30"/>
          <w:szCs w:val="30"/>
          <w:highlight w:val="none"/>
          <w14:textFill>
            <w14:solidFill>
              <w14:schemeClr w14:val="tx1"/>
            </w14:solidFill>
          </w14:textFill>
        </w:rPr>
      </w:pPr>
      <w:bookmarkStart w:id="646" w:name="_Toc30448"/>
      <w:bookmarkStart w:id="647" w:name="_Toc27934"/>
      <w:bookmarkStart w:id="648" w:name="_Toc18999"/>
      <w:r>
        <w:rPr>
          <w:rFonts w:hint="eastAsia" w:ascii="宋体" w:hAnsi="宋体" w:eastAsia="宋体" w:cs="宋体"/>
          <w:b/>
          <w:color w:val="000000" w:themeColor="text1"/>
          <w:kern w:val="0"/>
          <w:sz w:val="30"/>
          <w:szCs w:val="30"/>
          <w:highlight w:val="none"/>
          <w14:textFill>
            <w14:solidFill>
              <w14:schemeClr w14:val="tx1"/>
            </w14:solidFill>
          </w14:textFill>
        </w:rPr>
        <w:t>16.1 用户需求偏离表格式</w:t>
      </w:r>
      <w:bookmarkEnd w:id="638"/>
      <w:bookmarkEnd w:id="639"/>
      <w:bookmarkEnd w:id="640"/>
      <w:bookmarkEnd w:id="641"/>
      <w:bookmarkEnd w:id="642"/>
      <w:bookmarkEnd w:id="643"/>
      <w:bookmarkEnd w:id="644"/>
      <w:bookmarkEnd w:id="645"/>
      <w:bookmarkEnd w:id="646"/>
      <w:bookmarkEnd w:id="647"/>
      <w:bookmarkEnd w:id="648"/>
    </w:p>
    <w:p>
      <w:pPr>
        <w:spacing w:before="120" w:after="120" w:line="360" w:lineRule="auto"/>
        <w:ind w:left="247"/>
        <w:jc w:val="center"/>
        <w:rPr>
          <w:rFonts w:ascii="宋体" w:hAnsi="宋体" w:eastAsia="宋体" w:cs="Times New Roman"/>
          <w:color w:val="000000" w:themeColor="text1"/>
          <w:kern w:val="0"/>
          <w:szCs w:val="21"/>
          <w:highlight w:val="none"/>
          <w14:textFill>
            <w14:solidFill>
              <w14:schemeClr w14:val="tx1"/>
            </w14:solidFill>
          </w14:textFill>
        </w:rPr>
      </w:pPr>
      <w:bookmarkStart w:id="649"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49"/>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003"/>
        <w:gridCol w:w="5055"/>
        <w:gridCol w:w="1215"/>
        <w:gridCol w:w="149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4" w:type="dxa"/>
            <w:vMerge w:val="restart"/>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6058" w:type="dxa"/>
            <w:gridSpan w:val="2"/>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招标文件要求</w:t>
            </w:r>
          </w:p>
        </w:tc>
        <w:tc>
          <w:tcPr>
            <w:tcW w:w="3728" w:type="dxa"/>
            <w:gridSpan w:val="3"/>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4" w:type="dxa"/>
            <w:vMerge w:val="continue"/>
            <w:vAlign w:val="center"/>
          </w:tcPr>
          <w:p>
            <w:pPr>
              <w:jc w:val="center"/>
              <w:rPr>
                <w:rFonts w:ascii="宋体" w:hAnsi="宋体" w:eastAsia="宋体" w:cs="宋体"/>
                <w:color w:val="000000" w:themeColor="text1"/>
                <w:szCs w:val="21"/>
                <w:highlight w:val="none"/>
                <w14:textFill>
                  <w14:solidFill>
                    <w14:schemeClr w14:val="tx1"/>
                  </w14:solidFill>
                </w14:textFill>
              </w:rPr>
            </w:pPr>
          </w:p>
        </w:tc>
        <w:tc>
          <w:tcPr>
            <w:tcW w:w="1003"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条款号</w:t>
            </w:r>
          </w:p>
        </w:tc>
        <w:tc>
          <w:tcPr>
            <w:tcW w:w="5055"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简要内容</w:t>
            </w:r>
          </w:p>
        </w:tc>
        <w:tc>
          <w:tcPr>
            <w:tcW w:w="1215"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偏离情况</w:t>
            </w:r>
          </w:p>
        </w:tc>
        <w:tc>
          <w:tcPr>
            <w:tcW w:w="149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实质性响应的具体内容</w:t>
            </w:r>
          </w:p>
        </w:tc>
        <w:tc>
          <w:tcPr>
            <w:tcW w:w="1016"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84" w:type="dxa"/>
            <w:vMerge w:val="restart"/>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p>
            <w:pPr>
              <w:rPr>
                <w:rFonts w:ascii="宋体" w:hAnsi="宋体" w:eastAsia="宋体" w:cs="宋体"/>
                <w:color w:val="000000" w:themeColor="text1"/>
                <w:szCs w:val="21"/>
                <w:highlight w:val="none"/>
                <w14:textFill>
                  <w14:solidFill>
                    <w14:schemeClr w14:val="tx1"/>
                  </w14:solidFill>
                </w14:textFill>
              </w:rPr>
            </w:pPr>
          </w:p>
        </w:tc>
        <w:tc>
          <w:tcPr>
            <w:tcW w:w="1003" w:type="dxa"/>
            <w:vMerge w:val="restart"/>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二、总体要求</w:t>
            </w: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（一）服务单位</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本项目通过公开招标确定一家食堂食材配送单位。</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lang w:val="zh-CN"/>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（二）服务期限</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公司自合同签订之日起一年。服务期限满后，双方经友好协商一致之后，可在保持原合同约定条款的情况下，签订补充协议延长服务资格期限，延长的服务资格期限原则上不超过三个月。本项目确定的中标人与东莞市水务集团有限公司、</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东莞市水务集团供水有限公司长安分公司签订农副产品食品材料配送合同，招标人不确保中标人农副产品、主副食品、其他食品材料实际产生配送量，每月份按实际产生量结算。</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lang w:val="zh-CN"/>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（三）付款方法</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招标人或招标人权属子公司或招标人权属子公司的分公司每月与中标人按实际产生量结算一次。</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restart"/>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003" w:type="dxa"/>
            <w:vMerge w:val="restart"/>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三、具体要求</w:t>
            </w:r>
          </w:p>
          <w:p>
            <w:pPr>
              <w:rPr>
                <w:rFonts w:ascii="宋体" w:hAnsi="宋体" w:eastAsia="宋体" w:cs="宋体"/>
                <w:color w:val="000000" w:themeColor="text1"/>
                <w:szCs w:val="21"/>
                <w:highlight w:val="none"/>
                <w:lang w:val="zh-CN"/>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（一）采购内容</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根据建设、运营需要委托供应商提供食堂食材采购及配送服务，供货内容包括但不限于以下：</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A类（粮油干货类）：大米、食用油、调味品、干货、杂货、米粉面粉类等食品材料；</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B类（肉类）：生鲜猪、牛、羊、三鸟，鱼及冰冻水产、畜、禽肉类；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C类（蔬果类）：生鲜蔬菜、水果等食品材料。</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（二）就餐人数</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2024年-2025年计划员工数量830人，东莞市水务集团有限公司130人、东莞市水务集团科技发展有限公司196人、</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202人、东莞市水务集团供水有限公司长安分公司302人员工食堂（具体就餐人数以实际为准）。</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（三）供货地点</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（注：具体供货地点表内容详见用户需求书）</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备注：若在服务期内，招标人办公地点发生改变，服务地址以新办公地点地址为准。</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（四）定价及定价周期</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1.招标人和中标人按以下方式确定供货价格（定价原则）：</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（1）原则上以东莞市发展和改革局（http://dgdp.dg.gov.cn/jggl/spjg/，</w:t>
            </w:r>
            <w:r>
              <w:rPr>
                <w:rFonts w:hint="eastAsia" w:ascii="宋体" w:hAnsi="宋体" w:eastAsia="宋体" w:cs="宋体"/>
                <w:color w:val="000000" w:themeColor="text1"/>
                <w:szCs w:val="21"/>
                <w:highlight w:val="none"/>
                <w:lang w:val="zh-CN"/>
                <w14:textFill>
                  <w14:solidFill>
                    <w14:schemeClr w14:val="tx1"/>
                  </w14:solidFill>
                </w14:textFill>
              </w:rPr>
              <w:t>网址仅供参考</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具体以东莞市发展和改革局官方网址发布的为准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东莞市菜篮子价格监测表</w:t>
            </w:r>
            <w:r>
              <w:rPr>
                <w:rFonts w:hint="eastAsia" w:ascii="宋体" w:hAnsi="宋体" w:eastAsia="宋体" w:cs="宋体"/>
                <w:color w:val="000000" w:themeColor="text1"/>
                <w:szCs w:val="21"/>
                <w:highlight w:val="none"/>
                <w14:textFill>
                  <w14:solidFill>
                    <w14:schemeClr w14:val="tx1"/>
                  </w14:solidFill>
                </w14:textFill>
              </w:rPr>
              <w:t>”当月份最新公布本期（指招标人或招标人权属子公司或招标人权属子公司的分公司审批之日的最新期次）价格作为基准价抽样审核；若东莞物价专栏无最近当月份公布或招标人</w:t>
            </w:r>
            <w:r>
              <w:rPr>
                <w:rFonts w:hint="eastAsia" w:ascii="宋体" w:hAnsi="宋体" w:eastAsia="宋体" w:cs="宋体"/>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所需的相同品种，则招标人</w:t>
            </w:r>
            <w:r>
              <w:rPr>
                <w:rFonts w:hint="eastAsia" w:ascii="宋体" w:hAnsi="宋体" w:eastAsia="宋体" w:cs="宋体"/>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将对本市区农副产品市场（莞城细村农贸市场或新光明市场或长安沙头综合市场）的市场零售价（与中标人供货产品等级、质量相近的产品零售价）进行抽样调查，核定相同品种的市场零售价格作基准价。</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（2）临时委托采购：中标人必须按照招标人</w:t>
            </w:r>
            <w:r>
              <w:rPr>
                <w:rFonts w:hint="eastAsia" w:ascii="宋体" w:hAnsi="宋体" w:eastAsia="宋体" w:cs="宋体"/>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急需餐料物资品种、数量、送货时间、地点等在2小时内进行供货，若急需餐料物资不在供货物资清单表上，该项临时需求食品材料纳入下次供货清单内，并按上述定价原则确定供货价。</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2.定价周期</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（1）A类（粮油干货类）、B类（肉类）、C类（蔬果类、其他类项）价格每半月更新一次，中标人每月12日前提交下半月报价给招标人</w:t>
            </w:r>
            <w:r>
              <w:rPr>
                <w:rFonts w:hint="eastAsia" w:ascii="宋体" w:hAnsi="宋体" w:eastAsia="宋体" w:cs="宋体"/>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审核，每月25日前提交下个月上半月报价给招标人</w:t>
            </w:r>
            <w:r>
              <w:rPr>
                <w:rFonts w:hint="eastAsia" w:ascii="宋体" w:hAnsi="宋体" w:eastAsia="宋体" w:cs="宋体"/>
                <w:color w:val="000000" w:themeColor="text1"/>
                <w:szCs w:val="21"/>
                <w:highlight w:val="none"/>
                <w:lang w:val="zh-CN"/>
                <w14:textFill>
                  <w14:solidFill>
                    <w14:schemeClr w14:val="tx1"/>
                  </w14:solidFill>
                </w14:textFill>
              </w:rPr>
              <w:t>或招标人权属子公司或招标人权属子公司的分公司</w:t>
            </w:r>
            <w:r>
              <w:rPr>
                <w:rFonts w:hint="eastAsia" w:ascii="宋体" w:hAnsi="宋体" w:eastAsia="宋体" w:cs="宋体"/>
                <w:color w:val="000000" w:themeColor="text1"/>
                <w:szCs w:val="21"/>
                <w:highlight w:val="none"/>
                <w14:textFill>
                  <w14:solidFill>
                    <w14:schemeClr w14:val="tx1"/>
                  </w14:solidFill>
                </w14:textFill>
              </w:rPr>
              <w:t>审核。</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供货品规格、型号报价与实际配送的规格型号相符合。核定价格后若供货时期市场出现部分类型餐料价格大幅浮动，升降在30%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函复，若在此期限内不予函复则以新定价格执行，除此之外，双方约定的供货物资价格在有效期内任何一方不得随意更改。</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（五）考核管理</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人及招标人权属子公司、招标人权属子公司的分公司每月安排相关人员对中标人进行服务质量跟踪，两个月为一个考核期，并填写“XX公司食堂配送服务考核评分表”（附件1），考核成绩较差（低于80分）时由招标人或招标人权属子公司或招标人权属子公司的分公司下达整改意见书，以确保中标人的服务质量能满足招标人或招标人权属子公司或招标人权属子公司的分公司要求；如连续两次接收整改意见书仍未符合整改要求，招标人或招标人权属子公司或招标人权属子公司的分公司将有权单方解除相关配送合同并没收履约担保，同时中标人应当承担违约责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2.中标人按照招标人提出的物品订货清单，不论数量多少，必须保证在规定的时间、地点送货。</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3.中标人对招标人提出的临时性服务要求应按招标人要求按时、按质、按量将货品送到指定地点。</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4.中标人提供的货品必须符合国家食品卫生法规相关标准，保质、保量。不合格的货品，中标人必须包退包换。</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5.中标人提供的货品必须出示真实有效的合格证书、检验报告：</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（1）A类：食品材料按招标人要求定期提供有效检验合格报告；B类、C类食品要提交所有相关检验、检测证明报告。</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（2）凡国家有明文规定的必须提供产品检验报告交食堂存档，符合国家溯源制度规定。</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6.中标人每次送货应有相应的送货清单（盖有中标人的有效公章），且必须时提供合法的进货单据。</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7.中标人提供的货品导致招标人有任何食物安全事件出现，由中标人承担全部责任及赔偿招标人一切损失，招标人保留法律追究权利。</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8.中标人应按照招标人指定时间内对下月供货价格进行签字确认。</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9.中标人的供货价应包含货品交给招标人之前的一切费用，包括运输费、储存费等，并承担送货途中的一切风险。</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10.未列入物资明细表内又需要购买的货品，其单价由双方以本用户需求书规定的定价原则确定供货价格。</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11.中标人进入招标人范围内必须遵守招标人有关规定，不得影响招标人的正常工作，由于中标人的过失造成招标人直接经济损失则要负全部责任及赔偿招标人一切损失。</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12.中标人须提供以往交易记录。</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13.中标人须有固定分割肉加工场所，具备空调作业环境，配套设备设施齐全，有相应加工作业流程及相关管理制度。</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★14.中标人须承诺中标后为招标人（</w:t>
            </w:r>
            <w:r>
              <w:rPr>
                <w:rFonts w:hint="eastAsia" w:ascii="宋体" w:hAnsi="宋体" w:eastAsia="宋体" w:cs="宋体"/>
                <w:color w:val="000000" w:themeColor="text1"/>
                <w:szCs w:val="21"/>
                <w:highlight w:val="none"/>
                <w:lang w:val="zh-CN"/>
                <w14:textFill>
                  <w14:solidFill>
                    <w14:schemeClr w14:val="tx1"/>
                  </w14:solidFill>
                </w14:textFill>
              </w:rPr>
              <w:t>东莞市水务集团有限公司</w:t>
            </w:r>
            <w:r>
              <w:rPr>
                <w:rFonts w:hint="eastAsia" w:ascii="宋体" w:hAnsi="宋体" w:eastAsia="宋体" w:cs="宋体"/>
                <w:color w:val="000000" w:themeColor="text1"/>
                <w:szCs w:val="21"/>
                <w:highlight w:val="none"/>
                <w14:textFill>
                  <w14:solidFill>
                    <w14:schemeClr w14:val="tx1"/>
                  </w14:solidFill>
                </w14:textFill>
              </w:rPr>
              <w:t>）及招标人权属子公司（</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招标人权属子公司的分公司（东莞市水务集团供水有限公司长安分公司）为受益人）提供一份额度不少于人民币20000万元的保险（食品安全责任险），各受益人均享有同等受益权，保险承保期限不短于配送时间一年，如配送服务合同延期，保险承保期需同步延期。若因中标人原因造成招标人或招标人权属子公司或招标人权属子公司的分公司人员食物中毒等事故而索赔并超出相应保险赔偿额度，超出部分由中标人负责承担。（注：须提供《购买食品安全责任险承诺书》加盖投标人公章）。</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84"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1003" w:type="dxa"/>
            <w:vMerge w:val="continue"/>
            <w:vAlign w:val="center"/>
          </w:tcPr>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（六）验收标准</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A类（粮油干货类）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1.粮食大米类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（1）由正规厂家出厂、颜色品质纯正，米粒形均匀、整齐、重量大没有碎米和爆腰。</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（2）有清香味和光泽，无米糠和其它杂质、无虫害、无异味、无霉味，用手摸时滑爽、干燥。</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（3）符合食品卫生标准，无毒、无污染。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2.食用油类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（1）由知名正规厂家生产的植物油，非转基因类。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（2）色泽纯正，透明度好。</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3.调味品类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（1）由正规厂家生产、颜色品质纯正。</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4.干货、杂货、副食品类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（1）必须选用符合国家食品卫生法规相关标准的商品，选用无毒、无害、无污染、可溯源的食品。掺假、掺杂食品坚决不能使用。</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（2）副食品等级标准要相符，其包装盒或标签上须注明食品名称、生产厂家、厂址、生产日期、食品的主要原料成份和食品保质期等信息，注明不详或没有注明的商品不予验收。</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（3）副食品表面外观新鲜、完整，无霉变异味，无砂粒杂质，无虫尸鼠粪等不洁卫生问题。</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5.米粉面粉类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（1）米粉面粉类及其制品颜色品质要纯正，不掺假、掺杂。</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（2）符合食品卫生标准，粉质细腻干爽无异物、无毒、无污染。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（3）制成品不能出现异味、霉变结块、虫尸鼠粪等不洁的卫生问题。</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上述货品必须符合国家食品卫生法规相关标准，符合招标人使用要求，货品必须保证有三分之二以上保质期（如货品有保质期）。</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B类（肉类）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1.猪肉类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（1）具有当天卫生监督部门发放的“动物检疫合格证明”，肉体印有检疫章。</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（2）表皮干爽、肌体结实、肉质紧密、肉色淡红新鲜，肥肉洁白而细腻。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（3）外观检测无异味、无寄生虫、无粘液、无渗出液体、指压反弹迅速、具有猪肉自然气味。</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（4）运输设备具备恒温保鲜（5℃度），存放容器保持清洁卫生，包装合理且材料无污染。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2.牛肉类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（1）具有当天卫生监督部门发放的“动物检疫合格证明”，外观检测新鲜肉质柔软有光泽、无腐臭变质异味、无寄生虫、无粘液、无渗出液体。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（2）牛肉色泽棕红，脂肪呈淡黄色或深黄色，肉质坚硬，弹性足。</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（3）运输设备具备恒温保鲜（5℃度），存放容器保持清洁卫生，包装合理且材料无污染。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3.羊肉类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（2）羊肉色泽暗红，纤维细而软，肌间少脂肪。</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（3）运输设备具备恒温保鲜（5℃度），存放容器保持清洁卫生，包装合理且材料无污染。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4.水产品类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（1）必须鲜活。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（2）鲜鱼鳞片完整，有光泽无脱落，鳃口紧闭，眼球光亮透明，鱼鳃鲜红，鳍尾完整，确保新鲜。</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（3）身体饱满结实，无腐烂异味，肉质紧密有弹性，无离骨脱刺现象。</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（4）来源可靠放心，无毒、无害、无污染。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5.三鸟类（已经屠杀完成）</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（1）具有当天卫生监督部门发放的“动物检疫合格证明”。</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（2）肉质新鲜柔软有光泽，质地紧密，脂肪呈白色或淡黄色，肉质细腻、无腐烂异味， 肉体结实，内脏清掏干净，肉质弹性足无明显渗出液体，总体无粘液。</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（3）运输设备具备恒温保鲜（5℃度），存放容器保持清洁卫生，包装合理，来源可靠放心，无毒、无害、无污染。</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6.零星冻品、加工副食品类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（1）必须选用符合国家食品卫生法规相关标准的商品，选用无毒、无害、无污染、可溯源的副食品。掺假、掺杂副食品坚决不能使用。</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（2）食品等级标准要相符，其包装盒或标签上须注明食品名称，生产厂家、厂址、生产日期、食品的主要原料成份和食品保质期等信息，注明不详或没有注明的商品不予验收。</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（3）冻肉类产品中间不能有过多冰块，重量必须和包装箱上标明的重量一致。</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（4）奶制品色泽乳白，口味鲜香，包装完整，无破损，验收每批在保质期二分之一以上，符合国家规定的质量卫生标准。</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C类：蔬果类</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1.应保持较好的色泽和新鲜度。</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2.符合国家食品卫生标准，蔬菜不得有黄叶；不得腐烂和泥沙等现象。</w:t>
            </w:r>
          </w:p>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3.无公害、农药残留不得超标，提供农药残留检测证明。</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84"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1003"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四、其他</w:t>
            </w:r>
          </w:p>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其他未尽事宜，将在合同签订或项目执行过程中双方协商确定，中标人须无条件满足招标人的合理要求。</w:t>
            </w: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4"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1003"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w:t>
            </w:r>
          </w:p>
          <w:p>
            <w:pPr>
              <w:rPr>
                <w:rFonts w:ascii="宋体" w:hAnsi="宋体" w:eastAsia="宋体" w:cs="宋体"/>
                <w:color w:val="000000" w:themeColor="text1"/>
                <w:szCs w:val="21"/>
                <w:highlight w:val="none"/>
                <w14:textFill>
                  <w14:solidFill>
                    <w14:schemeClr w14:val="tx1"/>
                  </w14:solidFill>
                </w14:textFill>
              </w:rPr>
            </w:pPr>
          </w:p>
        </w:tc>
        <w:tc>
          <w:tcPr>
            <w:tcW w:w="5055" w:type="dxa"/>
            <w:vAlign w:val="center"/>
          </w:tcPr>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XX公司食堂配送服务考核评分表</w:t>
            </w:r>
          </w:p>
          <w:p>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（注：具体食堂配送服务考核评分表内容详见用户需求书）</w:t>
            </w:r>
          </w:p>
          <w:p>
            <w:pPr>
              <w:rPr>
                <w:rFonts w:ascii="宋体" w:hAnsi="宋体" w:eastAsia="宋体" w:cs="宋体"/>
                <w:color w:val="000000" w:themeColor="text1"/>
                <w:szCs w:val="21"/>
                <w:highlight w:val="none"/>
                <w14:textFill>
                  <w14:solidFill>
                    <w14:schemeClr w14:val="tx1"/>
                  </w14:solidFill>
                </w14:textFill>
              </w:rPr>
            </w:pPr>
          </w:p>
        </w:tc>
        <w:tc>
          <w:tcPr>
            <w:tcW w:w="1215"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497" w:type="dxa"/>
            <w:vAlign w:val="center"/>
          </w:tcPr>
          <w:p>
            <w:pPr>
              <w:rPr>
                <w:rFonts w:ascii="宋体" w:hAnsi="宋体" w:eastAsia="宋体" w:cs="宋体"/>
                <w:color w:val="000000" w:themeColor="text1"/>
                <w:szCs w:val="21"/>
                <w:highlight w:val="none"/>
                <w14:textFill>
                  <w14:solidFill>
                    <w14:schemeClr w14:val="tx1"/>
                  </w14:solidFill>
                </w14:textFill>
              </w:rPr>
            </w:pPr>
          </w:p>
        </w:tc>
        <w:tc>
          <w:tcPr>
            <w:tcW w:w="1016" w:type="dxa"/>
            <w:vAlign w:val="center"/>
          </w:tcPr>
          <w:p>
            <w:pPr>
              <w:rPr>
                <w:rFonts w:ascii="宋体" w:hAnsi="宋体" w:eastAsia="宋体" w:cs="宋体"/>
                <w:color w:val="000000" w:themeColor="text1"/>
                <w:szCs w:val="21"/>
                <w:highlight w:val="none"/>
                <w14:textFill>
                  <w14:solidFill>
                    <w14:schemeClr w14:val="tx1"/>
                  </w14:solidFill>
                </w14:textFill>
              </w:rPr>
            </w:pPr>
          </w:p>
        </w:tc>
      </w:tr>
    </w:tbl>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pPr>
        <w:spacing w:line="360" w:lineRule="auto"/>
        <w:ind w:left="605" w:leftChars="18" w:hanging="567" w:hangingChars="270"/>
        <w:rPr>
          <w:rFonts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投标人应对照招标文件用户需求书的响应（其中“一、项目概况”除外），逐条逐项、如实地填写“偏离情况”，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p>
    <w:p>
      <w:pPr>
        <w:autoSpaceDE w:val="0"/>
        <w:autoSpaceDN w:val="0"/>
        <w:adjustRightInd w:val="0"/>
        <w:spacing w:line="360" w:lineRule="auto"/>
        <w:ind w:left="24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pPr>
        <w:jc w:val="right"/>
        <w:rPr>
          <w:rFonts w:ascii="宋体" w:hAnsi="宋体" w:eastAsia="宋体" w:cs="宋体"/>
          <w:color w:val="000000" w:themeColor="text1"/>
          <w:kern w:val="3"/>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r>
        <w:rPr>
          <w:rFonts w:hint="eastAsia" w:ascii="宋体" w:hAnsi="宋体" w:eastAsia="宋体" w:cs="宋体"/>
          <w:color w:val="000000" w:themeColor="text1"/>
          <w:kern w:val="0"/>
          <w:szCs w:val="21"/>
          <w:highlight w:val="none"/>
          <w14:textFill>
            <w14:solidFill>
              <w14:schemeClr w14:val="tx1"/>
            </w14:solidFill>
          </w14:textFill>
        </w:rPr>
        <w:br w:type="page"/>
      </w:r>
    </w:p>
    <w:p>
      <w:pPr>
        <w:rPr>
          <w:rFonts w:ascii="宋体" w:hAnsi="宋体" w:eastAsia="宋体" w:cs="宋体"/>
          <w:b/>
          <w:color w:val="000000" w:themeColor="text1"/>
          <w:kern w:val="0"/>
          <w:sz w:val="30"/>
          <w:szCs w:val="30"/>
          <w:highlight w:val="none"/>
          <w14:textFill>
            <w14:solidFill>
              <w14:schemeClr w14:val="tx1"/>
            </w14:solidFill>
          </w14:textFill>
        </w:rPr>
      </w:pPr>
      <w:bookmarkStart w:id="650" w:name="_Toc102860094"/>
      <w:bookmarkStart w:id="651" w:name="_Toc102860438"/>
      <w:bookmarkStart w:id="652" w:name="_Toc140596949"/>
      <w:bookmarkStart w:id="653" w:name="_Toc104991896"/>
      <w:bookmarkStart w:id="654" w:name="_Toc142508389"/>
      <w:bookmarkStart w:id="655" w:name="_Toc533708139"/>
      <w:r>
        <w:rPr>
          <w:rFonts w:hint="eastAsia" w:ascii="宋体" w:hAnsi="宋体" w:eastAsia="宋体" w:cs="宋体"/>
          <w:b/>
          <w:color w:val="000000" w:themeColor="text1"/>
          <w:kern w:val="0"/>
          <w:sz w:val="30"/>
          <w:szCs w:val="30"/>
          <w:highlight w:val="none"/>
          <w14:textFill>
            <w14:solidFill>
              <w14:schemeClr w14:val="tx1"/>
            </w14:solidFill>
          </w14:textFill>
        </w:rPr>
        <w:t>16.2 购买食品安全责任险承诺书</w:t>
      </w:r>
    </w:p>
    <w:p>
      <w:pPr>
        <w:rPr>
          <w:rFonts w:ascii="宋体" w:hAnsi="宋体" w:eastAsia="宋体" w:cs="宋体"/>
          <w:b/>
          <w:color w:val="000000" w:themeColor="text1"/>
          <w:kern w:val="0"/>
          <w:sz w:val="30"/>
          <w:szCs w:val="30"/>
          <w:highlight w:val="none"/>
          <w14:textFill>
            <w14:solidFill>
              <w14:schemeClr w14:val="tx1"/>
            </w14:solidFill>
          </w14:textFill>
        </w:rPr>
      </w:pPr>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47" w:type="dxa"/>
            <w:vAlign w:val="center"/>
          </w:tcPr>
          <w:p>
            <w:pPr>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序号</w:t>
            </w:r>
          </w:p>
        </w:tc>
        <w:tc>
          <w:tcPr>
            <w:tcW w:w="9623" w:type="dxa"/>
            <w:vAlign w:val="center"/>
          </w:tcPr>
          <w:p>
            <w:pPr>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47" w:type="dxa"/>
            <w:vAlign w:val="center"/>
          </w:tcPr>
          <w:p>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623" w:type="dxa"/>
            <w:vAlign w:val="center"/>
          </w:tcPr>
          <w:p>
            <w:pPr>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我方须承诺中标后为招标人（</w:t>
            </w:r>
            <w:r>
              <w:rPr>
                <w:rFonts w:hint="eastAsia" w:ascii="宋体" w:hAnsi="宋体" w:eastAsia="宋体" w:cs="宋体"/>
                <w:color w:val="000000" w:themeColor="text1"/>
                <w:szCs w:val="21"/>
                <w:highlight w:val="none"/>
                <w:lang w:val="zh-CN"/>
                <w14:textFill>
                  <w14:solidFill>
                    <w14:schemeClr w14:val="tx1"/>
                  </w14:solidFill>
                </w14:textFill>
              </w:rPr>
              <w:t>东莞市水务集团有限公司</w:t>
            </w:r>
            <w:r>
              <w:rPr>
                <w:rFonts w:hint="eastAsia" w:ascii="宋体" w:hAnsi="宋体" w:eastAsia="宋体" w:cs="宋体"/>
                <w:color w:val="000000" w:themeColor="text1"/>
                <w:szCs w:val="21"/>
                <w:highlight w:val="none"/>
                <w14:textFill>
                  <w14:solidFill>
                    <w14:schemeClr w14:val="tx1"/>
                  </w14:solidFill>
                </w14:textFill>
              </w:rPr>
              <w:t>）及招标人权属子公司（</w:t>
            </w:r>
            <w:r>
              <w:rPr>
                <w:rFonts w:hint="eastAsia" w:ascii="宋体" w:hAnsi="宋体" w:eastAsia="宋体" w:cs="宋体"/>
                <w:color w:val="000000" w:themeColor="text1"/>
                <w:szCs w:val="21"/>
                <w:highlight w:val="none"/>
                <w:lang w:val="zh-CN"/>
                <w14:textFill>
                  <w14:solidFill>
                    <w14:schemeClr w14:val="tx1"/>
                  </w14:solidFill>
                </w14:textFill>
              </w:rPr>
              <w:t>东莞市水务集团实业发展有限公司、</w:t>
            </w:r>
            <w:r>
              <w:rPr>
                <w:rFonts w:hint="eastAsia" w:ascii="宋体" w:hAnsi="宋体" w:eastAsia="宋体" w:cs="宋体"/>
                <w:color w:val="000000" w:themeColor="text1"/>
                <w:szCs w:val="21"/>
                <w:highlight w:val="none"/>
                <w14:textFill>
                  <w14:solidFill>
                    <w14:schemeClr w14:val="tx1"/>
                  </w14:solidFill>
                </w14:textFill>
              </w:rPr>
              <w:t>东莞市水务集团科技发展有限公司）、招标人权属子公司的分公司（东莞市水务集团供水有限公司长安分公司）为受益人）提供一份额度不少于人民币20000万元的保险（食品安全责任险），各受益人均享有同等受益权，保险承保期限不短于配送时间一年，如配送服务合同延期，保险承保期需同步延期。</w:t>
            </w:r>
            <w:r>
              <w:rPr>
                <w:rFonts w:hint="eastAsia" w:ascii="宋体" w:hAnsi="宋体" w:eastAsia="宋体" w:cs="宋体"/>
                <w:color w:val="000000" w:themeColor="text1"/>
                <w:kern w:val="0"/>
                <w:szCs w:val="21"/>
                <w:highlight w:val="none"/>
                <w14:textFill>
                  <w14:solidFill>
                    <w14:schemeClr w14:val="tx1"/>
                  </w14:solidFill>
                </w14:textFill>
              </w:rPr>
              <w:t>若因</w:t>
            </w:r>
            <w:r>
              <w:rPr>
                <w:rFonts w:hint="eastAsia" w:ascii="宋体" w:hAnsi="宋体" w:eastAsia="宋体" w:cs="宋体"/>
                <w:color w:val="000000" w:themeColor="text1"/>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原因造成</w:t>
            </w:r>
            <w:r>
              <w:rPr>
                <w:rFonts w:hint="eastAsia" w:ascii="宋体" w:hAnsi="宋体" w:eastAsia="宋体" w:cs="宋体"/>
                <w:color w:val="000000" w:themeColor="text1"/>
                <w:szCs w:val="21"/>
                <w:highlight w:val="none"/>
                <w14:textFill>
                  <w14:solidFill>
                    <w14:schemeClr w14:val="tx1"/>
                  </w14:solidFill>
                </w14:textFill>
              </w:rPr>
              <w:t>招标人或招标人权属子公司或招标人权属子公司的分公司</w:t>
            </w:r>
            <w:r>
              <w:rPr>
                <w:rFonts w:hint="eastAsia" w:ascii="宋体" w:hAnsi="宋体" w:eastAsia="宋体" w:cs="宋体"/>
                <w:color w:val="000000" w:themeColor="text1"/>
                <w:kern w:val="0"/>
                <w:szCs w:val="21"/>
                <w:highlight w:val="none"/>
                <w14:textFill>
                  <w14:solidFill>
                    <w14:schemeClr w14:val="tx1"/>
                  </w14:solidFill>
                </w14:textFill>
              </w:rPr>
              <w:t>人员食物中毒等事故而索赔并超出相应保险赔偿额度，超出部分由</w:t>
            </w:r>
            <w:r>
              <w:rPr>
                <w:rFonts w:hint="eastAsia" w:ascii="宋体" w:hAnsi="宋体" w:eastAsia="宋体" w:cs="宋体"/>
                <w:color w:val="000000" w:themeColor="text1"/>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负责承担。</w:t>
            </w:r>
          </w:p>
        </w:tc>
      </w:tr>
    </w:tbl>
    <w:p>
      <w:pPr>
        <w:rPr>
          <w:color w:val="000000" w:themeColor="text1"/>
          <w:highlight w:val="none"/>
          <w14:textFill>
            <w14:solidFill>
              <w14:schemeClr w14:val="tx1"/>
            </w14:solidFill>
          </w14:textFill>
        </w:rPr>
      </w:pPr>
    </w:p>
    <w:p>
      <w:pPr>
        <w:numPr>
          <w:ilvl w:val="255"/>
          <w:numId w:val="0"/>
        </w:numPr>
        <w:spacing w:line="360" w:lineRule="auto"/>
        <w:rPr>
          <w:rStyle w:val="44"/>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numPr>
          <w:ilvl w:val="0"/>
          <w:numId w:val="3"/>
        </w:num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本表承诺事项若与投标文件其他地方表述不一致的，以本承诺表为准。</w:t>
      </w:r>
    </w:p>
    <w:p>
      <w:pPr>
        <w:rPr>
          <w:rFonts w:ascii="宋体" w:hAnsi="宋体" w:eastAsia="宋体" w:cs="宋体"/>
          <w:color w:val="000000" w:themeColor="text1"/>
          <w:highlight w:val="none"/>
          <w14:textFill>
            <w14:solidFill>
              <w14:schemeClr w14:val="tx1"/>
            </w14:solidFill>
          </w14:textFill>
        </w:rPr>
      </w:pPr>
    </w:p>
    <w:p>
      <w:pPr>
        <w:jc w:val="right"/>
        <w:rPr>
          <w:rFonts w:ascii="宋体" w:hAnsi="宋体" w:eastAsia="宋体" w:cs="宋体"/>
          <w:color w:val="000000" w:themeColor="text1"/>
          <w:highlight w:val="none"/>
          <w14:textFill>
            <w14:solidFill>
              <w14:schemeClr w14:val="tx1"/>
            </w14:solidFill>
          </w14:textFill>
        </w:rPr>
      </w:pPr>
    </w:p>
    <w:p>
      <w:pPr>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 标 人（加盖投标人法人公章）：</w:t>
      </w:r>
    </w:p>
    <w:p>
      <w:pPr>
        <w:jc w:val="right"/>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  期：        年     月     日</w:t>
      </w: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16.3总体实施方案（投标人自行编写）</w:t>
      </w:r>
    </w:p>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pPr>
        <w:pStyle w:val="18"/>
        <w:ind w:left="247"/>
        <w:jc w:val="left"/>
        <w:rPr>
          <w:rFonts w:hAnsi="宋体" w:cs="宋体"/>
          <w:bCs w:val="0"/>
          <w:color w:val="000000" w:themeColor="text1"/>
          <w:kern w:val="0"/>
          <w:sz w:val="30"/>
          <w:szCs w:val="30"/>
          <w:highlight w:val="none"/>
          <w:lang w:val="en-US"/>
          <w14:textFill>
            <w14:solidFill>
              <w14:schemeClr w14:val="tx1"/>
            </w14:solidFill>
          </w14:textFill>
        </w:rPr>
      </w:pPr>
      <w:r>
        <w:rPr>
          <w:rFonts w:hint="eastAsia" w:hAnsi="宋体" w:cs="宋体"/>
          <w:bCs w:val="0"/>
          <w:color w:val="000000" w:themeColor="text1"/>
          <w:kern w:val="0"/>
          <w:sz w:val="30"/>
          <w:szCs w:val="30"/>
          <w:highlight w:val="none"/>
          <w:lang w:val="en-US"/>
          <w14:textFill>
            <w14:solidFill>
              <w14:schemeClr w14:val="tx1"/>
            </w14:solidFill>
          </w14:textFill>
        </w:rPr>
        <w:t>16.4 食品安全管理</w:t>
      </w:r>
    </w:p>
    <w:p>
      <w:pPr>
        <w:spacing w:line="360" w:lineRule="auto"/>
        <w:ind w:left="-320" w:firstLine="210" w:firstLineChars="100"/>
        <w:rPr>
          <w:rFonts w:ascii="宋体" w:hAnsi="宋体" w:eastAsia="宋体" w:cs="宋体"/>
          <w:color w:val="000000" w:themeColor="text1"/>
          <w:szCs w:val="21"/>
          <w:highlight w:val="none"/>
          <w:lang w:val="zh-CN"/>
          <w14:textFill>
            <w14:solidFill>
              <w14:schemeClr w14:val="tx1"/>
            </w14:solidFill>
          </w14:textFill>
        </w:rPr>
      </w:pPr>
    </w:p>
    <w:p>
      <w:pPr>
        <w:spacing w:line="360" w:lineRule="auto"/>
        <w:ind w:left="-320" w:firstLine="210" w:firstLine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（1）食材检验制度、食材进货制度、食材安全管理制度、人员管理制度（投标人自行编写）；</w:t>
      </w:r>
    </w:p>
    <w:p>
      <w:pPr>
        <w:spacing w:line="360" w:lineRule="auto"/>
        <w:ind w:left="-320" w:firstLine="210" w:firstLineChars="1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（2）检测能力（投标人自行编写）；</w:t>
      </w:r>
    </w:p>
    <w:p>
      <w:pPr>
        <w:spacing w:line="360" w:lineRule="auto"/>
        <w:ind w:left="-320" w:firstLine="210" w:firstLineChars="100"/>
        <w:rPr>
          <w:rFonts w:hAnsi="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（3）食材合格检测报告；</w:t>
      </w:r>
    </w:p>
    <w:p>
      <w:pPr>
        <w:ind w:left="247"/>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656" w:name="_Toc3750"/>
      <w:bookmarkStart w:id="657" w:name="_Toc18180"/>
      <w:bookmarkStart w:id="658" w:name="_Toc30545"/>
    </w:p>
    <w:p>
      <w:pPr>
        <w:pStyle w:val="18"/>
        <w:ind w:left="247"/>
        <w:jc w:val="left"/>
        <w:rPr>
          <w:rFonts w:hAnsi="宋体" w:cs="宋体"/>
          <w:bCs w:val="0"/>
          <w:color w:val="000000" w:themeColor="text1"/>
          <w:kern w:val="0"/>
          <w:sz w:val="30"/>
          <w:szCs w:val="30"/>
          <w:highlight w:val="none"/>
          <w:lang w:val="en-US"/>
          <w14:textFill>
            <w14:solidFill>
              <w14:schemeClr w14:val="tx1"/>
            </w14:solidFill>
          </w14:textFill>
        </w:rPr>
      </w:pPr>
      <w:r>
        <w:rPr>
          <w:rFonts w:hint="eastAsia" w:hAnsi="宋体" w:cs="宋体"/>
          <w:bCs w:val="0"/>
          <w:color w:val="000000" w:themeColor="text1"/>
          <w:kern w:val="0"/>
          <w:sz w:val="30"/>
          <w:szCs w:val="30"/>
          <w:highlight w:val="none"/>
          <w:lang w:val="en-US"/>
          <w14:textFill>
            <w14:solidFill>
              <w14:schemeClr w14:val="tx1"/>
            </w14:solidFill>
          </w14:textFill>
        </w:rPr>
        <w:t xml:space="preserve">16.5 </w:t>
      </w:r>
      <w:r>
        <w:rPr>
          <w:rFonts w:hint="eastAsia" w:hAnsi="宋体" w:cs="宋体"/>
          <w:color w:val="000000" w:themeColor="text1"/>
          <w:kern w:val="0"/>
          <w:sz w:val="30"/>
          <w:szCs w:val="30"/>
          <w:highlight w:val="none"/>
          <w14:textFill>
            <w14:solidFill>
              <w14:schemeClr w14:val="tx1"/>
            </w14:solidFill>
          </w14:textFill>
        </w:rPr>
        <w:t>应急处理方案（投标人自行编写）</w:t>
      </w:r>
    </w:p>
    <w:p>
      <w:pPr>
        <w:spacing w:line="360" w:lineRule="auto"/>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pPr>
        <w:ind w:left="247"/>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16.6 </w:t>
      </w:r>
      <w:bookmarkEnd w:id="650"/>
      <w:bookmarkEnd w:id="651"/>
      <w:bookmarkEnd w:id="652"/>
      <w:bookmarkEnd w:id="653"/>
      <w:bookmarkEnd w:id="654"/>
      <w:bookmarkEnd w:id="656"/>
      <w:bookmarkEnd w:id="657"/>
      <w:bookmarkEnd w:id="658"/>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r>
        <w:rPr>
          <w:rFonts w:ascii="宋体" w:hAnsi="宋体" w:eastAsia="宋体" w:cs="Times New Roman"/>
          <w:color w:val="000000" w:themeColor="text1"/>
          <w:kern w:val="0"/>
          <w:sz w:val="24"/>
          <w:szCs w:val="24"/>
          <w:highlight w:val="none"/>
          <w14:textFill>
            <w14:solidFill>
              <w14:schemeClr w14:val="tx1"/>
            </w14:solidFill>
          </w14:textFill>
        </w:rPr>
        <w:br w:type="page"/>
      </w:r>
    </w:p>
    <w:p>
      <w:pPr>
        <w:autoSpaceDE w:val="0"/>
        <w:autoSpaceDN w:val="0"/>
        <w:adjustRightInd w:val="0"/>
        <w:ind w:left="247"/>
        <w:jc w:val="left"/>
        <w:rPr>
          <w:rFonts w:ascii="宋体" w:hAnsi="宋体" w:eastAsia="宋体" w:cs="Times New Roman"/>
          <w:color w:val="000000" w:themeColor="text1"/>
          <w:kern w:val="0"/>
          <w:sz w:val="24"/>
          <w:szCs w:val="24"/>
          <w:highlight w:val="none"/>
          <w14:textFill>
            <w14:solidFill>
              <w14:schemeClr w14:val="tx1"/>
            </w14:solidFill>
          </w14:textFill>
        </w:rPr>
      </w:pPr>
    </w:p>
    <w:p>
      <w:pPr>
        <w:tabs>
          <w:tab w:val="left" w:pos="1080"/>
        </w:tabs>
        <w:autoSpaceDE w:val="0"/>
        <w:autoSpaceDN w:val="0"/>
        <w:adjustRightInd w:val="0"/>
        <w:spacing w:line="360" w:lineRule="auto"/>
        <w:ind w:left="247"/>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59" w:name="_Toc142508390"/>
      <w:bookmarkStart w:id="660" w:name="_Toc161843208"/>
      <w:bookmarkStart w:id="661" w:name="_Toc14977"/>
      <w:bookmarkStart w:id="662" w:name="_Toc21059"/>
      <w:bookmarkStart w:id="663" w:name="_Toc521918141"/>
      <w:bookmarkStart w:id="664" w:name="_Toc22601_WPSOffice_Level1"/>
      <w:bookmarkStart w:id="665"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659"/>
      <w:bookmarkEnd w:id="660"/>
      <w:bookmarkEnd w:id="661"/>
      <w:bookmarkEnd w:id="662"/>
    </w:p>
    <w:p>
      <w:pPr>
        <w:autoSpaceDE w:val="0"/>
        <w:autoSpaceDN w:val="0"/>
        <w:adjustRightInd w:val="0"/>
        <w:spacing w:line="400" w:lineRule="atLeast"/>
        <w:ind w:left="247"/>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40"/>
          <w:szCs w:val="36"/>
          <w:highlight w:val="none"/>
          <w14:textFill>
            <w14:solidFill>
              <w14:schemeClr w14:val="tx1"/>
            </w14:solidFill>
          </w14:textFill>
        </w:rPr>
        <w:t>东莞市水务集团有限公司2024年度食堂食材采购项目</w:t>
      </w:r>
    </w:p>
    <w:p>
      <w:pPr>
        <w:autoSpaceDE w:val="0"/>
        <w:autoSpaceDN w:val="0"/>
        <w:adjustRightInd w:val="0"/>
        <w:spacing w:line="360" w:lineRule="auto"/>
        <w:ind w:left="247"/>
        <w:jc w:val="center"/>
        <w:rPr>
          <w:rFonts w:ascii="宋体" w:hAnsi="宋体" w:eastAsia="宋体" w:cs="宋体"/>
          <w:b/>
          <w:bCs/>
          <w:color w:val="000000" w:themeColor="text1"/>
          <w:sz w:val="36"/>
          <w:szCs w:val="36"/>
          <w:highlight w:val="none"/>
          <w14:textFill>
            <w14:solidFill>
              <w14:schemeClr w14:val="tx1"/>
            </w14:solidFill>
          </w14:textFill>
        </w:rPr>
      </w:pPr>
      <w:bookmarkStart w:id="666"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（招标编号：广建咨询（东招）2024-0038号）</w:t>
      </w:r>
      <w:bookmarkEnd w:id="666"/>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667"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667"/>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ind w:left="247"/>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668"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668"/>
    </w:p>
    <w:p>
      <w:pPr>
        <w:autoSpaceDE w:val="0"/>
        <w:autoSpaceDN w:val="0"/>
        <w:adjustRightInd w:val="0"/>
        <w:spacing w:line="400" w:lineRule="atLeast"/>
        <w:ind w:left="247"/>
        <w:jc w:val="center"/>
        <w:rPr>
          <w:rFonts w:ascii="宋体" w:hAnsi="宋体" w:eastAsia="宋体" w:cs="宋体"/>
          <w:color w:val="000000" w:themeColor="text1"/>
          <w:sz w:val="44"/>
          <w:szCs w:val="44"/>
          <w:highlight w:val="none"/>
          <w14:textFill>
            <w14:solidFill>
              <w14:schemeClr w14:val="tx1"/>
            </w14:solidFill>
          </w14:textFill>
        </w:rPr>
      </w:pPr>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69"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669"/>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0"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670"/>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1"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671"/>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2"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672"/>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3"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673"/>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4"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674"/>
    </w:p>
    <w:p>
      <w:pPr>
        <w:autoSpaceDE w:val="0"/>
        <w:autoSpaceDN w:val="0"/>
        <w:adjustRightInd w:val="0"/>
        <w:spacing w:line="360" w:lineRule="auto"/>
        <w:ind w:left="247" w:hanging="567"/>
        <w:rPr>
          <w:rFonts w:ascii="宋体" w:hAnsi="宋体" w:eastAsia="宋体" w:cs="宋体"/>
          <w:color w:val="000000" w:themeColor="text1"/>
          <w:szCs w:val="30"/>
          <w:highlight w:val="none"/>
          <w14:textFill>
            <w14:solidFill>
              <w14:schemeClr w14:val="tx1"/>
            </w14:solidFill>
          </w14:textFill>
        </w:rPr>
      </w:pPr>
      <w:bookmarkStart w:id="675"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675"/>
    </w:p>
    <w:p>
      <w:pPr>
        <w:tabs>
          <w:tab w:val="right" w:pos="7320"/>
        </w:tabs>
        <w:autoSpaceDE w:val="0"/>
        <w:autoSpaceDN w:val="0"/>
        <w:adjustRightInd w:val="0"/>
        <w:spacing w:line="360" w:lineRule="auto"/>
        <w:ind w:left="400" w:hanging="720"/>
        <w:rPr>
          <w:rFonts w:ascii="宋体" w:hAnsi="宋体" w:eastAsia="宋体" w:cs="宋体"/>
          <w:color w:val="000000" w:themeColor="text1"/>
          <w:szCs w:val="30"/>
          <w:highlight w:val="none"/>
          <w14:textFill>
            <w14:solidFill>
              <w14:schemeClr w14:val="tx1"/>
            </w14:solidFill>
          </w14:textFill>
        </w:rPr>
      </w:pPr>
    </w:p>
    <w:p>
      <w:pPr>
        <w:tabs>
          <w:tab w:val="right" w:pos="7320"/>
        </w:tabs>
        <w:autoSpaceDE w:val="0"/>
        <w:autoSpaceDN w:val="0"/>
        <w:adjustRightInd w:val="0"/>
        <w:spacing w:line="360" w:lineRule="auto"/>
        <w:ind w:left="400" w:hanging="720"/>
        <w:rPr>
          <w:rFonts w:ascii="宋体" w:hAnsi="宋体" w:eastAsia="宋体" w:cs="宋体"/>
          <w:color w:val="000000" w:themeColor="text1"/>
          <w:szCs w:val="30"/>
          <w:highlight w:val="none"/>
          <w14:textFill>
            <w14:solidFill>
              <w14:schemeClr w14:val="tx1"/>
            </w14:solidFill>
          </w14:textFill>
        </w:rPr>
      </w:pPr>
    </w:p>
    <w:p>
      <w:pPr>
        <w:tabs>
          <w:tab w:val="left" w:pos="1080"/>
          <w:tab w:val="right" w:pos="7320"/>
        </w:tabs>
        <w:autoSpaceDE w:val="0"/>
        <w:autoSpaceDN w:val="0"/>
        <w:adjustRightInd w:val="0"/>
        <w:spacing w:line="400" w:lineRule="atLeast"/>
        <w:ind w:left="400" w:hanging="720"/>
        <w:rPr>
          <w:rFonts w:ascii="宋体" w:hAnsi="宋体" w:eastAsia="宋体" w:cs="宋体"/>
          <w:color w:val="000000" w:themeColor="text1"/>
          <w:szCs w:val="30"/>
          <w:highlight w:val="none"/>
          <w14:textFill>
            <w14:solidFill>
              <w14:schemeClr w14:val="tx1"/>
            </w14:solidFill>
          </w14:textFill>
        </w:rPr>
      </w:pPr>
    </w:p>
    <w:p>
      <w:pPr>
        <w:tabs>
          <w:tab w:val="left" w:pos="1140"/>
        </w:tabs>
        <w:autoSpaceDE w:val="0"/>
        <w:autoSpaceDN w:val="0"/>
        <w:adjustRightInd w:val="0"/>
        <w:spacing w:line="360" w:lineRule="auto"/>
        <w:ind w:left="247"/>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676"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676"/>
    </w:p>
    <w:p>
      <w:pPr>
        <w:autoSpaceDE w:val="0"/>
        <w:autoSpaceDN w:val="0"/>
        <w:adjustRightInd w:val="0"/>
        <w:spacing w:line="360" w:lineRule="auto"/>
        <w:ind w:left="247"/>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1.1</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东莞市水务集团有限公司2024年度食堂食材采购项目(招标编号：广建咨询（东招）2024-0038号)的招标按照《中华人民共和国招标投标法》等有关规定进行。</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1.2</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评标必须遵循公平、公正、诚实信用的原则。</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招标代理机构(建成工程咨询股份有限公司）组织评标工作，全过程接受招标人及相关部门的监督、管理和指导。</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评标按照招标文件规定的内容进行，采取综合评分法进行评审。</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ascii="宋体" w:hAnsi="宋体" w:eastAsia="宋体" w:cs="宋体"/>
          <w:color w:val="000000" w:themeColor="text1"/>
          <w:kern w:val="0"/>
          <w:szCs w:val="24"/>
          <w:highlight w:val="none"/>
          <w:lang w:val="zh-CN"/>
          <w14:textFill>
            <w14:solidFill>
              <w14:schemeClr w14:val="tx1"/>
            </w14:solidFill>
          </w14:textFill>
        </w:rPr>
        <w:t>1.5</w:t>
      </w:r>
      <w:r>
        <w:rPr>
          <w:rFonts w:hint="eastAsia" w:ascii="宋体" w:hAnsi="宋体" w:eastAsia="宋体" w:cs="宋体"/>
          <w:color w:val="000000" w:themeColor="text1"/>
          <w:kern w:val="0"/>
          <w:szCs w:val="24"/>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ind w:left="247"/>
        <w:rPr>
          <w:rFonts w:ascii="宋体" w:hAnsi="宋体" w:eastAsia="宋体" w:cs="宋体"/>
          <w:color w:val="000000" w:themeColor="text1"/>
          <w:sz w:val="24"/>
          <w:szCs w:val="24"/>
          <w:highlight w:val="none"/>
          <w:lang w:val="zh-CN"/>
          <w14:textFill>
            <w14:solidFill>
              <w14:schemeClr w14:val="tx1"/>
            </w14:solidFill>
          </w14:textFill>
        </w:rPr>
      </w:pPr>
    </w:p>
    <w:p>
      <w:pPr>
        <w:autoSpaceDE w:val="0"/>
        <w:autoSpaceDN w:val="0"/>
        <w:adjustRightInd w:val="0"/>
        <w:spacing w:line="360" w:lineRule="auto"/>
        <w:ind w:left="247"/>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2.1</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评标委员会由招标人和技术、经济等方面的专家组成，成员为7人以上（含7人）单数，其中技术、经济等方面的专家不少于成员总数的三分之二。专家依法从专家库中随机抽取产生。</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2.2</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评标工作组由招标人、招标代理机构及有关专家组成，由评标委员会确认，并接受其领导。</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评标工作组分成评标委员会、秘书组。</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p>
    <w:p>
      <w:pPr>
        <w:autoSpaceDE w:val="0"/>
        <w:autoSpaceDN w:val="0"/>
        <w:adjustRightInd w:val="0"/>
        <w:spacing w:line="360" w:lineRule="auto"/>
        <w:ind w:left="247"/>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pPr>
        <w:autoSpaceDE w:val="0"/>
        <w:autoSpaceDN w:val="0"/>
        <w:adjustRightInd w:val="0"/>
        <w:spacing w:line="360" w:lineRule="auto"/>
        <w:ind w:left="247"/>
        <w:jc w:val="left"/>
        <w:rPr>
          <w:rFonts w:ascii="宋体" w:hAnsi="宋体" w:eastAsia="宋体" w:cs="宋体"/>
          <w:color w:val="000000" w:themeColor="text1"/>
          <w:kern w:val="0"/>
          <w:sz w:val="24"/>
          <w:szCs w:val="24"/>
          <w:highlight w:val="none"/>
          <w:lang w:val="zh-CN"/>
          <w14:textFill>
            <w14:solidFill>
              <w14:schemeClr w14:val="tx1"/>
            </w14:solidFill>
          </w14:textFill>
        </w:rPr>
      </w:pPr>
    </w:p>
    <w:p>
      <w:pPr>
        <w:tabs>
          <w:tab w:val="left" w:pos="720"/>
        </w:tabs>
        <w:autoSpaceDE w:val="0"/>
        <w:autoSpaceDN w:val="0"/>
        <w:adjustRightInd w:val="0"/>
        <w:spacing w:line="360" w:lineRule="auto"/>
        <w:ind w:left="24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pPr>
        <w:tabs>
          <w:tab w:val="left" w:pos="720"/>
        </w:tabs>
        <w:autoSpaceDE w:val="0"/>
        <w:autoSpaceDN w:val="0"/>
        <w:adjustRightInd w:val="0"/>
        <w:spacing w:line="360" w:lineRule="auto"/>
        <w:ind w:left="247"/>
        <w:rPr>
          <w:rFonts w:ascii="宋体" w:hAnsi="宋体" w:eastAsia="宋体" w:cs="宋体"/>
          <w:color w:val="000000" w:themeColor="text1"/>
          <w:sz w:val="24"/>
          <w:szCs w:val="24"/>
          <w:highlight w:val="none"/>
          <w:lang w:val="zh-CN"/>
          <w14:textFill>
            <w14:solidFill>
              <w14:schemeClr w14:val="tx1"/>
            </w14:solidFill>
          </w14:textFill>
        </w:rPr>
      </w:pPr>
    </w:p>
    <w:p>
      <w:pPr>
        <w:tabs>
          <w:tab w:val="left" w:pos="1547"/>
        </w:tabs>
        <w:autoSpaceDE w:val="0"/>
        <w:autoSpaceDN w:val="0"/>
        <w:adjustRightInd w:val="0"/>
        <w:spacing w:line="360" w:lineRule="auto"/>
        <w:ind w:left="24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pPr>
        <w:tabs>
          <w:tab w:val="left" w:pos="720"/>
        </w:tabs>
        <w:autoSpaceDE w:val="0"/>
        <w:autoSpaceDN w:val="0"/>
        <w:adjustRightInd w:val="0"/>
        <w:spacing w:line="360" w:lineRule="auto"/>
        <w:ind w:left="24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5.1</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评审首先由评标委员会对投标人的投标文件做初审，对未能通过初审的投标文件不再进入下一阶段评审。</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5.2</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评标委员会对通过初审的投标人的投标文件进行详细的比较和评价。如需要，进行必要的澄清工作。</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5.4  将各评委对投标人的技术打分的最终综合得分、商务打分的算术平均值得分相加得出投标人的总分。</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5.5  评标委员会将向招标人推荐评标最后综合得分最高的前二名投标人为中标候选人，并标明排列顺序。</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5.6</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评标委员会根据评审结果编写评标报告。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pPr>
        <w:tabs>
          <w:tab w:val="left" w:pos="1140"/>
        </w:tabs>
        <w:autoSpaceDE w:val="0"/>
        <w:autoSpaceDN w:val="0"/>
        <w:adjustRightInd w:val="0"/>
        <w:spacing w:line="360" w:lineRule="auto"/>
        <w:ind w:left="247"/>
        <w:jc w:val="center"/>
        <w:rPr>
          <w:rFonts w:ascii="宋体" w:hAnsi="宋体" w:eastAsia="宋体" w:cs="宋体"/>
          <w:b/>
          <w:bCs/>
          <w:color w:val="000000" w:themeColor="text1"/>
          <w:sz w:val="28"/>
          <w:szCs w:val="28"/>
          <w:highlight w:val="none"/>
          <w14:textFill>
            <w14:solidFill>
              <w14:schemeClr w14:val="tx1"/>
            </w14:solidFill>
          </w14:textFill>
        </w:rPr>
      </w:pPr>
      <w:bookmarkStart w:id="677"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677"/>
    </w:p>
    <w:p>
      <w:pPr>
        <w:autoSpaceDE w:val="0"/>
        <w:autoSpaceDN w:val="0"/>
        <w:adjustRightInd w:val="0"/>
        <w:spacing w:line="360" w:lineRule="auto"/>
        <w:ind w:left="249"/>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pPr>
        <w:autoSpaceDE w:val="0"/>
        <w:autoSpaceDN w:val="0"/>
        <w:adjustRightInd w:val="0"/>
        <w:spacing w:line="360" w:lineRule="auto"/>
        <w:ind w:left="249"/>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249"/>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249" w:firstLine="630" w:firstLineChars="300"/>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left="249" w:firstLine="630" w:firstLineChars="300"/>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7.1  投标人未按招标文件要求交纳投标保证金的；</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7.2  投标人递交两份或多份内容不同的投标文件，且未书面声明哪一个有效；</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 xml:space="preserve">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投标文件未按照招标文件规定要求密封；投标文件无法定代表人或其授权代表签字（或盖私章），或签字人无法定代表人有效授权的；签字盖章不符合招标文件要求的； </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投标有效期限不符合要求；</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6</w:t>
      </w:r>
      <w:r>
        <w:rPr>
          <w:rFonts w:hint="eastAsia" w:ascii="宋体" w:hAnsi="宋体" w:eastAsia="宋体" w:cs="宋体"/>
          <w:b/>
          <w:color w:val="000000" w:themeColor="text1"/>
          <w:szCs w:val="21"/>
          <w:highlight w:val="none"/>
          <w:lang w:val="zh-CN"/>
          <w14:textFill>
            <w14:solidFill>
              <w14:schemeClr w14:val="tx1"/>
            </w14:solidFill>
          </w14:textFill>
        </w:rPr>
        <w:t xml:space="preserve">  投标文件未对招标范围内的全部内容进行投标</w:t>
      </w:r>
      <w:r>
        <w:rPr>
          <w:rFonts w:hint="eastAsia" w:ascii="宋体" w:hAnsi="宋体" w:eastAsia="宋体" w:cs="宋体"/>
          <w:b/>
          <w:color w:val="000000" w:themeColor="text1"/>
          <w:szCs w:val="21"/>
          <w:highlight w:val="none"/>
          <w14:textFill>
            <w14:solidFill>
              <w14:schemeClr w14:val="tx1"/>
            </w14:solidFill>
          </w14:textFill>
        </w:rPr>
        <w:t>响应</w:t>
      </w:r>
      <w:r>
        <w:rPr>
          <w:rFonts w:hint="eastAsia" w:ascii="宋体" w:hAnsi="宋体" w:eastAsia="宋体" w:cs="宋体"/>
          <w:b/>
          <w:color w:val="000000" w:themeColor="text1"/>
          <w:szCs w:val="21"/>
          <w:highlight w:val="none"/>
          <w:lang w:val="zh-CN"/>
          <w14:textFill>
            <w14:solidFill>
              <w14:schemeClr w14:val="tx1"/>
            </w14:solidFill>
          </w14:textFill>
        </w:rPr>
        <w:t>或投标方案不是唯一；</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lang w:val="zh-CN"/>
          <w14:textFill>
            <w14:solidFill>
              <w14:schemeClr w14:val="tx1"/>
            </w14:solidFill>
          </w14:textFill>
        </w:rPr>
        <w:t xml:space="preserve">  未提供或虚假填写《合同条款偏离表》，或对《合同条款偏离表》有负偏离的；</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8</w:t>
      </w:r>
      <w:r>
        <w:rPr>
          <w:rFonts w:hint="eastAsia" w:ascii="宋体" w:hAnsi="宋体" w:eastAsia="宋体" w:cs="宋体"/>
          <w:b/>
          <w:color w:val="000000" w:themeColor="text1"/>
          <w:szCs w:val="21"/>
          <w:highlight w:val="none"/>
          <w:lang w:val="zh-CN"/>
          <w14:textFill>
            <w14:solidFill>
              <w14:schemeClr w14:val="tx1"/>
            </w14:solidFill>
          </w14:textFill>
        </w:rPr>
        <w:t xml:space="preserve">  未填写或虚假填写《用户需求偏离表》的；</w:t>
      </w:r>
    </w:p>
    <w:p>
      <w:pPr>
        <w:autoSpaceDE w:val="0"/>
        <w:autoSpaceDN w:val="0"/>
        <w:adjustRightInd w:val="0"/>
        <w:spacing w:line="360" w:lineRule="auto"/>
        <w:ind w:left="249"/>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9</w:t>
      </w:r>
      <w:r>
        <w:rPr>
          <w:rFonts w:hint="eastAsia" w:ascii="宋体" w:hAnsi="宋体" w:eastAsia="宋体" w:cs="宋体"/>
          <w:b/>
          <w:color w:val="000000" w:themeColor="text1"/>
          <w:szCs w:val="21"/>
          <w:highlight w:val="none"/>
          <w:lang w:val="zh-CN"/>
          <w14:textFill>
            <w14:solidFill>
              <w14:schemeClr w14:val="tx1"/>
            </w14:solidFill>
          </w14:textFill>
        </w:rPr>
        <w:t xml:space="preserve">  未响应招标文件提出的实质性要求和条件（标注★的条款）。</w:t>
      </w:r>
    </w:p>
    <w:p>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247"/>
        <w:rPr>
          <w:rFonts w:ascii="宋体" w:hAnsi="宋体" w:eastAsia="宋体" w:cs="宋体"/>
          <w:b/>
          <w:color w:val="000000" w:themeColor="text1"/>
          <w:kern w:val="0"/>
          <w:szCs w:val="21"/>
          <w:highlight w:val="none"/>
          <w14:textFill>
            <w14:solidFill>
              <w14:schemeClr w14:val="tx1"/>
            </w14:solidFill>
          </w14:textFill>
        </w:rPr>
      </w:pPr>
    </w:p>
    <w:p>
      <w:pPr>
        <w:tabs>
          <w:tab w:val="left" w:pos="1140"/>
        </w:tabs>
        <w:autoSpaceDE w:val="0"/>
        <w:autoSpaceDN w:val="0"/>
        <w:adjustRightInd w:val="0"/>
        <w:spacing w:line="360" w:lineRule="auto"/>
        <w:ind w:left="-320"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678"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678"/>
    </w:p>
    <w:p>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pPr>
        <w:autoSpaceDE w:val="0"/>
        <w:autoSpaceDN w:val="0"/>
        <w:adjustRightInd w:val="0"/>
        <w:spacing w:line="360" w:lineRule="auto"/>
        <w:ind w:left="247"/>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679" w:name="_Toc8518_WPSOffice_Level1"/>
    </w:p>
    <w:p>
      <w:pPr>
        <w:autoSpaceDE w:val="0"/>
        <w:autoSpaceDN w:val="0"/>
        <w:adjustRightInd w:val="0"/>
        <w:spacing w:line="360" w:lineRule="auto"/>
        <w:ind w:left="247"/>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679"/>
    </w:p>
    <w:p>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pPr>
        <w:tabs>
          <w:tab w:val="left" w:pos="1701"/>
        </w:tabs>
        <w:autoSpaceDE w:val="0"/>
        <w:autoSpaceDN w:val="0"/>
        <w:adjustRightInd w:val="0"/>
        <w:spacing w:line="360" w:lineRule="auto"/>
        <w:ind w:left="247"/>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pPr>
        <w:autoSpaceDE w:val="0"/>
        <w:autoSpaceDN w:val="0"/>
        <w:adjustRightInd w:val="0"/>
        <w:spacing w:line="360" w:lineRule="auto"/>
        <w:ind w:left="24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评标委员会专家组的每一位评委根据招标文件评分标准对投标文件分别评审，对有效投标人投标文件的商务、技术分别评分。</w:t>
      </w:r>
    </w:p>
    <w:p>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pPr>
        <w:tabs>
          <w:tab w:val="left" w:pos="600"/>
        </w:tabs>
        <w:autoSpaceDE w:val="0"/>
        <w:autoSpaceDN w:val="0"/>
        <w:adjustRightInd w:val="0"/>
        <w:spacing w:line="360" w:lineRule="auto"/>
        <w:ind w:left="24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10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ind w:left="24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）评分统计表中各投标人技术得分应为最终综合得分，商务得分应为评委打分的算术平均值。</w:t>
      </w:r>
    </w:p>
    <w:p>
      <w:pPr>
        <w:autoSpaceDE w:val="0"/>
        <w:autoSpaceDN w:val="0"/>
        <w:adjustRightInd w:val="0"/>
        <w:spacing w:line="360" w:lineRule="auto"/>
        <w:ind w:left="247"/>
        <w:rPr>
          <w:rFonts w:ascii="宋体" w:hAnsi="宋体" w:eastAsia="宋体" w:cs="宋体"/>
          <w:color w:val="000000" w:themeColor="text1"/>
          <w:szCs w:val="24"/>
          <w:highlight w:val="none"/>
          <w:lang w:val="zh-CN"/>
          <w14:textFill>
            <w14:solidFill>
              <w14:schemeClr w14:val="tx1"/>
            </w14:solidFill>
          </w14:textFill>
        </w:rPr>
      </w:pPr>
    </w:p>
    <w:p>
      <w:pPr>
        <w:tabs>
          <w:tab w:val="left" w:pos="1701"/>
        </w:tabs>
        <w:autoSpaceDE w:val="0"/>
        <w:autoSpaceDN w:val="0"/>
        <w:adjustRightInd w:val="0"/>
        <w:spacing w:line="360" w:lineRule="auto"/>
        <w:ind w:left="247"/>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ind w:left="247"/>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ind w:left="247"/>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ind w:left="247"/>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247"/>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ind w:left="247"/>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left="247"/>
              <w:jc w:val="center"/>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pPr>
        <w:tabs>
          <w:tab w:val="left" w:pos="585"/>
        </w:tabs>
        <w:autoSpaceDE w:val="0"/>
        <w:autoSpaceDN w:val="0"/>
        <w:adjustRightInd w:val="0"/>
        <w:spacing w:line="360" w:lineRule="auto"/>
        <w:ind w:left="247"/>
        <w:rPr>
          <w:rFonts w:ascii="宋体" w:hAnsi="宋体" w:eastAsia="宋体" w:cs="宋体"/>
          <w:b/>
          <w:color w:val="000000" w:themeColor="text1"/>
          <w:szCs w:val="21"/>
          <w:highlight w:val="none"/>
          <w14:textFill>
            <w14:solidFill>
              <w14:schemeClr w14:val="tx1"/>
            </w14:solidFill>
          </w14:textFill>
        </w:rPr>
      </w:pPr>
      <w:bookmarkStart w:id="680" w:name="_Toc18349_WPSOffice_Level2"/>
    </w:p>
    <w:p>
      <w:pPr>
        <w:tabs>
          <w:tab w:val="left" w:pos="585"/>
        </w:tabs>
        <w:autoSpaceDE w:val="0"/>
        <w:autoSpaceDN w:val="0"/>
        <w:adjustRightInd w:val="0"/>
        <w:spacing w:line="360" w:lineRule="auto"/>
        <w:ind w:left="24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14:textFill>
            <w14:solidFill>
              <w14:schemeClr w14:val="tx1"/>
            </w14:solidFill>
          </w14:textFill>
        </w:rPr>
        <w:t>60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0"/>
    </w:p>
    <w:tbl>
      <w:tblPr>
        <w:tblStyle w:val="37"/>
        <w:tblW w:w="103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27"/>
        <w:gridCol w:w="980"/>
        <w:gridCol w:w="7877"/>
        <w:gridCol w:w="8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627" w:type="dxa"/>
            <w:tcBorders>
              <w:top w:val="single" w:color="auto" w:sz="2" w:space="0"/>
              <w:left w:val="single" w:color="auto" w:sz="2" w:space="0"/>
              <w:bottom w:val="single" w:color="auto" w:sz="2" w:space="0"/>
              <w:right w:val="single" w:color="auto" w:sz="4" w:space="0"/>
            </w:tcBorders>
            <w:shd w:val="clear" w:color="auto" w:fill="FFFFFF"/>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bookmarkStart w:id="681" w:name="_Toc11639_WPSOffice_Level2"/>
            <w:r>
              <w:rPr>
                <w:rFonts w:hint="eastAsia" w:ascii="宋体" w:hAnsi="宋体" w:cs="宋体"/>
                <w:b/>
                <w:color w:val="000000" w:themeColor="text1"/>
                <w:szCs w:val="21"/>
                <w:highlight w:val="none"/>
                <w14:textFill>
                  <w14:solidFill>
                    <w14:schemeClr w14:val="tx1"/>
                  </w14:solidFill>
                </w14:textFill>
              </w:rPr>
              <w:t>序号</w:t>
            </w:r>
          </w:p>
        </w:tc>
        <w:tc>
          <w:tcPr>
            <w:tcW w:w="980" w:type="dxa"/>
            <w:tcBorders>
              <w:top w:val="single" w:color="auto" w:sz="2" w:space="0"/>
              <w:left w:val="single" w:color="auto" w:sz="4" w:space="0"/>
              <w:bottom w:val="single" w:color="auto" w:sz="2" w:space="0"/>
              <w:right w:val="single" w:color="auto" w:sz="2" w:space="0"/>
            </w:tcBorders>
            <w:shd w:val="clear" w:color="auto" w:fill="FFFFFF"/>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评审内容</w:t>
            </w:r>
          </w:p>
        </w:tc>
        <w:tc>
          <w:tcPr>
            <w:tcW w:w="7877" w:type="dxa"/>
            <w:tcBorders>
              <w:top w:val="single" w:color="auto" w:sz="4" w:space="0"/>
              <w:left w:val="single" w:color="auto" w:sz="4" w:space="0"/>
              <w:bottom w:val="single" w:color="auto" w:sz="2" w:space="0"/>
              <w:right w:val="single" w:color="auto" w:sz="2" w:space="0"/>
            </w:tcBorders>
            <w:shd w:val="clear" w:color="auto" w:fill="FFFFFF"/>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评审细则</w:t>
            </w:r>
          </w:p>
        </w:tc>
        <w:tc>
          <w:tcPr>
            <w:tcW w:w="886" w:type="dxa"/>
            <w:tcBorders>
              <w:top w:val="single" w:color="auto" w:sz="4" w:space="0"/>
              <w:left w:val="single" w:color="auto" w:sz="4" w:space="0"/>
              <w:bottom w:val="single" w:color="auto" w:sz="2" w:space="0"/>
              <w:right w:val="single" w:color="auto" w:sz="2" w:space="0"/>
            </w:tcBorders>
            <w:shd w:val="clear" w:color="auto" w:fill="FFFFFF"/>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满分值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27" w:type="dxa"/>
            <w:tcBorders>
              <w:top w:val="single" w:color="auto" w:sz="2" w:space="0"/>
              <w:left w:val="single" w:color="auto" w:sz="2" w:space="0"/>
              <w:bottom w:val="single" w:color="auto" w:sz="2" w:space="0"/>
              <w:right w:val="single" w:color="auto" w:sz="4" w:space="0"/>
            </w:tcBorders>
            <w:shd w:val="clear" w:color="auto" w:fill="FFFFFF"/>
            <w:vAlign w:val="center"/>
          </w:tcPr>
          <w:p>
            <w:pPr>
              <w:spacing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80" w:type="dxa"/>
            <w:tcBorders>
              <w:top w:val="single" w:color="auto" w:sz="2" w:space="0"/>
              <w:left w:val="single" w:color="auto" w:sz="4" w:space="0"/>
              <w:bottom w:val="single" w:color="auto" w:sz="2" w:space="0"/>
              <w:right w:val="single" w:color="auto" w:sz="2" w:space="0"/>
            </w:tcBorders>
            <w:shd w:val="clear" w:color="auto" w:fill="FFFFFF"/>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财务状况</w:t>
            </w:r>
          </w:p>
        </w:tc>
        <w:tc>
          <w:tcPr>
            <w:tcW w:w="7877" w:type="dxa"/>
            <w:tcBorders>
              <w:top w:val="single" w:color="auto" w:sz="4" w:space="0"/>
              <w:left w:val="single" w:color="auto" w:sz="4" w:space="0"/>
              <w:bottom w:val="single" w:color="auto" w:sz="2" w:space="0"/>
              <w:right w:val="single" w:color="auto" w:sz="2" w:space="0"/>
            </w:tcBorders>
            <w:shd w:val="clear" w:color="auto" w:fill="FFFFFF"/>
            <w:vAlign w:val="center"/>
          </w:tcPr>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投标人202</w:t>
            </w:r>
            <w:r>
              <w:rPr>
                <w:rFonts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年-202</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年三个年度，每具有1个年度盈利的得1分，满分3分。</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备注：盈利指净利润为正数(非零、非负数)，投标人应提供202</w:t>
            </w:r>
            <w:r>
              <w:rPr>
                <w:rFonts w:ascii="宋体" w:hAnsi="宋体" w:eastAsia="宋体" w:cs="宋体"/>
                <w:b/>
                <w:bCs/>
                <w:color w:val="000000" w:themeColor="text1"/>
                <w:szCs w:val="21"/>
                <w:highlight w:val="none"/>
                <w14:textFill>
                  <w14:solidFill>
                    <w14:schemeClr w14:val="tx1"/>
                  </w14:solidFill>
                </w14:textFill>
              </w:rPr>
              <w:t>0</w:t>
            </w:r>
            <w:r>
              <w:rPr>
                <w:rFonts w:hint="eastAsia" w:ascii="宋体" w:hAnsi="宋体" w:eastAsia="宋体" w:cs="宋体"/>
                <w:b/>
                <w:bCs/>
                <w:color w:val="000000" w:themeColor="text1"/>
                <w:szCs w:val="21"/>
                <w:highlight w:val="none"/>
                <w14:textFill>
                  <w14:solidFill>
                    <w14:schemeClr w14:val="tx1"/>
                  </w14:solidFill>
                </w14:textFill>
              </w:rPr>
              <w:t>年、202</w:t>
            </w:r>
            <w:r>
              <w:rPr>
                <w:rFonts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年、202</w:t>
            </w:r>
            <w:r>
              <w:rPr>
                <w:rFonts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886" w:type="dxa"/>
            <w:tcBorders>
              <w:top w:val="single" w:color="auto" w:sz="4" w:space="0"/>
              <w:left w:val="single" w:color="auto" w:sz="4" w:space="0"/>
              <w:bottom w:val="single" w:color="auto" w:sz="2" w:space="0"/>
              <w:right w:val="single" w:color="auto" w:sz="2" w:space="0"/>
            </w:tcBorders>
            <w:shd w:val="clear" w:color="auto" w:fill="FFFFFF"/>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627" w:type="dxa"/>
            <w:tcBorders>
              <w:top w:val="single" w:color="auto" w:sz="2" w:space="0"/>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80" w:type="dxa"/>
            <w:tcBorders>
              <w:top w:val="single" w:color="auto" w:sz="2" w:space="0"/>
              <w:left w:val="single" w:color="auto" w:sz="4" w:space="0"/>
              <w:bottom w:val="single" w:color="auto" w:sz="2" w:space="0"/>
              <w:right w:val="single" w:color="auto" w:sz="2" w:space="0"/>
            </w:tcBorders>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标准化管理水平</w:t>
            </w:r>
          </w:p>
        </w:tc>
        <w:tc>
          <w:tcPr>
            <w:tcW w:w="7877" w:type="dxa"/>
            <w:tcBorders>
              <w:top w:val="single" w:color="auto" w:sz="4" w:space="0"/>
              <w:left w:val="single" w:color="auto" w:sz="4" w:space="0"/>
              <w:bottom w:val="single" w:color="auto" w:sz="2" w:space="0"/>
              <w:right w:val="single" w:color="auto" w:sz="2" w:space="0"/>
            </w:tcBorders>
            <w:vAlign w:val="center"/>
          </w:tcPr>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pt-BR"/>
                <w14:textFill>
                  <w14:solidFill>
                    <w14:schemeClr w14:val="tx1"/>
                  </w14:solidFill>
                </w14:textFill>
              </w:rPr>
              <w:t>投标人具有由国家认证认可监督管理部门批准设立的认证机构颁发并在有效期内的体系认证证书，每个证书得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pt-BR"/>
                <w14:textFill>
                  <w14:solidFill>
                    <w14:schemeClr w14:val="tx1"/>
                  </w14:solidFill>
                </w14:textFill>
              </w:rPr>
              <w:t>分，满分</w:t>
            </w: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val="pt-BR"/>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（1）质量管理体系认证</w:t>
            </w:r>
            <w:r>
              <w:rPr>
                <w:rFonts w:hint="eastAsia" w:ascii="宋体" w:hAnsi="宋体" w:eastAsia="宋体" w:cs="宋体"/>
                <w:color w:val="000000" w:themeColor="text1"/>
                <w:szCs w:val="21"/>
                <w:highlight w:val="none"/>
                <w:lang w:val="pt-BR"/>
                <w14:textFill>
                  <w14:solidFill>
                    <w14:schemeClr w14:val="tx1"/>
                  </w14:solidFill>
                </w14:textFill>
              </w:rPr>
              <w:t>（如ISO</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pt-BR"/>
                <w14:textFill>
                  <w14:solidFill>
                    <w14:schemeClr w14:val="tx1"/>
                  </w14:solidFill>
                </w14:textFill>
              </w:rPr>
              <w:t>9001</w:t>
            </w:r>
            <w:r>
              <w:rPr>
                <w:rFonts w:hint="eastAsia" w:ascii="宋体" w:hAnsi="宋体" w:eastAsia="宋体" w:cs="宋体"/>
                <w:color w:val="000000" w:themeColor="text1"/>
                <w:szCs w:val="21"/>
                <w:highlight w:val="none"/>
                <w14:textFill>
                  <w14:solidFill>
                    <w14:schemeClr w14:val="tx1"/>
                  </w14:solidFill>
                </w14:textFill>
              </w:rPr>
              <w:t>等</w:t>
            </w:r>
            <w:r>
              <w:rPr>
                <w:rFonts w:hint="eastAsia" w:ascii="宋体" w:hAnsi="宋体" w:eastAsia="宋体" w:cs="宋体"/>
                <w:color w:val="000000" w:themeColor="text1"/>
                <w:szCs w:val="21"/>
                <w:highlight w:val="none"/>
                <w:lang w:val="pt-B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（2）环境管理体系认证</w:t>
            </w:r>
            <w:r>
              <w:rPr>
                <w:rFonts w:hint="eastAsia" w:ascii="宋体" w:hAnsi="宋体" w:eastAsia="宋体" w:cs="宋体"/>
                <w:color w:val="000000" w:themeColor="text1"/>
                <w:szCs w:val="21"/>
                <w:highlight w:val="none"/>
                <w:lang w:val="pt-BR"/>
                <w14:textFill>
                  <w14:solidFill>
                    <w14:schemeClr w14:val="tx1"/>
                  </w14:solidFill>
                </w14:textFill>
              </w:rPr>
              <w:t>（如ISO</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pt-BR"/>
                <w14:textFill>
                  <w14:solidFill>
                    <w14:schemeClr w14:val="tx1"/>
                  </w14:solidFill>
                </w14:textFill>
              </w:rPr>
              <w:t>14001</w:t>
            </w:r>
            <w:r>
              <w:rPr>
                <w:rFonts w:hint="eastAsia" w:ascii="宋体" w:hAnsi="宋体" w:eastAsia="宋体" w:cs="宋体"/>
                <w:color w:val="000000" w:themeColor="text1"/>
                <w:szCs w:val="21"/>
                <w:highlight w:val="none"/>
                <w14:textFill>
                  <w14:solidFill>
                    <w14:schemeClr w14:val="tx1"/>
                  </w14:solidFill>
                </w14:textFill>
              </w:rPr>
              <w:t>等</w:t>
            </w:r>
            <w:r>
              <w:rPr>
                <w:rFonts w:hint="eastAsia" w:ascii="宋体" w:hAnsi="宋体" w:eastAsia="宋体" w:cs="宋体"/>
                <w:color w:val="000000" w:themeColor="text1"/>
                <w:szCs w:val="21"/>
                <w:highlight w:val="none"/>
                <w:lang w:val="pt-BR"/>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（3）职业健康安全管理体系认证（如OHSAS 18001或GB/T45001-2020或ISO45001等）；</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（4）食品安全管理体系认证（如GB/T22000-2006或ISO22000:2005或ISO22000：2018等）；</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（5）危害分析与关键控制点（HACCP）体系认证；</w:t>
            </w:r>
          </w:p>
          <w:p>
            <w:pPr>
              <w:spacing w:line="360" w:lineRule="auto"/>
              <w:rPr>
                <w:rFonts w:ascii="宋体" w:hAnsi="宋体" w:eastAsia="宋体" w:cs="宋体"/>
                <w:color w:val="000000" w:themeColor="text1"/>
                <w:szCs w:val="21"/>
                <w:highlight w:val="none"/>
                <w:lang w:val="pt-B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（6）供应链安全管理体系认证</w:t>
            </w:r>
            <w:r>
              <w:rPr>
                <w:rFonts w:hint="eastAsia" w:ascii="宋体" w:hAnsi="宋体" w:eastAsia="宋体" w:cs="宋体"/>
                <w:color w:val="000000" w:themeColor="text1"/>
                <w:szCs w:val="21"/>
                <w:highlight w:val="none"/>
                <w:lang w:val="pt-BR"/>
                <w14:textFill>
                  <w14:solidFill>
                    <w14:schemeClr w14:val="tx1"/>
                  </w14:solidFill>
                </w14:textFill>
              </w:rPr>
              <w:t>（如ISO 28000:2022或ISO 28000:2007等）；</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（7）食品配送操作规程体系认证（如：GB/T 33129-2016、SB/T 10428-2007等）；</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（8）售后服务认证（GB/T 27922-2011）。</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pt-BR"/>
                <w14:textFill>
                  <w14:solidFill>
                    <w14:schemeClr w14:val="tx1"/>
                  </w14:solidFill>
                </w14:textFill>
              </w:rPr>
              <w:t>备注：投标人应提供上述</w:t>
            </w:r>
            <w:r>
              <w:rPr>
                <w:rFonts w:hint="eastAsia" w:ascii="宋体" w:hAnsi="宋体" w:eastAsia="宋体" w:cs="宋体"/>
                <w:b/>
                <w:color w:val="000000" w:themeColor="text1"/>
                <w:szCs w:val="21"/>
                <w:highlight w:val="none"/>
                <w:lang w:val="zh-CN"/>
                <w14:textFill>
                  <w14:solidFill>
                    <w14:schemeClr w14:val="tx1"/>
                  </w14:solidFill>
                </w14:textFill>
              </w:rPr>
              <w:t>有效</w:t>
            </w:r>
            <w:r>
              <w:rPr>
                <w:rFonts w:hint="eastAsia" w:ascii="宋体" w:hAnsi="宋体" w:eastAsia="宋体" w:cs="宋体"/>
                <w:b/>
                <w:bCs/>
                <w:color w:val="000000" w:themeColor="text1"/>
                <w:szCs w:val="21"/>
                <w:highlight w:val="none"/>
                <w:lang w:val="pt-BR"/>
                <w14:textFill>
                  <w14:solidFill>
                    <w14:schemeClr w14:val="tx1"/>
                  </w14:solidFill>
                </w14:textFill>
              </w:rPr>
              <w:t>证书复印件及能显示证书有效状态的全国认证认可信息公共服务平台（http://cx.cnca.cn/）查询结果凭证{凭证界面需显示有“全国认证认可信息公共服务平台”或“认证证书（需显示网址cx.cnca.cn）”}，否则不得分。</w:t>
            </w:r>
          </w:p>
        </w:tc>
        <w:tc>
          <w:tcPr>
            <w:tcW w:w="886" w:type="dxa"/>
            <w:tcBorders>
              <w:top w:val="single" w:color="auto" w:sz="4" w:space="0"/>
              <w:left w:val="single" w:color="auto" w:sz="4" w:space="0"/>
              <w:bottom w:val="single" w:color="auto" w:sz="2"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7" w:hRule="atLeast"/>
          <w:jc w:val="center"/>
        </w:trPr>
        <w:tc>
          <w:tcPr>
            <w:tcW w:w="627" w:type="dxa"/>
            <w:tcBorders>
              <w:top w:val="single" w:color="auto" w:sz="2" w:space="0"/>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80" w:type="dxa"/>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业绩</w:t>
            </w:r>
          </w:p>
        </w:tc>
        <w:tc>
          <w:tcPr>
            <w:tcW w:w="7877" w:type="dxa"/>
            <w:tcBorders>
              <w:top w:val="single" w:color="auto" w:sz="4" w:space="0"/>
              <w:left w:val="single" w:color="auto" w:sz="4" w:space="0"/>
              <w:bottom w:val="single" w:color="auto" w:sz="2" w:space="0"/>
              <w:right w:val="single" w:color="auto" w:sz="2" w:space="0"/>
            </w:tcBorders>
            <w:vAlign w:val="center"/>
          </w:tcPr>
          <w:p>
            <w:pPr>
              <w:pStyle w:val="23"/>
              <w:snapToGrid w:val="0"/>
              <w:spacing w:line="360" w:lineRule="auto"/>
              <w:rPr>
                <w:rFonts w:hAnsi="宋体"/>
                <w:color w:val="000000" w:themeColor="text1"/>
                <w:szCs w:val="21"/>
                <w:highlight w:val="none"/>
                <w:lang w:val="pt-BR"/>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投标人自2021年1月1日（以合同签订的时间为准）</w:t>
            </w:r>
            <w:r>
              <w:rPr>
                <w:rFonts w:hint="eastAsia" w:hAnsi="宋体"/>
                <w:color w:val="000000" w:themeColor="text1"/>
                <w:szCs w:val="21"/>
                <w:highlight w:val="none"/>
                <w:lang w:val="pt-BR"/>
                <w14:textFill>
                  <w14:solidFill>
                    <w14:schemeClr w14:val="tx1"/>
                  </w14:solidFill>
                </w14:textFill>
              </w:rPr>
              <w:t>至今已完成或正在服务的饭堂、食堂食品或者食材供应链配送服务项目业绩，按下列情况评分，满分</w:t>
            </w:r>
            <w:r>
              <w:rPr>
                <w:rFonts w:hint="eastAsia"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lang w:val="pt-BR"/>
                <w14:textFill>
                  <w14:solidFill>
                    <w14:schemeClr w14:val="tx1"/>
                  </w14:solidFill>
                </w14:textFill>
              </w:rPr>
              <w:t>分：</w:t>
            </w:r>
          </w:p>
          <w:p>
            <w:pPr>
              <w:pStyle w:val="206"/>
              <w:spacing w:line="360" w:lineRule="auto"/>
              <w:rPr>
                <w:rFonts w:ascii="宋体" w:hAnsi="宋体" w:eastAsia="宋体"/>
                <w:color w:val="000000" w:themeColor="text1"/>
                <w:sz w:val="21"/>
                <w:szCs w:val="21"/>
                <w:highlight w:val="none"/>
                <w:lang w:val="pt-BR"/>
                <w14:textFill>
                  <w14:solidFill>
                    <w14:schemeClr w14:val="tx1"/>
                  </w14:solidFill>
                </w14:textFill>
              </w:rPr>
            </w:pPr>
            <w:r>
              <w:rPr>
                <w:rFonts w:hint="eastAsia" w:ascii="宋体" w:hAnsi="宋体" w:eastAsia="宋体"/>
                <w:color w:val="000000" w:themeColor="text1"/>
                <w:sz w:val="21"/>
                <w:szCs w:val="21"/>
                <w:highlight w:val="none"/>
                <w:lang w:val="pt-BR"/>
                <w14:textFill>
                  <w14:solidFill>
                    <w14:schemeClr w14:val="tx1"/>
                  </w14:solidFill>
                </w14:textFill>
              </w:rPr>
              <w:t>①年度配送服务项目总金额≥</w:t>
            </w:r>
            <w:r>
              <w:rPr>
                <w:rFonts w:hint="eastAsia" w:ascii="宋体" w:hAnsi="宋体" w:eastAsia="宋体"/>
                <w:color w:val="000000" w:themeColor="text1"/>
                <w:sz w:val="21"/>
                <w:szCs w:val="21"/>
                <w:highlight w:val="none"/>
                <w14:textFill>
                  <w14:solidFill>
                    <w14:schemeClr w14:val="tx1"/>
                  </w14:solidFill>
                </w14:textFill>
              </w:rPr>
              <w:t>600</w:t>
            </w:r>
            <w:r>
              <w:rPr>
                <w:rFonts w:hint="eastAsia" w:ascii="宋体" w:hAnsi="宋体" w:eastAsia="宋体"/>
                <w:color w:val="000000" w:themeColor="text1"/>
                <w:sz w:val="21"/>
                <w:szCs w:val="21"/>
                <w:highlight w:val="none"/>
                <w:lang w:val="pt-BR"/>
                <w14:textFill>
                  <w14:solidFill>
                    <w14:schemeClr w14:val="tx1"/>
                  </w14:solidFill>
                </w14:textFill>
              </w:rPr>
              <w:t>万元的前述业绩的，每项得</w:t>
            </w:r>
            <w:r>
              <w:rPr>
                <w:rFonts w:hint="eastAsia" w:ascii="宋体" w:hAnsi="宋体" w:eastAsia="宋体"/>
                <w:color w:val="000000" w:themeColor="text1"/>
                <w:sz w:val="21"/>
                <w:szCs w:val="21"/>
                <w:highlight w:val="none"/>
                <w14:textFill>
                  <w14:solidFill>
                    <w14:schemeClr w14:val="tx1"/>
                  </w14:solidFill>
                </w14:textFill>
              </w:rPr>
              <w:t>6</w:t>
            </w:r>
            <w:r>
              <w:rPr>
                <w:rFonts w:hint="eastAsia" w:ascii="宋体" w:hAnsi="宋体" w:eastAsia="宋体"/>
                <w:color w:val="000000" w:themeColor="text1"/>
                <w:sz w:val="21"/>
                <w:szCs w:val="21"/>
                <w:highlight w:val="none"/>
                <w:lang w:val="pt-BR"/>
                <w14:textFill>
                  <w14:solidFill>
                    <w14:schemeClr w14:val="tx1"/>
                  </w14:solidFill>
                </w14:textFill>
              </w:rPr>
              <w:t>分；</w:t>
            </w:r>
          </w:p>
          <w:p>
            <w:pPr>
              <w:pStyle w:val="206"/>
              <w:spacing w:line="360" w:lineRule="auto"/>
              <w:rPr>
                <w:rFonts w:ascii="宋体" w:hAnsi="宋体" w:eastAsia="宋体"/>
                <w:color w:val="000000" w:themeColor="text1"/>
                <w:sz w:val="21"/>
                <w:szCs w:val="21"/>
                <w:highlight w:val="none"/>
                <w:lang w:val="pt-BR"/>
                <w14:textFill>
                  <w14:solidFill>
                    <w14:schemeClr w14:val="tx1"/>
                  </w14:solidFill>
                </w14:textFill>
              </w:rPr>
            </w:pPr>
            <w:r>
              <w:rPr>
                <w:rFonts w:hint="eastAsia" w:ascii="宋体" w:hAnsi="宋体" w:eastAsia="宋体"/>
                <w:color w:val="000000" w:themeColor="text1"/>
                <w:sz w:val="21"/>
                <w:szCs w:val="21"/>
                <w:highlight w:val="none"/>
                <w:lang w:val="pt-BR"/>
                <w14:textFill>
                  <w14:solidFill>
                    <w14:schemeClr w14:val="tx1"/>
                  </w14:solidFill>
                </w14:textFill>
              </w:rPr>
              <w:t>②</w:t>
            </w:r>
            <w:r>
              <w:rPr>
                <w:rFonts w:hint="eastAsia" w:ascii="宋体" w:hAnsi="宋体" w:eastAsia="宋体"/>
                <w:color w:val="000000" w:themeColor="text1"/>
                <w:sz w:val="21"/>
                <w:szCs w:val="21"/>
                <w:highlight w:val="none"/>
                <w14:textFill>
                  <w14:solidFill>
                    <w14:schemeClr w14:val="tx1"/>
                  </w14:solidFill>
                </w14:textFill>
              </w:rPr>
              <w:t>300</w:t>
            </w:r>
            <w:r>
              <w:rPr>
                <w:rFonts w:hint="eastAsia" w:ascii="宋体" w:hAnsi="宋体" w:eastAsia="宋体"/>
                <w:color w:val="000000" w:themeColor="text1"/>
                <w:sz w:val="21"/>
                <w:szCs w:val="21"/>
                <w:highlight w:val="none"/>
                <w:lang w:val="pt-BR"/>
                <w14:textFill>
                  <w14:solidFill>
                    <w14:schemeClr w14:val="tx1"/>
                  </w14:solidFill>
                </w14:textFill>
              </w:rPr>
              <w:t>万元≤年度配送服务项目总金额＜</w:t>
            </w:r>
            <w:r>
              <w:rPr>
                <w:rFonts w:hint="eastAsia" w:ascii="宋体" w:hAnsi="宋体" w:eastAsia="宋体"/>
                <w:color w:val="000000" w:themeColor="text1"/>
                <w:sz w:val="21"/>
                <w:szCs w:val="21"/>
                <w:highlight w:val="none"/>
                <w14:textFill>
                  <w14:solidFill>
                    <w14:schemeClr w14:val="tx1"/>
                  </w14:solidFill>
                </w14:textFill>
              </w:rPr>
              <w:t>600</w:t>
            </w:r>
            <w:r>
              <w:rPr>
                <w:rFonts w:hint="eastAsia" w:ascii="宋体" w:hAnsi="宋体" w:eastAsia="宋体"/>
                <w:color w:val="000000" w:themeColor="text1"/>
                <w:sz w:val="21"/>
                <w:szCs w:val="21"/>
                <w:highlight w:val="none"/>
                <w:lang w:val="pt-BR"/>
                <w14:textFill>
                  <w14:solidFill>
                    <w14:schemeClr w14:val="tx1"/>
                  </w14:solidFill>
                </w14:textFill>
              </w:rPr>
              <w:t>万元的前述业绩，每项得</w:t>
            </w:r>
            <w:r>
              <w:rPr>
                <w:rFonts w:hint="eastAsia" w:ascii="宋体" w:hAnsi="宋体" w:eastAsia="宋体"/>
                <w:color w:val="000000" w:themeColor="text1"/>
                <w:sz w:val="21"/>
                <w:szCs w:val="21"/>
                <w:highlight w:val="none"/>
                <w14:textFill>
                  <w14:solidFill>
                    <w14:schemeClr w14:val="tx1"/>
                  </w14:solidFill>
                </w14:textFill>
              </w:rPr>
              <w:t>4</w:t>
            </w:r>
            <w:r>
              <w:rPr>
                <w:rFonts w:hint="eastAsia" w:ascii="宋体" w:hAnsi="宋体" w:eastAsia="宋体"/>
                <w:color w:val="000000" w:themeColor="text1"/>
                <w:sz w:val="21"/>
                <w:szCs w:val="21"/>
                <w:highlight w:val="none"/>
                <w:lang w:val="pt-BR"/>
                <w14:textFill>
                  <w14:solidFill>
                    <w14:schemeClr w14:val="tx1"/>
                  </w14:solidFill>
                </w14:textFill>
              </w:rPr>
              <w:t>分；</w:t>
            </w:r>
          </w:p>
          <w:p>
            <w:pPr>
              <w:pStyle w:val="206"/>
              <w:spacing w:line="360" w:lineRule="auto"/>
              <w:rPr>
                <w:rFonts w:ascii="宋体" w:hAnsi="宋体" w:eastAsia="宋体"/>
                <w:color w:val="000000" w:themeColor="text1"/>
                <w:sz w:val="21"/>
                <w:szCs w:val="21"/>
                <w:highlight w:val="none"/>
                <w:lang w:val="pt-BR"/>
                <w14:textFill>
                  <w14:solidFill>
                    <w14:schemeClr w14:val="tx1"/>
                  </w14:solidFill>
                </w14:textFill>
              </w:rPr>
            </w:pPr>
            <w:r>
              <w:rPr>
                <w:rFonts w:hint="eastAsia" w:ascii="宋体" w:hAnsi="宋体" w:eastAsia="宋体"/>
                <w:color w:val="000000" w:themeColor="text1"/>
                <w:sz w:val="21"/>
                <w:szCs w:val="21"/>
                <w:highlight w:val="none"/>
                <w:lang w:val="pt-BR"/>
                <w14:textFill>
                  <w14:solidFill>
                    <w14:schemeClr w14:val="tx1"/>
                  </w14:solidFill>
                </w14:textFill>
              </w:rPr>
              <w:t>③</w:t>
            </w:r>
            <w:r>
              <w:rPr>
                <w:rFonts w:hint="eastAsia" w:ascii="宋体" w:hAnsi="宋体" w:eastAsia="宋体"/>
                <w:color w:val="000000" w:themeColor="text1"/>
                <w:sz w:val="21"/>
                <w:szCs w:val="21"/>
                <w:highlight w:val="none"/>
                <w14:textFill>
                  <w14:solidFill>
                    <w14:schemeClr w14:val="tx1"/>
                  </w14:solidFill>
                </w14:textFill>
              </w:rPr>
              <w:t>150</w:t>
            </w:r>
            <w:r>
              <w:rPr>
                <w:rFonts w:hint="eastAsia" w:ascii="宋体" w:hAnsi="宋体" w:eastAsia="宋体"/>
                <w:color w:val="000000" w:themeColor="text1"/>
                <w:sz w:val="21"/>
                <w:szCs w:val="21"/>
                <w:highlight w:val="none"/>
                <w:lang w:val="pt-BR"/>
                <w14:textFill>
                  <w14:solidFill>
                    <w14:schemeClr w14:val="tx1"/>
                  </w14:solidFill>
                </w14:textFill>
              </w:rPr>
              <w:t>万元≤年度配送服务项目总金额＜</w:t>
            </w:r>
            <w:r>
              <w:rPr>
                <w:rFonts w:hint="eastAsia" w:ascii="宋体" w:hAnsi="宋体" w:eastAsia="宋体"/>
                <w:color w:val="000000" w:themeColor="text1"/>
                <w:sz w:val="21"/>
                <w:szCs w:val="21"/>
                <w:highlight w:val="none"/>
                <w14:textFill>
                  <w14:solidFill>
                    <w14:schemeClr w14:val="tx1"/>
                  </w14:solidFill>
                </w14:textFill>
              </w:rPr>
              <w:t>300</w:t>
            </w:r>
            <w:r>
              <w:rPr>
                <w:rFonts w:hint="eastAsia" w:ascii="宋体" w:hAnsi="宋体" w:eastAsia="宋体"/>
                <w:color w:val="000000" w:themeColor="text1"/>
                <w:sz w:val="21"/>
                <w:szCs w:val="21"/>
                <w:highlight w:val="none"/>
                <w:lang w:val="pt-BR"/>
                <w14:textFill>
                  <w14:solidFill>
                    <w14:schemeClr w14:val="tx1"/>
                  </w14:solidFill>
                </w14:textFill>
              </w:rPr>
              <w:t>万元的前述业绩，每项得2分，（本子项满分</w:t>
            </w:r>
            <w:r>
              <w:rPr>
                <w:rFonts w:hint="eastAsia" w:ascii="宋体" w:hAnsi="宋体" w:eastAsia="宋体"/>
                <w:color w:val="000000" w:themeColor="text1"/>
                <w:sz w:val="21"/>
                <w:szCs w:val="21"/>
                <w:highlight w:val="none"/>
                <w14:textFill>
                  <w14:solidFill>
                    <w14:schemeClr w14:val="tx1"/>
                  </w14:solidFill>
                </w14:textFill>
              </w:rPr>
              <w:t>8</w:t>
            </w:r>
            <w:r>
              <w:rPr>
                <w:rFonts w:hint="eastAsia" w:ascii="宋体" w:hAnsi="宋体" w:eastAsia="宋体"/>
                <w:color w:val="000000" w:themeColor="text1"/>
                <w:sz w:val="21"/>
                <w:szCs w:val="21"/>
                <w:highlight w:val="none"/>
                <w:lang w:val="pt-BR"/>
                <w14:textFill>
                  <w14:solidFill>
                    <w14:schemeClr w14:val="tx1"/>
                  </w14:solidFill>
                </w14:textFill>
              </w:rPr>
              <w:t>分）；</w:t>
            </w:r>
          </w:p>
          <w:p>
            <w:pPr>
              <w:pStyle w:val="206"/>
              <w:spacing w:line="360" w:lineRule="auto"/>
              <w:rPr>
                <w:rFonts w:ascii="宋体" w:hAnsi="宋体" w:eastAsia="宋体"/>
                <w:color w:val="000000" w:themeColor="text1"/>
                <w:sz w:val="21"/>
                <w:szCs w:val="21"/>
                <w:highlight w:val="none"/>
                <w:lang w:val="pt-BR"/>
                <w14:textFill>
                  <w14:solidFill>
                    <w14:schemeClr w14:val="tx1"/>
                  </w14:solidFill>
                </w14:textFill>
              </w:rPr>
            </w:pPr>
            <w:r>
              <w:rPr>
                <w:rFonts w:hint="eastAsia" w:ascii="宋体" w:hAnsi="宋体" w:eastAsia="宋体"/>
                <w:color w:val="000000" w:themeColor="text1"/>
                <w:sz w:val="21"/>
                <w:szCs w:val="21"/>
                <w:highlight w:val="none"/>
                <w:lang w:val="pt-BR"/>
                <w14:textFill>
                  <w14:solidFill>
                    <w14:schemeClr w14:val="tx1"/>
                  </w14:solidFill>
                </w14:textFill>
              </w:rPr>
              <w:t>④</w:t>
            </w:r>
            <w:r>
              <w:rPr>
                <w:rFonts w:hint="eastAsia" w:ascii="宋体" w:hAnsi="宋体" w:eastAsia="宋体"/>
                <w:color w:val="000000" w:themeColor="text1"/>
                <w:sz w:val="21"/>
                <w:szCs w:val="21"/>
                <w:highlight w:val="none"/>
                <w14:textFill>
                  <w14:solidFill>
                    <w14:schemeClr w14:val="tx1"/>
                  </w14:solidFill>
                </w14:textFill>
              </w:rPr>
              <w:t>80</w:t>
            </w:r>
            <w:r>
              <w:rPr>
                <w:rFonts w:ascii="宋体" w:hAnsi="宋体" w:eastAsia="宋体"/>
                <w:color w:val="000000" w:themeColor="text1"/>
                <w:sz w:val="21"/>
                <w:szCs w:val="21"/>
                <w:highlight w:val="none"/>
                <w:lang w:val="pt-BR"/>
                <w14:textFill>
                  <w14:solidFill>
                    <w14:schemeClr w14:val="tx1"/>
                  </w14:solidFill>
                </w14:textFill>
              </w:rPr>
              <w:t>万元</w:t>
            </w:r>
            <w:r>
              <w:rPr>
                <w:rFonts w:hint="eastAsia" w:ascii="宋体" w:hAnsi="宋体" w:eastAsia="宋体"/>
                <w:color w:val="000000" w:themeColor="text1"/>
                <w:sz w:val="21"/>
                <w:szCs w:val="21"/>
                <w:highlight w:val="none"/>
                <w:lang w:val="pt-BR"/>
                <w14:textFill>
                  <w14:solidFill>
                    <w14:schemeClr w14:val="tx1"/>
                  </w14:solidFill>
                </w14:textFill>
              </w:rPr>
              <w:t>≤</w:t>
            </w:r>
            <w:r>
              <w:rPr>
                <w:rFonts w:ascii="宋体" w:hAnsi="宋体" w:eastAsia="宋体"/>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olor w:val="000000" w:themeColor="text1"/>
                <w:sz w:val="21"/>
                <w:szCs w:val="21"/>
                <w:highlight w:val="none"/>
                <w14:textFill>
                  <w14:solidFill>
                    <w14:schemeClr w14:val="tx1"/>
                  </w14:solidFill>
                </w14:textFill>
              </w:rPr>
              <w:t>150</w:t>
            </w:r>
            <w:r>
              <w:rPr>
                <w:rFonts w:ascii="宋体" w:hAnsi="宋体" w:eastAsia="宋体"/>
                <w:color w:val="000000" w:themeColor="text1"/>
                <w:sz w:val="21"/>
                <w:szCs w:val="21"/>
                <w:highlight w:val="none"/>
                <w:lang w:val="pt-BR"/>
                <w14:textFill>
                  <w14:solidFill>
                    <w14:schemeClr w14:val="tx1"/>
                  </w14:solidFill>
                </w14:textFill>
              </w:rPr>
              <w:t>万元的前述业绩，每项得</w:t>
            </w:r>
            <w:r>
              <w:rPr>
                <w:rFonts w:hint="eastAsia" w:ascii="宋体" w:hAnsi="宋体" w:eastAsia="宋体"/>
                <w:color w:val="000000" w:themeColor="text1"/>
                <w:sz w:val="21"/>
                <w:szCs w:val="21"/>
                <w:highlight w:val="none"/>
                <w:lang w:val="pt-BR"/>
                <w14:textFill>
                  <w14:solidFill>
                    <w14:schemeClr w14:val="tx1"/>
                  </w14:solidFill>
                </w14:textFill>
              </w:rPr>
              <w:t>1</w:t>
            </w:r>
            <w:r>
              <w:rPr>
                <w:rFonts w:ascii="宋体" w:hAnsi="宋体" w:eastAsia="宋体"/>
                <w:color w:val="000000" w:themeColor="text1"/>
                <w:sz w:val="21"/>
                <w:szCs w:val="21"/>
                <w:highlight w:val="none"/>
                <w:lang w:val="pt-BR"/>
                <w14:textFill>
                  <w14:solidFill>
                    <w14:schemeClr w14:val="tx1"/>
                  </w14:solidFill>
                </w14:textFill>
              </w:rPr>
              <w:t>分</w:t>
            </w:r>
            <w:r>
              <w:rPr>
                <w:rFonts w:hint="eastAsia" w:ascii="宋体" w:hAnsi="宋体" w:eastAsia="宋体"/>
                <w:color w:val="000000" w:themeColor="text1"/>
                <w:sz w:val="21"/>
                <w:szCs w:val="21"/>
                <w:highlight w:val="none"/>
                <w:lang w:val="pt-BR"/>
                <w14:textFill>
                  <w14:solidFill>
                    <w14:schemeClr w14:val="tx1"/>
                  </w14:solidFill>
                </w14:textFill>
              </w:rPr>
              <w:t>，（本子项满分5分）。</w:t>
            </w:r>
          </w:p>
          <w:p>
            <w:pPr>
              <w:pStyle w:val="20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w:t>
            </w:r>
          </w:p>
          <w:p>
            <w:pPr>
              <w:pStyle w:val="20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（1）业绩须附合同复印件</w:t>
            </w:r>
            <w:r>
              <w:rPr>
                <w:rFonts w:ascii="宋体" w:hAnsi="宋体" w:eastAsia="宋体"/>
                <w:b/>
                <w:color w:val="000000" w:themeColor="text1"/>
                <w:sz w:val="21"/>
                <w:szCs w:val="21"/>
                <w:highlight w:val="none"/>
                <w14:textFill>
                  <w14:solidFill>
                    <w14:schemeClr w14:val="tx1"/>
                  </w14:solidFill>
                </w14:textFill>
              </w:rPr>
              <w:t>加盖投标人公章</w:t>
            </w:r>
            <w:r>
              <w:rPr>
                <w:rFonts w:hint="eastAsia" w:ascii="宋体" w:hAnsi="宋体" w:eastAsia="宋体" w:cs="宋体"/>
                <w:b/>
                <w:bCs/>
                <w:color w:val="000000" w:themeColor="text1"/>
                <w:sz w:val="21"/>
                <w:szCs w:val="21"/>
                <w:highlight w:val="none"/>
                <w14:textFill>
                  <w14:solidFill>
                    <w14:schemeClr w14:val="tx1"/>
                  </w14:solidFill>
                </w14:textFill>
              </w:rPr>
              <w:t>；</w:t>
            </w:r>
          </w:p>
          <w:p>
            <w:pPr>
              <w:pStyle w:val="20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合同必须能反映评分条件（合同签订日期为2021年1月1日或以后，合同服务内容必须为食品或者食材配送服务，合同金额），否则，需同时提供对应金额的发票或合同买方出具的书面补充说明文件复印件作为证明文件（需加盖合同买方公章）；</w:t>
            </w:r>
          </w:p>
          <w:p>
            <w:pPr>
              <w:pStyle w:val="20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（3）若业绩为框架式协议或资格入围无明确金额的合同，必须同时提供合同期限内已服务发票金额统计表和发票复印件；</w:t>
            </w:r>
          </w:p>
          <w:p>
            <w:pPr>
              <w:pStyle w:val="206"/>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（4）若单项合同服务期限为一年的，“</w:t>
            </w:r>
            <w:r>
              <w:rPr>
                <w:rFonts w:hint="eastAsia" w:ascii="宋体" w:hAnsi="宋体" w:eastAsia="宋体" w:cs="宋体"/>
                <w:b/>
                <w:bCs/>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b/>
                <w:bCs/>
                <w:color w:val="000000" w:themeColor="text1"/>
                <w:sz w:val="21"/>
                <w:szCs w:val="21"/>
                <w:highlight w:val="none"/>
                <w14:textFill>
                  <w14:solidFill>
                    <w14:schemeClr w14:val="tx1"/>
                  </w14:solidFill>
                </w14:textFill>
              </w:rPr>
              <w:t>”为单项合同服务期内总金额；若单项合同服务期限超过一年的，“</w:t>
            </w:r>
            <w:r>
              <w:rPr>
                <w:rFonts w:hint="eastAsia" w:ascii="宋体" w:hAnsi="宋体" w:eastAsia="宋体" w:cs="宋体"/>
                <w:b/>
                <w:bCs/>
                <w:color w:val="000000" w:themeColor="text1"/>
                <w:sz w:val="21"/>
                <w:szCs w:val="21"/>
                <w:highlight w:val="none"/>
                <w:lang w:val="pt-BR"/>
                <w14:textFill>
                  <w14:solidFill>
                    <w14:schemeClr w14:val="tx1"/>
                  </w14:solidFill>
                </w14:textFill>
              </w:rPr>
              <w:t>年度配送服务项目总金额</w:t>
            </w:r>
            <w:r>
              <w:rPr>
                <w:rFonts w:hint="eastAsia" w:ascii="宋体" w:hAnsi="宋体" w:eastAsia="宋体" w:cs="宋体"/>
                <w:b/>
                <w:bCs/>
                <w:color w:val="000000" w:themeColor="text1"/>
                <w:sz w:val="21"/>
                <w:szCs w:val="21"/>
                <w:highlight w:val="none"/>
                <w14:textFill>
                  <w14:solidFill>
                    <w14:schemeClr w14:val="tx1"/>
                  </w14:solidFill>
                </w14:textFill>
              </w:rPr>
              <w:t>”为单项合同总金额按照合同期限折算成平均每年度的金额，即（单项合同总金额/合同服务期月数）×12。</w:t>
            </w:r>
          </w:p>
          <w:p>
            <w:pPr>
              <w:pStyle w:val="206"/>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（5）未按上述要求提供证明材料的业绩，或所附材料无法证明填报项目符合本项评分要求的业绩，在评标时将不予考虑。</w:t>
            </w:r>
          </w:p>
        </w:tc>
        <w:tc>
          <w:tcPr>
            <w:tcW w:w="886" w:type="dxa"/>
            <w:tcBorders>
              <w:top w:val="single" w:color="auto" w:sz="4" w:space="0"/>
              <w:left w:val="single" w:color="auto" w:sz="4" w:space="0"/>
              <w:bottom w:val="single" w:color="auto" w:sz="2" w:space="0"/>
              <w:right w:val="single" w:color="auto" w:sz="2" w:space="0"/>
            </w:tcBorders>
            <w:vAlign w:val="center"/>
          </w:tcPr>
          <w:p>
            <w:pPr>
              <w:pStyle w:val="202"/>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21分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7" w:hRule="atLeast"/>
          <w:jc w:val="center"/>
        </w:trPr>
        <w:tc>
          <w:tcPr>
            <w:tcW w:w="627" w:type="dxa"/>
            <w:tcBorders>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80" w:type="dxa"/>
            <w:tcBorders>
              <w:left w:val="single" w:color="auto" w:sz="4" w:space="0"/>
              <w:bottom w:val="single" w:color="auto" w:sz="2" w:space="0"/>
              <w:right w:val="single" w:color="auto" w:sz="2" w:space="0"/>
            </w:tcBorders>
            <w:vAlign w:val="center"/>
          </w:tcPr>
          <w:p>
            <w:pPr>
              <w:snapToGrid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拟投入本项目的配送场所面积</w:t>
            </w:r>
          </w:p>
        </w:tc>
        <w:tc>
          <w:tcPr>
            <w:tcW w:w="7877" w:type="dxa"/>
            <w:tcBorders>
              <w:top w:val="single" w:color="auto" w:sz="4" w:space="0"/>
              <w:left w:val="single" w:color="auto" w:sz="4" w:space="0"/>
              <w:bottom w:val="single" w:color="auto" w:sz="4" w:space="0"/>
              <w:right w:val="single" w:color="auto" w:sz="2" w:space="0"/>
            </w:tcBorders>
            <w:vAlign w:val="center"/>
          </w:tcPr>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投标人拟投入本项目的配送场所（本项满分得7分)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配送场所面积≥6000㎡，得7分。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4000㎡≤配送场所面积＜6000㎡ ，得4分。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ascii="宋体" w:hAnsi="宋体" w:eastAsia="宋体" w:cs="宋体"/>
                <w:color w:val="000000" w:themeColor="text1"/>
                <w:szCs w:val="21"/>
                <w:highlight w:val="none"/>
                <w14:textFill>
                  <w14:solidFill>
                    <w14:schemeClr w14:val="tx1"/>
                  </w14:solidFill>
                </w14:textFill>
              </w:rPr>
              <w:t>2000㎡≤配送场所面积＜4000㎡ 得1分。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ascii="宋体" w:hAnsi="宋体" w:eastAsia="宋体" w:cs="宋体"/>
                <w:color w:val="000000" w:themeColor="text1"/>
                <w:szCs w:val="21"/>
                <w:highlight w:val="none"/>
                <w14:textFill>
                  <w14:solidFill>
                    <w14:schemeClr w14:val="tx1"/>
                  </w14:solidFill>
                </w14:textFill>
              </w:rPr>
              <w:t>其它情况得0分。</w:t>
            </w:r>
          </w:p>
          <w:p>
            <w:pPr>
              <w:pStyle w:val="129"/>
              <w:spacing w:line="360" w:lineRule="auto"/>
              <w:ind w:left="40" w:hanging="360" w:firstLineChars="0"/>
              <w:rPr>
                <w:rFonts w:ascii="宋体" w:hAnsi="宋体" w:eastAsia="宋体" w:cs="宋体"/>
                <w:b/>
                <w:bCs/>
                <w:color w:val="000000" w:themeColor="text1"/>
                <w:szCs w:val="21"/>
                <w:highlight w:val="none"/>
                <w14:textFill>
                  <w14:solidFill>
                    <w14:schemeClr w14:val="tx1"/>
                  </w14:solidFill>
                </w14:textFill>
              </w:rPr>
            </w:pPr>
            <w:r>
              <w:rPr>
                <w:rFonts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注：</w:t>
            </w:r>
            <w:r>
              <w:rPr>
                <w:rFonts w:ascii="宋体" w:hAnsi="宋体" w:eastAsia="宋体" w:cs="宋体"/>
                <w:b/>
                <w:bCs/>
                <w:color w:val="000000" w:themeColor="text1"/>
                <w:szCs w:val="21"/>
                <w:highlight w:val="none"/>
                <w14:textFill>
                  <w14:solidFill>
                    <w14:schemeClr w14:val="tx1"/>
                  </w14:solidFill>
                </w14:textFill>
              </w:rPr>
              <w:t>投标人须提供其配送场所的使用权证明材料，如产权证明或租赁合同（租赁的有效期必须覆盖</w:t>
            </w:r>
            <w:r>
              <w:rPr>
                <w:rFonts w:hint="eastAsia" w:ascii="宋体" w:hAnsi="宋体" w:eastAsia="宋体" w:cs="宋体"/>
                <w:b/>
                <w:bCs/>
                <w:color w:val="000000" w:themeColor="text1"/>
                <w:szCs w:val="21"/>
                <w:highlight w:val="none"/>
                <w14:textFill>
                  <w14:solidFill>
                    <w14:schemeClr w14:val="tx1"/>
                  </w14:solidFill>
                </w14:textFill>
              </w:rPr>
              <w:t>2024</w:t>
            </w:r>
            <w:r>
              <w:rPr>
                <w:rFonts w:ascii="宋体" w:hAnsi="宋体" w:eastAsia="宋体" w:cs="宋体"/>
                <w:b/>
                <w:bCs/>
                <w:color w:val="000000" w:themeColor="text1"/>
                <w:szCs w:val="21"/>
                <w:highlight w:val="none"/>
                <w14:textFill>
                  <w14:solidFill>
                    <w14:schemeClr w14:val="tx1"/>
                  </w14:solidFill>
                </w14:textFill>
              </w:rPr>
              <w:t>年，需提供</w:t>
            </w:r>
            <w:r>
              <w:rPr>
                <w:rFonts w:hint="eastAsia" w:ascii="宋体" w:hAnsi="宋体" w:eastAsia="宋体" w:cs="宋体"/>
                <w:b/>
                <w:bCs/>
                <w:color w:val="000000" w:themeColor="text1"/>
                <w:szCs w:val="21"/>
                <w:highlight w:val="none"/>
                <w14:textFill>
                  <w14:solidFill>
                    <w14:schemeClr w14:val="tx1"/>
                  </w14:solidFill>
                </w14:textFill>
              </w:rPr>
              <w:t>2024年01月至2024年03月</w:t>
            </w:r>
            <w:r>
              <w:rPr>
                <w:rFonts w:ascii="宋体" w:hAnsi="宋体" w:eastAsia="宋体" w:cs="宋体"/>
                <w:b/>
                <w:bCs/>
                <w:color w:val="000000" w:themeColor="text1"/>
                <w:szCs w:val="21"/>
                <w:highlight w:val="none"/>
                <w14:textFill>
                  <w14:solidFill>
                    <w14:schemeClr w14:val="tx1"/>
                  </w14:solidFill>
                </w14:textFill>
              </w:rPr>
              <w:t>的租金发票或收据）复印件，并加盖投标人公章。</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投标人拟投入本项目的配送场所内配置的食品冷藏冷冻库(本项满分得2分）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面积≥300㎡，得2分；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100㎡≤面积＜300㎡，得1分；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ascii="宋体" w:hAnsi="宋体" w:eastAsia="宋体" w:cs="宋体"/>
                <w:color w:val="000000" w:themeColor="text1"/>
                <w:szCs w:val="21"/>
                <w:highlight w:val="none"/>
                <w14:textFill>
                  <w14:solidFill>
                    <w14:schemeClr w14:val="tx1"/>
                  </w14:solidFill>
                </w14:textFill>
              </w:rPr>
              <w:t>其它情况得0分。</w:t>
            </w:r>
          </w:p>
          <w:p>
            <w:pPr>
              <w:pStyle w:val="129"/>
              <w:spacing w:line="360" w:lineRule="auto"/>
              <w:ind w:left="40" w:hanging="360"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注：</w:t>
            </w:r>
            <w:r>
              <w:rPr>
                <w:rFonts w:ascii="宋体" w:hAnsi="宋体" w:eastAsia="宋体" w:cs="宋体"/>
                <w:b/>
                <w:bCs/>
                <w:color w:val="000000" w:themeColor="text1"/>
                <w:szCs w:val="21"/>
                <w:highlight w:val="none"/>
                <w14:textFill>
                  <w14:solidFill>
                    <w14:schemeClr w14:val="tx1"/>
                  </w14:solidFill>
                </w14:textFill>
              </w:rPr>
              <w:t>投标人须提供其冷藏冷冻库的使用权证明材料，如产权证明或自建冷藏库的证明或租赁合同（租赁的有效期必须覆盖</w:t>
            </w:r>
            <w:r>
              <w:rPr>
                <w:rFonts w:hint="eastAsia" w:ascii="宋体" w:hAnsi="宋体" w:eastAsia="宋体" w:cs="宋体"/>
                <w:b/>
                <w:bCs/>
                <w:color w:val="000000" w:themeColor="text1"/>
                <w:szCs w:val="21"/>
                <w:highlight w:val="none"/>
                <w14:textFill>
                  <w14:solidFill>
                    <w14:schemeClr w14:val="tx1"/>
                  </w14:solidFill>
                </w14:textFill>
              </w:rPr>
              <w:t>2024</w:t>
            </w:r>
            <w:r>
              <w:rPr>
                <w:rFonts w:ascii="宋体" w:hAnsi="宋体" w:eastAsia="宋体" w:cs="宋体"/>
                <w:b/>
                <w:bCs/>
                <w:color w:val="000000" w:themeColor="text1"/>
                <w:szCs w:val="21"/>
                <w:highlight w:val="none"/>
                <w14:textFill>
                  <w14:solidFill>
                    <w14:schemeClr w14:val="tx1"/>
                  </w14:solidFill>
                </w14:textFill>
              </w:rPr>
              <w:t>年，需提供</w:t>
            </w:r>
            <w:r>
              <w:rPr>
                <w:rFonts w:hint="eastAsia" w:ascii="宋体" w:hAnsi="宋体" w:eastAsia="宋体" w:cs="宋体"/>
                <w:b/>
                <w:bCs/>
                <w:color w:val="000000" w:themeColor="text1"/>
                <w:szCs w:val="21"/>
                <w:highlight w:val="none"/>
                <w14:textFill>
                  <w14:solidFill>
                    <w14:schemeClr w14:val="tx1"/>
                  </w14:solidFill>
                </w14:textFill>
              </w:rPr>
              <w:t>2024年01月至2024年03月</w:t>
            </w:r>
            <w:r>
              <w:rPr>
                <w:rFonts w:ascii="宋体" w:hAnsi="宋体" w:eastAsia="宋体" w:cs="宋体"/>
                <w:b/>
                <w:bCs/>
                <w:color w:val="000000" w:themeColor="text1"/>
                <w:szCs w:val="21"/>
                <w:highlight w:val="none"/>
                <w14:textFill>
                  <w14:solidFill>
                    <w14:schemeClr w14:val="tx1"/>
                  </w14:solidFill>
                </w14:textFill>
              </w:rPr>
              <w:t>的租金发票或收据）复印件，并加盖投标人公章；证明材料须体现冷藏库或冷冻库等相关内容。</w:t>
            </w:r>
          </w:p>
        </w:tc>
        <w:tc>
          <w:tcPr>
            <w:tcW w:w="886"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9</w:t>
            </w:r>
            <w:r>
              <w:rPr>
                <w:rFonts w:hint="eastAsia" w:hAnsi="宋体" w:cs="宋体"/>
                <w:color w:val="000000" w:themeColor="text1"/>
                <w:szCs w:val="21"/>
                <w:highlight w:val="none"/>
                <w14:textFill>
                  <w14:solidFill>
                    <w14:schemeClr w14:val="tx1"/>
                  </w14:solidFill>
                </w14:textFill>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6" w:hRule="atLeast"/>
          <w:jc w:val="center"/>
        </w:trPr>
        <w:tc>
          <w:tcPr>
            <w:tcW w:w="627" w:type="dxa"/>
            <w:tcBorders>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80" w:type="dxa"/>
            <w:tcBorders>
              <w:left w:val="single" w:color="auto" w:sz="4" w:space="0"/>
              <w:bottom w:val="single" w:color="auto" w:sz="2"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拟投入本项目的人员及车辆情况</w:t>
            </w:r>
          </w:p>
        </w:tc>
        <w:tc>
          <w:tcPr>
            <w:tcW w:w="7877"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1、拟投入本项目的人员（满分2分）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 投标人拟投入本项目的服务团队人员中，至少配备1个（含1个）具有高级食品安全管理员证书的专职管理人员，满足条件的，得1分。（本子项满分1分）；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 投标人拟投入本项目的服务团队人员中，至少配备1个（含1个）具有食品/农产品检测相关职称证/上岗合格证/培训证的专职检测人员，满足条件的，得1分。（本子项满分1分）。</w:t>
            </w:r>
          </w:p>
          <w:p>
            <w:pPr>
              <w:pStyle w:val="202"/>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注：须提供有效证书复印件，以及投标人2023年12月至2024年02月为其缴纳社保证明的复印件。</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2、拟投入本项目的运输车辆（满分5分）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①拟投入本项目的运输车辆，每辆车得0.5分。（本子项满分得2分）；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②拟投入本项目的冷链配送车辆，每辆车得0.5分。（本子项满分得3分）。</w:t>
            </w:r>
          </w:p>
          <w:p>
            <w:pPr>
              <w:pStyle w:val="202"/>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pPr>
              <w:pStyle w:val="202"/>
              <w:spacing w:line="360" w:lineRule="auto"/>
              <w:rPr>
                <w:rFonts w:ascii="宋体" w:hAnsi="宋体" w:cs="宋体"/>
                <w:b/>
                <w:bCs/>
                <w:color w:val="000000" w:themeColor="text1"/>
                <w:szCs w:val="21"/>
                <w:highlight w:val="none"/>
                <w:lang w:val="pt-BR"/>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①以上若是自有车辆的须提供在有效期内的车辆行驶证复印件；若为租赁车辆的须提供</w:t>
            </w:r>
            <w:r>
              <w:rPr>
                <w:rFonts w:hint="eastAsia" w:ascii="宋体" w:hAnsi="宋体" w:cs="宋体"/>
                <w:b/>
                <w:bCs/>
                <w:color w:val="000000" w:themeColor="text1"/>
                <w:szCs w:val="21"/>
                <w:highlight w:val="none"/>
                <w:lang w:val="pt-BR"/>
                <w14:textFill>
                  <w14:solidFill>
                    <w14:schemeClr w14:val="tx1"/>
                  </w14:solidFill>
                </w14:textFill>
              </w:rPr>
              <w:t>租赁合同复印件及在有效期内的车辆行驶证复印件。</w:t>
            </w:r>
          </w:p>
          <w:p>
            <w:pPr>
              <w:pStyle w:val="202"/>
              <w:spacing w:line="360" w:lineRule="auto"/>
              <w:rPr>
                <w:rFonts w:ascii="宋体" w:hAnsi="宋体" w:cs="宋体"/>
                <w:b/>
                <w:bCs/>
                <w:color w:val="000000" w:themeColor="text1"/>
                <w:szCs w:val="21"/>
                <w:highlight w:val="none"/>
                <w:lang w:val="pt-BR"/>
                <w14:textFill>
                  <w14:solidFill>
                    <w14:schemeClr w14:val="tx1"/>
                  </w14:solidFill>
                </w14:textFill>
              </w:rPr>
            </w:pPr>
            <w:r>
              <w:rPr>
                <w:rFonts w:hint="eastAsia" w:ascii="宋体" w:hAnsi="宋体" w:cs="宋体"/>
                <w:b/>
                <w:bCs/>
                <w:color w:val="000000" w:themeColor="text1"/>
                <w:szCs w:val="21"/>
                <w:highlight w:val="none"/>
                <w:lang w:val="pt-BR"/>
                <w14:textFill>
                  <w14:solidFill>
                    <w14:schemeClr w14:val="tx1"/>
                  </w14:solidFill>
                </w14:textFill>
              </w:rPr>
              <w:t>②车辆是否为投标人自有的，以车辆行驶证上的“所有人”为准；</w:t>
            </w:r>
          </w:p>
          <w:p>
            <w:pPr>
              <w:pStyle w:val="202"/>
              <w:spacing w:line="360" w:lineRule="auto"/>
              <w:rPr>
                <w:rFonts w:ascii="宋体" w:hAnsi="宋体" w:cs="宋体"/>
                <w:b/>
                <w:bCs/>
                <w:color w:val="000000" w:themeColor="text1"/>
                <w:szCs w:val="21"/>
                <w:highlight w:val="none"/>
                <w:lang w:val="pt-BR"/>
                <w14:textFill>
                  <w14:solidFill>
                    <w14:schemeClr w14:val="tx1"/>
                  </w14:solidFill>
                </w14:textFill>
              </w:rPr>
            </w:pPr>
            <w:r>
              <w:rPr>
                <w:rFonts w:hint="eastAsia" w:ascii="宋体" w:hAnsi="宋体" w:cs="宋体"/>
                <w:b/>
                <w:bCs/>
                <w:color w:val="000000" w:themeColor="text1"/>
                <w:szCs w:val="21"/>
                <w:highlight w:val="none"/>
                <w:lang w:val="pt-BR"/>
                <w14:textFill>
                  <w14:solidFill>
                    <w14:schemeClr w14:val="tx1"/>
                  </w14:solidFill>
                </w14:textFill>
              </w:rPr>
              <w:t>③车辆是否为冷链（或冷藏或冷冻）车辆以机动车登记证书上所标注的车辆类型（或购车发票上注明的车辆类型）或者提供三张从不同角度拍摄，能有力证明是冷链（或冷藏或冷冻）车辆的照片为准（照片须清晰反映拍摄时间为202</w:t>
            </w: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lang w:val="pt-BR"/>
                <w14:textFill>
                  <w14:solidFill>
                    <w14:schemeClr w14:val="tx1"/>
                  </w14:solidFill>
                </w14:textFill>
              </w:rPr>
              <w:t>年</w:t>
            </w:r>
            <w:r>
              <w:rPr>
                <w:rFonts w:hint="eastAsia"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lang w:val="pt-BR"/>
                <w14:textFill>
                  <w14:solidFill>
                    <w14:schemeClr w14:val="tx1"/>
                  </w14:solidFill>
                </w14:textFill>
              </w:rPr>
              <w:t>月1日或以后，否则评标时将不予考虑）。</w:t>
            </w:r>
          </w:p>
        </w:tc>
        <w:tc>
          <w:tcPr>
            <w:tcW w:w="886"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6" w:hRule="atLeast"/>
          <w:jc w:val="center"/>
        </w:trPr>
        <w:tc>
          <w:tcPr>
            <w:tcW w:w="627" w:type="dxa"/>
            <w:tcBorders>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80" w:type="dxa"/>
            <w:tcBorders>
              <w:left w:val="single" w:color="auto" w:sz="4" w:space="0"/>
              <w:bottom w:val="single" w:color="auto" w:sz="2"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拟供应货品来源情况</w:t>
            </w:r>
          </w:p>
        </w:tc>
        <w:tc>
          <w:tcPr>
            <w:tcW w:w="7877"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rPr>
                <w:rFonts w:ascii="宋体" w:hAnsi="宋体" w:cs="宋体"/>
                <w:color w:val="000000" w:themeColor="text1"/>
                <w:szCs w:val="21"/>
                <w:highlight w:val="none"/>
                <w:lang w:val="pt-B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1、粮油干货类：</w:t>
            </w:r>
            <w:r>
              <w:rPr>
                <w:rFonts w:hint="eastAsia" w:ascii="宋体" w:hAnsi="宋体" w:cs="宋体"/>
                <w:color w:val="000000" w:themeColor="text1"/>
                <w:szCs w:val="21"/>
                <w:highlight w:val="none"/>
                <w:lang w:val="pt-BR"/>
                <w14:textFill>
                  <w14:solidFill>
                    <w14:schemeClr w14:val="tx1"/>
                  </w14:solidFill>
                </w14:textFill>
              </w:rPr>
              <w:t>投标人自有供应，或与生产企业签订直接供应采购合作协议，得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pt-BR"/>
                <w14:textFill>
                  <w14:solidFill>
                    <w14:schemeClr w14:val="tx1"/>
                  </w14:solidFill>
                </w14:textFill>
              </w:rPr>
              <w:t>分。</w:t>
            </w:r>
          </w:p>
          <w:p>
            <w:pPr>
              <w:pStyle w:val="202"/>
              <w:spacing w:line="360" w:lineRule="auto"/>
              <w:rPr>
                <w:rFonts w:ascii="宋体" w:hAnsi="宋体" w:cs="宋体"/>
                <w:b/>
                <w:bCs/>
                <w:color w:val="000000" w:themeColor="text1"/>
                <w:szCs w:val="21"/>
                <w:highlight w:val="none"/>
                <w:lang w:val="pt-BR"/>
                <w14:textFill>
                  <w14:solidFill>
                    <w14:schemeClr w14:val="tx1"/>
                  </w14:solidFill>
                </w14:textFill>
              </w:rPr>
            </w:pPr>
            <w:r>
              <w:rPr>
                <w:rFonts w:hint="eastAsia" w:ascii="宋体" w:hAnsi="宋体" w:cs="宋体"/>
                <w:b/>
                <w:bCs/>
                <w:color w:val="000000" w:themeColor="text1"/>
                <w:szCs w:val="21"/>
                <w:highlight w:val="none"/>
                <w:lang w:val="pt-BR"/>
                <w14:textFill>
                  <w14:solidFill>
                    <w14:schemeClr w14:val="tx1"/>
                  </w14:solidFill>
                </w14:textFill>
              </w:rPr>
              <w:t>注：需提供生产企业（或经销商）</w:t>
            </w:r>
            <w:r>
              <w:rPr>
                <w:rFonts w:hint="eastAsia" w:ascii="宋体" w:hAnsi="宋体" w:cs="宋体"/>
                <w:b/>
                <w:bCs/>
                <w:color w:val="000000" w:themeColor="text1"/>
                <w:szCs w:val="21"/>
                <w:highlight w:val="none"/>
                <w14:textFill>
                  <w14:solidFill>
                    <w14:schemeClr w14:val="tx1"/>
                  </w14:solidFill>
                </w14:textFill>
              </w:rPr>
              <w:t>在有效期内</w:t>
            </w:r>
            <w:r>
              <w:rPr>
                <w:rFonts w:hint="eastAsia" w:ascii="宋体" w:hAnsi="宋体" w:cs="宋体"/>
                <w:b/>
                <w:bCs/>
                <w:color w:val="000000" w:themeColor="text1"/>
                <w:szCs w:val="21"/>
                <w:highlight w:val="none"/>
                <w:lang w:val="pt-BR"/>
                <w14:textFill>
                  <w14:solidFill>
                    <w14:schemeClr w14:val="tx1"/>
                  </w14:solidFill>
                </w14:textFill>
              </w:rPr>
              <w:t>的法人营业执照、食品生产许可证（或食品经营许可证），同时提供投标人与生产企业（或经销商）的合作协议复印件（协议有效期覆盖</w:t>
            </w:r>
            <w:r>
              <w:rPr>
                <w:rFonts w:hint="eastAsia" w:ascii="宋体" w:hAnsi="宋体" w:cs="宋体"/>
                <w:b/>
                <w:bCs/>
                <w:color w:val="000000" w:themeColor="text1"/>
                <w:szCs w:val="21"/>
                <w:highlight w:val="none"/>
                <w14:textFill>
                  <w14:solidFill>
                    <w14:schemeClr w14:val="tx1"/>
                  </w14:solidFill>
                </w14:textFill>
              </w:rPr>
              <w:t>2024</w:t>
            </w:r>
            <w:r>
              <w:rPr>
                <w:rFonts w:hint="eastAsia" w:ascii="宋体" w:hAnsi="宋体" w:cs="宋体"/>
                <w:b/>
                <w:bCs/>
                <w:color w:val="000000" w:themeColor="text1"/>
                <w:szCs w:val="21"/>
                <w:highlight w:val="none"/>
                <w:lang w:val="pt-BR"/>
                <w14:textFill>
                  <w14:solidFill>
                    <w14:schemeClr w14:val="tx1"/>
                  </w14:solidFill>
                </w14:textFill>
              </w:rPr>
              <w:t>年，自营则无需提供合作协议复印件），否则不得分。</w:t>
            </w:r>
          </w:p>
          <w:p>
            <w:pPr>
              <w:pStyle w:val="202"/>
              <w:spacing w:line="360" w:lineRule="auto"/>
              <w:rPr>
                <w:rFonts w:ascii="宋体" w:hAnsi="宋体" w:cs="宋体"/>
                <w:color w:val="000000" w:themeColor="text1"/>
                <w:szCs w:val="21"/>
                <w:highlight w:val="none"/>
                <w:lang w:val="pt-B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pt-BR"/>
                <w14:textFill>
                  <w14:solidFill>
                    <w14:schemeClr w14:val="tx1"/>
                  </w14:solidFill>
                </w14:textFill>
              </w:rPr>
              <w:t>肉类供应：投标人自有供应，或与生产企业签订直接供应采购合作协议，得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pt-BR"/>
                <w14:textFill>
                  <w14:solidFill>
                    <w14:schemeClr w14:val="tx1"/>
                  </w14:solidFill>
                </w14:textFill>
              </w:rPr>
              <w:t>分。</w:t>
            </w:r>
          </w:p>
          <w:p>
            <w:pPr>
              <w:pStyle w:val="202"/>
              <w:spacing w:line="360" w:lineRule="auto"/>
              <w:rPr>
                <w:rFonts w:ascii="宋体" w:hAnsi="宋体" w:cs="宋体"/>
                <w:b/>
                <w:bCs/>
                <w:color w:val="000000" w:themeColor="text1"/>
                <w:szCs w:val="21"/>
                <w:highlight w:val="none"/>
                <w:lang w:val="pt-BR"/>
                <w14:textFill>
                  <w14:solidFill>
                    <w14:schemeClr w14:val="tx1"/>
                  </w14:solidFill>
                </w14:textFill>
              </w:rPr>
            </w:pPr>
            <w:r>
              <w:rPr>
                <w:rFonts w:hint="eastAsia" w:ascii="宋体" w:hAnsi="宋体" w:cs="宋体"/>
                <w:b/>
                <w:bCs/>
                <w:color w:val="000000" w:themeColor="text1"/>
                <w:szCs w:val="21"/>
                <w:highlight w:val="none"/>
                <w:lang w:val="pt-BR"/>
                <w14:textFill>
                  <w14:solidFill>
                    <w14:schemeClr w14:val="tx1"/>
                  </w14:solidFill>
                </w14:textFill>
              </w:rPr>
              <w:t>注：需提供生产企业（或经销商）</w:t>
            </w:r>
            <w:r>
              <w:rPr>
                <w:rFonts w:hint="eastAsia" w:ascii="宋体" w:hAnsi="宋体" w:cs="宋体"/>
                <w:b/>
                <w:bCs/>
                <w:color w:val="000000" w:themeColor="text1"/>
                <w:szCs w:val="21"/>
                <w:highlight w:val="none"/>
                <w14:textFill>
                  <w14:solidFill>
                    <w14:schemeClr w14:val="tx1"/>
                  </w14:solidFill>
                </w14:textFill>
              </w:rPr>
              <w:t>在有效期内</w:t>
            </w:r>
            <w:r>
              <w:rPr>
                <w:rFonts w:hint="eastAsia" w:ascii="宋体" w:hAnsi="宋体" w:cs="宋体"/>
                <w:b/>
                <w:bCs/>
                <w:color w:val="000000" w:themeColor="text1"/>
                <w:szCs w:val="21"/>
                <w:highlight w:val="none"/>
                <w:lang w:val="pt-BR"/>
                <w14:textFill>
                  <w14:solidFill>
                    <w14:schemeClr w14:val="tx1"/>
                  </w14:solidFill>
                </w14:textFill>
              </w:rPr>
              <w:t>的法人营业执照、食品生产许可证（或食品经营许可证）、动物防疫合格证的复印件，同时提供投标人与生产企业（或经销商）的合作协议复印件（协议有效期覆盖</w:t>
            </w:r>
            <w:r>
              <w:rPr>
                <w:rFonts w:hint="eastAsia" w:ascii="宋体" w:hAnsi="宋体" w:cs="宋体"/>
                <w:b/>
                <w:bCs/>
                <w:color w:val="000000" w:themeColor="text1"/>
                <w:szCs w:val="21"/>
                <w:highlight w:val="none"/>
                <w14:textFill>
                  <w14:solidFill>
                    <w14:schemeClr w14:val="tx1"/>
                  </w14:solidFill>
                </w14:textFill>
              </w:rPr>
              <w:t>2024</w:t>
            </w:r>
            <w:r>
              <w:rPr>
                <w:rFonts w:hint="eastAsia" w:ascii="宋体" w:hAnsi="宋体" w:cs="宋体"/>
                <w:b/>
                <w:bCs/>
                <w:color w:val="000000" w:themeColor="text1"/>
                <w:szCs w:val="21"/>
                <w:highlight w:val="none"/>
                <w:lang w:val="pt-BR"/>
                <w14:textFill>
                  <w14:solidFill>
                    <w14:schemeClr w14:val="tx1"/>
                  </w14:solidFill>
                </w14:textFill>
              </w:rPr>
              <w:t>年，自营则无需提供合作协议复印件），否则不得分。</w:t>
            </w:r>
          </w:p>
          <w:p>
            <w:pPr>
              <w:pStyle w:val="202"/>
              <w:spacing w:line="360" w:lineRule="auto"/>
              <w:rPr>
                <w:rFonts w:ascii="宋体" w:hAnsi="宋体" w:cs="宋体"/>
                <w:color w:val="000000" w:themeColor="text1"/>
                <w:szCs w:val="21"/>
                <w:highlight w:val="none"/>
                <w:lang w:val="pt-B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pt-BR"/>
                <w14:textFill>
                  <w14:solidFill>
                    <w14:schemeClr w14:val="tx1"/>
                  </w14:solidFill>
                </w14:textFill>
              </w:rPr>
              <w:t>、蔬</w:t>
            </w:r>
            <w:r>
              <w:rPr>
                <w:rFonts w:hint="eastAsia" w:ascii="宋体" w:hAnsi="宋体" w:cs="宋体"/>
                <w:color w:val="000000" w:themeColor="text1"/>
                <w:szCs w:val="21"/>
                <w:highlight w:val="none"/>
                <w14:textFill>
                  <w14:solidFill>
                    <w14:schemeClr w14:val="tx1"/>
                  </w14:solidFill>
                </w14:textFill>
              </w:rPr>
              <w:t>果</w:t>
            </w:r>
            <w:r>
              <w:rPr>
                <w:rFonts w:hint="eastAsia" w:ascii="宋体" w:hAnsi="宋体" w:cs="宋体"/>
                <w:color w:val="000000" w:themeColor="text1"/>
                <w:szCs w:val="21"/>
                <w:highlight w:val="none"/>
                <w:lang w:val="pt-BR"/>
                <w14:textFill>
                  <w14:solidFill>
                    <w14:schemeClr w14:val="tx1"/>
                  </w14:solidFill>
                </w14:textFill>
              </w:rPr>
              <w:t>类供应：投标人自有供应，或与生产企业签订直接供应采购合作协议，得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pt-BR"/>
                <w14:textFill>
                  <w14:solidFill>
                    <w14:schemeClr w14:val="tx1"/>
                  </w14:solidFill>
                </w14:textFill>
              </w:rPr>
              <w:t>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pt-BR"/>
                <w14:textFill>
                  <w14:solidFill>
                    <w14:schemeClr w14:val="tx1"/>
                  </w14:solidFill>
                </w14:textFill>
              </w:rPr>
              <w:t>注：投标人需提供生产企业（或经销商）</w:t>
            </w:r>
            <w:r>
              <w:rPr>
                <w:rFonts w:hint="eastAsia" w:ascii="宋体" w:hAnsi="宋体" w:cs="宋体"/>
                <w:b/>
                <w:bCs/>
                <w:color w:val="000000" w:themeColor="text1"/>
                <w:szCs w:val="21"/>
                <w:highlight w:val="none"/>
                <w14:textFill>
                  <w14:solidFill>
                    <w14:schemeClr w14:val="tx1"/>
                  </w14:solidFill>
                </w14:textFill>
              </w:rPr>
              <w:t>在有效期内</w:t>
            </w:r>
            <w:r>
              <w:rPr>
                <w:rFonts w:hint="eastAsia" w:ascii="宋体" w:hAnsi="宋体" w:cs="宋体"/>
                <w:b/>
                <w:bCs/>
                <w:color w:val="000000" w:themeColor="text1"/>
                <w:szCs w:val="21"/>
                <w:highlight w:val="none"/>
                <w:lang w:val="pt-BR"/>
                <w14:textFill>
                  <w14:solidFill>
                    <w14:schemeClr w14:val="tx1"/>
                  </w14:solidFill>
                </w14:textFill>
              </w:rPr>
              <w:t>的法人营业执照、食品生产许可证（或食品经营许可证）的复印件，同时提供投标人与生产企业（或经销商）的合作协议复印件（协议有效期覆盖</w:t>
            </w:r>
            <w:r>
              <w:rPr>
                <w:rFonts w:hint="eastAsia" w:ascii="宋体" w:hAnsi="宋体" w:cs="宋体"/>
                <w:b/>
                <w:bCs/>
                <w:color w:val="000000" w:themeColor="text1"/>
                <w:szCs w:val="21"/>
                <w:highlight w:val="none"/>
                <w14:textFill>
                  <w14:solidFill>
                    <w14:schemeClr w14:val="tx1"/>
                  </w14:solidFill>
                </w14:textFill>
              </w:rPr>
              <w:t>2024</w:t>
            </w:r>
            <w:r>
              <w:rPr>
                <w:rFonts w:hint="eastAsia" w:ascii="宋体" w:hAnsi="宋体" w:cs="宋体"/>
                <w:b/>
                <w:bCs/>
                <w:color w:val="000000" w:themeColor="text1"/>
                <w:szCs w:val="21"/>
                <w:highlight w:val="none"/>
                <w:lang w:val="pt-BR"/>
                <w14:textFill>
                  <w14:solidFill>
                    <w14:schemeClr w14:val="tx1"/>
                  </w14:solidFill>
                </w14:textFill>
              </w:rPr>
              <w:t>年，自营则无需提供合作协议复印件），否则不得分。</w:t>
            </w:r>
          </w:p>
        </w:tc>
        <w:tc>
          <w:tcPr>
            <w:tcW w:w="886"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7" w:hRule="atLeast"/>
          <w:jc w:val="center"/>
        </w:trPr>
        <w:tc>
          <w:tcPr>
            <w:tcW w:w="627" w:type="dxa"/>
            <w:tcBorders>
              <w:left w:val="single" w:color="auto" w:sz="2" w:space="0"/>
              <w:bottom w:val="single" w:color="auto" w:sz="2" w:space="0"/>
              <w:right w:val="single" w:color="auto" w:sz="4"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80" w:type="dxa"/>
            <w:tcBorders>
              <w:left w:val="single" w:color="auto" w:sz="4" w:space="0"/>
              <w:bottom w:val="single" w:color="auto" w:sz="2"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食品安全责任险</w:t>
            </w:r>
          </w:p>
        </w:tc>
        <w:tc>
          <w:tcPr>
            <w:tcW w:w="7877" w:type="dxa"/>
            <w:tcBorders>
              <w:top w:val="single" w:color="auto" w:sz="4" w:space="0"/>
              <w:left w:val="single" w:color="auto" w:sz="4" w:space="0"/>
              <w:bottom w:val="single" w:color="auto" w:sz="4" w:space="0"/>
              <w:right w:val="single" w:color="auto" w:sz="2" w:space="0"/>
            </w:tcBorders>
            <w:vAlign w:val="center"/>
          </w:tcPr>
          <w:p>
            <w:pPr>
              <w:pStyle w:val="202"/>
              <w:numPr>
                <w:ilvl w:val="255"/>
                <w:numId w:val="0"/>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2023年1月1日（以保险合同签订时间或保险单签单时间为准）至今，以投标人名义累计已购买食品安全责任险，按下列情况评分，满分3分：</w:t>
            </w:r>
          </w:p>
          <w:p>
            <w:pPr>
              <w:pStyle w:val="202"/>
              <w:numPr>
                <w:ilvl w:val="255"/>
                <w:numId w:val="0"/>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①累计已购买食品安全责任险额度≥20000万元，得3分；</w:t>
            </w:r>
          </w:p>
          <w:p>
            <w:pPr>
              <w:pStyle w:val="202"/>
              <w:numPr>
                <w:ilvl w:val="255"/>
                <w:numId w:val="0"/>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②10000万元≤累计已购买食品安全责任险额度＜20000万元，得2分；</w:t>
            </w:r>
          </w:p>
          <w:p>
            <w:pPr>
              <w:pStyle w:val="202"/>
              <w:numPr>
                <w:ilvl w:val="255"/>
                <w:numId w:val="0"/>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③5000万元＜累计已购买食品安全责任险额度＜10000万元，得1分。</w:t>
            </w:r>
          </w:p>
          <w:p>
            <w:pPr>
              <w:pStyle w:val="202"/>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注：投标人须附对应保险合同（或保险单）复印件，加盖投标人公章。（保险合同签订时间或保险单的签单时间须在本项目招标公告发布日期之前）</w:t>
            </w:r>
          </w:p>
        </w:tc>
        <w:tc>
          <w:tcPr>
            <w:tcW w:w="886" w:type="dxa"/>
            <w:tcBorders>
              <w:top w:val="single" w:color="auto" w:sz="4" w:space="0"/>
              <w:left w:val="single" w:color="auto" w:sz="4" w:space="0"/>
              <w:bottom w:val="single" w:color="auto" w:sz="4" w:space="0"/>
              <w:right w:val="single" w:color="auto" w:sz="2" w:space="0"/>
            </w:tcBorders>
            <w:vAlign w:val="center"/>
          </w:tcPr>
          <w:p>
            <w:pPr>
              <w:pStyle w:val="202"/>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jc w:val="center"/>
        </w:trPr>
        <w:tc>
          <w:tcPr>
            <w:tcW w:w="9484" w:type="dxa"/>
            <w:gridSpan w:val="3"/>
            <w:tcBorders>
              <w:left w:val="single" w:color="auto" w:sz="2" w:space="0"/>
              <w:right w:val="single" w:color="auto" w:sz="2" w:space="0"/>
            </w:tcBorders>
            <w:vAlign w:val="center"/>
          </w:tcPr>
          <w:p>
            <w:pPr>
              <w:spacing w:after="160" w:line="360" w:lineRule="auto"/>
              <w:ind w:left="247"/>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商务总分</w:t>
            </w:r>
          </w:p>
        </w:tc>
        <w:tc>
          <w:tcPr>
            <w:tcW w:w="886" w:type="dxa"/>
            <w:tcBorders>
              <w:top w:val="single" w:color="auto" w:sz="4" w:space="0"/>
              <w:left w:val="single" w:color="auto" w:sz="4" w:space="0"/>
              <w:bottom w:val="single" w:color="auto" w:sz="4" w:space="0"/>
              <w:right w:val="single" w:color="auto" w:sz="2" w:space="0"/>
            </w:tcBorders>
            <w:vAlign w:val="center"/>
          </w:tcPr>
          <w:p>
            <w:pPr>
              <w:snapToGrid w:val="0"/>
              <w:spacing w:line="360" w:lineRule="auto"/>
              <w:ind w:left="247"/>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60</w:t>
            </w:r>
          </w:p>
        </w:tc>
      </w:tr>
    </w:tbl>
    <w:p>
      <w:pPr>
        <w:autoSpaceDE w:val="0"/>
        <w:autoSpaceDN w:val="0"/>
        <w:adjustRightInd w:val="0"/>
        <w:ind w:left="-320"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pPr>
        <w:numPr>
          <w:ilvl w:val="0"/>
          <w:numId w:val="4"/>
        </w:numPr>
        <w:tabs>
          <w:tab w:val="left" w:pos="585"/>
        </w:tabs>
        <w:autoSpaceDE w:val="0"/>
        <w:autoSpaceDN w:val="0"/>
        <w:adjustRightInd w:val="0"/>
        <w:spacing w:line="360" w:lineRule="auto"/>
        <w:ind w:left="24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81"/>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96"/>
        <w:gridCol w:w="7921"/>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3" w:type="dxa"/>
            <w:vAlign w:val="center"/>
          </w:tcPr>
          <w:p>
            <w:pPr>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896" w:type="dxa"/>
            <w:tcBorders>
              <w:bottom w:val="single" w:color="auto" w:sz="4" w:space="0"/>
            </w:tcBorders>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评审内容</w:t>
            </w:r>
          </w:p>
        </w:tc>
        <w:tc>
          <w:tcPr>
            <w:tcW w:w="7921" w:type="dxa"/>
            <w:tcBorders>
              <w:bottom w:val="single" w:color="auto" w:sz="4" w:space="0"/>
            </w:tcBorders>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评审细则</w:t>
            </w:r>
          </w:p>
        </w:tc>
        <w:tc>
          <w:tcPr>
            <w:tcW w:w="910" w:type="dxa"/>
            <w:vAlign w:val="center"/>
          </w:tcPr>
          <w:p>
            <w:pPr>
              <w:pStyle w:val="202"/>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43" w:type="dxa"/>
            <w:vAlign w:val="center"/>
          </w:tcPr>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896"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用户需求的响应程度</w:t>
            </w:r>
          </w:p>
        </w:tc>
        <w:tc>
          <w:tcPr>
            <w:tcW w:w="7921" w:type="dxa"/>
            <w:vAlign w:val="center"/>
          </w:tcPr>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用户需求偏离表的偏离情况进行评审计分，完全满足用户需求的要求得满分，每一处负偏离，扣2分，同时参照其投标文件中商务、技术资料的内容进行对比，每发现一处投标人填写为无偏离或正偏离，但评标委员会评审认定其为负偏离的，每处扣5分，本项最低分为0分。</w:t>
            </w:r>
          </w:p>
        </w:tc>
        <w:tc>
          <w:tcPr>
            <w:tcW w:w="910"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43" w:type="dxa"/>
            <w:vAlign w:val="center"/>
          </w:tcPr>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896" w:type="dxa"/>
            <w:vAlign w:val="center"/>
          </w:tcPr>
          <w:p>
            <w:pPr>
              <w:spacing w:line="360" w:lineRule="auto"/>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总体</w:t>
            </w:r>
            <w:r>
              <w:rPr>
                <w:rFonts w:hint="eastAsia" w:ascii="宋体" w:hAnsi="宋体" w:eastAsia="宋体" w:cs="宋体"/>
                <w:color w:val="000000" w:themeColor="text1"/>
                <w:szCs w:val="21"/>
                <w:highlight w:val="none"/>
                <w:lang w:val="zh-CN"/>
                <w14:textFill>
                  <w14:solidFill>
                    <w14:schemeClr w14:val="tx1"/>
                  </w14:solidFill>
                </w14:textFill>
              </w:rPr>
              <w:t>实施方案</w:t>
            </w:r>
          </w:p>
        </w:tc>
        <w:tc>
          <w:tcPr>
            <w:tcW w:w="7921" w:type="dxa"/>
            <w:vAlign w:val="center"/>
          </w:tcPr>
          <w:p>
            <w:pPr>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根据各投标人的供货方案、进度安排、验收方案等的科学性、合理性、可靠性进行综合评价：按优[10-8分]、良（8-6分]、中（6-4分]、差(4-0]进行评分。</w:t>
            </w:r>
          </w:p>
        </w:tc>
        <w:tc>
          <w:tcPr>
            <w:tcW w:w="910" w:type="dxa"/>
            <w:vAlign w:val="center"/>
          </w:tcPr>
          <w:p>
            <w:pPr>
              <w:spacing w:line="360" w:lineRule="auto"/>
              <w:jc w:val="center"/>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43" w:type="dxa"/>
            <w:vMerge w:val="restart"/>
            <w:vAlign w:val="center"/>
          </w:tcPr>
          <w:p>
            <w:pPr>
              <w:spacing w:line="360" w:lineRule="auto"/>
              <w:ind w:left="24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896" w:type="dxa"/>
            <w:vMerge w:val="restart"/>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食品安全管理</w:t>
            </w:r>
          </w:p>
        </w:tc>
        <w:tc>
          <w:tcPr>
            <w:tcW w:w="7921" w:type="dxa"/>
            <w:vAlign w:val="center"/>
          </w:tcPr>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根据各投标人提供的食材检验制度、食材进货制度、食材安全管理制度、人员管理制度等的科学性、合理性、规范性进行综合评价：按优</w:t>
            </w:r>
            <w:r>
              <w:rPr>
                <w:rFonts w:hint="eastAsia"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-3.5]分、良（3.5-2]分，中（2-1]分，差（1-</w:t>
            </w:r>
            <w:r>
              <w:rPr>
                <w:rFonts w:hint="eastAsia" w:ascii="宋体" w:hAnsi="宋体" w:eastAsia="宋体" w:cs="宋体"/>
                <w:color w:val="000000" w:themeColor="text1"/>
                <w:szCs w:val="21"/>
                <w:highlight w:val="none"/>
                <w:lang w:val="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进行评审。</w:t>
            </w:r>
          </w:p>
        </w:tc>
        <w:tc>
          <w:tcPr>
            <w:tcW w:w="910" w:type="dxa"/>
            <w:vAlign w:val="center"/>
          </w:tcPr>
          <w:p>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43" w:type="dxa"/>
            <w:vMerge w:val="continue"/>
            <w:vAlign w:val="center"/>
          </w:tcPr>
          <w:p>
            <w:pPr>
              <w:pStyle w:val="193"/>
              <w:keepNext w:val="0"/>
              <w:tabs>
                <w:tab w:val="left" w:pos="585"/>
                <w:tab w:val="left" w:pos="680"/>
              </w:tabs>
              <w:spacing w:after="0" w:line="360" w:lineRule="auto"/>
              <w:ind w:left="247"/>
              <w:jc w:val="center"/>
              <w:rPr>
                <w:rFonts w:ascii="宋体" w:hAnsi="宋体" w:cs="宋体"/>
                <w:color w:val="000000" w:themeColor="text1"/>
                <w:szCs w:val="21"/>
                <w:highlight w:val="none"/>
                <w14:textFill>
                  <w14:solidFill>
                    <w14:schemeClr w14:val="tx1"/>
                  </w14:solidFill>
                </w14:textFill>
              </w:rPr>
            </w:pPr>
          </w:p>
        </w:tc>
        <w:tc>
          <w:tcPr>
            <w:tcW w:w="896" w:type="dxa"/>
            <w:vMerge w:val="continue"/>
            <w:vAlign w:val="center"/>
          </w:tcPr>
          <w:p>
            <w:pPr>
              <w:pStyle w:val="193"/>
              <w:keepNext w:val="0"/>
              <w:tabs>
                <w:tab w:val="left" w:pos="585"/>
                <w:tab w:val="left" w:pos="680"/>
              </w:tabs>
              <w:spacing w:after="0" w:line="360" w:lineRule="auto"/>
              <w:ind w:left="247"/>
              <w:jc w:val="center"/>
              <w:rPr>
                <w:rFonts w:ascii="宋体" w:hAnsi="宋体" w:cs="宋体"/>
                <w:color w:val="000000" w:themeColor="text1"/>
                <w:szCs w:val="21"/>
                <w:highlight w:val="none"/>
                <w14:textFill>
                  <w14:solidFill>
                    <w14:schemeClr w14:val="tx1"/>
                  </w14:solidFill>
                </w14:textFill>
              </w:rPr>
            </w:pPr>
          </w:p>
        </w:tc>
        <w:tc>
          <w:tcPr>
            <w:tcW w:w="7921" w:type="dxa"/>
            <w:vAlign w:val="center"/>
          </w:tcPr>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根据投标人的检测能力进行评审，包括农药残留、兽药残留、重金属、污染物、卫生学指标（微生物）、食用油检测、黄曲霉毒素检测、水产检测，全部具备得5分，缺少一项不得分。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注：须提供检测设备的购买发票复印件并加盖投标人公章，以及提供上述八类检测的方案。</w:t>
            </w:r>
          </w:p>
        </w:tc>
        <w:tc>
          <w:tcPr>
            <w:tcW w:w="910" w:type="dxa"/>
            <w:vAlign w:val="center"/>
          </w:tcPr>
          <w:p>
            <w:pPr>
              <w:pStyle w:val="193"/>
              <w:keepNext w:val="0"/>
              <w:tabs>
                <w:tab w:val="left" w:pos="585"/>
                <w:tab w:val="left" w:pos="680"/>
              </w:tabs>
              <w:spacing w:after="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43" w:type="dxa"/>
            <w:vMerge w:val="continue"/>
            <w:vAlign w:val="center"/>
          </w:tcPr>
          <w:p>
            <w:pPr>
              <w:pStyle w:val="193"/>
              <w:keepNext w:val="0"/>
              <w:tabs>
                <w:tab w:val="left" w:pos="585"/>
                <w:tab w:val="left" w:pos="680"/>
              </w:tabs>
              <w:spacing w:after="0" w:line="360" w:lineRule="auto"/>
              <w:ind w:left="247"/>
              <w:jc w:val="center"/>
              <w:rPr>
                <w:rFonts w:ascii="宋体" w:hAnsi="宋体" w:cs="宋体"/>
                <w:color w:val="000000" w:themeColor="text1"/>
                <w:szCs w:val="21"/>
                <w:highlight w:val="none"/>
                <w14:textFill>
                  <w14:solidFill>
                    <w14:schemeClr w14:val="tx1"/>
                  </w14:solidFill>
                </w14:textFill>
              </w:rPr>
            </w:pPr>
          </w:p>
        </w:tc>
        <w:tc>
          <w:tcPr>
            <w:tcW w:w="896" w:type="dxa"/>
            <w:vMerge w:val="continue"/>
            <w:vAlign w:val="center"/>
          </w:tcPr>
          <w:p>
            <w:pPr>
              <w:pStyle w:val="193"/>
              <w:keepNext w:val="0"/>
              <w:tabs>
                <w:tab w:val="left" w:pos="585"/>
                <w:tab w:val="left" w:pos="680"/>
              </w:tabs>
              <w:spacing w:after="0" w:line="360" w:lineRule="auto"/>
              <w:ind w:left="247"/>
              <w:jc w:val="center"/>
              <w:rPr>
                <w:rFonts w:ascii="宋体" w:hAnsi="宋体" w:cs="宋体"/>
                <w:color w:val="000000" w:themeColor="text1"/>
                <w:szCs w:val="21"/>
                <w:highlight w:val="none"/>
                <w14:textFill>
                  <w14:solidFill>
                    <w14:schemeClr w14:val="tx1"/>
                  </w14:solidFill>
                </w14:textFill>
              </w:rPr>
            </w:pPr>
          </w:p>
        </w:tc>
        <w:tc>
          <w:tcPr>
            <w:tcW w:w="7921" w:type="dxa"/>
            <w:vAlign w:val="center"/>
          </w:tcPr>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根据投标人的具有检验检测机构资质认定(CMA资质)的第三方检测机构出具的以下五类食材合格检测报告(报告日期为2023年10月1日以后)进行评分：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①蔬菜类（叶菜或瓜果）检验合格的得1分；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②鲜肉类（猪或牛或羊或禽类）检验合格的得1分；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③冻品类（水产类）检验合格的得1分；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④副食品类（干货类或调味料）检验合格的得1分。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⑤粮油类（大米或食用油）检验合格的得1分。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未提供不得分。</w:t>
            </w:r>
          </w:p>
          <w:p>
            <w:pPr>
              <w:pStyle w:val="193"/>
              <w:keepNext w:val="0"/>
              <w:tabs>
                <w:tab w:val="left" w:pos="585"/>
                <w:tab w:val="left" w:pos="680"/>
              </w:tabs>
              <w:spacing w:after="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注：须提供合格的检测报告以及对应检测报告的发票复印件并加盖投标人公章。</w:t>
            </w:r>
          </w:p>
        </w:tc>
        <w:tc>
          <w:tcPr>
            <w:tcW w:w="910" w:type="dxa"/>
            <w:vAlign w:val="center"/>
          </w:tcPr>
          <w:p>
            <w:pPr>
              <w:pStyle w:val="193"/>
              <w:keepNext w:val="0"/>
              <w:tabs>
                <w:tab w:val="left" w:pos="585"/>
                <w:tab w:val="left" w:pos="680"/>
              </w:tabs>
              <w:spacing w:after="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43" w:type="dxa"/>
            <w:vAlign w:val="center"/>
          </w:tcPr>
          <w:p>
            <w:pPr>
              <w:pStyle w:val="193"/>
              <w:keepNext w:val="0"/>
              <w:tabs>
                <w:tab w:val="left" w:pos="585"/>
                <w:tab w:val="left" w:pos="680"/>
              </w:tabs>
              <w:spacing w:after="0" w:line="360" w:lineRule="auto"/>
              <w:ind w:left="247"/>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896" w:type="dxa"/>
            <w:vAlign w:val="center"/>
          </w:tcPr>
          <w:p>
            <w:pPr>
              <w:spacing w:line="360" w:lineRule="auto"/>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应急处理方案</w:t>
            </w:r>
          </w:p>
        </w:tc>
        <w:tc>
          <w:tcPr>
            <w:tcW w:w="7921" w:type="dxa"/>
            <w:vAlign w:val="center"/>
          </w:tcPr>
          <w:p>
            <w:pPr>
              <w:spacing w:line="360" w:lineRule="auto"/>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根据各投标人提供的非正常情况或突发情况下的应急处理方案进行综合评价：按优[10-8分]、良（8-6分]、中（6-4分]、差(4-0]进行评分。</w:t>
            </w:r>
          </w:p>
        </w:tc>
        <w:tc>
          <w:tcPr>
            <w:tcW w:w="910" w:type="dxa"/>
            <w:vAlign w:val="center"/>
          </w:tcPr>
          <w:p>
            <w:pPr>
              <w:spacing w:line="360" w:lineRule="auto"/>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460" w:type="dxa"/>
            <w:gridSpan w:val="3"/>
            <w:vAlign w:val="center"/>
          </w:tcPr>
          <w:p>
            <w:pPr>
              <w:spacing w:before="24" w:beforeLines="10" w:after="30" w:line="360" w:lineRule="auto"/>
              <w:ind w:left="247"/>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技术总分</w:t>
            </w:r>
          </w:p>
        </w:tc>
        <w:tc>
          <w:tcPr>
            <w:tcW w:w="910" w:type="dxa"/>
            <w:vAlign w:val="center"/>
          </w:tcPr>
          <w:p>
            <w:pPr>
              <w:spacing w:before="24" w:beforeLines="10" w:after="30" w:line="360" w:lineRule="auto"/>
              <w:ind w:left="24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40</w:t>
            </w:r>
          </w:p>
        </w:tc>
      </w:tr>
    </w:tbl>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pPr>
        <w:tabs>
          <w:tab w:val="left" w:pos="585"/>
        </w:tabs>
        <w:autoSpaceDE w:val="0"/>
        <w:autoSpaceDN w:val="0"/>
        <w:adjustRightInd w:val="0"/>
        <w:spacing w:line="400" w:lineRule="exact"/>
        <w:ind w:left="24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lang w:val="zh-CN"/>
          <w14:textFill>
            <w14:solidFill>
              <w14:schemeClr w14:val="tx1"/>
            </w14:solidFill>
          </w14:textFill>
        </w:rPr>
        <w:t>）综合得分</w:t>
      </w:r>
    </w:p>
    <w:p>
      <w:pPr>
        <w:spacing w:line="400" w:lineRule="exact"/>
        <w:ind w:left="-320"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682"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682"/>
    </w:p>
    <w:p>
      <w:pPr>
        <w:widowControl/>
        <w:autoSpaceDE w:val="0"/>
        <w:autoSpaceDN w:val="0"/>
        <w:adjustRightInd w:val="0"/>
        <w:spacing w:line="400" w:lineRule="exact"/>
        <w:ind w:left="-320"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683"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683"/>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b/>
          <w:bCs/>
          <w:color w:val="000000" w:themeColor="text1"/>
          <w:sz w:val="28"/>
          <w:szCs w:val="28"/>
          <w:highlight w:val="none"/>
          <w14:textFill>
            <w14:solidFill>
              <w14:schemeClr w14:val="tx1"/>
            </w14:solidFill>
          </w14:textFill>
        </w:rPr>
      </w:pPr>
      <w:bookmarkStart w:id="684"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w:t>
      </w:r>
      <w:r>
        <w:rPr>
          <w:rFonts w:hint="eastAsia" w:ascii="宋体" w:hAnsi="宋体" w:eastAsia="宋体" w:cs="宋体"/>
          <w:b/>
          <w:bCs/>
          <w:color w:val="000000" w:themeColor="text1"/>
          <w:sz w:val="28"/>
          <w:szCs w:val="28"/>
          <w:highlight w:val="none"/>
          <w14:textFill>
            <w14:solidFill>
              <w14:schemeClr w14:val="tx1"/>
            </w14:solidFill>
          </w14:textFill>
        </w:rPr>
        <w:t>候选</w:t>
      </w:r>
      <w:r>
        <w:rPr>
          <w:rFonts w:hint="eastAsia" w:ascii="宋体" w:hAnsi="宋体" w:eastAsia="宋体" w:cs="宋体"/>
          <w:b/>
          <w:bCs/>
          <w:color w:val="000000" w:themeColor="text1"/>
          <w:sz w:val="28"/>
          <w:szCs w:val="28"/>
          <w:highlight w:val="none"/>
          <w:lang w:val="zh-CN"/>
          <w14:textFill>
            <w14:solidFill>
              <w14:schemeClr w14:val="tx1"/>
            </w14:solidFill>
          </w14:textFill>
        </w:rPr>
        <w:t>人</w:t>
      </w:r>
      <w:bookmarkEnd w:id="684"/>
      <w:r>
        <w:rPr>
          <w:rFonts w:hint="eastAsia" w:ascii="宋体" w:hAnsi="宋体" w:eastAsia="宋体" w:cs="宋体"/>
          <w:b/>
          <w:bCs/>
          <w:color w:val="000000" w:themeColor="text1"/>
          <w:sz w:val="28"/>
          <w:szCs w:val="28"/>
          <w:highlight w:val="none"/>
          <w14:textFill>
            <w14:solidFill>
              <w14:schemeClr w14:val="tx1"/>
            </w14:solidFill>
          </w14:textFill>
        </w:rPr>
        <w:t>名单</w:t>
      </w:r>
    </w:p>
    <w:p>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如果有两个或以上的投标人的最后综合得分相同，则按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lang w:val="zh-CN"/>
          <w14:textFill>
            <w14:solidFill>
              <w14:schemeClr w14:val="tx1"/>
            </w14:solidFill>
          </w14:textFill>
        </w:rPr>
      </w:pPr>
      <w:bookmarkStart w:id="685" w:name="_Toc22724_WPSOffice_Level1"/>
    </w:p>
    <w:p>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685"/>
    </w:p>
    <w:p>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pPr>
        <w:autoSpaceDE w:val="0"/>
        <w:autoSpaceDN w:val="0"/>
        <w:adjustRightInd w:val="0"/>
        <w:spacing w:line="360" w:lineRule="auto"/>
        <w:ind w:left="247"/>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pPr>
        <w:autoSpaceDE w:val="0"/>
        <w:autoSpaceDN w:val="0"/>
        <w:adjustRightInd w:val="0"/>
        <w:spacing w:line="360" w:lineRule="auto"/>
        <w:ind w:left="24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pPr>
        <w:autoSpaceDE w:val="0"/>
        <w:autoSpaceDN w:val="0"/>
        <w:adjustRightInd w:val="0"/>
        <w:spacing w:line="360" w:lineRule="auto"/>
        <w:ind w:left="247"/>
        <w:jc w:val="center"/>
        <w:rPr>
          <w:rFonts w:ascii="宋体" w:hAnsi="宋体" w:eastAsia="宋体" w:cs="宋体"/>
          <w:b/>
          <w:bCs/>
          <w:color w:val="000000" w:themeColor="text1"/>
          <w:sz w:val="28"/>
          <w:szCs w:val="28"/>
          <w:highlight w:val="none"/>
          <w:lang w:val="zh-CN"/>
          <w14:textFill>
            <w14:solidFill>
              <w14:schemeClr w14:val="tx1"/>
            </w14:solidFill>
          </w14:textFill>
        </w:rPr>
      </w:pPr>
    </w:p>
    <w:p>
      <w:pPr>
        <w:autoSpaceDE w:val="0"/>
        <w:autoSpaceDN w:val="0"/>
        <w:adjustRightInd w:val="0"/>
        <w:spacing w:line="360" w:lineRule="auto"/>
        <w:ind w:left="247"/>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86"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686"/>
    </w:p>
    <w:p>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655"/>
      <w:bookmarkEnd w:id="663"/>
      <w:bookmarkEnd w:id="664"/>
      <w:bookmarkEnd w:id="665"/>
    </w:p>
    <w:bookmarkEnd w:id="687"/>
    <w:sectPr>
      <w:pgSz w:w="12240" w:h="15840"/>
      <w:pgMar w:top="1191" w:right="1043" w:bottom="1191" w:left="1043"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731814948" name="Text Box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J2k0NIAAAAEAQAADwAAAAAAAAABACAAAAAiAAAAZHJzL2Rvd25yZXYu&#10;eG1sUEsBAhQAFAAAAAgAh07iQHMuI30BAgAACgQAAA4AAAAAAAAAAQAgAAAAIQEAAGRycy9lMm9E&#10;b2MueG1sUEsFBgAAAAAGAAYAWQEAAJQFA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2119023450" name="Text Box 2"/>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SdpNDSAAAABAEAAA8AAAAAAAAAAQAgAAAAIgAAAGRycy9kb3ducmV2&#10;LnhtbFBLAQIUABQAAAAIAIdO4kBJ639HAgIAAAoEAAAOAAAAAAAAAAEAIAAAACEBAABkcnMvZTJv&#10;RG9jLnhtbFBLBQYAAAAABgAGAFkBAACVBQ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296545"/>
              <wp:effectExtent l="0" t="0" r="0" b="0"/>
              <wp:wrapNone/>
              <wp:docPr id="2039249348" name="Text Box 3"/>
              <wp:cNvGraphicFramePr/>
              <a:graphic xmlns:a="http://schemas.openxmlformats.org/drawingml/2006/main">
                <a:graphicData uri="http://schemas.microsoft.com/office/word/2010/wordprocessingShape">
                  <wps:wsp>
                    <wps:cNvSpPr txBox="1">
                      <a:spLocks noChangeArrowheads="1"/>
                    </wps:cNvSpPr>
                    <wps:spPr bwMode="auto">
                      <a:xfrm>
                        <a:off x="0" y="0"/>
                        <a:ext cx="972185" cy="29654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23.35pt;width:76.55pt;mso-position-horizontal:center;mso-position-horizontal-relative:margin;mso-wrap-style:none;z-index:251661312;mso-width-relative:page;mso-height-relative:page;" filled="f" stroked="f" coordsize="21600,21600" o:gfxdata="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RXvk0gAAAAQBAAAPAAAAAAAAAAEAIAAAACIAAABkcnMvZG93bnJl&#10;di54bWxQSwECFAAUAAAACACHTuJAS9IMxgMCAAAKBAAADgAAAAAAAAABACAAAAAhAQAAZHJzL2Uy&#10;b0RvYy54bWxQSwUGAAAAAAYABgBZAQAAlgU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296545"/>
              <wp:effectExtent l="0" t="0" r="0" b="0"/>
              <wp:wrapNone/>
              <wp:docPr id="741707179" name="Text Box 4"/>
              <wp:cNvGraphicFramePr/>
              <a:graphic xmlns:a="http://schemas.openxmlformats.org/drawingml/2006/main">
                <a:graphicData uri="http://schemas.microsoft.com/office/word/2010/wordprocessingShape">
                  <wps:wsp>
                    <wps:cNvSpPr txBox="1">
                      <a:spLocks noChangeArrowheads="1"/>
                    </wps:cNvSpPr>
                    <wps:spPr bwMode="auto">
                      <a:xfrm>
                        <a:off x="0" y="0"/>
                        <a:ext cx="972185" cy="29654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35pt;width:76.55pt;mso-position-horizontal:center;mso-position-horizontal-relative:margin;mso-wrap-style:none;z-index:251662336;mso-width-relative:page;mso-height-relative:page;" filled="f" stroked="f" coordsize="21600,21600" o:gfxdata="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9Fe+TSAAAABAEAAA8AAAAAAAAAAQAgAAAAIgAAAGRycy9kb3ducmV2&#10;LnhtbFBLAQIUABQAAAAIAIdO4kBOG5VtAgIAAAkEAAAOAAAAAAAAAAEAIAAAACEBAABkcnMvZTJv&#10;RG9jLnhtbFBLBQYAAAAABgAGAFkBAACVBQ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2185" cy="296545"/>
              <wp:effectExtent l="0" t="0" r="635" b="2540"/>
              <wp:wrapNone/>
              <wp:docPr id="1711085719"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2185" cy="29654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23.35pt;width:76.55pt;mso-position-horizontal:center;mso-position-horizontal-relative:margin;mso-wrap-style:none;z-index:251663360;mso-width-relative:page;mso-height-relative:page;" filled="f" stroked="f" coordsize="21600,21600" o:gfxdata="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9Fe+TSAAAABAEAAA8AAAAAAAAAAQAgAAAAIgAAAGRycy9kb3ducmV2&#10;LnhtbFBLAQIUABQAAAAIAIdO4kAsHLLxAgIAAAoEAAAOAAAAAAAAAAEAIAAAACEBAABkcnMvZTJv&#10;RG9jLnhtbFBLBQYAAAAABgAGAFkBAACVBQ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hAnsi="宋体" w:cs="宋体"/>
        <w:sz w:val="21"/>
        <w:szCs w:val="21"/>
      </w:rPr>
      <w:t xml:space="preserve">东莞市水务集团有限公司采购代理协议服务项目                    广东泰通伟业工程咨询有限公司                                                </w:t>
    </w:r>
  </w:p>
  <w:p>
    <w:pPr>
      <w:pStyle w:val="2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9CD41"/>
    <w:multiLevelType w:val="singleLevel"/>
    <w:tmpl w:val="97D9CD41"/>
    <w:lvl w:ilvl="0" w:tentative="0">
      <w:start w:val="1"/>
      <w:numFmt w:val="decimal"/>
      <w:lvlText w:val="%1."/>
      <w:lvlJc w:val="left"/>
      <w:pPr>
        <w:tabs>
          <w:tab w:val="left" w:pos="312"/>
        </w:tabs>
      </w:pPr>
    </w:lvl>
  </w:abstractNum>
  <w:abstractNum w:abstractNumId="1">
    <w:nsid w:val="BBFE070E"/>
    <w:multiLevelType w:val="singleLevel"/>
    <w:tmpl w:val="BBFE070E"/>
    <w:lvl w:ilvl="0" w:tentative="0">
      <w:start w:val="13"/>
      <w:numFmt w:val="chineseCounting"/>
      <w:suff w:val="nothing"/>
      <w:lvlText w:val="%1、"/>
      <w:lvlJc w:val="left"/>
      <w:rPr>
        <w:rFonts w:hint="eastAsia"/>
      </w:rPr>
    </w:lvl>
  </w:abstractNum>
  <w:abstractNum w:abstractNumId="2">
    <w:nsid w:val="ED2347F4"/>
    <w:multiLevelType w:val="singleLevel"/>
    <w:tmpl w:val="ED2347F4"/>
    <w:lvl w:ilvl="0" w:tentative="0">
      <w:start w:val="1"/>
      <w:numFmt w:val="decimal"/>
      <w:suff w:val="nothing"/>
      <w:lvlText w:val="（%1）"/>
      <w:lvlJc w:val="left"/>
    </w:lvl>
  </w:abstractNum>
  <w:abstractNum w:abstractNumId="3">
    <w:nsid w:val="F7BE8E2D"/>
    <w:multiLevelType w:val="singleLevel"/>
    <w:tmpl w:val="F7BE8E2D"/>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DczNzc4NWJiMTM1NGU3ZmNlNjVkZDc5MzE0MDg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1B8"/>
    <w:rsid w:val="00086A07"/>
    <w:rsid w:val="00086BE3"/>
    <w:rsid w:val="00094AF8"/>
    <w:rsid w:val="000A31BD"/>
    <w:rsid w:val="000A34F7"/>
    <w:rsid w:val="000A52CF"/>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6292"/>
    <w:rsid w:val="0010738F"/>
    <w:rsid w:val="0011440A"/>
    <w:rsid w:val="00114519"/>
    <w:rsid w:val="001233ED"/>
    <w:rsid w:val="00127946"/>
    <w:rsid w:val="00131E91"/>
    <w:rsid w:val="00132CA9"/>
    <w:rsid w:val="00133F69"/>
    <w:rsid w:val="001379B2"/>
    <w:rsid w:val="00142F40"/>
    <w:rsid w:val="001450A8"/>
    <w:rsid w:val="00151EE4"/>
    <w:rsid w:val="001523C0"/>
    <w:rsid w:val="00152F07"/>
    <w:rsid w:val="00154C0B"/>
    <w:rsid w:val="0015711A"/>
    <w:rsid w:val="00157BF7"/>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51EB"/>
    <w:rsid w:val="001C6FAA"/>
    <w:rsid w:val="001D00B3"/>
    <w:rsid w:val="001D0F5A"/>
    <w:rsid w:val="001D5A65"/>
    <w:rsid w:val="001D6B15"/>
    <w:rsid w:val="001E0CD1"/>
    <w:rsid w:val="001E4158"/>
    <w:rsid w:val="001E6227"/>
    <w:rsid w:val="001E63B6"/>
    <w:rsid w:val="001E6DD8"/>
    <w:rsid w:val="001F0290"/>
    <w:rsid w:val="001F0F94"/>
    <w:rsid w:val="001F51B5"/>
    <w:rsid w:val="001F6A01"/>
    <w:rsid w:val="00202DB9"/>
    <w:rsid w:val="002122DE"/>
    <w:rsid w:val="00215B7A"/>
    <w:rsid w:val="00223D5B"/>
    <w:rsid w:val="0022528C"/>
    <w:rsid w:val="002258BB"/>
    <w:rsid w:val="00225B7D"/>
    <w:rsid w:val="002260FC"/>
    <w:rsid w:val="002315B7"/>
    <w:rsid w:val="002347FE"/>
    <w:rsid w:val="0024360C"/>
    <w:rsid w:val="002451A7"/>
    <w:rsid w:val="00247373"/>
    <w:rsid w:val="00253C87"/>
    <w:rsid w:val="00255124"/>
    <w:rsid w:val="00260C05"/>
    <w:rsid w:val="00261575"/>
    <w:rsid w:val="00262407"/>
    <w:rsid w:val="00275E0E"/>
    <w:rsid w:val="0028146F"/>
    <w:rsid w:val="002831F6"/>
    <w:rsid w:val="00290CBF"/>
    <w:rsid w:val="0029590E"/>
    <w:rsid w:val="002A30DE"/>
    <w:rsid w:val="002A3EB3"/>
    <w:rsid w:val="002A78EC"/>
    <w:rsid w:val="002B1734"/>
    <w:rsid w:val="002B32BF"/>
    <w:rsid w:val="002B5DBC"/>
    <w:rsid w:val="002B7423"/>
    <w:rsid w:val="002B7CA9"/>
    <w:rsid w:val="002C120C"/>
    <w:rsid w:val="002C1E75"/>
    <w:rsid w:val="002C4A4A"/>
    <w:rsid w:val="002D0003"/>
    <w:rsid w:val="002D1442"/>
    <w:rsid w:val="002E4079"/>
    <w:rsid w:val="002E7CD6"/>
    <w:rsid w:val="002F68EE"/>
    <w:rsid w:val="002F7DEF"/>
    <w:rsid w:val="003014E2"/>
    <w:rsid w:val="00302D85"/>
    <w:rsid w:val="0030753D"/>
    <w:rsid w:val="00307FA7"/>
    <w:rsid w:val="0031051A"/>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2FCF"/>
    <w:rsid w:val="00353707"/>
    <w:rsid w:val="00354BE6"/>
    <w:rsid w:val="0035524D"/>
    <w:rsid w:val="00357E51"/>
    <w:rsid w:val="003628C2"/>
    <w:rsid w:val="00364854"/>
    <w:rsid w:val="00366BB7"/>
    <w:rsid w:val="003721DF"/>
    <w:rsid w:val="003748D5"/>
    <w:rsid w:val="0037694B"/>
    <w:rsid w:val="00381CA0"/>
    <w:rsid w:val="00381E11"/>
    <w:rsid w:val="003824D1"/>
    <w:rsid w:val="00393CBD"/>
    <w:rsid w:val="00395C76"/>
    <w:rsid w:val="003A2B25"/>
    <w:rsid w:val="003A5520"/>
    <w:rsid w:val="003B077B"/>
    <w:rsid w:val="003B3342"/>
    <w:rsid w:val="003B5C9C"/>
    <w:rsid w:val="003B65D7"/>
    <w:rsid w:val="003B79B6"/>
    <w:rsid w:val="003C193B"/>
    <w:rsid w:val="003C2FB5"/>
    <w:rsid w:val="003D0D72"/>
    <w:rsid w:val="003D17A4"/>
    <w:rsid w:val="003D39E2"/>
    <w:rsid w:val="003D3F68"/>
    <w:rsid w:val="003E006E"/>
    <w:rsid w:val="003E30F8"/>
    <w:rsid w:val="003E399E"/>
    <w:rsid w:val="003E6830"/>
    <w:rsid w:val="003E7652"/>
    <w:rsid w:val="003F288F"/>
    <w:rsid w:val="003F3875"/>
    <w:rsid w:val="003F42C0"/>
    <w:rsid w:val="003F51B0"/>
    <w:rsid w:val="004033E1"/>
    <w:rsid w:val="00405E84"/>
    <w:rsid w:val="0040607F"/>
    <w:rsid w:val="00417860"/>
    <w:rsid w:val="00420A7A"/>
    <w:rsid w:val="004235AF"/>
    <w:rsid w:val="00424962"/>
    <w:rsid w:val="0042558D"/>
    <w:rsid w:val="00427A89"/>
    <w:rsid w:val="0043107A"/>
    <w:rsid w:val="00432C43"/>
    <w:rsid w:val="004359C6"/>
    <w:rsid w:val="004360FC"/>
    <w:rsid w:val="004378C7"/>
    <w:rsid w:val="00437B9C"/>
    <w:rsid w:val="00437FC4"/>
    <w:rsid w:val="00441805"/>
    <w:rsid w:val="0044361E"/>
    <w:rsid w:val="004518C8"/>
    <w:rsid w:val="004551D1"/>
    <w:rsid w:val="00456F4B"/>
    <w:rsid w:val="0045753C"/>
    <w:rsid w:val="004577C3"/>
    <w:rsid w:val="0046038A"/>
    <w:rsid w:val="00460F3E"/>
    <w:rsid w:val="00464570"/>
    <w:rsid w:val="00474DA9"/>
    <w:rsid w:val="004761B2"/>
    <w:rsid w:val="00481AFA"/>
    <w:rsid w:val="0049337D"/>
    <w:rsid w:val="004A766F"/>
    <w:rsid w:val="004B093D"/>
    <w:rsid w:val="004B5B77"/>
    <w:rsid w:val="004B604C"/>
    <w:rsid w:val="004D6150"/>
    <w:rsid w:val="004E4ADE"/>
    <w:rsid w:val="004E5028"/>
    <w:rsid w:val="004E5F4E"/>
    <w:rsid w:val="004E7973"/>
    <w:rsid w:val="004F2802"/>
    <w:rsid w:val="004F79FD"/>
    <w:rsid w:val="00500B9E"/>
    <w:rsid w:val="00503499"/>
    <w:rsid w:val="00506501"/>
    <w:rsid w:val="00507BC4"/>
    <w:rsid w:val="00513DB6"/>
    <w:rsid w:val="00524E92"/>
    <w:rsid w:val="00531E28"/>
    <w:rsid w:val="005344B1"/>
    <w:rsid w:val="005409F9"/>
    <w:rsid w:val="005423E7"/>
    <w:rsid w:val="00547325"/>
    <w:rsid w:val="005548FB"/>
    <w:rsid w:val="005572B4"/>
    <w:rsid w:val="0056010A"/>
    <w:rsid w:val="00563302"/>
    <w:rsid w:val="00565AC5"/>
    <w:rsid w:val="00566098"/>
    <w:rsid w:val="00571307"/>
    <w:rsid w:val="005743EA"/>
    <w:rsid w:val="00576F2E"/>
    <w:rsid w:val="00581210"/>
    <w:rsid w:val="00581FC3"/>
    <w:rsid w:val="005832B2"/>
    <w:rsid w:val="005851F1"/>
    <w:rsid w:val="005910B4"/>
    <w:rsid w:val="00596A23"/>
    <w:rsid w:val="005B735D"/>
    <w:rsid w:val="005C0469"/>
    <w:rsid w:val="005C4A71"/>
    <w:rsid w:val="005C6F40"/>
    <w:rsid w:val="005D044E"/>
    <w:rsid w:val="005D4119"/>
    <w:rsid w:val="005D66C2"/>
    <w:rsid w:val="005E2AC9"/>
    <w:rsid w:val="005E4D67"/>
    <w:rsid w:val="005F3D7C"/>
    <w:rsid w:val="00602D7E"/>
    <w:rsid w:val="00603BD0"/>
    <w:rsid w:val="0060555D"/>
    <w:rsid w:val="00606161"/>
    <w:rsid w:val="006062B3"/>
    <w:rsid w:val="00612EB1"/>
    <w:rsid w:val="0061352C"/>
    <w:rsid w:val="006148FC"/>
    <w:rsid w:val="006165C8"/>
    <w:rsid w:val="006175B4"/>
    <w:rsid w:val="00617AAD"/>
    <w:rsid w:val="00621CDC"/>
    <w:rsid w:val="006229B2"/>
    <w:rsid w:val="00625E3D"/>
    <w:rsid w:val="00630B61"/>
    <w:rsid w:val="006402A6"/>
    <w:rsid w:val="00644B65"/>
    <w:rsid w:val="006530F8"/>
    <w:rsid w:val="006537BE"/>
    <w:rsid w:val="00663763"/>
    <w:rsid w:val="006654C0"/>
    <w:rsid w:val="00670073"/>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373C"/>
    <w:rsid w:val="006F6DB2"/>
    <w:rsid w:val="00704B3A"/>
    <w:rsid w:val="00710CF8"/>
    <w:rsid w:val="00711E08"/>
    <w:rsid w:val="007138FD"/>
    <w:rsid w:val="00716BB1"/>
    <w:rsid w:val="007172FD"/>
    <w:rsid w:val="007200C8"/>
    <w:rsid w:val="007215F6"/>
    <w:rsid w:val="00721BAA"/>
    <w:rsid w:val="00730D9F"/>
    <w:rsid w:val="00730FE4"/>
    <w:rsid w:val="00745968"/>
    <w:rsid w:val="00747A3E"/>
    <w:rsid w:val="007632F2"/>
    <w:rsid w:val="007730C9"/>
    <w:rsid w:val="00775150"/>
    <w:rsid w:val="00776B48"/>
    <w:rsid w:val="0078099D"/>
    <w:rsid w:val="00787DE8"/>
    <w:rsid w:val="0079212B"/>
    <w:rsid w:val="007942D8"/>
    <w:rsid w:val="00794983"/>
    <w:rsid w:val="00796ED7"/>
    <w:rsid w:val="007A7740"/>
    <w:rsid w:val="007B1976"/>
    <w:rsid w:val="007B3E3C"/>
    <w:rsid w:val="007B4F1D"/>
    <w:rsid w:val="007C002A"/>
    <w:rsid w:val="007C024B"/>
    <w:rsid w:val="007C2391"/>
    <w:rsid w:val="007D408A"/>
    <w:rsid w:val="007D4A5A"/>
    <w:rsid w:val="007D6B20"/>
    <w:rsid w:val="007E026D"/>
    <w:rsid w:val="007E0673"/>
    <w:rsid w:val="007E32FC"/>
    <w:rsid w:val="007E6C56"/>
    <w:rsid w:val="007F01A2"/>
    <w:rsid w:val="007F0378"/>
    <w:rsid w:val="007F0FB2"/>
    <w:rsid w:val="007F2315"/>
    <w:rsid w:val="007F2ABC"/>
    <w:rsid w:val="007F7FEC"/>
    <w:rsid w:val="0081027D"/>
    <w:rsid w:val="00817B3D"/>
    <w:rsid w:val="00822299"/>
    <w:rsid w:val="008270D5"/>
    <w:rsid w:val="008279A7"/>
    <w:rsid w:val="00831B7F"/>
    <w:rsid w:val="008377B5"/>
    <w:rsid w:val="00844CAA"/>
    <w:rsid w:val="0085250F"/>
    <w:rsid w:val="008525D6"/>
    <w:rsid w:val="0085388E"/>
    <w:rsid w:val="00856F5E"/>
    <w:rsid w:val="008604D1"/>
    <w:rsid w:val="008659E9"/>
    <w:rsid w:val="0087095D"/>
    <w:rsid w:val="00871835"/>
    <w:rsid w:val="00871F12"/>
    <w:rsid w:val="00872F74"/>
    <w:rsid w:val="00875420"/>
    <w:rsid w:val="00876184"/>
    <w:rsid w:val="00880A50"/>
    <w:rsid w:val="00884732"/>
    <w:rsid w:val="0089007C"/>
    <w:rsid w:val="008928AE"/>
    <w:rsid w:val="00892BA7"/>
    <w:rsid w:val="00893092"/>
    <w:rsid w:val="00894583"/>
    <w:rsid w:val="008A0315"/>
    <w:rsid w:val="008A4C9B"/>
    <w:rsid w:val="008B08C5"/>
    <w:rsid w:val="008B4E61"/>
    <w:rsid w:val="008B6384"/>
    <w:rsid w:val="008B6557"/>
    <w:rsid w:val="008B74A7"/>
    <w:rsid w:val="008C02C2"/>
    <w:rsid w:val="008C1CB3"/>
    <w:rsid w:val="008C33B1"/>
    <w:rsid w:val="008C7F21"/>
    <w:rsid w:val="008D1795"/>
    <w:rsid w:val="008D4357"/>
    <w:rsid w:val="008D565D"/>
    <w:rsid w:val="008D6357"/>
    <w:rsid w:val="008D78DE"/>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64"/>
    <w:rsid w:val="00925D9A"/>
    <w:rsid w:val="00926978"/>
    <w:rsid w:val="00932BD9"/>
    <w:rsid w:val="00933612"/>
    <w:rsid w:val="0094670F"/>
    <w:rsid w:val="009479D0"/>
    <w:rsid w:val="00954D5D"/>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163A4"/>
    <w:rsid w:val="00A311C2"/>
    <w:rsid w:val="00A32233"/>
    <w:rsid w:val="00A36A24"/>
    <w:rsid w:val="00A376FB"/>
    <w:rsid w:val="00A45306"/>
    <w:rsid w:val="00A45D73"/>
    <w:rsid w:val="00A51CF6"/>
    <w:rsid w:val="00A60DEB"/>
    <w:rsid w:val="00A62F8C"/>
    <w:rsid w:val="00A64725"/>
    <w:rsid w:val="00A648B5"/>
    <w:rsid w:val="00A6666A"/>
    <w:rsid w:val="00A73490"/>
    <w:rsid w:val="00A819B6"/>
    <w:rsid w:val="00A91C8B"/>
    <w:rsid w:val="00A95824"/>
    <w:rsid w:val="00AB2EDC"/>
    <w:rsid w:val="00AB47F4"/>
    <w:rsid w:val="00AC136E"/>
    <w:rsid w:val="00AC1F6A"/>
    <w:rsid w:val="00AC3E90"/>
    <w:rsid w:val="00AC413D"/>
    <w:rsid w:val="00AD3A9D"/>
    <w:rsid w:val="00AD79D3"/>
    <w:rsid w:val="00AE5434"/>
    <w:rsid w:val="00AE6DBF"/>
    <w:rsid w:val="00AE75DB"/>
    <w:rsid w:val="00AF5EBE"/>
    <w:rsid w:val="00B0092D"/>
    <w:rsid w:val="00B01C60"/>
    <w:rsid w:val="00B01D22"/>
    <w:rsid w:val="00B03A00"/>
    <w:rsid w:val="00B0445D"/>
    <w:rsid w:val="00B0447C"/>
    <w:rsid w:val="00B05E53"/>
    <w:rsid w:val="00B072AA"/>
    <w:rsid w:val="00B10650"/>
    <w:rsid w:val="00B10E08"/>
    <w:rsid w:val="00B11436"/>
    <w:rsid w:val="00B12341"/>
    <w:rsid w:val="00B25D19"/>
    <w:rsid w:val="00B353B9"/>
    <w:rsid w:val="00B359D9"/>
    <w:rsid w:val="00B35BC7"/>
    <w:rsid w:val="00B40B8B"/>
    <w:rsid w:val="00B4404D"/>
    <w:rsid w:val="00B50993"/>
    <w:rsid w:val="00B63168"/>
    <w:rsid w:val="00B63E9B"/>
    <w:rsid w:val="00B641FD"/>
    <w:rsid w:val="00B64963"/>
    <w:rsid w:val="00B70085"/>
    <w:rsid w:val="00B7099F"/>
    <w:rsid w:val="00B71873"/>
    <w:rsid w:val="00B72A5D"/>
    <w:rsid w:val="00B736B7"/>
    <w:rsid w:val="00B73C45"/>
    <w:rsid w:val="00B82E01"/>
    <w:rsid w:val="00B84DD7"/>
    <w:rsid w:val="00B87BE2"/>
    <w:rsid w:val="00B91811"/>
    <w:rsid w:val="00B94460"/>
    <w:rsid w:val="00B9561A"/>
    <w:rsid w:val="00B97B59"/>
    <w:rsid w:val="00BA437F"/>
    <w:rsid w:val="00BA5C29"/>
    <w:rsid w:val="00BB6C9A"/>
    <w:rsid w:val="00BC0594"/>
    <w:rsid w:val="00BC07C4"/>
    <w:rsid w:val="00BC11FC"/>
    <w:rsid w:val="00BC1BEF"/>
    <w:rsid w:val="00BC1F54"/>
    <w:rsid w:val="00BC4C9D"/>
    <w:rsid w:val="00BC54FC"/>
    <w:rsid w:val="00BD2118"/>
    <w:rsid w:val="00BD329D"/>
    <w:rsid w:val="00BD5092"/>
    <w:rsid w:val="00BD5997"/>
    <w:rsid w:val="00BE6F50"/>
    <w:rsid w:val="00BF1BA3"/>
    <w:rsid w:val="00BF2C89"/>
    <w:rsid w:val="00BF588D"/>
    <w:rsid w:val="00C03447"/>
    <w:rsid w:val="00C057B9"/>
    <w:rsid w:val="00C07EF5"/>
    <w:rsid w:val="00C128FE"/>
    <w:rsid w:val="00C13304"/>
    <w:rsid w:val="00C14DC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1B5"/>
    <w:rsid w:val="00C756C3"/>
    <w:rsid w:val="00C80F66"/>
    <w:rsid w:val="00C83FB9"/>
    <w:rsid w:val="00C84AE8"/>
    <w:rsid w:val="00C85D1B"/>
    <w:rsid w:val="00C929A0"/>
    <w:rsid w:val="00C96DDA"/>
    <w:rsid w:val="00CA7F1F"/>
    <w:rsid w:val="00CB5D3E"/>
    <w:rsid w:val="00CC4C46"/>
    <w:rsid w:val="00CC6AAB"/>
    <w:rsid w:val="00CC77FF"/>
    <w:rsid w:val="00CC7CF5"/>
    <w:rsid w:val="00CE3C5A"/>
    <w:rsid w:val="00CE4922"/>
    <w:rsid w:val="00CE59C6"/>
    <w:rsid w:val="00CE7586"/>
    <w:rsid w:val="00D03659"/>
    <w:rsid w:val="00D03EDF"/>
    <w:rsid w:val="00D10DC0"/>
    <w:rsid w:val="00D11555"/>
    <w:rsid w:val="00D1375F"/>
    <w:rsid w:val="00D13D6D"/>
    <w:rsid w:val="00D20C74"/>
    <w:rsid w:val="00D24FD7"/>
    <w:rsid w:val="00D25647"/>
    <w:rsid w:val="00D27F69"/>
    <w:rsid w:val="00D34FE4"/>
    <w:rsid w:val="00D35FF6"/>
    <w:rsid w:val="00D377A7"/>
    <w:rsid w:val="00D4308A"/>
    <w:rsid w:val="00D44C95"/>
    <w:rsid w:val="00D452A7"/>
    <w:rsid w:val="00D4584F"/>
    <w:rsid w:val="00D54725"/>
    <w:rsid w:val="00D559FF"/>
    <w:rsid w:val="00D62B8C"/>
    <w:rsid w:val="00D63276"/>
    <w:rsid w:val="00D66F39"/>
    <w:rsid w:val="00D70BC6"/>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D6ECF"/>
    <w:rsid w:val="00DE5E58"/>
    <w:rsid w:val="00DE7B46"/>
    <w:rsid w:val="00DF46CC"/>
    <w:rsid w:val="00E0162C"/>
    <w:rsid w:val="00E01977"/>
    <w:rsid w:val="00E11487"/>
    <w:rsid w:val="00E14ACC"/>
    <w:rsid w:val="00E15A8C"/>
    <w:rsid w:val="00E25B76"/>
    <w:rsid w:val="00E3707A"/>
    <w:rsid w:val="00E4144C"/>
    <w:rsid w:val="00E44F84"/>
    <w:rsid w:val="00E463C6"/>
    <w:rsid w:val="00E53121"/>
    <w:rsid w:val="00E5318E"/>
    <w:rsid w:val="00E53532"/>
    <w:rsid w:val="00E6034D"/>
    <w:rsid w:val="00E71967"/>
    <w:rsid w:val="00E754B1"/>
    <w:rsid w:val="00E801B5"/>
    <w:rsid w:val="00E841D7"/>
    <w:rsid w:val="00E905E8"/>
    <w:rsid w:val="00E93F56"/>
    <w:rsid w:val="00E952D9"/>
    <w:rsid w:val="00E96773"/>
    <w:rsid w:val="00E97CB9"/>
    <w:rsid w:val="00EA6CF3"/>
    <w:rsid w:val="00EB27E9"/>
    <w:rsid w:val="00EB37C9"/>
    <w:rsid w:val="00EC134E"/>
    <w:rsid w:val="00EC7209"/>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910"/>
    <w:rsid w:val="00F41A5D"/>
    <w:rsid w:val="00F42259"/>
    <w:rsid w:val="00F470A2"/>
    <w:rsid w:val="00F51F93"/>
    <w:rsid w:val="00F552E5"/>
    <w:rsid w:val="00F56AA8"/>
    <w:rsid w:val="00F6445E"/>
    <w:rsid w:val="00F67C91"/>
    <w:rsid w:val="00F723F9"/>
    <w:rsid w:val="00F736E8"/>
    <w:rsid w:val="00F82315"/>
    <w:rsid w:val="00F83D3C"/>
    <w:rsid w:val="00F840D6"/>
    <w:rsid w:val="00F8691C"/>
    <w:rsid w:val="00F900BE"/>
    <w:rsid w:val="00F90F32"/>
    <w:rsid w:val="00F97392"/>
    <w:rsid w:val="00F97DF6"/>
    <w:rsid w:val="00FA3DA8"/>
    <w:rsid w:val="00FA4EEC"/>
    <w:rsid w:val="00FB335B"/>
    <w:rsid w:val="00FB4EAA"/>
    <w:rsid w:val="00FC5512"/>
    <w:rsid w:val="00FC6366"/>
    <w:rsid w:val="00FD0CD9"/>
    <w:rsid w:val="00FD4970"/>
    <w:rsid w:val="00FD6927"/>
    <w:rsid w:val="00FE02D9"/>
    <w:rsid w:val="00FE14F9"/>
    <w:rsid w:val="00FE5224"/>
    <w:rsid w:val="00FF2EFF"/>
    <w:rsid w:val="00FF4843"/>
    <w:rsid w:val="00FF5EEA"/>
    <w:rsid w:val="0101237C"/>
    <w:rsid w:val="01057F1E"/>
    <w:rsid w:val="011B2144"/>
    <w:rsid w:val="013226CF"/>
    <w:rsid w:val="016E5688"/>
    <w:rsid w:val="01967DCC"/>
    <w:rsid w:val="01E176B5"/>
    <w:rsid w:val="01EA0118"/>
    <w:rsid w:val="02615689"/>
    <w:rsid w:val="02B811DD"/>
    <w:rsid w:val="02C92423"/>
    <w:rsid w:val="02D41D88"/>
    <w:rsid w:val="02FD25C0"/>
    <w:rsid w:val="03124008"/>
    <w:rsid w:val="0383779E"/>
    <w:rsid w:val="038C2D03"/>
    <w:rsid w:val="03C638F5"/>
    <w:rsid w:val="03E12F49"/>
    <w:rsid w:val="044E498E"/>
    <w:rsid w:val="046046C1"/>
    <w:rsid w:val="046248DD"/>
    <w:rsid w:val="04820ADC"/>
    <w:rsid w:val="04A15406"/>
    <w:rsid w:val="04B52C5F"/>
    <w:rsid w:val="04C14B1F"/>
    <w:rsid w:val="04D13BD5"/>
    <w:rsid w:val="04E01380"/>
    <w:rsid w:val="04FA4B16"/>
    <w:rsid w:val="05153D1D"/>
    <w:rsid w:val="05222520"/>
    <w:rsid w:val="05687A28"/>
    <w:rsid w:val="058F7720"/>
    <w:rsid w:val="05923BBE"/>
    <w:rsid w:val="05A0746B"/>
    <w:rsid w:val="05C3315A"/>
    <w:rsid w:val="05E26A36"/>
    <w:rsid w:val="05FD1736"/>
    <w:rsid w:val="060774EA"/>
    <w:rsid w:val="060D1346"/>
    <w:rsid w:val="062E17A6"/>
    <w:rsid w:val="063B0749"/>
    <w:rsid w:val="06416AF5"/>
    <w:rsid w:val="066A35E1"/>
    <w:rsid w:val="068F06C2"/>
    <w:rsid w:val="069437E3"/>
    <w:rsid w:val="069B46AA"/>
    <w:rsid w:val="06A75D00"/>
    <w:rsid w:val="06FA5404"/>
    <w:rsid w:val="07046D57"/>
    <w:rsid w:val="071756D0"/>
    <w:rsid w:val="074C3905"/>
    <w:rsid w:val="07841D7B"/>
    <w:rsid w:val="079466F6"/>
    <w:rsid w:val="07CF31BA"/>
    <w:rsid w:val="08350697"/>
    <w:rsid w:val="088D6E4C"/>
    <w:rsid w:val="088E6E07"/>
    <w:rsid w:val="08AB6853"/>
    <w:rsid w:val="08C23B9D"/>
    <w:rsid w:val="08CE0793"/>
    <w:rsid w:val="08DC4C5E"/>
    <w:rsid w:val="08E16B89"/>
    <w:rsid w:val="08F57ACE"/>
    <w:rsid w:val="091A625A"/>
    <w:rsid w:val="092C5630"/>
    <w:rsid w:val="096576D1"/>
    <w:rsid w:val="0988739D"/>
    <w:rsid w:val="098D703C"/>
    <w:rsid w:val="09A77BE3"/>
    <w:rsid w:val="0A4A3E4A"/>
    <w:rsid w:val="0AAE262A"/>
    <w:rsid w:val="0ADF27E4"/>
    <w:rsid w:val="0AFA1004"/>
    <w:rsid w:val="0B325009"/>
    <w:rsid w:val="0B621790"/>
    <w:rsid w:val="0B9610F4"/>
    <w:rsid w:val="0BA47589"/>
    <w:rsid w:val="0BCD088E"/>
    <w:rsid w:val="0BFF27E5"/>
    <w:rsid w:val="0C071EC6"/>
    <w:rsid w:val="0C085D6A"/>
    <w:rsid w:val="0C0D1E49"/>
    <w:rsid w:val="0C3E0055"/>
    <w:rsid w:val="0C950B29"/>
    <w:rsid w:val="0C987742"/>
    <w:rsid w:val="0C9C67E5"/>
    <w:rsid w:val="0CA8524F"/>
    <w:rsid w:val="0CD935C3"/>
    <w:rsid w:val="0D0273AB"/>
    <w:rsid w:val="0D211A66"/>
    <w:rsid w:val="0D7613D0"/>
    <w:rsid w:val="0D872580"/>
    <w:rsid w:val="0DCB6F7B"/>
    <w:rsid w:val="0DCE0778"/>
    <w:rsid w:val="0DD84FC2"/>
    <w:rsid w:val="0DF06AB6"/>
    <w:rsid w:val="0DFC545B"/>
    <w:rsid w:val="0E5B1A14"/>
    <w:rsid w:val="0E884F40"/>
    <w:rsid w:val="0EA91DE5"/>
    <w:rsid w:val="0EAF6971"/>
    <w:rsid w:val="0F0767AD"/>
    <w:rsid w:val="0F19203C"/>
    <w:rsid w:val="0F241091"/>
    <w:rsid w:val="0F390A43"/>
    <w:rsid w:val="0F930041"/>
    <w:rsid w:val="0FA36D3D"/>
    <w:rsid w:val="0FCD5301"/>
    <w:rsid w:val="0FD15FED"/>
    <w:rsid w:val="0FEB2295"/>
    <w:rsid w:val="0FFF0CB6"/>
    <w:rsid w:val="10135B48"/>
    <w:rsid w:val="10274A79"/>
    <w:rsid w:val="109A0CCD"/>
    <w:rsid w:val="10BC03C7"/>
    <w:rsid w:val="10C20BDE"/>
    <w:rsid w:val="11001706"/>
    <w:rsid w:val="112D6FC2"/>
    <w:rsid w:val="11427629"/>
    <w:rsid w:val="11C73FD2"/>
    <w:rsid w:val="11D82916"/>
    <w:rsid w:val="11EE77B0"/>
    <w:rsid w:val="120F3A28"/>
    <w:rsid w:val="123314AD"/>
    <w:rsid w:val="123D6042"/>
    <w:rsid w:val="124C123D"/>
    <w:rsid w:val="12521AED"/>
    <w:rsid w:val="12584489"/>
    <w:rsid w:val="126E58D4"/>
    <w:rsid w:val="127A5249"/>
    <w:rsid w:val="12983341"/>
    <w:rsid w:val="12A12A75"/>
    <w:rsid w:val="12CA3D79"/>
    <w:rsid w:val="130F4961"/>
    <w:rsid w:val="130F4A87"/>
    <w:rsid w:val="133E2592"/>
    <w:rsid w:val="1353662D"/>
    <w:rsid w:val="138A175B"/>
    <w:rsid w:val="13A42943"/>
    <w:rsid w:val="14116D82"/>
    <w:rsid w:val="14227173"/>
    <w:rsid w:val="14237C67"/>
    <w:rsid w:val="14282C58"/>
    <w:rsid w:val="143C4803"/>
    <w:rsid w:val="144B79E3"/>
    <w:rsid w:val="14660D3C"/>
    <w:rsid w:val="14A76864"/>
    <w:rsid w:val="14D02DF5"/>
    <w:rsid w:val="14E465C5"/>
    <w:rsid w:val="15113EE2"/>
    <w:rsid w:val="15875F52"/>
    <w:rsid w:val="159D260E"/>
    <w:rsid w:val="15A13C38"/>
    <w:rsid w:val="15E06325"/>
    <w:rsid w:val="163A5B6F"/>
    <w:rsid w:val="164B51D1"/>
    <w:rsid w:val="165A2530"/>
    <w:rsid w:val="16A02D2B"/>
    <w:rsid w:val="16AA3D7D"/>
    <w:rsid w:val="16B60189"/>
    <w:rsid w:val="16BE59A3"/>
    <w:rsid w:val="16BF796D"/>
    <w:rsid w:val="16C956B3"/>
    <w:rsid w:val="16CD208A"/>
    <w:rsid w:val="16DF6DDB"/>
    <w:rsid w:val="174116A4"/>
    <w:rsid w:val="175045F4"/>
    <w:rsid w:val="178F57E7"/>
    <w:rsid w:val="17B9616B"/>
    <w:rsid w:val="17C92852"/>
    <w:rsid w:val="17F11DA8"/>
    <w:rsid w:val="18056545"/>
    <w:rsid w:val="180B10BC"/>
    <w:rsid w:val="1814331C"/>
    <w:rsid w:val="182745FA"/>
    <w:rsid w:val="18866995"/>
    <w:rsid w:val="18B643C7"/>
    <w:rsid w:val="18DF05E5"/>
    <w:rsid w:val="18E1409A"/>
    <w:rsid w:val="18EE4736"/>
    <w:rsid w:val="18F034D6"/>
    <w:rsid w:val="18FF04F5"/>
    <w:rsid w:val="19017260"/>
    <w:rsid w:val="195C76F5"/>
    <w:rsid w:val="19777A51"/>
    <w:rsid w:val="197D32D9"/>
    <w:rsid w:val="19A54BF8"/>
    <w:rsid w:val="1A044015"/>
    <w:rsid w:val="1A143B2C"/>
    <w:rsid w:val="1A1850B4"/>
    <w:rsid w:val="1A22584D"/>
    <w:rsid w:val="1A435DAC"/>
    <w:rsid w:val="1A642D06"/>
    <w:rsid w:val="1AAE3F81"/>
    <w:rsid w:val="1AC612CA"/>
    <w:rsid w:val="1AF20311"/>
    <w:rsid w:val="1B010554"/>
    <w:rsid w:val="1B0940FF"/>
    <w:rsid w:val="1B4B5C73"/>
    <w:rsid w:val="1B6B1074"/>
    <w:rsid w:val="1B8B6070"/>
    <w:rsid w:val="1B9D6802"/>
    <w:rsid w:val="1BB4208A"/>
    <w:rsid w:val="1BBD7B09"/>
    <w:rsid w:val="1BE03EEE"/>
    <w:rsid w:val="1BF135C3"/>
    <w:rsid w:val="1C0155CC"/>
    <w:rsid w:val="1C483EC2"/>
    <w:rsid w:val="1C890385"/>
    <w:rsid w:val="1CBA04E6"/>
    <w:rsid w:val="1CBD66FD"/>
    <w:rsid w:val="1CBE36F0"/>
    <w:rsid w:val="1CC21F65"/>
    <w:rsid w:val="1CC852ED"/>
    <w:rsid w:val="1CF33ECD"/>
    <w:rsid w:val="1CFD2F9D"/>
    <w:rsid w:val="1D0151B5"/>
    <w:rsid w:val="1D064A15"/>
    <w:rsid w:val="1D4B1F5B"/>
    <w:rsid w:val="1D9E3B64"/>
    <w:rsid w:val="1DB47B00"/>
    <w:rsid w:val="1DD57E18"/>
    <w:rsid w:val="1E0F4D36"/>
    <w:rsid w:val="1E1973D5"/>
    <w:rsid w:val="1E375254"/>
    <w:rsid w:val="1E37603B"/>
    <w:rsid w:val="1E7770DE"/>
    <w:rsid w:val="1E7E1EBC"/>
    <w:rsid w:val="1EA82305"/>
    <w:rsid w:val="1EC870D9"/>
    <w:rsid w:val="1EDD3086"/>
    <w:rsid w:val="1F0D5D11"/>
    <w:rsid w:val="1F262338"/>
    <w:rsid w:val="1F294B74"/>
    <w:rsid w:val="1F322599"/>
    <w:rsid w:val="1F375532"/>
    <w:rsid w:val="1F83778A"/>
    <w:rsid w:val="1F884118"/>
    <w:rsid w:val="1FB578D4"/>
    <w:rsid w:val="1FB63615"/>
    <w:rsid w:val="1FC34680"/>
    <w:rsid w:val="1FCF54B9"/>
    <w:rsid w:val="1FE931B2"/>
    <w:rsid w:val="1FF71F26"/>
    <w:rsid w:val="200307FA"/>
    <w:rsid w:val="203B0065"/>
    <w:rsid w:val="20617458"/>
    <w:rsid w:val="20686980"/>
    <w:rsid w:val="207A1985"/>
    <w:rsid w:val="20A84B28"/>
    <w:rsid w:val="21007415"/>
    <w:rsid w:val="2103128B"/>
    <w:rsid w:val="21055681"/>
    <w:rsid w:val="21144335"/>
    <w:rsid w:val="211A411E"/>
    <w:rsid w:val="21260D15"/>
    <w:rsid w:val="217A4752"/>
    <w:rsid w:val="218626BB"/>
    <w:rsid w:val="21D30DC7"/>
    <w:rsid w:val="21EF74B1"/>
    <w:rsid w:val="22142615"/>
    <w:rsid w:val="221C2FEC"/>
    <w:rsid w:val="22364F87"/>
    <w:rsid w:val="223E0305"/>
    <w:rsid w:val="224F7DF7"/>
    <w:rsid w:val="22610E74"/>
    <w:rsid w:val="22833F45"/>
    <w:rsid w:val="228F33A1"/>
    <w:rsid w:val="229B41DA"/>
    <w:rsid w:val="22BC1436"/>
    <w:rsid w:val="22C62CF4"/>
    <w:rsid w:val="22C80558"/>
    <w:rsid w:val="22E5535D"/>
    <w:rsid w:val="23007343"/>
    <w:rsid w:val="23353491"/>
    <w:rsid w:val="23492A98"/>
    <w:rsid w:val="23654AB7"/>
    <w:rsid w:val="23757D31"/>
    <w:rsid w:val="23953D3B"/>
    <w:rsid w:val="23A06120"/>
    <w:rsid w:val="23B3124E"/>
    <w:rsid w:val="23B56380"/>
    <w:rsid w:val="23EB3B50"/>
    <w:rsid w:val="23FB7AB3"/>
    <w:rsid w:val="23FC3FAF"/>
    <w:rsid w:val="240D1D18"/>
    <w:rsid w:val="242B6642"/>
    <w:rsid w:val="24653902"/>
    <w:rsid w:val="248D4747"/>
    <w:rsid w:val="24E54A43"/>
    <w:rsid w:val="25837255"/>
    <w:rsid w:val="25DA0320"/>
    <w:rsid w:val="26056D25"/>
    <w:rsid w:val="262674AB"/>
    <w:rsid w:val="26315601"/>
    <w:rsid w:val="263A6832"/>
    <w:rsid w:val="266A1AC6"/>
    <w:rsid w:val="2683543F"/>
    <w:rsid w:val="27055E2C"/>
    <w:rsid w:val="2706779D"/>
    <w:rsid w:val="27186EC0"/>
    <w:rsid w:val="2725351F"/>
    <w:rsid w:val="273B3040"/>
    <w:rsid w:val="27524A83"/>
    <w:rsid w:val="2778308D"/>
    <w:rsid w:val="27AB7D0C"/>
    <w:rsid w:val="27BC5BF5"/>
    <w:rsid w:val="27F427FC"/>
    <w:rsid w:val="280F6544"/>
    <w:rsid w:val="28135FC7"/>
    <w:rsid w:val="28466A74"/>
    <w:rsid w:val="286B15D4"/>
    <w:rsid w:val="286E02B3"/>
    <w:rsid w:val="28834ADA"/>
    <w:rsid w:val="28AC24C6"/>
    <w:rsid w:val="28CD7B64"/>
    <w:rsid w:val="28DA73F5"/>
    <w:rsid w:val="28DC7F0B"/>
    <w:rsid w:val="28EA6ACC"/>
    <w:rsid w:val="28F129DA"/>
    <w:rsid w:val="29176F41"/>
    <w:rsid w:val="292C2C40"/>
    <w:rsid w:val="29473769"/>
    <w:rsid w:val="29487234"/>
    <w:rsid w:val="299E3412"/>
    <w:rsid w:val="29AE6B2F"/>
    <w:rsid w:val="29BF7550"/>
    <w:rsid w:val="29C25353"/>
    <w:rsid w:val="29D357B2"/>
    <w:rsid w:val="29F251A1"/>
    <w:rsid w:val="2A1B4A63"/>
    <w:rsid w:val="2A231CA8"/>
    <w:rsid w:val="2A295228"/>
    <w:rsid w:val="2A427E76"/>
    <w:rsid w:val="2A5B2299"/>
    <w:rsid w:val="2A627FD1"/>
    <w:rsid w:val="2A930A9D"/>
    <w:rsid w:val="2A9E4307"/>
    <w:rsid w:val="2AA64E47"/>
    <w:rsid w:val="2AE55335"/>
    <w:rsid w:val="2AE876A5"/>
    <w:rsid w:val="2B312790"/>
    <w:rsid w:val="2B3D2939"/>
    <w:rsid w:val="2B481888"/>
    <w:rsid w:val="2B9D0FF7"/>
    <w:rsid w:val="2BE5097B"/>
    <w:rsid w:val="2C047EA4"/>
    <w:rsid w:val="2C3D6F12"/>
    <w:rsid w:val="2C616407"/>
    <w:rsid w:val="2C8132A3"/>
    <w:rsid w:val="2C86594D"/>
    <w:rsid w:val="2CE61FCE"/>
    <w:rsid w:val="2CFC2BFE"/>
    <w:rsid w:val="2D083ED8"/>
    <w:rsid w:val="2D1C3F42"/>
    <w:rsid w:val="2D1F03E0"/>
    <w:rsid w:val="2D213733"/>
    <w:rsid w:val="2D306A77"/>
    <w:rsid w:val="2D377E06"/>
    <w:rsid w:val="2D3B209D"/>
    <w:rsid w:val="2D40078D"/>
    <w:rsid w:val="2D49182E"/>
    <w:rsid w:val="2D4C5349"/>
    <w:rsid w:val="2D594220"/>
    <w:rsid w:val="2D914AEC"/>
    <w:rsid w:val="2DAA6942"/>
    <w:rsid w:val="2DC51A8B"/>
    <w:rsid w:val="2DFE1FFB"/>
    <w:rsid w:val="2E333BE1"/>
    <w:rsid w:val="2E4D549D"/>
    <w:rsid w:val="2E516929"/>
    <w:rsid w:val="2E714F37"/>
    <w:rsid w:val="2E7976B0"/>
    <w:rsid w:val="2ECC0FF4"/>
    <w:rsid w:val="2ED52C6D"/>
    <w:rsid w:val="2EF266DA"/>
    <w:rsid w:val="2EF35FAE"/>
    <w:rsid w:val="2F2148C9"/>
    <w:rsid w:val="2F2D7712"/>
    <w:rsid w:val="2F452CAE"/>
    <w:rsid w:val="2FAE67A1"/>
    <w:rsid w:val="2FD37516"/>
    <w:rsid w:val="302E37D9"/>
    <w:rsid w:val="30521E7B"/>
    <w:rsid w:val="306B1B9C"/>
    <w:rsid w:val="306E31AE"/>
    <w:rsid w:val="30AD79A0"/>
    <w:rsid w:val="30C717D2"/>
    <w:rsid w:val="30CF1497"/>
    <w:rsid w:val="30EB692C"/>
    <w:rsid w:val="30EB71D3"/>
    <w:rsid w:val="30EF5FFA"/>
    <w:rsid w:val="313034EA"/>
    <w:rsid w:val="313A6212"/>
    <w:rsid w:val="314D028A"/>
    <w:rsid w:val="314F4A3F"/>
    <w:rsid w:val="3163566D"/>
    <w:rsid w:val="3174292F"/>
    <w:rsid w:val="31745184"/>
    <w:rsid w:val="31DF64A6"/>
    <w:rsid w:val="31ED676B"/>
    <w:rsid w:val="31F232FA"/>
    <w:rsid w:val="31F85A80"/>
    <w:rsid w:val="320E382B"/>
    <w:rsid w:val="321150C9"/>
    <w:rsid w:val="32401D3A"/>
    <w:rsid w:val="32A33879"/>
    <w:rsid w:val="32CF7DD0"/>
    <w:rsid w:val="32E10EB6"/>
    <w:rsid w:val="33044887"/>
    <w:rsid w:val="33196C24"/>
    <w:rsid w:val="333D521C"/>
    <w:rsid w:val="334A232C"/>
    <w:rsid w:val="334B0167"/>
    <w:rsid w:val="334B017B"/>
    <w:rsid w:val="336E6347"/>
    <w:rsid w:val="3392223A"/>
    <w:rsid w:val="33B10912"/>
    <w:rsid w:val="33B26438"/>
    <w:rsid w:val="33B66AB9"/>
    <w:rsid w:val="33CF6FEA"/>
    <w:rsid w:val="3414112E"/>
    <w:rsid w:val="34207846"/>
    <w:rsid w:val="34270BD4"/>
    <w:rsid w:val="3431496E"/>
    <w:rsid w:val="346076B1"/>
    <w:rsid w:val="34751000"/>
    <w:rsid w:val="34B24EB5"/>
    <w:rsid w:val="34E22D4D"/>
    <w:rsid w:val="352C33C6"/>
    <w:rsid w:val="355530AA"/>
    <w:rsid w:val="358838F4"/>
    <w:rsid w:val="35A02439"/>
    <w:rsid w:val="35A13F7A"/>
    <w:rsid w:val="35A93699"/>
    <w:rsid w:val="35D16601"/>
    <w:rsid w:val="35D968BA"/>
    <w:rsid w:val="36112F8E"/>
    <w:rsid w:val="36140CE4"/>
    <w:rsid w:val="361B39BB"/>
    <w:rsid w:val="3627310D"/>
    <w:rsid w:val="362C0724"/>
    <w:rsid w:val="364631D7"/>
    <w:rsid w:val="36625EF3"/>
    <w:rsid w:val="366F06C8"/>
    <w:rsid w:val="368928C2"/>
    <w:rsid w:val="36C4455F"/>
    <w:rsid w:val="36EA627A"/>
    <w:rsid w:val="36F46607"/>
    <w:rsid w:val="36F477C1"/>
    <w:rsid w:val="371E0226"/>
    <w:rsid w:val="37307DA0"/>
    <w:rsid w:val="37411FAD"/>
    <w:rsid w:val="37816E26"/>
    <w:rsid w:val="37850378"/>
    <w:rsid w:val="37866B0A"/>
    <w:rsid w:val="379B110E"/>
    <w:rsid w:val="37A64091"/>
    <w:rsid w:val="382B76C4"/>
    <w:rsid w:val="382E23D7"/>
    <w:rsid w:val="38391F04"/>
    <w:rsid w:val="384540AC"/>
    <w:rsid w:val="385E2E31"/>
    <w:rsid w:val="38802E6B"/>
    <w:rsid w:val="389600D6"/>
    <w:rsid w:val="38B1704F"/>
    <w:rsid w:val="38D834D0"/>
    <w:rsid w:val="38EF421A"/>
    <w:rsid w:val="38F00B77"/>
    <w:rsid w:val="38F30FDD"/>
    <w:rsid w:val="390E713D"/>
    <w:rsid w:val="39523581"/>
    <w:rsid w:val="39B06F76"/>
    <w:rsid w:val="39C50DBF"/>
    <w:rsid w:val="39E803A0"/>
    <w:rsid w:val="39FA28E7"/>
    <w:rsid w:val="3A045513"/>
    <w:rsid w:val="3A5C4419"/>
    <w:rsid w:val="3A802DEC"/>
    <w:rsid w:val="3A850402"/>
    <w:rsid w:val="3A982496"/>
    <w:rsid w:val="3A9834B4"/>
    <w:rsid w:val="3AA54601"/>
    <w:rsid w:val="3AB92FBF"/>
    <w:rsid w:val="3B1F29B6"/>
    <w:rsid w:val="3B223EA3"/>
    <w:rsid w:val="3B2F036E"/>
    <w:rsid w:val="3B49603E"/>
    <w:rsid w:val="3B4A33FA"/>
    <w:rsid w:val="3B4F0A10"/>
    <w:rsid w:val="3B52394A"/>
    <w:rsid w:val="3B783AC3"/>
    <w:rsid w:val="3B866FF0"/>
    <w:rsid w:val="3B8701AA"/>
    <w:rsid w:val="3BAD60C9"/>
    <w:rsid w:val="3BB80364"/>
    <w:rsid w:val="3BC2022B"/>
    <w:rsid w:val="3C1171B4"/>
    <w:rsid w:val="3C134CAD"/>
    <w:rsid w:val="3C261771"/>
    <w:rsid w:val="3C3012FF"/>
    <w:rsid w:val="3C3025F0"/>
    <w:rsid w:val="3CB43221"/>
    <w:rsid w:val="3CB854FA"/>
    <w:rsid w:val="3CD65976"/>
    <w:rsid w:val="3D365D6E"/>
    <w:rsid w:val="3D491BBB"/>
    <w:rsid w:val="3D5E561F"/>
    <w:rsid w:val="3DCB43A9"/>
    <w:rsid w:val="3DD1395F"/>
    <w:rsid w:val="3DE90CA8"/>
    <w:rsid w:val="3DFA2303"/>
    <w:rsid w:val="3E291911"/>
    <w:rsid w:val="3E6622F9"/>
    <w:rsid w:val="3E8B25F2"/>
    <w:rsid w:val="3E9735A8"/>
    <w:rsid w:val="3E9926CE"/>
    <w:rsid w:val="3E9B7635"/>
    <w:rsid w:val="3EA93905"/>
    <w:rsid w:val="3EC50F13"/>
    <w:rsid w:val="3EDB155A"/>
    <w:rsid w:val="3F161F71"/>
    <w:rsid w:val="3F2D7311"/>
    <w:rsid w:val="3F3770B6"/>
    <w:rsid w:val="3F520ACF"/>
    <w:rsid w:val="3F5B255F"/>
    <w:rsid w:val="3F746048"/>
    <w:rsid w:val="3FB83028"/>
    <w:rsid w:val="3FFB37D6"/>
    <w:rsid w:val="405C39B3"/>
    <w:rsid w:val="40D82635"/>
    <w:rsid w:val="40DC5A18"/>
    <w:rsid w:val="40F620D6"/>
    <w:rsid w:val="413B6DB7"/>
    <w:rsid w:val="4168282C"/>
    <w:rsid w:val="41B555B5"/>
    <w:rsid w:val="41C645C6"/>
    <w:rsid w:val="41D37CA5"/>
    <w:rsid w:val="41F870E1"/>
    <w:rsid w:val="420E5181"/>
    <w:rsid w:val="4216705F"/>
    <w:rsid w:val="423A5D78"/>
    <w:rsid w:val="425B28A2"/>
    <w:rsid w:val="427230A1"/>
    <w:rsid w:val="42C65A5C"/>
    <w:rsid w:val="42EE46D5"/>
    <w:rsid w:val="43016A94"/>
    <w:rsid w:val="43077BF5"/>
    <w:rsid w:val="43081BD1"/>
    <w:rsid w:val="431B5DA8"/>
    <w:rsid w:val="436B4046"/>
    <w:rsid w:val="43727D1C"/>
    <w:rsid w:val="43755A74"/>
    <w:rsid w:val="439116E1"/>
    <w:rsid w:val="43975E08"/>
    <w:rsid w:val="43B50E83"/>
    <w:rsid w:val="43E4263E"/>
    <w:rsid w:val="44240C8C"/>
    <w:rsid w:val="44557097"/>
    <w:rsid w:val="446708C5"/>
    <w:rsid w:val="44A973E3"/>
    <w:rsid w:val="44E4666D"/>
    <w:rsid w:val="451707F1"/>
    <w:rsid w:val="45687B0A"/>
    <w:rsid w:val="459334C7"/>
    <w:rsid w:val="45A92AE9"/>
    <w:rsid w:val="45AD350E"/>
    <w:rsid w:val="45B710E8"/>
    <w:rsid w:val="45C76709"/>
    <w:rsid w:val="45CF69D6"/>
    <w:rsid w:val="45E46FC0"/>
    <w:rsid w:val="460C3F98"/>
    <w:rsid w:val="467806FB"/>
    <w:rsid w:val="469039C8"/>
    <w:rsid w:val="46A15647"/>
    <w:rsid w:val="46A55988"/>
    <w:rsid w:val="46B02E88"/>
    <w:rsid w:val="46F541EF"/>
    <w:rsid w:val="46FD6269"/>
    <w:rsid w:val="4729280F"/>
    <w:rsid w:val="4733329F"/>
    <w:rsid w:val="473A0A0E"/>
    <w:rsid w:val="47413903"/>
    <w:rsid w:val="47782947"/>
    <w:rsid w:val="47B42327"/>
    <w:rsid w:val="47CA1B4A"/>
    <w:rsid w:val="47E0136E"/>
    <w:rsid w:val="47F6293F"/>
    <w:rsid w:val="47F97A1E"/>
    <w:rsid w:val="48042BC0"/>
    <w:rsid w:val="482A507A"/>
    <w:rsid w:val="48693111"/>
    <w:rsid w:val="48AD6E5F"/>
    <w:rsid w:val="48B12D0A"/>
    <w:rsid w:val="48C64F2D"/>
    <w:rsid w:val="494B0A69"/>
    <w:rsid w:val="49530185"/>
    <w:rsid w:val="497E3B0F"/>
    <w:rsid w:val="49A11F60"/>
    <w:rsid w:val="49AD04E5"/>
    <w:rsid w:val="49D9106B"/>
    <w:rsid w:val="49E35145"/>
    <w:rsid w:val="49EB7B56"/>
    <w:rsid w:val="49F17862"/>
    <w:rsid w:val="49F64E79"/>
    <w:rsid w:val="49FB423D"/>
    <w:rsid w:val="4A031FE2"/>
    <w:rsid w:val="4A153456"/>
    <w:rsid w:val="4A2C089A"/>
    <w:rsid w:val="4A8F6E89"/>
    <w:rsid w:val="4ADA02F6"/>
    <w:rsid w:val="4AE2174F"/>
    <w:rsid w:val="4B0C15B6"/>
    <w:rsid w:val="4B661B8A"/>
    <w:rsid w:val="4B6978CC"/>
    <w:rsid w:val="4B7324F9"/>
    <w:rsid w:val="4BC8467F"/>
    <w:rsid w:val="4BDC5D41"/>
    <w:rsid w:val="4BEB208F"/>
    <w:rsid w:val="4C0513A3"/>
    <w:rsid w:val="4C0A475B"/>
    <w:rsid w:val="4C101AF6"/>
    <w:rsid w:val="4C250295"/>
    <w:rsid w:val="4C2555A1"/>
    <w:rsid w:val="4C2D26A8"/>
    <w:rsid w:val="4C2F2351"/>
    <w:rsid w:val="4C3724EA"/>
    <w:rsid w:val="4C6B7A69"/>
    <w:rsid w:val="4C7402D7"/>
    <w:rsid w:val="4C7A3B96"/>
    <w:rsid w:val="4C8A0766"/>
    <w:rsid w:val="4CAA5AA7"/>
    <w:rsid w:val="4CBE0D82"/>
    <w:rsid w:val="4CC0351C"/>
    <w:rsid w:val="4CFE53E3"/>
    <w:rsid w:val="4D112219"/>
    <w:rsid w:val="4D122C85"/>
    <w:rsid w:val="4D1F146A"/>
    <w:rsid w:val="4D4C4DB0"/>
    <w:rsid w:val="4DB03590"/>
    <w:rsid w:val="4DB0533F"/>
    <w:rsid w:val="4DBF1A26"/>
    <w:rsid w:val="4DC1754C"/>
    <w:rsid w:val="4DE67660"/>
    <w:rsid w:val="4DF25957"/>
    <w:rsid w:val="4E0631B0"/>
    <w:rsid w:val="4E0F02B7"/>
    <w:rsid w:val="4E1874E8"/>
    <w:rsid w:val="4E3221F7"/>
    <w:rsid w:val="4E4E112E"/>
    <w:rsid w:val="4E5B180D"/>
    <w:rsid w:val="4E5F1690"/>
    <w:rsid w:val="4E6C5709"/>
    <w:rsid w:val="4E871CF6"/>
    <w:rsid w:val="4E8A5B90"/>
    <w:rsid w:val="4EDE7C89"/>
    <w:rsid w:val="4EF70D4B"/>
    <w:rsid w:val="4F0612C4"/>
    <w:rsid w:val="4F0A4599"/>
    <w:rsid w:val="4F302EBC"/>
    <w:rsid w:val="4F67588B"/>
    <w:rsid w:val="4F6F4D85"/>
    <w:rsid w:val="4F900BA2"/>
    <w:rsid w:val="4F912F4E"/>
    <w:rsid w:val="4F9662AF"/>
    <w:rsid w:val="4FE071DD"/>
    <w:rsid w:val="4FE63648"/>
    <w:rsid w:val="4FE87012"/>
    <w:rsid w:val="501166CB"/>
    <w:rsid w:val="50245B70"/>
    <w:rsid w:val="503F66A1"/>
    <w:rsid w:val="50443191"/>
    <w:rsid w:val="5056026F"/>
    <w:rsid w:val="50AF18DD"/>
    <w:rsid w:val="50B05655"/>
    <w:rsid w:val="50B066D9"/>
    <w:rsid w:val="50FB0FC7"/>
    <w:rsid w:val="50FC37C6"/>
    <w:rsid w:val="512A18AC"/>
    <w:rsid w:val="51786173"/>
    <w:rsid w:val="51BF55E6"/>
    <w:rsid w:val="51C12EF0"/>
    <w:rsid w:val="51C61046"/>
    <w:rsid w:val="51D42BF9"/>
    <w:rsid w:val="51DA77A1"/>
    <w:rsid w:val="51DB0D64"/>
    <w:rsid w:val="52020133"/>
    <w:rsid w:val="521F0CE5"/>
    <w:rsid w:val="52346A17"/>
    <w:rsid w:val="52CF0F4A"/>
    <w:rsid w:val="52E361B6"/>
    <w:rsid w:val="52E83B07"/>
    <w:rsid w:val="52EC6E19"/>
    <w:rsid w:val="53312A7E"/>
    <w:rsid w:val="5342371F"/>
    <w:rsid w:val="535B7135"/>
    <w:rsid w:val="53607807"/>
    <w:rsid w:val="53961E84"/>
    <w:rsid w:val="53A17691"/>
    <w:rsid w:val="53A2759C"/>
    <w:rsid w:val="53B90038"/>
    <w:rsid w:val="541F3479"/>
    <w:rsid w:val="54574766"/>
    <w:rsid w:val="54640C31"/>
    <w:rsid w:val="54992FD0"/>
    <w:rsid w:val="54AD4776"/>
    <w:rsid w:val="54F06565"/>
    <w:rsid w:val="54FD43B7"/>
    <w:rsid w:val="5504273B"/>
    <w:rsid w:val="552B174F"/>
    <w:rsid w:val="55302813"/>
    <w:rsid w:val="553A6954"/>
    <w:rsid w:val="55524F2D"/>
    <w:rsid w:val="55540C50"/>
    <w:rsid w:val="558B4D6C"/>
    <w:rsid w:val="55CF39F8"/>
    <w:rsid w:val="55D17195"/>
    <w:rsid w:val="55D65B5E"/>
    <w:rsid w:val="55DF54F8"/>
    <w:rsid w:val="562B40FC"/>
    <w:rsid w:val="564C7BCE"/>
    <w:rsid w:val="565020BD"/>
    <w:rsid w:val="567F17E0"/>
    <w:rsid w:val="5689497F"/>
    <w:rsid w:val="56A87127"/>
    <w:rsid w:val="56B37004"/>
    <w:rsid w:val="56BC4F55"/>
    <w:rsid w:val="56D51C18"/>
    <w:rsid w:val="56E47668"/>
    <w:rsid w:val="573B69A8"/>
    <w:rsid w:val="574216FD"/>
    <w:rsid w:val="574D00A2"/>
    <w:rsid w:val="57531CC2"/>
    <w:rsid w:val="577E46FF"/>
    <w:rsid w:val="578C0FB5"/>
    <w:rsid w:val="579E26AC"/>
    <w:rsid w:val="57B6364D"/>
    <w:rsid w:val="57B77970"/>
    <w:rsid w:val="57C10BC6"/>
    <w:rsid w:val="57C33A10"/>
    <w:rsid w:val="57CD70EC"/>
    <w:rsid w:val="57F563D4"/>
    <w:rsid w:val="57F64BE6"/>
    <w:rsid w:val="57F91F69"/>
    <w:rsid w:val="57FF46A2"/>
    <w:rsid w:val="580629F8"/>
    <w:rsid w:val="584E53FC"/>
    <w:rsid w:val="587E7C60"/>
    <w:rsid w:val="58810003"/>
    <w:rsid w:val="589113DD"/>
    <w:rsid w:val="58BA17E7"/>
    <w:rsid w:val="58EF3560"/>
    <w:rsid w:val="58FF1963"/>
    <w:rsid w:val="590E5642"/>
    <w:rsid w:val="593B1A09"/>
    <w:rsid w:val="59417CFE"/>
    <w:rsid w:val="59633BAD"/>
    <w:rsid w:val="597E175D"/>
    <w:rsid w:val="598C74CC"/>
    <w:rsid w:val="5995278E"/>
    <w:rsid w:val="59C7413C"/>
    <w:rsid w:val="59FB128F"/>
    <w:rsid w:val="5A096502"/>
    <w:rsid w:val="5A3570F8"/>
    <w:rsid w:val="5A946E95"/>
    <w:rsid w:val="5ACB03BF"/>
    <w:rsid w:val="5ACE5056"/>
    <w:rsid w:val="5ACE63A1"/>
    <w:rsid w:val="5B046076"/>
    <w:rsid w:val="5B25585B"/>
    <w:rsid w:val="5B7976B8"/>
    <w:rsid w:val="5B89006B"/>
    <w:rsid w:val="5B904CC4"/>
    <w:rsid w:val="5B9412CE"/>
    <w:rsid w:val="5BA6461A"/>
    <w:rsid w:val="5BD42B40"/>
    <w:rsid w:val="5BDA4433"/>
    <w:rsid w:val="5BE12FA3"/>
    <w:rsid w:val="5C084598"/>
    <w:rsid w:val="5C0E52A6"/>
    <w:rsid w:val="5C4C6B7A"/>
    <w:rsid w:val="5C4D6613"/>
    <w:rsid w:val="5CA72002"/>
    <w:rsid w:val="5CB169DD"/>
    <w:rsid w:val="5CC909BE"/>
    <w:rsid w:val="5CDD77D2"/>
    <w:rsid w:val="5CF27722"/>
    <w:rsid w:val="5CF52884"/>
    <w:rsid w:val="5D09448F"/>
    <w:rsid w:val="5D0D6309"/>
    <w:rsid w:val="5D573A29"/>
    <w:rsid w:val="5D8866EC"/>
    <w:rsid w:val="5DAB4ABF"/>
    <w:rsid w:val="5DB20C5F"/>
    <w:rsid w:val="5DDB1F64"/>
    <w:rsid w:val="5DDD5910"/>
    <w:rsid w:val="5E257CDA"/>
    <w:rsid w:val="5E455DA7"/>
    <w:rsid w:val="5E5A1B69"/>
    <w:rsid w:val="5E5A661E"/>
    <w:rsid w:val="5E781EA8"/>
    <w:rsid w:val="5E7864D5"/>
    <w:rsid w:val="5E895E64"/>
    <w:rsid w:val="5E8F3DCD"/>
    <w:rsid w:val="5EB815A0"/>
    <w:rsid w:val="5EBF421E"/>
    <w:rsid w:val="5EF32AEC"/>
    <w:rsid w:val="5F014169"/>
    <w:rsid w:val="5F142564"/>
    <w:rsid w:val="5F166FCB"/>
    <w:rsid w:val="5F1D3341"/>
    <w:rsid w:val="5F2C6B34"/>
    <w:rsid w:val="5F3A53B0"/>
    <w:rsid w:val="5F667F53"/>
    <w:rsid w:val="5F810AA6"/>
    <w:rsid w:val="5F9D5A16"/>
    <w:rsid w:val="5FCA6734"/>
    <w:rsid w:val="5FDB11E1"/>
    <w:rsid w:val="5FF936D5"/>
    <w:rsid w:val="601C5AAA"/>
    <w:rsid w:val="60B92304"/>
    <w:rsid w:val="6110236A"/>
    <w:rsid w:val="6118527D"/>
    <w:rsid w:val="611B3CDB"/>
    <w:rsid w:val="615D23FF"/>
    <w:rsid w:val="617D7488"/>
    <w:rsid w:val="618927A0"/>
    <w:rsid w:val="619C1FA6"/>
    <w:rsid w:val="61BA07EF"/>
    <w:rsid w:val="61BA6334"/>
    <w:rsid w:val="61C85F6E"/>
    <w:rsid w:val="61CE1DDF"/>
    <w:rsid w:val="61E829FD"/>
    <w:rsid w:val="61ED6709"/>
    <w:rsid w:val="61FE0917"/>
    <w:rsid w:val="6200468F"/>
    <w:rsid w:val="62210161"/>
    <w:rsid w:val="627A6223"/>
    <w:rsid w:val="62B13874"/>
    <w:rsid w:val="62BF638B"/>
    <w:rsid w:val="62C05BCC"/>
    <w:rsid w:val="62C236F2"/>
    <w:rsid w:val="62D665B5"/>
    <w:rsid w:val="62EF0E65"/>
    <w:rsid w:val="62F329B7"/>
    <w:rsid w:val="62F77414"/>
    <w:rsid w:val="630F26B0"/>
    <w:rsid w:val="63286AF3"/>
    <w:rsid w:val="632F0827"/>
    <w:rsid w:val="634E7E04"/>
    <w:rsid w:val="63672753"/>
    <w:rsid w:val="63957059"/>
    <w:rsid w:val="6396497C"/>
    <w:rsid w:val="63A94710"/>
    <w:rsid w:val="63BB4445"/>
    <w:rsid w:val="63CB597F"/>
    <w:rsid w:val="64072BF6"/>
    <w:rsid w:val="641641E5"/>
    <w:rsid w:val="64624634"/>
    <w:rsid w:val="647838E3"/>
    <w:rsid w:val="64792058"/>
    <w:rsid w:val="64882719"/>
    <w:rsid w:val="649B41FB"/>
    <w:rsid w:val="649E3CEB"/>
    <w:rsid w:val="64BD0615"/>
    <w:rsid w:val="64CA4A08"/>
    <w:rsid w:val="64D61C0B"/>
    <w:rsid w:val="64E97165"/>
    <w:rsid w:val="64EF2799"/>
    <w:rsid w:val="652D59E4"/>
    <w:rsid w:val="652F7039"/>
    <w:rsid w:val="65393A14"/>
    <w:rsid w:val="65526E86"/>
    <w:rsid w:val="655977BC"/>
    <w:rsid w:val="658A2539"/>
    <w:rsid w:val="65991C8C"/>
    <w:rsid w:val="65A53C6D"/>
    <w:rsid w:val="65A86053"/>
    <w:rsid w:val="65E62E7A"/>
    <w:rsid w:val="65FF07B9"/>
    <w:rsid w:val="6628143A"/>
    <w:rsid w:val="6659436D"/>
    <w:rsid w:val="665D0116"/>
    <w:rsid w:val="6677281C"/>
    <w:rsid w:val="66AA6C33"/>
    <w:rsid w:val="66B36653"/>
    <w:rsid w:val="66EC7F6C"/>
    <w:rsid w:val="67BB5990"/>
    <w:rsid w:val="67C25F42"/>
    <w:rsid w:val="67FE34B8"/>
    <w:rsid w:val="685002C6"/>
    <w:rsid w:val="685E1A04"/>
    <w:rsid w:val="689A52B4"/>
    <w:rsid w:val="68A15F0B"/>
    <w:rsid w:val="68AB2779"/>
    <w:rsid w:val="68C208E3"/>
    <w:rsid w:val="68F01AAC"/>
    <w:rsid w:val="68F35ED5"/>
    <w:rsid w:val="68F375F5"/>
    <w:rsid w:val="692B5CBF"/>
    <w:rsid w:val="69314228"/>
    <w:rsid w:val="694C640B"/>
    <w:rsid w:val="695B3372"/>
    <w:rsid w:val="69D74EB4"/>
    <w:rsid w:val="69E5460D"/>
    <w:rsid w:val="69F452BC"/>
    <w:rsid w:val="6A244C92"/>
    <w:rsid w:val="6A3D7EF0"/>
    <w:rsid w:val="6A554E4C"/>
    <w:rsid w:val="6A6652AB"/>
    <w:rsid w:val="6A871D41"/>
    <w:rsid w:val="6A8E0FBE"/>
    <w:rsid w:val="6A9826DA"/>
    <w:rsid w:val="6AA34132"/>
    <w:rsid w:val="6AAD178D"/>
    <w:rsid w:val="6AB73874"/>
    <w:rsid w:val="6ACA583A"/>
    <w:rsid w:val="6B052FD9"/>
    <w:rsid w:val="6B054AC4"/>
    <w:rsid w:val="6B19231D"/>
    <w:rsid w:val="6B3377DF"/>
    <w:rsid w:val="6B5746C2"/>
    <w:rsid w:val="6B6712DB"/>
    <w:rsid w:val="6B9C3CAA"/>
    <w:rsid w:val="6BBA5B6C"/>
    <w:rsid w:val="6BFB11C9"/>
    <w:rsid w:val="6C26132F"/>
    <w:rsid w:val="6C434291"/>
    <w:rsid w:val="6C680060"/>
    <w:rsid w:val="6C7D1B5B"/>
    <w:rsid w:val="6C8F121C"/>
    <w:rsid w:val="6CC649E7"/>
    <w:rsid w:val="6CF44DF0"/>
    <w:rsid w:val="6D047526"/>
    <w:rsid w:val="6D561607"/>
    <w:rsid w:val="6D8810F1"/>
    <w:rsid w:val="6DA71E62"/>
    <w:rsid w:val="6DAA3BEC"/>
    <w:rsid w:val="6DDA5CDD"/>
    <w:rsid w:val="6DF94B4B"/>
    <w:rsid w:val="6E4167E4"/>
    <w:rsid w:val="6E58077C"/>
    <w:rsid w:val="6E69245C"/>
    <w:rsid w:val="6E7C509D"/>
    <w:rsid w:val="6EEA775A"/>
    <w:rsid w:val="6F0671CF"/>
    <w:rsid w:val="6F086931"/>
    <w:rsid w:val="6F2971C4"/>
    <w:rsid w:val="6F4B5D20"/>
    <w:rsid w:val="6F4F4560"/>
    <w:rsid w:val="6F5F71DE"/>
    <w:rsid w:val="6F9A7AEE"/>
    <w:rsid w:val="6FC4095F"/>
    <w:rsid w:val="6FC7059A"/>
    <w:rsid w:val="6FF9271D"/>
    <w:rsid w:val="70030504"/>
    <w:rsid w:val="70134C80"/>
    <w:rsid w:val="701E2184"/>
    <w:rsid w:val="7024192F"/>
    <w:rsid w:val="703B2D36"/>
    <w:rsid w:val="705D0EFE"/>
    <w:rsid w:val="706A1D39"/>
    <w:rsid w:val="707D10C4"/>
    <w:rsid w:val="70C1148D"/>
    <w:rsid w:val="70C86AB0"/>
    <w:rsid w:val="70E83D79"/>
    <w:rsid w:val="70F10A19"/>
    <w:rsid w:val="70FD1A61"/>
    <w:rsid w:val="71325EE7"/>
    <w:rsid w:val="713F6856"/>
    <w:rsid w:val="714C1CC5"/>
    <w:rsid w:val="714F4CEB"/>
    <w:rsid w:val="714F6A99"/>
    <w:rsid w:val="71593474"/>
    <w:rsid w:val="719A58E0"/>
    <w:rsid w:val="719B567C"/>
    <w:rsid w:val="71AB5C99"/>
    <w:rsid w:val="71C0420A"/>
    <w:rsid w:val="71CB17A6"/>
    <w:rsid w:val="71CB1FE1"/>
    <w:rsid w:val="71EE1250"/>
    <w:rsid w:val="724114F6"/>
    <w:rsid w:val="72421725"/>
    <w:rsid w:val="724265FE"/>
    <w:rsid w:val="725105EF"/>
    <w:rsid w:val="72B55021"/>
    <w:rsid w:val="72BA43E6"/>
    <w:rsid w:val="72DC25AE"/>
    <w:rsid w:val="72E50FF0"/>
    <w:rsid w:val="72F0605A"/>
    <w:rsid w:val="7315786E"/>
    <w:rsid w:val="732E66F5"/>
    <w:rsid w:val="736E6FB0"/>
    <w:rsid w:val="73781BAB"/>
    <w:rsid w:val="73944605"/>
    <w:rsid w:val="73A66718"/>
    <w:rsid w:val="73BE45F5"/>
    <w:rsid w:val="73F954CD"/>
    <w:rsid w:val="740578E3"/>
    <w:rsid w:val="74582108"/>
    <w:rsid w:val="751D3132"/>
    <w:rsid w:val="752244C4"/>
    <w:rsid w:val="754840C1"/>
    <w:rsid w:val="755F5039"/>
    <w:rsid w:val="75823F55"/>
    <w:rsid w:val="75996CFB"/>
    <w:rsid w:val="759B0BCF"/>
    <w:rsid w:val="75B4121E"/>
    <w:rsid w:val="75B92C6A"/>
    <w:rsid w:val="75BC2223"/>
    <w:rsid w:val="75C31803"/>
    <w:rsid w:val="75D17FAF"/>
    <w:rsid w:val="75DD1F2C"/>
    <w:rsid w:val="76354602"/>
    <w:rsid w:val="76404C02"/>
    <w:rsid w:val="768858BC"/>
    <w:rsid w:val="768E1E11"/>
    <w:rsid w:val="76A076F1"/>
    <w:rsid w:val="76A809F9"/>
    <w:rsid w:val="76B53304"/>
    <w:rsid w:val="76EC740F"/>
    <w:rsid w:val="77093CF3"/>
    <w:rsid w:val="772351B4"/>
    <w:rsid w:val="77277DEF"/>
    <w:rsid w:val="77281627"/>
    <w:rsid w:val="772C64B4"/>
    <w:rsid w:val="772E130A"/>
    <w:rsid w:val="77371170"/>
    <w:rsid w:val="77972F48"/>
    <w:rsid w:val="77E453E1"/>
    <w:rsid w:val="783B2034"/>
    <w:rsid w:val="7857400D"/>
    <w:rsid w:val="78A243E5"/>
    <w:rsid w:val="78A667E7"/>
    <w:rsid w:val="78C77346"/>
    <w:rsid w:val="78FA649B"/>
    <w:rsid w:val="790D22C6"/>
    <w:rsid w:val="79E56A30"/>
    <w:rsid w:val="7A394056"/>
    <w:rsid w:val="7A4D1FE3"/>
    <w:rsid w:val="7A6115EB"/>
    <w:rsid w:val="7A8157E9"/>
    <w:rsid w:val="7B0E3521"/>
    <w:rsid w:val="7B3B3264"/>
    <w:rsid w:val="7B3E7C32"/>
    <w:rsid w:val="7B6D74DD"/>
    <w:rsid w:val="7B78100F"/>
    <w:rsid w:val="7B811F45"/>
    <w:rsid w:val="7B827A6B"/>
    <w:rsid w:val="7BBD1620"/>
    <w:rsid w:val="7C211BE0"/>
    <w:rsid w:val="7C3F5293"/>
    <w:rsid w:val="7C63789C"/>
    <w:rsid w:val="7C75025B"/>
    <w:rsid w:val="7C9061B7"/>
    <w:rsid w:val="7C907F65"/>
    <w:rsid w:val="7C934347"/>
    <w:rsid w:val="7CA103C5"/>
    <w:rsid w:val="7CE0713F"/>
    <w:rsid w:val="7CEA57AC"/>
    <w:rsid w:val="7D3D3A33"/>
    <w:rsid w:val="7D524231"/>
    <w:rsid w:val="7D630A43"/>
    <w:rsid w:val="7D6457E7"/>
    <w:rsid w:val="7D6C452F"/>
    <w:rsid w:val="7DA25EFC"/>
    <w:rsid w:val="7DC720AD"/>
    <w:rsid w:val="7DDD327C"/>
    <w:rsid w:val="7E184B5F"/>
    <w:rsid w:val="7E194B59"/>
    <w:rsid w:val="7E1C7D03"/>
    <w:rsid w:val="7E3E411D"/>
    <w:rsid w:val="7EEA0E80"/>
    <w:rsid w:val="7F025083"/>
    <w:rsid w:val="7F48189C"/>
    <w:rsid w:val="7F845D7D"/>
    <w:rsid w:val="7FA64132"/>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autoRedefine/>
    <w:qFormat/>
    <w:uiPriority w:val="0"/>
    <w:pPr>
      <w:autoSpaceDE w:val="0"/>
      <w:autoSpaceDN w:val="0"/>
      <w:adjustRightInd w:val="0"/>
      <w:jc w:val="right"/>
      <w:outlineLvl w:val="2"/>
    </w:pPr>
    <w:rPr>
      <w:rFonts w:ascii="宋体" w:hAnsi="Calibri" w:eastAsia="宋体" w:cs="Times New Roman"/>
      <w:kern w:val="0"/>
      <w:sz w:val="24"/>
      <w:szCs w:val="24"/>
    </w:rPr>
  </w:style>
  <w:style w:type="paragraph" w:styleId="5">
    <w:name w:val="heading 4"/>
    <w:basedOn w:val="1"/>
    <w:next w:val="1"/>
    <w:link w:val="50"/>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rPr>
      <w:rFonts w:ascii="宋体" w:hAnsi="宋体" w:eastAsia="宋体"/>
      <w:color w:val="000000" w:themeColor="text1"/>
      <w:szCs w:val="21"/>
      <w14:textFill>
        <w14:solidFill>
          <w14:schemeClr w14:val="tx1"/>
        </w14:solidFill>
      </w14:textFill>
    </w:r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2"/>
    <w:autoRedefine/>
    <w:unhideWhenUsed/>
    <w:qFormat/>
    <w:uiPriority w:val="99"/>
    <w:pPr>
      <w:tabs>
        <w:tab w:val="left" w:pos="0"/>
        <w:tab w:val="left" w:pos="540"/>
        <w:tab w:val="left" w:pos="630"/>
        <w:tab w:val="left" w:pos="1440"/>
      </w:tabs>
      <w:spacing w:after="120" w:line="360" w:lineRule="auto"/>
      <w:ind w:left="420" w:leftChars="200" w:firstLine="420" w:firstLineChars="200"/>
    </w:pPr>
    <w:rPr>
      <w:kern w:val="0"/>
      <w:sz w:val="20"/>
    </w:rPr>
  </w:style>
  <w:style w:type="paragraph" w:styleId="21">
    <w:name w:val="Body Text Indent"/>
    <w:basedOn w:val="1"/>
    <w:next w:val="20"/>
    <w:link w:val="92"/>
    <w:autoRedefine/>
    <w:qFormat/>
    <w:uiPriority w:val="0"/>
    <w:pPr>
      <w:ind w:left="567" w:leftChars="270"/>
    </w:pPr>
    <w:rPr>
      <w:rFonts w:ascii="Times New Roman" w:hAnsi="Times New Roman" w:eastAsia="宋体" w:cs="Times New Roman"/>
      <w:szCs w:val="20"/>
    </w:rPr>
  </w:style>
  <w:style w:type="paragraph" w:styleId="22">
    <w:name w:val="toc 3"/>
    <w:basedOn w:val="1"/>
    <w:next w:val="1"/>
    <w:autoRedefine/>
    <w:unhideWhenUsed/>
    <w:qFormat/>
    <w:uiPriority w:val="39"/>
    <w:pPr>
      <w:tabs>
        <w:tab w:val="right" w:leader="dot" w:pos="10144"/>
      </w:tabs>
      <w:spacing w:line="360" w:lineRule="auto"/>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autoRedefine/>
    <w:qFormat/>
    <w:uiPriority w:val="0"/>
    <w:rPr>
      <w:rFonts w:ascii="Times New Roman" w:hAnsi="Times New Roman" w:eastAsia="宋体" w:cs="Times New Roman"/>
      <w:sz w:val="18"/>
      <w:szCs w:val="18"/>
    </w:rPr>
  </w:style>
  <w:style w:type="paragraph" w:styleId="27">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pPr>
      <w:tabs>
        <w:tab w:val="right" w:leader="dot" w:pos="10144"/>
      </w:tabs>
      <w:spacing w:line="360" w:lineRule="auto"/>
    </w:pPr>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hAnsi="Times New Roman"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autoRedefine/>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autoRedefine/>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6"/>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7"/>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autoRedefine/>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1"/>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3"/>
    <w:autoRedefine/>
    <w:qFormat/>
    <w:uiPriority w:val="0"/>
    <w:rPr>
      <w:rFonts w:ascii="宋体" w:hAnsi="Courier New" w:eastAsia="宋体"/>
    </w:rPr>
  </w:style>
  <w:style w:type="character" w:customStyle="1" w:styleId="101">
    <w:name w:val="正文文本缩进 2 Char"/>
    <w:link w:val="25"/>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autoRedefine/>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autoRedefine/>
    <w:qFormat/>
    <w:locked/>
    <w:uiPriority w:val="0"/>
    <w:rPr>
      <w:rFonts w:ascii="宋体" w:hAnsi="宋体"/>
      <w:sz w:val="15"/>
      <w:szCs w:val="15"/>
    </w:rPr>
  </w:style>
  <w:style w:type="character" w:customStyle="1" w:styleId="118">
    <w:name w:val="正文文本 Char3"/>
    <w:link w:val="18"/>
    <w:autoRedefine/>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8"/>
    <w:autoRedefine/>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5">
    <w:name w:val="小 Char"/>
    <w:autoRedefine/>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autoRedefine/>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autoRedefine/>
    <w:qFormat/>
    <w:uiPriority w:val="34"/>
    <w:pPr>
      <w:ind w:firstLine="420" w:firstLineChars="200"/>
    </w:pPr>
  </w:style>
  <w:style w:type="character" w:customStyle="1" w:styleId="130">
    <w:name w:val="正文文本 Char"/>
    <w:autoRedefine/>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autoRedefine/>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autoRedefine/>
    <w:qFormat/>
    <w:uiPriority w:val="0"/>
    <w:rPr>
      <w:rFonts w:ascii="宋体" w:hAnsi="Courier New" w:eastAsia="宋体"/>
      <w:kern w:val="2"/>
      <w:sz w:val="21"/>
      <w:szCs w:val="24"/>
      <w:lang w:val="en-US" w:eastAsia="zh-CN" w:bidi="ar-SA"/>
    </w:rPr>
  </w:style>
  <w:style w:type="character" w:customStyle="1" w:styleId="138">
    <w:name w:val="列出段落 Char1"/>
    <w:autoRedefine/>
    <w:qFormat/>
    <w:uiPriority w:val="34"/>
    <w:rPr>
      <w:rFonts w:ascii="宋体"/>
      <w:sz w:val="24"/>
      <w:szCs w:val="24"/>
    </w:rPr>
  </w:style>
  <w:style w:type="character" w:customStyle="1" w:styleId="139">
    <w:name w:val="彩色列表 - 着色 1 字符"/>
    <w:link w:val="140"/>
    <w:autoRedefine/>
    <w:qFormat/>
    <w:uiPriority w:val="0"/>
    <w:rPr>
      <w:rFonts w:ascii="Calibri" w:hAnsi="Calibri"/>
    </w:rPr>
  </w:style>
  <w:style w:type="paragraph" w:customStyle="1" w:styleId="140">
    <w:name w:val="彩色列表 - 着色 11"/>
    <w:basedOn w:val="1"/>
    <w:link w:val="139"/>
    <w:autoRedefine/>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qFormat/>
    <w:uiPriority w:val="0"/>
    <w:rPr>
      <w:rFonts w:ascii="宋体" w:hAnsi="Calibri"/>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autoRedefine/>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1"/>
    <w:autoRedefine/>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autoRedefine/>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qFormat/>
    <w:uiPriority w:val="99"/>
    <w:rPr>
      <w:rFonts w:ascii="宋体" w:hAnsi="宋体" w:cstheme="minorBidi"/>
      <w:color w:val="000000" w:themeColor="text1"/>
      <w:kern w:val="2"/>
      <w:sz w:val="21"/>
      <w:szCs w:val="21"/>
      <w14:textFill>
        <w14:solidFill>
          <w14:schemeClr w14:val="tx1"/>
        </w14:solidFill>
      </w14:textFill>
    </w:rPr>
  </w:style>
  <w:style w:type="character" w:customStyle="1" w:styleId="164">
    <w:name w:val="批注主题 字符2"/>
    <w:basedOn w:val="163"/>
    <w:semiHidden/>
    <w:qFormat/>
    <w:uiPriority w:val="99"/>
    <w:rPr>
      <w:rFonts w:ascii="宋体" w:hAnsi="宋体" w:cstheme="minorBidi"/>
      <w:b/>
      <w:bCs/>
      <w:color w:val="000000" w:themeColor="text1"/>
      <w:kern w:val="2"/>
      <w:sz w:val="21"/>
      <w:szCs w:val="21"/>
      <w14:textFill>
        <w14:solidFill>
          <w14:schemeClr w14:val="tx1"/>
        </w14:solidFill>
      </w14:textFill>
    </w:rPr>
  </w:style>
  <w:style w:type="character" w:customStyle="1" w:styleId="165">
    <w:name w:val="标题 字符3"/>
    <w:basedOn w:val="39"/>
    <w:autoRedefine/>
    <w:qFormat/>
    <w:uiPriority w:val="10"/>
    <w:rPr>
      <w:rFonts w:asciiTheme="majorHAnsi" w:hAnsiTheme="majorHAnsi" w:eastAsiaTheme="majorEastAsia" w:cstheme="majorBidi"/>
      <w:b/>
      <w:bCs/>
      <w:sz w:val="32"/>
      <w:szCs w:val="32"/>
    </w:rPr>
  </w:style>
  <w:style w:type="character" w:customStyle="1" w:styleId="166">
    <w:name w:val="正文文本缩进 字符3"/>
    <w:basedOn w:val="39"/>
    <w:autoRedefine/>
    <w:semiHidden/>
    <w:qFormat/>
    <w:uiPriority w:val="99"/>
  </w:style>
  <w:style w:type="character" w:customStyle="1" w:styleId="167">
    <w:name w:val="正文文本 字符4"/>
    <w:basedOn w:val="39"/>
    <w:autoRedefine/>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autoRedefine/>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autoRedefine/>
    <w:semiHidden/>
    <w:qFormat/>
    <w:uiPriority w:val="99"/>
    <w:rPr>
      <w:sz w:val="16"/>
      <w:szCs w:val="16"/>
    </w:rPr>
  </w:style>
  <w:style w:type="character" w:customStyle="1" w:styleId="175">
    <w:name w:val="正文文本 2 字符2"/>
    <w:basedOn w:val="39"/>
    <w:autoRedefine/>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autoRedefine/>
    <w:semiHidden/>
    <w:qFormat/>
    <w:uiPriority w:val="99"/>
  </w:style>
  <w:style w:type="paragraph" w:customStyle="1" w:styleId="180">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1">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9"/>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2"/>
    <w:autoRedefine/>
    <w:qFormat/>
    <w:uiPriority w:val="0"/>
    <w:pPr>
      <w:jc w:val="center"/>
    </w:pPr>
    <w:rPr>
      <w:rFonts w:cs="宋体"/>
      <w:szCs w:val="20"/>
    </w:rPr>
  </w:style>
  <w:style w:type="paragraph" w:customStyle="1" w:styleId="198">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8"/>
    <w:link w:val="19"/>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正文 New New New New New"/>
    <w:autoRedefine/>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203">
    <w:name w:val="Table Paragraph"/>
    <w:basedOn w:val="1"/>
    <w:autoRedefine/>
    <w:qFormat/>
    <w:uiPriority w:val="1"/>
    <w:rPr>
      <w:rFonts w:cs="宋体"/>
    </w:rPr>
  </w:style>
  <w:style w:type="paragraph" w:customStyle="1" w:styleId="204">
    <w:name w:val="正文文本缩进 21"/>
    <w:basedOn w:val="1"/>
    <w:autoRedefine/>
    <w:qFormat/>
    <w:uiPriority w:val="0"/>
    <w:pPr>
      <w:adjustRightInd w:val="0"/>
      <w:spacing w:line="480" w:lineRule="auto"/>
      <w:ind w:firstLine="540"/>
      <w:textAlignment w:val="baseline"/>
    </w:pPr>
    <w:rPr>
      <w:rFonts w:ascii="Calibri" w:hAnsi="Calibri" w:eastAsia="宋体" w:cs="Times New Roman"/>
      <w:szCs w:val="21"/>
    </w:rPr>
  </w:style>
  <w:style w:type="paragraph" w:customStyle="1" w:styleId="205">
    <w:name w:val="Blockquote"/>
    <w:basedOn w:val="1"/>
    <w:autoRedefine/>
    <w:qFormat/>
    <w:uiPriority w:val="0"/>
    <w:pPr>
      <w:spacing w:before="100" w:after="100"/>
      <w:ind w:left="360" w:right="360"/>
    </w:pPr>
    <w:rPr>
      <w:rFonts w:ascii="Times New Roman"/>
      <w:szCs w:val="20"/>
    </w:rPr>
  </w:style>
  <w:style w:type="paragraph" w:customStyle="1" w:styleId="206">
    <w:name w:val="表格字体"/>
    <w:basedOn w:val="1"/>
    <w:autoRedefine/>
    <w:qFormat/>
    <w:uiPriority w:val="0"/>
    <w:pPr>
      <w:snapToGrid w:val="0"/>
    </w:pPr>
    <w:rPr>
      <w:rFonts w:ascii="微软雅黑" w:hAnsi="微软雅黑" w:eastAsia="仿宋"/>
      <w:sz w:val="20"/>
    </w:rPr>
  </w:style>
  <w:style w:type="paragraph" w:customStyle="1" w:styleId="207">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08">
    <w:name w:val="hightword"/>
    <w:basedOn w:val="39"/>
    <w:autoRedefine/>
    <w:qFormat/>
    <w:uiPriority w:val="0"/>
  </w:style>
  <w:style w:type="paragraph" w:customStyle="1" w:styleId="209">
    <w:name w:val="law-kuan"/>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1">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783A9-0BB8-4D80-AC26-35A1D5EB3F19}">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10919</Words>
  <Characters>62241</Characters>
  <Lines>518</Lines>
  <Paragraphs>146</Paragraphs>
  <TotalTime>13</TotalTime>
  <ScaleCrop>false</ScaleCrop>
  <LinksUpToDate>false</LinksUpToDate>
  <CharactersWithSpaces>73014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2024-03-20T08:07:00Z</dcterms:created>
  <dc:creator>HS</dc:creator>
  <cp:lastModifiedBy>建成</cp:lastModifiedBy>
  <cp:lastPrinted>2024-01-31T07:36:00Z</cp:lastPrinted>
  <dcterms:modified xsi:type="dcterms:W3CDTF">2024-04-29T02:22:32Z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FB2225A6A8DC41048F176E176871BBEC_13</vt:lpwstr>
  </property>
</Properties>
</file>