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color w:val="auto"/>
          <w:sz w:val="28"/>
          <w:highlight w:val="none"/>
        </w:rPr>
      </w:pPr>
    </w:p>
    <w:p>
      <w:pPr>
        <w:pStyle w:val="619"/>
        <w:rPr>
          <w:rFonts w:hint="eastAsia" w:ascii="宋体" w:hAnsi="宋体" w:eastAsia="宋体" w:cs="宋体"/>
          <w:color w:val="auto"/>
          <w:highlight w:val="none"/>
        </w:rPr>
      </w:pPr>
    </w:p>
    <w:p>
      <w:pPr>
        <w:pStyle w:val="619"/>
        <w:rPr>
          <w:rFonts w:hint="eastAsia" w:ascii="宋体" w:hAnsi="宋体" w:eastAsia="宋体" w:cs="宋体"/>
          <w:color w:val="auto"/>
          <w:highlight w:val="none"/>
        </w:rPr>
      </w:pPr>
    </w:p>
    <w:p>
      <w:pPr>
        <w:jc w:val="center"/>
        <w:rPr>
          <w:rFonts w:hint="eastAsia" w:ascii="宋体" w:hAnsi="宋体" w:eastAsia="宋体" w:cs="宋体"/>
          <w:b/>
          <w:color w:val="auto"/>
          <w:sz w:val="28"/>
          <w:highlight w:val="none"/>
          <w:lang w:eastAsia="zh-CN"/>
        </w:rPr>
      </w:pPr>
      <w:r>
        <w:rPr>
          <w:rFonts w:hint="eastAsia" w:ascii="宋体" w:hAnsi="宋体" w:eastAsia="宋体" w:cs="宋体"/>
          <w:b/>
          <w:bCs/>
          <w:color w:val="auto"/>
          <w:kern w:val="2"/>
          <w:sz w:val="60"/>
          <w:szCs w:val="60"/>
          <w:highlight w:val="none"/>
          <w:lang w:eastAsia="zh-CN"/>
        </w:rPr>
        <w:t>东莞市污泥处理处置过程数据管理系统采购项目</w:t>
      </w: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pStyle w:val="619"/>
        <w:ind w:left="0" w:leftChars="0" w:firstLine="0" w:firstLineChars="0"/>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ind w:right="-26"/>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rPr>
        <w:t>竞争性磋商文件</w:t>
      </w:r>
    </w:p>
    <w:p>
      <w:pPr>
        <w:rPr>
          <w:rFonts w:hint="eastAsia" w:ascii="宋体" w:hAnsi="宋体" w:eastAsia="宋体" w:cs="宋体"/>
          <w:b/>
          <w:bCs/>
          <w:color w:val="auto"/>
          <w:kern w:val="2"/>
          <w:sz w:val="44"/>
          <w:szCs w:val="44"/>
          <w:highlight w:val="none"/>
          <w:lang w:val="zh-CN"/>
        </w:rPr>
      </w:pPr>
    </w:p>
    <w:p>
      <w:pPr>
        <w:rPr>
          <w:rFonts w:hint="eastAsia" w:ascii="宋体" w:hAnsi="宋体" w:eastAsia="宋体" w:cs="宋体"/>
          <w:b/>
          <w:bCs/>
          <w:color w:val="auto"/>
          <w:kern w:val="2"/>
          <w:sz w:val="44"/>
          <w:szCs w:val="44"/>
          <w:highlight w:val="none"/>
          <w:lang w:val="zh-CN"/>
        </w:rPr>
      </w:pPr>
    </w:p>
    <w:p>
      <w:pPr>
        <w:rPr>
          <w:rFonts w:hint="eastAsia" w:ascii="宋体" w:hAnsi="宋体" w:eastAsia="宋体" w:cs="宋体"/>
          <w:b/>
          <w:bCs/>
          <w:color w:val="auto"/>
          <w:kern w:val="2"/>
          <w:sz w:val="44"/>
          <w:szCs w:val="44"/>
          <w:highlight w:val="none"/>
          <w:lang w:val="zh-CN"/>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rPr>
          <w:rFonts w:hint="eastAsia" w:ascii="宋体" w:hAnsi="宋体" w:eastAsia="宋体" w:cs="宋体"/>
          <w:b/>
          <w:color w:val="auto"/>
          <w:sz w:val="28"/>
          <w:highlight w:val="none"/>
        </w:rPr>
      </w:pPr>
    </w:p>
    <w:p>
      <w:pPr>
        <w:spacing w:line="360" w:lineRule="auto"/>
        <w:ind w:left="2351" w:leftChars="349" w:hanging="1513" w:hangingChars="471"/>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zh-CN"/>
        </w:rPr>
        <w:t>采购编号：ZYHJ-2024-0001</w:t>
      </w:r>
    </w:p>
    <w:p>
      <w:pPr>
        <w:spacing w:line="360" w:lineRule="auto"/>
        <w:ind w:left="2351" w:leftChars="349" w:hanging="1513" w:hangingChars="471"/>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rPr>
        <w:t>采购人</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rPr>
        <w:t>东莞市众源环境投资有限公司</w:t>
      </w:r>
    </w:p>
    <w:p>
      <w:pPr>
        <w:autoSpaceDE/>
        <w:autoSpaceDN/>
        <w:adjustRightInd/>
        <w:spacing w:line="360" w:lineRule="auto"/>
        <w:ind w:left="2351" w:leftChars="349" w:hanging="1513" w:hangingChars="47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lang w:val="zh-CN"/>
        </w:rPr>
        <w:t>代理机构：广东和盛招标代理有限公司</w:t>
      </w:r>
    </w:p>
    <w:p>
      <w:pPr>
        <w:rPr>
          <w:rFonts w:hint="eastAsia" w:ascii="宋体" w:hAnsi="宋体" w:eastAsia="宋体" w:cs="宋体"/>
          <w:b/>
          <w:color w:val="auto"/>
          <w:sz w:val="28"/>
          <w:highlight w:val="none"/>
        </w:r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202</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lang w:val="en-US" w:eastAsia="zh-CN"/>
        </w:rPr>
        <w:t>15</w:t>
      </w:r>
      <w:r>
        <w:rPr>
          <w:rFonts w:hint="eastAsia" w:ascii="宋体" w:hAnsi="宋体" w:eastAsia="宋体" w:cs="宋体"/>
          <w:b/>
          <w:color w:val="auto"/>
          <w:sz w:val="32"/>
          <w:szCs w:val="32"/>
          <w:highlight w:val="none"/>
        </w:rPr>
        <w:t>日</w:t>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z w:val="32"/>
          <w:szCs w:val="32"/>
          <w:highlight w:val="none"/>
          <w:lang w:val="zh-CN"/>
        </w:rPr>
        <w:t>目 录</w:t>
      </w:r>
    </w:p>
    <w:p>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sz w:val="21"/>
          <w:szCs w:val="21"/>
          <w:highlight w:val="none"/>
        </w:rPr>
      </w:pPr>
      <w:r>
        <w:rPr>
          <w:rFonts w:hint="eastAsia" w:ascii="宋体" w:hAnsi="宋体" w:eastAsia="宋体" w:cs="宋体"/>
          <w:b w:val="0"/>
          <w:bCs w:val="0"/>
          <w:i w:val="0"/>
          <w:iCs w:val="0"/>
          <w:color w:val="auto"/>
          <w:sz w:val="21"/>
          <w:szCs w:val="21"/>
          <w:highlight w:val="none"/>
        </w:rPr>
        <w:fldChar w:fldCharType="begin"/>
      </w:r>
      <w:r>
        <w:rPr>
          <w:rFonts w:hint="eastAsia" w:ascii="宋体" w:hAnsi="宋体" w:eastAsia="宋体" w:cs="宋体"/>
          <w:b w:val="0"/>
          <w:bCs w:val="0"/>
          <w:i w:val="0"/>
          <w:iCs w:val="0"/>
          <w:color w:val="auto"/>
          <w:sz w:val="21"/>
          <w:szCs w:val="21"/>
          <w:highlight w:val="none"/>
        </w:rPr>
        <w:instrText xml:space="preserve"> TOC \o "1-3" \h \z \u </w:instrText>
      </w:r>
      <w:r>
        <w:rPr>
          <w:rFonts w:hint="eastAsia" w:ascii="宋体" w:hAnsi="宋体" w:eastAsia="宋体" w:cs="宋体"/>
          <w:b w:val="0"/>
          <w:bCs w:val="0"/>
          <w:i w:val="0"/>
          <w:iCs w:val="0"/>
          <w:color w:val="auto"/>
          <w:sz w:val="21"/>
          <w:szCs w:val="21"/>
          <w:highlight w:val="none"/>
        </w:rPr>
        <w:fldChar w:fldCharType="separate"/>
      </w: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_Toc18657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kern w:val="44"/>
          <w:sz w:val="21"/>
          <w:szCs w:val="21"/>
          <w:highlight w:val="none"/>
          <w:lang w:val="zh-CN"/>
        </w:rPr>
        <w:t>第一篇</w:t>
      </w:r>
      <w:r>
        <w:rPr>
          <w:rFonts w:hint="eastAsia" w:ascii="宋体" w:hAnsi="宋体" w:eastAsia="宋体" w:cs="宋体"/>
          <w:bCs/>
          <w:kern w:val="44"/>
          <w:sz w:val="21"/>
          <w:szCs w:val="21"/>
          <w:highlight w:val="none"/>
          <w:lang w:val="en-US" w:eastAsia="zh-CN"/>
        </w:rPr>
        <w:t xml:space="preserve"> </w:t>
      </w:r>
      <w:r>
        <w:rPr>
          <w:rFonts w:hint="eastAsia" w:ascii="宋体" w:hAnsi="宋体" w:eastAsia="宋体" w:cs="宋体"/>
          <w:bCs/>
          <w:kern w:val="44"/>
          <w:sz w:val="21"/>
          <w:szCs w:val="21"/>
          <w:highlight w:val="none"/>
          <w:lang w:val="zh-CN"/>
        </w:rPr>
        <w:t>竞争性磋商</w:t>
      </w:r>
      <w:r>
        <w:rPr>
          <w:rFonts w:hint="eastAsia" w:ascii="宋体" w:hAnsi="宋体" w:eastAsia="宋体" w:cs="宋体"/>
          <w:bCs/>
          <w:kern w:val="44"/>
          <w:sz w:val="21"/>
          <w:szCs w:val="21"/>
          <w:highlight w:val="none"/>
          <w:lang w:val="en-US" w:eastAsia="zh-CN"/>
        </w:rPr>
        <w:t>公告</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_Toc18657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_Toc30011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kern w:val="44"/>
          <w:sz w:val="21"/>
          <w:szCs w:val="21"/>
          <w:highlight w:val="none"/>
          <w:lang w:val="zh-CN"/>
        </w:rPr>
        <w:t>第二篇</w:t>
      </w:r>
      <w:r>
        <w:rPr>
          <w:rFonts w:hint="eastAsia" w:ascii="宋体" w:hAnsi="宋体" w:eastAsia="宋体" w:cs="宋体"/>
          <w:bCs/>
          <w:kern w:val="44"/>
          <w:sz w:val="21"/>
          <w:szCs w:val="21"/>
          <w:highlight w:val="none"/>
          <w:lang w:val="en-US" w:eastAsia="zh-CN"/>
        </w:rPr>
        <w:t xml:space="preserve"> 磋商</w:t>
      </w:r>
      <w:r>
        <w:rPr>
          <w:rFonts w:hint="eastAsia" w:ascii="宋体" w:hAnsi="宋体" w:eastAsia="宋体" w:cs="宋体"/>
          <w:bCs/>
          <w:kern w:val="44"/>
          <w:sz w:val="21"/>
          <w:szCs w:val="21"/>
          <w:highlight w:val="none"/>
          <w:lang w:val="zh-CN"/>
        </w:rPr>
        <w:t>须知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_Toc30011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_Toc30287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i w:val="0"/>
          <w:iCs w:val="0"/>
          <w:kern w:val="44"/>
          <w:sz w:val="21"/>
          <w:szCs w:val="21"/>
          <w:highlight w:val="none"/>
          <w:lang w:val="zh-CN"/>
        </w:rPr>
        <w:t>一、总则</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_Toc30287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6</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_Toc28825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1</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资金来源</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_Toc28825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6</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_Toc6489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i w:val="0"/>
          <w:iCs w:val="0"/>
          <w:kern w:val="2"/>
          <w:sz w:val="21"/>
          <w:szCs w:val="21"/>
          <w:highlight w:val="none"/>
          <w:lang w:val="zh-CN"/>
        </w:rPr>
        <w:t>2</w:t>
      </w:r>
      <w:r>
        <w:rPr>
          <w:rFonts w:hint="eastAsia" w:ascii="宋体" w:hAnsi="宋体" w:eastAsia="宋体" w:cs="宋体"/>
          <w:bCs/>
          <w:i w:val="0"/>
          <w:iCs w:val="0"/>
          <w:kern w:val="2"/>
          <w:sz w:val="21"/>
          <w:szCs w:val="21"/>
          <w:highlight w:val="none"/>
          <w:lang w:val="en-US" w:eastAsia="zh-CN"/>
        </w:rPr>
        <w:t xml:space="preserve">   </w:t>
      </w:r>
      <w:r>
        <w:rPr>
          <w:rFonts w:hint="eastAsia" w:ascii="宋体" w:hAnsi="宋体" w:eastAsia="宋体" w:cs="宋体"/>
          <w:bCs/>
          <w:i w:val="0"/>
          <w:iCs w:val="0"/>
          <w:kern w:val="2"/>
          <w:sz w:val="21"/>
          <w:szCs w:val="21"/>
          <w:highlight w:val="none"/>
          <w:lang w:val="zh-CN"/>
        </w:rPr>
        <w:t>合格的供应商</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_Toc6489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6</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_Toc26545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3</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合格的服务</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_Toc26545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6</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_Toc13454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4</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其它说明</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_Toc13454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7</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_Toc12598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i w:val="0"/>
          <w:iCs w:val="0"/>
          <w:kern w:val="44"/>
          <w:sz w:val="21"/>
          <w:szCs w:val="21"/>
          <w:highlight w:val="none"/>
          <w:lang w:val="zh-CN"/>
        </w:rPr>
        <w:t>二、竞争性磋商文件</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_Toc12598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8</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_Toc12468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5</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竞争性磋商文件的构成</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_Toc12468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8</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_Toc13383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6</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竞争性磋商文件的异议</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_Toc13383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9</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_Toc15379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7</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竞争性磋商文件的澄清及修改</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_Toc15379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9</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_Toc25362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i w:val="0"/>
          <w:iCs w:val="0"/>
          <w:kern w:val="44"/>
          <w:sz w:val="21"/>
          <w:szCs w:val="21"/>
          <w:highlight w:val="none"/>
          <w:lang w:val="zh-CN"/>
        </w:rPr>
        <w:t>三、响应文件的编制</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_Toc25362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9</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_Toc4384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8</w:t>
      </w:r>
      <w:r>
        <w:rPr>
          <w:rFonts w:hint="eastAsia" w:ascii="宋体" w:hAnsi="宋体" w:eastAsia="宋体" w:cs="宋体"/>
          <w:i w:val="0"/>
          <w:iCs w:val="0"/>
          <w:kern w:val="2"/>
          <w:sz w:val="21"/>
          <w:szCs w:val="21"/>
          <w:highlight w:val="none"/>
          <w:lang w:val="en-US" w:eastAsia="zh-CN"/>
        </w:rPr>
        <w:t xml:space="preserve">   响应文件</w:t>
      </w:r>
      <w:r>
        <w:rPr>
          <w:rFonts w:hint="eastAsia" w:ascii="宋体" w:hAnsi="宋体" w:eastAsia="宋体" w:cs="宋体"/>
          <w:i w:val="0"/>
          <w:iCs w:val="0"/>
          <w:kern w:val="2"/>
          <w:sz w:val="21"/>
          <w:szCs w:val="21"/>
          <w:highlight w:val="none"/>
          <w:lang w:val="zh-CN"/>
        </w:rPr>
        <w:t>使用的文字及度量衡单位</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_Toc4384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9</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_Toc17221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eastAsia="zh-CN"/>
        </w:rPr>
        <w:t>9</w:t>
      </w:r>
      <w:r>
        <w:rPr>
          <w:rFonts w:hint="eastAsia" w:ascii="宋体" w:hAnsi="宋体" w:eastAsia="宋体" w:cs="宋体"/>
          <w:i w:val="0"/>
          <w:iCs w:val="0"/>
          <w:kern w:val="2"/>
          <w:sz w:val="21"/>
          <w:szCs w:val="21"/>
          <w:highlight w:val="none"/>
          <w:lang w:val="en-US" w:eastAsia="zh-CN"/>
        </w:rPr>
        <w:t xml:space="preserve">   响应文件</w:t>
      </w:r>
      <w:r>
        <w:rPr>
          <w:rFonts w:hint="eastAsia" w:ascii="宋体" w:hAnsi="宋体" w:eastAsia="宋体" w:cs="宋体"/>
          <w:i w:val="0"/>
          <w:iCs w:val="0"/>
          <w:kern w:val="2"/>
          <w:sz w:val="21"/>
          <w:szCs w:val="21"/>
          <w:highlight w:val="none"/>
          <w:lang w:val="zh-CN" w:eastAsia="zh-CN"/>
        </w:rPr>
        <w:t>的组成</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_Toc17221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9</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_Toc18327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10</w:t>
      </w:r>
      <w:r>
        <w:rPr>
          <w:rFonts w:hint="eastAsia" w:ascii="宋体" w:hAnsi="宋体" w:eastAsia="宋体" w:cs="宋体"/>
          <w:i w:val="0"/>
          <w:iCs w:val="0"/>
          <w:kern w:val="2"/>
          <w:sz w:val="21"/>
          <w:szCs w:val="21"/>
          <w:highlight w:val="none"/>
          <w:lang w:val="en-US" w:eastAsia="zh-CN"/>
        </w:rPr>
        <w:t xml:space="preserve">   磋商</w:t>
      </w:r>
      <w:r>
        <w:rPr>
          <w:rFonts w:hint="eastAsia" w:ascii="宋体" w:hAnsi="宋体" w:eastAsia="宋体" w:cs="宋体"/>
          <w:i w:val="0"/>
          <w:iCs w:val="0"/>
          <w:kern w:val="2"/>
          <w:sz w:val="21"/>
          <w:szCs w:val="21"/>
          <w:highlight w:val="none"/>
          <w:lang w:val="zh-CN"/>
        </w:rPr>
        <w:t>函</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_Toc18327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10</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_Toc15185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i w:val="0"/>
          <w:iCs w:val="0"/>
          <w:kern w:val="2"/>
          <w:sz w:val="21"/>
          <w:szCs w:val="21"/>
          <w:highlight w:val="none"/>
          <w:lang w:val="zh-CN"/>
        </w:rPr>
        <w:t>11</w:t>
      </w:r>
      <w:r>
        <w:rPr>
          <w:rFonts w:hint="eastAsia" w:ascii="宋体" w:hAnsi="宋体" w:eastAsia="宋体" w:cs="宋体"/>
          <w:bCs/>
          <w:i w:val="0"/>
          <w:iCs w:val="0"/>
          <w:kern w:val="2"/>
          <w:sz w:val="21"/>
          <w:szCs w:val="21"/>
          <w:highlight w:val="none"/>
          <w:lang w:val="en-US" w:eastAsia="zh-CN"/>
        </w:rPr>
        <w:t xml:space="preserve">   </w:t>
      </w:r>
      <w:r>
        <w:rPr>
          <w:rFonts w:hint="eastAsia" w:ascii="宋体" w:hAnsi="宋体" w:eastAsia="宋体" w:cs="宋体"/>
          <w:bCs/>
          <w:i w:val="0"/>
          <w:iCs w:val="0"/>
          <w:kern w:val="2"/>
          <w:sz w:val="21"/>
          <w:szCs w:val="21"/>
          <w:highlight w:val="none"/>
          <w:lang w:val="zh-CN"/>
        </w:rPr>
        <w:t>响应报价</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_Toc15185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11</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_Toc11071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12</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响应报价货币</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_Toc11071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11</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_Toc21140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13</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证明供应商的合格性和资格的声明文件</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_Toc21140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11</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_Toc11754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14</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证明服务的合格性并符合竞争性磋商文件规定的声明文件</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_Toc11754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12</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_Toc17366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i w:val="0"/>
          <w:iCs w:val="0"/>
          <w:kern w:val="2"/>
          <w:sz w:val="21"/>
          <w:szCs w:val="21"/>
          <w:highlight w:val="none"/>
          <w:lang w:val="zh-CN"/>
        </w:rPr>
        <w:t>15</w:t>
      </w:r>
      <w:r>
        <w:rPr>
          <w:rFonts w:hint="eastAsia" w:ascii="宋体" w:hAnsi="宋体" w:eastAsia="宋体" w:cs="宋体"/>
          <w:bCs/>
          <w:i w:val="0"/>
          <w:iCs w:val="0"/>
          <w:kern w:val="2"/>
          <w:sz w:val="21"/>
          <w:szCs w:val="21"/>
          <w:highlight w:val="none"/>
          <w:lang w:val="en-US" w:eastAsia="zh-CN"/>
        </w:rPr>
        <w:t xml:space="preserve">   </w:t>
      </w:r>
      <w:r>
        <w:rPr>
          <w:rFonts w:hint="eastAsia" w:ascii="宋体" w:hAnsi="宋体" w:eastAsia="宋体" w:cs="宋体"/>
          <w:bCs/>
          <w:i w:val="0"/>
          <w:iCs w:val="0"/>
          <w:kern w:val="2"/>
          <w:sz w:val="21"/>
          <w:szCs w:val="21"/>
          <w:highlight w:val="none"/>
        </w:rPr>
        <w:t>磋商</w:t>
      </w:r>
      <w:r>
        <w:rPr>
          <w:rFonts w:hint="eastAsia" w:ascii="宋体" w:hAnsi="宋体" w:eastAsia="宋体" w:cs="宋体"/>
          <w:bCs/>
          <w:i w:val="0"/>
          <w:iCs w:val="0"/>
          <w:kern w:val="2"/>
          <w:sz w:val="21"/>
          <w:szCs w:val="21"/>
          <w:highlight w:val="none"/>
          <w:lang w:val="zh-CN"/>
        </w:rPr>
        <w:t>保证金</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_Toc17366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12</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_Toc30329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16</w:t>
      </w:r>
      <w:r>
        <w:rPr>
          <w:rFonts w:hint="eastAsia" w:ascii="宋体" w:hAnsi="宋体" w:eastAsia="宋体" w:cs="宋体"/>
          <w:i w:val="0"/>
          <w:iCs w:val="0"/>
          <w:kern w:val="2"/>
          <w:sz w:val="21"/>
          <w:szCs w:val="21"/>
          <w:highlight w:val="none"/>
          <w:lang w:val="en-US" w:eastAsia="zh-CN"/>
        </w:rPr>
        <w:t xml:space="preserve">   响应</w:t>
      </w:r>
      <w:r>
        <w:rPr>
          <w:rFonts w:hint="eastAsia" w:ascii="宋体" w:hAnsi="宋体" w:eastAsia="宋体" w:cs="宋体"/>
          <w:i w:val="0"/>
          <w:iCs w:val="0"/>
          <w:kern w:val="2"/>
          <w:sz w:val="21"/>
          <w:szCs w:val="21"/>
          <w:highlight w:val="none"/>
          <w:lang w:val="zh-CN"/>
        </w:rPr>
        <w:t>有效期</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_Toc30329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12</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_Toc31944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17</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响应文件的式样和签署</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_Toc31944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12</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_Toc23780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i w:val="0"/>
          <w:iCs w:val="0"/>
          <w:kern w:val="44"/>
          <w:sz w:val="21"/>
          <w:szCs w:val="21"/>
          <w:highlight w:val="none"/>
          <w:lang w:val="zh-CN"/>
        </w:rPr>
        <w:t>四、响应文件的递交</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_Toc23780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13</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_Toc14948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18</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响应文件的密封和标记</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_Toc14948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13</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_Toc25494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19</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递交响应文件的截止日期</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_Toc25494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13</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_Toc12638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20</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迟交的响应文件</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_Toc12638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13</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_Toc159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21</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响应文件的修改和撤回</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_Toc159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14</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_Toc27395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i w:val="0"/>
          <w:iCs w:val="0"/>
          <w:kern w:val="44"/>
          <w:sz w:val="21"/>
          <w:szCs w:val="21"/>
          <w:highlight w:val="none"/>
          <w:lang w:val="zh-CN"/>
        </w:rPr>
        <w:t>五、</w:t>
      </w:r>
      <w:r>
        <w:rPr>
          <w:rFonts w:hint="eastAsia" w:ascii="宋体" w:hAnsi="宋体" w:eastAsia="宋体" w:cs="宋体"/>
          <w:bCs/>
          <w:i w:val="0"/>
          <w:iCs w:val="0"/>
          <w:kern w:val="44"/>
          <w:sz w:val="21"/>
          <w:szCs w:val="21"/>
          <w:highlight w:val="none"/>
          <w:lang w:val="en-US" w:eastAsia="zh-CN"/>
        </w:rPr>
        <w:t>竞争性磋商流程</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_Toc27395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14</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_Toc23948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22</w:t>
      </w:r>
      <w:r>
        <w:rPr>
          <w:rFonts w:hint="eastAsia" w:ascii="宋体" w:hAnsi="宋体" w:eastAsia="宋体" w:cs="宋体"/>
          <w:i w:val="0"/>
          <w:iCs w:val="0"/>
          <w:kern w:val="2"/>
          <w:sz w:val="21"/>
          <w:szCs w:val="21"/>
          <w:highlight w:val="none"/>
          <w:lang w:val="en-US" w:eastAsia="zh-CN"/>
        </w:rPr>
        <w:t xml:space="preserve">   开启响应文件</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_Toc23948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14</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_Toc577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2</w:t>
      </w:r>
      <w:r>
        <w:rPr>
          <w:rFonts w:hint="eastAsia" w:ascii="宋体" w:hAnsi="宋体" w:eastAsia="宋体" w:cs="宋体"/>
          <w:i w:val="0"/>
          <w:iCs w:val="0"/>
          <w:kern w:val="2"/>
          <w:sz w:val="21"/>
          <w:szCs w:val="21"/>
          <w:highlight w:val="none"/>
          <w:lang w:val="en-US" w:eastAsia="zh-CN"/>
        </w:rPr>
        <w:t xml:space="preserve">3   </w:t>
      </w:r>
      <w:r>
        <w:rPr>
          <w:rFonts w:hint="eastAsia" w:ascii="宋体" w:hAnsi="宋体" w:eastAsia="宋体" w:cs="宋体"/>
          <w:i w:val="0"/>
          <w:iCs w:val="0"/>
          <w:sz w:val="21"/>
          <w:szCs w:val="21"/>
          <w:highlight w:val="none"/>
          <w:lang w:eastAsia="zh-CN"/>
        </w:rPr>
        <w:t>评审</w:t>
      </w:r>
      <w:r>
        <w:rPr>
          <w:rFonts w:hint="eastAsia" w:ascii="宋体" w:hAnsi="宋体" w:eastAsia="宋体" w:cs="宋体"/>
          <w:i w:val="0"/>
          <w:iCs w:val="0"/>
          <w:sz w:val="21"/>
          <w:szCs w:val="21"/>
          <w:highlight w:val="none"/>
        </w:rPr>
        <w:t>过程的保密性</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_Toc577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14</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_Toc10979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2</w:t>
      </w:r>
      <w:r>
        <w:rPr>
          <w:rFonts w:hint="eastAsia" w:ascii="宋体" w:hAnsi="宋体" w:eastAsia="宋体" w:cs="宋体"/>
          <w:i w:val="0"/>
          <w:iCs w:val="0"/>
          <w:kern w:val="2"/>
          <w:sz w:val="21"/>
          <w:szCs w:val="21"/>
          <w:highlight w:val="none"/>
          <w:lang w:val="en-US" w:eastAsia="zh-CN"/>
        </w:rPr>
        <w:t>4   磋商小组</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_Toc10979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14</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_Toc2470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2</w:t>
      </w:r>
      <w:r>
        <w:rPr>
          <w:rFonts w:hint="eastAsia" w:ascii="宋体" w:hAnsi="宋体" w:eastAsia="宋体" w:cs="宋体"/>
          <w:i w:val="0"/>
          <w:iCs w:val="0"/>
          <w:kern w:val="2"/>
          <w:sz w:val="21"/>
          <w:szCs w:val="21"/>
          <w:highlight w:val="none"/>
          <w:lang w:val="en-US" w:eastAsia="zh-CN"/>
        </w:rPr>
        <w:t xml:space="preserve">5   </w:t>
      </w:r>
      <w:r>
        <w:rPr>
          <w:rFonts w:hint="eastAsia" w:ascii="宋体" w:hAnsi="宋体" w:eastAsia="宋体" w:cs="宋体"/>
          <w:i w:val="0"/>
          <w:iCs w:val="0"/>
          <w:kern w:val="2"/>
          <w:sz w:val="21"/>
          <w:szCs w:val="21"/>
          <w:highlight w:val="none"/>
          <w:lang w:val="zh-CN"/>
        </w:rPr>
        <w:t>响应文件的评审</w:t>
      </w:r>
      <w:r>
        <w:rPr>
          <w:rFonts w:hint="eastAsia" w:ascii="宋体" w:hAnsi="宋体" w:eastAsia="宋体" w:cs="宋体"/>
          <w:i w:val="0"/>
          <w:iCs w:val="0"/>
          <w:kern w:val="2"/>
          <w:sz w:val="21"/>
          <w:szCs w:val="21"/>
          <w:highlight w:val="none"/>
          <w:lang w:val="en-US" w:eastAsia="zh-CN"/>
        </w:rPr>
        <w:t>及设计方案讲解</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_Toc2470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15</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_Toc19605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eastAsia="zh-CN"/>
        </w:rPr>
        <w:t>26   响应文件的澄清</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_Toc19605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15</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_Toc27283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 xml:space="preserve">27 </w:t>
      </w:r>
      <w:r>
        <w:rPr>
          <w:rFonts w:hint="eastAsia" w:ascii="宋体" w:hAnsi="宋体" w:eastAsia="宋体" w:cs="宋体"/>
          <w:i w:val="0"/>
          <w:iCs w:val="0"/>
          <w:kern w:val="2"/>
          <w:sz w:val="21"/>
          <w:szCs w:val="21"/>
          <w:highlight w:val="none"/>
          <w:lang w:val="en-US" w:eastAsia="zh-CN"/>
        </w:rPr>
        <w:t xml:space="preserve">  </w:t>
      </w:r>
      <w:r>
        <w:rPr>
          <w:rFonts w:hint="eastAsia" w:ascii="宋体" w:hAnsi="宋体" w:eastAsia="宋体" w:cs="宋体"/>
          <w:i w:val="0"/>
          <w:iCs w:val="0"/>
          <w:kern w:val="2"/>
          <w:sz w:val="21"/>
          <w:szCs w:val="21"/>
          <w:highlight w:val="none"/>
          <w:lang w:val="zh-CN"/>
        </w:rPr>
        <w:t>对</w:t>
      </w:r>
      <w:r>
        <w:rPr>
          <w:rFonts w:hint="eastAsia" w:ascii="宋体" w:hAnsi="宋体" w:eastAsia="宋体" w:cs="宋体"/>
          <w:i w:val="0"/>
          <w:iCs w:val="0"/>
          <w:kern w:val="2"/>
          <w:sz w:val="21"/>
          <w:szCs w:val="21"/>
          <w:highlight w:val="none"/>
          <w:lang w:val="en-US" w:eastAsia="zh-CN"/>
        </w:rPr>
        <w:t>响应</w:t>
      </w:r>
      <w:r>
        <w:rPr>
          <w:rFonts w:hint="eastAsia" w:ascii="宋体" w:hAnsi="宋体" w:eastAsia="宋体" w:cs="宋体"/>
          <w:i w:val="0"/>
          <w:iCs w:val="0"/>
          <w:kern w:val="2"/>
          <w:sz w:val="21"/>
          <w:szCs w:val="21"/>
          <w:highlight w:val="none"/>
          <w:lang w:val="zh-CN"/>
        </w:rPr>
        <w:t>文件的比较和评价</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_Toc27283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15</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_Toc3810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2</w:t>
      </w:r>
      <w:r>
        <w:rPr>
          <w:rFonts w:hint="eastAsia" w:ascii="宋体" w:hAnsi="宋体" w:eastAsia="宋体" w:cs="宋体"/>
          <w:i w:val="0"/>
          <w:iCs w:val="0"/>
          <w:kern w:val="2"/>
          <w:sz w:val="21"/>
          <w:szCs w:val="21"/>
          <w:highlight w:val="none"/>
          <w:lang w:val="en-US" w:eastAsia="zh-CN"/>
        </w:rPr>
        <w:t>8</w:t>
      </w:r>
      <w:r>
        <w:rPr>
          <w:rFonts w:hint="eastAsia" w:ascii="宋体" w:hAnsi="宋体" w:eastAsia="宋体" w:cs="宋体"/>
          <w:i w:val="0"/>
          <w:iCs w:val="0"/>
          <w:kern w:val="2"/>
          <w:sz w:val="21"/>
          <w:szCs w:val="21"/>
          <w:highlight w:val="none"/>
          <w:lang w:val="zh-CN"/>
        </w:rPr>
        <w:t xml:space="preserve">   评审原则及方法</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_Toc3810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15</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_Toc20234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2</w:t>
      </w:r>
      <w:r>
        <w:rPr>
          <w:rFonts w:hint="eastAsia" w:ascii="宋体" w:hAnsi="宋体" w:eastAsia="宋体" w:cs="宋体"/>
          <w:i w:val="0"/>
          <w:iCs w:val="0"/>
          <w:kern w:val="2"/>
          <w:sz w:val="21"/>
          <w:szCs w:val="21"/>
          <w:highlight w:val="none"/>
          <w:lang w:val="en-US" w:eastAsia="zh-CN"/>
        </w:rPr>
        <w:t>9</w:t>
      </w:r>
      <w:r>
        <w:rPr>
          <w:rFonts w:hint="eastAsia" w:ascii="宋体" w:hAnsi="宋体" w:eastAsia="宋体" w:cs="宋体"/>
          <w:i w:val="0"/>
          <w:iCs w:val="0"/>
          <w:kern w:val="2"/>
          <w:sz w:val="21"/>
          <w:szCs w:val="21"/>
          <w:highlight w:val="none"/>
          <w:lang w:val="zh-CN"/>
        </w:rPr>
        <w:t xml:space="preserve">   </w:t>
      </w:r>
      <w:r>
        <w:rPr>
          <w:rFonts w:hint="eastAsia" w:ascii="宋体" w:hAnsi="宋体" w:eastAsia="宋体" w:cs="宋体"/>
          <w:i w:val="0"/>
          <w:iCs w:val="0"/>
          <w:kern w:val="2"/>
          <w:sz w:val="21"/>
          <w:szCs w:val="21"/>
          <w:highlight w:val="none"/>
          <w:lang w:val="en-US" w:eastAsia="zh-CN"/>
        </w:rPr>
        <w:t>评标结果公示</w:t>
      </w:r>
      <w:r>
        <w:rPr>
          <w:rFonts w:hint="eastAsia" w:ascii="宋体" w:hAnsi="宋体" w:eastAsia="宋体" w:cs="宋体"/>
          <w:i w:val="0"/>
          <w:iCs w:val="0"/>
          <w:kern w:val="2"/>
          <w:sz w:val="21"/>
          <w:szCs w:val="21"/>
          <w:highlight w:val="none"/>
          <w:lang w:val="zh-CN"/>
        </w:rPr>
        <w:t>及异议、投诉</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_Toc20234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16</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_Toc20357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i w:val="0"/>
          <w:iCs w:val="0"/>
          <w:kern w:val="2"/>
          <w:sz w:val="21"/>
          <w:szCs w:val="21"/>
          <w:highlight w:val="none"/>
          <w:lang w:val="en-US" w:eastAsia="zh-CN"/>
        </w:rPr>
        <w:t xml:space="preserve">30   </w:t>
      </w:r>
      <w:r>
        <w:rPr>
          <w:rFonts w:hint="eastAsia" w:ascii="宋体" w:hAnsi="宋体" w:eastAsia="宋体" w:cs="宋体"/>
          <w:bCs/>
          <w:i w:val="0"/>
          <w:iCs w:val="0"/>
          <w:kern w:val="2"/>
          <w:sz w:val="21"/>
          <w:szCs w:val="21"/>
          <w:highlight w:val="none"/>
          <w:lang w:val="zh-CN"/>
        </w:rPr>
        <w:t>真实性审查</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_Toc20357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17</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_Toc29355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3</w:t>
      </w:r>
      <w:r>
        <w:rPr>
          <w:rFonts w:hint="eastAsia" w:ascii="宋体" w:hAnsi="宋体" w:eastAsia="宋体" w:cs="宋体"/>
          <w:i w:val="0"/>
          <w:iCs w:val="0"/>
          <w:kern w:val="2"/>
          <w:sz w:val="21"/>
          <w:szCs w:val="21"/>
          <w:highlight w:val="none"/>
          <w:lang w:val="en-US" w:eastAsia="zh-CN"/>
        </w:rPr>
        <w:t xml:space="preserve">1   </w:t>
      </w:r>
      <w:r>
        <w:rPr>
          <w:rFonts w:hint="eastAsia" w:ascii="宋体" w:hAnsi="宋体" w:eastAsia="宋体" w:cs="宋体"/>
          <w:i w:val="0"/>
          <w:iCs w:val="0"/>
          <w:kern w:val="2"/>
          <w:sz w:val="21"/>
          <w:szCs w:val="21"/>
          <w:highlight w:val="none"/>
          <w:lang w:val="zh-CN"/>
        </w:rPr>
        <w:t>磋商小组和采购人接受或拒绝任何报价或所有报价的权利</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_Toc29355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17</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_Toc9510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i w:val="0"/>
          <w:iCs w:val="0"/>
          <w:kern w:val="44"/>
          <w:sz w:val="21"/>
          <w:szCs w:val="21"/>
          <w:highlight w:val="none"/>
          <w:lang w:val="zh-CN"/>
        </w:rPr>
        <w:t>六、授予合同</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_Toc9510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17</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_Toc23777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3</w:t>
      </w:r>
      <w:r>
        <w:rPr>
          <w:rFonts w:hint="eastAsia" w:ascii="宋体" w:hAnsi="宋体" w:eastAsia="宋体" w:cs="宋体"/>
          <w:i w:val="0"/>
          <w:iCs w:val="0"/>
          <w:kern w:val="2"/>
          <w:sz w:val="21"/>
          <w:szCs w:val="21"/>
          <w:highlight w:val="none"/>
          <w:lang w:val="en-US" w:eastAsia="zh-CN"/>
        </w:rPr>
        <w:t xml:space="preserve">2   </w:t>
      </w:r>
      <w:r>
        <w:rPr>
          <w:rFonts w:hint="eastAsia" w:ascii="宋体" w:hAnsi="宋体" w:eastAsia="宋体" w:cs="宋体"/>
          <w:i w:val="0"/>
          <w:iCs w:val="0"/>
          <w:kern w:val="2"/>
          <w:sz w:val="21"/>
          <w:szCs w:val="21"/>
          <w:highlight w:val="none"/>
          <w:lang w:val="zh-CN"/>
        </w:rPr>
        <w:t>授予合同的准则</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_Toc23777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17</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_Toc8027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3</w:t>
      </w:r>
      <w:r>
        <w:rPr>
          <w:rFonts w:hint="eastAsia" w:ascii="宋体" w:hAnsi="宋体" w:eastAsia="宋体" w:cs="宋体"/>
          <w:i w:val="0"/>
          <w:iCs w:val="0"/>
          <w:kern w:val="2"/>
          <w:sz w:val="21"/>
          <w:szCs w:val="21"/>
          <w:highlight w:val="none"/>
          <w:lang w:val="en-US" w:eastAsia="zh-CN"/>
        </w:rPr>
        <w:t xml:space="preserve">3  </w:t>
      </w:r>
      <w:r>
        <w:rPr>
          <w:rFonts w:hint="eastAsia" w:ascii="宋体" w:hAnsi="宋体" w:eastAsia="宋体" w:cs="宋体"/>
          <w:i w:val="0"/>
          <w:iCs w:val="0"/>
          <w:kern w:val="2"/>
          <w:sz w:val="21"/>
          <w:szCs w:val="21"/>
          <w:highlight w:val="none"/>
          <w:lang w:val="zh-CN"/>
        </w:rPr>
        <w:t xml:space="preserve"> </w:t>
      </w:r>
      <w:r>
        <w:rPr>
          <w:rFonts w:hint="eastAsia" w:ascii="宋体" w:hAnsi="宋体" w:eastAsia="宋体" w:cs="宋体"/>
          <w:i w:val="0"/>
          <w:iCs w:val="0"/>
          <w:kern w:val="2"/>
          <w:sz w:val="21"/>
          <w:szCs w:val="21"/>
          <w:highlight w:val="none"/>
          <w:lang w:val="en-US" w:eastAsia="zh-CN"/>
        </w:rPr>
        <w:t>成交</w:t>
      </w:r>
      <w:r>
        <w:rPr>
          <w:rFonts w:hint="eastAsia" w:ascii="宋体" w:hAnsi="宋体" w:eastAsia="宋体" w:cs="宋体"/>
          <w:i w:val="0"/>
          <w:iCs w:val="0"/>
          <w:kern w:val="2"/>
          <w:sz w:val="21"/>
          <w:szCs w:val="21"/>
          <w:highlight w:val="none"/>
          <w:lang w:val="zh-CN"/>
        </w:rPr>
        <w:t>通知</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_Toc8027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18</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_Toc21850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3</w:t>
      </w:r>
      <w:r>
        <w:rPr>
          <w:rFonts w:hint="eastAsia" w:ascii="宋体" w:hAnsi="宋体" w:eastAsia="宋体" w:cs="宋体"/>
          <w:i w:val="0"/>
          <w:iCs w:val="0"/>
          <w:kern w:val="2"/>
          <w:sz w:val="21"/>
          <w:szCs w:val="21"/>
          <w:highlight w:val="none"/>
          <w:lang w:val="en-US" w:eastAsia="zh-CN"/>
        </w:rPr>
        <w:t xml:space="preserve">4   </w:t>
      </w:r>
      <w:r>
        <w:rPr>
          <w:rFonts w:hint="eastAsia" w:ascii="宋体" w:hAnsi="宋体" w:eastAsia="宋体" w:cs="宋体"/>
          <w:i w:val="0"/>
          <w:iCs w:val="0"/>
          <w:kern w:val="2"/>
          <w:sz w:val="21"/>
          <w:szCs w:val="21"/>
          <w:highlight w:val="none"/>
          <w:lang w:val="zh-CN"/>
        </w:rPr>
        <w:t>签署合同</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_Toc21850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18</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_Toc19399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3</w:t>
      </w:r>
      <w:r>
        <w:rPr>
          <w:rFonts w:hint="eastAsia" w:ascii="宋体" w:hAnsi="宋体" w:eastAsia="宋体" w:cs="宋体"/>
          <w:i w:val="0"/>
          <w:iCs w:val="0"/>
          <w:kern w:val="2"/>
          <w:sz w:val="21"/>
          <w:szCs w:val="21"/>
          <w:highlight w:val="none"/>
          <w:lang w:val="en-US" w:eastAsia="zh-CN"/>
        </w:rPr>
        <w:t>5</w:t>
      </w:r>
      <w:r>
        <w:rPr>
          <w:rFonts w:hint="eastAsia" w:ascii="宋体" w:hAnsi="宋体" w:eastAsia="宋体" w:cs="宋体"/>
          <w:i w:val="0"/>
          <w:iCs w:val="0"/>
          <w:kern w:val="2"/>
          <w:sz w:val="21"/>
          <w:szCs w:val="21"/>
          <w:highlight w:val="none"/>
        </w:rPr>
        <w:t xml:space="preserve">   </w:t>
      </w:r>
      <w:r>
        <w:rPr>
          <w:rFonts w:hint="eastAsia" w:ascii="宋体" w:hAnsi="宋体" w:eastAsia="宋体" w:cs="宋体"/>
          <w:i w:val="0"/>
          <w:iCs w:val="0"/>
          <w:kern w:val="2"/>
          <w:sz w:val="21"/>
          <w:szCs w:val="21"/>
          <w:highlight w:val="none"/>
          <w:lang w:val="zh-CN"/>
        </w:rPr>
        <w:t>履约担保</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_Toc19399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18</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_Toc11568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3</w:t>
      </w:r>
      <w:r>
        <w:rPr>
          <w:rFonts w:hint="eastAsia" w:ascii="宋体" w:hAnsi="宋体" w:eastAsia="宋体" w:cs="宋体"/>
          <w:i w:val="0"/>
          <w:iCs w:val="0"/>
          <w:kern w:val="2"/>
          <w:sz w:val="21"/>
          <w:szCs w:val="21"/>
          <w:highlight w:val="none"/>
          <w:lang w:val="en-US" w:eastAsia="zh-CN"/>
        </w:rPr>
        <w:t xml:space="preserve">6   </w:t>
      </w:r>
      <w:r>
        <w:rPr>
          <w:rFonts w:hint="eastAsia" w:ascii="宋体" w:hAnsi="宋体" w:eastAsia="宋体" w:cs="宋体"/>
          <w:i w:val="0"/>
          <w:iCs w:val="0"/>
          <w:kern w:val="2"/>
          <w:sz w:val="21"/>
          <w:szCs w:val="21"/>
          <w:highlight w:val="none"/>
          <w:lang w:val="zh-CN"/>
        </w:rPr>
        <w:t>在合同履行中变更采购范围的权利</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_Toc11568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18</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_Toc20758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3</w:t>
      </w:r>
      <w:r>
        <w:rPr>
          <w:rFonts w:hint="eastAsia" w:ascii="宋体" w:hAnsi="宋体" w:eastAsia="宋体" w:cs="宋体"/>
          <w:i w:val="0"/>
          <w:iCs w:val="0"/>
          <w:kern w:val="2"/>
          <w:sz w:val="21"/>
          <w:szCs w:val="21"/>
          <w:highlight w:val="none"/>
          <w:lang w:val="en-US" w:eastAsia="zh-CN"/>
        </w:rPr>
        <w:t>7   代理</w:t>
      </w:r>
      <w:r>
        <w:rPr>
          <w:rFonts w:hint="eastAsia" w:ascii="宋体" w:hAnsi="宋体" w:eastAsia="宋体" w:cs="宋体"/>
          <w:i w:val="0"/>
          <w:iCs w:val="0"/>
          <w:kern w:val="2"/>
          <w:sz w:val="21"/>
          <w:szCs w:val="21"/>
          <w:highlight w:val="none"/>
          <w:lang w:val="zh-CN"/>
        </w:rPr>
        <w:t>服务费</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_Toc20758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18</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_Toc2675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3</w:t>
      </w:r>
      <w:r>
        <w:rPr>
          <w:rFonts w:hint="eastAsia" w:ascii="宋体" w:hAnsi="宋体" w:eastAsia="宋体" w:cs="宋体"/>
          <w:i w:val="0"/>
          <w:iCs w:val="0"/>
          <w:kern w:val="2"/>
          <w:sz w:val="21"/>
          <w:szCs w:val="21"/>
          <w:highlight w:val="none"/>
          <w:lang w:val="en-US" w:eastAsia="zh-CN"/>
        </w:rPr>
        <w:t xml:space="preserve">8   </w:t>
      </w:r>
      <w:r>
        <w:rPr>
          <w:rFonts w:hint="eastAsia" w:ascii="宋体" w:hAnsi="宋体" w:eastAsia="宋体" w:cs="宋体"/>
          <w:i w:val="0"/>
          <w:iCs w:val="0"/>
          <w:kern w:val="2"/>
          <w:sz w:val="21"/>
          <w:szCs w:val="21"/>
          <w:highlight w:val="none"/>
          <w:lang w:val="zh-CN"/>
        </w:rPr>
        <w:t>发票</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_Toc2675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18</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_Toc14049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zh-CN"/>
        </w:rPr>
        <w:t>3</w:t>
      </w:r>
      <w:r>
        <w:rPr>
          <w:rFonts w:hint="eastAsia" w:ascii="宋体" w:hAnsi="宋体" w:eastAsia="宋体" w:cs="宋体"/>
          <w:i w:val="0"/>
          <w:iCs w:val="0"/>
          <w:kern w:val="2"/>
          <w:sz w:val="21"/>
          <w:szCs w:val="21"/>
          <w:highlight w:val="none"/>
          <w:lang w:val="en-US" w:eastAsia="zh-CN"/>
        </w:rPr>
        <w:t>9</w:t>
      </w:r>
      <w:r>
        <w:rPr>
          <w:rFonts w:hint="eastAsia" w:ascii="宋体" w:hAnsi="宋体" w:eastAsia="宋体" w:cs="宋体"/>
          <w:i w:val="0"/>
          <w:iCs w:val="0"/>
          <w:kern w:val="2"/>
          <w:sz w:val="21"/>
          <w:szCs w:val="21"/>
          <w:highlight w:val="none"/>
          <w:lang w:val="zh-CN"/>
        </w:rPr>
        <w:t xml:space="preserve"> </w:t>
      </w:r>
      <w:r>
        <w:rPr>
          <w:rFonts w:hint="eastAsia" w:ascii="宋体" w:hAnsi="宋体" w:eastAsia="宋体" w:cs="宋体"/>
          <w:i w:val="0"/>
          <w:iCs w:val="0"/>
          <w:kern w:val="2"/>
          <w:sz w:val="21"/>
          <w:szCs w:val="21"/>
          <w:highlight w:val="none"/>
          <w:lang w:val="en-US" w:eastAsia="zh-CN"/>
        </w:rPr>
        <w:t xml:space="preserve">  采购</w:t>
      </w:r>
      <w:r>
        <w:rPr>
          <w:rFonts w:hint="eastAsia" w:ascii="宋体" w:hAnsi="宋体" w:eastAsia="宋体" w:cs="宋体"/>
          <w:i w:val="0"/>
          <w:iCs w:val="0"/>
          <w:kern w:val="2"/>
          <w:sz w:val="21"/>
          <w:szCs w:val="21"/>
          <w:highlight w:val="none"/>
          <w:lang w:val="zh-CN"/>
        </w:rPr>
        <w:t>相关补充约定</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_Toc14049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19</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_Toc4342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i w:val="0"/>
          <w:iCs w:val="0"/>
          <w:kern w:val="2"/>
          <w:sz w:val="21"/>
          <w:szCs w:val="21"/>
          <w:highlight w:val="none"/>
          <w:lang w:val="en-US" w:eastAsia="zh-CN"/>
        </w:rPr>
        <w:t xml:space="preserve">40   </w:t>
      </w:r>
      <w:r>
        <w:rPr>
          <w:rFonts w:hint="eastAsia" w:ascii="宋体" w:hAnsi="宋体" w:eastAsia="宋体" w:cs="宋体"/>
          <w:i w:val="0"/>
          <w:iCs w:val="0"/>
          <w:kern w:val="2"/>
          <w:sz w:val="21"/>
          <w:szCs w:val="21"/>
          <w:highlight w:val="none"/>
          <w:lang w:val="zh-CN"/>
        </w:rPr>
        <w:t>本次采购活动的最终解释权归采购代理机构及采购人所有</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_Toc4342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19</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_Toc27082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i w:val="0"/>
          <w:iCs w:val="0"/>
          <w:kern w:val="44"/>
          <w:sz w:val="21"/>
          <w:szCs w:val="21"/>
          <w:highlight w:val="none"/>
          <w:lang w:val="zh-CN"/>
        </w:rPr>
        <w:t>第三篇</w:t>
      </w:r>
      <w:r>
        <w:rPr>
          <w:rFonts w:hint="eastAsia" w:ascii="宋体" w:hAnsi="宋体" w:eastAsia="宋体" w:cs="宋体"/>
          <w:bCs/>
          <w:i w:val="0"/>
          <w:iCs w:val="0"/>
          <w:kern w:val="44"/>
          <w:sz w:val="21"/>
          <w:szCs w:val="21"/>
          <w:highlight w:val="none"/>
          <w:lang w:val="en-US" w:eastAsia="zh-CN"/>
        </w:rPr>
        <w:t xml:space="preserve"> </w:t>
      </w:r>
      <w:r>
        <w:rPr>
          <w:rFonts w:hint="eastAsia" w:ascii="宋体" w:hAnsi="宋体" w:eastAsia="宋体" w:cs="宋体"/>
          <w:bCs/>
          <w:i w:val="0"/>
          <w:iCs w:val="0"/>
          <w:kern w:val="44"/>
          <w:sz w:val="21"/>
          <w:szCs w:val="21"/>
          <w:highlight w:val="none"/>
          <w:lang w:val="zh-CN"/>
        </w:rPr>
        <w:t>用户需求书</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_Toc27082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20</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_Toc22795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i w:val="0"/>
          <w:iCs w:val="0"/>
          <w:kern w:val="44"/>
          <w:sz w:val="21"/>
          <w:szCs w:val="21"/>
          <w:highlight w:val="none"/>
          <w:lang w:val="zh-CN"/>
        </w:rPr>
        <w:t>第四篇</w:t>
      </w:r>
      <w:r>
        <w:rPr>
          <w:rFonts w:hint="eastAsia" w:ascii="宋体" w:hAnsi="宋体" w:eastAsia="宋体" w:cs="宋体"/>
          <w:bCs/>
          <w:i w:val="0"/>
          <w:iCs w:val="0"/>
          <w:kern w:val="44"/>
          <w:sz w:val="21"/>
          <w:szCs w:val="21"/>
          <w:highlight w:val="none"/>
          <w:lang w:val="en-US" w:eastAsia="zh-CN"/>
        </w:rPr>
        <w:t xml:space="preserve"> </w:t>
      </w:r>
      <w:r>
        <w:rPr>
          <w:rFonts w:hint="eastAsia" w:ascii="宋体" w:hAnsi="宋体" w:eastAsia="宋体" w:cs="宋体"/>
          <w:bCs/>
          <w:i w:val="0"/>
          <w:iCs w:val="0"/>
          <w:kern w:val="44"/>
          <w:sz w:val="21"/>
          <w:szCs w:val="21"/>
          <w:highlight w:val="none"/>
          <w:lang w:val="zh-CN"/>
        </w:rPr>
        <w:t>合同条款格式</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_Toc22795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32</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_Toc14798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i w:val="0"/>
          <w:iCs w:val="0"/>
          <w:kern w:val="44"/>
          <w:sz w:val="21"/>
          <w:szCs w:val="21"/>
          <w:highlight w:val="none"/>
          <w:lang w:val="zh-CN"/>
        </w:rPr>
        <w:t>第</w:t>
      </w:r>
      <w:r>
        <w:rPr>
          <w:rFonts w:hint="eastAsia" w:ascii="宋体" w:hAnsi="宋体" w:eastAsia="宋体" w:cs="宋体"/>
          <w:bCs/>
          <w:i w:val="0"/>
          <w:iCs w:val="0"/>
          <w:kern w:val="44"/>
          <w:sz w:val="21"/>
          <w:szCs w:val="21"/>
          <w:highlight w:val="none"/>
          <w:lang w:val="en-US" w:eastAsia="zh-CN"/>
        </w:rPr>
        <w:t>五</w:t>
      </w:r>
      <w:r>
        <w:rPr>
          <w:rFonts w:hint="eastAsia" w:ascii="宋体" w:hAnsi="宋体" w:eastAsia="宋体" w:cs="宋体"/>
          <w:bCs/>
          <w:i w:val="0"/>
          <w:iCs w:val="0"/>
          <w:kern w:val="44"/>
          <w:sz w:val="21"/>
          <w:szCs w:val="21"/>
          <w:highlight w:val="none"/>
          <w:lang w:val="zh-CN"/>
        </w:rPr>
        <w:t>篇</w:t>
      </w:r>
      <w:r>
        <w:rPr>
          <w:rFonts w:hint="eastAsia" w:ascii="宋体" w:hAnsi="宋体" w:eastAsia="宋体" w:cs="宋体"/>
          <w:bCs/>
          <w:i w:val="0"/>
          <w:iCs w:val="0"/>
          <w:kern w:val="44"/>
          <w:sz w:val="21"/>
          <w:szCs w:val="21"/>
          <w:highlight w:val="none"/>
          <w:lang w:val="en-US" w:eastAsia="zh-CN"/>
        </w:rPr>
        <w:t xml:space="preserve"> </w:t>
      </w:r>
      <w:r>
        <w:rPr>
          <w:rFonts w:hint="eastAsia" w:ascii="宋体" w:hAnsi="宋体" w:eastAsia="宋体" w:cs="宋体"/>
          <w:bCs/>
          <w:i w:val="0"/>
          <w:iCs w:val="0"/>
          <w:kern w:val="44"/>
          <w:sz w:val="21"/>
          <w:szCs w:val="21"/>
          <w:highlight w:val="none"/>
          <w:lang w:val="zh-CN"/>
        </w:rPr>
        <w:t>响应文件格式</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_Toc14798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43</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sz w:val="21"/>
          <w:szCs w:val="21"/>
          <w:highlight w:val="none"/>
        </w:rPr>
      </w:pPr>
      <w:r>
        <w:rPr>
          <w:rFonts w:hint="eastAsia" w:ascii="宋体" w:hAnsi="宋体" w:eastAsia="宋体" w:cs="宋体"/>
          <w:bCs w:val="0"/>
          <w:i w:val="0"/>
          <w:iCs w:val="0"/>
          <w:color w:val="auto"/>
          <w:sz w:val="21"/>
          <w:szCs w:val="21"/>
          <w:highlight w:val="none"/>
        </w:rPr>
        <w:fldChar w:fldCharType="begin"/>
      </w:r>
      <w:r>
        <w:rPr>
          <w:rFonts w:hint="eastAsia" w:ascii="宋体" w:hAnsi="宋体" w:eastAsia="宋体" w:cs="宋体"/>
          <w:bCs w:val="0"/>
          <w:i w:val="0"/>
          <w:iCs w:val="0"/>
          <w:sz w:val="21"/>
          <w:szCs w:val="21"/>
          <w:highlight w:val="none"/>
        </w:rPr>
        <w:instrText xml:space="preserve"> HYPERLINK \l _Toc26577 </w:instrText>
      </w:r>
      <w:r>
        <w:rPr>
          <w:rFonts w:hint="eastAsia" w:ascii="宋体" w:hAnsi="宋体" w:eastAsia="宋体" w:cs="宋体"/>
          <w:bCs w:val="0"/>
          <w:i w:val="0"/>
          <w:iCs w:val="0"/>
          <w:sz w:val="21"/>
          <w:szCs w:val="21"/>
          <w:highlight w:val="none"/>
        </w:rPr>
        <w:fldChar w:fldCharType="separate"/>
      </w:r>
      <w:r>
        <w:rPr>
          <w:rFonts w:hint="eastAsia" w:ascii="宋体" w:hAnsi="宋体" w:eastAsia="宋体" w:cs="宋体"/>
          <w:bCs/>
          <w:i w:val="0"/>
          <w:iCs w:val="0"/>
          <w:kern w:val="44"/>
          <w:sz w:val="21"/>
          <w:szCs w:val="21"/>
          <w:highlight w:val="none"/>
          <w:lang w:val="zh-CN"/>
        </w:rPr>
        <w:t>附件一：评审工作大纲</w:t>
      </w:r>
      <w:r>
        <w:rPr>
          <w:rFonts w:hint="eastAsia" w:ascii="宋体" w:hAnsi="宋体" w:eastAsia="宋体" w:cs="宋体"/>
          <w:i w:val="0"/>
          <w:iCs w:val="0"/>
          <w:sz w:val="21"/>
          <w:szCs w:val="21"/>
          <w:highlight w:val="none"/>
        </w:rPr>
        <w:tab/>
      </w:r>
      <w:r>
        <w:rPr>
          <w:rFonts w:hint="eastAsia" w:ascii="宋体" w:hAnsi="宋体" w:eastAsia="宋体" w:cs="宋体"/>
          <w:i w:val="0"/>
          <w:iCs w:val="0"/>
          <w:sz w:val="21"/>
          <w:szCs w:val="21"/>
          <w:highlight w:val="none"/>
        </w:rPr>
        <w:fldChar w:fldCharType="begin"/>
      </w:r>
      <w:r>
        <w:rPr>
          <w:rFonts w:hint="eastAsia" w:ascii="宋体" w:hAnsi="宋体" w:eastAsia="宋体" w:cs="宋体"/>
          <w:i w:val="0"/>
          <w:iCs w:val="0"/>
          <w:sz w:val="21"/>
          <w:szCs w:val="21"/>
          <w:highlight w:val="none"/>
        </w:rPr>
        <w:instrText xml:space="preserve"> PAGEREF _Toc26577 \h </w:instrText>
      </w:r>
      <w:r>
        <w:rPr>
          <w:rFonts w:hint="eastAsia" w:ascii="宋体" w:hAnsi="宋体" w:eastAsia="宋体" w:cs="宋体"/>
          <w:i w:val="0"/>
          <w:iCs w:val="0"/>
          <w:sz w:val="21"/>
          <w:szCs w:val="21"/>
          <w:highlight w:val="none"/>
        </w:rPr>
        <w:fldChar w:fldCharType="separate"/>
      </w:r>
      <w:r>
        <w:rPr>
          <w:rFonts w:hint="eastAsia" w:ascii="宋体" w:hAnsi="宋体" w:eastAsia="宋体" w:cs="宋体"/>
          <w:i w:val="0"/>
          <w:iCs w:val="0"/>
          <w:sz w:val="21"/>
          <w:szCs w:val="21"/>
          <w:highlight w:val="none"/>
        </w:rPr>
        <w:t>74</w:t>
      </w:r>
      <w:r>
        <w:rPr>
          <w:rFonts w:hint="eastAsia" w:ascii="宋体" w:hAnsi="宋体" w:eastAsia="宋体" w:cs="宋体"/>
          <w:i w:val="0"/>
          <w:iCs w:val="0"/>
          <w:sz w:val="21"/>
          <w:szCs w:val="21"/>
          <w:highlight w:val="none"/>
        </w:rPr>
        <w:fldChar w:fldCharType="end"/>
      </w:r>
      <w:r>
        <w:rPr>
          <w:rFonts w:hint="eastAsia" w:ascii="宋体" w:hAnsi="宋体" w:eastAsia="宋体" w:cs="宋体"/>
          <w:bCs w:val="0"/>
          <w:i w:val="0"/>
          <w:iCs w:val="0"/>
          <w:color w:val="auto"/>
          <w:sz w:val="21"/>
          <w:szCs w:val="21"/>
          <w:highlight w:val="none"/>
        </w:rPr>
        <w:fldChar w:fldCharType="end"/>
      </w:r>
    </w:p>
    <w:p>
      <w:pPr>
        <w:pStyle w:val="42"/>
        <w:keepNext w:val="0"/>
        <w:keepLines w:val="0"/>
        <w:pageBreakBefore w:val="0"/>
        <w:widowControl w:val="0"/>
        <w:tabs>
          <w:tab w:val="right" w:leader="dot" w:pos="9394"/>
        </w:tabs>
        <w:kinsoku/>
        <w:wordWrap/>
        <w:overflowPunct/>
        <w:topLinePunct w:val="0"/>
        <w:autoSpaceDE w:val="0"/>
        <w:autoSpaceDN w:val="0"/>
        <w:bidi w:val="0"/>
        <w:adjustRightInd/>
        <w:snapToGrid w:val="0"/>
        <w:spacing w:before="0" w:after="0" w:line="360" w:lineRule="auto"/>
        <w:ind w:left="0" w:firstLine="0" w:firstLineChars="0"/>
        <w:textAlignment w:val="auto"/>
        <w:rPr>
          <w:rFonts w:hint="eastAsia" w:ascii="宋体" w:hAnsi="宋体" w:eastAsia="宋体" w:cs="宋体"/>
          <w:b w:val="0"/>
          <w:bCs w:val="0"/>
          <w:i w:val="0"/>
          <w:iCs w:val="0"/>
          <w:caps w:val="0"/>
          <w:color w:val="auto"/>
          <w:kern w:val="2"/>
          <w:sz w:val="21"/>
          <w:szCs w:val="21"/>
          <w:highlight w:val="none"/>
        </w:rPr>
      </w:pPr>
      <w:r>
        <w:rPr>
          <w:rFonts w:hint="eastAsia" w:ascii="宋体" w:hAnsi="宋体" w:eastAsia="宋体" w:cs="宋体"/>
          <w:bCs w:val="0"/>
          <w:i w:val="0"/>
          <w:iCs w:val="0"/>
          <w:color w:val="auto"/>
          <w:sz w:val="21"/>
          <w:szCs w:val="21"/>
          <w:highlight w:val="none"/>
        </w:rPr>
        <w:fldChar w:fldCharType="end"/>
      </w:r>
      <w:r>
        <w:rPr>
          <w:rFonts w:hint="eastAsia" w:ascii="宋体" w:hAnsi="宋体" w:eastAsia="宋体" w:cs="宋体"/>
          <w:b w:val="0"/>
          <w:bCs w:val="0"/>
          <w:i w:val="0"/>
          <w:iCs w:val="0"/>
          <w:caps w:val="0"/>
          <w:color w:val="auto"/>
          <w:kern w:val="2"/>
          <w:sz w:val="21"/>
          <w:szCs w:val="21"/>
          <w:highlight w:val="none"/>
        </w:rPr>
        <w:t xml:space="preserve"> </w:t>
      </w:r>
    </w:p>
    <w:p>
      <w:pPr>
        <w:pStyle w:val="42"/>
        <w:keepNext w:val="0"/>
        <w:keepLines w:val="0"/>
        <w:pageBreakBefore w:val="0"/>
        <w:widowControl w:val="0"/>
        <w:tabs>
          <w:tab w:val="left" w:pos="851"/>
          <w:tab w:val="right" w:leader="dot" w:pos="8647"/>
          <w:tab w:val="right" w:leader="dot" w:pos="10206"/>
        </w:tabs>
        <w:kinsoku/>
        <w:wordWrap/>
        <w:overflowPunct/>
        <w:topLinePunct w:val="0"/>
        <w:autoSpaceDE w:val="0"/>
        <w:autoSpaceDN w:val="0"/>
        <w:bidi w:val="0"/>
        <w:snapToGrid/>
        <w:spacing w:before="0" w:after="0" w:line="360" w:lineRule="auto"/>
        <w:ind w:right="-50" w:rightChars="-21"/>
        <w:jc w:val="distribute"/>
        <w:textAlignment w:val="auto"/>
        <w:rPr>
          <w:rFonts w:hint="eastAsia" w:ascii="宋体" w:hAnsi="宋体" w:eastAsia="宋体" w:cs="宋体"/>
          <w:color w:val="auto"/>
          <w:sz w:val="21"/>
          <w:szCs w:val="21"/>
          <w:highlight w:val="none"/>
        </w:rPr>
      </w:pPr>
      <w:bookmarkStart w:id="731" w:name="_GoBack"/>
      <w:bookmarkEnd w:id="731"/>
    </w:p>
    <w:p>
      <w:pPr>
        <w:pStyle w:val="4"/>
        <w:keepNext/>
        <w:keepLines/>
        <w:pageBreakBefore/>
        <w:widowControl w:val="0"/>
        <w:tabs>
          <w:tab w:val="left" w:pos="1080"/>
        </w:tabs>
        <w:kinsoku/>
        <w:wordWrap/>
        <w:overflowPunct/>
        <w:topLinePunct w:val="0"/>
        <w:autoSpaceDE w:val="0"/>
        <w:autoSpaceDN w:val="0"/>
        <w:bidi w:val="0"/>
        <w:adjustRightInd w:val="0"/>
        <w:snapToGrid/>
        <w:spacing w:line="360" w:lineRule="auto"/>
        <w:ind w:left="0" w:firstLine="0"/>
        <w:jc w:val="center"/>
        <w:textAlignment w:val="auto"/>
        <w:rPr>
          <w:rFonts w:hint="eastAsia" w:ascii="宋体" w:hAnsi="宋体" w:eastAsia="宋体" w:cs="宋体"/>
          <w:b/>
          <w:bCs/>
          <w:color w:val="auto"/>
          <w:kern w:val="44"/>
          <w:sz w:val="32"/>
          <w:szCs w:val="32"/>
          <w:highlight w:val="none"/>
          <w:lang w:val="en-US" w:eastAsia="zh-CN"/>
        </w:rPr>
      </w:pPr>
      <w:bookmarkStart w:id="0" w:name="_Toc521918064"/>
      <w:bookmarkStart w:id="1" w:name="_Toc450662846"/>
      <w:bookmarkStart w:id="2" w:name="_Toc7755"/>
      <w:bookmarkStart w:id="3" w:name="_Toc18657"/>
      <w:r>
        <w:rPr>
          <w:rFonts w:hint="eastAsia" w:ascii="宋体" w:hAnsi="宋体" w:eastAsia="宋体" w:cs="宋体"/>
          <w:b/>
          <w:bCs/>
          <w:color w:val="auto"/>
          <w:kern w:val="44"/>
          <w:sz w:val="32"/>
          <w:szCs w:val="32"/>
          <w:highlight w:val="none"/>
          <w:lang w:val="zh-CN"/>
        </w:rPr>
        <w:t>第一篇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竞争性磋商</w:t>
      </w:r>
      <w:bookmarkEnd w:id="0"/>
      <w:bookmarkEnd w:id="1"/>
      <w:r>
        <w:rPr>
          <w:rFonts w:hint="eastAsia" w:ascii="宋体" w:hAnsi="宋体" w:eastAsia="宋体" w:cs="宋体"/>
          <w:b/>
          <w:bCs/>
          <w:color w:val="auto"/>
          <w:kern w:val="44"/>
          <w:sz w:val="32"/>
          <w:szCs w:val="32"/>
          <w:highlight w:val="none"/>
          <w:lang w:val="en-US" w:eastAsia="zh-CN"/>
        </w:rPr>
        <w:t>公告</w:t>
      </w:r>
      <w:bookmarkEnd w:id="2"/>
      <w:bookmarkEnd w:id="3"/>
    </w:p>
    <w:p>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广东和盛招标代理有限公司</w:t>
      </w:r>
      <w:r>
        <w:rPr>
          <w:rFonts w:hint="eastAsia" w:ascii="宋体" w:hAnsi="宋体" w:eastAsia="宋体" w:cs="宋体"/>
          <w:color w:val="auto"/>
          <w:kern w:val="2"/>
          <w:sz w:val="21"/>
          <w:szCs w:val="21"/>
          <w:highlight w:val="none"/>
          <w:lang w:val="zh-CN"/>
        </w:rPr>
        <w:t>（以下简称“采购代理机构”）受</w:t>
      </w:r>
      <w:r>
        <w:rPr>
          <w:rFonts w:hint="eastAsia" w:ascii="宋体" w:hAnsi="宋体" w:eastAsia="宋体" w:cs="宋体"/>
          <w:color w:val="auto"/>
          <w:sz w:val="21"/>
          <w:szCs w:val="21"/>
          <w:highlight w:val="none"/>
        </w:rPr>
        <w:t>东莞市众源环境投资有限公司</w:t>
      </w:r>
      <w:r>
        <w:rPr>
          <w:rFonts w:hint="eastAsia" w:ascii="宋体" w:hAnsi="宋体" w:eastAsia="宋体" w:cs="宋体"/>
          <w:color w:val="auto"/>
          <w:kern w:val="2"/>
          <w:sz w:val="21"/>
          <w:szCs w:val="21"/>
          <w:highlight w:val="none"/>
          <w:lang w:val="zh-CN"/>
        </w:rPr>
        <w:t>（以下简称“采购人”）的委托</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zh-CN"/>
        </w:rPr>
        <w:t>对东莞市污泥处理处置过程数据管理系统采购项目(采购编号：ZYHJ-2024-0001)</w:t>
      </w:r>
      <w:r>
        <w:rPr>
          <w:rFonts w:hint="eastAsia" w:ascii="宋体" w:hAnsi="宋体" w:eastAsia="宋体" w:cs="宋体"/>
          <w:color w:val="auto"/>
          <w:kern w:val="2"/>
          <w:sz w:val="21"/>
          <w:szCs w:val="21"/>
          <w:highlight w:val="none"/>
        </w:rPr>
        <w:t>进行竞争性磋商采购</w:t>
      </w:r>
      <w:r>
        <w:rPr>
          <w:rFonts w:hint="eastAsia" w:ascii="宋体" w:hAnsi="宋体" w:eastAsia="宋体" w:cs="宋体"/>
          <w:color w:val="auto"/>
          <w:sz w:val="21"/>
          <w:szCs w:val="32"/>
          <w:highlight w:val="none"/>
        </w:rPr>
        <w:t>，</w:t>
      </w:r>
      <w:r>
        <w:rPr>
          <w:rFonts w:hint="eastAsia" w:ascii="宋体" w:hAnsi="宋体" w:eastAsia="宋体" w:cs="宋体"/>
          <w:color w:val="auto"/>
          <w:kern w:val="2"/>
          <w:sz w:val="21"/>
          <w:szCs w:val="21"/>
          <w:highlight w:val="none"/>
          <w:lang w:val="zh-CN"/>
        </w:rPr>
        <w:t>欢迎合格供应商就本项目提交密封</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w:t>
      </w:r>
    </w:p>
    <w:p>
      <w:pPr>
        <w:tabs>
          <w:tab w:val="left" w:pos="0"/>
          <w:tab w:val="left" w:pos="142"/>
        </w:tabs>
        <w:spacing w:line="360" w:lineRule="auto"/>
        <w:ind w:left="-142" w:right="-34"/>
        <w:jc w:val="both"/>
        <w:rPr>
          <w:rFonts w:hint="eastAsia" w:ascii="宋体" w:hAnsi="宋体" w:eastAsia="宋体" w:cs="宋体"/>
          <w:color w:val="auto"/>
          <w:kern w:val="2"/>
          <w:sz w:val="21"/>
          <w:szCs w:val="21"/>
          <w:highlight w:val="none"/>
          <w:lang w:val="zh-CN"/>
        </w:rPr>
      </w:pPr>
    </w:p>
    <w:p>
      <w:pPr>
        <w:tabs>
          <w:tab w:val="left" w:pos="0"/>
        </w:tabs>
        <w:spacing w:line="360" w:lineRule="auto"/>
        <w:ind w:left="-2" w:leftChars="-59" w:right="-34" w:hanging="140" w:hangingChars="67"/>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邀请合格</w:t>
      </w:r>
      <w:r>
        <w:rPr>
          <w:rFonts w:hint="eastAsia" w:ascii="宋体" w:hAnsi="宋体" w:eastAsia="宋体" w:cs="宋体"/>
          <w:bCs/>
          <w:color w:val="auto"/>
          <w:kern w:val="2"/>
          <w:sz w:val="21"/>
          <w:szCs w:val="21"/>
          <w:highlight w:val="none"/>
          <w:lang w:val="zh-CN"/>
        </w:rPr>
        <w:t>供应商</w:t>
      </w:r>
      <w:r>
        <w:rPr>
          <w:rFonts w:hint="eastAsia" w:ascii="宋体" w:hAnsi="宋体" w:eastAsia="宋体" w:cs="宋体"/>
          <w:color w:val="auto"/>
          <w:kern w:val="2"/>
          <w:sz w:val="21"/>
          <w:szCs w:val="21"/>
          <w:highlight w:val="none"/>
          <w:lang w:val="zh-CN"/>
        </w:rPr>
        <w:t>就本次</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范围内容提交</w:t>
      </w:r>
      <w:r>
        <w:rPr>
          <w:rFonts w:hint="eastAsia" w:ascii="宋体" w:hAnsi="宋体" w:eastAsia="宋体" w:cs="宋体"/>
          <w:color w:val="auto"/>
          <w:kern w:val="2"/>
          <w:sz w:val="21"/>
          <w:szCs w:val="21"/>
          <w:highlight w:val="none"/>
        </w:rPr>
        <w:t>响应文件</w:t>
      </w:r>
      <w:r>
        <w:rPr>
          <w:rFonts w:hint="eastAsia" w:ascii="宋体" w:hAnsi="宋体" w:eastAsia="宋体" w:cs="宋体"/>
          <w:color w:val="auto"/>
          <w:sz w:val="21"/>
          <w:szCs w:val="21"/>
          <w:highlight w:val="none"/>
        </w:rPr>
        <w:t>：</w:t>
      </w:r>
    </w:p>
    <w:p>
      <w:pPr>
        <w:tabs>
          <w:tab w:val="left" w:pos="0"/>
        </w:tabs>
        <w:spacing w:line="360" w:lineRule="auto"/>
        <w:ind w:left="281" w:leftChars="117" w:right="-34"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污泥处理处置过程数据管理系统</w:t>
      </w:r>
      <w:r>
        <w:rPr>
          <w:rFonts w:hint="eastAsia" w:ascii="宋体" w:hAnsi="宋体" w:eastAsia="宋体" w:cs="宋体"/>
          <w:color w:val="auto"/>
          <w:kern w:val="2"/>
          <w:sz w:val="21"/>
          <w:szCs w:val="21"/>
          <w:highlight w:val="none"/>
          <w:lang w:val="en-US" w:eastAsia="zh-CN"/>
        </w:rPr>
        <w:t>开发、设计、安装、交付、试运行及验收等相关工作，</w:t>
      </w:r>
      <w:r>
        <w:rPr>
          <w:rFonts w:hint="eastAsia" w:ascii="宋体" w:hAnsi="宋体" w:eastAsia="宋体" w:cs="宋体"/>
          <w:color w:val="auto"/>
          <w:kern w:val="2"/>
          <w:sz w:val="21"/>
          <w:szCs w:val="21"/>
          <w:highlight w:val="none"/>
          <w:lang w:val="zh-CN"/>
        </w:rPr>
        <w:t>具体内容详见磋商文件用户需求书。</w:t>
      </w:r>
    </w:p>
    <w:p>
      <w:pPr>
        <w:tabs>
          <w:tab w:val="left" w:pos="0"/>
        </w:tabs>
        <w:spacing w:line="360" w:lineRule="auto"/>
        <w:ind w:left="-2" w:leftChars="-59" w:right="-34" w:hanging="140" w:hangingChars="67"/>
        <w:jc w:val="both"/>
        <w:rPr>
          <w:rFonts w:hint="eastAsia" w:ascii="宋体" w:hAnsi="宋体" w:eastAsia="宋体" w:cs="宋体"/>
          <w:color w:val="auto"/>
          <w:kern w:val="2"/>
          <w:sz w:val="21"/>
          <w:szCs w:val="21"/>
          <w:highlight w:val="none"/>
        </w:rPr>
      </w:pPr>
    </w:p>
    <w:p>
      <w:pPr>
        <w:tabs>
          <w:tab w:val="left" w:pos="0"/>
        </w:tabs>
        <w:spacing w:line="360" w:lineRule="auto"/>
        <w:ind w:left="-2" w:leftChars="-59" w:right="-34" w:hanging="140" w:hangingChars="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bCs/>
          <w:color w:val="auto"/>
          <w:kern w:val="2"/>
          <w:sz w:val="21"/>
          <w:szCs w:val="21"/>
          <w:highlight w:val="none"/>
        </w:rPr>
        <w:t>合格供应商资格</w:t>
      </w:r>
      <w:r>
        <w:rPr>
          <w:rFonts w:hint="eastAsia" w:ascii="宋体" w:hAnsi="宋体" w:eastAsia="宋体" w:cs="宋体"/>
          <w:bCs/>
          <w:color w:val="auto"/>
          <w:kern w:val="2"/>
          <w:sz w:val="21"/>
          <w:szCs w:val="21"/>
          <w:highlight w:val="none"/>
          <w:lang w:val="en-US" w:eastAsia="zh-CN"/>
        </w:rPr>
        <w:t>要求</w:t>
      </w:r>
      <w:r>
        <w:rPr>
          <w:rFonts w:hint="eastAsia" w:ascii="宋体" w:hAnsi="宋体" w:eastAsia="宋体" w:cs="宋体"/>
          <w:color w:val="auto"/>
          <w:kern w:val="2"/>
          <w:sz w:val="21"/>
          <w:szCs w:val="21"/>
          <w:highlight w:val="none"/>
          <w:lang w:val="zh-CN"/>
        </w:rPr>
        <w:t>：</w:t>
      </w:r>
    </w:p>
    <w:p>
      <w:pPr>
        <w:tabs>
          <w:tab w:val="left" w:pos="0"/>
        </w:tabs>
        <w:spacing w:line="360" w:lineRule="auto"/>
        <w:ind w:left="280" w:leftChars="-59" w:right="-34" w:hanging="422" w:hangingChars="20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2.1</w:t>
      </w:r>
      <w:r>
        <w:rPr>
          <w:rFonts w:hint="eastAsia" w:ascii="宋体" w:hAnsi="宋体" w:eastAsia="宋体" w:cs="宋体"/>
          <w:b/>
          <w:bCs/>
          <w:color w:val="auto"/>
          <w:kern w:val="2"/>
          <w:sz w:val="21"/>
          <w:szCs w:val="21"/>
          <w:highlight w:val="none"/>
          <w:lang w:val="zh-CN"/>
        </w:rPr>
        <w:t xml:space="preserve"> 在中华人民共和国境内登记注册的、合法存续、正常经营且具有独立承担民事责任能力的法人或其他组织。</w:t>
      </w:r>
    </w:p>
    <w:p>
      <w:pPr>
        <w:tabs>
          <w:tab w:val="left" w:pos="0"/>
        </w:tabs>
        <w:spacing w:line="360" w:lineRule="auto"/>
        <w:ind w:left="280" w:leftChars="-59" w:right="-34" w:hanging="422" w:hangingChars="200"/>
        <w:jc w:val="both"/>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kern w:val="2"/>
          <w:sz w:val="21"/>
          <w:szCs w:val="21"/>
          <w:highlight w:val="none"/>
          <w:lang w:val="zh-CN"/>
        </w:rPr>
        <w:t xml:space="preserve"> </w:t>
      </w:r>
      <w:r>
        <w:rPr>
          <w:rFonts w:hint="eastAsia" w:ascii="宋体" w:hAnsi="宋体" w:eastAsia="宋体" w:cs="宋体"/>
          <w:b/>
          <w:bCs/>
          <w:color w:val="auto"/>
          <w:kern w:val="2"/>
          <w:sz w:val="21"/>
          <w:szCs w:val="21"/>
          <w:highlight w:val="none"/>
          <w:lang w:val="en-US" w:eastAsia="zh-CN"/>
        </w:rPr>
        <w:t>供应商2021</w:t>
      </w:r>
      <w:r>
        <w:rPr>
          <w:rFonts w:hint="eastAsia" w:ascii="宋体" w:hAnsi="宋体" w:eastAsia="宋体" w:cs="宋体"/>
          <w:b/>
          <w:bCs/>
          <w:color w:val="auto"/>
          <w:sz w:val="21"/>
          <w:szCs w:val="21"/>
          <w:highlight w:val="none"/>
          <w:lang w:val="zh-CN"/>
        </w:rPr>
        <w:t>年</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zh-CN"/>
        </w:rPr>
        <w:t>月</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zh-CN"/>
        </w:rPr>
        <w:t>日以来具有一份</w:t>
      </w:r>
      <w:r>
        <w:rPr>
          <w:rFonts w:hint="eastAsia" w:ascii="宋体" w:hAnsi="宋体" w:eastAsia="宋体" w:cs="宋体"/>
          <w:b/>
          <w:bCs/>
          <w:color w:val="auto"/>
          <w:sz w:val="21"/>
          <w:szCs w:val="21"/>
          <w:highlight w:val="none"/>
          <w:lang w:val="en-US" w:eastAsia="zh-CN"/>
        </w:rPr>
        <w:t>系统(或软件）开发或设计</w:t>
      </w:r>
      <w:r>
        <w:rPr>
          <w:rFonts w:hint="eastAsia" w:ascii="宋体" w:hAnsi="宋体" w:eastAsia="宋体" w:cs="宋体"/>
          <w:b/>
          <w:bCs/>
          <w:color w:val="auto"/>
          <w:sz w:val="21"/>
          <w:szCs w:val="21"/>
          <w:highlight w:val="none"/>
          <w:lang w:val="zh-CN"/>
        </w:rPr>
        <w:t>业绩（合同签订日期为</w:t>
      </w:r>
      <w:r>
        <w:rPr>
          <w:rFonts w:hint="eastAsia" w:ascii="宋体" w:hAnsi="宋体" w:eastAsia="宋体" w:cs="宋体"/>
          <w:b/>
          <w:bCs/>
          <w:color w:val="auto"/>
          <w:sz w:val="21"/>
          <w:szCs w:val="21"/>
          <w:highlight w:val="none"/>
          <w:lang w:val="en-US" w:eastAsia="zh-CN"/>
        </w:rPr>
        <w:t>2021</w:t>
      </w:r>
      <w:r>
        <w:rPr>
          <w:rFonts w:hint="eastAsia" w:ascii="宋体" w:hAnsi="宋体" w:eastAsia="宋体" w:cs="宋体"/>
          <w:b/>
          <w:bCs/>
          <w:color w:val="auto"/>
          <w:sz w:val="21"/>
          <w:szCs w:val="21"/>
          <w:highlight w:val="none"/>
          <w:lang w:val="zh-CN"/>
        </w:rPr>
        <w:t>年</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zh-CN"/>
        </w:rPr>
        <w:t>月</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zh-CN"/>
        </w:rPr>
        <w:t>日或以后）。</w:t>
      </w:r>
    </w:p>
    <w:p>
      <w:pPr>
        <w:tabs>
          <w:tab w:val="left" w:pos="0"/>
        </w:tabs>
        <w:spacing w:line="360" w:lineRule="auto"/>
        <w:ind w:left="280" w:leftChars="-59" w:right="-34" w:hanging="422" w:hangingChars="20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lang w:val="zh-CN"/>
        </w:rPr>
        <w:t xml:space="preserve"> 本项目不接受联合体</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w:t>
      </w:r>
    </w:p>
    <w:p>
      <w:pPr>
        <w:numPr>
          <w:ilvl w:val="0"/>
          <w:numId w:val="0"/>
        </w:numPr>
        <w:tabs>
          <w:tab w:val="left" w:pos="0"/>
          <w:tab w:val="left" w:pos="360"/>
        </w:tabs>
        <w:autoSpaceDE/>
        <w:autoSpaceDN/>
        <w:adjustRightInd/>
        <w:spacing w:line="360" w:lineRule="auto"/>
        <w:ind w:left="278" w:leftChars="-59" w:right="-34" w:hanging="420" w:hangingChars="200"/>
        <w:jc w:val="both"/>
        <w:rPr>
          <w:rFonts w:hint="eastAsia" w:ascii="宋体" w:hAnsi="宋体" w:eastAsia="宋体" w:cs="宋体"/>
          <w:color w:val="auto"/>
          <w:kern w:val="2"/>
          <w:sz w:val="21"/>
          <w:szCs w:val="21"/>
          <w:highlight w:val="none"/>
          <w:lang w:val="zh-CN"/>
        </w:rPr>
      </w:pPr>
    </w:p>
    <w:p>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173" w:leftChars="-59" w:right="-34" w:hanging="315" w:hangingChars="1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磋商</w:t>
      </w:r>
      <w:r>
        <w:rPr>
          <w:rFonts w:hint="eastAsia" w:ascii="宋体" w:hAnsi="宋体" w:eastAsia="宋体" w:cs="宋体"/>
          <w:color w:val="auto"/>
          <w:kern w:val="2"/>
          <w:sz w:val="21"/>
          <w:szCs w:val="21"/>
          <w:highlight w:val="none"/>
          <w:lang w:val="zh-CN"/>
        </w:rPr>
        <w:t>文件获取方式：本项目采用“不记名网上下载”的方式发布竞争性磋商文件，有意向的供应商可于本项目递交响应文件截止时间前，在本项目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信息发布媒介</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详见本竞争性磋商公告第7点（除中国招标投标公共服务平台外）</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下载竞争性磋商文件【</w:t>
      </w:r>
      <w:r>
        <w:rPr>
          <w:rFonts w:hint="eastAsia" w:ascii="宋体" w:hAnsi="宋体" w:eastAsia="宋体" w:cs="宋体"/>
          <w:color w:val="auto"/>
          <w:kern w:val="2"/>
          <w:sz w:val="21"/>
          <w:szCs w:val="21"/>
          <w:highlight w:val="none"/>
          <w:lang w:val="zh-CN" w:eastAsia="zh-CN"/>
        </w:rPr>
        <w:t>本竞争性磋商公告第7点</w:t>
      </w:r>
      <w:r>
        <w:rPr>
          <w:rFonts w:hint="eastAsia" w:ascii="宋体" w:hAnsi="宋体" w:eastAsia="宋体" w:cs="宋体"/>
          <w:color w:val="auto"/>
          <w:kern w:val="2"/>
          <w:sz w:val="21"/>
          <w:szCs w:val="21"/>
          <w:highlight w:val="none"/>
          <w:lang w:val="zh-CN"/>
        </w:rPr>
        <w:t>媒介</w:t>
      </w:r>
      <w:r>
        <w:rPr>
          <w:rFonts w:hint="eastAsia" w:ascii="宋体" w:hAnsi="宋体" w:eastAsia="宋体" w:cs="宋体"/>
          <w:color w:val="auto"/>
          <w:kern w:val="2"/>
          <w:sz w:val="21"/>
          <w:szCs w:val="21"/>
          <w:highlight w:val="none"/>
          <w:lang w:val="zh-CN" w:eastAsia="zh-CN"/>
        </w:rPr>
        <w:t>发布竞争性磋商文件不一致时，以</w:t>
      </w:r>
      <w:r>
        <w:rPr>
          <w:rFonts w:hint="eastAsia" w:ascii="宋体" w:hAnsi="宋体" w:eastAsia="宋体" w:cs="宋体"/>
          <w:color w:val="auto"/>
          <w:kern w:val="2"/>
          <w:sz w:val="21"/>
          <w:szCs w:val="21"/>
          <w:highlight w:val="none"/>
          <w:lang w:val="zh-CN"/>
        </w:rPr>
        <w:t>东莞市水务集团有限公司网（www.dgswjt.cn）</w:t>
      </w:r>
      <w:r>
        <w:rPr>
          <w:rFonts w:hint="eastAsia" w:ascii="宋体" w:hAnsi="宋体" w:eastAsia="宋体" w:cs="宋体"/>
          <w:color w:val="auto"/>
          <w:kern w:val="2"/>
          <w:sz w:val="21"/>
          <w:szCs w:val="21"/>
          <w:highlight w:val="none"/>
          <w:lang w:val="zh-CN" w:eastAsia="zh-CN"/>
        </w:rPr>
        <w:t>发布的竞争性磋商文件为准</w:t>
      </w:r>
      <w:r>
        <w:rPr>
          <w:rFonts w:hint="eastAsia" w:ascii="宋体" w:hAnsi="宋体" w:eastAsia="宋体" w:cs="宋体"/>
          <w:color w:val="auto"/>
          <w:kern w:val="2"/>
          <w:sz w:val="21"/>
          <w:szCs w:val="21"/>
          <w:highlight w:val="none"/>
          <w:lang w:val="zh-CN"/>
        </w:rPr>
        <w:t>】。</w:t>
      </w:r>
    </w:p>
    <w:p>
      <w:pPr>
        <w:tabs>
          <w:tab w:val="left" w:pos="0"/>
        </w:tabs>
        <w:spacing w:line="360" w:lineRule="auto"/>
        <w:ind w:left="-2" w:leftChars="-59" w:right="-34" w:hanging="140" w:hangingChars="67"/>
        <w:jc w:val="both"/>
        <w:rPr>
          <w:rFonts w:hint="eastAsia" w:ascii="宋体" w:hAnsi="宋体" w:eastAsia="宋体" w:cs="宋体"/>
          <w:color w:val="auto"/>
          <w:kern w:val="2"/>
          <w:sz w:val="21"/>
          <w:szCs w:val="21"/>
          <w:highlight w:val="none"/>
          <w:lang w:val="zh-CN"/>
        </w:rPr>
      </w:pPr>
    </w:p>
    <w:p>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173" w:leftChars="-59" w:right="-34" w:hanging="315" w:hangingChars="1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采购代理机构在递交响应文件截止时间前通过“信用中国”网站（ www.creditchina.gov.cn）查询供应商（含其不具有独立法人资格的分支机构）信用记录。采购代理机构对供应商信用记录进行甄别，对列入失信被执行人、重大税收违法失信主体、严重违法失信行为记录名单的供应商，做好相关记录（处罚期限届满的除外）。</w:t>
      </w:r>
    </w:p>
    <w:p>
      <w:pPr>
        <w:tabs>
          <w:tab w:val="left" w:pos="284"/>
        </w:tabs>
        <w:spacing w:line="360" w:lineRule="auto"/>
        <w:ind w:left="139" w:leftChars="-59" w:right="-34" w:hanging="281" w:hangingChars="134"/>
        <w:jc w:val="both"/>
        <w:rPr>
          <w:rFonts w:hint="eastAsia" w:ascii="宋体" w:hAnsi="宋体" w:eastAsia="宋体" w:cs="宋体"/>
          <w:color w:val="auto"/>
          <w:kern w:val="2"/>
          <w:sz w:val="21"/>
          <w:szCs w:val="21"/>
          <w:highlight w:val="none"/>
          <w:lang w:val="zh-CN"/>
        </w:rPr>
      </w:pPr>
    </w:p>
    <w:p>
      <w:pPr>
        <w:tabs>
          <w:tab w:val="left" w:pos="0"/>
        </w:tabs>
        <w:spacing w:line="360" w:lineRule="auto"/>
        <w:ind w:left="-1" w:leftChars="-59" w:right="-34" w:hanging="141" w:hangingChars="67"/>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w:t>
      </w:r>
      <w:r>
        <w:rPr>
          <w:rFonts w:hint="eastAsia" w:ascii="宋体" w:hAnsi="宋体" w:eastAsia="宋体" w:cs="宋体"/>
          <w:b/>
          <w:bCs/>
          <w:color w:val="auto"/>
          <w:kern w:val="2"/>
          <w:sz w:val="21"/>
          <w:szCs w:val="21"/>
          <w:highlight w:val="none"/>
          <w:lang w:val="en-US" w:eastAsia="zh-CN"/>
        </w:rPr>
        <w:t xml:space="preserve">   磋商</w:t>
      </w:r>
      <w:r>
        <w:rPr>
          <w:rFonts w:hint="eastAsia" w:ascii="宋体" w:hAnsi="宋体" w:eastAsia="宋体" w:cs="宋体"/>
          <w:b/>
          <w:bCs/>
          <w:color w:val="auto"/>
          <w:kern w:val="2"/>
          <w:sz w:val="21"/>
          <w:szCs w:val="21"/>
          <w:highlight w:val="none"/>
          <w:lang w:val="zh-CN"/>
        </w:rPr>
        <w:t>时间及地点：</w:t>
      </w:r>
    </w:p>
    <w:p>
      <w:pPr>
        <w:tabs>
          <w:tab w:val="left" w:pos="0"/>
        </w:tabs>
        <w:spacing w:line="360" w:lineRule="auto"/>
        <w:ind w:left="-1" w:leftChars="-59" w:right="-34" w:hanging="141" w:hangingChars="67"/>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5.1 响应文件递交时间：</w:t>
      </w:r>
      <w:r>
        <w:rPr>
          <w:rFonts w:hint="eastAsia" w:ascii="宋体" w:hAnsi="宋体" w:eastAsia="宋体" w:cs="宋体"/>
          <w:b/>
          <w:bCs/>
          <w:color w:val="auto"/>
          <w:kern w:val="2"/>
          <w:sz w:val="21"/>
          <w:szCs w:val="21"/>
          <w:highlight w:val="none"/>
          <w:u w:val="single"/>
          <w:lang w:val="zh-CN"/>
        </w:rPr>
        <w:t>202</w:t>
      </w:r>
      <w:r>
        <w:rPr>
          <w:rFonts w:hint="eastAsia" w:ascii="宋体" w:hAnsi="宋体" w:eastAsia="宋体" w:cs="宋体"/>
          <w:b/>
          <w:bCs/>
          <w:color w:val="auto"/>
          <w:kern w:val="2"/>
          <w:sz w:val="21"/>
          <w:szCs w:val="21"/>
          <w:highlight w:val="none"/>
          <w:u w:val="single"/>
          <w:lang w:val="en-US" w:eastAsia="zh-CN"/>
        </w:rPr>
        <w:t>4</w:t>
      </w:r>
      <w:r>
        <w:rPr>
          <w:rFonts w:hint="eastAsia" w:ascii="宋体" w:hAnsi="宋体" w:eastAsia="宋体" w:cs="宋体"/>
          <w:b/>
          <w:bCs/>
          <w:color w:val="auto"/>
          <w:kern w:val="2"/>
          <w:sz w:val="21"/>
          <w:szCs w:val="21"/>
          <w:highlight w:val="none"/>
          <w:lang w:val="zh-CN"/>
        </w:rPr>
        <w:t>年</w:t>
      </w:r>
      <w:r>
        <w:rPr>
          <w:rFonts w:hint="eastAsia" w:ascii="宋体" w:hAnsi="宋体" w:eastAsia="宋体" w:cs="宋体"/>
          <w:b/>
          <w:bCs/>
          <w:color w:val="auto"/>
          <w:kern w:val="2"/>
          <w:sz w:val="21"/>
          <w:szCs w:val="21"/>
          <w:highlight w:val="none"/>
          <w:u w:val="single"/>
          <w:lang w:val="en-US" w:eastAsia="zh-CN"/>
        </w:rPr>
        <w:t>4</w:t>
      </w:r>
      <w:r>
        <w:rPr>
          <w:rFonts w:hint="eastAsia" w:ascii="宋体" w:hAnsi="宋体" w:eastAsia="宋体" w:cs="宋体"/>
          <w:b/>
          <w:bCs/>
          <w:color w:val="auto"/>
          <w:kern w:val="2"/>
          <w:sz w:val="21"/>
          <w:szCs w:val="21"/>
          <w:highlight w:val="none"/>
          <w:lang w:val="zh-CN"/>
        </w:rPr>
        <w:t>月</w:t>
      </w:r>
      <w:r>
        <w:rPr>
          <w:rFonts w:hint="eastAsia" w:ascii="宋体" w:hAnsi="宋体" w:eastAsia="宋体" w:cs="宋体"/>
          <w:b/>
          <w:bCs/>
          <w:color w:val="auto"/>
          <w:kern w:val="2"/>
          <w:sz w:val="21"/>
          <w:szCs w:val="21"/>
          <w:highlight w:val="none"/>
          <w:u w:val="single"/>
          <w:lang w:val="en-US" w:eastAsia="zh-CN"/>
        </w:rPr>
        <w:t>25</w:t>
      </w:r>
      <w:r>
        <w:rPr>
          <w:rFonts w:hint="eastAsia" w:ascii="宋体" w:hAnsi="宋体" w:eastAsia="宋体" w:cs="宋体"/>
          <w:b/>
          <w:bCs/>
          <w:color w:val="auto"/>
          <w:kern w:val="2"/>
          <w:sz w:val="21"/>
          <w:szCs w:val="21"/>
          <w:highlight w:val="none"/>
          <w:lang w:val="zh-CN"/>
        </w:rPr>
        <w:t>日</w:t>
      </w:r>
      <w:r>
        <w:rPr>
          <w:rFonts w:hint="eastAsia" w:ascii="宋体" w:hAnsi="宋体" w:eastAsia="宋体" w:cs="宋体"/>
          <w:b/>
          <w:bCs/>
          <w:color w:val="auto"/>
          <w:kern w:val="2"/>
          <w:sz w:val="21"/>
          <w:szCs w:val="21"/>
          <w:highlight w:val="none"/>
          <w:u w:val="single"/>
          <w:lang w:val="en-US" w:eastAsia="zh-CN"/>
        </w:rPr>
        <w:t>09</w:t>
      </w:r>
      <w:r>
        <w:rPr>
          <w:rFonts w:hint="eastAsia" w:ascii="宋体" w:hAnsi="宋体" w:eastAsia="宋体" w:cs="宋体"/>
          <w:b/>
          <w:bCs/>
          <w:color w:val="auto"/>
          <w:kern w:val="2"/>
          <w:sz w:val="21"/>
          <w:szCs w:val="21"/>
          <w:highlight w:val="none"/>
          <w:u w:val="single"/>
        </w:rPr>
        <w:t>：00</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en-US" w:eastAsia="zh-CN"/>
        </w:rPr>
        <w:t>09</w:t>
      </w:r>
      <w:r>
        <w:rPr>
          <w:rFonts w:hint="eastAsia" w:ascii="宋体" w:hAnsi="宋体" w:eastAsia="宋体" w:cs="宋体"/>
          <w:b/>
          <w:bCs/>
          <w:color w:val="auto"/>
          <w:kern w:val="2"/>
          <w:sz w:val="21"/>
          <w:szCs w:val="21"/>
          <w:highlight w:val="none"/>
          <w:u w:val="single"/>
        </w:rPr>
        <w:t>：30</w:t>
      </w:r>
      <w:r>
        <w:rPr>
          <w:rFonts w:hint="eastAsia" w:ascii="宋体" w:hAnsi="宋体" w:eastAsia="宋体" w:cs="宋体"/>
          <w:b/>
          <w:bCs/>
          <w:color w:val="auto"/>
          <w:kern w:val="2"/>
          <w:sz w:val="21"/>
          <w:szCs w:val="21"/>
          <w:highlight w:val="none"/>
        </w:rPr>
        <w:t>；</w:t>
      </w:r>
    </w:p>
    <w:p>
      <w:pPr>
        <w:tabs>
          <w:tab w:val="left" w:pos="0"/>
        </w:tabs>
        <w:spacing w:line="360" w:lineRule="auto"/>
        <w:ind w:left="-1" w:leftChars="-59" w:right="-34" w:hanging="141" w:hangingChars="67"/>
        <w:jc w:val="both"/>
        <w:rPr>
          <w:rFonts w:hint="eastAsia" w:ascii="宋体" w:hAnsi="宋体" w:eastAsia="宋体" w:cs="宋体"/>
          <w:b/>
          <w:bCs/>
          <w:color w:val="auto"/>
          <w:highlight w:val="none"/>
        </w:rPr>
      </w:pPr>
      <w:r>
        <w:rPr>
          <w:rFonts w:hint="eastAsia" w:ascii="宋体" w:hAnsi="宋体" w:eastAsia="宋体" w:cs="宋体"/>
          <w:b/>
          <w:bCs/>
          <w:color w:val="auto"/>
          <w:kern w:val="2"/>
          <w:sz w:val="21"/>
          <w:szCs w:val="21"/>
          <w:highlight w:val="none"/>
          <w:lang w:val="zh-CN"/>
        </w:rPr>
        <w:t>5.2 递交</w:t>
      </w:r>
      <w:r>
        <w:rPr>
          <w:rFonts w:hint="eastAsia" w:ascii="宋体" w:hAnsi="宋体" w:eastAsia="宋体" w:cs="宋体"/>
          <w:b/>
          <w:bCs/>
          <w:color w:val="auto"/>
          <w:kern w:val="2"/>
          <w:sz w:val="21"/>
          <w:szCs w:val="21"/>
          <w:highlight w:val="none"/>
          <w:lang w:val="en-US" w:eastAsia="zh-CN"/>
        </w:rPr>
        <w:t>响应文件</w:t>
      </w:r>
      <w:r>
        <w:rPr>
          <w:rFonts w:hint="eastAsia" w:ascii="宋体" w:hAnsi="宋体" w:eastAsia="宋体" w:cs="宋体"/>
          <w:b/>
          <w:bCs/>
          <w:color w:val="auto"/>
          <w:kern w:val="2"/>
          <w:sz w:val="21"/>
          <w:szCs w:val="21"/>
          <w:highlight w:val="none"/>
          <w:lang w:val="zh-CN"/>
        </w:rPr>
        <w:t>截止及</w:t>
      </w:r>
      <w:r>
        <w:rPr>
          <w:rFonts w:hint="eastAsia" w:ascii="宋体" w:hAnsi="宋体" w:eastAsia="宋体" w:cs="宋体"/>
          <w:b/>
          <w:bCs/>
          <w:color w:val="auto"/>
          <w:kern w:val="2"/>
          <w:sz w:val="21"/>
          <w:szCs w:val="21"/>
          <w:highlight w:val="none"/>
          <w:lang w:val="en-US" w:eastAsia="zh-CN"/>
        </w:rPr>
        <w:t>开启</w:t>
      </w:r>
      <w:r>
        <w:rPr>
          <w:rFonts w:hint="eastAsia" w:ascii="宋体" w:hAnsi="宋体" w:eastAsia="宋体" w:cs="宋体"/>
          <w:b/>
          <w:bCs/>
          <w:color w:val="auto"/>
          <w:kern w:val="2"/>
          <w:sz w:val="21"/>
          <w:szCs w:val="21"/>
          <w:highlight w:val="none"/>
          <w:lang w:val="zh-CN"/>
        </w:rPr>
        <w:t>时间：</w:t>
      </w:r>
      <w:r>
        <w:rPr>
          <w:rFonts w:hint="eastAsia" w:ascii="宋体" w:hAnsi="宋体" w:eastAsia="宋体" w:cs="宋体"/>
          <w:b/>
          <w:bCs/>
          <w:color w:val="auto"/>
          <w:kern w:val="2"/>
          <w:sz w:val="21"/>
          <w:szCs w:val="21"/>
          <w:highlight w:val="none"/>
          <w:u w:val="single"/>
          <w:lang w:val="zh-CN"/>
        </w:rPr>
        <w:t>202</w:t>
      </w:r>
      <w:r>
        <w:rPr>
          <w:rFonts w:hint="eastAsia" w:ascii="宋体" w:hAnsi="宋体" w:eastAsia="宋体" w:cs="宋体"/>
          <w:b/>
          <w:bCs/>
          <w:color w:val="auto"/>
          <w:kern w:val="2"/>
          <w:sz w:val="21"/>
          <w:szCs w:val="21"/>
          <w:highlight w:val="none"/>
          <w:u w:val="single"/>
          <w:lang w:val="en-US" w:eastAsia="zh-CN"/>
        </w:rPr>
        <w:t>4</w:t>
      </w:r>
      <w:r>
        <w:rPr>
          <w:rFonts w:hint="eastAsia" w:ascii="宋体" w:hAnsi="宋体" w:eastAsia="宋体" w:cs="宋体"/>
          <w:b/>
          <w:bCs/>
          <w:color w:val="auto"/>
          <w:kern w:val="2"/>
          <w:sz w:val="21"/>
          <w:szCs w:val="21"/>
          <w:highlight w:val="none"/>
          <w:lang w:val="zh-CN"/>
        </w:rPr>
        <w:t>年</w:t>
      </w:r>
      <w:r>
        <w:rPr>
          <w:rFonts w:hint="eastAsia" w:ascii="宋体" w:hAnsi="宋体" w:eastAsia="宋体" w:cs="宋体"/>
          <w:b/>
          <w:bCs/>
          <w:color w:val="auto"/>
          <w:kern w:val="2"/>
          <w:sz w:val="21"/>
          <w:szCs w:val="21"/>
          <w:highlight w:val="none"/>
          <w:u w:val="single"/>
          <w:lang w:val="en-US" w:eastAsia="zh-CN"/>
        </w:rPr>
        <w:t>4</w:t>
      </w:r>
      <w:r>
        <w:rPr>
          <w:rFonts w:hint="eastAsia" w:ascii="宋体" w:hAnsi="宋体" w:eastAsia="宋体" w:cs="宋体"/>
          <w:b/>
          <w:bCs/>
          <w:color w:val="auto"/>
          <w:kern w:val="2"/>
          <w:sz w:val="21"/>
          <w:szCs w:val="21"/>
          <w:highlight w:val="none"/>
          <w:lang w:val="zh-CN"/>
        </w:rPr>
        <w:t>月</w:t>
      </w:r>
      <w:r>
        <w:rPr>
          <w:rFonts w:hint="eastAsia" w:ascii="宋体" w:hAnsi="宋体" w:eastAsia="宋体" w:cs="宋体"/>
          <w:b/>
          <w:bCs/>
          <w:color w:val="auto"/>
          <w:kern w:val="2"/>
          <w:sz w:val="21"/>
          <w:szCs w:val="21"/>
          <w:highlight w:val="none"/>
          <w:u w:val="single"/>
          <w:lang w:val="en-US" w:eastAsia="zh-CN"/>
        </w:rPr>
        <w:t>25</w:t>
      </w:r>
      <w:r>
        <w:rPr>
          <w:rFonts w:hint="eastAsia" w:ascii="宋体" w:hAnsi="宋体" w:eastAsia="宋体" w:cs="宋体"/>
          <w:b/>
          <w:bCs/>
          <w:color w:val="auto"/>
          <w:kern w:val="2"/>
          <w:sz w:val="21"/>
          <w:szCs w:val="21"/>
          <w:highlight w:val="none"/>
          <w:lang w:val="zh-CN"/>
        </w:rPr>
        <w:t>日</w:t>
      </w:r>
      <w:r>
        <w:rPr>
          <w:rFonts w:hint="eastAsia" w:ascii="宋体" w:hAnsi="宋体" w:eastAsia="宋体" w:cs="宋体"/>
          <w:b/>
          <w:bCs/>
          <w:color w:val="auto"/>
          <w:kern w:val="2"/>
          <w:sz w:val="21"/>
          <w:szCs w:val="21"/>
          <w:highlight w:val="none"/>
          <w:u w:val="single"/>
          <w:lang w:val="en-US" w:eastAsia="zh-CN"/>
        </w:rPr>
        <w:t>09</w:t>
      </w:r>
      <w:r>
        <w:rPr>
          <w:rFonts w:hint="eastAsia" w:ascii="宋体" w:hAnsi="宋体" w:eastAsia="宋体" w:cs="宋体"/>
          <w:b/>
          <w:bCs/>
          <w:color w:val="auto"/>
          <w:kern w:val="2"/>
          <w:sz w:val="21"/>
          <w:szCs w:val="21"/>
          <w:highlight w:val="none"/>
          <w:u w:val="single"/>
        </w:rPr>
        <w:t xml:space="preserve">：30 </w:t>
      </w:r>
      <w:r>
        <w:rPr>
          <w:rFonts w:hint="eastAsia" w:ascii="宋体" w:hAnsi="宋体" w:eastAsia="宋体" w:cs="宋体"/>
          <w:b/>
          <w:bCs/>
          <w:color w:val="auto"/>
          <w:kern w:val="2"/>
          <w:sz w:val="21"/>
          <w:szCs w:val="21"/>
          <w:highlight w:val="none"/>
        </w:rPr>
        <w:t>分；</w:t>
      </w:r>
    </w:p>
    <w:p>
      <w:pPr>
        <w:tabs>
          <w:tab w:val="left" w:pos="426"/>
        </w:tabs>
        <w:spacing w:line="360" w:lineRule="auto"/>
        <w:ind w:left="427" w:leftChars="-59" w:right="-34" w:hanging="569" w:hangingChars="27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5.3 </w:t>
      </w:r>
      <w:r>
        <w:rPr>
          <w:rFonts w:hint="eastAsia" w:ascii="宋体" w:hAnsi="宋体" w:eastAsia="宋体" w:cs="宋体"/>
          <w:b/>
          <w:bCs/>
          <w:color w:val="auto"/>
          <w:kern w:val="2"/>
          <w:sz w:val="21"/>
          <w:szCs w:val="21"/>
          <w:highlight w:val="none"/>
          <w:lang w:val="en-US" w:eastAsia="zh-CN"/>
        </w:rPr>
        <w:t>响应文件递交地点</w:t>
      </w:r>
      <w:r>
        <w:rPr>
          <w:rFonts w:hint="eastAsia" w:ascii="宋体" w:hAnsi="宋体" w:eastAsia="宋体" w:cs="宋体"/>
          <w:b/>
          <w:bCs/>
          <w:color w:val="auto"/>
          <w:kern w:val="2"/>
          <w:sz w:val="21"/>
          <w:szCs w:val="21"/>
          <w:highlight w:val="none"/>
          <w:lang w:val="zh-CN"/>
        </w:rPr>
        <w:t>：广东省东莞市南城街道元美东路6号303室</w:t>
      </w:r>
      <w:r>
        <w:rPr>
          <w:rFonts w:hint="eastAsia" w:ascii="宋体" w:hAnsi="宋体" w:eastAsia="宋体" w:cs="宋体"/>
          <w:b/>
          <w:bCs/>
          <w:color w:val="auto"/>
          <w:sz w:val="21"/>
          <w:szCs w:val="21"/>
          <w:highlight w:val="none"/>
        </w:rPr>
        <w:t>。</w:t>
      </w:r>
    </w:p>
    <w:p>
      <w:pPr>
        <w:tabs>
          <w:tab w:val="left" w:pos="426"/>
        </w:tabs>
        <w:spacing w:line="360" w:lineRule="auto"/>
        <w:ind w:left="425" w:leftChars="-59" w:right="-34" w:hanging="567" w:hangingChars="270"/>
        <w:jc w:val="both"/>
        <w:rPr>
          <w:rFonts w:hint="eastAsia" w:ascii="宋体" w:hAnsi="宋体" w:eastAsia="宋体" w:cs="宋体"/>
          <w:color w:val="auto"/>
          <w:kern w:val="2"/>
          <w:sz w:val="21"/>
          <w:szCs w:val="21"/>
          <w:highlight w:val="none"/>
          <w:lang w:val="zh-CN"/>
        </w:rPr>
      </w:pPr>
    </w:p>
    <w:p>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254" w:leftChars="-59" w:right="-34" w:hanging="396" w:hangingChars="189"/>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采购人只接受在递交响应文件截止日当天，由供应商法定代表人或其授权代表于递交响应文件截止时间前亲自递交</w:t>
      </w:r>
      <w:r>
        <w:rPr>
          <w:rFonts w:hint="eastAsia" w:ascii="宋体" w:hAnsi="宋体" w:eastAsia="宋体" w:cs="宋体"/>
          <w:color w:val="auto"/>
          <w:kern w:val="2"/>
          <w:sz w:val="21"/>
          <w:szCs w:val="21"/>
          <w:highlight w:val="none"/>
          <w:lang w:val="en-US" w:eastAsia="zh-CN"/>
        </w:rPr>
        <w:t>密封</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lang w:val="en-US" w:eastAsia="zh-CN"/>
        </w:rPr>
        <w:t>并现场参加磋商</w:t>
      </w:r>
      <w:r>
        <w:rPr>
          <w:rFonts w:hint="eastAsia" w:ascii="宋体" w:hAnsi="宋体" w:eastAsia="宋体" w:cs="宋体"/>
          <w:color w:val="auto"/>
          <w:kern w:val="2"/>
          <w:sz w:val="21"/>
          <w:szCs w:val="21"/>
          <w:highlight w:val="none"/>
          <w:lang w:val="zh-CN"/>
        </w:rPr>
        <w:t>。电报、传真形式的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p>
    <w:p>
      <w:pPr>
        <w:numPr>
          <w:ilvl w:val="0"/>
          <w:numId w:val="0"/>
        </w:numPr>
        <w:tabs>
          <w:tab w:val="left" w:pos="284"/>
        </w:tabs>
        <w:spacing w:line="360" w:lineRule="auto"/>
        <w:ind w:left="139" w:leftChars="-59" w:right="-34" w:hanging="281" w:hangingChars="134"/>
        <w:jc w:val="both"/>
        <w:rPr>
          <w:rFonts w:hint="eastAsia" w:ascii="宋体" w:hAnsi="宋体" w:eastAsia="宋体" w:cs="宋体"/>
          <w:color w:val="auto"/>
          <w:kern w:val="2"/>
          <w:sz w:val="21"/>
          <w:szCs w:val="21"/>
          <w:highlight w:val="none"/>
          <w:lang w:val="zh-CN"/>
        </w:rPr>
      </w:pPr>
    </w:p>
    <w:p>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60" w:lineRule="auto"/>
        <w:ind w:left="173" w:leftChars="-59" w:right="-34" w:hanging="315" w:hangingChars="150"/>
        <w:jc w:val="both"/>
        <w:textAlignment w:val="auto"/>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eastAsia="zh-CN"/>
        </w:rPr>
        <w:t>7</w:t>
      </w:r>
      <w:r>
        <w:rPr>
          <w:rFonts w:hint="eastAsia" w:ascii="宋体" w:hAnsi="宋体" w:eastAsia="宋体" w:cs="宋体"/>
          <w:bCs w:val="0"/>
          <w:color w:val="auto"/>
          <w:kern w:val="2"/>
          <w:sz w:val="21"/>
          <w:szCs w:val="21"/>
          <w:highlight w:val="none"/>
          <w:lang w:val="en-US" w:eastAsia="zh-CN"/>
        </w:rPr>
        <w:t xml:space="preserve">  </w:t>
      </w:r>
      <w:r>
        <w:rPr>
          <w:rFonts w:hint="eastAsia" w:ascii="宋体" w:hAnsi="宋体" w:eastAsia="宋体" w:cs="宋体"/>
          <w:bCs w:val="0"/>
          <w:color w:val="auto"/>
          <w:kern w:val="2"/>
          <w:sz w:val="21"/>
          <w:szCs w:val="21"/>
          <w:highlight w:val="none"/>
          <w:lang w:val="zh-CN"/>
        </w:rPr>
        <w:t>本项目相关公告在以下媒介发布：中国招标投标公共服务平台（www.cebpubservice.com）、东莞市水务集团有限公司网（www.dgswjt.cn）、招标代理</w:t>
      </w:r>
      <w:r>
        <w:rPr>
          <w:rFonts w:hint="eastAsia" w:ascii="宋体" w:hAnsi="宋体" w:eastAsia="宋体" w:cs="宋体"/>
          <w:bCs w:val="0"/>
          <w:color w:val="auto"/>
          <w:kern w:val="2"/>
          <w:sz w:val="21"/>
          <w:szCs w:val="21"/>
          <w:highlight w:val="none"/>
          <w:lang w:val="zh-CN" w:eastAsia="zh-CN"/>
        </w:rPr>
        <w:t>机构</w:t>
      </w:r>
      <w:r>
        <w:rPr>
          <w:rFonts w:hint="eastAsia" w:ascii="宋体" w:hAnsi="宋体" w:eastAsia="宋体" w:cs="宋体"/>
          <w:bCs w:val="0"/>
          <w:color w:val="auto"/>
          <w:kern w:val="2"/>
          <w:sz w:val="21"/>
          <w:szCs w:val="21"/>
          <w:highlight w:val="none"/>
          <w:lang w:val="zh-CN"/>
        </w:rPr>
        <w:t>网站（www.gdhsbid.com）</w:t>
      </w:r>
      <w:r>
        <w:rPr>
          <w:rFonts w:hint="eastAsia" w:ascii="宋体" w:hAnsi="宋体" w:eastAsia="宋体" w:cs="宋体"/>
          <w:color w:val="auto"/>
          <w:kern w:val="2"/>
          <w:sz w:val="21"/>
          <w:szCs w:val="21"/>
          <w:highlight w:val="none"/>
          <w:lang w:val="zh-CN"/>
        </w:rPr>
        <w:t>。</w:t>
      </w:r>
    </w:p>
    <w:p>
      <w:pPr>
        <w:tabs>
          <w:tab w:val="left" w:pos="284"/>
        </w:tabs>
        <w:spacing w:line="360" w:lineRule="auto"/>
        <w:ind w:right="-34"/>
        <w:jc w:val="both"/>
        <w:rPr>
          <w:rFonts w:hint="eastAsia" w:ascii="宋体" w:hAnsi="宋体" w:eastAsia="宋体" w:cs="宋体"/>
          <w:color w:val="auto"/>
          <w:kern w:val="2"/>
          <w:sz w:val="21"/>
          <w:szCs w:val="21"/>
          <w:highlight w:val="none"/>
          <w:lang w:val="zh-CN"/>
        </w:rPr>
      </w:pPr>
    </w:p>
    <w:p>
      <w:pPr>
        <w:tabs>
          <w:tab w:val="left" w:pos="0"/>
        </w:tabs>
        <w:spacing w:line="360" w:lineRule="auto"/>
        <w:ind w:left="-2" w:leftChars="-59" w:right="-34" w:hanging="140" w:hangingChars="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8  采购人</w:t>
      </w:r>
      <w:r>
        <w:rPr>
          <w:rFonts w:hint="eastAsia" w:ascii="宋体" w:hAnsi="宋体" w:eastAsia="宋体" w:cs="宋体"/>
          <w:color w:val="auto"/>
          <w:kern w:val="2"/>
          <w:sz w:val="21"/>
          <w:szCs w:val="21"/>
          <w:highlight w:val="none"/>
          <w:lang w:val="zh-CN"/>
        </w:rPr>
        <w:t>联系方式</w:t>
      </w:r>
    </w:p>
    <w:p>
      <w:pPr>
        <w:widowControl/>
        <w:tabs>
          <w:tab w:val="left" w:pos="0"/>
        </w:tabs>
        <w:spacing w:line="360" w:lineRule="auto"/>
        <w:ind w:right="-36" w:firstLine="140" w:firstLineChars="67"/>
        <w:textAlignment w:val="bottom"/>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采购人：东莞市众源环境投资有限公司</w:t>
      </w:r>
    </w:p>
    <w:p>
      <w:pPr>
        <w:widowControl/>
        <w:tabs>
          <w:tab w:val="left" w:pos="0"/>
        </w:tabs>
        <w:spacing w:line="360" w:lineRule="auto"/>
        <w:ind w:right="-36" w:firstLine="140" w:firstLineChars="67"/>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址：东莞市南城街道石鼓社区沿河路西东莞市</w:t>
      </w:r>
      <w:r>
        <w:rPr>
          <w:rFonts w:hint="eastAsia" w:ascii="宋体" w:hAnsi="宋体" w:eastAsia="宋体" w:cs="宋体"/>
          <w:color w:val="auto"/>
          <w:sz w:val="21"/>
          <w:szCs w:val="21"/>
          <w:highlight w:val="none"/>
          <w:lang w:val="en-US" w:eastAsia="zh-CN"/>
        </w:rPr>
        <w:t>利源</w:t>
      </w:r>
      <w:r>
        <w:rPr>
          <w:rFonts w:hint="eastAsia" w:ascii="宋体" w:hAnsi="宋体" w:eastAsia="宋体" w:cs="宋体"/>
          <w:color w:val="auto"/>
          <w:sz w:val="21"/>
          <w:szCs w:val="21"/>
          <w:highlight w:val="none"/>
        </w:rPr>
        <w:t>有机资源再生利用项目</w:t>
      </w:r>
    </w:p>
    <w:p>
      <w:pPr>
        <w:widowControl/>
        <w:tabs>
          <w:tab w:val="left" w:pos="0"/>
        </w:tabs>
        <w:spacing w:line="360" w:lineRule="auto"/>
        <w:ind w:right="-36" w:firstLine="140" w:firstLineChars="67"/>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联系人：莫佩欣</w:t>
      </w:r>
    </w:p>
    <w:p>
      <w:pPr>
        <w:widowControl/>
        <w:tabs>
          <w:tab w:val="left" w:pos="0"/>
        </w:tabs>
        <w:spacing w:line="360" w:lineRule="auto"/>
        <w:ind w:right="-36" w:firstLine="140" w:firstLineChars="67"/>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电话：0769-22998930-315</w:t>
      </w:r>
    </w:p>
    <w:p>
      <w:pPr>
        <w:tabs>
          <w:tab w:val="left" w:pos="284"/>
        </w:tabs>
        <w:spacing w:line="360" w:lineRule="auto"/>
        <w:ind w:left="179" w:leftChars="-59" w:right="-34" w:hanging="321" w:hangingChars="134"/>
        <w:jc w:val="both"/>
        <w:rPr>
          <w:rFonts w:hint="eastAsia" w:ascii="宋体" w:hAnsi="宋体" w:eastAsia="宋体" w:cs="宋体"/>
          <w:color w:val="auto"/>
          <w:highlight w:val="none"/>
        </w:rPr>
      </w:pPr>
    </w:p>
    <w:p>
      <w:pPr>
        <w:tabs>
          <w:tab w:val="left" w:pos="0"/>
        </w:tabs>
        <w:spacing w:line="360" w:lineRule="auto"/>
        <w:ind w:left="-2" w:leftChars="-59" w:right="-34" w:hanging="140" w:hangingChars="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 xml:space="preserve">9  </w:t>
      </w:r>
      <w:r>
        <w:rPr>
          <w:rFonts w:hint="eastAsia" w:ascii="宋体" w:hAnsi="宋体" w:eastAsia="宋体" w:cs="宋体"/>
          <w:color w:val="auto"/>
          <w:kern w:val="2"/>
          <w:sz w:val="21"/>
          <w:szCs w:val="21"/>
          <w:highlight w:val="none"/>
          <w:lang w:val="zh-CN"/>
        </w:rPr>
        <w:t>采购代理机构联系方式</w:t>
      </w:r>
    </w:p>
    <w:p>
      <w:pPr>
        <w:widowControl/>
        <w:tabs>
          <w:tab w:val="left" w:pos="0"/>
        </w:tabs>
        <w:spacing w:line="360" w:lineRule="auto"/>
        <w:ind w:right="-36" w:firstLine="140" w:firstLineChars="67"/>
        <w:textAlignment w:val="bottom"/>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w:t>
      </w:r>
      <w:r>
        <w:rPr>
          <w:rFonts w:hint="eastAsia" w:ascii="宋体" w:hAnsi="宋体" w:eastAsia="宋体" w:cs="宋体"/>
          <w:color w:val="auto"/>
          <w:sz w:val="21"/>
          <w:szCs w:val="21"/>
          <w:highlight w:val="none"/>
        </w:rPr>
        <w:t>代理机构</w:t>
      </w:r>
      <w:r>
        <w:rPr>
          <w:rFonts w:hint="eastAsia" w:ascii="宋体" w:hAnsi="宋体" w:eastAsia="宋体" w:cs="宋体"/>
          <w:color w:val="auto"/>
          <w:kern w:val="2"/>
          <w:sz w:val="21"/>
          <w:szCs w:val="21"/>
          <w:highlight w:val="none"/>
          <w:lang w:val="zh-CN"/>
        </w:rPr>
        <w:t>：广东和盛招标代理有限公司</w:t>
      </w:r>
    </w:p>
    <w:p>
      <w:pPr>
        <w:widowControl/>
        <w:tabs>
          <w:tab w:val="left" w:pos="0"/>
        </w:tabs>
        <w:spacing w:line="360" w:lineRule="auto"/>
        <w:ind w:right="-36" w:firstLine="140" w:firstLineChars="67"/>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地 址：广东省东莞市南城街道元美东路6号303室</w:t>
      </w:r>
    </w:p>
    <w:p>
      <w:pPr>
        <w:widowControl/>
        <w:tabs>
          <w:tab w:val="left" w:pos="0"/>
        </w:tabs>
        <w:spacing w:line="360" w:lineRule="auto"/>
        <w:ind w:right="-36" w:firstLine="140" w:firstLineChars="67"/>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联系人：钟秀芳</w:t>
      </w:r>
    </w:p>
    <w:p>
      <w:pPr>
        <w:widowControl/>
        <w:tabs>
          <w:tab w:val="left" w:pos="0"/>
        </w:tabs>
        <w:spacing w:line="360" w:lineRule="auto"/>
        <w:ind w:right="-36" w:firstLine="140" w:firstLineChars="67"/>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电话：0769-22019033</w:t>
      </w:r>
    </w:p>
    <w:p>
      <w:pPr>
        <w:widowControl/>
        <w:tabs>
          <w:tab w:val="left" w:pos="0"/>
        </w:tabs>
        <w:spacing w:line="360" w:lineRule="auto"/>
        <w:ind w:right="-36" w:firstLine="140" w:firstLineChars="67"/>
        <w:textAlignment w:val="bottom"/>
        <w:rPr>
          <w:rFonts w:hint="eastAsia" w:ascii="宋体" w:hAnsi="宋体" w:eastAsia="宋体" w:cs="宋体"/>
          <w:color w:val="auto"/>
          <w:sz w:val="21"/>
          <w:szCs w:val="21"/>
          <w:highlight w:val="none"/>
          <w:lang w:val="en-US" w:eastAsia="zh-CN"/>
        </w:rPr>
      </w:pPr>
    </w:p>
    <w:p>
      <w:pPr>
        <w:pStyle w:val="4"/>
        <w:pageBreakBefore/>
        <w:tabs>
          <w:tab w:val="left" w:pos="1080"/>
        </w:tabs>
        <w:spacing w:line="360" w:lineRule="auto"/>
        <w:ind w:left="567" w:hanging="567"/>
        <w:jc w:val="center"/>
        <w:rPr>
          <w:rFonts w:hint="eastAsia" w:ascii="宋体" w:hAnsi="宋体" w:eastAsia="宋体" w:cs="宋体"/>
          <w:b/>
          <w:bCs/>
          <w:color w:val="auto"/>
          <w:kern w:val="44"/>
          <w:sz w:val="32"/>
          <w:szCs w:val="32"/>
          <w:highlight w:val="none"/>
        </w:rPr>
      </w:pPr>
      <w:bookmarkStart w:id="4" w:name="_Toc521918065"/>
      <w:bookmarkStart w:id="5" w:name="_Toc10496"/>
      <w:bookmarkStart w:id="6" w:name="_Toc450662847"/>
      <w:bookmarkStart w:id="7" w:name="_Toc300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lang w:val="en-US" w:eastAsia="zh-CN"/>
        </w:rPr>
        <w:t xml:space="preserve"> 磋商</w:t>
      </w:r>
      <w:r>
        <w:rPr>
          <w:rFonts w:hint="eastAsia" w:ascii="宋体" w:hAnsi="宋体" w:eastAsia="宋体" w:cs="宋体"/>
          <w:b/>
          <w:bCs/>
          <w:color w:val="auto"/>
          <w:kern w:val="44"/>
          <w:sz w:val="32"/>
          <w:szCs w:val="32"/>
          <w:highlight w:val="none"/>
          <w:lang w:val="zh-CN"/>
        </w:rPr>
        <w:t>须知</w:t>
      </w:r>
      <w:bookmarkEnd w:id="4"/>
      <w:bookmarkEnd w:id="5"/>
      <w:bookmarkEnd w:id="6"/>
      <w:bookmarkEnd w:id="7"/>
    </w:p>
    <w:p>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8" w:name="_Toc450662848"/>
      <w:bookmarkStart w:id="9" w:name="_Toc19555"/>
      <w:bookmarkStart w:id="10" w:name="_Toc521918066"/>
      <w:bookmarkStart w:id="11" w:name="_Toc30287"/>
      <w:r>
        <w:rPr>
          <w:rFonts w:hint="eastAsia" w:ascii="宋体" w:hAnsi="宋体" w:eastAsia="宋体" w:cs="宋体"/>
          <w:b/>
          <w:bCs/>
          <w:color w:val="auto"/>
          <w:kern w:val="44"/>
          <w:sz w:val="21"/>
          <w:szCs w:val="21"/>
          <w:highlight w:val="none"/>
          <w:lang w:val="zh-CN"/>
        </w:rPr>
        <w:t>一、总则</w:t>
      </w:r>
      <w:bookmarkEnd w:id="8"/>
      <w:bookmarkEnd w:id="9"/>
      <w:bookmarkEnd w:id="10"/>
      <w:bookmarkEnd w:id="11"/>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2" w:name="_Toc12774"/>
      <w:bookmarkStart w:id="13" w:name="_Toc450662849"/>
      <w:bookmarkStart w:id="14" w:name="_Toc521918067"/>
      <w:bookmarkStart w:id="15" w:name="_Toc28825"/>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资金来源：企业自筹资金。</w:t>
      </w:r>
      <w:bookmarkEnd w:id="12"/>
      <w:bookmarkEnd w:id="13"/>
      <w:bookmarkEnd w:id="14"/>
      <w:bookmarkEnd w:id="15"/>
    </w:p>
    <w:p>
      <w:pPr>
        <w:jc w:val="both"/>
        <w:rPr>
          <w:rFonts w:hint="eastAsia" w:ascii="宋体" w:hAnsi="宋体" w:eastAsia="宋体" w:cs="宋体"/>
          <w:color w:val="auto"/>
          <w:highlight w:val="none"/>
          <w:lang w:val="zh-CN"/>
        </w:rPr>
      </w:pPr>
    </w:p>
    <w:p>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6" w:name="_Toc534216347"/>
      <w:bookmarkStart w:id="17" w:name="_Toc964"/>
      <w:bookmarkStart w:id="18" w:name="_Toc6489"/>
      <w:bookmarkStart w:id="19" w:name="_Toc450662850"/>
      <w:bookmarkStart w:id="20" w:name="_Toc521918068"/>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16"/>
      <w:r>
        <w:rPr>
          <w:rFonts w:hint="eastAsia" w:ascii="宋体" w:hAnsi="宋体" w:eastAsia="宋体" w:cs="宋体"/>
          <w:b/>
          <w:bCs/>
          <w:color w:val="auto"/>
          <w:kern w:val="2"/>
          <w:sz w:val="21"/>
          <w:szCs w:val="21"/>
          <w:highlight w:val="none"/>
          <w:lang w:val="zh-CN"/>
        </w:rPr>
        <w:t>供应商</w:t>
      </w:r>
      <w:bookmarkEnd w:id="17"/>
      <w:bookmarkEnd w:id="18"/>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2.1 </w:t>
      </w:r>
      <w:r>
        <w:rPr>
          <w:rFonts w:hint="eastAsia" w:ascii="宋体" w:hAnsi="宋体" w:eastAsia="宋体" w:cs="宋体"/>
          <w:b/>
          <w:bCs/>
          <w:color w:val="auto"/>
          <w:kern w:val="2"/>
          <w:sz w:val="21"/>
          <w:szCs w:val="21"/>
          <w:highlight w:val="none"/>
          <w:u w:val="single"/>
          <w:lang w:val="zh-CN"/>
        </w:rPr>
        <w:t>合格的供应商条件见第一篇《竞争性磋商</w:t>
      </w:r>
      <w:r>
        <w:rPr>
          <w:rFonts w:hint="eastAsia" w:ascii="宋体" w:hAnsi="宋体" w:eastAsia="宋体" w:cs="宋体"/>
          <w:b/>
          <w:bCs/>
          <w:color w:val="auto"/>
          <w:kern w:val="2"/>
          <w:sz w:val="21"/>
          <w:szCs w:val="21"/>
          <w:highlight w:val="none"/>
          <w:u w:val="single"/>
          <w:lang w:val="en-US" w:eastAsia="zh-CN"/>
        </w:rPr>
        <w:t>公告</w:t>
      </w:r>
      <w:r>
        <w:rPr>
          <w:rFonts w:hint="eastAsia" w:ascii="宋体" w:hAnsi="宋体" w:eastAsia="宋体" w:cs="宋体"/>
          <w:b/>
          <w:bCs/>
          <w:color w:val="auto"/>
          <w:kern w:val="2"/>
          <w:sz w:val="21"/>
          <w:szCs w:val="21"/>
          <w:highlight w:val="none"/>
          <w:u w:val="single"/>
          <w:lang w:val="zh-CN"/>
        </w:rPr>
        <w:t>》中第2条的“合格供应商资格要求”及本条以下2.2款至</w:t>
      </w:r>
      <w:r>
        <w:rPr>
          <w:rFonts w:hint="eastAsia" w:ascii="宋体" w:hAnsi="宋体" w:eastAsia="宋体" w:cs="宋体"/>
          <w:b/>
          <w:bCs/>
          <w:color w:val="auto"/>
          <w:kern w:val="2"/>
          <w:sz w:val="21"/>
          <w:szCs w:val="21"/>
          <w:highlight w:val="none"/>
          <w:u w:val="single"/>
          <w:lang w:val="en-US" w:eastAsia="zh-CN"/>
        </w:rPr>
        <w:t>2.5</w:t>
      </w:r>
      <w:r>
        <w:rPr>
          <w:rFonts w:hint="eastAsia" w:ascii="宋体" w:hAnsi="宋体" w:eastAsia="宋体" w:cs="宋体"/>
          <w:b/>
          <w:bCs/>
          <w:color w:val="auto"/>
          <w:kern w:val="2"/>
          <w:sz w:val="21"/>
          <w:szCs w:val="21"/>
          <w:highlight w:val="none"/>
          <w:u w:val="single"/>
          <w:lang w:val="zh-CN"/>
        </w:rPr>
        <w:t>款的通用要求</w:t>
      </w:r>
      <w:r>
        <w:rPr>
          <w:rFonts w:hint="eastAsia" w:ascii="宋体" w:hAnsi="宋体" w:eastAsia="宋体" w:cs="宋体"/>
          <w:b/>
          <w:bCs/>
          <w:color w:val="auto"/>
          <w:kern w:val="2"/>
          <w:sz w:val="21"/>
          <w:szCs w:val="21"/>
          <w:highlight w:val="none"/>
          <w:u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 xml:space="preserve"> </w:t>
      </w:r>
      <w:r>
        <w:rPr>
          <w:rFonts w:hint="eastAsia" w:ascii="宋体" w:hAnsi="宋体" w:eastAsia="宋体" w:cs="宋体"/>
          <w:b/>
          <w:bCs/>
          <w:color w:val="auto"/>
          <w:sz w:val="21"/>
          <w:szCs w:val="21"/>
          <w:highlight w:val="none"/>
          <w:u w:val="single"/>
          <w:lang w:val="zh-CN"/>
        </w:rPr>
        <w:t>供应商</w:t>
      </w:r>
      <w:r>
        <w:rPr>
          <w:rFonts w:hint="eastAsia" w:ascii="宋体" w:hAnsi="宋体" w:eastAsia="宋体" w:cs="宋体"/>
          <w:b/>
          <w:bCs/>
          <w:color w:val="auto"/>
          <w:kern w:val="2"/>
          <w:sz w:val="21"/>
          <w:szCs w:val="21"/>
          <w:highlight w:val="none"/>
          <w:u w:val="single"/>
          <w:lang w:val="zh-CN"/>
        </w:rPr>
        <w:t>在参加本项目磋商前的三年内不得在投标活动中存在《中华人民共和国招标投标法》第五十三条（相互串通投标或者与采购人串通投标，以向采购人或者评标委员会成员行贿的手段谋取中标）、第五十四条（以他人名义投标或者以其他方式弄虚作假，骗取中标）、第六十条（中标人不履行与采购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存在前述处罚的，在响应文件中必须主动按竞争性磋商文件的要求填报“最近3年</w:t>
      </w:r>
      <w:r>
        <w:rPr>
          <w:rFonts w:hint="eastAsia" w:ascii="宋体" w:hAnsi="宋体" w:eastAsia="宋体" w:cs="宋体"/>
          <w:b/>
          <w:bCs/>
          <w:color w:val="auto"/>
          <w:kern w:val="2"/>
          <w:sz w:val="21"/>
          <w:szCs w:val="21"/>
          <w:highlight w:val="none"/>
          <w:u w:val="single"/>
          <w:lang w:val="zh-CN" w:eastAsia="zh-CN"/>
        </w:rPr>
        <w:t>供应商</w:t>
      </w:r>
      <w:r>
        <w:rPr>
          <w:rFonts w:hint="eastAsia" w:ascii="宋体" w:hAnsi="宋体" w:eastAsia="宋体" w:cs="宋体"/>
          <w:b/>
          <w:bCs/>
          <w:color w:val="auto"/>
          <w:kern w:val="2"/>
          <w:sz w:val="21"/>
          <w:szCs w:val="21"/>
          <w:highlight w:val="none"/>
          <w:u w:val="single"/>
          <w:lang w:val="zh-CN"/>
        </w:rPr>
        <w:t>牵涉的其他（失信和违法）处罚说明”，如果不主动填报而被事后发现的，将取消其磋商（中标）资格，并按有关规定从重处理</w:t>
      </w:r>
      <w:r>
        <w:rPr>
          <w:rFonts w:hint="eastAsia" w:ascii="宋体" w:hAnsi="宋体" w:eastAsia="宋体" w:cs="宋体"/>
          <w:b/>
          <w:bCs/>
          <w:color w:val="auto"/>
          <w:kern w:val="2"/>
          <w:sz w:val="21"/>
          <w:szCs w:val="21"/>
          <w:highlight w:val="none"/>
          <w:u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
          <w:bCs/>
          <w:color w:val="auto"/>
          <w:sz w:val="21"/>
          <w:szCs w:val="21"/>
          <w:highlight w:val="none"/>
          <w:lang w:val="en-US" w:eastAsia="zh-CN"/>
        </w:rPr>
        <w:t xml:space="preserve">2.3 </w:t>
      </w:r>
      <w:r>
        <w:rPr>
          <w:rFonts w:hint="eastAsia" w:ascii="宋体" w:hAnsi="宋体" w:eastAsia="宋体" w:cs="宋体"/>
          <w:b/>
          <w:bCs/>
          <w:color w:val="auto"/>
          <w:sz w:val="21"/>
          <w:szCs w:val="21"/>
          <w:highlight w:val="none"/>
          <w:u w:val="single"/>
          <w:lang w:val="zh-CN"/>
        </w:rPr>
        <w:t>供应商</w:t>
      </w:r>
      <w:r>
        <w:rPr>
          <w:rFonts w:hint="eastAsia" w:ascii="宋体" w:hAnsi="宋体" w:eastAsia="宋体" w:cs="宋体"/>
          <w:b/>
          <w:bCs/>
          <w:color w:val="auto"/>
          <w:kern w:val="2"/>
          <w:sz w:val="21"/>
          <w:szCs w:val="21"/>
          <w:highlight w:val="none"/>
          <w:u w:val="single"/>
          <w:lang w:val="zh-CN"/>
        </w:rPr>
        <w:t>符合《中华人民共和国招标投标法》第二十六条规定</w:t>
      </w:r>
      <w:r>
        <w:rPr>
          <w:rFonts w:hint="eastAsia" w:ascii="宋体" w:hAnsi="宋体" w:eastAsia="宋体" w:cs="宋体"/>
          <w:b/>
          <w:bCs/>
          <w:color w:val="auto"/>
          <w:kern w:val="2"/>
          <w:sz w:val="21"/>
          <w:szCs w:val="21"/>
          <w:highlight w:val="none"/>
          <w:u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rPr>
        <w:t>通过“信用中国”网站（ www.creditchina.gov.cn）查询</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信用记录，</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（含其不具有独立法人资格的分支机构）未列入失信被执行人、</w:t>
      </w:r>
      <w:r>
        <w:rPr>
          <w:rFonts w:hint="eastAsia" w:ascii="宋体" w:hAnsi="宋体" w:eastAsia="宋体" w:cs="宋体"/>
          <w:b/>
          <w:bCs/>
          <w:color w:val="auto"/>
          <w:kern w:val="2"/>
          <w:sz w:val="21"/>
          <w:szCs w:val="21"/>
          <w:highlight w:val="none"/>
          <w:u w:val="single"/>
          <w:lang w:val="zh-CN"/>
        </w:rPr>
        <w:t>重大税收违法失信主体、严重违法失信行为记录名单</w:t>
      </w:r>
      <w:r>
        <w:rPr>
          <w:rFonts w:hint="eastAsia" w:ascii="宋体" w:hAnsi="宋体" w:eastAsia="宋体" w:cs="宋体"/>
          <w:b/>
          <w:bCs/>
          <w:color w:val="auto"/>
          <w:sz w:val="21"/>
          <w:szCs w:val="21"/>
          <w:highlight w:val="none"/>
          <w:u w:val="single"/>
        </w:rPr>
        <w:t>（处罚期限届满的除外）</w:t>
      </w:r>
      <w:r>
        <w:rPr>
          <w:rFonts w:hint="eastAsia" w:ascii="宋体" w:hAnsi="宋体" w:eastAsia="宋体" w:cs="宋体"/>
          <w:b/>
          <w:bCs/>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rPr>
        <w:t>根据《中华人民共和国招标投标法实施条例》第三十四条规定，与采购人存在利害关系可能影响招标公正性的法人、其他组织或者个人，不得参加</w:t>
      </w:r>
      <w:r>
        <w:rPr>
          <w:rFonts w:hint="eastAsia" w:ascii="宋体" w:hAnsi="宋体" w:eastAsia="宋体" w:cs="宋体"/>
          <w:b/>
          <w:bCs/>
          <w:color w:val="auto"/>
          <w:sz w:val="21"/>
          <w:szCs w:val="21"/>
          <w:highlight w:val="none"/>
          <w:u w:val="single"/>
          <w:lang w:eastAsia="zh-CN"/>
        </w:rPr>
        <w:t>报价</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负责人为同一人或者存在控股、管理关系的不同</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，不得参加同一项目</w:t>
      </w:r>
      <w:r>
        <w:rPr>
          <w:rFonts w:hint="eastAsia" w:ascii="宋体" w:hAnsi="宋体" w:eastAsia="宋体" w:cs="宋体"/>
          <w:b/>
          <w:bCs/>
          <w:color w:val="auto"/>
          <w:sz w:val="21"/>
          <w:szCs w:val="21"/>
          <w:highlight w:val="none"/>
          <w:u w:val="single"/>
          <w:lang w:eastAsia="zh-CN"/>
        </w:rPr>
        <w:t>报价</w:t>
      </w:r>
      <w:r>
        <w:rPr>
          <w:rFonts w:hint="eastAsia" w:ascii="宋体" w:hAnsi="宋体" w:eastAsia="宋体" w:cs="宋体"/>
          <w:b/>
          <w:bCs/>
          <w:color w:val="auto"/>
          <w:sz w:val="21"/>
          <w:szCs w:val="21"/>
          <w:highlight w:val="none"/>
          <w:u w:val="single"/>
        </w:rPr>
        <w:t>。上述情况一经发现，相关</w:t>
      </w:r>
      <w:r>
        <w:rPr>
          <w:rFonts w:hint="eastAsia" w:ascii="宋体" w:hAnsi="宋体" w:eastAsia="宋体" w:cs="宋体"/>
          <w:b/>
          <w:bCs/>
          <w:color w:val="auto"/>
          <w:sz w:val="21"/>
          <w:szCs w:val="21"/>
          <w:highlight w:val="none"/>
          <w:u w:val="single"/>
          <w:lang w:eastAsia="zh-CN"/>
        </w:rPr>
        <w:t>报价</w:t>
      </w:r>
      <w:r>
        <w:rPr>
          <w:rFonts w:hint="eastAsia" w:ascii="宋体" w:hAnsi="宋体" w:eastAsia="宋体" w:cs="宋体"/>
          <w:b/>
          <w:bCs/>
          <w:color w:val="auto"/>
          <w:sz w:val="21"/>
          <w:szCs w:val="21"/>
          <w:highlight w:val="none"/>
          <w:u w:val="single"/>
        </w:rPr>
        <w:t>均无效</w:t>
      </w:r>
      <w:r>
        <w:rPr>
          <w:rFonts w:hint="eastAsia" w:ascii="宋体" w:hAnsi="宋体" w:eastAsia="宋体" w:cs="宋体"/>
          <w:b/>
          <w:bCs/>
          <w:color w:val="auto"/>
          <w:sz w:val="21"/>
          <w:szCs w:val="21"/>
          <w:highlight w:val="none"/>
        </w:rPr>
        <w:t>。</w:t>
      </w:r>
    </w:p>
    <w:p>
      <w:pPr>
        <w:tabs>
          <w:tab w:val="left" w:pos="426"/>
        </w:tabs>
        <w:spacing w:line="360" w:lineRule="auto"/>
        <w:ind w:left="529" w:hanging="529" w:hangingChars="252"/>
        <w:jc w:val="both"/>
        <w:rPr>
          <w:rFonts w:hint="eastAsia" w:ascii="宋体" w:hAnsi="宋体" w:eastAsia="宋体" w:cs="宋体"/>
          <w:color w:val="auto"/>
          <w:sz w:val="21"/>
          <w:szCs w:val="21"/>
          <w:highlight w:val="none"/>
        </w:rPr>
      </w:pPr>
    </w:p>
    <w:bookmarkEnd w:id="19"/>
    <w:bookmarkEnd w:id="20"/>
    <w:p>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1" w:name="_Toc51642347"/>
      <w:bookmarkStart w:id="22" w:name="_Toc29350"/>
      <w:bookmarkStart w:id="23" w:name="_Toc26545"/>
      <w:bookmarkStart w:id="24" w:name="_Toc521918069"/>
      <w:bookmarkStart w:id="25" w:name="_Toc450662851"/>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合格的服务</w:t>
      </w:r>
      <w:bookmarkEnd w:id="21"/>
      <w:bookmarkEnd w:id="22"/>
      <w:bookmarkEnd w:id="23"/>
    </w:p>
    <w:p>
      <w:pPr>
        <w:spacing w:line="360" w:lineRule="auto"/>
        <w:ind w:left="420" w:hanging="420" w:hangingChars="200"/>
        <w:jc w:val="both"/>
        <w:rPr>
          <w:rFonts w:hint="eastAsia" w:ascii="宋体" w:hAnsi="宋体" w:eastAsia="宋体" w:cs="宋体"/>
          <w:color w:val="auto"/>
          <w:sz w:val="20"/>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kern w:val="2"/>
          <w:sz w:val="21"/>
          <w:szCs w:val="21"/>
          <w:highlight w:val="none"/>
          <w:lang w:val="zh-CN"/>
        </w:rPr>
        <w:t xml:space="preserve"> “服务”是指供应商依法并按竞争性磋商文件规定完成的全部服务内容，其中包括完成服务所需的货物和工程，及应承担的技术支持、培训和其它伴随服务。</w:t>
      </w:r>
    </w:p>
    <w:p>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货物”是指必须是合法生产、合法来源的原厂生产的、全新的、未使用过的，并完全符合原厂质量检测标准和国家质量检测标准、行业标准和竞争性磋商文件要求、响应文件承诺。涉及进口产品或原材料的，成交人负责办理所有货物的进口及商检手续，并承担相关费用。</w:t>
      </w:r>
    </w:p>
    <w:p>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必须保证提供的所有服务，其质量、技术等特征必须符合国家、行业现行法律、法规的相关标准和《中华人民共和国招标投标法》的有关规定及用户需求。</w:t>
      </w:r>
    </w:p>
    <w:p>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进口的货物及其有关服务必须符合原产地和中华人民共和国的设计和制造生产或行业标准。进口的货物须是具有合法的进口手续和途径，并通过了中华人民共和国商检部门的检验。成交人负责办理所有货物的进口及商检手续，并承担相关费用，还应提供原产地证书、报关资料及检验检疫证明、完税证明。</w:t>
      </w:r>
    </w:p>
    <w:p>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应保证本项目的技术、服务或其任何一部分免受第三方提出侵犯其专利权、商标权、著作权或其它知识产权的起诉、仲裁或其他形式的责任追究。如果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不拥有相应的知识产权，则响应报价应包括合法获取该知识产权的相关费用。如有违反，造成采购人任何经济损失或其他损失的，由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承担全部赔偿责任。</w:t>
      </w:r>
    </w:p>
    <w:p>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无论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是否在响应报价表中明示，均视为响应报价已承担包含所有应支付的对专利权、商标权和版权、设计或其他知识产权而需要向其他方支付的版税和使用费等相关费用。如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未依法向第三方支付应缴版税和使用费等相关费用的，造成采购人任何经济损失的，由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承担全部赔偿责任。</w:t>
      </w:r>
    </w:p>
    <w:bookmarkEnd w:id="24"/>
    <w:bookmarkEnd w:id="25"/>
    <w:p>
      <w:pPr>
        <w:spacing w:line="360" w:lineRule="auto"/>
        <w:ind w:left="420" w:hanging="420" w:hangingChars="200"/>
        <w:jc w:val="both"/>
        <w:rPr>
          <w:rFonts w:hint="eastAsia" w:ascii="宋体" w:hAnsi="宋体" w:eastAsia="宋体" w:cs="宋体"/>
          <w:color w:val="auto"/>
          <w:sz w:val="21"/>
          <w:szCs w:val="21"/>
          <w:highlight w:val="none"/>
        </w:rPr>
      </w:pPr>
    </w:p>
    <w:p>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6" w:name="_Toc450662852"/>
      <w:bookmarkStart w:id="27" w:name="_Toc30081"/>
      <w:bookmarkStart w:id="28" w:name="_Toc13454"/>
      <w:r>
        <w:rPr>
          <w:rFonts w:hint="eastAsia" w:ascii="宋体" w:hAnsi="宋体" w:eastAsia="宋体" w:cs="宋体"/>
          <w:color w:val="auto"/>
          <w:kern w:val="2"/>
          <w:sz w:val="21"/>
          <w:szCs w:val="21"/>
          <w:highlight w:val="none"/>
          <w:lang w:val="zh-CN"/>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其它说明</w:t>
      </w:r>
      <w:bookmarkEnd w:id="26"/>
      <w:bookmarkEnd w:id="27"/>
      <w:bookmarkEnd w:id="28"/>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4.1 </w:t>
      </w:r>
      <w:r>
        <w:rPr>
          <w:rFonts w:hint="eastAsia" w:ascii="宋体" w:hAnsi="宋体" w:eastAsia="宋体" w:cs="宋体"/>
          <w:color w:val="auto"/>
          <w:kern w:val="2"/>
          <w:sz w:val="21"/>
          <w:szCs w:val="21"/>
          <w:highlight w:val="none"/>
          <w:lang w:val="en-US" w:eastAsia="zh-CN"/>
        </w:rPr>
        <w:t>磋商过程</w:t>
      </w:r>
      <w:r>
        <w:rPr>
          <w:rFonts w:hint="eastAsia" w:ascii="宋体" w:hAnsi="宋体" w:eastAsia="宋体" w:cs="宋体"/>
          <w:color w:val="auto"/>
          <w:kern w:val="2"/>
          <w:sz w:val="21"/>
          <w:szCs w:val="21"/>
          <w:highlight w:val="none"/>
          <w:lang w:val="zh-CN"/>
        </w:rPr>
        <w:t>费用</w:t>
      </w:r>
    </w:p>
    <w:p>
      <w:pPr>
        <w:spacing w:line="360" w:lineRule="auto"/>
        <w:ind w:left="418" w:leftChars="174"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无论采购过程中的做法和结果如何，供应商须承担所有与编写和递交响应文件有关的费用，采购人在任何情况下不负担这些费用。</w:t>
      </w:r>
    </w:p>
    <w:p>
      <w:pPr>
        <w:keepNext w:val="0"/>
        <w:keepLines w:val="0"/>
        <w:pageBreakBefore w:val="0"/>
        <w:widowControl w:val="0"/>
        <w:tabs>
          <w:tab w:val="left" w:pos="567"/>
          <w:tab w:val="left" w:pos="927"/>
        </w:tabs>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2 踏勘现场</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val="0"/>
          <w:color w:val="auto"/>
          <w:sz w:val="21"/>
          <w:szCs w:val="21"/>
          <w:highlight w:val="none"/>
        </w:rPr>
        <w:t>本项目不组织集中踏勘现场和答疑，</w:t>
      </w:r>
      <w:r>
        <w:rPr>
          <w:rFonts w:hint="eastAsia" w:ascii="宋体" w:hAnsi="宋体" w:eastAsia="宋体" w:cs="宋体"/>
          <w:bCs w:val="0"/>
          <w:color w:val="auto"/>
          <w:sz w:val="21"/>
          <w:szCs w:val="21"/>
          <w:highlight w:val="none"/>
          <w:lang w:eastAsia="zh-CN"/>
        </w:rPr>
        <w:t>供应商</w:t>
      </w:r>
      <w:r>
        <w:rPr>
          <w:rFonts w:hint="eastAsia" w:ascii="宋体" w:hAnsi="宋体" w:eastAsia="宋体" w:cs="宋体"/>
          <w:bCs w:val="0"/>
          <w:color w:val="auto"/>
          <w:sz w:val="21"/>
          <w:szCs w:val="21"/>
          <w:highlight w:val="none"/>
        </w:rPr>
        <w:t>应自行到实地踏勘考察。</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应承担踏勘现场自身所发生的费用。</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在踏勘现场中介绍的有关现场和相关的周边环境情况，供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在编制响应文件时参考，采购人不对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据此作出的判断和决策负责。</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可为踏勘需要而进入采购人的项目现场，但潜在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不得因此使采购人承担有关的责任和蒙受损失。潜在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应承担踏勘现场的责任和风险。</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b/>
          <w:bCs/>
          <w:color w:val="auto"/>
          <w:highlight w:val="none"/>
        </w:rPr>
      </w:pPr>
      <w:r>
        <w:rPr>
          <w:rFonts w:hint="eastAsia" w:ascii="宋体" w:hAnsi="宋体" w:eastAsia="宋体" w:cs="宋体"/>
          <w:color w:val="auto"/>
          <w:kern w:val="2"/>
          <w:sz w:val="21"/>
          <w:szCs w:val="21"/>
          <w:highlight w:val="none"/>
          <w:lang w:val="zh-CN"/>
        </w:rPr>
        <w:t>4.3 纪律与保密事项</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）获得本竞争性磋商文件的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，不得用作本次</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以外的任何用途</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（2）凡参与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工作的有关人员均应自觉接受有关主管部门的监督，不得向他人透露可能影响公平竞争的情况。</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w:t>
      </w:r>
      <w:r>
        <w:rPr>
          <w:rFonts w:hint="eastAsia" w:ascii="宋体" w:hAnsi="宋体" w:eastAsia="宋体" w:cs="宋体"/>
          <w:color w:val="auto"/>
          <w:sz w:val="21"/>
          <w:szCs w:val="21"/>
          <w:highlight w:val="none"/>
          <w:lang w:val="en-US" w:eastAsia="zh-CN"/>
        </w:rPr>
        <w:t>启响应文件</w:t>
      </w:r>
      <w:r>
        <w:rPr>
          <w:rFonts w:hint="eastAsia" w:ascii="宋体" w:hAnsi="宋体" w:eastAsia="宋体" w:cs="宋体"/>
          <w:color w:val="auto"/>
          <w:sz w:val="21"/>
          <w:szCs w:val="21"/>
          <w:highlight w:val="none"/>
        </w:rPr>
        <w:t>后，直至向成交人发出《成交通知书》时止，凡与审查、澄清、评价和比较报价的有关资料以及授标意见等，参与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工作的有关人员均不得向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及与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无关的其他人透露。</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被要求对响应文件进行澄清外，从递交响应文件截止之时起至授予合同期间，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不得就与其响应文件有关的事项主动与</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代理机构以</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采购人联系。</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之日起至授予合同期间，在响应文件的审查、澄清、比较和评价阶段，</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试图对</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施加任何影响或对采购人的比较及授予合同的决定产生影响，都可能导致其响应文件被拒绝。</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不得串通作弊，以不正当的手段妨碍、排挤其他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，扰乱采购市场，破坏公平竞争原则。</w:t>
      </w:r>
    </w:p>
    <w:p>
      <w:pPr>
        <w:spacing w:line="360" w:lineRule="auto"/>
        <w:ind w:left="420" w:hanging="480" w:hangingChars="200"/>
        <w:jc w:val="both"/>
        <w:rPr>
          <w:rFonts w:hint="eastAsia" w:ascii="宋体" w:hAnsi="宋体" w:eastAsia="宋体" w:cs="宋体"/>
          <w:color w:val="auto"/>
          <w:highlight w:val="none"/>
        </w:rPr>
      </w:pPr>
    </w:p>
    <w:p>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29" w:name="_Toc521918070"/>
      <w:bookmarkStart w:id="30" w:name="_Toc450662853"/>
      <w:bookmarkStart w:id="31" w:name="_Toc18335"/>
      <w:bookmarkStart w:id="32" w:name="_Toc12598"/>
      <w:r>
        <w:rPr>
          <w:rFonts w:hint="eastAsia" w:ascii="宋体" w:hAnsi="宋体" w:eastAsia="宋体" w:cs="宋体"/>
          <w:b/>
          <w:bCs/>
          <w:color w:val="auto"/>
          <w:kern w:val="44"/>
          <w:sz w:val="21"/>
          <w:szCs w:val="21"/>
          <w:highlight w:val="none"/>
          <w:lang w:val="zh-CN"/>
        </w:rPr>
        <w:t>二、</w:t>
      </w:r>
      <w:bookmarkEnd w:id="29"/>
      <w:bookmarkEnd w:id="30"/>
      <w:r>
        <w:rPr>
          <w:rFonts w:hint="eastAsia" w:ascii="宋体" w:hAnsi="宋体" w:eastAsia="宋体" w:cs="宋体"/>
          <w:b/>
          <w:bCs/>
          <w:color w:val="auto"/>
          <w:kern w:val="44"/>
          <w:sz w:val="21"/>
          <w:szCs w:val="21"/>
          <w:highlight w:val="none"/>
          <w:lang w:val="zh-CN"/>
        </w:rPr>
        <w:t>竞争性磋商文件</w:t>
      </w:r>
      <w:bookmarkEnd w:id="31"/>
      <w:bookmarkEnd w:id="32"/>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33" w:name="_Toc450662854"/>
      <w:bookmarkStart w:id="34" w:name="_Toc9641"/>
      <w:bookmarkStart w:id="35" w:name="_Toc521918071"/>
      <w:bookmarkStart w:id="36" w:name="_Toc12468"/>
      <w:r>
        <w:rPr>
          <w:rFonts w:hint="eastAsia" w:ascii="宋体" w:hAnsi="宋体" w:eastAsia="宋体" w:cs="宋体"/>
          <w:color w:val="auto"/>
          <w:kern w:val="2"/>
          <w:sz w:val="21"/>
          <w:szCs w:val="21"/>
          <w:highlight w:val="none"/>
          <w:lang w:val="zh-CN"/>
        </w:rPr>
        <w:t>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竞争性磋商文件的构成</w:t>
      </w:r>
      <w:bookmarkEnd w:id="33"/>
      <w:bookmarkEnd w:id="34"/>
      <w:bookmarkEnd w:id="35"/>
      <w:bookmarkEnd w:id="36"/>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竞争性磋商文件包括：</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第一篇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竞争性磋商</w:t>
      </w:r>
      <w:r>
        <w:rPr>
          <w:rFonts w:hint="eastAsia" w:ascii="宋体" w:hAnsi="宋体" w:eastAsia="宋体" w:cs="宋体"/>
          <w:color w:val="auto"/>
          <w:kern w:val="2"/>
          <w:sz w:val="21"/>
          <w:szCs w:val="21"/>
          <w:highlight w:val="none"/>
          <w:lang w:val="en-US" w:eastAsia="zh-CN"/>
        </w:rPr>
        <w:t>公告</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第二篇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第三篇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用户需求书</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第四篇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合同条款格式</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eastAsia="宋体" w:cs="宋体"/>
          <w:color w:val="auto"/>
          <w:kern w:val="2"/>
          <w:sz w:val="21"/>
          <w:szCs w:val="21"/>
          <w:highlight w:val="none"/>
          <w:lang w:val="en-US" w:eastAsia="zh-CN"/>
        </w:rPr>
        <w:t>五</w:t>
      </w:r>
      <w:r>
        <w:rPr>
          <w:rFonts w:hint="eastAsia" w:ascii="宋体" w:hAnsi="宋体" w:eastAsia="宋体" w:cs="宋体"/>
          <w:color w:val="auto"/>
          <w:kern w:val="2"/>
          <w:sz w:val="21"/>
          <w:szCs w:val="21"/>
          <w:highlight w:val="none"/>
          <w:lang w:val="zh-CN"/>
        </w:rPr>
        <w:t>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响应文件格式</w:t>
      </w:r>
    </w:p>
    <w:p>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附件一</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评审工作大纲</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5.2</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供应商应审阅竞争性磋商文件中所有须知、格式、条款和规格。供应商未按竞争性磋商文件要求提供全部资料或提交的响应文件未对竞争性磋商文件作出实质性响应（★标志的部分为供应商</w:t>
      </w:r>
      <w:r>
        <w:rPr>
          <w:rFonts w:hint="eastAsia" w:ascii="宋体" w:hAnsi="宋体" w:eastAsia="宋体" w:cs="宋体"/>
          <w:b/>
          <w:bCs/>
          <w:color w:val="auto"/>
          <w:kern w:val="2"/>
          <w:sz w:val="21"/>
          <w:szCs w:val="21"/>
          <w:highlight w:val="none"/>
          <w:u w:val="single"/>
          <w:lang w:val="en-US" w:eastAsia="zh-CN"/>
        </w:rPr>
        <w:t>及其</w:t>
      </w:r>
      <w:r>
        <w:rPr>
          <w:rFonts w:hint="eastAsia" w:ascii="宋体" w:hAnsi="宋体" w:eastAsia="宋体" w:cs="宋体"/>
          <w:b/>
          <w:bCs/>
          <w:color w:val="auto"/>
          <w:kern w:val="2"/>
          <w:sz w:val="21"/>
          <w:szCs w:val="21"/>
          <w:highlight w:val="none"/>
          <w:u w:val="single"/>
          <w:lang w:val="zh-CN"/>
        </w:rPr>
        <w:t>拟供服务必备的条件或重要指示），那么供应商将承担其风险有可能导致响应文件被拒绝接收或评审为无效响应文件</w:t>
      </w:r>
      <w:r>
        <w:rPr>
          <w:rFonts w:hint="eastAsia" w:ascii="宋体" w:hAnsi="宋体" w:eastAsia="宋体" w:cs="宋体"/>
          <w:b/>
          <w:bCs/>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5.3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本竞争性磋商文件使用的词语有如下定义：</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“采购人”指</w:t>
      </w:r>
      <w:r>
        <w:rPr>
          <w:rFonts w:hint="eastAsia" w:ascii="宋体" w:hAnsi="宋体" w:eastAsia="宋体" w:cs="宋体"/>
          <w:color w:val="auto"/>
          <w:sz w:val="21"/>
          <w:szCs w:val="21"/>
          <w:highlight w:val="none"/>
        </w:rPr>
        <w:t>东莞市众源环境投资有限公司</w:t>
      </w:r>
      <w:r>
        <w:rPr>
          <w:rFonts w:hint="eastAsia" w:ascii="宋体" w:hAnsi="宋体" w:eastAsia="宋体" w:cs="宋体"/>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代理机构”指</w:t>
      </w:r>
      <w:r>
        <w:rPr>
          <w:rFonts w:hint="eastAsia" w:ascii="宋体" w:hAnsi="宋体" w:eastAsia="宋体" w:cs="宋体"/>
          <w:color w:val="auto"/>
          <w:kern w:val="2"/>
          <w:sz w:val="21"/>
          <w:szCs w:val="21"/>
          <w:highlight w:val="none"/>
          <w:lang w:val="en-US" w:eastAsia="zh-CN"/>
        </w:rPr>
        <w:t>广东和盛招标代理有限公司</w:t>
      </w:r>
      <w:r>
        <w:rPr>
          <w:rFonts w:hint="eastAsia" w:ascii="宋体" w:hAnsi="宋体" w:eastAsia="宋体" w:cs="宋体"/>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）“供应商”指参加东莞市污泥处理处置过程数据管理系统采购项目所需的有关</w:t>
      </w:r>
      <w:r>
        <w:rPr>
          <w:rFonts w:hint="eastAsia" w:ascii="宋体" w:hAnsi="宋体" w:eastAsia="宋体" w:cs="宋体"/>
          <w:color w:val="auto"/>
          <w:sz w:val="21"/>
          <w:szCs w:val="21"/>
          <w:highlight w:val="none"/>
        </w:rPr>
        <w:t>服务</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en-US"/>
        </w:rPr>
        <w:t>报价</w:t>
      </w:r>
      <w:r>
        <w:rPr>
          <w:rFonts w:hint="eastAsia" w:ascii="宋体" w:hAnsi="宋体" w:eastAsia="宋体" w:cs="宋体"/>
          <w:color w:val="auto"/>
          <w:kern w:val="2"/>
          <w:sz w:val="21"/>
          <w:szCs w:val="21"/>
          <w:highlight w:val="none"/>
          <w:lang w:val="zh-CN"/>
        </w:rPr>
        <w:t>，并向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代理机构提交响应文件的当事人；</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）“磋商小组”是指</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人组建</w:t>
      </w:r>
      <w:r>
        <w:rPr>
          <w:rFonts w:hint="eastAsia" w:ascii="宋体" w:hAnsi="宋体" w:eastAsia="宋体" w:cs="宋体"/>
          <w:color w:val="auto"/>
          <w:sz w:val="21"/>
          <w:szCs w:val="21"/>
          <w:highlight w:val="none"/>
          <w:lang w:val="zh-CN"/>
        </w:rPr>
        <w:t>的</w:t>
      </w:r>
      <w:r>
        <w:rPr>
          <w:rFonts w:hint="eastAsia" w:ascii="宋体" w:hAnsi="宋体" w:eastAsia="宋体" w:cs="宋体"/>
          <w:color w:val="auto"/>
          <w:kern w:val="2"/>
          <w:sz w:val="21"/>
          <w:szCs w:val="21"/>
          <w:highlight w:val="none"/>
          <w:lang w:val="zh-CN"/>
        </w:rPr>
        <w:t>专门负责本次</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工作的临时性机构；</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）“成交人”指其</w:t>
      </w:r>
      <w:r>
        <w:rPr>
          <w:rFonts w:hint="eastAsia" w:ascii="宋体" w:hAnsi="宋体" w:eastAsia="宋体" w:cs="宋体"/>
          <w:color w:val="auto"/>
          <w:kern w:val="2"/>
          <w:sz w:val="21"/>
          <w:szCs w:val="21"/>
          <w:highlight w:val="none"/>
          <w:lang w:val="en-US" w:eastAsia="zh-CN"/>
        </w:rPr>
        <w:t>响应报价</w:t>
      </w:r>
      <w:r>
        <w:rPr>
          <w:rFonts w:hint="eastAsia" w:ascii="宋体" w:hAnsi="宋体" w:eastAsia="宋体" w:cs="宋体"/>
          <w:color w:val="auto"/>
          <w:kern w:val="2"/>
          <w:sz w:val="21"/>
          <w:szCs w:val="21"/>
          <w:highlight w:val="none"/>
          <w:lang w:val="zh-CN"/>
        </w:rPr>
        <w:t>被采购人接受，并与采购人签订合同的当事人；</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）“甲方”指在合同条款中指明的购买货物和服务的单位；</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）“乙方”指在合同条款中指明的本合同项下提供货物和服务的公司或实体；</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）“竞争性磋商文件”指由采购代理机构发出的本竞争性磋商文件，包括全部章节和附件；</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）“响应文件”指供应商根据本竞争性磋商文件向采购代理机构提交的全部文件；</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zh-CN"/>
        </w:rPr>
        <w:t>）“书面函件”指手写、打字或印刷的函件，包括电传、电报和传真；</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）“合同”指由本次采购所产生的合同或合约文件；</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zh-CN"/>
        </w:rPr>
        <w:t>）“日期”指公历日，“时间”指北京时间；</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13</w:t>
      </w:r>
      <w:r>
        <w:rPr>
          <w:rFonts w:hint="eastAsia" w:ascii="宋体" w:hAnsi="宋体" w:eastAsia="宋体" w:cs="宋体"/>
          <w:color w:val="auto"/>
          <w:kern w:val="2"/>
          <w:sz w:val="21"/>
          <w:szCs w:val="21"/>
          <w:highlight w:val="none"/>
          <w:lang w:val="zh-CN"/>
        </w:rPr>
        <w:t>）本竞争性磋商文件中的“境内”特指中华人民共和国海关关境以内，“境外”特指中华人民</w:t>
      </w:r>
    </w:p>
    <w:p>
      <w:pPr>
        <w:keepNext w:val="0"/>
        <w:keepLines w:val="0"/>
        <w:pageBreakBefore w:val="0"/>
        <w:widowControl w:val="0"/>
        <w:kinsoku/>
        <w:wordWrap/>
        <w:overflowPunct/>
        <w:topLinePunct w:val="0"/>
        <w:autoSpaceDE w:val="0"/>
        <w:autoSpaceDN w:val="0"/>
        <w:bidi w:val="0"/>
        <w:adjustRightInd w:val="0"/>
        <w:snapToGrid/>
        <w:spacing w:line="360" w:lineRule="auto"/>
        <w:ind w:left="636" w:leftChars="265"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共和国海关关境以外；</w:t>
      </w:r>
    </w:p>
    <w:p>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14</w:t>
      </w:r>
      <w:r>
        <w:rPr>
          <w:rFonts w:hint="eastAsia" w:ascii="宋体" w:hAnsi="宋体" w:eastAsia="宋体" w:cs="宋体"/>
          <w:color w:val="auto"/>
          <w:kern w:val="2"/>
          <w:sz w:val="21"/>
          <w:szCs w:val="21"/>
          <w:highlight w:val="none"/>
          <w:lang w:val="zh-CN"/>
        </w:rPr>
        <w:t>）不含税价，即为《中华人民共和国增值税暂行条例》（国务院令第691号修订版）规定的销售</w:t>
      </w:r>
    </w:p>
    <w:p>
      <w:pPr>
        <w:keepNext w:val="0"/>
        <w:keepLines w:val="0"/>
        <w:pageBreakBefore w:val="0"/>
        <w:widowControl w:val="0"/>
        <w:kinsoku/>
        <w:wordWrap/>
        <w:overflowPunct/>
        <w:topLinePunct w:val="0"/>
        <w:autoSpaceDE w:val="0"/>
        <w:autoSpaceDN w:val="0"/>
        <w:bidi w:val="0"/>
        <w:adjustRightInd w:val="0"/>
        <w:snapToGrid/>
        <w:spacing w:line="360" w:lineRule="auto"/>
        <w:ind w:left="617" w:leftChars="257"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额。本竞争性磋商文件所称的不含税价和合同价是指不含本采购项目供应商的销项税额，包含了供应商完成合同义务（含供应商代缴代扣、分包及委外服务、施工、采购货物等所产生的价税）的其他全部费用。本采购项目供应商的销项税额由采购人承担，不计入报价。</w:t>
      </w:r>
    </w:p>
    <w:p>
      <w:pPr>
        <w:spacing w:line="360" w:lineRule="auto"/>
        <w:ind w:left="1214" w:leftChars="178" w:hanging="787" w:hangingChars="375"/>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37" w:name="_Toc8459"/>
      <w:bookmarkStart w:id="38" w:name="_Toc521918072"/>
      <w:bookmarkStart w:id="39" w:name="_Toc450662855"/>
      <w:bookmarkStart w:id="40" w:name="_Toc13383"/>
      <w:r>
        <w:rPr>
          <w:rFonts w:hint="eastAsia" w:ascii="宋体" w:hAnsi="宋体" w:eastAsia="宋体" w:cs="宋体"/>
          <w:color w:val="auto"/>
          <w:kern w:val="2"/>
          <w:sz w:val="21"/>
          <w:szCs w:val="21"/>
          <w:highlight w:val="none"/>
          <w:lang w:val="zh-CN"/>
        </w:rPr>
        <w:t>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竞争性磋商文件的异议</w:t>
      </w:r>
      <w:bookmarkEnd w:id="37"/>
      <w:bookmarkEnd w:id="38"/>
      <w:bookmarkEnd w:id="39"/>
      <w:bookmarkEnd w:id="40"/>
    </w:p>
    <w:p>
      <w:pPr>
        <w:keepNext w:val="0"/>
        <w:keepLines w:val="0"/>
        <w:pageBreakBefore w:val="0"/>
        <w:widowControl w:val="0"/>
        <w:kinsoku/>
        <w:wordWrap/>
        <w:overflowPunct/>
        <w:topLinePunct w:val="0"/>
        <w:autoSpaceDE w:val="0"/>
        <w:autoSpaceDN w:val="0"/>
        <w:bidi w:val="0"/>
        <w:adjustRightInd w:val="0"/>
        <w:snapToGrid/>
        <w:spacing w:line="360" w:lineRule="auto"/>
        <w:ind w:left="449" w:leftChars="187" w:firstLine="420" w:firstLineChars="20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Cs/>
          <w:color w:val="auto"/>
          <w:kern w:val="2"/>
          <w:sz w:val="21"/>
          <w:szCs w:val="21"/>
          <w:highlight w:val="none"/>
          <w:lang w:val="zh-CN"/>
        </w:rPr>
        <w:t>供应商或者其他利害关系人对竞争性磋商文件有异议的，应当在递交响应文件截止时间</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val="zh-CN"/>
        </w:rPr>
        <w:t>日前</w:t>
      </w:r>
      <w:r>
        <w:rPr>
          <w:rFonts w:hint="eastAsia" w:ascii="宋体" w:hAnsi="宋体" w:eastAsia="宋体" w:cs="宋体"/>
          <w:color w:val="auto"/>
          <w:kern w:val="2"/>
          <w:sz w:val="21"/>
          <w:szCs w:val="21"/>
          <w:highlight w:val="none"/>
          <w:lang w:val="zh-CN"/>
        </w:rPr>
        <w:t>以书面形式向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代理机构提出，并将材料原件送达</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代理机构，逾期则视为对竞争性磋商文件所有内容无异议。</w:t>
      </w:r>
      <w:r>
        <w:rPr>
          <w:rFonts w:hint="eastAsia" w:ascii="宋体" w:hAnsi="宋体" w:eastAsia="宋体" w:cs="宋体"/>
          <w:bCs/>
          <w:color w:val="auto"/>
          <w:kern w:val="2"/>
          <w:sz w:val="21"/>
          <w:szCs w:val="21"/>
          <w:highlight w:val="none"/>
          <w:lang w:val="zh-CN"/>
        </w:rPr>
        <w:t>异议</w:t>
      </w:r>
      <w:r>
        <w:rPr>
          <w:rFonts w:hint="eastAsia" w:ascii="宋体" w:hAnsi="宋体" w:eastAsia="宋体" w:cs="宋体"/>
          <w:color w:val="auto"/>
          <w:kern w:val="2"/>
          <w:sz w:val="21"/>
          <w:szCs w:val="21"/>
          <w:highlight w:val="none"/>
          <w:lang w:val="zh-CN"/>
        </w:rPr>
        <w:t>书面材料必须加盖供应商法人公章，并注明联系人、联系电话、联系地址。</w:t>
      </w:r>
      <w:r>
        <w:rPr>
          <w:rFonts w:hint="eastAsia" w:ascii="宋体" w:hAnsi="宋体" w:eastAsia="宋体" w:cs="宋体"/>
          <w:bCs/>
          <w:color w:val="auto"/>
          <w:kern w:val="2"/>
          <w:sz w:val="21"/>
          <w:szCs w:val="21"/>
          <w:highlight w:val="none"/>
          <w:lang w:val="zh-CN"/>
        </w:rPr>
        <w:t>超出</w:t>
      </w:r>
      <w:r>
        <w:rPr>
          <w:rFonts w:hint="eastAsia" w:ascii="宋体" w:hAnsi="宋体" w:eastAsia="宋体" w:cs="宋体"/>
          <w:color w:val="auto"/>
          <w:kern w:val="2"/>
          <w:sz w:val="21"/>
          <w:szCs w:val="21"/>
          <w:highlight w:val="none"/>
          <w:lang w:val="zh-CN"/>
        </w:rPr>
        <w:t>提交接收异议截止时间而</w:t>
      </w:r>
      <w:r>
        <w:rPr>
          <w:rFonts w:hint="eastAsia" w:ascii="宋体" w:hAnsi="宋体" w:eastAsia="宋体" w:cs="宋体"/>
          <w:bCs/>
          <w:color w:val="auto"/>
          <w:kern w:val="2"/>
          <w:sz w:val="21"/>
          <w:szCs w:val="21"/>
          <w:highlight w:val="none"/>
          <w:lang w:val="zh-CN"/>
        </w:rPr>
        <w:t>提出的疑问，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w:t>
      </w:r>
      <w:r>
        <w:rPr>
          <w:rFonts w:hint="eastAsia" w:ascii="宋体" w:hAnsi="宋体" w:eastAsia="宋体" w:cs="宋体"/>
          <w:bCs/>
          <w:color w:val="auto"/>
          <w:kern w:val="2"/>
          <w:sz w:val="21"/>
          <w:szCs w:val="21"/>
          <w:highlight w:val="none"/>
          <w:lang w:val="zh-CN"/>
        </w:rPr>
        <w:t>可不予答复。</w:t>
      </w:r>
      <w:r>
        <w:rPr>
          <w:rFonts w:hint="eastAsia" w:ascii="宋体" w:hAnsi="宋体" w:eastAsia="宋体" w:cs="宋体"/>
          <w:b/>
          <w:bCs/>
          <w:color w:val="auto"/>
          <w:kern w:val="2"/>
          <w:sz w:val="21"/>
          <w:szCs w:val="21"/>
          <w:highlight w:val="none"/>
          <w:u w:val="single"/>
          <w:lang w:val="zh-CN"/>
        </w:rPr>
        <w:t>供应商必须在响应文件中提供磋商承诺书（格式详见第</w:t>
      </w:r>
      <w:r>
        <w:rPr>
          <w:rFonts w:hint="eastAsia" w:ascii="宋体" w:hAnsi="宋体" w:eastAsia="宋体" w:cs="宋体"/>
          <w:b/>
          <w:bCs/>
          <w:color w:val="auto"/>
          <w:kern w:val="2"/>
          <w:sz w:val="21"/>
          <w:szCs w:val="21"/>
          <w:highlight w:val="none"/>
          <w:u w:val="single"/>
          <w:lang w:val="en-US" w:eastAsia="zh-CN"/>
        </w:rPr>
        <w:t>五</w:t>
      </w:r>
      <w:r>
        <w:rPr>
          <w:rFonts w:hint="eastAsia" w:ascii="宋体" w:hAnsi="宋体" w:eastAsia="宋体" w:cs="宋体"/>
          <w:b/>
          <w:bCs/>
          <w:color w:val="auto"/>
          <w:kern w:val="2"/>
          <w:sz w:val="21"/>
          <w:szCs w:val="21"/>
          <w:highlight w:val="none"/>
          <w:u w:val="single"/>
          <w:lang w:val="zh-CN"/>
        </w:rPr>
        <w:t>篇响应文件格式）。</w:t>
      </w:r>
    </w:p>
    <w:p>
      <w:pPr>
        <w:spacing w:line="360" w:lineRule="auto"/>
        <w:ind w:left="569" w:leftChars="237" w:firstLine="422" w:firstLineChars="200"/>
        <w:jc w:val="both"/>
        <w:rPr>
          <w:rFonts w:hint="eastAsia" w:ascii="宋体" w:hAnsi="宋体" w:eastAsia="宋体" w:cs="宋体"/>
          <w:b/>
          <w:bCs/>
          <w:color w:val="auto"/>
          <w:kern w:val="2"/>
          <w:sz w:val="21"/>
          <w:szCs w:val="21"/>
          <w:highlight w:val="none"/>
          <w:u w:val="singl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1" w:name="_Toc450662856"/>
      <w:bookmarkStart w:id="42" w:name="_Toc521918073"/>
      <w:bookmarkStart w:id="43" w:name="_Toc30291"/>
      <w:bookmarkStart w:id="44" w:name="_Toc15379"/>
      <w:r>
        <w:rPr>
          <w:rFonts w:hint="eastAsia" w:ascii="宋体" w:hAnsi="宋体" w:eastAsia="宋体" w:cs="宋体"/>
          <w:color w:val="auto"/>
          <w:kern w:val="2"/>
          <w:sz w:val="21"/>
          <w:szCs w:val="21"/>
          <w:highlight w:val="none"/>
          <w:lang w:val="zh-CN"/>
        </w:rPr>
        <w:t>7</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竞争性磋商文件的澄清及修改</w:t>
      </w:r>
      <w:bookmarkEnd w:id="41"/>
      <w:bookmarkEnd w:id="42"/>
      <w:bookmarkEnd w:id="43"/>
      <w:bookmarkEnd w:id="44"/>
    </w:p>
    <w:p>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7.1</w:t>
      </w:r>
      <w:r>
        <w:rPr>
          <w:rFonts w:hint="eastAsia" w:ascii="宋体" w:hAnsi="宋体" w:eastAsia="宋体" w:cs="宋体"/>
          <w:color w:val="auto"/>
          <w:sz w:val="21"/>
          <w:szCs w:val="21"/>
          <w:highlight w:val="none"/>
          <w:lang w:val="en-US" w:eastAsia="zh-CN"/>
        </w:rPr>
        <w:t xml:space="preserve"> 采购</w:t>
      </w:r>
      <w:r>
        <w:rPr>
          <w:rFonts w:hint="eastAsia" w:ascii="宋体" w:hAnsi="宋体" w:eastAsia="宋体" w:cs="宋体"/>
          <w:color w:val="auto"/>
          <w:sz w:val="21"/>
          <w:szCs w:val="21"/>
          <w:highlight w:val="none"/>
          <w:lang w:val="zh-CN"/>
        </w:rPr>
        <w:t>代理机构对已发出的竞争性磋商文件进行必要澄清或者修改的，将在竞争性磋商文件要求提交响应文件截止时间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日前，在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信息发布媒介上发布更正公告，请各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密切留意。该澄清或者修改的内容为竞争性磋商文件的组成部分。</w:t>
      </w:r>
    </w:p>
    <w:p>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项目特定情况下，</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代理机构必须延长</w:t>
      </w:r>
      <w:r>
        <w:rPr>
          <w:rFonts w:hint="eastAsia" w:ascii="宋体" w:hAnsi="宋体" w:eastAsia="宋体" w:cs="宋体"/>
          <w:color w:val="auto"/>
          <w:sz w:val="21"/>
          <w:szCs w:val="21"/>
          <w:highlight w:val="none"/>
          <w:lang w:val="en-US" w:eastAsia="zh-CN"/>
        </w:rPr>
        <w:t>响应文件提交</w:t>
      </w:r>
      <w:r>
        <w:rPr>
          <w:rFonts w:hint="eastAsia" w:ascii="宋体" w:hAnsi="宋体" w:eastAsia="宋体" w:cs="宋体"/>
          <w:color w:val="auto"/>
          <w:sz w:val="21"/>
          <w:szCs w:val="21"/>
          <w:highlight w:val="none"/>
          <w:lang w:val="zh-CN"/>
        </w:rPr>
        <w:t>截止时间和</w:t>
      </w:r>
      <w:r>
        <w:rPr>
          <w:rFonts w:hint="eastAsia" w:ascii="宋体" w:hAnsi="宋体" w:eastAsia="宋体" w:cs="宋体"/>
          <w:color w:val="auto"/>
          <w:sz w:val="21"/>
          <w:szCs w:val="21"/>
          <w:highlight w:val="none"/>
          <w:lang w:val="en-US" w:eastAsia="zh-CN"/>
        </w:rPr>
        <w:t>开启</w:t>
      </w:r>
      <w:r>
        <w:rPr>
          <w:rFonts w:hint="eastAsia" w:ascii="宋体" w:hAnsi="宋体" w:eastAsia="宋体" w:cs="宋体"/>
          <w:color w:val="auto"/>
          <w:sz w:val="21"/>
          <w:szCs w:val="21"/>
          <w:highlight w:val="none"/>
          <w:lang w:val="zh-CN"/>
        </w:rPr>
        <w:t>时间时，将在竞争性磋商文件要求提交响应文件的截止时间前，在</w:t>
      </w:r>
      <w:r>
        <w:rPr>
          <w:rFonts w:hint="eastAsia" w:ascii="宋体" w:hAnsi="宋体" w:eastAsia="宋体" w:cs="宋体"/>
          <w:color w:val="auto"/>
          <w:sz w:val="21"/>
          <w:szCs w:val="21"/>
          <w:highlight w:val="none"/>
          <w:lang w:val="zh-CN" w:eastAsia="zh-CN"/>
        </w:rPr>
        <w:t>采购</w:t>
      </w:r>
      <w:r>
        <w:rPr>
          <w:rFonts w:hint="eastAsia" w:ascii="宋体" w:hAnsi="宋体" w:eastAsia="宋体" w:cs="宋体"/>
          <w:color w:val="auto"/>
          <w:sz w:val="21"/>
          <w:szCs w:val="21"/>
          <w:highlight w:val="none"/>
          <w:lang w:val="zh-CN"/>
        </w:rPr>
        <w:t>信息发布媒介上发布变更公告。</w:t>
      </w:r>
    </w:p>
    <w:p>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7.3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竞争性磋商文件的修改、补充通知在中国招标投标公共服务平台（www.cebpubservice.com）、东莞市水务集团有限公司网（www.dgswjt.cn）、</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代理机构网站（www.gdhsbid.com）公布，请各供应商密切留意。</w:t>
      </w:r>
    </w:p>
    <w:p>
      <w:pPr>
        <w:spacing w:line="360" w:lineRule="auto"/>
        <w:ind w:left="567" w:hanging="567"/>
        <w:jc w:val="both"/>
        <w:rPr>
          <w:rFonts w:hint="eastAsia" w:ascii="宋体" w:hAnsi="宋体" w:eastAsia="宋体" w:cs="宋体"/>
          <w:color w:val="auto"/>
          <w:kern w:val="2"/>
          <w:sz w:val="21"/>
          <w:szCs w:val="21"/>
          <w:highlight w:val="none"/>
          <w:lang w:val="zh-CN"/>
        </w:rPr>
      </w:pPr>
    </w:p>
    <w:p>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45" w:name="_Toc18534"/>
      <w:bookmarkStart w:id="46" w:name="_Toc450662857"/>
      <w:bookmarkStart w:id="47" w:name="_Toc521918074"/>
      <w:bookmarkStart w:id="48" w:name="_Toc25362"/>
      <w:r>
        <w:rPr>
          <w:rFonts w:hint="eastAsia" w:ascii="宋体" w:hAnsi="宋体" w:eastAsia="宋体" w:cs="宋体"/>
          <w:b/>
          <w:bCs/>
          <w:color w:val="auto"/>
          <w:kern w:val="44"/>
          <w:sz w:val="21"/>
          <w:szCs w:val="21"/>
          <w:highlight w:val="none"/>
          <w:lang w:val="zh-CN"/>
        </w:rPr>
        <w:t>三、响应文件的编制</w:t>
      </w:r>
      <w:bookmarkEnd w:id="45"/>
      <w:bookmarkEnd w:id="46"/>
      <w:bookmarkEnd w:id="47"/>
      <w:bookmarkEnd w:id="48"/>
    </w:p>
    <w:p>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9" w:name="_Toc521918075"/>
      <w:bookmarkStart w:id="50" w:name="_Toc450662858"/>
      <w:bookmarkStart w:id="51" w:name="_Toc9179"/>
      <w:bookmarkStart w:id="52" w:name="_Toc4384"/>
      <w:r>
        <w:rPr>
          <w:rFonts w:hint="eastAsia" w:ascii="宋体" w:hAnsi="宋体" w:eastAsia="宋体" w:cs="宋体"/>
          <w:color w:val="auto"/>
          <w:kern w:val="2"/>
          <w:sz w:val="21"/>
          <w:szCs w:val="21"/>
          <w:highlight w:val="none"/>
          <w:lang w:val="zh-CN"/>
        </w:rPr>
        <w:t>8</w:t>
      </w:r>
      <w:r>
        <w:rPr>
          <w:rFonts w:hint="eastAsia" w:ascii="宋体" w:hAnsi="宋体" w:eastAsia="宋体" w:cs="宋体"/>
          <w:color w:val="auto"/>
          <w:kern w:val="2"/>
          <w:sz w:val="21"/>
          <w:szCs w:val="21"/>
          <w:highlight w:val="none"/>
          <w:lang w:val="en-US" w:eastAsia="zh-CN"/>
        </w:rPr>
        <w:t xml:space="preserve">   响应文件</w:t>
      </w:r>
      <w:r>
        <w:rPr>
          <w:rFonts w:hint="eastAsia" w:ascii="宋体" w:hAnsi="宋体" w:eastAsia="宋体" w:cs="宋体"/>
          <w:color w:val="auto"/>
          <w:kern w:val="2"/>
          <w:sz w:val="21"/>
          <w:szCs w:val="21"/>
          <w:highlight w:val="none"/>
          <w:lang w:val="zh-CN"/>
        </w:rPr>
        <w:t>使用的文字及度量衡单位</w:t>
      </w:r>
      <w:bookmarkEnd w:id="49"/>
      <w:bookmarkEnd w:id="50"/>
      <w:bookmarkEnd w:id="51"/>
      <w:bookmarkEnd w:id="52"/>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供应商的响应文件以及供应商与采购代理机构就有关</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的所有往来函电均应使用简体中文。</w:t>
      </w:r>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响应文件使用的度量衡单位采用中华人民共和国法定计量单位。</w:t>
      </w:r>
    </w:p>
    <w:p>
      <w:pPr>
        <w:spacing w:line="360" w:lineRule="auto"/>
        <w:ind w:left="420" w:hanging="420" w:hangingChars="200"/>
        <w:jc w:val="both"/>
        <w:rPr>
          <w:rFonts w:hint="eastAsia" w:ascii="宋体" w:hAnsi="宋体" w:eastAsia="宋体" w:cs="宋体"/>
          <w:color w:val="auto"/>
          <w:sz w:val="21"/>
          <w:szCs w:val="21"/>
          <w:highlight w:val="none"/>
          <w:lang w:val="zh-CN"/>
        </w:rPr>
      </w:pPr>
    </w:p>
    <w:p>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eastAsia="zh-CN"/>
        </w:rPr>
      </w:pPr>
      <w:bookmarkStart w:id="53" w:name="_Toc1569"/>
      <w:bookmarkStart w:id="54" w:name="_Toc17221"/>
      <w:r>
        <w:rPr>
          <w:rFonts w:hint="eastAsia" w:ascii="宋体" w:hAnsi="宋体" w:eastAsia="宋体" w:cs="宋体"/>
          <w:color w:val="auto"/>
          <w:kern w:val="2"/>
          <w:sz w:val="21"/>
          <w:szCs w:val="21"/>
          <w:highlight w:val="none"/>
          <w:lang w:val="zh-CN" w:eastAsia="zh-CN"/>
        </w:rPr>
        <w:t>9</w:t>
      </w:r>
      <w:r>
        <w:rPr>
          <w:rFonts w:hint="eastAsia" w:ascii="宋体" w:hAnsi="宋体" w:eastAsia="宋体" w:cs="宋体"/>
          <w:color w:val="auto"/>
          <w:kern w:val="2"/>
          <w:sz w:val="21"/>
          <w:szCs w:val="21"/>
          <w:highlight w:val="none"/>
          <w:lang w:val="en-US" w:eastAsia="zh-CN"/>
        </w:rPr>
        <w:t xml:space="preserve">   响应文件</w:t>
      </w:r>
      <w:r>
        <w:rPr>
          <w:rFonts w:hint="eastAsia" w:ascii="宋体" w:hAnsi="宋体" w:eastAsia="宋体" w:cs="宋体"/>
          <w:color w:val="auto"/>
          <w:kern w:val="2"/>
          <w:sz w:val="21"/>
          <w:szCs w:val="21"/>
          <w:highlight w:val="none"/>
          <w:lang w:val="zh-CN" w:eastAsia="zh-CN"/>
        </w:rPr>
        <w:t>的组成</w:t>
      </w:r>
      <w:bookmarkEnd w:id="53"/>
      <w:bookmarkEnd w:id="54"/>
    </w:p>
    <w:p>
      <w:pPr>
        <w:spacing w:line="360" w:lineRule="auto"/>
        <w:ind w:left="418" w:leftChars="174" w:firstLine="0" w:firstLineChars="0"/>
        <w:jc w:val="both"/>
        <w:rPr>
          <w:rFonts w:hint="eastAsia" w:ascii="宋体" w:hAnsi="宋体" w:eastAsia="宋体" w:cs="宋体"/>
          <w:color w:val="auto"/>
          <w:sz w:val="21"/>
          <w:szCs w:val="21"/>
          <w:highlight w:val="none"/>
          <w:lang w:val="zh-CN"/>
        </w:rPr>
      </w:pPr>
      <w:r>
        <w:rPr>
          <w:rFonts w:hint="eastAsia" w:ascii="宋体" w:hAnsi="宋体" w:eastAsia="宋体" w:cs="宋体"/>
          <w:b w:val="0"/>
          <w:bCs w:val="0"/>
          <w:color w:val="auto"/>
          <w:sz w:val="21"/>
          <w:szCs w:val="21"/>
          <w:highlight w:val="none"/>
          <w:u w:val="none"/>
          <w:lang w:val="en-US" w:eastAsia="zh-CN"/>
        </w:rPr>
        <w:t>响应文件的组成：</w:t>
      </w:r>
      <w:r>
        <w:rPr>
          <w:rFonts w:hint="eastAsia" w:ascii="宋体" w:hAnsi="宋体" w:eastAsia="宋体" w:cs="宋体"/>
          <w:b/>
          <w:bCs/>
          <w:color w:val="auto"/>
          <w:sz w:val="21"/>
          <w:szCs w:val="21"/>
          <w:highlight w:val="none"/>
          <w:u w:val="single"/>
          <w:lang w:val="en-US" w:eastAsia="zh-CN"/>
        </w:rPr>
        <w:t>供应商按要求编制响应文件，</w:t>
      </w:r>
      <w:r>
        <w:rPr>
          <w:rFonts w:hint="eastAsia" w:ascii="宋体" w:hAnsi="宋体" w:eastAsia="宋体" w:cs="宋体"/>
          <w:b/>
          <w:bCs/>
          <w:color w:val="auto"/>
          <w:sz w:val="21"/>
          <w:szCs w:val="21"/>
          <w:highlight w:val="none"/>
          <w:u w:val="single"/>
          <w:lang w:val="zh-CN"/>
        </w:rPr>
        <w:t>商务文件、技术文件由</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根据各自文件的实际情况决定是否分册装订，</w:t>
      </w:r>
      <w:r>
        <w:rPr>
          <w:rFonts w:hint="eastAsia" w:ascii="宋体" w:hAnsi="宋体" w:eastAsia="宋体" w:cs="宋体"/>
          <w:b/>
          <w:bCs/>
          <w:color w:val="auto"/>
          <w:sz w:val="21"/>
          <w:szCs w:val="21"/>
          <w:highlight w:val="none"/>
          <w:u w:val="single"/>
          <w:lang w:val="en-US" w:eastAsia="zh-CN"/>
        </w:rPr>
        <w:t>竞争性磋商</w:t>
      </w:r>
      <w:r>
        <w:rPr>
          <w:rFonts w:hint="eastAsia" w:ascii="宋体" w:hAnsi="宋体" w:eastAsia="宋体" w:cs="宋体"/>
          <w:b/>
          <w:bCs/>
          <w:color w:val="auto"/>
          <w:sz w:val="21"/>
          <w:szCs w:val="21"/>
          <w:highlight w:val="none"/>
          <w:u w:val="single"/>
          <w:lang w:val="zh-CN"/>
        </w:rPr>
        <w:t>文件不做限制</w:t>
      </w:r>
      <w:r>
        <w:rPr>
          <w:rFonts w:hint="eastAsia" w:ascii="宋体" w:hAnsi="宋体" w:eastAsia="宋体" w:cs="宋体"/>
          <w:color w:val="auto"/>
          <w:sz w:val="21"/>
          <w:szCs w:val="21"/>
          <w:highlight w:val="none"/>
          <w:lang w:val="zh-CN"/>
        </w:rPr>
        <w:t>。</w:t>
      </w:r>
    </w:p>
    <w:p>
      <w:pPr>
        <w:spacing w:line="360" w:lineRule="auto"/>
        <w:ind w:left="420" w:hanging="422" w:hangingChars="20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9.1</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商务文件：</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函；</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（2）磋商承诺书；</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（3）供货及/或提供服务过程承诺函；</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）首次报价表；</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）供应商资格证明文件：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 xml:space="preserve"> 多证合一营业执照（或事业单位法人证书）复印件；</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2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开户许可证复印件（基本存款账户）复印件，如供应商企业银行账户开户所在地区已取消企业银行账户许可，供应商应提供基本存款账户开户名称、开户银行、账号、编号等信息及相关备案证明（如有）或其他能证明其为基本存款账户的资料复印件；</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3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法定代表人身份证明书原件、法定代表人授权书原件格式（法定代表人磋商时只需提供法定代表人身份证明书，委托他人为磋商代表或签署响应文件时需同时提供法定代表人授权书）；</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资格业绩【供应商提供一份2021年1月1日以来系统(或软件）开发</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设计业绩（合同签订日期为2021年1月1日或以后）】；</w:t>
      </w:r>
    </w:p>
    <w:p>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最近3年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牵涉的其他（失信和违法）处罚说明</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基本情况</w:t>
      </w:r>
      <w:r>
        <w:rPr>
          <w:rFonts w:hint="eastAsia" w:ascii="宋体" w:hAnsi="宋体" w:eastAsia="宋体" w:cs="宋体"/>
          <w:color w:val="auto"/>
          <w:sz w:val="21"/>
          <w:szCs w:val="21"/>
          <w:highlight w:val="none"/>
          <w:lang w:val="en-US" w:eastAsia="zh-CN"/>
        </w:rPr>
        <w:t>一览表</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）供应商财务状况</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标准化体系认证</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）合同条款偏离表；</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）业绩</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zh-CN"/>
        </w:rPr>
        <w:t>）拟</w:t>
      </w:r>
      <w:r>
        <w:rPr>
          <w:rFonts w:hint="eastAsia" w:ascii="宋体" w:hAnsi="宋体" w:eastAsia="宋体" w:cs="宋体"/>
          <w:color w:val="auto"/>
          <w:sz w:val="21"/>
          <w:szCs w:val="21"/>
          <w:highlight w:val="none"/>
          <w:lang w:val="zh-CN" w:eastAsia="zh-CN"/>
        </w:rPr>
        <w:t>投入</w:t>
      </w:r>
      <w:r>
        <w:rPr>
          <w:rFonts w:hint="eastAsia" w:ascii="宋体" w:hAnsi="宋体" w:eastAsia="宋体" w:cs="宋体"/>
          <w:color w:val="auto"/>
          <w:sz w:val="21"/>
          <w:szCs w:val="21"/>
          <w:highlight w:val="none"/>
          <w:lang w:val="zh-CN"/>
        </w:rPr>
        <w:t>本项目</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zh-CN"/>
        </w:rPr>
        <w:t>服务人员情况；</w:t>
      </w:r>
    </w:p>
    <w:p>
      <w:pPr>
        <w:keepNext w:val="0"/>
        <w:keepLines w:val="0"/>
        <w:pageBreakBefore w:val="0"/>
        <w:widowControl w:val="0"/>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p>
    <w:p>
      <w:pPr>
        <w:spacing w:line="360" w:lineRule="auto"/>
        <w:ind w:left="420" w:hanging="422" w:hangingChars="200"/>
        <w:jc w:val="both"/>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lang w:val="zh-CN"/>
        </w:rPr>
        <w:t xml:space="preserve">9.2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技术文件：</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）用户需求响应</w:t>
      </w:r>
      <w:r>
        <w:rPr>
          <w:rFonts w:hint="eastAsia" w:ascii="宋体" w:hAnsi="宋体" w:eastAsia="宋体" w:cs="宋体"/>
          <w:color w:val="auto"/>
          <w:sz w:val="21"/>
          <w:szCs w:val="21"/>
          <w:highlight w:val="none"/>
          <w:lang w:val="zh-CN" w:eastAsia="zh-CN"/>
        </w:rPr>
        <w:t>情况</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设计方案</w:t>
      </w:r>
      <w:r>
        <w:rPr>
          <w:rFonts w:hint="eastAsia" w:ascii="宋体" w:hAnsi="宋体" w:eastAsia="宋体" w:cs="宋体"/>
          <w:color w:val="auto"/>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）进度计划及</w:t>
      </w:r>
      <w:r>
        <w:rPr>
          <w:rFonts w:hint="eastAsia" w:ascii="宋体" w:hAnsi="宋体" w:eastAsia="宋体" w:cs="宋体"/>
          <w:color w:val="auto"/>
          <w:sz w:val="21"/>
          <w:szCs w:val="21"/>
          <w:highlight w:val="none"/>
          <w:lang w:val="zh-CN" w:eastAsia="zh-CN"/>
        </w:rPr>
        <w:t>进度保证措施；</w:t>
      </w:r>
    </w:p>
    <w:p>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售后服务方案</w:t>
      </w:r>
      <w:r>
        <w:rPr>
          <w:rFonts w:hint="eastAsia" w:ascii="宋体" w:hAnsi="宋体" w:eastAsia="宋体" w:cs="宋体"/>
          <w:color w:val="auto"/>
          <w:sz w:val="21"/>
          <w:szCs w:val="21"/>
          <w:highlight w:val="none"/>
          <w:lang w:val="en-US" w:eastAsia="zh-CN"/>
        </w:rPr>
        <w:t>。</w:t>
      </w:r>
    </w:p>
    <w:p>
      <w:pPr>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9.</w:t>
      </w:r>
      <w:r>
        <w:rPr>
          <w:rFonts w:hint="eastAsia" w:ascii="宋体" w:hAnsi="宋体" w:eastAsia="宋体" w:cs="宋体"/>
          <w:b/>
          <w:bCs/>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lang w:val="zh-CN"/>
        </w:rPr>
        <w:t>响应文件电子文件</w:t>
      </w:r>
      <w:r>
        <w:rPr>
          <w:rFonts w:hint="eastAsia" w:ascii="宋体" w:hAnsi="宋体" w:eastAsia="宋体" w:cs="宋体"/>
          <w:bCs/>
          <w:color w:val="auto"/>
          <w:kern w:val="2"/>
          <w:sz w:val="21"/>
          <w:szCs w:val="21"/>
          <w:highlight w:val="none"/>
          <w:lang w:val="zh-CN"/>
        </w:rPr>
        <w:t>（详细要求见本篇第17.5款）</w:t>
      </w:r>
    </w:p>
    <w:p>
      <w:pPr>
        <w:spacing w:line="360" w:lineRule="auto"/>
        <w:ind w:firstLine="0" w:firstLineChars="0"/>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sz w:val="21"/>
          <w:szCs w:val="21"/>
          <w:highlight w:val="none"/>
          <w:lang w:val="zh-CN"/>
        </w:rPr>
        <w:t>签字、盖章后的响应文件扫描版PDF格式电子文件。</w:t>
      </w:r>
    </w:p>
    <w:p>
      <w:pPr>
        <w:spacing w:line="360" w:lineRule="auto"/>
        <w:ind w:left="0" w:firstLine="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b/>
          <w:bCs/>
          <w:color w:val="auto"/>
          <w:kern w:val="2"/>
          <w:sz w:val="21"/>
          <w:szCs w:val="21"/>
          <w:highlight w:val="none"/>
          <w:u w:val="single"/>
          <w:lang w:val="zh-CN"/>
        </w:rPr>
        <w:t>现场讲解电子文件</w:t>
      </w:r>
      <w:r>
        <w:rPr>
          <w:rFonts w:hint="eastAsia" w:ascii="宋体" w:hAnsi="宋体" w:eastAsia="宋体" w:cs="宋体"/>
          <w:color w:val="auto"/>
          <w:kern w:val="2"/>
          <w:sz w:val="21"/>
          <w:szCs w:val="21"/>
          <w:highlight w:val="none"/>
          <w:lang w:val="zh-CN"/>
        </w:rPr>
        <w:t>。</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b/>
          <w:color w:val="auto"/>
          <w:kern w:val="2"/>
          <w:sz w:val="21"/>
          <w:szCs w:val="21"/>
          <w:highlight w:val="none"/>
          <w:u w:val="single"/>
          <w:lang w:val="en-US" w:eastAsia="zh-CN"/>
        </w:rPr>
        <w:t xml:space="preserve"> </w:t>
      </w:r>
      <w:r>
        <w:rPr>
          <w:rFonts w:hint="eastAsia" w:ascii="宋体" w:hAnsi="宋体" w:eastAsia="宋体" w:cs="宋体"/>
          <w:b/>
          <w:color w:val="auto"/>
          <w:kern w:val="2"/>
          <w:sz w:val="21"/>
          <w:szCs w:val="21"/>
          <w:highlight w:val="none"/>
          <w:u w:val="single"/>
          <w:lang w:val="zh-CN"/>
        </w:rPr>
        <w:t>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w:t>
      </w:r>
      <w:r>
        <w:rPr>
          <w:rFonts w:hint="eastAsia" w:ascii="宋体" w:hAnsi="宋体" w:eastAsia="宋体" w:cs="宋体"/>
          <w:b/>
          <w:color w:val="auto"/>
          <w:kern w:val="2"/>
          <w:sz w:val="21"/>
          <w:szCs w:val="21"/>
          <w:highlight w:val="none"/>
          <w:u w:val="single"/>
          <w:lang w:val="en-US" w:eastAsia="zh-CN"/>
        </w:rPr>
        <w:t>响应文件</w:t>
      </w:r>
      <w:r>
        <w:rPr>
          <w:rFonts w:hint="eastAsia" w:ascii="宋体" w:hAnsi="宋体" w:eastAsia="宋体" w:cs="宋体"/>
          <w:b/>
          <w:color w:val="auto"/>
          <w:kern w:val="2"/>
          <w:sz w:val="21"/>
          <w:szCs w:val="21"/>
          <w:highlight w:val="none"/>
          <w:u w:val="single"/>
          <w:lang w:val="zh-CN"/>
        </w:rPr>
        <w:t>无效，或评审时因无效证明材料不得分，或拒绝接受</w:t>
      </w:r>
      <w:r>
        <w:rPr>
          <w:rFonts w:hint="eastAsia" w:ascii="宋体" w:hAnsi="宋体" w:eastAsia="宋体" w:cs="宋体"/>
          <w:b/>
          <w:color w:val="auto"/>
          <w:kern w:val="2"/>
          <w:sz w:val="21"/>
          <w:szCs w:val="21"/>
          <w:highlight w:val="none"/>
          <w:u w:val="single"/>
          <w:lang w:val="en-US" w:eastAsia="zh-CN"/>
        </w:rPr>
        <w:t>磋商</w:t>
      </w:r>
      <w:r>
        <w:rPr>
          <w:rFonts w:hint="eastAsia" w:ascii="宋体" w:hAnsi="宋体" w:eastAsia="宋体" w:cs="宋体"/>
          <w:b/>
          <w:color w:val="auto"/>
          <w:kern w:val="2"/>
          <w:sz w:val="21"/>
          <w:szCs w:val="21"/>
          <w:highlight w:val="none"/>
          <w:u w:val="single"/>
          <w:lang w:val="zh-CN"/>
        </w:rPr>
        <w:t>的风险。</w:t>
      </w:r>
    </w:p>
    <w:p>
      <w:pPr>
        <w:spacing w:line="360" w:lineRule="auto"/>
        <w:ind w:left="540" w:hanging="15" w:firstLineChars="0"/>
        <w:jc w:val="both"/>
        <w:rPr>
          <w:rFonts w:hint="eastAsia" w:ascii="宋体" w:hAnsi="宋体" w:eastAsia="宋体" w:cs="宋体"/>
          <w:b w:val="0"/>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5" w:name="_Toc450662860"/>
      <w:bookmarkStart w:id="56" w:name="_Toc1106"/>
      <w:bookmarkStart w:id="57" w:name="_Toc521918077"/>
      <w:bookmarkStart w:id="58" w:name="_Toc18327"/>
      <w:r>
        <w:rPr>
          <w:rFonts w:hint="eastAsia" w:ascii="宋体" w:hAnsi="宋体" w:eastAsia="宋体" w:cs="宋体"/>
          <w:color w:val="auto"/>
          <w:kern w:val="2"/>
          <w:sz w:val="21"/>
          <w:szCs w:val="21"/>
          <w:highlight w:val="none"/>
          <w:lang w:val="zh-CN"/>
        </w:rPr>
        <w:t>10</w:t>
      </w:r>
      <w:r>
        <w:rPr>
          <w:rFonts w:hint="eastAsia" w:ascii="宋体" w:hAnsi="宋体" w:eastAsia="宋体" w:cs="宋体"/>
          <w:color w:val="auto"/>
          <w:kern w:val="2"/>
          <w:sz w:val="21"/>
          <w:szCs w:val="21"/>
          <w:highlight w:val="none"/>
          <w:lang w:val="en-US" w:eastAsia="zh-CN"/>
        </w:rPr>
        <w:t xml:space="preserve">   磋商</w:t>
      </w:r>
      <w:r>
        <w:rPr>
          <w:rFonts w:hint="eastAsia" w:ascii="宋体" w:hAnsi="宋体" w:eastAsia="宋体" w:cs="宋体"/>
          <w:color w:val="auto"/>
          <w:kern w:val="2"/>
          <w:sz w:val="21"/>
          <w:szCs w:val="21"/>
          <w:highlight w:val="none"/>
          <w:lang w:val="zh-CN"/>
        </w:rPr>
        <w:t>函</w:t>
      </w:r>
      <w:bookmarkEnd w:id="55"/>
      <w:bookmarkEnd w:id="56"/>
      <w:bookmarkEnd w:id="57"/>
      <w:bookmarkEnd w:id="58"/>
    </w:p>
    <w:p>
      <w:pPr>
        <w:spacing w:line="360" w:lineRule="auto"/>
        <w:ind w:left="540" w:hanging="15"/>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供应商应完整填写响应文件格式中规定的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p>
    <w:p>
      <w:pPr>
        <w:spacing w:line="360" w:lineRule="auto"/>
        <w:ind w:left="540" w:hanging="15"/>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sz w:val="21"/>
          <w:szCs w:val="21"/>
          <w:highlight w:val="none"/>
        </w:rPr>
      </w:pPr>
      <w:bookmarkStart w:id="59" w:name="_Toc521918078"/>
      <w:bookmarkStart w:id="60" w:name="_Toc450662861"/>
      <w:bookmarkStart w:id="61" w:name="_Toc20964"/>
      <w:bookmarkStart w:id="62" w:name="_Toc15185"/>
      <w:r>
        <w:rPr>
          <w:rFonts w:hint="eastAsia" w:ascii="宋体" w:hAnsi="宋体" w:eastAsia="宋体" w:cs="宋体"/>
          <w:bCs/>
          <w:color w:val="auto"/>
          <w:kern w:val="2"/>
          <w:sz w:val="21"/>
          <w:szCs w:val="21"/>
          <w:highlight w:val="none"/>
          <w:lang w:val="zh-CN"/>
        </w:rPr>
        <w:t>11</w:t>
      </w:r>
      <w:bookmarkEnd w:id="59"/>
      <w:bookmarkEnd w:id="60"/>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响应报价</w:t>
      </w:r>
      <w:bookmarkEnd w:id="61"/>
      <w:bookmarkEnd w:id="62"/>
    </w:p>
    <w:p>
      <w:pPr>
        <w:tabs>
          <w:tab w:val="left" w:pos="142"/>
        </w:tabs>
        <w:spacing w:line="360" w:lineRule="auto"/>
        <w:ind w:left="532" w:hanging="532"/>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 xml:space="preserve">11.1 </w:t>
      </w:r>
      <w:r>
        <w:rPr>
          <w:rFonts w:hint="eastAsia" w:ascii="宋体" w:hAnsi="宋体" w:eastAsia="宋体" w:cs="宋体"/>
          <w:b/>
          <w:bCs/>
          <w:color w:val="auto"/>
          <w:kern w:val="2"/>
          <w:sz w:val="21"/>
          <w:szCs w:val="21"/>
          <w:highlight w:val="none"/>
        </w:rPr>
        <w:t>本项目只允许有一个报价价格，任何有选择的或不是固定价的响应报价将不予接受，作为非实质性响应</w:t>
      </w:r>
      <w:r>
        <w:rPr>
          <w:rFonts w:hint="eastAsia" w:ascii="宋体" w:hAnsi="宋体" w:eastAsia="宋体" w:cs="宋体"/>
          <w:b/>
          <w:bCs/>
          <w:color w:val="auto"/>
          <w:kern w:val="2"/>
          <w:sz w:val="21"/>
          <w:szCs w:val="21"/>
          <w:highlight w:val="none"/>
          <w:lang w:eastAsia="zh-CN"/>
        </w:rPr>
        <w:t>报价</w:t>
      </w:r>
      <w:r>
        <w:rPr>
          <w:rFonts w:hint="eastAsia" w:ascii="宋体" w:hAnsi="宋体" w:eastAsia="宋体" w:cs="宋体"/>
          <w:b/>
          <w:bCs/>
          <w:color w:val="auto"/>
          <w:kern w:val="2"/>
          <w:sz w:val="21"/>
          <w:szCs w:val="21"/>
          <w:highlight w:val="none"/>
        </w:rPr>
        <w:t>而予以拒绝。</w:t>
      </w:r>
      <w:r>
        <w:rPr>
          <w:rFonts w:hint="eastAsia" w:ascii="宋体" w:hAnsi="宋体" w:eastAsia="宋体" w:cs="宋体"/>
          <w:b/>
          <w:bCs/>
          <w:color w:val="auto"/>
          <w:kern w:val="2"/>
          <w:sz w:val="21"/>
          <w:szCs w:val="21"/>
          <w:highlight w:val="none"/>
          <w:lang w:eastAsia="zh-CN"/>
        </w:rPr>
        <w:t>供应商</w:t>
      </w:r>
      <w:r>
        <w:rPr>
          <w:rFonts w:hint="eastAsia" w:ascii="宋体" w:hAnsi="宋体" w:eastAsia="宋体" w:cs="宋体"/>
          <w:b/>
          <w:bCs/>
          <w:color w:val="auto"/>
          <w:kern w:val="2"/>
          <w:sz w:val="21"/>
          <w:szCs w:val="21"/>
          <w:highlight w:val="none"/>
        </w:rPr>
        <w:t>不得以低于企业自身成本的价格竞投。</w:t>
      </w:r>
    </w:p>
    <w:p>
      <w:pPr>
        <w:tabs>
          <w:tab w:val="left" w:pos="567"/>
        </w:tabs>
        <w:autoSpaceDE/>
        <w:autoSpaceDN/>
        <w:adjustRightInd w:val="0"/>
        <w:spacing w:line="360" w:lineRule="auto"/>
        <w:ind w:left="528" w:leftChars="220" w:firstLine="454"/>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出现超低报价，有可能影响服务质量和不能诚信履约的，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将要求该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作出书面说明并提供相关证明材料，以确定</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是否以低于企业成本价报价。若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不能合理说明或不能提供相关证明材料的，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将认定其</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报价低于成本，同时否决其</w:t>
      </w:r>
      <w:r>
        <w:rPr>
          <w:rFonts w:hint="eastAsia" w:ascii="宋体" w:hAnsi="宋体" w:eastAsia="宋体" w:cs="宋体"/>
          <w:b/>
          <w:color w:val="auto"/>
          <w:sz w:val="21"/>
          <w:szCs w:val="21"/>
          <w:highlight w:val="none"/>
          <w:lang w:val="en-US" w:eastAsia="zh-CN"/>
        </w:rPr>
        <w:t>递交的响应文件</w:t>
      </w:r>
      <w:r>
        <w:rPr>
          <w:rFonts w:hint="eastAsia" w:ascii="宋体" w:hAnsi="宋体" w:eastAsia="宋体" w:cs="宋体"/>
          <w:b/>
          <w:color w:val="auto"/>
          <w:sz w:val="21"/>
          <w:szCs w:val="21"/>
          <w:highlight w:val="none"/>
          <w:lang w:val="zh-CN"/>
        </w:rPr>
        <w:t>。</w:t>
      </w:r>
    </w:p>
    <w:p>
      <w:pPr>
        <w:tabs>
          <w:tab w:val="left" w:pos="567"/>
        </w:tabs>
        <w:autoSpaceDE/>
        <w:autoSpaceDN/>
        <w:spacing w:line="360" w:lineRule="auto"/>
        <w:ind w:left="528" w:leftChars="220" w:firstLine="454"/>
        <w:jc w:val="left"/>
        <w:rPr>
          <w:rFonts w:hint="eastAsia" w:ascii="宋体" w:hAnsi="宋体" w:eastAsia="宋体" w:cs="宋体"/>
          <w:b/>
          <w:bCs/>
          <w:color w:val="auto"/>
          <w:kern w:val="2"/>
          <w:sz w:val="21"/>
          <w:szCs w:val="21"/>
          <w:highlight w:val="none"/>
          <w:lang w:val="zh-CN"/>
        </w:rPr>
      </w:pPr>
      <w:r>
        <w:rPr>
          <w:rFonts w:hint="eastAsia" w:ascii="宋体" w:hAnsi="宋体" w:eastAsia="宋体" w:cs="宋体"/>
          <w:b/>
          <w:color w:val="auto"/>
          <w:sz w:val="21"/>
          <w:szCs w:val="21"/>
          <w:highlight w:val="none"/>
          <w:lang w:val="zh-CN"/>
        </w:rPr>
        <w:t>对是否低于企业成本价报价的事宜有争议的</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文件，</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成员将以记名方式表决，</w:t>
      </w:r>
      <w:r>
        <w:rPr>
          <w:rFonts w:hint="eastAsia" w:ascii="宋体" w:hAnsi="宋体" w:eastAsia="宋体" w:cs="宋体"/>
          <w:b/>
          <w:color w:val="auto"/>
          <w:sz w:val="21"/>
          <w:szCs w:val="21"/>
          <w:highlight w:val="none"/>
          <w:lang w:val="en-US" w:eastAsia="zh-CN"/>
        </w:rPr>
        <w:t>根据少数服从</w:t>
      </w:r>
      <w:r>
        <w:rPr>
          <w:rFonts w:hint="eastAsia" w:ascii="宋体" w:hAnsi="宋体" w:eastAsia="宋体" w:cs="宋体"/>
          <w:b/>
          <w:color w:val="auto"/>
          <w:sz w:val="21"/>
          <w:szCs w:val="21"/>
          <w:highlight w:val="none"/>
          <w:lang w:val="zh-CN" w:eastAsia="zh-CN"/>
        </w:rPr>
        <w:t>多数</w:t>
      </w:r>
      <w:r>
        <w:rPr>
          <w:rFonts w:hint="eastAsia" w:ascii="宋体" w:hAnsi="宋体" w:eastAsia="宋体" w:cs="宋体"/>
          <w:b/>
          <w:color w:val="auto"/>
          <w:sz w:val="21"/>
          <w:szCs w:val="21"/>
          <w:highlight w:val="none"/>
          <w:lang w:val="en-US" w:eastAsia="zh-CN"/>
        </w:rPr>
        <w:t>的原则，获多数表决通过</w:t>
      </w:r>
      <w:r>
        <w:rPr>
          <w:rFonts w:hint="eastAsia" w:ascii="宋体" w:hAnsi="宋体" w:eastAsia="宋体" w:cs="宋体"/>
          <w:b/>
          <w:color w:val="auto"/>
          <w:sz w:val="21"/>
          <w:szCs w:val="21"/>
          <w:highlight w:val="none"/>
          <w:lang w:val="zh-CN"/>
        </w:rPr>
        <w:t>的</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才有资格进入下一阶段的评审，否则将按无效</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处理。</w:t>
      </w:r>
    </w:p>
    <w:p>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11.2 </w:t>
      </w:r>
      <w:r>
        <w:rPr>
          <w:rFonts w:hint="eastAsia" w:ascii="宋体" w:hAnsi="宋体" w:eastAsia="宋体" w:cs="宋体"/>
          <w:b/>
          <w:color w:val="auto"/>
          <w:kern w:val="2"/>
          <w:sz w:val="21"/>
          <w:szCs w:val="21"/>
          <w:highlight w:val="none"/>
          <w:u w:val="single"/>
          <w:lang w:val="zh-CN"/>
        </w:rPr>
        <w:t>本项目报价为不含税价，即为《中华人民共和国增值税暂行条例》（国务院令第691号修订版）规定的销售额</w:t>
      </w:r>
      <w:r>
        <w:rPr>
          <w:rFonts w:hint="eastAsia" w:ascii="宋体" w:hAnsi="宋体" w:eastAsia="宋体" w:cs="宋体"/>
          <w:color w:val="auto"/>
          <w:kern w:val="2"/>
          <w:sz w:val="21"/>
          <w:szCs w:val="21"/>
          <w:highlight w:val="none"/>
          <w:lang w:val="zh-CN"/>
        </w:rPr>
        <w:t>。本竞争性磋商文件所称的不含税价和合同价是指不含本采购项目供应商的销项税额，包含了供应商完成合同义务（含供应商代缴代扣、分包及委外服务、施工、采购货物等所产生的价税）的其他全部费用。本采购项目的销项税额由采购人承担，不计入响应报价。</w:t>
      </w:r>
    </w:p>
    <w:p>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11.3 </w:t>
      </w:r>
      <w:r>
        <w:rPr>
          <w:rFonts w:hint="eastAsia" w:ascii="宋体" w:hAnsi="宋体" w:eastAsia="宋体" w:cs="宋体"/>
          <w:b/>
          <w:bCs/>
          <w:color w:val="auto"/>
          <w:kern w:val="2"/>
          <w:sz w:val="21"/>
          <w:szCs w:val="21"/>
          <w:highlight w:val="none"/>
          <w:u w:val="single"/>
          <w:lang w:val="zh-CN"/>
        </w:rPr>
        <w:t>报价包括采购人购买本合同项下</w:t>
      </w:r>
      <w:r>
        <w:rPr>
          <w:rFonts w:hint="eastAsia" w:ascii="宋体" w:hAnsi="宋体" w:eastAsia="宋体" w:cs="宋体"/>
          <w:b/>
          <w:bCs/>
          <w:color w:val="auto"/>
          <w:kern w:val="2"/>
          <w:sz w:val="21"/>
          <w:szCs w:val="21"/>
          <w:highlight w:val="none"/>
          <w:u w:val="single"/>
          <w:lang w:val="en-US" w:eastAsia="zh-CN"/>
        </w:rPr>
        <w:t>的污泥处理处置过程数据管理系统</w:t>
      </w:r>
      <w:r>
        <w:rPr>
          <w:rFonts w:hint="eastAsia" w:ascii="宋体" w:hAnsi="宋体" w:eastAsia="宋体" w:cs="宋体"/>
          <w:b/>
          <w:bCs/>
          <w:color w:val="auto"/>
          <w:kern w:val="2"/>
          <w:sz w:val="21"/>
          <w:szCs w:val="21"/>
          <w:highlight w:val="none"/>
          <w:u w:val="single"/>
          <w:lang w:val="zh-CN"/>
        </w:rPr>
        <w:t>所支付的全部价款，包括但不限于：（1）</w:t>
      </w:r>
      <w:r>
        <w:rPr>
          <w:rFonts w:hint="eastAsia" w:ascii="宋体" w:hAnsi="宋体" w:eastAsia="宋体" w:cs="宋体"/>
          <w:b/>
          <w:bCs/>
          <w:color w:val="auto"/>
          <w:kern w:val="2"/>
          <w:sz w:val="21"/>
          <w:szCs w:val="21"/>
          <w:highlight w:val="none"/>
          <w:u w:val="single"/>
          <w:lang w:val="zh-CN" w:eastAsia="zh-CN"/>
        </w:rPr>
        <w:t>系统平台清单</w:t>
      </w:r>
      <w:r>
        <w:rPr>
          <w:rFonts w:hint="eastAsia" w:ascii="宋体" w:hAnsi="宋体" w:eastAsia="宋体" w:cs="宋体"/>
          <w:b/>
          <w:bCs/>
          <w:color w:val="auto"/>
          <w:kern w:val="2"/>
          <w:sz w:val="21"/>
          <w:szCs w:val="21"/>
          <w:highlight w:val="none"/>
          <w:u w:val="single"/>
          <w:lang w:val="zh-CN"/>
        </w:rPr>
        <w:t>范围内所有</w:t>
      </w:r>
      <w:r>
        <w:rPr>
          <w:rFonts w:hint="eastAsia" w:ascii="宋体" w:hAnsi="宋体" w:eastAsia="宋体" w:cs="宋体"/>
          <w:b/>
          <w:bCs/>
          <w:color w:val="auto"/>
          <w:kern w:val="2"/>
          <w:sz w:val="21"/>
          <w:szCs w:val="21"/>
          <w:highlight w:val="none"/>
          <w:u w:val="single"/>
          <w:lang w:val="zh-CN" w:eastAsia="zh-CN"/>
        </w:rPr>
        <w:t>软件</w:t>
      </w:r>
      <w:r>
        <w:rPr>
          <w:rFonts w:hint="eastAsia" w:ascii="宋体" w:hAnsi="宋体" w:eastAsia="宋体" w:cs="宋体"/>
          <w:b/>
          <w:bCs/>
          <w:color w:val="auto"/>
          <w:kern w:val="2"/>
          <w:sz w:val="21"/>
          <w:szCs w:val="21"/>
          <w:highlight w:val="none"/>
          <w:u w:val="single"/>
          <w:lang w:val="zh-CN"/>
        </w:rPr>
        <w:t>的</w:t>
      </w:r>
      <w:r>
        <w:rPr>
          <w:rFonts w:hint="eastAsia" w:ascii="宋体" w:hAnsi="宋体" w:eastAsia="宋体" w:cs="宋体"/>
          <w:b/>
          <w:bCs/>
          <w:color w:val="auto"/>
          <w:kern w:val="2"/>
          <w:sz w:val="21"/>
          <w:szCs w:val="21"/>
          <w:highlight w:val="none"/>
          <w:u w:val="single"/>
          <w:lang w:val="zh-CN" w:eastAsia="zh-CN"/>
        </w:rPr>
        <w:t>开发、设计、</w:t>
      </w:r>
      <w:r>
        <w:rPr>
          <w:rFonts w:hint="eastAsia" w:ascii="宋体" w:hAnsi="宋体" w:eastAsia="宋体" w:cs="宋体"/>
          <w:b/>
          <w:bCs/>
          <w:color w:val="auto"/>
          <w:kern w:val="2"/>
          <w:sz w:val="21"/>
          <w:szCs w:val="21"/>
          <w:highlight w:val="none"/>
          <w:u w:val="single"/>
          <w:lang w:val="zh-CN"/>
        </w:rPr>
        <w:t>制造、包装、运输（至项目现场甲方指定地点）、人工、保险费、安装、调试、验收、</w:t>
      </w:r>
      <w:r>
        <w:rPr>
          <w:rFonts w:hint="eastAsia" w:ascii="宋体" w:hAnsi="宋体" w:eastAsia="宋体" w:cs="宋体"/>
          <w:b/>
          <w:bCs/>
          <w:color w:val="auto"/>
          <w:kern w:val="2"/>
          <w:sz w:val="21"/>
          <w:szCs w:val="21"/>
          <w:highlight w:val="none"/>
          <w:u w:val="single"/>
          <w:lang w:val="en-US" w:eastAsia="zh-CN"/>
        </w:rPr>
        <w:t>培训</w:t>
      </w:r>
      <w:r>
        <w:rPr>
          <w:rFonts w:hint="eastAsia" w:ascii="宋体" w:hAnsi="宋体" w:eastAsia="宋体" w:cs="宋体"/>
          <w:b/>
          <w:bCs/>
          <w:color w:val="auto"/>
          <w:kern w:val="2"/>
          <w:sz w:val="21"/>
          <w:szCs w:val="21"/>
          <w:highlight w:val="none"/>
          <w:u w:val="single"/>
          <w:lang w:val="zh-CN" w:eastAsia="zh-CN"/>
        </w:rPr>
        <w:t>及第一年</w:t>
      </w:r>
      <w:r>
        <w:rPr>
          <w:rFonts w:hint="eastAsia" w:ascii="宋体" w:hAnsi="宋体" w:eastAsia="宋体" w:cs="宋体"/>
          <w:b/>
          <w:bCs/>
          <w:color w:val="auto"/>
          <w:kern w:val="2"/>
          <w:sz w:val="21"/>
          <w:szCs w:val="21"/>
          <w:highlight w:val="none"/>
          <w:u w:val="single"/>
          <w:lang w:val="zh-CN"/>
        </w:rPr>
        <w:t>的维护服务</w:t>
      </w:r>
      <w:r>
        <w:rPr>
          <w:rFonts w:hint="eastAsia" w:ascii="宋体" w:hAnsi="宋体" w:eastAsia="宋体" w:cs="宋体"/>
          <w:b/>
          <w:bCs/>
          <w:color w:val="auto"/>
          <w:kern w:val="2"/>
          <w:sz w:val="21"/>
          <w:szCs w:val="21"/>
          <w:highlight w:val="none"/>
          <w:u w:val="single"/>
          <w:lang w:val="zh-CN" w:eastAsia="zh-CN"/>
        </w:rPr>
        <w:t>费（最终验收</w:t>
      </w:r>
      <w:r>
        <w:rPr>
          <w:rFonts w:hint="eastAsia" w:ascii="宋体" w:hAnsi="宋体" w:eastAsia="宋体" w:cs="宋体"/>
          <w:b/>
          <w:bCs/>
          <w:color w:val="auto"/>
          <w:kern w:val="2"/>
          <w:sz w:val="21"/>
          <w:szCs w:val="21"/>
          <w:highlight w:val="none"/>
          <w:u w:val="single"/>
          <w:lang w:val="zh-CN"/>
        </w:rPr>
        <w:t>确认之日起计</w:t>
      </w:r>
      <w:r>
        <w:rPr>
          <w:rFonts w:hint="eastAsia" w:ascii="宋体" w:hAnsi="宋体" w:eastAsia="宋体" w:cs="宋体"/>
          <w:b/>
          <w:bCs/>
          <w:color w:val="auto"/>
          <w:kern w:val="2"/>
          <w:sz w:val="21"/>
          <w:szCs w:val="21"/>
          <w:highlight w:val="none"/>
          <w:u w:val="single"/>
          <w:lang w:val="zh-CN" w:eastAsia="zh-CN"/>
        </w:rPr>
        <w:t>）等</w:t>
      </w:r>
      <w:r>
        <w:rPr>
          <w:rFonts w:hint="eastAsia" w:ascii="宋体" w:hAnsi="宋体" w:eastAsia="宋体" w:cs="宋体"/>
          <w:b/>
          <w:bCs/>
          <w:color w:val="auto"/>
          <w:kern w:val="2"/>
          <w:sz w:val="21"/>
          <w:szCs w:val="21"/>
          <w:highlight w:val="none"/>
          <w:u w:val="single"/>
          <w:lang w:val="zh-CN"/>
        </w:rPr>
        <w:t>费用</w:t>
      </w:r>
      <w:r>
        <w:rPr>
          <w:rFonts w:hint="eastAsia" w:ascii="宋体" w:hAnsi="宋体" w:eastAsia="宋体" w:cs="宋体"/>
          <w:b/>
          <w:bCs/>
          <w:color w:val="auto"/>
          <w:kern w:val="2"/>
          <w:sz w:val="21"/>
          <w:szCs w:val="21"/>
          <w:highlight w:val="none"/>
          <w:u w:val="single"/>
          <w:lang w:val="zh-CN" w:eastAsia="zh-CN"/>
        </w:rPr>
        <w:t>；</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en-US" w:eastAsia="zh-CN"/>
        </w:rPr>
        <w:t>2</w:t>
      </w:r>
      <w:r>
        <w:rPr>
          <w:rFonts w:hint="eastAsia" w:ascii="宋体" w:hAnsi="宋体" w:eastAsia="宋体" w:cs="宋体"/>
          <w:b/>
          <w:bCs/>
          <w:color w:val="auto"/>
          <w:kern w:val="2"/>
          <w:sz w:val="21"/>
          <w:szCs w:val="21"/>
          <w:highlight w:val="none"/>
          <w:u w:val="single"/>
          <w:lang w:val="zh-CN"/>
        </w:rPr>
        <w:t>）合同货物及其工艺所有制造方、使用方应支付的对专利权和版权、设计或其他知识产权而需要向其他方支付的费用及版税</w:t>
      </w:r>
      <w:r>
        <w:rPr>
          <w:rFonts w:hint="eastAsia" w:ascii="宋体" w:hAnsi="宋体" w:eastAsia="宋体" w:cs="宋体"/>
          <w:b/>
          <w:bCs/>
          <w:color w:val="auto"/>
          <w:kern w:val="2"/>
          <w:sz w:val="21"/>
          <w:szCs w:val="21"/>
          <w:highlight w:val="none"/>
          <w:u w:val="single"/>
          <w:lang w:val="en-US" w:eastAsia="zh-CN"/>
        </w:rPr>
        <w:t>及合同实施过程的应预见和不可预见费</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en-US" w:eastAsia="zh-CN"/>
        </w:rPr>
        <w:t>3</w:t>
      </w:r>
      <w:r>
        <w:rPr>
          <w:rFonts w:hint="eastAsia" w:ascii="宋体" w:hAnsi="宋体" w:eastAsia="宋体" w:cs="宋体"/>
          <w:b/>
          <w:bCs/>
          <w:color w:val="auto"/>
          <w:kern w:val="2"/>
          <w:sz w:val="21"/>
          <w:szCs w:val="21"/>
          <w:highlight w:val="none"/>
          <w:u w:val="single"/>
          <w:lang w:val="zh-CN"/>
        </w:rPr>
        <w:t>）合理利润、</w:t>
      </w:r>
      <w:r>
        <w:rPr>
          <w:rFonts w:hint="eastAsia" w:ascii="宋体" w:hAnsi="宋体" w:eastAsia="宋体" w:cs="宋体"/>
          <w:b/>
          <w:bCs/>
          <w:color w:val="auto"/>
          <w:kern w:val="2"/>
          <w:sz w:val="21"/>
          <w:szCs w:val="21"/>
          <w:highlight w:val="none"/>
          <w:u w:val="single"/>
          <w:lang w:val="en-US" w:eastAsia="zh-CN"/>
        </w:rPr>
        <w:t>成交人</w:t>
      </w:r>
      <w:r>
        <w:rPr>
          <w:rFonts w:hint="eastAsia" w:ascii="宋体" w:hAnsi="宋体" w:eastAsia="宋体" w:cs="宋体"/>
          <w:b/>
          <w:bCs/>
          <w:color w:val="auto"/>
          <w:kern w:val="2"/>
          <w:sz w:val="21"/>
          <w:szCs w:val="21"/>
          <w:highlight w:val="none"/>
          <w:u w:val="single"/>
          <w:lang w:val="zh-CN"/>
        </w:rPr>
        <w:t>销项税额以外的税费等；（</w:t>
      </w:r>
      <w:r>
        <w:rPr>
          <w:rFonts w:hint="eastAsia" w:ascii="宋体" w:hAnsi="宋体" w:eastAsia="宋体" w:cs="宋体"/>
          <w:b/>
          <w:bCs/>
          <w:color w:val="auto"/>
          <w:kern w:val="2"/>
          <w:sz w:val="21"/>
          <w:szCs w:val="21"/>
          <w:highlight w:val="none"/>
          <w:u w:val="single"/>
          <w:lang w:val="en-US" w:eastAsia="zh-CN"/>
        </w:rPr>
        <w:t>4</w:t>
      </w:r>
      <w:r>
        <w:rPr>
          <w:rFonts w:hint="eastAsia" w:ascii="宋体" w:hAnsi="宋体" w:eastAsia="宋体" w:cs="宋体"/>
          <w:b/>
          <w:bCs/>
          <w:color w:val="auto"/>
          <w:kern w:val="2"/>
          <w:sz w:val="21"/>
          <w:szCs w:val="21"/>
          <w:highlight w:val="none"/>
          <w:u w:val="single"/>
          <w:lang w:val="zh-CN"/>
        </w:rPr>
        <w:t>）法律法规、商业公认、</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文件规定由</w:t>
      </w:r>
      <w:r>
        <w:rPr>
          <w:rFonts w:hint="eastAsia" w:ascii="宋体" w:hAnsi="宋体" w:eastAsia="宋体" w:cs="宋体"/>
          <w:b/>
          <w:bCs/>
          <w:color w:val="auto"/>
          <w:kern w:val="2"/>
          <w:sz w:val="21"/>
          <w:szCs w:val="21"/>
          <w:highlight w:val="none"/>
          <w:u w:val="single"/>
          <w:lang w:val="en-US" w:eastAsia="zh-CN"/>
        </w:rPr>
        <w:t>成交人</w:t>
      </w:r>
      <w:r>
        <w:rPr>
          <w:rFonts w:hint="eastAsia" w:ascii="宋体" w:hAnsi="宋体" w:eastAsia="宋体" w:cs="宋体"/>
          <w:b/>
          <w:bCs/>
          <w:color w:val="auto"/>
          <w:kern w:val="2"/>
          <w:sz w:val="21"/>
          <w:szCs w:val="21"/>
          <w:highlight w:val="none"/>
          <w:u w:val="single"/>
          <w:lang w:val="zh-CN"/>
        </w:rPr>
        <w:t>承担的其他直接及间接费用。未经采购人书面同意，成交人（包括但不限于成交人指定的第三方）不得要求采购人另行支付其他任何费用</w:t>
      </w:r>
      <w:r>
        <w:rPr>
          <w:rFonts w:hint="eastAsia" w:ascii="宋体" w:hAnsi="宋体" w:eastAsia="宋体" w:cs="宋体"/>
          <w:color w:val="auto"/>
          <w:kern w:val="2"/>
          <w:sz w:val="21"/>
          <w:szCs w:val="21"/>
          <w:highlight w:val="none"/>
          <w:lang w:val="zh-CN"/>
        </w:rPr>
        <w:t>。</w:t>
      </w:r>
    </w:p>
    <w:p>
      <w:pPr>
        <w:tabs>
          <w:tab w:val="left" w:pos="142"/>
        </w:tabs>
        <w:spacing w:line="360" w:lineRule="auto"/>
        <w:ind w:left="533" w:hanging="53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11.</w:t>
      </w: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在合同期间，响应报价不随国家政策或法规、标准、市场因素及采购数量的变化而进行调整。</w:t>
      </w:r>
    </w:p>
    <w:p>
      <w:pPr>
        <w:tabs>
          <w:tab w:val="left" w:pos="142"/>
        </w:tabs>
        <w:spacing w:line="360" w:lineRule="auto"/>
        <w:ind w:left="533" w:hanging="53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11.5 </w:t>
      </w:r>
      <w:r>
        <w:rPr>
          <w:rFonts w:hint="eastAsia" w:ascii="宋体" w:hAnsi="宋体" w:eastAsia="宋体" w:cs="宋体"/>
          <w:b/>
          <w:bCs/>
          <w:color w:val="auto"/>
          <w:kern w:val="2"/>
          <w:sz w:val="21"/>
          <w:szCs w:val="21"/>
          <w:highlight w:val="none"/>
          <w:u w:val="single"/>
          <w:lang w:val="zh-CN"/>
        </w:rPr>
        <w:t>合同项下，采购人需要的</w:t>
      </w:r>
      <w:r>
        <w:rPr>
          <w:rFonts w:hint="eastAsia" w:ascii="宋体" w:hAnsi="宋体" w:eastAsia="宋体" w:cs="宋体"/>
          <w:b/>
          <w:bCs/>
          <w:color w:val="auto"/>
          <w:kern w:val="2"/>
          <w:sz w:val="21"/>
          <w:szCs w:val="21"/>
          <w:highlight w:val="none"/>
          <w:u w:val="single"/>
          <w:lang w:val="en-US" w:eastAsia="zh-CN"/>
        </w:rPr>
        <w:t>污泥处理处置过程数据管理系统</w:t>
      </w:r>
      <w:r>
        <w:rPr>
          <w:rFonts w:hint="eastAsia" w:ascii="宋体" w:hAnsi="宋体" w:eastAsia="宋体" w:cs="宋体"/>
          <w:b/>
          <w:bCs/>
          <w:color w:val="auto"/>
          <w:kern w:val="2"/>
          <w:sz w:val="21"/>
          <w:szCs w:val="21"/>
          <w:highlight w:val="none"/>
          <w:u w:val="single"/>
          <w:lang w:val="zh-CN"/>
        </w:rPr>
        <w:t>所需的费用，供应商都应计入响应报价（竞争性磋商文件明确规定不计入响应报价的除外）。</w:t>
      </w:r>
    </w:p>
    <w:p>
      <w:pPr>
        <w:tabs>
          <w:tab w:val="left" w:pos="142"/>
        </w:tabs>
        <w:spacing w:line="360" w:lineRule="auto"/>
        <w:ind w:left="533" w:hanging="533"/>
        <w:jc w:val="both"/>
        <w:rPr>
          <w:rFonts w:hint="eastAsia" w:ascii="宋体" w:hAnsi="宋体" w:eastAsia="宋体" w:cs="宋体"/>
          <w:b/>
          <w:color w:val="auto"/>
          <w:kern w:val="2"/>
          <w:sz w:val="21"/>
          <w:szCs w:val="21"/>
          <w:highlight w:val="none"/>
          <w:u w:val="single"/>
          <w:lang w:val="zh-CN"/>
        </w:rPr>
      </w:pPr>
      <w:r>
        <w:rPr>
          <w:rFonts w:hint="eastAsia" w:ascii="宋体" w:hAnsi="宋体" w:eastAsia="宋体" w:cs="宋体"/>
          <w:color w:val="auto"/>
          <w:kern w:val="2"/>
          <w:sz w:val="21"/>
          <w:szCs w:val="21"/>
          <w:highlight w:val="none"/>
        </w:rPr>
        <w:t>11.6</w:t>
      </w:r>
      <w:r>
        <w:rPr>
          <w:rFonts w:hint="eastAsia" w:ascii="宋体" w:hAnsi="宋体" w:eastAsia="宋体" w:cs="宋体"/>
          <w:b/>
          <w:bCs/>
          <w:color w:val="auto"/>
          <w:kern w:val="2"/>
          <w:sz w:val="21"/>
          <w:szCs w:val="21"/>
          <w:highlight w:val="none"/>
        </w:rPr>
        <w:t xml:space="preserve"> </w:t>
      </w:r>
      <w:r>
        <w:rPr>
          <w:rFonts w:hint="eastAsia" w:ascii="宋体" w:hAnsi="宋体" w:eastAsia="宋体" w:cs="宋体"/>
          <w:b/>
          <w:color w:val="auto"/>
          <w:kern w:val="2"/>
          <w:sz w:val="21"/>
          <w:szCs w:val="21"/>
          <w:highlight w:val="none"/>
          <w:u w:val="single"/>
          <w:lang w:val="en-US" w:eastAsia="zh-CN"/>
        </w:rPr>
        <w:t>供应商</w:t>
      </w:r>
      <w:r>
        <w:rPr>
          <w:rFonts w:hint="eastAsia" w:ascii="宋体" w:hAnsi="宋体" w:eastAsia="宋体" w:cs="宋体"/>
          <w:b/>
          <w:bCs w:val="0"/>
          <w:color w:val="auto"/>
          <w:kern w:val="2"/>
          <w:sz w:val="21"/>
          <w:szCs w:val="21"/>
          <w:highlight w:val="none"/>
          <w:u w:val="single"/>
          <w:lang w:val="zh-CN"/>
        </w:rPr>
        <w:t>的</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bCs w:val="0"/>
          <w:color w:val="auto"/>
          <w:kern w:val="2"/>
          <w:sz w:val="21"/>
          <w:szCs w:val="21"/>
          <w:highlight w:val="none"/>
          <w:u w:val="single"/>
          <w:lang w:val="zh-CN"/>
        </w:rPr>
        <w:t>报价高于最高限价的，该</w:t>
      </w:r>
      <w:r>
        <w:rPr>
          <w:rFonts w:hint="eastAsia" w:ascii="宋体" w:hAnsi="宋体" w:eastAsia="宋体" w:cs="宋体"/>
          <w:b/>
          <w:bCs w:val="0"/>
          <w:color w:val="auto"/>
          <w:kern w:val="2"/>
          <w:sz w:val="21"/>
          <w:szCs w:val="21"/>
          <w:highlight w:val="none"/>
          <w:u w:val="single"/>
          <w:lang w:val="en-US" w:eastAsia="zh-CN"/>
        </w:rPr>
        <w:t>供应商</w:t>
      </w:r>
      <w:r>
        <w:rPr>
          <w:rFonts w:hint="eastAsia" w:ascii="宋体" w:hAnsi="宋体" w:eastAsia="宋体" w:cs="宋体"/>
          <w:b/>
          <w:bCs w:val="0"/>
          <w:color w:val="auto"/>
          <w:kern w:val="2"/>
          <w:sz w:val="21"/>
          <w:szCs w:val="21"/>
          <w:highlight w:val="none"/>
          <w:u w:val="single"/>
          <w:lang w:val="zh-CN"/>
        </w:rPr>
        <w:t>的</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bCs w:val="0"/>
          <w:color w:val="auto"/>
          <w:kern w:val="2"/>
          <w:sz w:val="21"/>
          <w:szCs w:val="21"/>
          <w:highlight w:val="none"/>
          <w:u w:val="single"/>
          <w:lang w:val="zh-CN"/>
        </w:rPr>
        <w:t>文件将被视为无效</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。本项目的不含税最高限价</w:t>
      </w:r>
      <w:r>
        <w:rPr>
          <w:rFonts w:hint="eastAsia" w:ascii="宋体" w:hAnsi="宋体" w:eastAsia="宋体" w:cs="宋体"/>
          <w:b/>
          <w:bCs w:val="0"/>
          <w:color w:val="auto"/>
          <w:kern w:val="2"/>
          <w:sz w:val="21"/>
          <w:szCs w:val="21"/>
          <w:highlight w:val="none"/>
          <w:u w:val="single"/>
          <w:lang w:val="zh-CN"/>
        </w:rPr>
        <w:t>为</w:t>
      </w:r>
      <w:r>
        <w:rPr>
          <w:rFonts w:hint="eastAsia" w:ascii="宋体" w:hAnsi="宋体" w:eastAsia="宋体" w:cs="宋体"/>
          <w:b/>
          <w:bCs/>
          <w:color w:val="auto"/>
          <w:sz w:val="21"/>
          <w:szCs w:val="21"/>
          <w:highlight w:val="none"/>
          <w:u w:val="single"/>
          <w:lang w:val="en-US" w:eastAsia="zh-CN"/>
        </w:rPr>
        <w:t>425,400.50</w:t>
      </w:r>
      <w:r>
        <w:rPr>
          <w:rFonts w:hint="eastAsia" w:ascii="宋体" w:hAnsi="宋体" w:eastAsia="宋体" w:cs="宋体"/>
          <w:b/>
          <w:bCs w:val="0"/>
          <w:color w:val="auto"/>
          <w:kern w:val="2"/>
          <w:sz w:val="21"/>
          <w:szCs w:val="21"/>
          <w:highlight w:val="none"/>
          <w:u w:val="single"/>
          <w:lang w:val="zh-CN"/>
        </w:rPr>
        <w:t>元（大写</w:t>
      </w:r>
      <w:r>
        <w:rPr>
          <w:rFonts w:hint="eastAsia" w:ascii="宋体" w:hAnsi="宋体" w:eastAsia="宋体" w:cs="宋体"/>
          <w:b/>
          <w:color w:val="auto"/>
          <w:kern w:val="2"/>
          <w:sz w:val="21"/>
          <w:szCs w:val="21"/>
          <w:highlight w:val="none"/>
          <w:u w:val="single"/>
          <w:lang w:val="zh-CN"/>
        </w:rPr>
        <w:t>：人民币肆拾贰万伍仟肆佰元伍角）。</w:t>
      </w:r>
    </w:p>
    <w:p>
      <w:pPr>
        <w:tabs>
          <w:tab w:val="left" w:pos="142"/>
        </w:tabs>
        <w:spacing w:line="360" w:lineRule="auto"/>
        <w:ind w:left="532" w:hanging="532"/>
        <w:jc w:val="both"/>
        <w:rPr>
          <w:rFonts w:hint="eastAsia" w:ascii="宋体" w:hAnsi="宋体" w:eastAsia="宋体" w:cs="宋体"/>
          <w:b/>
          <w:bCs/>
          <w:color w:val="auto"/>
          <w:sz w:val="21"/>
          <w:highlight w:val="none"/>
          <w:u w:val="single"/>
        </w:rPr>
      </w:pPr>
    </w:p>
    <w:p>
      <w:pPr>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63" w:name="_Toc11058"/>
      <w:bookmarkStart w:id="64" w:name="_Toc521918079"/>
      <w:bookmarkStart w:id="65" w:name="_Toc450662862"/>
      <w:bookmarkStart w:id="66" w:name="_Toc11071"/>
      <w:r>
        <w:rPr>
          <w:rFonts w:hint="eastAsia" w:ascii="宋体" w:hAnsi="宋体" w:eastAsia="宋体" w:cs="宋体"/>
          <w:color w:val="auto"/>
          <w:kern w:val="2"/>
          <w:sz w:val="21"/>
          <w:szCs w:val="21"/>
          <w:highlight w:val="none"/>
          <w:lang w:val="zh-CN"/>
        </w:rPr>
        <w:t>12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响应报价货币</w:t>
      </w:r>
      <w:bookmarkEnd w:id="63"/>
      <w:bookmarkEnd w:id="64"/>
      <w:bookmarkEnd w:id="65"/>
      <w:bookmarkEnd w:id="66"/>
    </w:p>
    <w:p>
      <w:pPr>
        <w:spacing w:line="360" w:lineRule="auto"/>
        <w:ind w:left="540" w:hanging="15"/>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响应报价表上的价格须以人民币报价，以其它货币标价的报价将予以拒绝。</w:t>
      </w:r>
    </w:p>
    <w:p>
      <w:pPr>
        <w:spacing w:line="360" w:lineRule="auto"/>
        <w:ind w:left="540" w:hanging="15"/>
        <w:jc w:val="both"/>
        <w:rPr>
          <w:rFonts w:hint="eastAsia" w:ascii="宋体" w:hAnsi="宋体" w:eastAsia="宋体" w:cs="宋体"/>
          <w:color w:val="auto"/>
          <w:kern w:val="2"/>
          <w:sz w:val="21"/>
          <w:szCs w:val="21"/>
          <w:highlight w:val="none"/>
          <w:lang w:val="zh-CN"/>
        </w:rPr>
      </w:pPr>
    </w:p>
    <w:p>
      <w:pPr>
        <w:tabs>
          <w:tab w:val="left" w:pos="57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67" w:name="_Toc450662863"/>
      <w:bookmarkStart w:id="68" w:name="_Toc18922"/>
      <w:bookmarkStart w:id="69" w:name="_Toc521918080"/>
      <w:bookmarkStart w:id="70" w:name="_Toc21140"/>
      <w:r>
        <w:rPr>
          <w:rFonts w:hint="eastAsia" w:ascii="宋体" w:hAnsi="宋体" w:eastAsia="宋体" w:cs="宋体"/>
          <w:color w:val="auto"/>
          <w:kern w:val="2"/>
          <w:sz w:val="21"/>
          <w:szCs w:val="21"/>
          <w:highlight w:val="none"/>
          <w:lang w:val="zh-CN"/>
        </w:rPr>
        <w:t>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证明供应商的合格性和资格的声明文件</w:t>
      </w:r>
      <w:bookmarkEnd w:id="67"/>
      <w:bookmarkEnd w:id="68"/>
      <w:bookmarkEnd w:id="69"/>
      <w:bookmarkEnd w:id="70"/>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根据第2条、第13.2款规定，供应商须提交证明其有资格进行</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和有能力履行合同的文件，作为响应文件的一部分。</w:t>
      </w:r>
    </w:p>
    <w:p>
      <w:pPr>
        <w:spacing w:line="360" w:lineRule="auto"/>
        <w:ind w:left="567" w:hanging="567"/>
        <w:jc w:val="both"/>
        <w:rPr>
          <w:rFonts w:hint="eastAsia" w:ascii="宋体" w:hAnsi="宋体" w:eastAsia="宋体" w:cs="宋体"/>
          <w:color w:val="auto"/>
          <w:kern w:val="2"/>
          <w:sz w:val="21"/>
          <w:szCs w:val="21"/>
          <w:highlight w:val="none"/>
          <w:vertAlign w:val="superscript"/>
          <w:lang w:val="zh-CN"/>
        </w:rPr>
      </w:pPr>
      <w:r>
        <w:rPr>
          <w:rFonts w:hint="eastAsia" w:ascii="宋体" w:hAnsi="宋体" w:eastAsia="宋体" w:cs="宋体"/>
          <w:color w:val="auto"/>
          <w:kern w:val="2"/>
          <w:sz w:val="21"/>
          <w:szCs w:val="21"/>
          <w:highlight w:val="none"/>
          <w:lang w:val="zh-CN"/>
        </w:rPr>
        <w:t>13.2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供应商提供的履行合同的资格声明文件应符合：</w:t>
      </w:r>
    </w:p>
    <w:p>
      <w:pPr>
        <w:spacing w:line="360" w:lineRule="auto"/>
        <w:ind w:left="563" w:hanging="562" w:hangingChars="26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（1）符合</w:t>
      </w:r>
      <w:r>
        <w:rPr>
          <w:rFonts w:hint="eastAsia" w:ascii="宋体" w:hAnsi="宋体" w:eastAsia="宋体" w:cs="宋体"/>
          <w:color w:val="auto"/>
          <w:kern w:val="2"/>
          <w:sz w:val="21"/>
          <w:szCs w:val="21"/>
          <w:highlight w:val="none"/>
          <w:lang w:val="en-US" w:eastAsia="zh-CN"/>
        </w:rPr>
        <w:t>竞争性磋商文件合格供应商应</w:t>
      </w:r>
      <w:r>
        <w:rPr>
          <w:rFonts w:hint="eastAsia" w:ascii="宋体" w:hAnsi="宋体" w:eastAsia="宋体" w:cs="宋体"/>
          <w:color w:val="auto"/>
          <w:kern w:val="2"/>
          <w:sz w:val="21"/>
          <w:szCs w:val="21"/>
          <w:highlight w:val="none"/>
          <w:lang w:val="zh-CN"/>
        </w:rPr>
        <w:t>当具备的条件；</w:t>
      </w:r>
    </w:p>
    <w:p>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zh-CN"/>
        </w:rPr>
        <w:t>具有履行本项目所必须的供货、服务、技术力量的证明文件；</w:t>
      </w:r>
    </w:p>
    <w:p>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（3）供应商证明其相应资格符合或优于竞争性磋商文件要求的其它文件。</w:t>
      </w:r>
    </w:p>
    <w:p>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供应商根据竞争性磋商文件载明的货物和服务要求的实际情况，拟在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后将</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项目的非主体、非关键性专业工作交由他人完成的，应当在响应文件中载明，并提供分包人的资质、能力证明材料。</w:t>
      </w:r>
    </w:p>
    <w:p>
      <w:pPr>
        <w:tabs>
          <w:tab w:val="left" w:pos="142"/>
        </w:tabs>
        <w:spacing w:line="360" w:lineRule="auto"/>
        <w:ind w:left="532" w:hanging="532"/>
        <w:jc w:val="both"/>
        <w:rPr>
          <w:rFonts w:hint="eastAsia" w:ascii="宋体" w:hAnsi="宋体" w:eastAsia="宋体" w:cs="宋体"/>
          <w:color w:val="auto"/>
          <w:kern w:val="2"/>
          <w:sz w:val="21"/>
          <w:szCs w:val="21"/>
          <w:highlight w:val="none"/>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1" w:name="_Toc450662864"/>
      <w:bookmarkStart w:id="72" w:name="_Toc23499"/>
      <w:bookmarkStart w:id="73" w:name="_Toc521918081"/>
      <w:bookmarkStart w:id="74" w:name="_Toc11754"/>
      <w:r>
        <w:rPr>
          <w:rFonts w:hint="eastAsia" w:ascii="宋体" w:hAnsi="宋体" w:eastAsia="宋体" w:cs="宋体"/>
          <w:color w:val="auto"/>
          <w:kern w:val="2"/>
          <w:sz w:val="21"/>
          <w:szCs w:val="21"/>
          <w:highlight w:val="none"/>
          <w:lang w:val="zh-CN"/>
        </w:rPr>
        <w:t>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证明服务的合格性并符合竞争性磋商文件规定的声明文件</w:t>
      </w:r>
      <w:bookmarkEnd w:id="71"/>
      <w:bookmarkEnd w:id="72"/>
      <w:bookmarkEnd w:id="73"/>
      <w:bookmarkEnd w:id="74"/>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14.1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根据第9条规定，供应商须提交证明其拟供服务的合格性并符合竞争性磋商文件规定的声明文件，作为响应文件的一部分。</w:t>
      </w:r>
    </w:p>
    <w:p>
      <w:pPr>
        <w:tabs>
          <w:tab w:val="left" w:pos="142"/>
        </w:tabs>
        <w:spacing w:line="360" w:lineRule="auto"/>
        <w:ind w:left="532" w:hanging="532"/>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14.2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证明服务与竞争性磋商文件的要求相一致的文件可以是文字资料、图纸和数据资料。</w:t>
      </w:r>
    </w:p>
    <w:p>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14.3 </w:t>
      </w:r>
      <w:r>
        <w:rPr>
          <w:rFonts w:hint="eastAsia" w:ascii="宋体" w:hAnsi="宋体" w:eastAsia="宋体" w:cs="宋体"/>
          <w:b/>
          <w:color w:val="auto"/>
          <w:kern w:val="2"/>
          <w:sz w:val="21"/>
          <w:szCs w:val="21"/>
          <w:highlight w:val="none"/>
          <w:u w:val="single"/>
          <w:lang w:val="zh-CN"/>
        </w:rPr>
        <w:t>为说明第14.2款的规定，供应商应注意本竞争性磋商文件在《用户需求书》中对服务要求所说明只是概括性的，不能理解为所需要的全部服务的要求，供应商应按国家、行业相关技术标准、规范和以往的服务经验，合格优质的完成采购内容和包含的全部服务。凡标有“★”的地方均被视为重要的技术要求或商务要求。供应商要特别加以注意，必须对此回答并完全满足这些要求，否则若有一项带“★”的条款未响应或不满足，将按无效</w:t>
      </w:r>
      <w:r>
        <w:rPr>
          <w:rFonts w:hint="eastAsia" w:ascii="宋体" w:hAnsi="宋体" w:eastAsia="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处理。</w:t>
      </w:r>
    </w:p>
    <w:p>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75" w:name="_Toc21055"/>
      <w:bookmarkStart w:id="76" w:name="_Toc521918082"/>
      <w:bookmarkStart w:id="77" w:name="_Toc17366"/>
      <w:r>
        <w:rPr>
          <w:rFonts w:hint="eastAsia" w:ascii="宋体" w:hAnsi="宋体" w:eastAsia="宋体" w:cs="宋体"/>
          <w:bCs/>
          <w:color w:val="auto"/>
          <w:kern w:val="2"/>
          <w:sz w:val="21"/>
          <w:szCs w:val="21"/>
          <w:highlight w:val="none"/>
          <w:lang w:val="zh-CN"/>
        </w:rPr>
        <w:t>15</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磋商</w:t>
      </w:r>
      <w:r>
        <w:rPr>
          <w:rFonts w:hint="eastAsia" w:ascii="宋体" w:hAnsi="宋体" w:eastAsia="宋体" w:cs="宋体"/>
          <w:bCs/>
          <w:color w:val="auto"/>
          <w:kern w:val="2"/>
          <w:sz w:val="21"/>
          <w:szCs w:val="21"/>
          <w:highlight w:val="none"/>
          <w:lang w:val="zh-CN"/>
        </w:rPr>
        <w:t>保证金</w:t>
      </w:r>
      <w:bookmarkEnd w:id="75"/>
      <w:bookmarkEnd w:id="76"/>
      <w:bookmarkEnd w:id="77"/>
    </w:p>
    <w:p>
      <w:pPr>
        <w:keepNext w:val="0"/>
        <w:keepLines w:val="0"/>
        <w:pageBreakBefore w:val="0"/>
        <w:widowControl w:val="0"/>
        <w:tabs>
          <w:tab w:val="left" w:pos="1134"/>
        </w:tabs>
        <w:kinsoku/>
        <w:wordWrap/>
        <w:overflowPunct/>
        <w:topLinePunct w:val="0"/>
        <w:autoSpaceDE w:val="0"/>
        <w:autoSpaceDN w:val="0"/>
        <w:bidi w:val="0"/>
        <w:adjustRightInd w:val="0"/>
        <w:snapToGrid/>
        <w:spacing w:line="360" w:lineRule="auto"/>
        <w:ind w:firstLine="525" w:firstLine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本次采购无需提交磋商保证金</w:t>
      </w:r>
      <w:r>
        <w:rPr>
          <w:rFonts w:hint="eastAsia" w:ascii="宋体" w:hAnsi="宋体" w:eastAsia="宋体" w:cs="宋体"/>
          <w:color w:val="auto"/>
          <w:sz w:val="21"/>
          <w:szCs w:val="21"/>
          <w:highlight w:val="none"/>
        </w:rPr>
        <w:t>。</w:t>
      </w:r>
      <w:bookmarkStart w:id="78" w:name="_Toc450662865"/>
      <w:bookmarkStart w:id="79" w:name="_Toc521918083"/>
    </w:p>
    <w:p>
      <w:pPr>
        <w:pStyle w:val="107"/>
        <w:jc w:val="both"/>
        <w:rPr>
          <w:rFonts w:hint="eastAsia" w:ascii="宋体" w:hAnsi="宋体" w:eastAsia="宋体" w:cs="宋体"/>
          <w:color w:val="auto"/>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80" w:name="_Toc18442"/>
      <w:bookmarkStart w:id="81" w:name="_Toc30329"/>
      <w:r>
        <w:rPr>
          <w:rFonts w:hint="eastAsia" w:ascii="宋体" w:hAnsi="宋体" w:eastAsia="宋体" w:cs="宋体"/>
          <w:color w:val="auto"/>
          <w:kern w:val="2"/>
          <w:sz w:val="21"/>
          <w:szCs w:val="21"/>
          <w:highlight w:val="none"/>
          <w:lang w:val="zh-CN"/>
        </w:rPr>
        <w:t>16</w:t>
      </w:r>
      <w:r>
        <w:rPr>
          <w:rFonts w:hint="eastAsia" w:ascii="宋体" w:hAnsi="宋体" w:eastAsia="宋体" w:cs="宋体"/>
          <w:color w:val="auto"/>
          <w:kern w:val="2"/>
          <w:sz w:val="21"/>
          <w:szCs w:val="21"/>
          <w:highlight w:val="none"/>
          <w:lang w:val="en-US" w:eastAsia="zh-CN"/>
        </w:rPr>
        <w:t xml:space="preserve">   响应</w:t>
      </w:r>
      <w:r>
        <w:rPr>
          <w:rFonts w:hint="eastAsia" w:ascii="宋体" w:hAnsi="宋体" w:eastAsia="宋体" w:cs="宋体"/>
          <w:color w:val="auto"/>
          <w:kern w:val="2"/>
          <w:sz w:val="21"/>
          <w:szCs w:val="21"/>
          <w:highlight w:val="none"/>
          <w:lang w:val="zh-CN"/>
        </w:rPr>
        <w:t>有效期</w:t>
      </w:r>
      <w:bookmarkEnd w:id="78"/>
      <w:bookmarkEnd w:id="79"/>
      <w:bookmarkEnd w:id="80"/>
      <w:bookmarkEnd w:id="81"/>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16.1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响应文件将在递交响应文件截止时间届满后次日起90日内有效。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有效期比规定时间短的可以视为无效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lang w:val="zh-CN"/>
        </w:rPr>
        <w:t>。</w:t>
      </w:r>
    </w:p>
    <w:p>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成交人的响应文件作为合同附件，合同失效时同时失效。</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在特殊情况下，采购代理机构可于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有效期满之前要求供应商同意延长</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有效期。要求与答复均应为书面形式往来。供应商可以拒绝上述要求。对于同意该要求的供应商，不允许其修改响应文件。</w:t>
      </w:r>
    </w:p>
    <w:p>
      <w:pPr>
        <w:spacing w:line="360" w:lineRule="auto"/>
        <w:ind w:left="567" w:hanging="567"/>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82" w:name="_Toc521918084"/>
      <w:bookmarkStart w:id="83" w:name="_Toc743"/>
      <w:bookmarkStart w:id="84" w:name="_Toc450662866"/>
      <w:bookmarkStart w:id="85" w:name="_Toc31944"/>
      <w:r>
        <w:rPr>
          <w:rFonts w:hint="eastAsia" w:ascii="宋体" w:hAnsi="宋体" w:eastAsia="宋体" w:cs="宋体"/>
          <w:color w:val="auto"/>
          <w:kern w:val="2"/>
          <w:sz w:val="21"/>
          <w:szCs w:val="21"/>
          <w:highlight w:val="none"/>
          <w:lang w:val="zh-CN"/>
        </w:rPr>
        <w:t>17</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响应文件的式样和签署</w:t>
      </w:r>
      <w:bookmarkEnd w:id="82"/>
      <w:bookmarkEnd w:id="83"/>
      <w:bookmarkEnd w:id="84"/>
      <w:bookmarkEnd w:id="85"/>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供应商应准备一份响应文件电子文件、一份正本和</w:t>
      </w:r>
      <w:r>
        <w:rPr>
          <w:rFonts w:hint="eastAsia" w:ascii="宋体" w:hAnsi="宋体" w:eastAsia="宋体" w:cs="宋体"/>
          <w:b/>
          <w:color w:val="auto"/>
          <w:kern w:val="2"/>
          <w:sz w:val="21"/>
          <w:szCs w:val="21"/>
          <w:highlight w:val="none"/>
          <w:u w:val="single"/>
          <w:lang w:val="en-US" w:eastAsia="zh-CN"/>
        </w:rPr>
        <w:t>四</w:t>
      </w:r>
      <w:r>
        <w:rPr>
          <w:rFonts w:hint="eastAsia" w:ascii="宋体" w:hAnsi="宋体" w:eastAsia="宋体" w:cs="宋体"/>
          <w:b/>
          <w:color w:val="auto"/>
          <w:kern w:val="2"/>
          <w:sz w:val="21"/>
          <w:szCs w:val="21"/>
          <w:highlight w:val="none"/>
          <w:u w:val="single"/>
          <w:lang w:val="zh-CN"/>
        </w:rPr>
        <w:t>份副本“响应文件”</w:t>
      </w:r>
      <w:r>
        <w:rPr>
          <w:rFonts w:hint="eastAsia" w:ascii="宋体" w:hAnsi="宋体" w:eastAsia="宋体" w:cs="宋体"/>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响应文件正本和副本须打印或用不褪色墨水书写，竞争性磋商文件提供的格式文件或响应文件中</w:t>
      </w:r>
      <w:r>
        <w:rPr>
          <w:rFonts w:hint="eastAsia" w:ascii="宋体" w:hAnsi="宋体" w:eastAsia="宋体" w:cs="宋体"/>
          <w:color w:val="auto"/>
          <w:kern w:val="2"/>
          <w:sz w:val="21"/>
          <w:szCs w:val="21"/>
          <w:highlight w:val="none"/>
          <w:lang w:val="zh-CN"/>
        </w:rPr>
        <w:t>明确要求盖法人公章或签署的，应相应加法人公章或签署。其中签署应</w:t>
      </w:r>
      <w:r>
        <w:rPr>
          <w:rFonts w:hint="eastAsia" w:ascii="宋体" w:hAnsi="宋体" w:eastAsia="宋体" w:cs="宋体"/>
          <w:color w:val="auto"/>
          <w:kern w:val="2"/>
          <w:sz w:val="21"/>
          <w:szCs w:val="21"/>
          <w:highlight w:val="none"/>
          <w:lang w:val="en-US" w:eastAsia="zh-CN"/>
        </w:rPr>
        <w:t>由</w:t>
      </w:r>
      <w:r>
        <w:rPr>
          <w:rFonts w:hint="eastAsia" w:ascii="宋体" w:hAnsi="宋体" w:eastAsia="宋体" w:cs="宋体"/>
          <w:color w:val="auto"/>
          <w:kern w:val="2"/>
          <w:sz w:val="21"/>
          <w:szCs w:val="21"/>
          <w:highlight w:val="none"/>
          <w:lang w:val="zh-CN"/>
        </w:rPr>
        <w:t>供应商法定代表人或其授权代表签字（或盖私章），后者须将“法定代表人授权书”以书面形式附在响应文件中。副本文件可由正本文件复印而成。</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除供应商对错处作必要修改外，响应文件中不许有加行、涂抹或改写。</w:t>
      </w:r>
      <w:r>
        <w:rPr>
          <w:rFonts w:hint="eastAsia" w:ascii="宋体" w:hAnsi="宋体" w:eastAsia="宋体" w:cs="宋体"/>
          <w:bCs/>
          <w:color w:val="auto"/>
          <w:kern w:val="2"/>
          <w:sz w:val="21"/>
          <w:szCs w:val="21"/>
          <w:highlight w:val="none"/>
          <w:lang w:val="zh-CN"/>
        </w:rPr>
        <w:t>若有修改须由签署响应文件的人进行签字（或盖私章），并加盖供应商法人公章。</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17.4 响应文件的封面应注明“项目名称、采购编号、供应商名称、</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日期等”。</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电子文件：电子文件不可设置密码，用DVD或CD-R光盘</w:t>
      </w:r>
      <w:r>
        <w:rPr>
          <w:rFonts w:hint="eastAsia" w:ascii="宋体" w:hAnsi="宋体" w:eastAsia="宋体" w:cs="宋体"/>
          <w:b/>
          <w:bCs/>
          <w:color w:val="auto"/>
          <w:kern w:val="2"/>
          <w:sz w:val="21"/>
          <w:szCs w:val="21"/>
          <w:highlight w:val="none"/>
          <w:u w:val="single"/>
          <w:lang w:val="en-US" w:eastAsia="zh-CN"/>
        </w:rPr>
        <w:t>或U盘</w:t>
      </w:r>
      <w:r>
        <w:rPr>
          <w:rFonts w:hint="eastAsia" w:ascii="宋体" w:hAnsi="宋体" w:eastAsia="宋体" w:cs="宋体"/>
          <w:b/>
          <w:bCs/>
          <w:color w:val="auto"/>
          <w:kern w:val="2"/>
          <w:sz w:val="21"/>
          <w:szCs w:val="21"/>
          <w:highlight w:val="none"/>
          <w:u w:val="single"/>
          <w:lang w:val="zh-CN"/>
        </w:rPr>
        <w:t>储存 ，并</w:t>
      </w:r>
      <w:r>
        <w:rPr>
          <w:rFonts w:hint="eastAsia" w:ascii="宋体" w:hAnsi="宋体" w:eastAsia="宋体" w:cs="宋体"/>
          <w:b/>
          <w:bCs/>
          <w:color w:val="auto"/>
          <w:kern w:val="2"/>
          <w:sz w:val="21"/>
          <w:szCs w:val="21"/>
          <w:highlight w:val="none"/>
          <w:u w:val="single"/>
          <w:lang w:val="en-US" w:eastAsia="zh-CN"/>
        </w:rPr>
        <w:t>独立</w:t>
      </w:r>
      <w:r>
        <w:rPr>
          <w:rFonts w:hint="eastAsia" w:ascii="宋体" w:hAnsi="宋体" w:eastAsia="宋体" w:cs="宋体"/>
          <w:b/>
          <w:bCs/>
          <w:color w:val="auto"/>
          <w:kern w:val="2"/>
          <w:sz w:val="21"/>
          <w:szCs w:val="21"/>
          <w:highlight w:val="none"/>
          <w:u w:val="single"/>
          <w:lang w:val="zh-CN"/>
        </w:rPr>
        <w:t>密封（电子文件的包装封面需注明项目名称、采购编号、供应商单位名称，并加盖供应商法人公章）</w:t>
      </w:r>
      <w:r>
        <w:rPr>
          <w:rFonts w:hint="eastAsia" w:ascii="宋体" w:hAnsi="宋体" w:eastAsia="宋体" w:cs="宋体"/>
          <w:color w:val="auto"/>
          <w:kern w:val="2"/>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电报、电传、传真的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bookmarkStart w:id="86" w:name="_Toc450662867"/>
    </w:p>
    <w:p>
      <w:pPr>
        <w:spacing w:line="360" w:lineRule="auto"/>
        <w:ind w:left="567" w:hanging="567"/>
        <w:jc w:val="both"/>
        <w:rPr>
          <w:rFonts w:hint="eastAsia" w:ascii="宋体" w:hAnsi="宋体" w:eastAsia="宋体" w:cs="宋体"/>
          <w:color w:val="auto"/>
          <w:kern w:val="2"/>
          <w:sz w:val="21"/>
          <w:szCs w:val="21"/>
          <w:highlight w:val="none"/>
          <w:lang w:val="zh-CN"/>
        </w:rPr>
      </w:pPr>
    </w:p>
    <w:p>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87" w:name="_Toc521918085"/>
      <w:bookmarkStart w:id="88" w:name="_Toc18054"/>
      <w:bookmarkStart w:id="89" w:name="_Toc23780"/>
      <w:r>
        <w:rPr>
          <w:rFonts w:hint="eastAsia" w:ascii="宋体" w:hAnsi="宋体" w:eastAsia="宋体" w:cs="宋体"/>
          <w:b/>
          <w:bCs/>
          <w:color w:val="auto"/>
          <w:kern w:val="44"/>
          <w:sz w:val="21"/>
          <w:szCs w:val="21"/>
          <w:highlight w:val="none"/>
          <w:lang w:val="zh-CN"/>
        </w:rPr>
        <w:t>四、响应文件的递交</w:t>
      </w:r>
      <w:bookmarkEnd w:id="86"/>
      <w:bookmarkEnd w:id="87"/>
      <w:bookmarkEnd w:id="88"/>
      <w:bookmarkEnd w:id="89"/>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90" w:name="_Toc1076"/>
      <w:bookmarkStart w:id="91" w:name="_Toc521918086"/>
      <w:bookmarkStart w:id="92" w:name="_Toc450662868"/>
      <w:bookmarkStart w:id="93" w:name="_Toc14948"/>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响应文件的密封和标记</w:t>
      </w:r>
      <w:bookmarkEnd w:id="90"/>
      <w:bookmarkEnd w:id="91"/>
      <w:bookmarkEnd w:id="92"/>
      <w:bookmarkEnd w:id="93"/>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供应商应将所有正本和副本响应文件（本处不含响应文件电子文件）一起密封在一个不透明的外层封装中。</w:t>
      </w:r>
    </w:p>
    <w:p>
      <w:pPr>
        <w:keepNext w:val="0"/>
        <w:keepLines w:val="0"/>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响应文件密封封装标记：</w:t>
      </w:r>
    </w:p>
    <w:p>
      <w:pPr>
        <w:keepNext w:val="0"/>
        <w:keepLines w:val="0"/>
        <w:pageBreakBefore w:val="0"/>
        <w:widowControl w:val="0"/>
        <w:kinsoku/>
        <w:wordWrap/>
        <w:overflowPunct/>
        <w:topLinePunct w:val="0"/>
        <w:autoSpaceDE w:val="0"/>
        <w:autoSpaceDN w:val="0"/>
        <w:bidi w:val="0"/>
        <w:adjustRightInd w:val="0"/>
        <w:snapToGrid/>
        <w:spacing w:line="360" w:lineRule="auto"/>
        <w:ind w:left="563" w:right="141"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（1）响应文件必须密封包装；</w:t>
      </w:r>
    </w:p>
    <w:p>
      <w:pPr>
        <w:keepNext w:val="0"/>
        <w:keepLines w:val="0"/>
        <w:pageBreakBefore w:val="0"/>
        <w:widowControl w:val="0"/>
        <w:kinsoku/>
        <w:wordWrap/>
        <w:overflowPunct/>
        <w:topLinePunct w:val="0"/>
        <w:autoSpaceDE w:val="0"/>
        <w:autoSpaceDN w:val="0"/>
        <w:bidi w:val="0"/>
        <w:adjustRightInd w:val="0"/>
        <w:snapToGrid/>
        <w:spacing w:line="360" w:lineRule="auto"/>
        <w:ind w:left="563" w:right="141"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外层密封封装表面应正确标明供应商名称、地址、项目名称、采购编号、响应文件名称、并注明响应文件递交截止时间之前不得开封（在封口位置的封条上标注注明），封口位置的封条上须加盖供应商法人公章；</w:t>
      </w:r>
    </w:p>
    <w:p>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（3）响应文件已密封但不按前述标志封包，由此而引起的提前开封或错放责任由供应商承担。</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lang w:val="zh-CN"/>
        </w:rPr>
        <w:t>如果密封封装未按本款规定密封和标记，采购代理机构对响应文件的误投或提前拆封不负责任。对由此造成提前开封的响应文件，采购代理机构予以拒绝，并退回供应商。</w:t>
      </w:r>
    </w:p>
    <w:p>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开启响应文件</w:t>
      </w:r>
      <w:r>
        <w:rPr>
          <w:rFonts w:hint="eastAsia" w:ascii="宋体" w:hAnsi="宋体" w:eastAsia="宋体" w:cs="宋体"/>
          <w:color w:val="auto"/>
          <w:kern w:val="2"/>
          <w:sz w:val="21"/>
          <w:szCs w:val="21"/>
          <w:highlight w:val="none"/>
          <w:lang w:val="zh-CN"/>
        </w:rPr>
        <w:t>前，由供应商代表（第一位递交响应文件的供应商代表及主动自愿参与检查的供应商代表）和采购人代表将对所有的响应文件的密封性进行检查，并签署进行确认。</w:t>
      </w:r>
    </w:p>
    <w:p>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94" w:name="_Toc16894"/>
      <w:bookmarkStart w:id="95" w:name="_Toc521918087"/>
      <w:bookmarkStart w:id="96" w:name="_Toc450662869"/>
      <w:bookmarkStart w:id="97" w:name="_Toc25494"/>
      <w:r>
        <w:rPr>
          <w:rFonts w:hint="eastAsia" w:ascii="宋体" w:hAnsi="宋体" w:eastAsia="宋体" w:cs="宋体"/>
          <w:color w:val="auto"/>
          <w:kern w:val="2"/>
          <w:sz w:val="21"/>
          <w:szCs w:val="21"/>
          <w:highlight w:val="none"/>
          <w:lang w:val="zh-CN"/>
        </w:rPr>
        <w:t>19</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递交响应文件的截止日期</w:t>
      </w:r>
      <w:bookmarkEnd w:id="94"/>
      <w:bookmarkEnd w:id="95"/>
      <w:bookmarkEnd w:id="96"/>
      <w:bookmarkEnd w:id="97"/>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采购代理机构收到响应文件的时间不得迟于第一篇“竞争性磋商</w:t>
      </w:r>
      <w:r>
        <w:rPr>
          <w:rFonts w:hint="eastAsia" w:ascii="宋体" w:hAnsi="宋体" w:eastAsia="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zh-CN"/>
        </w:rPr>
        <w:t>”中规定的截止时间。</w:t>
      </w:r>
    </w:p>
    <w:p>
      <w:pPr>
        <w:keepNext w:val="0"/>
        <w:keepLines w:val="0"/>
        <w:pageBreakBefore w:val="0"/>
        <w:widowControl w:val="0"/>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采购代理机构可按照第7条的规定修改竞争性磋商文件并酌情延长递交响应文件的截止时间，因此，已规定的采购代理机构和供应商的一切权利和义务将按延期后的递交响应文件截止时间履行。</w:t>
      </w:r>
    </w:p>
    <w:p>
      <w:pPr>
        <w:spacing w:line="360" w:lineRule="auto"/>
        <w:ind w:left="567" w:hanging="567"/>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highlight w:val="none"/>
        </w:rPr>
      </w:pPr>
      <w:bookmarkStart w:id="98" w:name="_Toc521918088"/>
      <w:bookmarkStart w:id="99" w:name="_Toc450662870"/>
      <w:bookmarkStart w:id="100" w:name="_Toc13012"/>
      <w:bookmarkStart w:id="101" w:name="_Toc12638"/>
      <w:r>
        <w:rPr>
          <w:rFonts w:hint="eastAsia" w:ascii="宋体" w:hAnsi="宋体" w:eastAsia="宋体" w:cs="宋体"/>
          <w:color w:val="auto"/>
          <w:kern w:val="2"/>
          <w:sz w:val="21"/>
          <w:szCs w:val="21"/>
          <w:highlight w:val="none"/>
          <w:lang w:val="zh-CN"/>
        </w:rPr>
        <w:t>20</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迟交的</w:t>
      </w:r>
      <w:bookmarkEnd w:id="98"/>
      <w:bookmarkEnd w:id="99"/>
      <w:r>
        <w:rPr>
          <w:rFonts w:hint="eastAsia" w:ascii="宋体" w:hAnsi="宋体" w:eastAsia="宋体" w:cs="宋体"/>
          <w:color w:val="auto"/>
          <w:kern w:val="2"/>
          <w:sz w:val="21"/>
          <w:szCs w:val="21"/>
          <w:highlight w:val="none"/>
          <w:lang w:val="zh-CN"/>
        </w:rPr>
        <w:t>响应文件</w:t>
      </w:r>
      <w:bookmarkEnd w:id="100"/>
      <w:bookmarkEnd w:id="101"/>
    </w:p>
    <w:p>
      <w:pPr>
        <w:spacing w:line="360" w:lineRule="auto"/>
        <w:ind w:firstLine="525" w:firstLine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根据第19条规定，采购代理机构将拒绝任何晚于递交响应文件的截止时间交到的响应文件。</w:t>
      </w:r>
    </w:p>
    <w:p>
      <w:pPr>
        <w:spacing w:line="360" w:lineRule="auto"/>
        <w:ind w:firstLine="525" w:firstLineChars="250"/>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02" w:name="_Toc521918089"/>
      <w:bookmarkStart w:id="103" w:name="_Toc30118"/>
      <w:bookmarkStart w:id="104" w:name="_Toc450662871"/>
      <w:bookmarkStart w:id="105" w:name="_Toc159"/>
      <w:r>
        <w:rPr>
          <w:rFonts w:hint="eastAsia" w:ascii="宋体" w:hAnsi="宋体" w:eastAsia="宋体" w:cs="宋体"/>
          <w:color w:val="auto"/>
          <w:kern w:val="2"/>
          <w:sz w:val="21"/>
          <w:szCs w:val="21"/>
          <w:highlight w:val="none"/>
          <w:lang w:val="zh-CN"/>
        </w:rPr>
        <w:t>21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响应文件的修改和撤回</w:t>
      </w:r>
      <w:bookmarkEnd w:id="102"/>
      <w:bookmarkEnd w:id="103"/>
      <w:bookmarkEnd w:id="104"/>
      <w:bookmarkEnd w:id="105"/>
    </w:p>
    <w:p>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供应商在提交响应文件后可对其响应文件进行修改或撤回，但采购代理机构须在提交响应文件截止日期前收到该修改或撤回的书面通知。</w:t>
      </w:r>
    </w:p>
    <w:p>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供应商对响应文件的修改或撤回的通知应按第17条和第18条规定进行准备、密封、标注和递送。</w:t>
      </w:r>
    </w:p>
    <w:p>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递交响应文件截止时间后不得修改响应文件。</w:t>
      </w:r>
    </w:p>
    <w:p>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供应商不得在递交响应文件截止时间起至第16条规定的响应文件有效期期满前撤销响应文件</w:t>
      </w:r>
      <w:r>
        <w:rPr>
          <w:rFonts w:hint="eastAsia" w:ascii="宋体" w:hAnsi="宋体" w:eastAsia="宋体" w:cs="宋体"/>
          <w:color w:val="auto"/>
          <w:sz w:val="21"/>
          <w:szCs w:val="21"/>
          <w:highlight w:val="none"/>
        </w:rPr>
        <w:t>。</w:t>
      </w:r>
    </w:p>
    <w:p>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p>
    <w:p>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en-US" w:eastAsia="zh-CN"/>
        </w:rPr>
      </w:pPr>
      <w:bookmarkStart w:id="106" w:name="_Toc450662872"/>
      <w:bookmarkStart w:id="107" w:name="_Toc521918090"/>
      <w:bookmarkStart w:id="108" w:name="_Toc29030"/>
      <w:bookmarkStart w:id="109" w:name="_Toc27395"/>
      <w:r>
        <w:rPr>
          <w:rFonts w:hint="eastAsia" w:ascii="宋体" w:hAnsi="宋体" w:eastAsia="宋体" w:cs="宋体"/>
          <w:b/>
          <w:bCs/>
          <w:color w:val="auto"/>
          <w:kern w:val="44"/>
          <w:sz w:val="21"/>
          <w:szCs w:val="21"/>
          <w:highlight w:val="none"/>
          <w:lang w:val="zh-CN"/>
        </w:rPr>
        <w:t>五、</w:t>
      </w:r>
      <w:bookmarkEnd w:id="106"/>
      <w:bookmarkEnd w:id="107"/>
      <w:r>
        <w:rPr>
          <w:rFonts w:hint="eastAsia" w:ascii="宋体" w:hAnsi="宋体" w:eastAsia="宋体" w:cs="宋体"/>
          <w:b/>
          <w:bCs/>
          <w:color w:val="auto"/>
          <w:kern w:val="44"/>
          <w:sz w:val="21"/>
          <w:szCs w:val="21"/>
          <w:highlight w:val="none"/>
          <w:lang w:val="en-US" w:eastAsia="zh-CN"/>
        </w:rPr>
        <w:t>竞争性磋商流程</w:t>
      </w:r>
      <w:bookmarkEnd w:id="108"/>
      <w:bookmarkEnd w:id="109"/>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en-US" w:eastAsia="zh-CN"/>
        </w:rPr>
      </w:pPr>
      <w:bookmarkStart w:id="110" w:name="_Toc25843"/>
      <w:bookmarkStart w:id="111" w:name="_Toc23948"/>
      <w:bookmarkStart w:id="112" w:name="_Toc11614"/>
      <w:bookmarkStart w:id="113" w:name="_Toc17049"/>
      <w:r>
        <w:rPr>
          <w:rFonts w:hint="eastAsia" w:ascii="宋体" w:hAnsi="宋体" w:eastAsia="宋体" w:cs="宋体"/>
          <w:color w:val="auto"/>
          <w:kern w:val="2"/>
          <w:sz w:val="21"/>
          <w:szCs w:val="21"/>
          <w:highlight w:val="none"/>
          <w:lang w:val="zh-CN"/>
        </w:rPr>
        <w:t>22</w:t>
      </w:r>
      <w:r>
        <w:rPr>
          <w:rFonts w:hint="eastAsia" w:ascii="宋体" w:hAnsi="宋体" w:eastAsia="宋体" w:cs="宋体"/>
          <w:color w:val="auto"/>
          <w:kern w:val="2"/>
          <w:sz w:val="21"/>
          <w:szCs w:val="21"/>
          <w:highlight w:val="none"/>
          <w:lang w:val="en-US" w:eastAsia="zh-CN"/>
        </w:rPr>
        <w:t xml:space="preserve">   开启响应文件</w:t>
      </w:r>
      <w:bookmarkEnd w:id="110"/>
      <w:bookmarkEnd w:id="111"/>
    </w:p>
    <w:p>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采购代理机构在供应商代表自愿出席的情况下，在第一篇“竞争性磋商公告”规定的地点和时间，出席代表需登记以示出席</w:t>
      </w:r>
      <w:r>
        <w:rPr>
          <w:rFonts w:hint="eastAsia" w:ascii="宋体" w:hAnsi="宋体" w:eastAsia="宋体" w:cs="宋体"/>
          <w:color w:val="auto"/>
          <w:kern w:val="2"/>
          <w:sz w:val="21"/>
          <w:szCs w:val="21"/>
          <w:highlight w:val="none"/>
          <w:lang w:val="zh-CN"/>
        </w:rPr>
        <w:t>。</w:t>
      </w:r>
    </w:p>
    <w:p>
      <w:pPr>
        <w:tabs>
          <w:tab w:val="left" w:pos="567"/>
        </w:tabs>
        <w:spacing w:line="360" w:lineRule="auto"/>
        <w:ind w:left="567" w:hanging="567"/>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按照第21条规定，提交了可接受的“撤回”通知的响应文件将不予开封。</w:t>
      </w:r>
    </w:p>
    <w:p>
      <w:pPr>
        <w:tabs>
          <w:tab w:val="left" w:pos="567"/>
        </w:tabs>
        <w:spacing w:line="360" w:lineRule="auto"/>
        <w:ind w:left="567" w:hanging="567"/>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22.3 开封时，采购代理机构将当众宣读供应商名称、磋商顺序及流程、采购代理机构认为合适的其他内容。若采购代理机构宣读的结果与响应文件不符时，供应商有权在开封现场提出异议，经当场核查确认之后，可重新宣读其响应文件相关内容。若供应商现场未提出异议，则视为供应商确认宣读的结果。</w:t>
      </w:r>
    </w:p>
    <w:p>
      <w:pPr>
        <w:tabs>
          <w:tab w:val="left" w:pos="567"/>
        </w:tabs>
        <w:autoSpaceDE/>
        <w:autoSpaceDN/>
        <w:adjustRightInd/>
        <w:spacing w:line="360" w:lineRule="auto"/>
        <w:ind w:left="567" w:leftChars="0" w:right="0" w:rightChars="0" w:hanging="567"/>
        <w:jc w:val="both"/>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22.4</w:t>
      </w:r>
      <w:r>
        <w:rPr>
          <w:rFonts w:hint="eastAsia" w:ascii="宋体" w:hAnsi="宋体" w:eastAsia="宋体" w:cs="宋体"/>
          <w:color w:val="auto"/>
          <w:kern w:val="2"/>
          <w:sz w:val="21"/>
          <w:szCs w:val="21"/>
          <w:highlight w:val="none"/>
          <w:lang w:val="en-US"/>
        </w:rPr>
        <w:tab/>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en-US"/>
        </w:rPr>
        <w:t>文件的</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en-US"/>
        </w:rPr>
        <w:t>报价大写金额和小写金额不一致的，以大写金额为准。对不同文字文本</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en-US"/>
        </w:rPr>
        <w:t>文件的解释发生异议的，以中文文本为准。</w:t>
      </w:r>
    </w:p>
    <w:p>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14" w:name="_Toc11996"/>
      <w:bookmarkStart w:id="115" w:name="_Toc1601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开封的情况</w:t>
      </w:r>
      <w:r>
        <w:rPr>
          <w:rFonts w:hint="eastAsia" w:ascii="宋体" w:hAnsi="宋体" w:eastAsia="宋体" w:cs="宋体"/>
          <w:color w:val="auto"/>
          <w:kern w:val="2"/>
          <w:sz w:val="21"/>
          <w:szCs w:val="21"/>
          <w:highlight w:val="none"/>
          <w:lang w:val="zh-CN"/>
        </w:rPr>
        <w:t>有异议的，应当在开</w:t>
      </w:r>
      <w:r>
        <w:rPr>
          <w:rFonts w:hint="eastAsia" w:ascii="宋体" w:hAnsi="宋体" w:eastAsia="宋体" w:cs="宋体"/>
          <w:color w:val="auto"/>
          <w:kern w:val="2"/>
          <w:sz w:val="21"/>
          <w:szCs w:val="21"/>
          <w:highlight w:val="none"/>
          <w:lang w:val="en-US" w:eastAsia="zh-CN"/>
        </w:rPr>
        <w:t>封</w:t>
      </w:r>
      <w:r>
        <w:rPr>
          <w:rFonts w:hint="eastAsia" w:ascii="宋体" w:hAnsi="宋体" w:eastAsia="宋体" w:cs="宋体"/>
          <w:color w:val="auto"/>
          <w:kern w:val="2"/>
          <w:sz w:val="21"/>
          <w:szCs w:val="21"/>
          <w:highlight w:val="none"/>
          <w:lang w:val="zh-CN"/>
        </w:rPr>
        <w:t>现场提出，</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应当当场作出答复，并制作记录。</w:t>
      </w:r>
      <w:bookmarkEnd w:id="114"/>
      <w:bookmarkEnd w:id="115"/>
    </w:p>
    <w:p>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16" w:name="_Toc20173"/>
      <w:bookmarkStart w:id="117" w:name="_Toc2634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采购代理机构将做开封记录，开封记录包括第22.5款发生的异议及答复、按第22.3款的规定在开封时宣读的全部内容</w:t>
      </w:r>
      <w:r>
        <w:rPr>
          <w:rFonts w:hint="eastAsia" w:ascii="宋体" w:hAnsi="宋体" w:eastAsia="宋体" w:cs="宋体"/>
          <w:color w:val="auto"/>
          <w:kern w:val="2"/>
          <w:sz w:val="21"/>
          <w:szCs w:val="21"/>
          <w:highlight w:val="none"/>
          <w:lang w:val="zh-CN"/>
        </w:rPr>
        <w:t>。</w:t>
      </w:r>
      <w:bookmarkEnd w:id="116"/>
      <w:bookmarkEnd w:id="117"/>
    </w:p>
    <w:p>
      <w:pPr>
        <w:tabs>
          <w:tab w:val="left" w:pos="567"/>
        </w:tabs>
        <w:spacing w:line="360" w:lineRule="auto"/>
        <w:ind w:left="567" w:hanging="567"/>
        <w:jc w:val="both"/>
        <w:outlineLvl w:val="9"/>
        <w:rPr>
          <w:rFonts w:hint="eastAsia" w:ascii="宋体" w:hAnsi="宋体" w:eastAsia="宋体" w:cs="宋体"/>
          <w:highlight w:val="none"/>
          <w:lang w:val="zh-CN"/>
        </w:rPr>
      </w:pPr>
    </w:p>
    <w:bookmarkEnd w:id="112"/>
    <w:bookmarkEnd w:id="113"/>
    <w:p>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18" w:name="_Toc450662874"/>
      <w:bookmarkStart w:id="119" w:name="_Toc31634"/>
      <w:bookmarkStart w:id="120" w:name="_Toc521918092"/>
      <w:bookmarkStart w:id="121" w:name="_Toc577"/>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过程的保密性</w:t>
      </w:r>
      <w:bookmarkEnd w:id="118"/>
      <w:bookmarkEnd w:id="119"/>
      <w:bookmarkEnd w:id="120"/>
      <w:bookmarkEnd w:id="121"/>
    </w:p>
    <w:p>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递交响应文件后，直至向成交人授予合同时止，凡与审查、澄清、评估和比较响应报价的有关资料以及意见等，均不得向供应商及与评审无关的其他人透露，否则追究有关当事人的法律责任。</w:t>
      </w:r>
    </w:p>
    <w:p>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在评审过程中，如果供应商试图在响应文件审查、澄清、比较及授予合同方面向采购代理机构和采购人施加任何影响，其响应文件将被拒绝。</w:t>
      </w:r>
    </w:p>
    <w:p>
      <w:pPr>
        <w:spacing w:line="360" w:lineRule="auto"/>
        <w:ind w:left="0" w:firstLine="0"/>
        <w:jc w:val="both"/>
        <w:rPr>
          <w:rFonts w:hint="eastAsia" w:ascii="宋体" w:hAnsi="宋体" w:eastAsia="宋体" w:cs="宋体"/>
          <w:color w:val="auto"/>
          <w:kern w:val="2"/>
          <w:sz w:val="21"/>
          <w:szCs w:val="21"/>
          <w:highlight w:val="none"/>
          <w:lang w:val="zh-CN"/>
        </w:rPr>
      </w:pPr>
    </w:p>
    <w:p>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en-US" w:eastAsia="zh-CN"/>
        </w:rPr>
      </w:pPr>
      <w:bookmarkStart w:id="122" w:name="_Toc13008"/>
      <w:bookmarkStart w:id="123" w:name="_Toc109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   磋商小组</w:t>
      </w:r>
      <w:bookmarkEnd w:id="122"/>
      <w:bookmarkEnd w:id="123"/>
    </w:p>
    <w:p>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本项目由采购代理机构组建磋商小组。</w:t>
      </w:r>
    </w:p>
    <w:p>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磋商小组依法根据竞争性磋商文件的规定，进行响应文件的评审，得出评审结果，并向采购人推荐成交候选人。</w:t>
      </w:r>
    </w:p>
    <w:p>
      <w:pPr>
        <w:spacing w:line="360" w:lineRule="auto"/>
        <w:jc w:val="both"/>
        <w:rPr>
          <w:rFonts w:hint="eastAsia" w:ascii="宋体" w:hAnsi="宋体" w:eastAsia="宋体" w:cs="宋体"/>
          <w:color w:val="auto"/>
          <w:kern w:val="2"/>
          <w:sz w:val="21"/>
          <w:szCs w:val="21"/>
          <w:highlight w:val="none"/>
          <w:lang w:val="zh-CN"/>
        </w:rPr>
      </w:pPr>
    </w:p>
    <w:p>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en-US" w:eastAsia="zh-CN"/>
        </w:rPr>
      </w:pPr>
      <w:bookmarkStart w:id="124" w:name="_Toc32302"/>
      <w:bookmarkStart w:id="125" w:name="_Toc28405"/>
      <w:bookmarkStart w:id="126" w:name="_Toc28048"/>
      <w:bookmarkStart w:id="127" w:name="_Toc2470"/>
      <w:bookmarkStart w:id="128" w:name="_Toc521918094"/>
      <w:bookmarkStart w:id="129" w:name="_Toc45066287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5   </w:t>
      </w:r>
      <w:r>
        <w:rPr>
          <w:rFonts w:hint="eastAsia" w:ascii="宋体" w:hAnsi="宋体" w:eastAsia="宋体" w:cs="宋体"/>
          <w:color w:val="auto"/>
          <w:kern w:val="2"/>
          <w:sz w:val="21"/>
          <w:szCs w:val="21"/>
          <w:highlight w:val="none"/>
          <w:lang w:val="zh-CN"/>
        </w:rPr>
        <w:t>响应文件的评审</w:t>
      </w:r>
      <w:bookmarkEnd w:id="124"/>
      <w:bookmarkEnd w:id="125"/>
      <w:bookmarkEnd w:id="126"/>
      <w:r>
        <w:rPr>
          <w:rFonts w:hint="eastAsia" w:ascii="宋体" w:hAnsi="宋体" w:eastAsia="宋体" w:cs="宋体"/>
          <w:color w:val="auto"/>
          <w:kern w:val="2"/>
          <w:sz w:val="21"/>
          <w:szCs w:val="21"/>
          <w:highlight w:val="none"/>
          <w:lang w:val="en-US" w:eastAsia="zh-CN"/>
        </w:rPr>
        <w:t>及</w:t>
      </w:r>
      <w:r>
        <w:rPr>
          <w:rFonts w:hint="eastAsia" w:ascii="宋体" w:hAnsi="宋体" w:eastAsia="宋体" w:cs="宋体"/>
          <w:color w:val="auto"/>
          <w:kern w:val="2"/>
          <w:sz w:val="21"/>
          <w:szCs w:val="21"/>
          <w:highlight w:val="none"/>
          <w:lang w:val="en-US" w:eastAsia="zh-CN"/>
        </w:rPr>
        <w:t>设计方案</w:t>
      </w:r>
      <w:r>
        <w:rPr>
          <w:rFonts w:hint="eastAsia" w:ascii="宋体" w:hAnsi="宋体" w:eastAsia="宋体" w:cs="宋体"/>
          <w:color w:val="auto"/>
          <w:kern w:val="2"/>
          <w:sz w:val="21"/>
          <w:szCs w:val="21"/>
          <w:highlight w:val="none"/>
          <w:lang w:val="en-US" w:eastAsia="zh-CN"/>
        </w:rPr>
        <w:t>讲解</w:t>
      </w:r>
      <w:bookmarkEnd w:id="127"/>
    </w:p>
    <w:p>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.1 磋商小组根据</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须知规定的方法和“评审工作大纲”中规定的审查标准，对所有已接收的响应文件进行评审。没有规定的方法和标准不得作为评审依据。</w:t>
      </w:r>
    </w:p>
    <w:p>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zh-CN" w:eastAsia="zh-CN"/>
        </w:rPr>
        <w:t>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lang w:val="zh-CN"/>
        </w:rPr>
        <w:t>现场</w:t>
      </w:r>
      <w:r>
        <w:rPr>
          <w:rFonts w:hint="eastAsia" w:ascii="宋体" w:hAnsi="宋体" w:eastAsia="宋体" w:cs="宋体"/>
          <w:color w:val="auto"/>
          <w:sz w:val="21"/>
          <w:szCs w:val="21"/>
          <w:highlight w:val="none"/>
          <w:lang w:val="en-US" w:eastAsia="zh-CN"/>
        </w:rPr>
        <w:t>设计方案</w:t>
      </w:r>
      <w:r>
        <w:rPr>
          <w:rFonts w:hint="eastAsia" w:ascii="宋体" w:hAnsi="宋体" w:eastAsia="宋体" w:cs="宋体"/>
          <w:color w:val="auto"/>
          <w:sz w:val="21"/>
          <w:szCs w:val="21"/>
          <w:highlight w:val="none"/>
          <w:lang w:val="zh-CN"/>
        </w:rPr>
        <w:t xml:space="preserve">讲解 </w:t>
      </w:r>
    </w:p>
    <w:p>
      <w:pPr>
        <w:pageBreakBefore w:val="0"/>
        <w:widowControl w:val="0"/>
        <w:kinsoku/>
        <w:wordWrap/>
        <w:overflowPunct/>
        <w:topLinePunct w:val="0"/>
        <w:autoSpaceDE/>
        <w:autoSpaceDN/>
        <w:bidi w:val="0"/>
        <w:adjustRightInd w:val="0"/>
        <w:snapToGrid/>
        <w:spacing w:line="360" w:lineRule="auto"/>
        <w:ind w:left="499" w:leftChars="208" w:right="0" w:firstLine="0" w:firstLineChars="0"/>
        <w:jc w:val="left"/>
        <w:textAlignment w:val="auto"/>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lang w:val="en-US" w:eastAsia="zh-CN"/>
        </w:rPr>
        <w:t>本项目在磋商过程中，供应商</w:t>
      </w:r>
      <w:r>
        <w:rPr>
          <w:rFonts w:hint="eastAsia" w:ascii="宋体" w:hAnsi="宋体" w:eastAsia="宋体" w:cs="宋体"/>
          <w:b/>
          <w:bCs/>
          <w:color w:val="auto"/>
          <w:sz w:val="21"/>
          <w:szCs w:val="21"/>
          <w:highlight w:val="none"/>
          <w:u w:val="single"/>
        </w:rPr>
        <w:t>需</w:t>
      </w:r>
      <w:r>
        <w:rPr>
          <w:rFonts w:hint="eastAsia" w:ascii="宋体" w:hAnsi="宋体" w:eastAsia="宋体" w:cs="宋体"/>
          <w:b/>
          <w:bCs/>
          <w:color w:val="auto"/>
          <w:sz w:val="21"/>
          <w:szCs w:val="21"/>
          <w:highlight w:val="none"/>
          <w:u w:val="single"/>
          <w:lang w:val="en-US" w:eastAsia="zh-CN"/>
        </w:rPr>
        <w:t>委</w:t>
      </w:r>
      <w:r>
        <w:rPr>
          <w:rFonts w:hint="eastAsia" w:ascii="宋体" w:hAnsi="宋体" w:eastAsia="宋体" w:cs="宋体"/>
          <w:b/>
          <w:bCs/>
          <w:color w:val="auto"/>
          <w:sz w:val="21"/>
          <w:szCs w:val="21"/>
          <w:highlight w:val="none"/>
          <w:u w:val="single"/>
        </w:rPr>
        <w:t>派不多于2位代表现场向</w:t>
      </w:r>
      <w:r>
        <w:rPr>
          <w:rFonts w:hint="eastAsia" w:ascii="宋体" w:hAnsi="宋体" w:eastAsia="宋体" w:cs="宋体"/>
          <w:b/>
          <w:bCs/>
          <w:color w:val="auto"/>
          <w:sz w:val="21"/>
          <w:szCs w:val="21"/>
          <w:highlight w:val="none"/>
          <w:u w:val="single"/>
          <w:lang w:val="en-US" w:eastAsia="zh-CN"/>
        </w:rPr>
        <w:t>磋商小组</w:t>
      </w:r>
      <w:r>
        <w:rPr>
          <w:rFonts w:hint="eastAsia" w:ascii="宋体" w:hAnsi="宋体" w:eastAsia="宋体" w:cs="宋体"/>
          <w:b/>
          <w:bCs/>
          <w:color w:val="auto"/>
          <w:sz w:val="21"/>
          <w:szCs w:val="21"/>
          <w:highlight w:val="none"/>
          <w:u w:val="single"/>
        </w:rPr>
        <w:t>介绍</w:t>
      </w:r>
      <w:r>
        <w:rPr>
          <w:rFonts w:hint="eastAsia" w:ascii="宋体" w:hAnsi="宋体" w:eastAsia="宋体" w:cs="宋体"/>
          <w:b/>
          <w:bCs/>
          <w:color w:val="auto"/>
          <w:sz w:val="21"/>
          <w:szCs w:val="21"/>
          <w:highlight w:val="none"/>
          <w:u w:val="single"/>
          <w:lang w:val="en-US" w:eastAsia="zh-CN"/>
        </w:rPr>
        <w:t>设计方案</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方案介绍时间不超过15分钟。</w:t>
      </w:r>
      <w:r>
        <w:rPr>
          <w:rFonts w:hint="eastAsia" w:ascii="宋体" w:hAnsi="宋体" w:eastAsia="宋体" w:cs="宋体"/>
          <w:b/>
          <w:bCs/>
          <w:color w:val="auto"/>
          <w:sz w:val="21"/>
          <w:szCs w:val="21"/>
          <w:highlight w:val="none"/>
          <w:u w:val="single"/>
        </w:rPr>
        <w:t>现场讲解文件内容</w:t>
      </w:r>
      <w:r>
        <w:rPr>
          <w:rFonts w:hint="eastAsia" w:ascii="宋体" w:hAnsi="宋体" w:eastAsia="宋体" w:cs="宋体"/>
          <w:b/>
          <w:bCs/>
          <w:color w:val="auto"/>
          <w:sz w:val="21"/>
          <w:szCs w:val="21"/>
          <w:highlight w:val="none"/>
          <w:u w:val="single"/>
          <w:lang w:val="en-US" w:eastAsia="zh-CN"/>
        </w:rPr>
        <w:t>为设计方案，包括但不限于总体架构、数据架构、信息管理、系统管理模块、界面设计、系统安全、小程序模块等</w:t>
      </w:r>
      <w:r>
        <w:rPr>
          <w:rFonts w:hint="eastAsia" w:ascii="宋体" w:hAnsi="宋体" w:eastAsia="宋体" w:cs="宋体"/>
          <w:b/>
          <w:bCs/>
          <w:color w:val="auto"/>
          <w:sz w:val="21"/>
          <w:szCs w:val="21"/>
          <w:highlight w:val="none"/>
          <w:u w:val="single"/>
          <w:lang w:eastAsia="zh-CN"/>
        </w:rPr>
        <w:t>。</w:t>
      </w:r>
    </w:p>
    <w:p>
      <w:pPr>
        <w:pageBreakBefore w:val="0"/>
        <w:widowControl w:val="0"/>
        <w:kinsoku/>
        <w:wordWrap/>
        <w:overflowPunct/>
        <w:topLinePunct w:val="0"/>
        <w:autoSpaceDE/>
        <w:autoSpaceDN/>
        <w:bidi w:val="0"/>
        <w:adjustRightInd w:val="0"/>
        <w:snapToGrid/>
        <w:spacing w:line="360" w:lineRule="auto"/>
        <w:ind w:left="499" w:leftChars="208"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lang w:val="en-US" w:eastAsia="zh-CN"/>
        </w:rPr>
        <w:t>供应商参加磋商时，应</w:t>
      </w:r>
      <w:r>
        <w:rPr>
          <w:rFonts w:hint="eastAsia" w:ascii="宋体" w:hAnsi="宋体" w:eastAsia="宋体" w:cs="宋体"/>
          <w:b/>
          <w:bCs/>
          <w:color w:val="auto"/>
          <w:sz w:val="21"/>
          <w:szCs w:val="21"/>
          <w:highlight w:val="none"/>
          <w:u w:val="single"/>
        </w:rPr>
        <w:t>自带笔记本电脑作为现场讲解的备用电脑，当</w:t>
      </w:r>
      <w:r>
        <w:rPr>
          <w:rFonts w:hint="eastAsia" w:ascii="宋体" w:hAnsi="宋体" w:eastAsia="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rPr>
        <w:t>现场提供的电脑难以正常播放</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rPr>
        <w:t>的讲解电子文件等情况时使用。</w:t>
      </w:r>
    </w:p>
    <w:p>
      <w:pPr>
        <w:spacing w:line="360" w:lineRule="auto"/>
        <w:ind w:left="525" w:hanging="525" w:hangingChars="250"/>
        <w:jc w:val="both"/>
        <w:rPr>
          <w:rFonts w:hint="eastAsia" w:ascii="宋体" w:hAnsi="宋体" w:eastAsia="宋体" w:cs="宋体"/>
          <w:color w:val="auto"/>
          <w:kern w:val="2"/>
          <w:sz w:val="21"/>
          <w:szCs w:val="21"/>
          <w:highlight w:val="none"/>
          <w:lang w:val="zh-CN"/>
        </w:rPr>
      </w:pPr>
    </w:p>
    <w:p>
      <w:pPr>
        <w:tabs>
          <w:tab w:val="left" w:pos="525"/>
        </w:tabs>
        <w:spacing w:line="360" w:lineRule="auto"/>
        <w:ind w:left="567" w:hanging="567" w:firstLineChars="0"/>
        <w:jc w:val="both"/>
        <w:outlineLvl w:val="2"/>
        <w:rPr>
          <w:rFonts w:hint="eastAsia" w:ascii="宋体" w:hAnsi="宋体" w:eastAsia="宋体" w:cs="宋体"/>
          <w:color w:val="auto"/>
          <w:kern w:val="2"/>
          <w:sz w:val="21"/>
          <w:szCs w:val="21"/>
          <w:highlight w:val="none"/>
          <w:lang w:val="zh-CN" w:eastAsia="zh-CN"/>
        </w:rPr>
      </w:pPr>
      <w:bookmarkStart w:id="130" w:name="_Toc23385"/>
      <w:bookmarkStart w:id="131" w:name="_Toc19605"/>
      <w:r>
        <w:rPr>
          <w:rFonts w:hint="eastAsia" w:ascii="宋体" w:hAnsi="宋体" w:eastAsia="宋体" w:cs="宋体"/>
          <w:color w:val="auto"/>
          <w:kern w:val="2"/>
          <w:sz w:val="21"/>
          <w:szCs w:val="21"/>
          <w:highlight w:val="none"/>
          <w:lang w:val="zh-CN" w:eastAsia="zh-CN"/>
        </w:rPr>
        <w:t>26   响应文件的澄清</w:t>
      </w:r>
      <w:bookmarkEnd w:id="130"/>
      <w:bookmarkEnd w:id="131"/>
    </w:p>
    <w:p>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 xml:space="preserve"> 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并不得超出响应文件的范围或者改变响应文件的实质性内容。</w:t>
      </w:r>
    </w:p>
    <w:p>
      <w:pPr>
        <w:autoSpaceDE/>
        <w:autoSpaceDN/>
        <w:adjustRightInd/>
        <w:spacing w:line="360" w:lineRule="auto"/>
        <w:ind w:left="525" w:leftChars="0" w:right="0" w:rightChars="0" w:hanging="525" w:hangingChars="25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zh-CN"/>
        </w:rPr>
        <w:t xml:space="preserve">26.2 </w:t>
      </w:r>
      <w:r>
        <w:rPr>
          <w:rFonts w:hint="eastAsia" w:ascii="宋体" w:hAnsi="宋体" w:eastAsia="宋体" w:cs="宋体"/>
          <w:color w:val="auto"/>
          <w:kern w:val="2"/>
          <w:sz w:val="21"/>
          <w:szCs w:val="21"/>
          <w:highlight w:val="none"/>
          <w:lang w:val="zh-CN" w:eastAsia="zh-CN"/>
        </w:rPr>
        <w:t>开</w:t>
      </w:r>
      <w:r>
        <w:rPr>
          <w:rFonts w:hint="eastAsia" w:ascii="宋体" w:hAnsi="宋体" w:eastAsia="宋体" w:cs="宋体"/>
          <w:color w:val="auto"/>
          <w:kern w:val="2"/>
          <w:sz w:val="21"/>
          <w:szCs w:val="21"/>
          <w:highlight w:val="none"/>
          <w:lang w:val="en-US" w:eastAsia="zh-CN"/>
        </w:rPr>
        <w:t>启</w:t>
      </w:r>
      <w:r>
        <w:rPr>
          <w:rFonts w:hint="eastAsia" w:ascii="宋体" w:hAnsi="宋体" w:eastAsia="宋体" w:cs="宋体"/>
          <w:color w:val="auto"/>
          <w:kern w:val="2"/>
          <w:sz w:val="21"/>
          <w:szCs w:val="21"/>
          <w:highlight w:val="none"/>
          <w:lang w:val="zh-CN" w:eastAsia="zh-CN"/>
        </w:rPr>
        <w:t>当天</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法定代表人或法定代表人授权书列明的被授权人的联系电话应保持开机状态，以便在</w:t>
      </w:r>
      <w:r>
        <w:rPr>
          <w:rFonts w:hint="eastAsia" w:ascii="宋体" w:hAnsi="宋体" w:eastAsia="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期间，</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要求</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文件进行澄清时能够收到有关通知，否则视为</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放弃澄清的权利，对</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就该项内容的评审意见无异议。</w:t>
      </w:r>
    </w:p>
    <w:p>
      <w:pPr>
        <w:spacing w:line="360" w:lineRule="auto"/>
        <w:ind w:left="525" w:hanging="525" w:hangingChars="250"/>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32" w:name="_Toc22065"/>
      <w:bookmarkStart w:id="133" w:name="_Toc10967"/>
      <w:bookmarkStart w:id="134" w:name="_Toc521918096"/>
      <w:bookmarkStart w:id="135" w:name="_Toc18368_WPSOffice_Level3"/>
      <w:bookmarkStart w:id="136" w:name="_Toc522047355"/>
      <w:bookmarkStart w:id="137" w:name="_Toc142508343"/>
      <w:bookmarkStart w:id="138" w:name="_Toc6970"/>
      <w:bookmarkStart w:id="139" w:name="_Toc8293"/>
      <w:bookmarkStart w:id="140" w:name="_Toc27283"/>
      <w:r>
        <w:rPr>
          <w:rFonts w:hint="eastAsia" w:ascii="宋体" w:hAnsi="宋体" w:eastAsia="宋体" w:cs="宋体"/>
          <w:color w:val="auto"/>
          <w:kern w:val="2"/>
          <w:sz w:val="21"/>
          <w:szCs w:val="21"/>
          <w:highlight w:val="none"/>
          <w:lang w:val="zh-CN"/>
        </w:rPr>
        <w:t xml:space="preserve">27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文件的比较和评价</w:t>
      </w:r>
      <w:bookmarkEnd w:id="132"/>
      <w:bookmarkEnd w:id="133"/>
      <w:bookmarkEnd w:id="134"/>
      <w:bookmarkEnd w:id="135"/>
      <w:bookmarkEnd w:id="136"/>
      <w:bookmarkEnd w:id="137"/>
      <w:bookmarkEnd w:id="138"/>
      <w:bookmarkEnd w:id="139"/>
      <w:bookmarkEnd w:id="140"/>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将对资格性检查和符合性检查合格的响应文件进行比较和评价，包括商务、技术和价格的详细评审。</w:t>
      </w:r>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文件商务的评审详见评标工作大纲。</w:t>
      </w:r>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27.3</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文件技术的评审详见评标工作大纲。</w:t>
      </w:r>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27.4</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价格的评审详见评标工作大纲。</w:t>
      </w:r>
    </w:p>
    <w:p>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27.5</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本次评标的评分权重详见评标工作大纲。</w:t>
      </w:r>
    </w:p>
    <w:p>
      <w:pPr>
        <w:autoSpaceDE/>
        <w:autoSpaceDN/>
        <w:adjustRightInd/>
        <w:spacing w:line="360" w:lineRule="auto"/>
        <w:ind w:left="525" w:hanging="525" w:hangingChars="250"/>
        <w:jc w:val="both"/>
        <w:outlineLvl w:val="9"/>
        <w:rPr>
          <w:rFonts w:hint="eastAsia" w:ascii="宋体" w:hAnsi="宋体" w:eastAsia="宋体" w:cs="宋体"/>
          <w:color w:val="auto"/>
          <w:highlight w:val="none"/>
          <w:lang w:val="zh-CN"/>
        </w:rPr>
      </w:pPr>
      <w:r>
        <w:rPr>
          <w:rFonts w:hint="eastAsia" w:ascii="宋体" w:hAnsi="宋体" w:eastAsia="宋体" w:cs="宋体"/>
          <w:color w:val="auto"/>
          <w:kern w:val="2"/>
          <w:sz w:val="21"/>
          <w:szCs w:val="21"/>
          <w:highlight w:val="none"/>
          <w:lang w:val="zh-CN"/>
        </w:rPr>
        <w:t>27.6</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根据上述商务、技术及价格综合评价的权重分配计算出各</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的综合得分。</w:t>
      </w:r>
    </w:p>
    <w:p>
      <w:pPr>
        <w:outlineLvl w:val="9"/>
        <w:rPr>
          <w:rFonts w:hint="eastAsia" w:ascii="宋体" w:hAnsi="宋体" w:eastAsia="宋体" w:cs="宋体"/>
          <w:color w:val="auto"/>
          <w:highlight w:val="none"/>
          <w:lang w:val="zh-CN"/>
        </w:rPr>
      </w:pPr>
    </w:p>
    <w:bookmarkEnd w:id="128"/>
    <w:bookmarkEnd w:id="129"/>
    <w:p>
      <w:pPr>
        <w:pageBreakBefore w:val="0"/>
        <w:widowControl w:val="0"/>
        <w:tabs>
          <w:tab w:val="left" w:pos="525"/>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41" w:name="_Toc11407"/>
      <w:bookmarkStart w:id="142" w:name="_Toc51642375"/>
      <w:bookmarkStart w:id="143" w:name="_Toc3810"/>
      <w:bookmarkStart w:id="144" w:name="_Toc450662879"/>
      <w:bookmarkStart w:id="145" w:name="_Toc521918097"/>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 xml:space="preserve">   评审原则及方法</w:t>
      </w:r>
      <w:bookmarkEnd w:id="141"/>
      <w:bookmarkEnd w:id="142"/>
      <w:bookmarkEnd w:id="143"/>
    </w:p>
    <w:p>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46" w:name="_Toc560765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磋商小组对所有响应文件的评审，都采用相同的程序和标准。</w:t>
      </w:r>
      <w:bookmarkEnd w:id="146"/>
    </w:p>
    <w:p>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47" w:name="_Toc56076580"/>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.2 评审严格按照竞争性磋商文件的要求和条件进行。</w:t>
      </w:r>
      <w:bookmarkEnd w:id="147"/>
    </w:p>
    <w:p>
      <w:pPr>
        <w:tabs>
          <w:tab w:val="left" w:pos="360"/>
        </w:tabs>
        <w:spacing w:line="360" w:lineRule="auto"/>
        <w:ind w:left="525" w:leftChars="0" w:right="51" w:hanging="525" w:hangingChars="250"/>
        <w:jc w:val="both"/>
        <w:rPr>
          <w:rFonts w:hint="eastAsia" w:ascii="宋体" w:hAnsi="宋体" w:eastAsia="宋体" w:cs="宋体"/>
          <w:color w:val="auto"/>
          <w:kern w:val="2"/>
          <w:sz w:val="21"/>
          <w:szCs w:val="21"/>
          <w:highlight w:val="none"/>
          <w:lang w:val="zh-CN"/>
        </w:rPr>
      </w:pPr>
      <w:bookmarkStart w:id="148" w:name="_Toc56076581"/>
      <w:r>
        <w:rPr>
          <w:rFonts w:hint="eastAsia" w:ascii="宋体" w:hAnsi="宋体" w:eastAsia="宋体" w:cs="宋体"/>
          <w:color w:val="auto"/>
          <w:kern w:val="2"/>
          <w:sz w:val="21"/>
          <w:szCs w:val="21"/>
          <w:highlight w:val="none"/>
          <w:lang w:val="zh-CN" w:eastAsia="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eastAsia="zh-CN"/>
        </w:rPr>
        <w:t xml:space="preserve">.3 </w:t>
      </w:r>
      <w:r>
        <w:rPr>
          <w:rFonts w:hint="eastAsia" w:ascii="宋体" w:hAnsi="宋体" w:eastAsia="宋体" w:cs="宋体"/>
          <w:color w:val="auto"/>
          <w:kern w:val="2"/>
          <w:sz w:val="21"/>
          <w:szCs w:val="21"/>
          <w:highlight w:val="none"/>
          <w:lang w:val="zh-CN"/>
        </w:rPr>
        <w:t>在评审时将根据第27条，采用综合评分法的评审方法，对所有实质响应性响应文件进行综合打分。</w:t>
      </w:r>
      <w:bookmarkEnd w:id="148"/>
    </w:p>
    <w:p>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525" w:hangingChars="25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若本次</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过程中有效</w:t>
      </w:r>
      <w:r>
        <w:rPr>
          <w:rFonts w:hint="eastAsia" w:ascii="宋体" w:hAnsi="宋体" w:eastAsia="宋体" w:cs="宋体"/>
          <w:color w:val="auto"/>
          <w:kern w:val="2"/>
          <w:sz w:val="21"/>
          <w:szCs w:val="21"/>
          <w:highlight w:val="none"/>
          <w:lang w:val="en-US" w:eastAsia="zh-CN"/>
        </w:rPr>
        <w:t>供应商只有2</w:t>
      </w:r>
      <w:r>
        <w:rPr>
          <w:rFonts w:hint="eastAsia" w:ascii="宋体" w:hAnsi="宋体" w:eastAsia="宋体" w:cs="宋体"/>
          <w:color w:val="auto"/>
          <w:kern w:val="2"/>
          <w:sz w:val="21"/>
          <w:szCs w:val="21"/>
          <w:highlight w:val="none"/>
          <w:lang w:val="zh-CN"/>
        </w:rPr>
        <w:t>家时，</w:t>
      </w:r>
      <w:r>
        <w:rPr>
          <w:rFonts w:hint="eastAsia" w:ascii="宋体" w:hAnsi="宋体" w:eastAsia="宋体" w:cs="宋体"/>
          <w:color w:val="auto"/>
          <w:sz w:val="21"/>
          <w:szCs w:val="18"/>
          <w:highlight w:val="none"/>
        </w:rPr>
        <w:t>经</w:t>
      </w:r>
      <w:r>
        <w:rPr>
          <w:rFonts w:hint="eastAsia" w:ascii="宋体" w:hAnsi="宋体" w:eastAsia="宋体" w:cs="宋体"/>
          <w:color w:val="auto"/>
          <w:sz w:val="21"/>
          <w:szCs w:val="18"/>
          <w:highlight w:val="none"/>
          <w:lang w:val="en-US" w:eastAsia="zh-CN"/>
        </w:rPr>
        <w:t>磋商小组</w:t>
      </w:r>
      <w:r>
        <w:rPr>
          <w:rFonts w:hint="eastAsia" w:ascii="宋体" w:hAnsi="宋体" w:eastAsia="宋体" w:cs="宋体"/>
          <w:color w:val="auto"/>
          <w:sz w:val="21"/>
          <w:szCs w:val="18"/>
          <w:highlight w:val="none"/>
        </w:rPr>
        <w:t>论证，</w:t>
      </w:r>
      <w:r>
        <w:rPr>
          <w:rFonts w:hint="eastAsia" w:ascii="宋体" w:hAnsi="宋体" w:eastAsia="宋体" w:cs="宋体"/>
          <w:color w:val="auto"/>
          <w:sz w:val="21"/>
          <w:szCs w:val="18"/>
          <w:highlight w:val="none"/>
          <w:lang w:val="en-US" w:eastAsia="zh-CN"/>
        </w:rPr>
        <w:t>竞争性磋商</w:t>
      </w:r>
      <w:r>
        <w:rPr>
          <w:rFonts w:hint="eastAsia" w:ascii="宋体" w:hAnsi="宋体" w:eastAsia="宋体" w:cs="宋体"/>
          <w:color w:val="auto"/>
          <w:sz w:val="21"/>
          <w:szCs w:val="18"/>
          <w:highlight w:val="none"/>
        </w:rPr>
        <w:t>文件没有不合理条款、采购程序符合规定的</w:t>
      </w: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rPr>
        <w:t>经</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rPr>
        <w:t>人代表和作出实质性响应的</w:t>
      </w:r>
      <w:r>
        <w:rPr>
          <w:rFonts w:hint="eastAsia" w:ascii="宋体" w:hAnsi="宋体" w:eastAsia="宋体" w:cs="宋体"/>
          <w:color w:val="auto"/>
          <w:sz w:val="21"/>
          <w:szCs w:val="18"/>
          <w:highlight w:val="none"/>
          <w:lang w:val="en-US" w:eastAsia="zh-CN"/>
        </w:rPr>
        <w:t>供应商</w:t>
      </w:r>
      <w:r>
        <w:rPr>
          <w:rFonts w:hint="eastAsia" w:ascii="宋体" w:hAnsi="宋体" w:eastAsia="宋体" w:cs="宋体"/>
          <w:color w:val="auto"/>
          <w:sz w:val="21"/>
          <w:szCs w:val="18"/>
          <w:highlight w:val="none"/>
        </w:rPr>
        <w:t>代表同意后，</w:t>
      </w:r>
      <w:r>
        <w:rPr>
          <w:rFonts w:hint="eastAsia" w:ascii="宋体" w:hAnsi="宋体" w:eastAsia="宋体" w:cs="宋体"/>
          <w:color w:val="auto"/>
          <w:kern w:val="2"/>
          <w:sz w:val="21"/>
          <w:szCs w:val="21"/>
          <w:highlight w:val="none"/>
          <w:lang w:val="zh-CN"/>
        </w:rPr>
        <w:t>本竞争性磋商采购活动可以继续进行，</w:t>
      </w:r>
      <w:r>
        <w:rPr>
          <w:rFonts w:hint="eastAsia" w:ascii="宋体" w:hAnsi="宋体" w:eastAsia="宋体" w:cs="宋体"/>
          <w:color w:val="auto"/>
          <w:kern w:val="2"/>
          <w:sz w:val="21"/>
          <w:szCs w:val="21"/>
          <w:highlight w:val="none"/>
          <w:lang w:val="en-US" w:eastAsia="zh-CN"/>
        </w:rPr>
        <w:t>若符合要求的供应商只有1家时，本次竞争性磋商失败</w:t>
      </w:r>
      <w:r>
        <w:rPr>
          <w:rFonts w:hint="eastAsia" w:ascii="宋体" w:hAnsi="宋体" w:eastAsia="宋体" w:cs="宋体"/>
          <w:color w:val="auto"/>
          <w:kern w:val="2"/>
          <w:sz w:val="21"/>
          <w:szCs w:val="21"/>
          <w:highlight w:val="none"/>
          <w:lang w:val="zh-CN"/>
        </w:rPr>
        <w:t>。</w:t>
      </w:r>
    </w:p>
    <w:p>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600" w:hangingChars="250"/>
        <w:jc w:val="both"/>
        <w:textAlignment w:val="auto"/>
        <w:rPr>
          <w:rFonts w:hint="eastAsia" w:ascii="宋体" w:hAnsi="宋体" w:eastAsia="宋体" w:cs="宋体"/>
          <w:color w:val="auto"/>
          <w:highlight w:val="none"/>
          <w:lang w:val="zh-CN"/>
        </w:rPr>
      </w:pPr>
    </w:p>
    <w:p>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49" w:name="_Toc18515"/>
      <w:bookmarkStart w:id="150" w:name="_Toc51642376"/>
      <w:bookmarkStart w:id="151" w:name="_Toc20234"/>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评标结果公示</w:t>
      </w:r>
      <w:r>
        <w:rPr>
          <w:rFonts w:hint="eastAsia" w:ascii="宋体" w:hAnsi="宋体" w:eastAsia="宋体" w:cs="宋体"/>
          <w:color w:val="auto"/>
          <w:kern w:val="2"/>
          <w:sz w:val="21"/>
          <w:szCs w:val="21"/>
          <w:highlight w:val="none"/>
          <w:lang w:val="zh-CN"/>
        </w:rPr>
        <w:t>及异议、投诉</w:t>
      </w:r>
      <w:bookmarkEnd w:id="149"/>
      <w:bookmarkEnd w:id="150"/>
      <w:bookmarkEnd w:id="151"/>
    </w:p>
    <w:p>
      <w:pPr>
        <w:tabs>
          <w:tab w:val="left" w:pos="360"/>
        </w:tabs>
        <w:spacing w:line="360" w:lineRule="auto"/>
        <w:ind w:left="525" w:right="51" w:hanging="525" w:hangingChars="250"/>
        <w:jc w:val="both"/>
        <w:rPr>
          <w:rFonts w:hint="eastAsia" w:ascii="宋体" w:hAnsi="宋体" w:eastAsia="宋体" w:cs="宋体"/>
          <w:color w:val="auto"/>
          <w:kern w:val="2"/>
          <w:sz w:val="21"/>
          <w:szCs w:val="21"/>
          <w:highlight w:val="none"/>
          <w:lang w:val="zh-CN"/>
        </w:rPr>
      </w:pPr>
      <w:bookmarkStart w:id="152" w:name="_Toc5607658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.1 采购代理机构在</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公告发布媒介公示</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候选人，公示期为3日。供应商或者其他利害关系人对评标结果有异议的，应当在评标结果公示期间向</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代理机构以书面的形式提出，并将完整的异议书面材料原件送达</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代理机构，逾期则视为对评标结果无异议。超出提交异议截止时间而提出的任何疑问，</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代理机构可不予答复。</w:t>
      </w:r>
    </w:p>
    <w:p>
      <w:pPr>
        <w:tabs>
          <w:tab w:val="left" w:pos="360"/>
        </w:tabs>
        <w:autoSpaceDE/>
        <w:autoSpaceDN/>
        <w:spacing w:line="360" w:lineRule="auto"/>
        <w:ind w:left="480" w:leftChars="200" w:right="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pPr>
        <w:tabs>
          <w:tab w:val="left" w:pos="360"/>
        </w:tabs>
        <w:autoSpaceDE/>
        <w:autoSpaceDN/>
        <w:spacing w:line="360" w:lineRule="auto"/>
        <w:ind w:left="0" w:right="22" w:rightChars="9" w:hanging="525" w:hangingChars="250"/>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en-US" w:eastAsia="zh-CN"/>
        </w:rPr>
        <w:t>29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u w:val="single"/>
          <w:lang w:val="zh-CN"/>
        </w:rPr>
        <w:tab/>
      </w:r>
      <w:r>
        <w:rPr>
          <w:rFonts w:hint="eastAsia" w:ascii="宋体" w:hAnsi="宋体" w:eastAsia="宋体" w:cs="宋体"/>
          <w:b/>
          <w:bCs/>
          <w:color w:val="auto"/>
          <w:kern w:val="2"/>
          <w:sz w:val="21"/>
          <w:szCs w:val="21"/>
          <w:highlight w:val="none"/>
          <w:u w:val="single"/>
          <w:lang w:val="zh-CN"/>
        </w:rPr>
        <w:t>结果公示后，</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有权要求中标候选人在结果公示之日起3日内提交</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文件中所提供的资格证明文件、业绩证明文件、对</w:t>
      </w:r>
      <w:r>
        <w:rPr>
          <w:rFonts w:hint="eastAsia" w:ascii="宋体" w:hAnsi="宋体" w:eastAsia="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文件实质性条款响应文件、履约能力证明文件的原件供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如有需要，</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候选人有义务提供</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如发现</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人提供虚假证明文件、虚假响应文件等弄虚作假行为骗取中标的，</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将取消其</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资格。涉嫌违法犯罪的，将移交司法机关处理。</w:t>
      </w:r>
    </w:p>
    <w:p>
      <w:pPr>
        <w:autoSpaceDE/>
        <w:autoSpaceDN/>
        <w:adjustRightInd/>
        <w:snapToGrid/>
        <w:spacing w:line="360" w:lineRule="auto"/>
        <w:ind w:left="480" w:leftChars="200" w:firstLine="422" w:firstLineChars="200"/>
        <w:jc w:val="both"/>
        <w:rPr>
          <w:rFonts w:hint="eastAsia" w:ascii="宋体" w:hAnsi="宋体" w:eastAsia="宋体" w:cs="宋体"/>
          <w:b w:val="0"/>
          <w:color w:val="auto"/>
          <w:kern w:val="2"/>
          <w:sz w:val="21"/>
          <w:szCs w:val="21"/>
          <w:highlight w:val="none"/>
          <w:u w:val="single"/>
          <w:lang w:val="zh-CN"/>
        </w:rPr>
      </w:pPr>
      <w:r>
        <w:rPr>
          <w:rFonts w:hint="eastAsia" w:ascii="宋体" w:hAnsi="宋体" w:eastAsia="宋体" w:cs="宋体"/>
          <w:b/>
          <w:bCs/>
          <w:color w:val="auto"/>
          <w:kern w:val="2"/>
          <w:sz w:val="21"/>
          <w:szCs w:val="21"/>
          <w:highlight w:val="none"/>
          <w:u w:val="single"/>
          <w:lang w:val="zh-CN"/>
        </w:rPr>
        <w:t>当</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代理机构）向</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候选人发出提供上述</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文件或</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文件外其他相关（包括但不限于业绩合同对应的发票等）的证明资料原件进行核查的书面通知后，第一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候选人未能在</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 书面要求的时间(一般不少于三个工作日) 内提供完整的材料原件进行核查的，视为其无法提供真实的资料，</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有权取消其</w:t>
      </w:r>
      <w:r>
        <w:rPr>
          <w:rFonts w:hint="eastAsia" w:ascii="宋体" w:hAnsi="宋体" w:eastAsia="宋体" w:cs="宋体"/>
          <w:b/>
          <w:bCs/>
          <w:color w:val="auto"/>
          <w:kern w:val="2"/>
          <w:sz w:val="21"/>
          <w:szCs w:val="21"/>
          <w:highlight w:val="none"/>
          <w:u w:val="single"/>
          <w:lang w:val="en-US" w:eastAsia="zh-CN"/>
        </w:rPr>
        <w:t>成交候</w:t>
      </w:r>
      <w:r>
        <w:rPr>
          <w:rFonts w:hint="eastAsia" w:ascii="宋体" w:hAnsi="宋体" w:eastAsia="宋体" w:cs="宋体"/>
          <w:b/>
          <w:bCs/>
          <w:color w:val="auto"/>
          <w:kern w:val="2"/>
          <w:sz w:val="21"/>
          <w:szCs w:val="21"/>
          <w:highlight w:val="none"/>
          <w:u w:val="single"/>
          <w:lang w:val="zh-CN"/>
        </w:rPr>
        <w:t>选人资格。</w:t>
      </w:r>
    </w:p>
    <w:bookmarkEnd w:id="144"/>
    <w:bookmarkEnd w:id="145"/>
    <w:bookmarkEnd w:id="152"/>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供应商或者其他利害关系人认为采购活动不符合法律、行政法规</w:t>
      </w:r>
      <w:r>
        <w:rPr>
          <w:rFonts w:hint="eastAsia" w:ascii="宋体" w:hAnsi="宋体" w:eastAsia="宋体" w:cs="宋体"/>
          <w:color w:val="auto"/>
          <w:sz w:val="21"/>
          <w:szCs w:val="21"/>
          <w:highlight w:val="none"/>
          <w:lang w:val="zh-CN"/>
        </w:rPr>
        <w:t>、采购人制度</w:t>
      </w:r>
      <w:r>
        <w:rPr>
          <w:rFonts w:hint="eastAsia" w:ascii="宋体" w:hAnsi="宋体" w:eastAsia="宋体" w:cs="宋体"/>
          <w:color w:val="auto"/>
          <w:kern w:val="2"/>
          <w:sz w:val="21"/>
          <w:szCs w:val="21"/>
          <w:highlight w:val="none"/>
          <w:lang w:val="zh-CN"/>
        </w:rPr>
        <w:t>规定的，可以自知道或者应当知道之日起10日内，按程序向采购人</w:t>
      </w:r>
      <w:r>
        <w:rPr>
          <w:rFonts w:hint="eastAsia" w:ascii="宋体" w:hAnsi="宋体" w:eastAsia="宋体" w:cs="宋体"/>
          <w:color w:val="auto"/>
          <w:sz w:val="21"/>
          <w:szCs w:val="21"/>
          <w:highlight w:val="none"/>
          <w:lang w:val="zh-CN"/>
        </w:rPr>
        <w:t>的上级单位</w:t>
      </w:r>
      <w:r>
        <w:rPr>
          <w:rFonts w:hint="eastAsia" w:ascii="宋体" w:hAnsi="宋体" w:eastAsia="宋体" w:cs="宋体"/>
          <w:color w:val="auto"/>
          <w:kern w:val="2"/>
          <w:sz w:val="21"/>
          <w:szCs w:val="21"/>
          <w:highlight w:val="none"/>
          <w:lang w:val="zh-CN"/>
        </w:rPr>
        <w:t>投诉。投诉应当提供</w:t>
      </w:r>
      <w:r>
        <w:rPr>
          <w:rFonts w:hint="eastAsia" w:ascii="宋体" w:hAnsi="宋体" w:eastAsia="宋体" w:cs="宋体"/>
          <w:color w:val="auto"/>
          <w:sz w:val="21"/>
          <w:szCs w:val="21"/>
          <w:highlight w:val="none"/>
          <w:lang w:val="zh-CN"/>
        </w:rPr>
        <w:t>有明确请求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kern w:val="2"/>
          <w:sz w:val="21"/>
          <w:szCs w:val="21"/>
          <w:highlight w:val="none"/>
          <w:lang w:val="zh-CN"/>
        </w:rPr>
        <w:t>纸质投诉书及必要的证明材料。投诉书应当包括下列内容：</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（一）投诉人和被投诉人的姓名或者名称、通讯地址、邮编、联系人及联系电话；</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（二）异议和异议答复情况说明及相关证明材料；</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（三）具体、明确的投诉事项和与投诉事项相关的投诉请求；</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（四）事实依据；</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（五）法律依据；</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（六）提起投诉的日期；</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投诉人为法人或者其他组织的，应当由法定代表人、主要负责人，或者其授权代表签字或者盖章，并加盖公章。</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投诉人投诉的事项不得超出已质疑事项的范围，但基于异议答复内容提出的投诉事项除外。</w:t>
      </w:r>
    </w:p>
    <w:p>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监督部门：东莞市水务集团有限公司，联系人：莫先生，联系电话：0769-28823251</w:t>
      </w:r>
      <w:r>
        <w:rPr>
          <w:rFonts w:hint="eastAsia" w:ascii="宋体" w:hAnsi="宋体" w:eastAsia="宋体" w:cs="宋体"/>
          <w:color w:val="auto"/>
          <w:kern w:val="2"/>
          <w:sz w:val="21"/>
          <w:szCs w:val="21"/>
          <w:highlight w:val="none"/>
          <w:lang w:val="zh-CN"/>
        </w:rPr>
        <w:t>。</w:t>
      </w:r>
    </w:p>
    <w:p>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pPr>
        <w:tabs>
          <w:tab w:val="left" w:pos="567"/>
        </w:tabs>
        <w:spacing w:line="360" w:lineRule="auto"/>
        <w:jc w:val="both"/>
        <w:outlineLvl w:val="2"/>
        <w:rPr>
          <w:rFonts w:hint="eastAsia" w:ascii="宋体" w:hAnsi="宋体" w:eastAsia="宋体" w:cs="宋体"/>
          <w:b/>
          <w:bCs/>
          <w:color w:val="auto"/>
          <w:kern w:val="2"/>
          <w:sz w:val="21"/>
          <w:szCs w:val="21"/>
          <w:highlight w:val="none"/>
          <w:lang w:val="zh-CN"/>
        </w:rPr>
      </w:pPr>
      <w:bookmarkStart w:id="153" w:name="_Toc465358970"/>
      <w:bookmarkStart w:id="154" w:name="_Toc32173"/>
      <w:bookmarkStart w:id="155" w:name="_Toc466882018"/>
      <w:bookmarkStart w:id="156" w:name="_Toc521918099"/>
      <w:bookmarkStart w:id="157" w:name="_Toc20357"/>
      <w:r>
        <w:rPr>
          <w:rFonts w:hint="eastAsia" w:ascii="宋体" w:hAnsi="宋体" w:eastAsia="宋体" w:cs="宋体"/>
          <w:b/>
          <w:bCs/>
          <w:color w:val="auto"/>
          <w:kern w:val="2"/>
          <w:sz w:val="21"/>
          <w:szCs w:val="21"/>
          <w:highlight w:val="none"/>
          <w:lang w:val="en-US" w:eastAsia="zh-CN"/>
        </w:rPr>
        <w:t xml:space="preserve">30   </w:t>
      </w:r>
      <w:r>
        <w:rPr>
          <w:rFonts w:hint="eastAsia" w:ascii="宋体" w:hAnsi="宋体" w:eastAsia="宋体" w:cs="宋体"/>
          <w:b/>
          <w:bCs/>
          <w:color w:val="auto"/>
          <w:kern w:val="2"/>
          <w:sz w:val="21"/>
          <w:szCs w:val="21"/>
          <w:highlight w:val="none"/>
          <w:lang w:val="zh-CN"/>
        </w:rPr>
        <w:t>真实性审查</w:t>
      </w:r>
      <w:bookmarkEnd w:id="153"/>
      <w:bookmarkEnd w:id="154"/>
      <w:bookmarkEnd w:id="155"/>
      <w:bookmarkEnd w:id="156"/>
      <w:bookmarkEnd w:id="157"/>
    </w:p>
    <w:p>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.1 </w:t>
      </w:r>
      <w:r>
        <w:rPr>
          <w:rFonts w:hint="eastAsia" w:ascii="宋体" w:hAnsi="宋体" w:eastAsia="宋体" w:cs="宋体"/>
          <w:b/>
          <w:bCs/>
          <w:color w:val="auto"/>
          <w:kern w:val="2"/>
          <w:sz w:val="21"/>
          <w:szCs w:val="21"/>
          <w:highlight w:val="none"/>
          <w:u w:val="single"/>
          <w:lang w:val="zh-CN"/>
        </w:rPr>
        <w:t>在授予合同前，采购人（或其委托的采购代理机构）或磋商小组有权组织对供应商的真实性审查。包括对供应商资格证明文件、</w:t>
      </w:r>
      <w:r>
        <w:rPr>
          <w:rFonts w:hint="eastAsia" w:ascii="宋体" w:hAnsi="宋体" w:eastAsia="宋体" w:cs="宋体"/>
          <w:b/>
          <w:bCs/>
          <w:color w:val="auto"/>
          <w:kern w:val="2"/>
          <w:sz w:val="21"/>
          <w:szCs w:val="21"/>
          <w:highlight w:val="none"/>
          <w:u w:val="single"/>
        </w:rPr>
        <w:t>业绩证明资料</w:t>
      </w:r>
      <w:r>
        <w:rPr>
          <w:rFonts w:hint="eastAsia" w:ascii="宋体" w:hAnsi="宋体" w:eastAsia="宋体" w:cs="宋体"/>
          <w:b/>
          <w:bCs/>
          <w:color w:val="auto"/>
          <w:kern w:val="2"/>
          <w:sz w:val="21"/>
          <w:szCs w:val="21"/>
          <w:highlight w:val="none"/>
          <w:u w:val="single"/>
          <w:lang w:val="zh-CN"/>
        </w:rPr>
        <w:t>、对竞争性磋商文件实质性条款响应文件、履约能力证明文件的真实性进行核查。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如有需要，</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有义务提供</w:t>
      </w:r>
      <w:r>
        <w:rPr>
          <w:rFonts w:hint="eastAsia" w:ascii="宋体" w:hAnsi="宋体" w:eastAsia="宋体" w:cs="宋体"/>
          <w:b/>
          <w:bCs/>
          <w:color w:val="auto"/>
          <w:sz w:val="21"/>
          <w:szCs w:val="21"/>
          <w:highlight w:val="none"/>
          <w:u w:val="single"/>
          <w:lang w:val="en-US" w:eastAsia="zh-CN"/>
        </w:rPr>
        <w:t>响应</w:t>
      </w:r>
      <w:r>
        <w:rPr>
          <w:rFonts w:hint="eastAsia" w:ascii="宋体" w:hAnsi="宋体" w:eastAsia="宋体" w:cs="宋体"/>
          <w:b/>
          <w:bCs/>
          <w:color w:val="auto"/>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核查。</w:t>
      </w:r>
      <w:r>
        <w:rPr>
          <w:rFonts w:hint="eastAsia" w:ascii="宋体" w:hAnsi="宋体" w:eastAsia="宋体" w:cs="宋体"/>
          <w:b/>
          <w:bCs/>
          <w:color w:val="auto"/>
          <w:kern w:val="2"/>
          <w:sz w:val="21"/>
          <w:szCs w:val="21"/>
          <w:highlight w:val="none"/>
          <w:u w:val="single"/>
          <w:lang w:val="zh-CN"/>
        </w:rPr>
        <w:t>若发现其提供虚假证明文件、虚假响应文件等弄虚作假行为的，或经审查确认其经营、财务状况发生较大变化（或者存在违法行为）导致无法按照响应文件的承诺履约的，或其明确表示不按照响应文件承诺履约等影响</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结果的行为，采购人有权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sz w:val="21"/>
          <w:szCs w:val="21"/>
          <w:highlight w:val="none"/>
        </w:rPr>
        <w:t>。</w:t>
      </w:r>
    </w:p>
    <w:p>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.2 </w:t>
      </w:r>
      <w:r>
        <w:rPr>
          <w:rFonts w:hint="eastAsia" w:ascii="宋体" w:hAnsi="宋体" w:eastAsia="宋体" w:cs="宋体"/>
          <w:b/>
          <w:bCs/>
          <w:color w:val="auto"/>
          <w:kern w:val="2"/>
          <w:sz w:val="21"/>
          <w:szCs w:val="21"/>
          <w:highlight w:val="none"/>
          <w:u w:val="single"/>
          <w:lang w:val="zh-CN"/>
        </w:rPr>
        <w:t>供应商在采购人（或其委托的采购代理机构）或磋商小组通知其提供上述证明资料原件进行核查的要求后，未能在约定的时间内提供原件进行核查的，视为供应商无法提供真实的资料，采购人有权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2"/>
          <w:sz w:val="21"/>
          <w:szCs w:val="21"/>
          <w:highlight w:val="none"/>
          <w:lang w:val="zh-CN"/>
        </w:rPr>
        <w:t>。</w:t>
      </w:r>
      <w:bookmarkStart w:id="158" w:name="_Toc465358971"/>
      <w:bookmarkStart w:id="159" w:name="_Toc466882019"/>
    </w:p>
    <w:p>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.3 </w:t>
      </w:r>
      <w:r>
        <w:rPr>
          <w:rFonts w:hint="eastAsia" w:ascii="宋体" w:hAnsi="宋体" w:eastAsia="宋体" w:cs="宋体"/>
          <w:b/>
          <w:bCs/>
          <w:color w:val="auto"/>
          <w:kern w:val="2"/>
          <w:sz w:val="21"/>
          <w:szCs w:val="21"/>
          <w:highlight w:val="none"/>
          <w:u w:val="single"/>
          <w:lang w:val="zh-CN"/>
        </w:rPr>
        <w:t>若供应商在</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或履约过程中存在提供虚假材料、虚假响应文件等弄虚作假行为，</w:t>
      </w:r>
      <w:r>
        <w:rPr>
          <w:rFonts w:hint="eastAsia" w:ascii="宋体" w:hAnsi="宋体" w:eastAsia="宋体" w:cs="宋体"/>
          <w:b/>
          <w:bCs/>
          <w:color w:val="auto"/>
          <w:sz w:val="21"/>
          <w:szCs w:val="21"/>
          <w:highlight w:val="none"/>
          <w:u w:val="single"/>
        </w:rPr>
        <w:t>或未能根据本须知2</w:t>
      </w:r>
      <w:r>
        <w:rPr>
          <w:rFonts w:hint="eastAsia" w:ascii="宋体" w:hAnsi="宋体" w:eastAsia="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u w:val="single"/>
        </w:rPr>
        <w:t>.2款约定按时提供原件进行核查的，</w:t>
      </w:r>
      <w:r>
        <w:rPr>
          <w:rFonts w:hint="eastAsia" w:ascii="宋体" w:hAnsi="宋体" w:eastAsia="宋体" w:cs="宋体"/>
          <w:b/>
          <w:bCs/>
          <w:color w:val="auto"/>
          <w:kern w:val="2"/>
          <w:sz w:val="21"/>
          <w:szCs w:val="21"/>
          <w:highlight w:val="none"/>
          <w:u w:val="single"/>
          <w:lang w:val="zh-CN"/>
        </w:rPr>
        <w:t>或不按照响应文件承诺履约或撤回</w:t>
      </w:r>
      <w:r>
        <w:rPr>
          <w:rFonts w:hint="eastAsia" w:ascii="宋体" w:hAnsi="宋体" w:eastAsia="宋体" w:cs="宋体"/>
          <w:b/>
          <w:bCs/>
          <w:color w:val="auto"/>
          <w:kern w:val="2"/>
          <w:sz w:val="21"/>
          <w:szCs w:val="21"/>
          <w:highlight w:val="none"/>
          <w:u w:val="single"/>
          <w:lang w:val="en-US" w:eastAsia="zh-CN"/>
        </w:rPr>
        <w:t>响应文件</w:t>
      </w:r>
      <w:r>
        <w:rPr>
          <w:rFonts w:hint="eastAsia" w:ascii="宋体" w:hAnsi="宋体" w:eastAsia="宋体" w:cs="宋体"/>
          <w:b/>
          <w:bCs/>
          <w:color w:val="auto"/>
          <w:kern w:val="2"/>
          <w:sz w:val="21"/>
          <w:szCs w:val="21"/>
          <w:highlight w:val="none"/>
          <w:u w:val="single"/>
          <w:lang w:val="zh-CN"/>
        </w:rPr>
        <w:t>或放弃</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资格或不按要求与采购人签订合同等影响</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结果的行为，因此导致供应商无法参与东莞市水务集团实业发展有限公司相关招标采购等活动的，由供应商自行承担全部后果</w:t>
      </w:r>
      <w:r>
        <w:rPr>
          <w:rFonts w:hint="eastAsia" w:ascii="宋体" w:hAnsi="宋体" w:eastAsia="宋体" w:cs="宋体"/>
          <w:b/>
          <w:bCs/>
          <w:color w:val="auto"/>
          <w:kern w:val="2"/>
          <w:sz w:val="21"/>
          <w:szCs w:val="21"/>
          <w:highlight w:val="none"/>
          <w:lang w:val="zh-CN"/>
        </w:rPr>
        <w:t>。</w:t>
      </w:r>
    </w:p>
    <w:p>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pPr>
        <w:tabs>
          <w:tab w:val="left" w:pos="567"/>
        </w:tabs>
        <w:spacing w:line="360" w:lineRule="auto"/>
        <w:jc w:val="both"/>
        <w:outlineLvl w:val="2"/>
        <w:rPr>
          <w:rFonts w:hint="eastAsia" w:ascii="宋体" w:hAnsi="宋体" w:eastAsia="宋体" w:cs="宋体"/>
          <w:color w:val="auto"/>
          <w:kern w:val="2"/>
          <w:sz w:val="21"/>
          <w:szCs w:val="21"/>
          <w:highlight w:val="none"/>
          <w:lang w:val="zh-CN"/>
        </w:rPr>
      </w:pPr>
      <w:bookmarkStart w:id="160" w:name="_Toc521918100"/>
      <w:bookmarkStart w:id="161" w:name="_Toc10079"/>
      <w:bookmarkStart w:id="162" w:name="_Toc29355"/>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磋商小组和采购人接受或拒绝任何报价或所有报价的权利</w:t>
      </w:r>
      <w:bookmarkEnd w:id="158"/>
      <w:bookmarkEnd w:id="159"/>
      <w:bookmarkEnd w:id="160"/>
      <w:bookmarkEnd w:id="161"/>
      <w:bookmarkEnd w:id="162"/>
    </w:p>
    <w:p>
      <w:pPr>
        <w:spacing w:line="360" w:lineRule="auto"/>
        <w:ind w:left="523" w:hanging="523" w:hangingChars="218"/>
        <w:jc w:val="both"/>
        <w:rPr>
          <w:rFonts w:hint="eastAsia" w:ascii="宋体" w:hAnsi="宋体" w:eastAsia="宋体" w:cs="宋体"/>
          <w:color w:val="auto"/>
          <w:sz w:val="21"/>
          <w:szCs w:val="21"/>
          <w:highlight w:val="none"/>
        </w:rPr>
      </w:pPr>
      <w:r>
        <w:rPr>
          <w:rFonts w:hint="eastAsia" w:ascii="宋体" w:hAnsi="宋体" w:eastAsia="宋体" w:cs="宋体"/>
          <w:color w:val="auto"/>
          <w:kern w:val="2"/>
          <w:highlight w:val="none"/>
          <w:lang w:val="zh-CN"/>
        </w:rPr>
        <w:t xml:space="preserve">    </w:t>
      </w:r>
      <w:r>
        <w:rPr>
          <w:rFonts w:hint="eastAsia" w:ascii="宋体" w:hAnsi="宋体" w:eastAsia="宋体" w:cs="宋体"/>
          <w:color w:val="auto"/>
          <w:kern w:val="2"/>
          <w:highlight w:val="none"/>
          <w:lang w:val="en-US" w:eastAsia="zh-CN"/>
        </w:rPr>
        <w:t xml:space="preserve">    </w:t>
      </w:r>
      <w:r>
        <w:rPr>
          <w:rFonts w:hint="eastAsia" w:ascii="宋体" w:hAnsi="宋体" w:eastAsia="宋体" w:cs="宋体"/>
          <w:color w:val="auto"/>
          <w:sz w:val="21"/>
          <w:szCs w:val="21"/>
          <w:highlight w:val="none"/>
        </w:rPr>
        <w:t>在授予合同前的任何时候，采购人仍保留接受或拒绝任何</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，宣布</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程序无效或拒绝所有</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的权利，无需向受影响的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承担任何责任。</w:t>
      </w:r>
    </w:p>
    <w:p>
      <w:pPr>
        <w:snapToGrid w:val="0"/>
        <w:spacing w:line="360" w:lineRule="auto"/>
        <w:ind w:left="629" w:leftChars="-58" w:hanging="768" w:hangingChars="320"/>
        <w:jc w:val="both"/>
        <w:rPr>
          <w:rFonts w:hint="eastAsia" w:ascii="宋体" w:hAnsi="宋体" w:eastAsia="宋体" w:cs="宋体"/>
          <w:color w:val="auto"/>
          <w:kern w:val="44"/>
          <w:highlight w:val="none"/>
          <w:lang w:val="zh-CN"/>
        </w:rPr>
      </w:pPr>
      <w:bookmarkStart w:id="163" w:name="_Toc450662880"/>
    </w:p>
    <w:p>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164" w:name="_Toc521918101"/>
      <w:bookmarkStart w:id="165" w:name="_Toc25079"/>
      <w:bookmarkStart w:id="166" w:name="_Toc9510"/>
      <w:r>
        <w:rPr>
          <w:rFonts w:hint="eastAsia" w:ascii="宋体" w:hAnsi="宋体" w:eastAsia="宋体" w:cs="宋体"/>
          <w:b/>
          <w:bCs/>
          <w:color w:val="auto"/>
          <w:kern w:val="44"/>
          <w:sz w:val="21"/>
          <w:szCs w:val="21"/>
          <w:highlight w:val="none"/>
          <w:lang w:val="zh-CN"/>
        </w:rPr>
        <w:t>六、授予合同</w:t>
      </w:r>
      <w:bookmarkEnd w:id="163"/>
      <w:bookmarkEnd w:id="164"/>
      <w:bookmarkEnd w:id="165"/>
      <w:bookmarkEnd w:id="166"/>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7" w:name="_Toc521918102"/>
      <w:bookmarkStart w:id="168" w:name="_Toc3155"/>
      <w:bookmarkStart w:id="169" w:name="_Toc450662881"/>
      <w:bookmarkStart w:id="170" w:name="_Toc23777"/>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授予合同的准则</w:t>
      </w:r>
      <w:bookmarkEnd w:id="167"/>
      <w:bookmarkEnd w:id="168"/>
      <w:bookmarkEnd w:id="169"/>
      <w:bookmarkEnd w:id="170"/>
    </w:p>
    <w:p>
      <w:pPr>
        <w:tabs>
          <w:tab w:val="left" w:pos="645"/>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除第2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highlight w:val="none"/>
        </w:rPr>
        <w:t>、</w:t>
      </w: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1</w:t>
      </w:r>
      <w:r>
        <w:rPr>
          <w:rFonts w:hint="eastAsia" w:ascii="宋体" w:hAnsi="宋体" w:eastAsia="宋体" w:cs="宋体"/>
          <w:color w:val="auto"/>
          <w:kern w:val="2"/>
          <w:sz w:val="21"/>
          <w:szCs w:val="21"/>
          <w:highlight w:val="none"/>
          <w:lang w:val="zh-CN"/>
        </w:rPr>
        <w:t>条规定外，采购人将合同授予其响应文件符合竞争性磋商文件要求，并且能承诺履行合同，对采购人最为有利的供应商。</w:t>
      </w:r>
    </w:p>
    <w:p>
      <w:pPr>
        <w:numPr>
          <w:ilvl w:val="1"/>
          <w:numId w:val="0"/>
        </w:numPr>
        <w:tabs>
          <w:tab w:val="left" w:pos="540"/>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 xml:space="preserve">.2 </w:t>
      </w:r>
      <w:r>
        <w:rPr>
          <w:rFonts w:hint="eastAsia" w:ascii="宋体" w:hAnsi="宋体" w:eastAsia="宋体" w:cs="宋体"/>
          <w:b/>
          <w:color w:val="auto"/>
          <w:kern w:val="2"/>
          <w:sz w:val="21"/>
          <w:szCs w:val="21"/>
          <w:highlight w:val="none"/>
          <w:u w:val="single"/>
          <w:lang w:val="zh-CN"/>
        </w:rPr>
        <w:t>采购人依法按照评</w:t>
      </w:r>
      <w:r>
        <w:rPr>
          <w:rFonts w:hint="eastAsia" w:ascii="宋体" w:hAnsi="宋体" w:eastAsia="宋体" w:cs="宋体"/>
          <w:b/>
          <w:color w:val="auto"/>
          <w:kern w:val="2"/>
          <w:sz w:val="21"/>
          <w:szCs w:val="21"/>
          <w:highlight w:val="none"/>
          <w:u w:val="single"/>
          <w:lang w:val="en-US" w:eastAsia="zh-CN"/>
        </w:rPr>
        <w:t>审</w:t>
      </w:r>
      <w:r>
        <w:rPr>
          <w:rFonts w:hint="eastAsia" w:ascii="宋体" w:hAnsi="宋体" w:eastAsia="宋体" w:cs="宋体"/>
          <w:b/>
          <w:color w:val="auto"/>
          <w:kern w:val="2"/>
          <w:sz w:val="21"/>
          <w:szCs w:val="21"/>
          <w:highlight w:val="none"/>
          <w:u w:val="single"/>
          <w:lang w:val="zh-CN"/>
        </w:rPr>
        <w:t>报告中推荐的成交候选人</w:t>
      </w:r>
      <w:r>
        <w:rPr>
          <w:rFonts w:hint="eastAsia" w:ascii="宋体" w:hAnsi="宋体" w:eastAsia="宋体" w:cs="宋体"/>
          <w:b/>
          <w:color w:val="auto"/>
          <w:kern w:val="2"/>
          <w:sz w:val="21"/>
          <w:szCs w:val="21"/>
          <w:highlight w:val="none"/>
          <w:u w:val="single"/>
          <w:lang w:val="en-US" w:eastAsia="zh-CN"/>
        </w:rPr>
        <w:t>顺序确定</w:t>
      </w:r>
      <w:r>
        <w:rPr>
          <w:rFonts w:hint="eastAsia" w:ascii="宋体" w:hAnsi="宋体" w:eastAsia="宋体" w:cs="宋体"/>
          <w:b/>
          <w:color w:val="auto"/>
          <w:kern w:val="2"/>
          <w:sz w:val="21"/>
          <w:szCs w:val="21"/>
          <w:highlight w:val="none"/>
          <w:u w:val="single"/>
          <w:lang w:val="zh-CN"/>
        </w:rPr>
        <w:t>成交人。</w:t>
      </w:r>
    </w:p>
    <w:p>
      <w:pPr>
        <w:tabs>
          <w:tab w:val="left" w:pos="645"/>
        </w:tabs>
        <w:autoSpaceDE/>
        <w:autoSpaceDN/>
        <w:adjustRightInd/>
        <w:snapToGrid/>
        <w:spacing w:line="360" w:lineRule="auto"/>
        <w:ind w:left="540" w:leftChars="0" w:right="51" w:hanging="540" w:firstLineChars="0"/>
        <w:jc w:val="both"/>
        <w:rPr>
          <w:rFonts w:hint="eastAsia" w:ascii="宋体" w:hAnsi="宋体" w:eastAsia="宋体" w:cs="宋体"/>
          <w:b w:val="0"/>
          <w:color w:val="auto"/>
          <w:kern w:val="2"/>
          <w:sz w:val="21"/>
          <w:szCs w:val="21"/>
          <w:highlight w:val="none"/>
          <w:lang w:val="zh-CN"/>
        </w:rPr>
      </w:pPr>
      <w:bookmarkStart w:id="171" w:name="_Toc45066288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.3 因不可抗力或自身原因不能履行合同的、不按要求</w:t>
      </w:r>
      <w:r>
        <w:rPr>
          <w:rFonts w:hint="eastAsia" w:ascii="宋体" w:hAnsi="宋体" w:eastAsia="宋体" w:cs="宋体"/>
          <w:color w:val="auto"/>
          <w:kern w:val="2"/>
          <w:sz w:val="21"/>
          <w:szCs w:val="21"/>
          <w:highlight w:val="none"/>
          <w:lang w:val="en-US" w:eastAsia="zh-CN"/>
        </w:rPr>
        <w:t>或约定时间内</w:t>
      </w:r>
      <w:r>
        <w:rPr>
          <w:rFonts w:hint="eastAsia" w:ascii="宋体" w:hAnsi="宋体" w:eastAsia="宋体" w:cs="宋体"/>
          <w:color w:val="auto"/>
          <w:kern w:val="2"/>
          <w:sz w:val="21"/>
          <w:szCs w:val="21"/>
          <w:highlight w:val="none"/>
          <w:lang w:val="zh-CN"/>
        </w:rPr>
        <w:t>与</w:t>
      </w:r>
      <w:r>
        <w:rPr>
          <w:rFonts w:hint="eastAsia" w:ascii="宋体" w:hAnsi="宋体" w:eastAsia="宋体" w:cs="宋体"/>
          <w:color w:val="auto"/>
          <w:kern w:val="2"/>
          <w:sz w:val="21"/>
          <w:szCs w:val="21"/>
          <w:highlight w:val="none"/>
          <w:lang w:val="zh-CN" w:eastAsia="zh-CN"/>
        </w:rPr>
        <w:t>采购人</w:t>
      </w:r>
      <w:r>
        <w:rPr>
          <w:rFonts w:hint="eastAsia" w:ascii="宋体" w:hAnsi="宋体" w:eastAsia="宋体" w:cs="宋体"/>
          <w:color w:val="auto"/>
          <w:kern w:val="2"/>
          <w:sz w:val="21"/>
          <w:szCs w:val="21"/>
          <w:highlight w:val="none"/>
          <w:lang w:val="zh-CN"/>
        </w:rPr>
        <w:t>签订合同、</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人放弃</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资格被依法确认无效的，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人可以按照</w:t>
      </w:r>
      <w:r>
        <w:rPr>
          <w:rFonts w:hint="eastAsia" w:ascii="宋体" w:hAnsi="宋体" w:eastAsia="宋体" w:cs="宋体"/>
          <w:color w:val="auto"/>
          <w:kern w:val="2"/>
          <w:sz w:val="21"/>
          <w:szCs w:val="21"/>
          <w:highlight w:val="none"/>
          <w:lang w:val="zh-CN" w:eastAsia="zh-CN"/>
        </w:rPr>
        <w:t>磋商小组</w:t>
      </w:r>
      <w:r>
        <w:rPr>
          <w:rFonts w:hint="eastAsia" w:ascii="宋体" w:hAnsi="宋体" w:eastAsia="宋体" w:cs="宋体"/>
          <w:color w:val="auto"/>
          <w:kern w:val="2"/>
          <w:sz w:val="21"/>
          <w:szCs w:val="21"/>
          <w:highlight w:val="none"/>
          <w:lang w:val="zh-CN"/>
        </w:rPr>
        <w:t>提出的</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候选人名单排序依次确定其他</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候选人为</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人或重新</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b w:val="0"/>
          <w:color w:val="auto"/>
          <w:kern w:val="2"/>
          <w:sz w:val="21"/>
          <w:szCs w:val="21"/>
          <w:highlight w:val="none"/>
          <w:lang w:val="zh-CN"/>
        </w:rPr>
        <w:t>。</w:t>
      </w:r>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pPr>
        <w:tabs>
          <w:tab w:val="left" w:pos="567"/>
        </w:tabs>
        <w:autoSpaceDE/>
        <w:autoSpaceDN/>
        <w:adjustRightInd/>
        <w:spacing w:line="360" w:lineRule="auto"/>
        <w:ind w:left="567" w:leftChars="0" w:hanging="567"/>
        <w:jc w:val="both"/>
        <w:outlineLvl w:val="2"/>
        <w:rPr>
          <w:rFonts w:hint="eastAsia" w:ascii="宋体" w:hAnsi="宋体" w:eastAsia="宋体" w:cs="宋体"/>
          <w:color w:val="auto"/>
          <w:kern w:val="2"/>
          <w:sz w:val="21"/>
          <w:szCs w:val="21"/>
          <w:highlight w:val="none"/>
          <w:lang w:val="zh-CN"/>
        </w:rPr>
      </w:pPr>
      <w:bookmarkStart w:id="172" w:name="_Toc15170"/>
      <w:bookmarkStart w:id="173" w:name="_Toc8196"/>
      <w:bookmarkStart w:id="174" w:name="_Toc6726_WPSOffice_Level3"/>
      <w:bookmarkStart w:id="175" w:name="_Toc18984"/>
      <w:bookmarkStart w:id="176" w:name="_Toc486167699"/>
      <w:bookmarkStart w:id="177" w:name="_Toc142508350"/>
      <w:bookmarkStart w:id="178" w:name="_Toc14377"/>
      <w:bookmarkStart w:id="179" w:name="_Toc8027"/>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通知</w:t>
      </w:r>
      <w:bookmarkEnd w:id="172"/>
      <w:bookmarkEnd w:id="173"/>
      <w:bookmarkEnd w:id="174"/>
      <w:bookmarkEnd w:id="175"/>
      <w:bookmarkEnd w:id="176"/>
      <w:bookmarkEnd w:id="177"/>
      <w:bookmarkEnd w:id="178"/>
      <w:bookmarkEnd w:id="179"/>
    </w:p>
    <w:p>
      <w:pPr>
        <w:numPr>
          <w:ilvl w:val="1"/>
          <w:numId w:val="0"/>
        </w:numPr>
        <w:tabs>
          <w:tab w:val="left" w:pos="540"/>
        </w:tabs>
        <w:autoSpaceDE/>
        <w:autoSpaceDN/>
        <w:adjustRightInd/>
        <w:snapToGrid/>
        <w:spacing w:line="360" w:lineRule="auto"/>
        <w:ind w:left="540" w:leftChars="0" w:right="51" w:hanging="540" w:firstLineChars="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通知书是合同的一个组成部分。</w:t>
      </w:r>
    </w:p>
    <w:p>
      <w:pPr>
        <w:numPr>
          <w:ilvl w:val="-1"/>
          <w:numId w:val="0"/>
        </w:numPr>
        <w:autoSpaceDE/>
        <w:autoSpaceDN/>
        <w:adjustRightInd/>
        <w:snapToGrid w:val="0"/>
        <w:spacing w:line="360" w:lineRule="auto"/>
        <w:ind w:left="525" w:leftChars="0" w:right="0" w:hanging="525" w:hangingChars="25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人发出书面通知的同时，</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代理机构通知落选的</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其</w:t>
      </w:r>
      <w:r>
        <w:rPr>
          <w:rFonts w:hint="eastAsia" w:ascii="宋体" w:hAnsi="宋体" w:eastAsia="宋体" w:cs="宋体"/>
          <w:color w:val="auto"/>
          <w:kern w:val="2"/>
          <w:sz w:val="21"/>
          <w:szCs w:val="21"/>
          <w:highlight w:val="none"/>
          <w:lang w:val="zh-CN" w:eastAsia="zh-CN"/>
        </w:rPr>
        <w:t>响应</w:t>
      </w:r>
      <w:r>
        <w:rPr>
          <w:rFonts w:hint="eastAsia" w:ascii="宋体" w:hAnsi="宋体" w:eastAsia="宋体" w:cs="宋体"/>
          <w:color w:val="auto"/>
          <w:kern w:val="2"/>
          <w:sz w:val="21"/>
          <w:szCs w:val="21"/>
          <w:highlight w:val="none"/>
          <w:lang w:val="zh-CN"/>
        </w:rPr>
        <w:t>文件未被接受而不提原因。</w:t>
      </w:r>
    </w:p>
    <w:p>
      <w:pPr>
        <w:snapToGrid w:val="0"/>
        <w:spacing w:line="360" w:lineRule="auto"/>
        <w:jc w:val="both"/>
        <w:rPr>
          <w:rFonts w:hint="eastAsia" w:ascii="宋体" w:hAnsi="宋体" w:eastAsia="宋体" w:cs="宋体"/>
          <w:color w:val="auto"/>
          <w:kern w:val="2"/>
          <w:sz w:val="21"/>
          <w:szCs w:val="21"/>
          <w:highlight w:val="none"/>
          <w:lang w:val="zh-CN"/>
        </w:rPr>
      </w:pPr>
    </w:p>
    <w:p>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80" w:name="_Toc521918104"/>
      <w:bookmarkStart w:id="181" w:name="_Toc12060"/>
      <w:bookmarkStart w:id="182" w:name="_Toc21850"/>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4   </w:t>
      </w:r>
      <w:r>
        <w:rPr>
          <w:rFonts w:hint="eastAsia" w:ascii="宋体" w:hAnsi="宋体" w:eastAsia="宋体" w:cs="宋体"/>
          <w:color w:val="auto"/>
          <w:kern w:val="2"/>
          <w:sz w:val="21"/>
          <w:szCs w:val="21"/>
          <w:highlight w:val="none"/>
          <w:lang w:val="zh-CN"/>
        </w:rPr>
        <w:t>签署合同</w:t>
      </w:r>
      <w:bookmarkEnd w:id="171"/>
      <w:bookmarkEnd w:id="180"/>
      <w:bookmarkEnd w:id="181"/>
      <w:bookmarkEnd w:id="182"/>
    </w:p>
    <w:p>
      <w:pPr>
        <w:tabs>
          <w:tab w:val="left" w:pos="540"/>
        </w:tabs>
        <w:spacing w:line="360" w:lineRule="auto"/>
        <w:ind w:left="540" w:right="18"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成交人在自成交通知书发出之日起</w:t>
      </w:r>
      <w:r>
        <w:rPr>
          <w:rFonts w:hint="eastAsia" w:ascii="宋体" w:hAnsi="宋体" w:eastAsia="宋体" w:cs="宋体"/>
          <w:b/>
          <w:color w:val="auto"/>
          <w:kern w:val="2"/>
          <w:sz w:val="21"/>
          <w:szCs w:val="21"/>
          <w:highlight w:val="none"/>
          <w:u w:val="single"/>
          <w:lang w:val="en-US" w:eastAsia="zh-CN"/>
        </w:rPr>
        <w:t>7</w:t>
      </w:r>
      <w:r>
        <w:rPr>
          <w:rFonts w:hint="eastAsia" w:ascii="宋体" w:hAnsi="宋体" w:eastAsia="宋体" w:cs="宋体"/>
          <w:b/>
          <w:color w:val="auto"/>
          <w:kern w:val="2"/>
          <w:sz w:val="21"/>
          <w:szCs w:val="21"/>
          <w:highlight w:val="none"/>
          <w:u w:val="single"/>
          <w:lang w:val="zh-CN"/>
        </w:rPr>
        <w:t>日内，在成交通知书上规定的时间内，应派法定代表人或授权代表前往采购人处签订合同，否则采购人有权取消</w:t>
      </w:r>
      <w:r>
        <w:rPr>
          <w:rFonts w:hint="eastAsia" w:ascii="宋体" w:hAnsi="宋体" w:eastAsia="宋体" w:cs="宋体"/>
          <w:b/>
          <w:color w:val="auto"/>
          <w:kern w:val="2"/>
          <w:sz w:val="21"/>
          <w:szCs w:val="21"/>
          <w:highlight w:val="none"/>
          <w:u w:val="single"/>
          <w:lang w:val="en-US" w:eastAsia="zh-CN"/>
        </w:rPr>
        <w:t>成交</w:t>
      </w:r>
      <w:r>
        <w:rPr>
          <w:rFonts w:hint="eastAsia" w:ascii="宋体" w:hAnsi="宋体" w:eastAsia="宋体" w:cs="宋体"/>
          <w:b/>
          <w:color w:val="auto"/>
          <w:kern w:val="2"/>
          <w:sz w:val="21"/>
          <w:szCs w:val="21"/>
          <w:highlight w:val="none"/>
          <w:u w:val="single"/>
          <w:lang w:val="zh-CN"/>
        </w:rPr>
        <w:t>资格并按竞争性磋商文件及法律、法规的规定进行处理</w:t>
      </w:r>
      <w:r>
        <w:rPr>
          <w:rFonts w:hint="eastAsia" w:ascii="宋体" w:hAnsi="宋体" w:eastAsia="宋体" w:cs="宋体"/>
          <w:color w:val="auto"/>
          <w:kern w:val="2"/>
          <w:sz w:val="21"/>
          <w:szCs w:val="21"/>
          <w:highlight w:val="none"/>
          <w:lang w:val="zh-CN"/>
        </w:rPr>
        <w:t>。</w:t>
      </w:r>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 在签署合同前，采购人可对成交人响应报价表内的算术性错误的情况进行修正，修正原则为：</w:t>
      </w:r>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（1）当以数字表示的金额与以文字表示的金额不一致时，以文字表示的金额为准；</w:t>
      </w:r>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（2）当分项报价明细表内累计与响应报价表内报价不符时，以响应报价表（</w:t>
      </w:r>
      <w:r>
        <w:rPr>
          <w:rFonts w:hint="eastAsia" w:ascii="宋体" w:hAnsi="宋体" w:eastAsia="宋体" w:cs="宋体"/>
          <w:color w:val="auto"/>
          <w:kern w:val="2"/>
          <w:sz w:val="21"/>
          <w:szCs w:val="21"/>
          <w:highlight w:val="none"/>
          <w:lang w:val="en-US" w:eastAsia="zh-CN"/>
        </w:rPr>
        <w:t>开启最后报价</w:t>
      </w:r>
      <w:r>
        <w:rPr>
          <w:rFonts w:hint="eastAsia" w:ascii="宋体" w:hAnsi="宋体" w:eastAsia="宋体" w:cs="宋体"/>
          <w:color w:val="auto"/>
          <w:kern w:val="2"/>
          <w:sz w:val="21"/>
          <w:szCs w:val="21"/>
          <w:highlight w:val="none"/>
          <w:lang w:val="zh-CN"/>
        </w:rPr>
        <w:t>一览表）为准，修正分项报价明细表内的各分项报价。按前述修正原则排序依次进行修正至唯一值后的报价表经双方确认后，作为合同文件的组成部分。</w:t>
      </w:r>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.3 成交人因不可抗力或自身原因不能履行合同的、不按要求与采购人签订合同、成交人放弃成交、成交资格被依法确认无效的，采购人可以按照</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小组提出的成交候选人名单排序依次确定其他成交候选人为成交人或重新采购。</w:t>
      </w:r>
    </w:p>
    <w:p>
      <w:pPr>
        <w:snapToGrid w:val="0"/>
        <w:spacing w:line="360" w:lineRule="auto"/>
        <w:ind w:left="523" w:leftChars="218" w:firstLine="42" w:firstLineChars="20"/>
        <w:jc w:val="both"/>
        <w:rPr>
          <w:rFonts w:hint="eastAsia" w:ascii="宋体" w:hAnsi="宋体" w:eastAsia="宋体" w:cs="宋体"/>
          <w:color w:val="auto"/>
          <w:kern w:val="2"/>
          <w:sz w:val="21"/>
          <w:szCs w:val="21"/>
          <w:highlight w:val="none"/>
          <w:lang w:val="zh-CN"/>
        </w:rPr>
      </w:pPr>
    </w:p>
    <w:p>
      <w:pPr>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83" w:name="_Toc51642383"/>
      <w:bookmarkStart w:id="184" w:name="_Toc29065"/>
      <w:bookmarkStart w:id="185" w:name="_Toc19399"/>
      <w:bookmarkStart w:id="186" w:name="_Toc521918105"/>
      <w:bookmarkStart w:id="187" w:name="_Toc450662887"/>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履约担保</w:t>
      </w:r>
      <w:bookmarkEnd w:id="183"/>
      <w:bookmarkEnd w:id="184"/>
      <w:bookmarkEnd w:id="185"/>
    </w:p>
    <w:p>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w:t>
      </w:r>
      <w:r>
        <w:rPr>
          <w:rFonts w:hint="eastAsia" w:ascii="宋体" w:hAnsi="宋体" w:eastAsia="宋体" w:cs="宋体"/>
          <w:bCs w:val="0"/>
          <w:color w:val="auto"/>
          <w:kern w:val="2"/>
          <w:sz w:val="21"/>
          <w:szCs w:val="21"/>
          <w:highlight w:val="none"/>
          <w:lang w:val="en-US" w:eastAsia="zh-CN"/>
        </w:rPr>
        <w:t>5</w:t>
      </w:r>
      <w:r>
        <w:rPr>
          <w:rFonts w:hint="eastAsia" w:ascii="宋体" w:hAnsi="宋体" w:eastAsia="宋体" w:cs="宋体"/>
          <w:bCs w:val="0"/>
          <w:color w:val="auto"/>
          <w:kern w:val="2"/>
          <w:sz w:val="21"/>
          <w:szCs w:val="21"/>
          <w:highlight w:val="none"/>
          <w:lang w:val="zh-CN"/>
        </w:rPr>
        <w:t xml:space="preserve">.1 </w:t>
      </w:r>
      <w:bookmarkStart w:id="188" w:name="_Hlk33966618"/>
      <w:r>
        <w:rPr>
          <w:rFonts w:hint="eastAsia" w:ascii="宋体" w:hAnsi="宋体" w:eastAsia="宋体" w:cs="宋体"/>
          <w:bCs w:val="0"/>
          <w:color w:val="auto"/>
          <w:kern w:val="2"/>
          <w:sz w:val="21"/>
          <w:szCs w:val="21"/>
          <w:highlight w:val="none"/>
          <w:lang w:val="zh-CN"/>
        </w:rPr>
        <w:t>本项目成交人无需提交履约担保，成交人必须严格按照合同履约，采购人有权从成交人未付款中扣除成交人的违约金。成交人违约造成采购人损失的，采购人有权追偿。</w:t>
      </w:r>
    </w:p>
    <w:bookmarkEnd w:id="186"/>
    <w:bookmarkEnd w:id="187"/>
    <w:bookmarkEnd w:id="188"/>
    <w:p>
      <w:pPr>
        <w:tabs>
          <w:tab w:val="left" w:pos="360"/>
          <w:tab w:val="left" w:pos="4725"/>
        </w:tabs>
        <w:spacing w:line="360" w:lineRule="auto"/>
        <w:ind w:left="720" w:hanging="720" w:hangingChars="300"/>
        <w:jc w:val="both"/>
        <w:rPr>
          <w:rFonts w:hint="eastAsia" w:ascii="宋体" w:hAnsi="宋体" w:eastAsia="宋体" w:cs="宋体"/>
          <w:color w:val="auto"/>
          <w:highlight w:val="none"/>
          <w:lang w:val="zh-CN"/>
        </w:rPr>
      </w:pPr>
    </w:p>
    <w:p>
      <w:pPr>
        <w:tabs>
          <w:tab w:val="left" w:pos="36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89" w:name="_Toc12419"/>
      <w:bookmarkStart w:id="190" w:name="_Toc1156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6   </w:t>
      </w:r>
      <w:r>
        <w:rPr>
          <w:rFonts w:hint="eastAsia" w:ascii="宋体" w:hAnsi="宋体" w:eastAsia="宋体" w:cs="宋体"/>
          <w:color w:val="auto"/>
          <w:kern w:val="2"/>
          <w:sz w:val="21"/>
          <w:szCs w:val="21"/>
          <w:highlight w:val="none"/>
          <w:lang w:val="zh-CN"/>
        </w:rPr>
        <w:t>在合同履行中变更采购范围的权利</w:t>
      </w:r>
      <w:bookmarkEnd w:id="189"/>
      <w:bookmarkEnd w:id="190"/>
    </w:p>
    <w:p>
      <w:pPr>
        <w:snapToGrid w:val="0"/>
        <w:spacing w:line="360" w:lineRule="auto"/>
        <w:ind w:left="525" w:leftChars="0" w:hanging="525" w:hangingChars="250"/>
        <w:jc w:val="both"/>
        <w:rPr>
          <w:rFonts w:hint="eastAsia" w:ascii="宋体" w:hAnsi="宋体" w:eastAsia="宋体" w:cs="宋体"/>
          <w:color w:val="auto"/>
          <w:sz w:val="21"/>
          <w:szCs w:val="21"/>
          <w:highlight w:val="none"/>
        </w:rPr>
      </w:pPr>
      <w:bookmarkStart w:id="191" w:name="_Toc45066288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.1 合同履行中，采购人在合同约定的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范围内，采购人有权根据项目实际情况及有关法律法规、政策的规定对采购范围进行变更调整，变更采购范围后，</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应遵照执行</w:t>
      </w:r>
      <w:r>
        <w:rPr>
          <w:rFonts w:hint="eastAsia" w:ascii="宋体" w:hAnsi="宋体" w:eastAsia="宋体" w:cs="宋体"/>
          <w:color w:val="auto"/>
          <w:sz w:val="21"/>
          <w:szCs w:val="21"/>
          <w:highlight w:val="none"/>
        </w:rPr>
        <w:t>。</w:t>
      </w:r>
    </w:p>
    <w:p>
      <w:pPr>
        <w:spacing w:line="360" w:lineRule="auto"/>
        <w:ind w:left="598" w:leftChars="1" w:hanging="596" w:hangingChars="284"/>
        <w:jc w:val="both"/>
        <w:rPr>
          <w:rFonts w:hint="eastAsia" w:ascii="宋体" w:hAnsi="宋体" w:eastAsia="宋体" w:cs="宋体"/>
          <w:color w:val="auto"/>
          <w:sz w:val="21"/>
          <w:szCs w:val="21"/>
          <w:highlight w:val="none"/>
        </w:rPr>
      </w:pPr>
    </w:p>
    <w:p>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92" w:name="_Toc66"/>
      <w:bookmarkStart w:id="193" w:name="_Toc521918107"/>
      <w:bookmarkStart w:id="194" w:name="_Toc2075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7   代理</w:t>
      </w:r>
      <w:r>
        <w:rPr>
          <w:rFonts w:hint="eastAsia" w:ascii="宋体" w:hAnsi="宋体" w:eastAsia="宋体" w:cs="宋体"/>
          <w:color w:val="auto"/>
          <w:kern w:val="2"/>
          <w:sz w:val="21"/>
          <w:szCs w:val="21"/>
          <w:highlight w:val="none"/>
          <w:lang w:val="zh-CN"/>
        </w:rPr>
        <w:t>服务费</w:t>
      </w:r>
      <w:bookmarkEnd w:id="191"/>
      <w:bookmarkEnd w:id="192"/>
      <w:bookmarkEnd w:id="193"/>
      <w:bookmarkEnd w:id="194"/>
    </w:p>
    <w:p>
      <w:pPr>
        <w:spacing w:line="360" w:lineRule="auto"/>
        <w:ind w:right="18"/>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37.1 </w:t>
      </w:r>
      <w:r>
        <w:rPr>
          <w:rFonts w:hint="eastAsia" w:ascii="宋体" w:hAnsi="宋体" w:eastAsia="宋体" w:cs="宋体"/>
          <w:bCs/>
          <w:color w:val="auto"/>
          <w:kern w:val="2"/>
          <w:sz w:val="21"/>
          <w:szCs w:val="21"/>
          <w:highlight w:val="none"/>
          <w:lang w:val="zh-CN"/>
        </w:rPr>
        <w:t>本项目</w:t>
      </w:r>
      <w:r>
        <w:rPr>
          <w:rFonts w:hint="eastAsia" w:ascii="宋体" w:hAnsi="宋体" w:eastAsia="宋体" w:cs="宋体"/>
          <w:bCs/>
          <w:color w:val="auto"/>
          <w:kern w:val="2"/>
          <w:sz w:val="21"/>
          <w:szCs w:val="21"/>
          <w:highlight w:val="none"/>
          <w:lang w:val="en-US" w:eastAsia="zh-CN"/>
        </w:rPr>
        <w:t>代理服务费由采购人向代理机构支付。</w:t>
      </w:r>
    </w:p>
    <w:p>
      <w:pPr>
        <w:spacing w:line="360" w:lineRule="auto"/>
        <w:ind w:left="598" w:leftChars="1" w:hanging="596" w:hangingChars="284"/>
        <w:jc w:val="both"/>
        <w:outlineLvl w:val="9"/>
        <w:rPr>
          <w:rFonts w:hint="eastAsia" w:ascii="宋体" w:hAnsi="宋体" w:eastAsia="宋体" w:cs="宋体"/>
          <w:color w:val="auto"/>
          <w:kern w:val="0"/>
          <w:sz w:val="21"/>
          <w:szCs w:val="21"/>
          <w:highlight w:val="none"/>
          <w:lang w:val="zh-CN"/>
        </w:rPr>
      </w:pPr>
      <w:bookmarkStart w:id="195" w:name="_Toc450662889"/>
      <w:bookmarkStart w:id="196" w:name="_Toc521918108"/>
    </w:p>
    <w:p>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97" w:name="_Toc19632"/>
      <w:bookmarkStart w:id="198" w:name="_Toc2675"/>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8   </w:t>
      </w:r>
      <w:r>
        <w:rPr>
          <w:rFonts w:hint="eastAsia" w:ascii="宋体" w:hAnsi="宋体" w:eastAsia="宋体" w:cs="宋体"/>
          <w:color w:val="auto"/>
          <w:kern w:val="2"/>
          <w:sz w:val="21"/>
          <w:szCs w:val="21"/>
          <w:highlight w:val="none"/>
          <w:lang w:val="zh-CN"/>
        </w:rPr>
        <w:t>发票</w:t>
      </w:r>
      <w:bookmarkEnd w:id="195"/>
      <w:bookmarkEnd w:id="196"/>
      <w:bookmarkEnd w:id="197"/>
      <w:bookmarkEnd w:id="198"/>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该项目获得成交的成交人在执行合同过程中，向采购人（或采购人控股公司或由采购人管理的</w:t>
      </w:r>
      <w:r>
        <w:rPr>
          <w:rFonts w:hint="eastAsia" w:ascii="宋体" w:hAnsi="宋体" w:eastAsia="宋体" w:cs="宋体"/>
          <w:color w:val="auto"/>
          <w:sz w:val="21"/>
          <w:szCs w:val="21"/>
          <w:highlight w:val="none"/>
        </w:rPr>
        <w:t>参股</w:t>
      </w:r>
      <w:r>
        <w:rPr>
          <w:rFonts w:hint="eastAsia" w:ascii="宋体" w:hAnsi="宋体" w:eastAsia="宋体" w:cs="宋体"/>
          <w:color w:val="auto"/>
          <w:kern w:val="2"/>
          <w:sz w:val="21"/>
          <w:szCs w:val="21"/>
          <w:highlight w:val="none"/>
          <w:lang w:val="zh-CN"/>
        </w:rPr>
        <w:t>公司）出具的发票必须是由成交人开具，不得以其他单位或个人名义出具，本项目成交人向采购人出具的发票类型为增值税</w:t>
      </w:r>
      <w:r>
        <w:rPr>
          <w:rFonts w:hint="eastAsia" w:ascii="宋体" w:hAnsi="宋体" w:eastAsia="宋体" w:cs="宋体"/>
          <w:color w:val="auto"/>
          <w:kern w:val="2"/>
          <w:sz w:val="21"/>
          <w:szCs w:val="21"/>
          <w:highlight w:val="none"/>
          <w:lang w:val="en-US" w:eastAsia="zh-CN"/>
        </w:rPr>
        <w:t>专用</w:t>
      </w:r>
      <w:r>
        <w:rPr>
          <w:rFonts w:hint="eastAsia" w:ascii="宋体" w:hAnsi="宋体" w:eastAsia="宋体" w:cs="宋体"/>
          <w:color w:val="auto"/>
          <w:kern w:val="2"/>
          <w:sz w:val="21"/>
          <w:szCs w:val="21"/>
          <w:highlight w:val="none"/>
          <w:lang w:val="zh-CN"/>
        </w:rPr>
        <w:t>发票，</w:t>
      </w:r>
      <w:r>
        <w:rPr>
          <w:rFonts w:hint="eastAsia" w:ascii="宋体" w:hAnsi="宋体" w:eastAsia="宋体" w:cs="宋体"/>
          <w:color w:val="auto"/>
          <w:kern w:val="2"/>
          <w:sz w:val="21"/>
          <w:szCs w:val="21"/>
          <w:highlight w:val="none"/>
          <w:lang w:val="en-US" w:eastAsia="zh-CN"/>
        </w:rPr>
        <w:t>当需要开具增值税普通发票时，采购人另行通知</w:t>
      </w:r>
      <w:r>
        <w:rPr>
          <w:rFonts w:hint="eastAsia" w:ascii="宋体" w:hAnsi="宋体" w:eastAsia="宋体" w:cs="宋体"/>
          <w:color w:val="auto"/>
          <w:kern w:val="2"/>
          <w:sz w:val="21"/>
          <w:szCs w:val="21"/>
          <w:highlight w:val="none"/>
          <w:lang w:val="zh-CN"/>
        </w:rPr>
        <w:t>。</w:t>
      </w:r>
    </w:p>
    <w:p>
      <w:pPr>
        <w:snapToGrid w:val="0"/>
        <w:spacing w:line="360" w:lineRule="auto"/>
        <w:ind w:left="525" w:hanging="600" w:hangingChars="250"/>
        <w:jc w:val="both"/>
        <w:rPr>
          <w:rFonts w:hint="eastAsia" w:ascii="宋体" w:hAnsi="宋体" w:eastAsia="宋体" w:cs="宋体"/>
          <w:color w:val="auto"/>
          <w:highlight w:val="none"/>
          <w:lang w:val="zh-CN"/>
        </w:rPr>
      </w:pPr>
    </w:p>
    <w:p>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99" w:name="_Toc27075"/>
      <w:bookmarkStart w:id="200" w:name="_Toc24547"/>
      <w:bookmarkStart w:id="201" w:name="_Toc142508356"/>
      <w:bookmarkStart w:id="202" w:name="_Toc8619"/>
      <w:bookmarkStart w:id="203" w:name="_Toc20311"/>
      <w:bookmarkStart w:id="204" w:name="_Toc1404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 xml:space="preserve">  采购</w:t>
      </w:r>
      <w:r>
        <w:rPr>
          <w:rFonts w:hint="eastAsia" w:ascii="宋体" w:hAnsi="宋体" w:eastAsia="宋体" w:cs="宋体"/>
          <w:color w:val="auto"/>
          <w:kern w:val="2"/>
          <w:sz w:val="21"/>
          <w:szCs w:val="21"/>
          <w:highlight w:val="none"/>
          <w:lang w:val="zh-CN"/>
        </w:rPr>
        <w:t>相关补充约定</w:t>
      </w:r>
      <w:bookmarkEnd w:id="199"/>
      <w:bookmarkEnd w:id="200"/>
      <w:bookmarkEnd w:id="201"/>
      <w:bookmarkEnd w:id="202"/>
      <w:bookmarkEnd w:id="203"/>
      <w:bookmarkEnd w:id="204"/>
    </w:p>
    <w:p>
      <w:pPr>
        <w:autoSpaceDE/>
        <w:autoSpaceDN/>
        <w:adjustRightInd/>
        <w:snapToGrid w:val="0"/>
        <w:spacing w:line="360" w:lineRule="auto"/>
        <w:ind w:left="525" w:hanging="525" w:hangingChars="250"/>
        <w:jc w:val="both"/>
        <w:rPr>
          <w:rFonts w:hint="eastAsia" w:ascii="宋体" w:hAnsi="宋体" w:eastAsia="宋体" w:cs="宋体"/>
          <w:color w:val="auto"/>
          <w:highlight w:val="none"/>
          <w:lang w:val="zh-CN"/>
        </w:rPr>
      </w:pPr>
      <w:r>
        <w:rPr>
          <w:rFonts w:hint="eastAsia" w:ascii="宋体" w:hAnsi="宋体" w:eastAsia="宋体" w:cs="宋体"/>
          <w:b w:val="0"/>
          <w:color w:val="auto"/>
          <w:kern w:val="2"/>
          <w:sz w:val="21"/>
          <w:szCs w:val="21"/>
          <w:highlight w:val="none"/>
          <w:lang w:val="en-US" w:eastAsia="zh-CN"/>
        </w:rPr>
        <w:t>39</w:t>
      </w:r>
      <w:r>
        <w:rPr>
          <w:rFonts w:hint="eastAsia" w:ascii="宋体" w:hAnsi="宋体" w:eastAsia="宋体" w:cs="宋体"/>
          <w:b w:val="0"/>
          <w:color w:val="auto"/>
          <w:kern w:val="2"/>
          <w:sz w:val="21"/>
          <w:szCs w:val="21"/>
          <w:highlight w:val="none"/>
          <w:lang w:val="zh-CN"/>
        </w:rPr>
        <w:t>.1</w:t>
      </w:r>
      <w:r>
        <w:rPr>
          <w:rFonts w:hint="eastAsia" w:ascii="宋体" w:hAnsi="宋体" w:eastAsia="宋体" w:cs="宋体"/>
          <w:b w:val="0"/>
          <w:color w:val="auto"/>
          <w:kern w:val="2"/>
          <w:sz w:val="21"/>
          <w:szCs w:val="21"/>
          <w:highlight w:val="none"/>
          <w:lang w:val="zh-CN"/>
        </w:rPr>
        <w:tab/>
      </w:r>
      <w:r>
        <w:rPr>
          <w:rFonts w:hint="eastAsia" w:ascii="宋体" w:hAnsi="宋体" w:eastAsia="宋体" w:cs="宋体"/>
          <w:b w:val="0"/>
          <w:color w:val="auto"/>
          <w:kern w:val="2"/>
          <w:sz w:val="21"/>
          <w:szCs w:val="21"/>
          <w:highlight w:val="none"/>
          <w:lang w:val="zh-CN"/>
        </w:rPr>
        <w:t>本项目</w:t>
      </w:r>
      <w:r>
        <w:rPr>
          <w:rFonts w:hint="eastAsia" w:ascii="宋体" w:hAnsi="宋体" w:eastAsia="宋体" w:cs="宋体"/>
          <w:b w:val="0"/>
          <w:color w:val="auto"/>
          <w:kern w:val="2"/>
          <w:sz w:val="21"/>
          <w:szCs w:val="21"/>
          <w:highlight w:val="none"/>
          <w:lang w:val="en-US" w:eastAsia="zh-CN"/>
        </w:rPr>
        <w:t>磋商</w:t>
      </w:r>
      <w:r>
        <w:rPr>
          <w:rFonts w:hint="eastAsia" w:ascii="宋体" w:hAnsi="宋体" w:eastAsia="宋体" w:cs="宋体"/>
          <w:b w:val="0"/>
          <w:color w:val="auto"/>
          <w:kern w:val="2"/>
          <w:sz w:val="21"/>
          <w:szCs w:val="21"/>
          <w:highlight w:val="none"/>
          <w:lang w:val="zh-CN"/>
        </w:rPr>
        <w:t>须知第2条所述行政处罚信息，以</w:t>
      </w:r>
      <w:r>
        <w:rPr>
          <w:rFonts w:hint="eastAsia" w:ascii="宋体" w:hAnsi="宋体" w:eastAsia="宋体" w:cs="宋体"/>
          <w:b w:val="0"/>
          <w:color w:val="auto"/>
          <w:kern w:val="2"/>
          <w:sz w:val="21"/>
          <w:szCs w:val="21"/>
          <w:highlight w:val="none"/>
          <w:lang w:val="en-US" w:eastAsia="zh-CN"/>
        </w:rPr>
        <w:t>评审</w:t>
      </w:r>
      <w:r>
        <w:rPr>
          <w:rFonts w:hint="eastAsia" w:ascii="宋体" w:hAnsi="宋体" w:eastAsia="宋体" w:cs="宋体"/>
          <w:b w:val="0"/>
          <w:color w:val="auto"/>
          <w:kern w:val="2"/>
          <w:sz w:val="21"/>
          <w:szCs w:val="21"/>
          <w:highlight w:val="none"/>
          <w:lang w:val="zh-CN" w:eastAsia="zh-CN"/>
        </w:rPr>
        <w:t>当天</w:t>
      </w:r>
      <w:r>
        <w:rPr>
          <w:rFonts w:hint="eastAsia" w:ascii="宋体" w:hAnsi="宋体" w:eastAsia="宋体" w:cs="宋体"/>
          <w:b w:val="0"/>
          <w:color w:val="auto"/>
          <w:kern w:val="2"/>
          <w:sz w:val="21"/>
          <w:szCs w:val="21"/>
          <w:highlight w:val="none"/>
          <w:lang w:val="zh-CN"/>
        </w:rPr>
        <w:t>在“信用中国”网站（www.creditchina.gov.cn）查询结果为准，或以司法、仲裁机构等出具的生效文件予以认定,时间以认定文件的落款时间为准。</w:t>
      </w:r>
      <w:r>
        <w:rPr>
          <w:rFonts w:hint="eastAsia" w:ascii="宋体" w:hAnsi="宋体" w:eastAsia="宋体" w:cs="宋体"/>
          <w:b w:val="0"/>
          <w:color w:val="auto"/>
          <w:kern w:val="2"/>
          <w:sz w:val="21"/>
          <w:szCs w:val="21"/>
          <w:highlight w:val="none"/>
          <w:lang w:val="en-US" w:eastAsia="zh-CN"/>
        </w:rPr>
        <w:t>评审</w:t>
      </w:r>
      <w:r>
        <w:rPr>
          <w:rFonts w:hint="eastAsia" w:ascii="宋体" w:hAnsi="宋体" w:eastAsia="宋体" w:cs="宋体"/>
          <w:b w:val="0"/>
          <w:color w:val="auto"/>
          <w:kern w:val="2"/>
          <w:sz w:val="21"/>
          <w:szCs w:val="21"/>
          <w:highlight w:val="none"/>
          <w:lang w:val="zh-CN"/>
        </w:rPr>
        <w:t>结束后，有关</w:t>
      </w:r>
      <w:r>
        <w:rPr>
          <w:rFonts w:hint="eastAsia" w:ascii="宋体" w:hAnsi="宋体" w:eastAsia="宋体" w:cs="宋体"/>
          <w:b w:val="0"/>
          <w:color w:val="auto"/>
          <w:kern w:val="2"/>
          <w:sz w:val="21"/>
          <w:szCs w:val="21"/>
          <w:highlight w:val="none"/>
          <w:lang w:val="en-US" w:eastAsia="zh-CN"/>
        </w:rPr>
        <w:t>报价单位</w:t>
      </w:r>
      <w:r>
        <w:rPr>
          <w:rFonts w:hint="eastAsia" w:ascii="宋体" w:hAnsi="宋体" w:eastAsia="宋体" w:cs="宋体"/>
          <w:b w:val="0"/>
          <w:color w:val="auto"/>
          <w:kern w:val="2"/>
          <w:sz w:val="21"/>
          <w:szCs w:val="21"/>
          <w:highlight w:val="none"/>
          <w:lang w:val="zh-CN"/>
        </w:rPr>
        <w:t>的行政处罚信息，以</w:t>
      </w:r>
      <w:r>
        <w:rPr>
          <w:rFonts w:hint="eastAsia" w:ascii="宋体" w:hAnsi="宋体" w:eastAsia="宋体" w:cs="宋体"/>
          <w:b w:val="0"/>
          <w:color w:val="auto"/>
          <w:kern w:val="2"/>
          <w:sz w:val="21"/>
          <w:szCs w:val="21"/>
          <w:highlight w:val="none"/>
          <w:lang w:val="en-US" w:eastAsia="zh-CN"/>
        </w:rPr>
        <w:t>评审</w:t>
      </w:r>
      <w:r>
        <w:rPr>
          <w:rFonts w:hint="eastAsia" w:ascii="宋体" w:hAnsi="宋体" w:eastAsia="宋体" w:cs="宋体"/>
          <w:b w:val="0"/>
          <w:color w:val="auto"/>
          <w:kern w:val="2"/>
          <w:sz w:val="21"/>
          <w:szCs w:val="21"/>
          <w:highlight w:val="none"/>
          <w:lang w:val="zh-CN" w:eastAsia="zh-CN"/>
        </w:rPr>
        <w:t>当天查询</w:t>
      </w:r>
      <w:r>
        <w:rPr>
          <w:rFonts w:hint="eastAsia" w:ascii="宋体" w:hAnsi="宋体" w:eastAsia="宋体" w:cs="宋体"/>
          <w:b w:val="0"/>
          <w:color w:val="auto"/>
          <w:kern w:val="2"/>
          <w:sz w:val="21"/>
          <w:szCs w:val="21"/>
          <w:highlight w:val="none"/>
          <w:lang w:val="zh-CN"/>
        </w:rPr>
        <w:t>结果为准；结果公示期间，如对有关</w:t>
      </w:r>
      <w:r>
        <w:rPr>
          <w:rFonts w:hint="eastAsia" w:ascii="宋体" w:hAnsi="宋体" w:eastAsia="宋体" w:cs="宋体"/>
          <w:b w:val="0"/>
          <w:color w:val="auto"/>
          <w:kern w:val="2"/>
          <w:sz w:val="21"/>
          <w:szCs w:val="21"/>
          <w:highlight w:val="none"/>
          <w:lang w:val="en-US" w:eastAsia="zh-CN"/>
        </w:rPr>
        <w:t>报价</w:t>
      </w:r>
      <w:r>
        <w:rPr>
          <w:rFonts w:hint="eastAsia" w:ascii="宋体" w:hAnsi="宋体" w:eastAsia="宋体" w:cs="宋体"/>
          <w:b w:val="0"/>
          <w:color w:val="auto"/>
          <w:kern w:val="2"/>
          <w:sz w:val="21"/>
          <w:szCs w:val="21"/>
          <w:highlight w:val="none"/>
          <w:lang w:val="zh-CN"/>
        </w:rPr>
        <w:t>单位的行政处罚信息存在异议，但不涉及第一</w:t>
      </w:r>
      <w:r>
        <w:rPr>
          <w:rFonts w:hint="eastAsia" w:ascii="宋体" w:hAnsi="宋体" w:eastAsia="宋体" w:cs="宋体"/>
          <w:b w:val="0"/>
          <w:color w:val="auto"/>
          <w:kern w:val="2"/>
          <w:sz w:val="21"/>
          <w:szCs w:val="21"/>
          <w:highlight w:val="none"/>
          <w:lang w:val="en-US" w:eastAsia="zh-CN"/>
        </w:rPr>
        <w:t>成交</w:t>
      </w:r>
      <w:r>
        <w:rPr>
          <w:rFonts w:hint="eastAsia" w:ascii="宋体" w:hAnsi="宋体" w:eastAsia="宋体" w:cs="宋体"/>
          <w:b w:val="0"/>
          <w:color w:val="auto"/>
          <w:kern w:val="2"/>
          <w:sz w:val="21"/>
          <w:szCs w:val="21"/>
          <w:highlight w:val="none"/>
          <w:lang w:val="zh-CN"/>
        </w:rPr>
        <w:t>候选人的，视为对</w:t>
      </w:r>
      <w:r>
        <w:rPr>
          <w:rFonts w:hint="eastAsia" w:ascii="宋体" w:hAnsi="宋体" w:eastAsia="宋体" w:cs="宋体"/>
          <w:b w:val="0"/>
          <w:color w:val="auto"/>
          <w:kern w:val="2"/>
          <w:sz w:val="21"/>
          <w:szCs w:val="21"/>
          <w:highlight w:val="none"/>
          <w:lang w:val="en-US" w:eastAsia="zh-CN"/>
        </w:rPr>
        <w:t>成交</w:t>
      </w:r>
      <w:r>
        <w:rPr>
          <w:rFonts w:hint="eastAsia" w:ascii="宋体" w:hAnsi="宋体" w:eastAsia="宋体" w:cs="宋体"/>
          <w:b w:val="0"/>
          <w:color w:val="auto"/>
          <w:kern w:val="2"/>
          <w:sz w:val="21"/>
          <w:szCs w:val="21"/>
          <w:highlight w:val="none"/>
          <w:lang w:val="zh-CN"/>
        </w:rPr>
        <w:t>结果没有造成实质影响。</w:t>
      </w:r>
    </w:p>
    <w:p>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sectPr>
          <w:headerReference r:id="rId4" w:type="first"/>
          <w:footerReference r:id="rId7" w:type="first"/>
          <w:headerReference r:id="rId3" w:type="default"/>
          <w:footerReference r:id="rId5" w:type="default"/>
          <w:footerReference r:id="rId6" w:type="even"/>
          <w:pgSz w:w="11906" w:h="16838"/>
          <w:pgMar w:top="1417" w:right="1418" w:bottom="1417" w:left="1418" w:header="720" w:footer="1003" w:gutter="0"/>
          <w:pgBorders w:offsetFrom="page">
            <w:top w:val="none" w:sz="0" w:space="0"/>
            <w:left w:val="none" w:sz="0" w:space="0"/>
            <w:bottom w:val="none" w:sz="0" w:space="0"/>
            <w:right w:val="none" w:sz="0" w:space="0"/>
          </w:pgBorders>
          <w:pgNumType w:fmt="decimal"/>
          <w:cols w:space="720" w:num="1"/>
          <w:titlePg/>
          <w:docGrid w:linePitch="326" w:charSpace="0"/>
        </w:sectPr>
      </w:pPr>
      <w:bookmarkStart w:id="205" w:name="_Toc32444"/>
      <w:bookmarkStart w:id="206" w:name="_Toc521918109"/>
      <w:bookmarkStart w:id="207" w:name="_Toc4342"/>
      <w:r>
        <w:rPr>
          <w:rFonts w:hint="eastAsia" w:ascii="宋体" w:hAnsi="宋体" w:eastAsia="宋体" w:cs="宋体"/>
          <w:color w:val="auto"/>
          <w:kern w:val="2"/>
          <w:sz w:val="21"/>
          <w:szCs w:val="21"/>
          <w:highlight w:val="none"/>
          <w:lang w:val="en-US" w:eastAsia="zh-CN"/>
        </w:rPr>
        <w:t xml:space="preserve">40   </w:t>
      </w:r>
      <w:r>
        <w:rPr>
          <w:rFonts w:hint="eastAsia" w:ascii="宋体" w:hAnsi="宋体" w:eastAsia="宋体" w:cs="宋体"/>
          <w:color w:val="auto"/>
          <w:kern w:val="2"/>
          <w:sz w:val="21"/>
          <w:szCs w:val="21"/>
          <w:highlight w:val="none"/>
          <w:lang w:val="zh-CN"/>
        </w:rPr>
        <w:t>本次采购活动的最终解释权归采购代理机构及采购人所有。</w:t>
      </w:r>
      <w:bookmarkEnd w:id="205"/>
      <w:bookmarkEnd w:id="206"/>
      <w:bookmarkEnd w:id="207"/>
    </w:p>
    <w:p>
      <w:pPr>
        <w:pStyle w:val="4"/>
        <w:pageBreakBefore/>
        <w:tabs>
          <w:tab w:val="left" w:pos="1080"/>
        </w:tabs>
        <w:spacing w:line="360" w:lineRule="auto"/>
        <w:ind w:left="567" w:hanging="567"/>
        <w:jc w:val="center"/>
        <w:rPr>
          <w:rFonts w:hint="eastAsia" w:ascii="宋体" w:hAnsi="宋体" w:eastAsia="宋体" w:cs="宋体"/>
          <w:color w:val="auto"/>
          <w:highlight w:val="none"/>
          <w:lang w:val="zh-CN"/>
        </w:rPr>
      </w:pPr>
      <w:bookmarkStart w:id="208" w:name="_Toc15599"/>
      <w:bookmarkStart w:id="209" w:name="_Toc450662891"/>
      <w:bookmarkStart w:id="210" w:name="_Toc521918110"/>
      <w:bookmarkStart w:id="211" w:name="_Toc27082"/>
      <w:bookmarkStart w:id="212" w:name="_Toc489359498"/>
      <w:bookmarkStart w:id="213" w:name="_Toc447044603"/>
      <w:bookmarkStart w:id="214" w:name="_Toc447044479"/>
      <w:bookmarkStart w:id="215" w:name="_Toc447045090"/>
      <w:bookmarkStart w:id="216" w:name="_Toc523567019"/>
      <w:bookmarkStart w:id="217" w:name="_Toc521918112"/>
      <w:r>
        <w:rPr>
          <w:rFonts w:hint="eastAsia" w:ascii="宋体" w:hAnsi="宋体" w:eastAsia="宋体" w:cs="宋体"/>
          <w:b/>
          <w:bCs/>
          <w:color w:val="auto"/>
          <w:kern w:val="44"/>
          <w:sz w:val="32"/>
          <w:szCs w:val="32"/>
          <w:highlight w:val="none"/>
          <w:lang w:val="zh-CN"/>
        </w:rPr>
        <w:t>第三篇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用户需求书</w:t>
      </w:r>
      <w:bookmarkEnd w:id="208"/>
      <w:bookmarkEnd w:id="209"/>
      <w:bookmarkEnd w:id="210"/>
      <w:bookmarkEnd w:id="211"/>
    </w:p>
    <w:p>
      <w:pPr>
        <w:pStyle w:val="5"/>
        <w:pageBreakBefore w:val="0"/>
        <w:kinsoku/>
        <w:wordWrap/>
        <w:overflowPunct/>
        <w:topLinePunct w:val="0"/>
        <w:bidi w:val="0"/>
        <w:snapToGrid/>
        <w:spacing w:line="360" w:lineRule="auto"/>
        <w:rPr>
          <w:rFonts w:hint="eastAsia" w:ascii="宋体" w:hAnsi="宋体" w:eastAsia="宋体" w:cs="宋体"/>
          <w:b/>
          <w:bCs/>
          <w:color w:val="auto"/>
          <w:kern w:val="44"/>
          <w:sz w:val="21"/>
          <w:szCs w:val="21"/>
          <w:highlight w:val="none"/>
          <w:lang w:val="zh-CN"/>
        </w:rPr>
      </w:pPr>
      <w:bookmarkStart w:id="218" w:name="_Toc30611"/>
      <w:bookmarkStart w:id="219" w:name="_Toc13673"/>
      <w:bookmarkStart w:id="220" w:name="_Toc20305"/>
      <w:bookmarkStart w:id="221" w:name="_Toc4113"/>
      <w:bookmarkStart w:id="222" w:name="_Toc1502"/>
      <w:bookmarkStart w:id="223" w:name="_Toc23178"/>
      <w:r>
        <w:rPr>
          <w:rFonts w:hint="eastAsia" w:ascii="宋体" w:hAnsi="宋体" w:eastAsia="宋体" w:cs="宋体"/>
          <w:b/>
          <w:bCs/>
          <w:color w:val="auto"/>
          <w:kern w:val="44"/>
          <w:sz w:val="21"/>
          <w:szCs w:val="21"/>
          <w:highlight w:val="none"/>
          <w:lang w:val="en-US" w:eastAsia="zh-CN"/>
        </w:rPr>
        <w:t>一、</w:t>
      </w:r>
      <w:r>
        <w:rPr>
          <w:rFonts w:hint="eastAsia" w:ascii="宋体" w:hAnsi="宋体" w:eastAsia="宋体" w:cs="宋体"/>
          <w:b/>
          <w:bCs/>
          <w:color w:val="auto"/>
          <w:kern w:val="44"/>
          <w:sz w:val="21"/>
          <w:szCs w:val="21"/>
          <w:highlight w:val="none"/>
          <w:lang w:val="zh-CN"/>
        </w:rPr>
        <w:t>项目现状及必要性分析</w:t>
      </w:r>
      <w:bookmarkEnd w:id="218"/>
      <w:bookmarkEnd w:id="219"/>
      <w:bookmarkEnd w:id="220"/>
      <w:bookmarkEnd w:id="221"/>
      <w:bookmarkEnd w:id="222"/>
      <w:bookmarkEnd w:id="223"/>
    </w:p>
    <w:p>
      <w:pPr>
        <w:pageBreakBefore w:val="0"/>
        <w:tabs>
          <w:tab w:val="left" w:pos="567"/>
        </w:tabs>
        <w:kinsoku/>
        <w:wordWrap/>
        <w:overflowPunct/>
        <w:topLinePunct w:val="0"/>
        <w:bidi w:val="0"/>
        <w:snapToGrid/>
        <w:spacing w:line="360" w:lineRule="auto"/>
        <w:ind w:left="567" w:hanging="567"/>
        <w:outlineLvl w:val="2"/>
        <w:rPr>
          <w:rFonts w:hint="eastAsia" w:ascii="宋体" w:hAnsi="宋体" w:eastAsia="宋体" w:cs="宋体"/>
          <w:color w:val="auto"/>
          <w:kern w:val="2"/>
          <w:sz w:val="21"/>
          <w:szCs w:val="21"/>
          <w:highlight w:val="none"/>
          <w:lang w:val="zh-CN"/>
        </w:rPr>
      </w:pPr>
      <w:bookmarkStart w:id="224" w:name="_Toc3136"/>
      <w:bookmarkStart w:id="225" w:name="_Toc519"/>
      <w:bookmarkStart w:id="226" w:name="_Toc10779"/>
      <w:bookmarkStart w:id="227" w:name="_Toc29999"/>
      <w:bookmarkStart w:id="228" w:name="_Toc9833"/>
      <w:bookmarkStart w:id="229" w:name="_Toc17733"/>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项目建设现状</w:t>
      </w:r>
      <w:bookmarkEnd w:id="224"/>
      <w:bookmarkEnd w:id="225"/>
      <w:bookmarkEnd w:id="226"/>
      <w:bookmarkEnd w:id="227"/>
      <w:bookmarkEnd w:id="228"/>
      <w:bookmarkEnd w:id="229"/>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东莞市水务集团有限公司旗下全资子公司东莞市众源环境投资有限公司</w:t>
      </w:r>
      <w:r>
        <w:rPr>
          <w:rFonts w:hint="eastAsia" w:ascii="宋体" w:hAnsi="宋体" w:eastAsia="宋体" w:cs="宋体"/>
          <w:color w:val="auto"/>
          <w:kern w:val="2"/>
          <w:sz w:val="21"/>
          <w:szCs w:val="21"/>
          <w:highlight w:val="none"/>
          <w:lang w:val="zh-CN"/>
        </w:rPr>
        <w:t>（以下简称“采购人”</w:t>
      </w:r>
      <w:r>
        <w:rPr>
          <w:rFonts w:hint="eastAsia" w:ascii="宋体" w:hAnsi="宋体" w:eastAsia="宋体" w:cs="宋体"/>
          <w:color w:val="auto"/>
          <w:kern w:val="2"/>
          <w:sz w:val="21"/>
          <w:szCs w:val="21"/>
          <w:highlight w:val="none"/>
          <w:lang w:val="en-US" w:eastAsia="zh-CN"/>
        </w:rPr>
        <w:t>或“众源公司”</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val="zh-CN"/>
        </w:rPr>
        <w:t>成立于2016年1月6日，主要负责承接污泥处理处置业务，包括集团公司旗下污水处理厂、BOT污水处理厂、供水厂排泥水等多个污泥处理处置项目。截至目前，该公司在全市已建成污泥脱水减量能力约3700吨/日（按含水率80%计算）。通过公开招标和征集方式，成功建立了污泥处置供应商库，库内拥有28家处置单位，涵盖焚烧和建材利用领域，合计环评处置能力约1.26万吨/日，满足城市每日产生的半干化污泥约900吨的处理需求。</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生活污泥作为环保部门重点监管的固体废物之一，其处理处置工作过程相关数据资料尤为重要。截至目前，</w:t>
      </w:r>
      <w:r>
        <w:rPr>
          <w:rFonts w:hint="eastAsia" w:ascii="宋体" w:hAnsi="宋体" w:eastAsia="宋体" w:cs="宋体"/>
          <w:color w:val="auto"/>
          <w:kern w:val="2"/>
          <w:sz w:val="21"/>
          <w:szCs w:val="21"/>
          <w:highlight w:val="none"/>
          <w:lang w:val="zh-CN"/>
        </w:rPr>
        <w:t>采购人</w:t>
      </w:r>
      <w:r>
        <w:rPr>
          <w:rFonts w:hint="eastAsia" w:ascii="宋体" w:hAnsi="宋体" w:eastAsia="宋体" w:cs="宋体"/>
          <w:color w:val="auto"/>
          <w:sz w:val="21"/>
          <w:szCs w:val="21"/>
          <w:highlight w:val="none"/>
          <w:lang w:val="zh-CN"/>
        </w:rPr>
        <w:t>尚未建成统一的污泥信息化管理系统，污泥处理处置过程大部分数据仍采用传统的纸质登记和手工台账记录，定期收集、整理后再录入形成电子文档进行分析保存，其数据量大，效率低，时效性差，且容易出现疏漏情况。</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为提高污泥项目信息化水平，提升管理效率，</w:t>
      </w:r>
      <w:r>
        <w:rPr>
          <w:rFonts w:hint="eastAsia" w:ascii="宋体" w:hAnsi="宋体" w:eastAsia="宋体" w:cs="宋体"/>
          <w:color w:val="auto"/>
          <w:kern w:val="2"/>
          <w:sz w:val="21"/>
          <w:szCs w:val="21"/>
          <w:highlight w:val="none"/>
          <w:lang w:val="zh-CN"/>
        </w:rPr>
        <w:t>东莞市水务集团实业发展有限公司（以下简称“</w:t>
      </w:r>
      <w:r>
        <w:rPr>
          <w:rFonts w:hint="eastAsia" w:ascii="宋体" w:hAnsi="宋体" w:eastAsia="宋体" w:cs="宋体"/>
          <w:color w:val="auto"/>
          <w:kern w:val="2"/>
          <w:sz w:val="21"/>
          <w:szCs w:val="21"/>
          <w:highlight w:val="none"/>
          <w:lang w:val="en-US" w:eastAsia="zh-CN"/>
        </w:rPr>
        <w:t>实业公司</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val="zh-CN"/>
        </w:rPr>
        <w:t>结合现时污泥业务及未来污泥焚烧中心项目需求，拟统筹建设污泥智慧化平台，全面覆盖污泥处理处置全流程。平台计划分期建设，一期主要满足现时污泥业务管理需求，二期主要为污泥焚烧中心生产运营系统，并衔接一期平台，最终形成全平台建设。</w:t>
      </w:r>
    </w:p>
    <w:p>
      <w:pPr>
        <w:pageBreakBefore w:val="0"/>
        <w:tabs>
          <w:tab w:val="left" w:pos="567"/>
        </w:tabs>
        <w:kinsoku/>
        <w:wordWrap/>
        <w:overflowPunct/>
        <w:topLinePunct w:val="0"/>
        <w:bidi w:val="0"/>
        <w:snapToGrid/>
        <w:spacing w:line="360" w:lineRule="auto"/>
        <w:ind w:left="567" w:hanging="567"/>
        <w:outlineLvl w:val="2"/>
        <w:rPr>
          <w:rFonts w:hint="eastAsia" w:ascii="宋体" w:hAnsi="宋体" w:eastAsia="宋体" w:cs="宋体"/>
          <w:color w:val="auto"/>
          <w:kern w:val="2"/>
          <w:sz w:val="21"/>
          <w:szCs w:val="21"/>
          <w:highlight w:val="none"/>
          <w:lang w:val="zh-CN"/>
        </w:rPr>
      </w:pPr>
      <w:bookmarkStart w:id="230" w:name="_Toc6826"/>
      <w:bookmarkStart w:id="231" w:name="_Toc247"/>
      <w:bookmarkStart w:id="232" w:name="_Toc25021"/>
      <w:bookmarkStart w:id="233" w:name="_Toc13439"/>
      <w:bookmarkStart w:id="234" w:name="_Toc19574"/>
      <w:bookmarkStart w:id="235" w:name="_Toc52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项目建设必要性分析</w:t>
      </w:r>
      <w:bookmarkEnd w:id="230"/>
      <w:bookmarkEnd w:id="231"/>
      <w:bookmarkEnd w:id="232"/>
      <w:bookmarkEnd w:id="233"/>
      <w:bookmarkEnd w:id="234"/>
      <w:bookmarkEnd w:id="235"/>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提升公司管理水平</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污泥处理处置过程数据管理系统可以落实无纸化管理，将采用数字化管理和电子化台账，从而提高工作效率，减少时间和人力成本，使信息的录入、传递和存储更为便捷高效。其次，无纸化管理促进了信息的实时共享和协作，加速了决策过程，使团队成员能够更迅速地获取和处理数据。此外，有助于降低环境负担，减少纸张和能源消耗，符合可持续发展的理念，从而为企业实现绿色、智能的管理方式打下基础。</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系统实现数据标准化管理，一方面强化对污泥处理处置过程的监管，采用留存影像等手段监管污泥仓库、生产现场和装运现场；另一方面是建立规范的污泥处理处置基础数据管理体系，包括权属单位、污水处理厂、地磅、运输单位、处置单位、污泥转移联单、磅单、运输记录、生产日报等关键信息，以确保数据的准确性和规范性，从而为高效管理提供坚实基础。</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贯彻落实行政主管部门要求</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市生态环境局近期检查及指导，要求众源公司充分依托信息化手段，采取可行措施，尽快提升生活污泥联单管理规范化水平，确保每张联单的各环节照片、录像、车辆轨迹等信息清晰、完整、准确，并强化日常核查和监管，提高对污泥的全过程监管水平。建设污泥处理处置过程数据管理系统可实现管理规范化，污泥全过程数据资料及时填报保存，保障污泥处理处置合法合规，是落实行政主管部门要求的重要措施。</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综上，基于公司内部需求，以及落实行政主管部门要求，</w:t>
      </w:r>
      <w:r>
        <w:rPr>
          <w:rFonts w:hint="eastAsia" w:ascii="宋体" w:hAnsi="宋体" w:eastAsia="宋体" w:cs="宋体"/>
          <w:color w:val="auto"/>
          <w:kern w:val="2"/>
          <w:sz w:val="21"/>
          <w:szCs w:val="21"/>
          <w:highlight w:val="none"/>
          <w:lang w:val="zh-CN"/>
        </w:rPr>
        <w:t>采购人</w:t>
      </w:r>
      <w:r>
        <w:rPr>
          <w:rFonts w:hint="eastAsia" w:ascii="宋体" w:hAnsi="宋体" w:eastAsia="宋体" w:cs="宋体"/>
          <w:color w:val="auto"/>
          <w:sz w:val="21"/>
          <w:szCs w:val="21"/>
          <w:highlight w:val="none"/>
          <w:lang w:val="zh-CN"/>
        </w:rPr>
        <w:t>拟先行建设污泥处理处置过程数据管理系统，系统内容实为污泥智慧化平台一部分内容，目前拟先行建设本系统。对比</w:t>
      </w:r>
      <w:r>
        <w:rPr>
          <w:rFonts w:hint="eastAsia" w:ascii="宋体" w:hAnsi="宋体" w:eastAsia="宋体" w:cs="宋体"/>
          <w:color w:val="auto"/>
          <w:sz w:val="21"/>
          <w:szCs w:val="21"/>
          <w:highlight w:val="none"/>
          <w:lang w:val="en-US" w:eastAsia="zh-CN"/>
        </w:rPr>
        <w:t>东莞市环保产业促进中心</w:t>
      </w:r>
      <w:r>
        <w:rPr>
          <w:rFonts w:hint="eastAsia" w:ascii="宋体" w:hAnsi="宋体" w:eastAsia="宋体" w:cs="宋体"/>
          <w:color w:val="auto"/>
          <w:sz w:val="21"/>
          <w:szCs w:val="21"/>
          <w:highlight w:val="none"/>
          <w:lang w:val="zh-CN"/>
        </w:rPr>
        <w:t>“城镇生活污泥管理信息化平台”，本系统是对“城镇生活污泥管理信息化平台”前端数据资料收集功能的补充，从便利、及时、降低错误率角度出发，强化基础数据资料的上报、填报与整理。待相关平台系统建成后，可考虑平台间接入，进一步完善污泥管理信息化平台。</w:t>
      </w:r>
    </w:p>
    <w:p>
      <w:pPr>
        <w:pageBreakBefore w:val="0"/>
        <w:kinsoku/>
        <w:wordWrap/>
        <w:overflowPunct/>
        <w:topLinePunct w:val="0"/>
        <w:bidi w:val="0"/>
        <w:snapToGrid/>
        <w:spacing w:line="360" w:lineRule="auto"/>
        <w:rPr>
          <w:rFonts w:hint="eastAsia" w:ascii="宋体" w:hAnsi="宋体" w:eastAsia="宋体" w:cs="宋体"/>
          <w:color w:val="auto"/>
          <w:highlight w:val="none"/>
          <w:lang w:val="en-US" w:eastAsia="zh-CN"/>
        </w:rPr>
      </w:pPr>
      <w:bookmarkStart w:id="236" w:name="_Toc10347"/>
    </w:p>
    <w:p>
      <w:pPr>
        <w:pStyle w:val="5"/>
        <w:pageBreakBefore w:val="0"/>
        <w:kinsoku/>
        <w:wordWrap/>
        <w:overflowPunct/>
        <w:topLinePunct w:val="0"/>
        <w:bidi w:val="0"/>
        <w:snapToGrid/>
        <w:spacing w:line="360" w:lineRule="auto"/>
        <w:rPr>
          <w:rFonts w:hint="eastAsia" w:ascii="宋体" w:hAnsi="宋体" w:eastAsia="宋体" w:cs="宋体"/>
          <w:b/>
          <w:bCs/>
          <w:color w:val="auto"/>
          <w:kern w:val="44"/>
          <w:sz w:val="21"/>
          <w:szCs w:val="21"/>
          <w:highlight w:val="none"/>
          <w:lang w:val="zh-CN"/>
        </w:rPr>
      </w:pPr>
      <w:bookmarkStart w:id="237" w:name="_Toc3949"/>
      <w:bookmarkStart w:id="238" w:name="_Toc29966"/>
      <w:bookmarkStart w:id="239" w:name="_Toc29231"/>
      <w:bookmarkStart w:id="240" w:name="_Toc10217"/>
      <w:bookmarkStart w:id="241" w:name="_Toc30962"/>
      <w:r>
        <w:rPr>
          <w:rFonts w:hint="eastAsia" w:ascii="宋体" w:hAnsi="宋体" w:eastAsia="宋体" w:cs="宋体"/>
          <w:b/>
          <w:bCs/>
          <w:color w:val="auto"/>
          <w:kern w:val="44"/>
          <w:sz w:val="21"/>
          <w:szCs w:val="21"/>
          <w:highlight w:val="none"/>
          <w:lang w:val="en-US" w:eastAsia="zh-CN"/>
        </w:rPr>
        <w:t>二、</w:t>
      </w:r>
      <w:r>
        <w:rPr>
          <w:rFonts w:hint="eastAsia" w:ascii="宋体" w:hAnsi="宋体" w:eastAsia="宋体" w:cs="宋体"/>
          <w:b/>
          <w:bCs/>
          <w:color w:val="auto"/>
          <w:kern w:val="44"/>
          <w:sz w:val="21"/>
          <w:szCs w:val="21"/>
          <w:highlight w:val="none"/>
          <w:lang w:val="zh-CN"/>
        </w:rPr>
        <w:t>需求分析</w:t>
      </w:r>
      <w:bookmarkEnd w:id="236"/>
      <w:bookmarkEnd w:id="237"/>
      <w:bookmarkEnd w:id="238"/>
      <w:bookmarkEnd w:id="239"/>
      <w:bookmarkEnd w:id="240"/>
      <w:bookmarkEnd w:id="241"/>
    </w:p>
    <w:p>
      <w:pPr>
        <w:pageBreakBefore w:val="0"/>
        <w:tabs>
          <w:tab w:val="left" w:pos="567"/>
        </w:tabs>
        <w:kinsoku/>
        <w:wordWrap/>
        <w:overflowPunct/>
        <w:topLinePunct w:val="0"/>
        <w:bidi w:val="0"/>
        <w:snapToGrid/>
        <w:spacing w:line="360" w:lineRule="auto"/>
        <w:ind w:left="567" w:hanging="567"/>
        <w:outlineLvl w:val="2"/>
        <w:rPr>
          <w:rFonts w:hint="eastAsia" w:ascii="宋体" w:hAnsi="宋体" w:eastAsia="宋体" w:cs="宋体"/>
          <w:color w:val="auto"/>
          <w:kern w:val="2"/>
          <w:sz w:val="21"/>
          <w:szCs w:val="21"/>
          <w:highlight w:val="none"/>
          <w:lang w:val="zh-CN"/>
        </w:rPr>
      </w:pPr>
      <w:bookmarkStart w:id="242" w:name="_Toc15243"/>
      <w:bookmarkStart w:id="243" w:name="_Toc467"/>
      <w:bookmarkStart w:id="244" w:name="_Toc2224"/>
      <w:bookmarkStart w:id="245" w:name="_Toc32350"/>
      <w:bookmarkStart w:id="246" w:name="_Toc19997"/>
      <w:bookmarkStart w:id="247" w:name="_Toc24571"/>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业务需求分析</w:t>
      </w:r>
      <w:bookmarkEnd w:id="242"/>
      <w:bookmarkEnd w:id="243"/>
      <w:bookmarkEnd w:id="244"/>
      <w:bookmarkEnd w:id="245"/>
      <w:bookmarkEnd w:id="246"/>
      <w:bookmarkEnd w:id="247"/>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在东莞市水务集团及其子公司东莞市众源环境投资有限公司管理的污泥处理处置业务中，目前的挑战主要集中在传统的纸质登记和手工台账记录上。这种管理方式导致效率低下，信息传递不畅，尤其在多部门合作的环境中，数据的准确性和及时性面临更大的挑战。纸质档案的存储还消耗大量物理空间，使得检索和管理变得繁琐，并容易导致文件的遗失或混乱。这种现状限制了对业务过程的深入理解和决策支持，阻碍了数据的快速分析和报告生成。</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为解决这污泥处理处置过程数据管理系统项目着眼于通过数字化管理和电子化台账来提高工作效率、确保数据准确性和便捷性。项目的关键在于实施无纸化管理，以提高工作效率，减少时间和人力成本，使信息的录入、传递和存储更为便捷和高效。无纸化管理还将促进信息的实时共享和协作，加速决策过程，帮助团队成员更迅速地获取和处理数据。这不仅提升了管理效率，还有助于降低环境负担，减少纸张和能源消耗，符合可持续发展的理念。</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还着重于建立规范的污泥处理处置基础数据管理体系，覆盖污水处理厂、车辆、人员、生产运营日报、运输记录等关键信息，以确保数据的准确性和规范性。通过留存影像等手段加强对污泥仓库、生产现场和装运现场的监管，项目旨在为高效管理提供坚实的基础。这种标准化管理不仅提高了数据处理的效率和准确性，还为管理层提供了更加明晰的决策支持。</w:t>
      </w:r>
    </w:p>
    <w:p>
      <w:pPr>
        <w:pageBreakBefore w:val="0"/>
        <w:tabs>
          <w:tab w:val="left" w:pos="567"/>
        </w:tabs>
        <w:kinsoku/>
        <w:wordWrap/>
        <w:overflowPunct/>
        <w:topLinePunct w:val="0"/>
        <w:bidi w:val="0"/>
        <w:snapToGrid/>
        <w:spacing w:line="360" w:lineRule="auto"/>
        <w:ind w:left="567" w:hanging="567"/>
        <w:outlineLvl w:val="2"/>
        <w:rPr>
          <w:rFonts w:hint="eastAsia" w:ascii="宋体" w:hAnsi="宋体" w:eastAsia="宋体" w:cs="宋体"/>
          <w:color w:val="auto"/>
          <w:kern w:val="2"/>
          <w:sz w:val="21"/>
          <w:szCs w:val="21"/>
          <w:highlight w:val="none"/>
          <w:lang w:val="zh-CN"/>
        </w:rPr>
      </w:pPr>
      <w:bookmarkStart w:id="248" w:name="_Toc28568"/>
      <w:bookmarkStart w:id="249" w:name="_Toc26224"/>
      <w:bookmarkStart w:id="250" w:name="_Toc21384"/>
      <w:bookmarkStart w:id="251" w:name="_Toc26974"/>
      <w:bookmarkStart w:id="252" w:name="_Toc30283"/>
      <w:bookmarkStart w:id="253" w:name="_Toc343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功能需求分析</w:t>
      </w:r>
      <w:bookmarkEnd w:id="248"/>
      <w:bookmarkEnd w:id="249"/>
      <w:bookmarkEnd w:id="250"/>
      <w:bookmarkEnd w:id="251"/>
      <w:bookmarkEnd w:id="252"/>
      <w:bookmarkEnd w:id="253"/>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系统需要具备全面的数据管理能力，包括对污水处理厂、车辆、相关单位等关键信息的录入、更新和维护。这涉及到详细的信息分类，例如污水处理厂的名称、位置、规模等，车辆的型号、牌照和使用情况，以及人员的职位、联系方式等。这些数据的准确录入和及时更新对于整个污泥处理流程的高效运行至关重要。</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系统需能够处理和管理生产运营日报及运输记录。这不仅包括基础数据的录入，还包括对这些数据的监控和分析，以确保操作的连续性和符合规定的工作流程。例如，生产运营日报中的数据点可能包括进料时间、处理量、以及相关的质量检测结果等。</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数据可视化功能将收集到的数据以图形化的方式呈现，以便于管理层对整个污泥处理流程有直观的认识和分析。</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多媒体管理是为了满足现场操作记录和回顾的需求。例如，系统支持上传现场处理过程的图片和视频，以便于记录和证明处理过程符合标准和规定。</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系统管理功能的需求包括了用户权限管理、操作日志记录等，以保证系统的安全性和可追踪性。这涉及到用户的角色分配、访问权限的设置以及对用户操作的监控和记录。</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小程序的建设方便多方用户对污泥生产、运输环节的相关信息进行录入和管理。</w:t>
      </w:r>
    </w:p>
    <w:p>
      <w:pPr>
        <w:pageBreakBefore w:val="0"/>
        <w:tabs>
          <w:tab w:val="left" w:pos="567"/>
        </w:tabs>
        <w:kinsoku/>
        <w:wordWrap/>
        <w:overflowPunct/>
        <w:topLinePunct w:val="0"/>
        <w:bidi w:val="0"/>
        <w:snapToGrid/>
        <w:spacing w:line="360" w:lineRule="auto"/>
        <w:ind w:left="567" w:hanging="567"/>
        <w:outlineLvl w:val="2"/>
        <w:rPr>
          <w:rFonts w:hint="eastAsia" w:ascii="宋体" w:hAnsi="宋体" w:eastAsia="宋体" w:cs="宋体"/>
          <w:color w:val="auto"/>
          <w:kern w:val="2"/>
          <w:sz w:val="21"/>
          <w:szCs w:val="21"/>
          <w:highlight w:val="none"/>
          <w:lang w:val="zh-CN"/>
        </w:rPr>
      </w:pPr>
      <w:bookmarkStart w:id="254" w:name="_Toc15006"/>
      <w:bookmarkStart w:id="255" w:name="_Toc12428"/>
      <w:bookmarkStart w:id="256" w:name="_Toc13871"/>
      <w:bookmarkStart w:id="257" w:name="_Toc31398"/>
      <w:bookmarkStart w:id="258" w:name="_Toc24418"/>
      <w:bookmarkStart w:id="259" w:name="_Toc19542"/>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性能需求分析</w:t>
      </w:r>
      <w:bookmarkEnd w:id="254"/>
      <w:bookmarkEnd w:id="255"/>
      <w:bookmarkEnd w:id="256"/>
      <w:bookmarkEnd w:id="257"/>
      <w:bookmarkEnd w:id="258"/>
      <w:bookmarkEnd w:id="259"/>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系统设计支持500个用户使用，具体需求如下：</w:t>
      </w:r>
    </w:p>
    <w:p>
      <w:pPr>
        <w:pStyle w:val="17"/>
        <w:pageBreakBefore w:val="0"/>
        <w:kinsoku/>
        <w:wordWrap/>
        <w:overflowPunct/>
        <w:topLinePunct w:val="0"/>
        <w:bidi w:val="0"/>
        <w:snapToGrid/>
        <w:spacing w:before="0" w:after="0" w:line="360" w:lineRule="auto"/>
        <w:ind w:firstLine="48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表 </w:t>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SEQ 表 \* ARABIC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en-US"/>
        </w:rPr>
        <w:t>用户需求表</w:t>
      </w:r>
    </w:p>
    <w:tbl>
      <w:tblPr>
        <w:tblStyle w:val="55"/>
        <w:tblW w:w="5000" w:type="pct"/>
        <w:tblInd w:w="0" w:type="dxa"/>
        <w:tblLayout w:type="fixed"/>
        <w:tblCellMar>
          <w:top w:w="0" w:type="dxa"/>
          <w:left w:w="0" w:type="dxa"/>
          <w:bottom w:w="0" w:type="dxa"/>
          <w:right w:w="0" w:type="dxa"/>
        </w:tblCellMar>
      </w:tblPr>
      <w:tblGrid>
        <w:gridCol w:w="1856"/>
        <w:gridCol w:w="1668"/>
        <w:gridCol w:w="1711"/>
        <w:gridCol w:w="3908"/>
      </w:tblGrid>
      <w:tr>
        <w:tblPrEx>
          <w:tblCellMar>
            <w:top w:w="0" w:type="dxa"/>
            <w:left w:w="0" w:type="dxa"/>
            <w:bottom w:w="0" w:type="dxa"/>
            <w:right w:w="0" w:type="dxa"/>
          </w:tblCellMar>
        </w:tblPrEx>
        <w:trPr>
          <w:trHeight w:val="397" w:hRule="atLeast"/>
        </w:trPr>
        <w:tc>
          <w:tcPr>
            <w:tcW w:w="101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bidi="ar"/>
              </w:rPr>
              <w:t>单位</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bidi="ar"/>
              </w:rPr>
              <w:t>权限</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bidi="ar"/>
              </w:rPr>
              <w:t>用户数</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bidi="ar"/>
              </w:rPr>
              <w:t>备注</w:t>
            </w:r>
          </w:p>
        </w:tc>
      </w:tr>
      <w:tr>
        <w:tblPrEx>
          <w:tblCellMar>
            <w:top w:w="0" w:type="dxa"/>
            <w:left w:w="0" w:type="dxa"/>
            <w:bottom w:w="0" w:type="dxa"/>
            <w:right w:w="0" w:type="dxa"/>
          </w:tblCellMar>
        </w:tblPrEx>
        <w:trPr>
          <w:trHeight w:val="340" w:hRule="atLeast"/>
        </w:trPr>
        <w:tc>
          <w:tcPr>
            <w:tcW w:w="101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行政主管部门</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查阅</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40" w:hRule="atLeast"/>
        </w:trPr>
        <w:tc>
          <w:tcPr>
            <w:tcW w:w="101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集团</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查阅</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40" w:hRule="atLeast"/>
        </w:trPr>
        <w:tc>
          <w:tcPr>
            <w:tcW w:w="1015" w:type="pct"/>
            <w:vMerge w:val="restar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实业公司</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查阅</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领导层</w:t>
            </w:r>
          </w:p>
        </w:tc>
      </w:tr>
      <w:tr>
        <w:tblPrEx>
          <w:tblCellMar>
            <w:top w:w="0" w:type="dxa"/>
            <w:left w:w="0" w:type="dxa"/>
            <w:bottom w:w="0" w:type="dxa"/>
            <w:right w:w="0" w:type="dxa"/>
          </w:tblCellMar>
        </w:tblPrEx>
        <w:trPr>
          <w:trHeight w:val="340" w:hRule="atLeast"/>
        </w:trPr>
        <w:tc>
          <w:tcPr>
            <w:tcW w:w="1015" w:type="pct"/>
            <w:vMerge w:val="continue"/>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rPr>
            </w:pP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管理</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经营管理人员</w:t>
            </w:r>
          </w:p>
        </w:tc>
      </w:tr>
      <w:tr>
        <w:tblPrEx>
          <w:tblCellMar>
            <w:top w:w="0" w:type="dxa"/>
            <w:left w:w="0" w:type="dxa"/>
            <w:bottom w:w="0" w:type="dxa"/>
            <w:right w:w="0" w:type="dxa"/>
          </w:tblCellMar>
        </w:tblPrEx>
        <w:trPr>
          <w:trHeight w:val="340" w:hRule="atLeast"/>
        </w:trPr>
        <w:tc>
          <w:tcPr>
            <w:tcW w:w="1015" w:type="pct"/>
            <w:vMerge w:val="restar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众源公司</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管理</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50</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40" w:hRule="atLeast"/>
        </w:trPr>
        <w:tc>
          <w:tcPr>
            <w:tcW w:w="1015" w:type="pct"/>
            <w:vMerge w:val="continue"/>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rPr>
            </w:pP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填报</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一线生产员工</w:t>
            </w:r>
          </w:p>
        </w:tc>
      </w:tr>
      <w:tr>
        <w:tblPrEx>
          <w:tblCellMar>
            <w:top w:w="0" w:type="dxa"/>
            <w:left w:w="0" w:type="dxa"/>
            <w:bottom w:w="0" w:type="dxa"/>
            <w:right w:w="0" w:type="dxa"/>
          </w:tblCellMar>
        </w:tblPrEx>
        <w:trPr>
          <w:trHeight w:val="340" w:hRule="atLeast"/>
        </w:trPr>
        <w:tc>
          <w:tcPr>
            <w:tcW w:w="101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污水厂</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填报</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136</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BOT34家，净水34家（含新扩建），每家2个端口</w:t>
            </w:r>
          </w:p>
        </w:tc>
      </w:tr>
      <w:tr>
        <w:tblPrEx>
          <w:tblCellMar>
            <w:top w:w="0" w:type="dxa"/>
            <w:left w:w="0" w:type="dxa"/>
            <w:bottom w:w="0" w:type="dxa"/>
            <w:right w:w="0" w:type="dxa"/>
          </w:tblCellMar>
        </w:tblPrEx>
        <w:trPr>
          <w:trHeight w:val="340" w:hRule="atLeast"/>
        </w:trPr>
        <w:tc>
          <w:tcPr>
            <w:tcW w:w="101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处置单位</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填报</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30</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10家处置单位，每家3个端口</w:t>
            </w:r>
          </w:p>
        </w:tc>
      </w:tr>
      <w:tr>
        <w:tblPrEx>
          <w:tblCellMar>
            <w:top w:w="0" w:type="dxa"/>
            <w:left w:w="0" w:type="dxa"/>
            <w:bottom w:w="0" w:type="dxa"/>
            <w:right w:w="0" w:type="dxa"/>
          </w:tblCellMar>
        </w:tblPrEx>
        <w:trPr>
          <w:trHeight w:val="340" w:hRule="atLeast"/>
        </w:trPr>
        <w:tc>
          <w:tcPr>
            <w:tcW w:w="101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减量单位</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填报</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24</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8家减量单位，每家3个端口</w:t>
            </w:r>
          </w:p>
        </w:tc>
      </w:tr>
      <w:tr>
        <w:tblPrEx>
          <w:tblCellMar>
            <w:top w:w="0" w:type="dxa"/>
            <w:left w:w="0" w:type="dxa"/>
            <w:bottom w:w="0" w:type="dxa"/>
            <w:right w:w="0" w:type="dxa"/>
          </w:tblCellMar>
        </w:tblPrEx>
        <w:trPr>
          <w:trHeight w:val="340" w:hRule="atLeast"/>
        </w:trPr>
        <w:tc>
          <w:tcPr>
            <w:tcW w:w="101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运输单位</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填报</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50</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50个司机</w:t>
            </w:r>
          </w:p>
        </w:tc>
      </w:tr>
      <w:tr>
        <w:tblPrEx>
          <w:tblCellMar>
            <w:top w:w="0" w:type="dxa"/>
            <w:left w:w="0" w:type="dxa"/>
            <w:bottom w:w="0" w:type="dxa"/>
            <w:right w:w="0" w:type="dxa"/>
          </w:tblCellMar>
        </w:tblPrEx>
        <w:trPr>
          <w:trHeight w:val="340" w:hRule="atLeast"/>
        </w:trPr>
        <w:tc>
          <w:tcPr>
            <w:tcW w:w="1927" w:type="pct"/>
            <w:gridSpan w:val="2"/>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合计</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450</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rPr>
            </w:pPr>
          </w:p>
        </w:tc>
      </w:tr>
    </w:tbl>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按照目前全过程资料情况，日均约50条全过程生产记录，每条记录包含图片、视频、数据等，储存大小合约50M，年需存储容量约1T，暂按两年计算，合计2T，数据存储在采购人指定的服务器上。</w:t>
      </w:r>
    </w:p>
    <w:p>
      <w:pPr>
        <w:pageBreakBefore w:val="0"/>
        <w:tabs>
          <w:tab w:val="left" w:pos="567"/>
        </w:tabs>
        <w:kinsoku/>
        <w:wordWrap/>
        <w:overflowPunct/>
        <w:topLinePunct w:val="0"/>
        <w:bidi w:val="0"/>
        <w:snapToGrid/>
        <w:spacing w:line="360" w:lineRule="auto"/>
        <w:ind w:left="567" w:hanging="567"/>
        <w:outlineLvl w:val="2"/>
        <w:rPr>
          <w:rFonts w:hint="eastAsia" w:ascii="宋体" w:hAnsi="宋体" w:eastAsia="宋体" w:cs="宋体"/>
          <w:color w:val="auto"/>
          <w:kern w:val="2"/>
          <w:sz w:val="21"/>
          <w:szCs w:val="21"/>
          <w:highlight w:val="none"/>
          <w:lang w:val="zh-CN"/>
        </w:rPr>
      </w:pPr>
      <w:bookmarkStart w:id="260" w:name="_Toc22454"/>
      <w:bookmarkStart w:id="261" w:name="_Toc29236"/>
      <w:bookmarkStart w:id="262" w:name="_Toc26440"/>
      <w:bookmarkStart w:id="263" w:name="_Toc29190"/>
      <w:bookmarkStart w:id="264" w:name="_Toc6264"/>
      <w:bookmarkStart w:id="265" w:name="_Toc11528"/>
      <w:r>
        <w:rPr>
          <w:rFonts w:hint="eastAsia" w:ascii="宋体" w:hAnsi="宋体" w:eastAsia="宋体" w:cs="宋体"/>
          <w:color w:val="auto"/>
          <w:kern w:val="2"/>
          <w:sz w:val="21"/>
          <w:szCs w:val="21"/>
          <w:highlight w:val="none"/>
          <w:lang w:val="en-US" w:eastAsia="zh-CN"/>
        </w:rPr>
        <w:t xml:space="preserve">4   </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用户分析</w:t>
      </w:r>
      <w:bookmarkEnd w:id="260"/>
      <w:bookmarkEnd w:id="261"/>
      <w:bookmarkEnd w:id="262"/>
      <w:bookmarkEnd w:id="263"/>
      <w:bookmarkEnd w:id="264"/>
      <w:bookmarkEnd w:id="265"/>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该系统的用户主要分为两类：系统管理用户和系统服务用户。系统管理用户主要是实业公司和众源公司的管理人员，这些用户需要对系统进行全面操作，包括数据录入、修改、审核和报告生成等，同时还需要能够监控系统运行状态，处理技术问题并进行配置更改。</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另一类用户是系统服务用户，主要是委外服务单位和一线工作人员，如减量、运输和处置，一线生产间班长、司机等。这部分用户的主要需求集中在日常数据的录入、查询和报告查看上，他们需要的是一个直观易用、响应迅速的系统界面，以便快速完成日常任务。</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平台的设计和开发将会考虑到这两类用户的具体需求和使用模式，确保系统能够为管理用户提供全面的操作功能，同时为服务用户提供快速、直观的日常操作体验。</w:t>
      </w:r>
    </w:p>
    <w:p>
      <w:pPr>
        <w:pageBreakBefore w:val="0"/>
        <w:tabs>
          <w:tab w:val="left" w:pos="567"/>
        </w:tabs>
        <w:kinsoku/>
        <w:wordWrap/>
        <w:overflowPunct/>
        <w:topLinePunct w:val="0"/>
        <w:bidi w:val="0"/>
        <w:snapToGrid/>
        <w:spacing w:line="360" w:lineRule="auto"/>
        <w:ind w:left="567" w:hanging="567"/>
        <w:outlineLvl w:val="2"/>
        <w:rPr>
          <w:rFonts w:hint="eastAsia" w:ascii="宋体" w:hAnsi="宋体" w:eastAsia="宋体" w:cs="宋体"/>
          <w:color w:val="auto"/>
          <w:kern w:val="2"/>
          <w:sz w:val="21"/>
          <w:szCs w:val="21"/>
          <w:highlight w:val="none"/>
          <w:lang w:val="zh-CN"/>
        </w:rPr>
      </w:pPr>
      <w:bookmarkStart w:id="266" w:name="_Toc26186"/>
      <w:bookmarkStart w:id="267" w:name="_Toc6257"/>
      <w:bookmarkStart w:id="268" w:name="_Toc5237"/>
      <w:bookmarkStart w:id="269" w:name="_Toc7207"/>
      <w:bookmarkStart w:id="270" w:name="_Toc31425"/>
      <w:bookmarkStart w:id="271" w:name="_Toc6447"/>
      <w:r>
        <w:rPr>
          <w:rFonts w:hint="eastAsia" w:ascii="宋体" w:hAnsi="宋体" w:eastAsia="宋体" w:cs="宋体"/>
          <w:color w:val="auto"/>
          <w:kern w:val="2"/>
          <w:sz w:val="21"/>
          <w:szCs w:val="21"/>
          <w:highlight w:val="none"/>
          <w:lang w:val="en-US" w:eastAsia="zh-CN"/>
        </w:rPr>
        <w:t xml:space="preserve">5   </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信息安全保障需求</w:t>
      </w:r>
      <w:bookmarkEnd w:id="266"/>
      <w:bookmarkEnd w:id="267"/>
      <w:bookmarkEnd w:id="268"/>
      <w:bookmarkEnd w:id="269"/>
      <w:bookmarkEnd w:id="270"/>
      <w:bookmarkEnd w:id="271"/>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安全等级定级：根据《信息安全技术 网络安全等级保护定级指南》（GBT 22240-2020），项目需对社会秩序和公共利益的潜在影响进行评估。考虑到该平台可能对公共利益造成严重损害，确定其为第二级安全保护。</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数据安全管理：包括数据传输、加密、管控及备份与恢复。数据传输需保障完整性和有效性，如通过哈希算法校验。数据加密消除明码存储的安全隐患，需采用数据库内置功能或专用加密设备。数据管控强化数据库访问权限，防止未授权访问。数据备份和恢复通过多种方式确保数据安全。</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访问控制和安全审计：实施基于角色的访问控制（RBAC），确保仅授权用户访问敏感信息，并进行用户身份验证和授权。安全审计关键在于监控系统活动，记录关键操作，定期审查日志以及时响应安全事件。</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安全漏洞管理：定期扫描系统漏洞并及时修补，使用最新安全补丁和更新。部署防病毒软件和入侵检测系统，识别和阻止恶意软件及未授权访问。</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应急响应和灾难恢复：建立应急响应机制和灾难恢复计划，以应对网络攻击、系统故障或其他安全事件，确保业务连续性和数据完整性。</w:t>
      </w:r>
    </w:p>
    <w:p>
      <w:pPr>
        <w:pageBreakBefore w:val="0"/>
        <w:tabs>
          <w:tab w:val="left" w:pos="567"/>
        </w:tabs>
        <w:kinsoku/>
        <w:wordWrap/>
        <w:overflowPunct/>
        <w:topLinePunct w:val="0"/>
        <w:bidi w:val="0"/>
        <w:snapToGrid/>
        <w:spacing w:line="360" w:lineRule="auto"/>
        <w:ind w:left="567" w:hanging="567"/>
        <w:outlineLvl w:val="2"/>
        <w:rPr>
          <w:rFonts w:hint="eastAsia" w:ascii="宋体" w:hAnsi="宋体" w:eastAsia="宋体" w:cs="宋体"/>
          <w:color w:val="auto"/>
          <w:kern w:val="2"/>
          <w:sz w:val="21"/>
          <w:szCs w:val="21"/>
          <w:highlight w:val="none"/>
          <w:lang w:val="zh-CN"/>
        </w:rPr>
      </w:pPr>
      <w:bookmarkStart w:id="272" w:name="_Toc22102"/>
      <w:bookmarkStart w:id="273" w:name="_Toc24428"/>
      <w:bookmarkStart w:id="274" w:name="_Toc6723"/>
      <w:bookmarkStart w:id="275" w:name="_Toc9845"/>
      <w:bookmarkStart w:id="276" w:name="_Toc16214"/>
      <w:bookmarkStart w:id="277" w:name="_Toc14009"/>
      <w:r>
        <w:rPr>
          <w:rFonts w:hint="eastAsia" w:ascii="宋体" w:hAnsi="宋体" w:eastAsia="宋体" w:cs="宋体"/>
          <w:color w:val="auto"/>
          <w:kern w:val="2"/>
          <w:sz w:val="21"/>
          <w:szCs w:val="21"/>
          <w:highlight w:val="none"/>
          <w:lang w:val="en-US" w:eastAsia="zh-CN"/>
        </w:rPr>
        <w:t xml:space="preserve">6   </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关联系统和接口需求</w:t>
      </w:r>
      <w:bookmarkEnd w:id="272"/>
      <w:bookmarkEnd w:id="273"/>
      <w:bookmarkEnd w:id="274"/>
      <w:bookmarkEnd w:id="275"/>
      <w:bookmarkEnd w:id="276"/>
      <w:bookmarkEnd w:id="277"/>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该项目应预留至少一个数据接口，用于后续将接入</w:t>
      </w:r>
      <w:r>
        <w:rPr>
          <w:rFonts w:hint="eastAsia" w:ascii="宋体" w:hAnsi="宋体" w:eastAsia="宋体" w:cs="宋体"/>
          <w:color w:val="auto"/>
          <w:sz w:val="21"/>
          <w:szCs w:val="21"/>
          <w:highlight w:val="none"/>
          <w:lang w:val="en-US" w:eastAsia="zh-CN"/>
        </w:rPr>
        <w:t>东莞市环保</w:t>
      </w:r>
      <w:r>
        <w:rPr>
          <w:rFonts w:hint="eastAsia" w:ascii="宋体" w:hAnsi="宋体" w:eastAsia="宋体" w:cs="宋体"/>
          <w:color w:val="auto"/>
          <w:sz w:val="21"/>
          <w:szCs w:val="21"/>
          <w:highlight w:val="none"/>
          <w:lang w:val="zh-CN"/>
        </w:rPr>
        <w:t>产业</w:t>
      </w:r>
      <w:r>
        <w:rPr>
          <w:rFonts w:hint="eastAsia" w:ascii="宋体" w:hAnsi="宋体" w:eastAsia="宋体" w:cs="宋体"/>
          <w:color w:val="auto"/>
          <w:sz w:val="21"/>
          <w:szCs w:val="21"/>
          <w:highlight w:val="none"/>
          <w:lang w:val="en-US" w:eastAsia="zh-CN"/>
        </w:rPr>
        <w:t>促进</w:t>
      </w:r>
      <w:r>
        <w:rPr>
          <w:rFonts w:hint="eastAsia" w:ascii="宋体" w:hAnsi="宋体" w:eastAsia="宋体" w:cs="宋体"/>
          <w:color w:val="auto"/>
          <w:sz w:val="21"/>
          <w:szCs w:val="21"/>
          <w:highlight w:val="none"/>
          <w:lang w:val="zh-CN"/>
        </w:rPr>
        <w:t>中心后期系统，满足两个系统之间数据传输，届时根据实际情况制定对接方式（库表/接口）。</w:t>
      </w:r>
    </w:p>
    <w:p>
      <w:pPr>
        <w:pageBreakBefore w:val="0"/>
        <w:kinsoku/>
        <w:wordWrap/>
        <w:overflowPunct/>
        <w:topLinePunct w:val="0"/>
        <w:bidi w:val="0"/>
        <w:snapToGrid/>
        <w:spacing w:line="360" w:lineRule="auto"/>
        <w:rPr>
          <w:rFonts w:hint="eastAsia" w:ascii="宋体" w:hAnsi="宋体" w:eastAsia="宋体" w:cs="宋体"/>
          <w:color w:val="auto"/>
          <w:highlight w:val="none"/>
          <w:lang w:val="en-US" w:eastAsia="zh-CN"/>
        </w:rPr>
      </w:pPr>
      <w:bookmarkStart w:id="278" w:name="_Toc18565"/>
    </w:p>
    <w:p>
      <w:pPr>
        <w:pStyle w:val="5"/>
        <w:pageBreakBefore w:val="0"/>
        <w:kinsoku/>
        <w:wordWrap/>
        <w:overflowPunct/>
        <w:topLinePunct w:val="0"/>
        <w:bidi w:val="0"/>
        <w:snapToGrid/>
        <w:spacing w:line="360" w:lineRule="auto"/>
        <w:rPr>
          <w:rFonts w:hint="eastAsia" w:ascii="宋体" w:hAnsi="宋体" w:eastAsia="宋体" w:cs="宋体"/>
          <w:b/>
          <w:bCs/>
          <w:color w:val="auto"/>
          <w:kern w:val="44"/>
          <w:sz w:val="21"/>
          <w:szCs w:val="21"/>
          <w:highlight w:val="none"/>
          <w:lang w:val="zh-CN" w:eastAsia="zh-CN"/>
        </w:rPr>
      </w:pPr>
      <w:bookmarkStart w:id="279" w:name="_Toc4743"/>
      <w:bookmarkStart w:id="280" w:name="_Toc23421"/>
      <w:bookmarkStart w:id="281" w:name="_Toc25780"/>
      <w:bookmarkStart w:id="282" w:name="_Toc966"/>
      <w:bookmarkStart w:id="283" w:name="_Toc21009"/>
      <w:r>
        <w:rPr>
          <w:rFonts w:hint="eastAsia" w:ascii="宋体" w:hAnsi="宋体" w:eastAsia="宋体" w:cs="宋体"/>
          <w:b/>
          <w:bCs/>
          <w:color w:val="auto"/>
          <w:kern w:val="44"/>
          <w:sz w:val="21"/>
          <w:szCs w:val="21"/>
          <w:highlight w:val="none"/>
          <w:lang w:val="en-US" w:eastAsia="zh-CN"/>
        </w:rPr>
        <w:t>三、</w:t>
      </w:r>
      <w:r>
        <w:rPr>
          <w:rFonts w:hint="eastAsia" w:ascii="宋体" w:hAnsi="宋体" w:eastAsia="宋体" w:cs="宋体"/>
          <w:b/>
          <w:bCs/>
          <w:color w:val="auto"/>
          <w:kern w:val="44"/>
          <w:sz w:val="21"/>
          <w:szCs w:val="21"/>
          <w:highlight w:val="none"/>
          <w:lang w:val="zh-CN" w:eastAsia="zh-CN"/>
        </w:rPr>
        <w:t>项目建设方案</w:t>
      </w:r>
      <w:bookmarkEnd w:id="278"/>
      <w:bookmarkEnd w:id="279"/>
      <w:bookmarkEnd w:id="280"/>
      <w:bookmarkEnd w:id="281"/>
      <w:bookmarkEnd w:id="282"/>
      <w:bookmarkEnd w:id="283"/>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67"/>
        <w:textAlignment w:val="auto"/>
        <w:outlineLvl w:val="2"/>
        <w:rPr>
          <w:rFonts w:hint="eastAsia" w:ascii="宋体" w:hAnsi="宋体" w:eastAsia="宋体" w:cs="宋体"/>
          <w:color w:val="auto"/>
          <w:kern w:val="2"/>
          <w:sz w:val="21"/>
          <w:szCs w:val="21"/>
          <w:highlight w:val="none"/>
          <w:lang w:val="zh-CN"/>
        </w:rPr>
      </w:pPr>
      <w:bookmarkStart w:id="284" w:name="_Toc8210"/>
      <w:bookmarkStart w:id="285" w:name="_Toc21274"/>
      <w:bookmarkStart w:id="286" w:name="_Toc27880"/>
      <w:bookmarkStart w:id="287" w:name="_Toc28142"/>
      <w:bookmarkStart w:id="288" w:name="_Toc31951"/>
      <w:bookmarkStart w:id="289" w:name="_Toc5715"/>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建设目标</w:t>
      </w:r>
      <w:bookmarkEnd w:id="284"/>
      <w:bookmarkEnd w:id="285"/>
      <w:bookmarkEnd w:id="286"/>
      <w:bookmarkEnd w:id="287"/>
      <w:bookmarkEnd w:id="288"/>
      <w:bookmarkEnd w:id="289"/>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lang w:val="zh-CN"/>
        </w:rPr>
        <w:t>经济效益分析</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）减少成本</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通过采用无纸化管理，能够显著减少繁琐的手工操作，从而有效提高污泥处理处置业务的工作效率。引入数字化管理和电子化台账的方式使信息能够快速而准确地录入、传递和存储，可以显著减少时间和人力成本，为污泥处理流程提供了高效、便捷的管理手段。</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）降低损耗</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制定规范的污泥处理处置基础数据管理体系，涵盖污水处理厂、车辆、人员、日报、运输记录等关键信息，旨在确保数据的准确性和规范性，并采用留存影像等手段强化对污泥仓库、生产现场和装运现场的监管，提升治理过程的透明度。加强监管手段使公司能够更迅速地发现和纠正问题，进一步确保了污泥处理处置业务的高效、可靠运行，从而从根本上减少相关损耗。</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社会效益分析</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无纸化管理方式有效减少了对纸张和能源的消耗，符合可持续发展的环保理念。这一举措不仅有助于降低企业的环境负担，还为企业实现绿色、智能的管理方式奠定了基础，提升了企业在社会责任履行方面的形象。通过倡导环保理念和智能管理方式，企业不仅在业务运营上实现了效益提升，同时展现了对社会可持续发展的积极支持和积极参与。</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67"/>
        <w:textAlignment w:val="auto"/>
        <w:outlineLvl w:val="2"/>
        <w:rPr>
          <w:rFonts w:hint="eastAsia" w:ascii="宋体" w:hAnsi="宋体" w:eastAsia="宋体" w:cs="宋体"/>
          <w:color w:val="auto"/>
          <w:kern w:val="2"/>
          <w:sz w:val="21"/>
          <w:szCs w:val="21"/>
          <w:highlight w:val="none"/>
          <w:lang w:val="zh-CN"/>
        </w:rPr>
      </w:pPr>
      <w:bookmarkStart w:id="290" w:name="_Toc32349"/>
      <w:bookmarkStart w:id="291" w:name="_Toc6775"/>
      <w:bookmarkStart w:id="292" w:name="_Toc13560"/>
      <w:bookmarkStart w:id="293" w:name="_Toc1535"/>
      <w:bookmarkStart w:id="294" w:name="_Toc22552"/>
      <w:bookmarkStart w:id="295" w:name="_Toc28698"/>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建设原则</w:t>
      </w:r>
      <w:bookmarkEnd w:id="290"/>
      <w:bookmarkEnd w:id="291"/>
      <w:bookmarkEnd w:id="292"/>
      <w:bookmarkEnd w:id="293"/>
      <w:bookmarkEnd w:id="294"/>
      <w:bookmarkEnd w:id="295"/>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项目在建设中将遵照以下建设原则：</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）安全性和保密性原则</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保证网络环境下数据的安全，防止病毒入侵、非法访问、恶意更改毁坏，采取完备的数据保护和备份机制。为了防止非授权用户的非法入侵和授权用户的越权使用，系统应进行各种级别的权限控制，并具备审核功能，自动记录用户访问的情况和操作过程，以备日后查询。</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）先进性和成熟性原则</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系统建设尽可能采用最先进的技术、方法、软件、硬件和网络平台，确保系统的先进性，同时兼顾成熟性，使系统成熟而且可靠。系统在满足全局性与整体性要求的同时，能够适应未来技术发展和需求的变化，使系统能够可持续发展。</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）标准化和开放性原则</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系统的建设要严格按照国家、地方和行业的有关标准与规范，在没有标准与规范的情况下，要参照国家、地方和行业的相关标准与规范，协助制订相应的标准与规范。系统的分析、设计、实现和测试要严格按照软件工程标准和规范，并尽可能采用开放技术和主流产品，以确保系统符合开放标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）实用性原则</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系统的开发要“以人为本”，充分考虑日常群众、企事业单位办事的实际需要，贴近用户的需求与习惯做法，做到功能强大、界面友好和美观、操作简单、使用方便。</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）可维护性和扩展性原则</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为了确保系统的可持续发展，系统应具有较强的可维护性和扩展性。当机构调整、人事变动、业务内容与流程变更时，能方便地进行系统流程和功能的调整，以适应系统需求的变化；系统能够方便地进行管理与维护，软、硬件的升级不影响正常运作，系统功能、结构以及数据库可方便地扩展。</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67"/>
        <w:textAlignment w:val="auto"/>
        <w:outlineLvl w:val="2"/>
        <w:rPr>
          <w:rFonts w:hint="eastAsia" w:ascii="宋体" w:hAnsi="宋体" w:eastAsia="宋体" w:cs="宋体"/>
          <w:color w:val="auto"/>
          <w:kern w:val="2"/>
          <w:sz w:val="21"/>
          <w:szCs w:val="21"/>
          <w:highlight w:val="none"/>
          <w:lang w:val="zh-CN" w:eastAsia="zh-CN"/>
        </w:rPr>
      </w:pPr>
      <w:bookmarkStart w:id="296" w:name="_Toc29200"/>
      <w:bookmarkStart w:id="297" w:name="_Toc5877"/>
      <w:bookmarkStart w:id="298" w:name="_Toc28682"/>
      <w:bookmarkStart w:id="299" w:name="_Toc2952"/>
      <w:bookmarkStart w:id="300" w:name="_Toc18071"/>
      <w:bookmarkStart w:id="301" w:name="_Toc29390"/>
      <w:r>
        <w:rPr>
          <w:rFonts w:hint="eastAsia" w:ascii="宋体" w:hAnsi="宋体" w:eastAsia="宋体" w:cs="宋体"/>
          <w:color w:val="auto"/>
          <w:kern w:val="2"/>
          <w:sz w:val="21"/>
          <w:szCs w:val="21"/>
          <w:highlight w:val="none"/>
          <w:lang w:val="zh-CN" w:eastAsia="zh-CN"/>
        </w:rPr>
        <w:t>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eastAsia="zh-CN"/>
        </w:rPr>
        <w:t>系统结构</w:t>
      </w:r>
      <w:bookmarkEnd w:id="296"/>
      <w:bookmarkEnd w:id="297"/>
      <w:bookmarkEnd w:id="298"/>
      <w:bookmarkEnd w:id="299"/>
      <w:bookmarkEnd w:id="300"/>
      <w:bookmarkEnd w:id="301"/>
    </w:p>
    <w:p>
      <w:pPr>
        <w:pageBreakBefore w:val="0"/>
        <w:tabs>
          <w:tab w:val="left" w:pos="621"/>
        </w:tabs>
        <w:kinsoku/>
        <w:wordWrap/>
        <w:overflowPunct/>
        <w:topLinePunct w:val="0"/>
        <w:bidi w:val="0"/>
        <w:snapToGrid/>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drawing>
          <wp:inline distT="0" distB="0" distL="114300" distR="114300">
            <wp:extent cx="5067935" cy="2719070"/>
            <wp:effectExtent l="0" t="0" r="18415" b="508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5"/>
                    <a:stretch>
                      <a:fillRect/>
                    </a:stretch>
                  </pic:blipFill>
                  <pic:spPr>
                    <a:xfrm>
                      <a:off x="0" y="0"/>
                      <a:ext cx="5067935" cy="2719070"/>
                    </a:xfrm>
                    <a:prstGeom prst="rect">
                      <a:avLst/>
                    </a:prstGeom>
                    <a:noFill/>
                    <a:ln>
                      <a:noFill/>
                    </a:ln>
                  </pic:spPr>
                </pic:pic>
              </a:graphicData>
            </a:graphic>
          </wp:inline>
        </w:drawing>
      </w:r>
    </w:p>
    <w:p>
      <w:pPr>
        <w:pageBreakBefore w:val="0"/>
        <w:tabs>
          <w:tab w:val="left" w:pos="621"/>
        </w:tabs>
        <w:kinsoku/>
        <w:wordWrap/>
        <w:overflowPunct/>
        <w:topLinePunct w:val="0"/>
        <w:bidi w:val="0"/>
        <w:snapToGrid/>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图 1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污泥处理处置过程数据管理系统总体架构图</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3.1  </w:t>
      </w:r>
      <w:r>
        <w:rPr>
          <w:rFonts w:hint="eastAsia" w:ascii="宋体" w:hAnsi="宋体" w:eastAsia="宋体" w:cs="宋体"/>
          <w:color w:val="auto"/>
          <w:sz w:val="21"/>
          <w:szCs w:val="21"/>
          <w:highlight w:val="none"/>
          <w:lang w:val="zh-CN"/>
        </w:rPr>
        <w:t>用户层</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项目涉及的用户对象包含水务集团、实业公司、众源公司、减量单位、污水处理厂、处置单位、运输单位。</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3.2  </w:t>
      </w:r>
      <w:r>
        <w:rPr>
          <w:rFonts w:hint="eastAsia" w:ascii="宋体" w:hAnsi="宋体" w:eastAsia="宋体" w:cs="宋体"/>
          <w:color w:val="auto"/>
          <w:sz w:val="21"/>
          <w:szCs w:val="21"/>
          <w:highlight w:val="none"/>
          <w:lang w:val="zh-CN"/>
        </w:rPr>
        <w:t>应用层</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应用层由PC端和小程序构成。其中PC端包括数据看板、基本信息管理、台账管理和多媒体管理等模块。小程序包括信息录入、运输记录二维码、图片上传、视频上传等模块。</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 xml:space="preserve">3.3 </w:t>
      </w:r>
      <w:r>
        <w:rPr>
          <w:rFonts w:hint="eastAsia" w:ascii="宋体" w:hAnsi="宋体" w:eastAsia="宋体" w:cs="宋体"/>
          <w:color w:val="auto"/>
          <w:kern w:val="2"/>
          <w:sz w:val="21"/>
          <w:szCs w:val="21"/>
          <w:highlight w:val="none"/>
          <w:lang w:val="zh-CN"/>
        </w:rPr>
        <w:t>平台层</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建设平台服务，包括菜单管理、部门管理、角色管理、用户管理、日志管理。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en-US" w:eastAsia="zh-CN"/>
        </w:rPr>
        <w:t xml:space="preserve">3.4  </w:t>
      </w:r>
      <w:r>
        <w:rPr>
          <w:rFonts w:hint="eastAsia" w:ascii="宋体" w:hAnsi="宋体" w:eastAsia="宋体" w:cs="宋体"/>
          <w:color w:val="auto"/>
          <w:sz w:val="21"/>
          <w:szCs w:val="21"/>
          <w:highlight w:val="none"/>
          <w:lang w:val="zh-CN" w:eastAsia="zh-CN"/>
        </w:rPr>
        <w:t>数据</w:t>
      </w:r>
      <w:r>
        <w:rPr>
          <w:rFonts w:hint="eastAsia" w:ascii="宋体" w:hAnsi="宋体" w:eastAsia="宋体" w:cs="宋体"/>
          <w:color w:val="auto"/>
          <w:kern w:val="2"/>
          <w:sz w:val="21"/>
          <w:szCs w:val="21"/>
          <w:highlight w:val="none"/>
          <w:lang w:val="zh-CN"/>
        </w:rPr>
        <w:t>层</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数据层包括污水处理厂、地磅、运输单位、处置单位、减量单位污泥转移联单、磅单、运输记录、生产日报等数据存储，为各类应用提供数据支撑。</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 xml:space="preserve">3.5 </w:t>
      </w:r>
      <w:r>
        <w:rPr>
          <w:rFonts w:hint="eastAsia" w:ascii="宋体" w:hAnsi="宋体" w:eastAsia="宋体" w:cs="宋体"/>
          <w:color w:val="auto"/>
          <w:sz w:val="21"/>
          <w:szCs w:val="21"/>
          <w:highlight w:val="none"/>
          <w:lang w:val="zh-CN" w:eastAsia="zh-CN"/>
        </w:rPr>
        <w:t>支撑</w:t>
      </w:r>
      <w:r>
        <w:rPr>
          <w:rFonts w:hint="eastAsia" w:ascii="宋体" w:hAnsi="宋体" w:eastAsia="宋体" w:cs="宋体"/>
          <w:color w:val="auto"/>
          <w:kern w:val="2"/>
          <w:sz w:val="21"/>
          <w:szCs w:val="21"/>
          <w:highlight w:val="none"/>
          <w:lang w:val="zh-CN"/>
        </w:rPr>
        <w:t>层</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支撑层包括集团统一服务器、数据监控、数据安全等服务。</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67"/>
        <w:textAlignment w:val="auto"/>
        <w:outlineLvl w:val="2"/>
        <w:rPr>
          <w:rFonts w:hint="eastAsia" w:ascii="宋体" w:hAnsi="宋体" w:eastAsia="宋体" w:cs="宋体"/>
          <w:color w:val="auto"/>
          <w:kern w:val="2"/>
          <w:sz w:val="21"/>
          <w:szCs w:val="21"/>
          <w:highlight w:val="none"/>
          <w:lang w:val="zh-CN" w:eastAsia="zh-CN"/>
        </w:rPr>
      </w:pPr>
      <w:bookmarkStart w:id="302" w:name="_Toc2434"/>
      <w:bookmarkStart w:id="303" w:name="_Toc4164"/>
      <w:bookmarkStart w:id="304" w:name="_Toc7357"/>
      <w:bookmarkStart w:id="305" w:name="_Toc17767"/>
      <w:bookmarkStart w:id="306" w:name="_Toc6679"/>
      <w:bookmarkStart w:id="307" w:name="_Toc28554"/>
      <w:r>
        <w:rPr>
          <w:rFonts w:hint="eastAsia" w:ascii="宋体" w:hAnsi="宋体" w:eastAsia="宋体" w:cs="宋体"/>
          <w:color w:val="auto"/>
          <w:kern w:val="2"/>
          <w:sz w:val="21"/>
          <w:szCs w:val="21"/>
          <w:highlight w:val="none"/>
          <w:lang w:val="en-US" w:eastAsia="zh-CN"/>
        </w:rPr>
        <w:t xml:space="preserve">4   </w:t>
      </w:r>
      <w:r>
        <w:rPr>
          <w:rFonts w:hint="eastAsia" w:ascii="宋体" w:hAnsi="宋体" w:eastAsia="宋体" w:cs="宋体"/>
          <w:color w:val="auto"/>
          <w:kern w:val="2"/>
          <w:sz w:val="21"/>
          <w:szCs w:val="21"/>
          <w:highlight w:val="none"/>
          <w:lang w:val="zh-CN" w:eastAsia="zh-CN"/>
        </w:rPr>
        <w:t>建设内容</w:t>
      </w:r>
      <w:bookmarkEnd w:id="302"/>
      <w:bookmarkEnd w:id="303"/>
      <w:bookmarkEnd w:id="304"/>
      <w:bookmarkEnd w:id="305"/>
      <w:bookmarkEnd w:id="306"/>
      <w:bookmarkEnd w:id="307"/>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主要为定制软件开发，涉及PC端和小程序的功能开发。PC端包括数据看板、基本信息管理、台账管理、系统管理等模块，支持用户单位对污水处理厂、处置单位、运输单位、污泥转移联单、磅单、运输记录、生产日报等数据进行填写，同时提供图片和视频上传功能，系统管理模块支持用户对系统用户、部门、权限、日志等内容进行全面管理。小程序提供信息录入、运输记录二维码生成、图片上传和视频上传等模块，支持用户及时上报污泥处理处置生产相关数据，运输单位可通过小程序上传外运相关节点的图片和视频，同时支持处置单位对接收污泥的相关信息进行填报。</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 xml:space="preserve">4.1 </w:t>
      </w:r>
      <w:r>
        <w:rPr>
          <w:rFonts w:hint="eastAsia" w:ascii="宋体" w:hAnsi="宋体" w:eastAsia="宋体" w:cs="宋体"/>
          <w:color w:val="auto"/>
          <w:sz w:val="21"/>
          <w:szCs w:val="21"/>
          <w:highlight w:val="none"/>
          <w:lang w:val="zh-CN"/>
        </w:rPr>
        <w:t>技术路线</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）B/S架构</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S架构即浏览器和服务器架构模式，是随着Internet技术的兴起，对C/S架构的一种变化或者改进的架构。在这种架构下，用户工作界面是通过WWW浏览器来实现，极少部分事务逻辑在前端（Browser）实现，但是主要事务逻辑在服务器端(Server)实现，形成所谓三层3-tier结构。B/S架构是WEB兴起后的一种网络架构模式，WEB浏览器是客户端最主要的应用软件。这种模式统一了客户端，将系统功能实现的核心部分集中到服务器上，简化了系统的开发、维护和使用。客户机上只要安装一个浏览器（Browser），并通过服务器同数据库进行数据交互。这样就大大简化了客户端电脑载荷，减轻了系统维护与升级的成本和工作量，降低了用户的总体成本(TCO)。</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本项目采用了B/S架构，前端的WEB浏览器负责信息的录入和结果的展示，后端服务负责业务逻辑的判断和大数据分析的运算。</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）微服务架构</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的软件架构设计采用微服务架构的基本思想，将单一程序拆分成一个一个的微服务，每个微服务运行在自己的进程中，并使用轻量级的机制通信，适应不断变化的业务需求，这些服务围绕业务能力来划分，并通过自动化部署机制来独立部署。这些服务可以使用不同的编程语言，不同数据库，以保证最低限度的集中式管理。充分考虑系统的未来扩展，并解决跨部门、跨系统、跨应用的互联互通，提高资源利用率，真正实现了业务变化快，系统也能“随需而变”。每个微服务都是独立部署的，如果其中一个宕机了，不会影响整个系统；也方便功能变更时，服务的部署；当流量增大后，可以将服务集群化部署，增强抗击高并发的能力。</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在本项目中，微服务架构运用到了内部构建的各个方面，主要体现在复杂的业务拆分成多个业务，每个业务是一个独立的微服务，彻底的去耦合，利于分工，当需要增加业务的时候，可以方便创建新的微服务扩展业务，而不用担心有没有别的地方耦合。</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）MVC设计模式</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MVC全名是Model View Controller，是模型(model)－视图(view)－控制器(controller)的缩写，一种软件设计典范，用一种业务逻辑、数据、界面显示分离的方法组织代码，将业务逻辑聚集到一个部件里面，在改进和个性化定制界面及用户交互的同时，不需要重新编写业务逻辑。MVC被独特的发展起来用于映射传统的输入、处理和输出功能在一个逻辑的图形化用户界面的结构中。</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）运行环境要求</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本项目运行环境配置为：</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1.操作系统：Linux操作系统；</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2.服务器：硬件要求CPU16核32G内存，数据盘2TB；</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3.数据库：符合国家《数据库政府采购需求标准（2023年版）》的基本功能要求和安全要求，可通过中国信息安全测评中心或国家保密科技测评中心网站查看产品测评结果；</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4.小程序：同时支持安卓系统、苹果系统</w:t>
      </w:r>
      <w:r>
        <w:rPr>
          <w:rFonts w:hint="eastAsia" w:ascii="宋体" w:hAnsi="宋体" w:eastAsia="宋体" w:cs="宋体"/>
          <w:color w:val="auto"/>
          <w:sz w:val="21"/>
          <w:szCs w:val="21"/>
          <w:highlight w:val="none"/>
          <w:lang w:val="en-US" w:eastAsia="zh-CN"/>
        </w:rPr>
        <w:t>和华为鸿蒙系统等</w:t>
      </w:r>
      <w:r>
        <w:rPr>
          <w:rFonts w:hint="eastAsia" w:ascii="宋体" w:hAnsi="宋体" w:eastAsia="宋体" w:cs="宋体"/>
          <w:color w:val="auto"/>
          <w:sz w:val="21"/>
          <w:szCs w:val="21"/>
          <w:highlight w:val="none"/>
          <w:lang w:val="zh-CN"/>
        </w:rPr>
        <w:t>访问。</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定制软件开发</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）PC端</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PC端主要包括数据看板、基本信息管理、台账管理、系统管理等模块内容，以便于用户进行信息填报及污泥处理处置过程数据管理。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）数据看板</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1.数据可视化</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结合系统中权属单位、污水处理厂、地磅、处置单位、减量单位、运输单位、车辆、污泥转移联单、磅单、运输记录、生产日报等信息，对污泥处理处置过程数据情况进行统计分析，如各类型单位数量、车辆数量、运输次数等，并对本日、本月、本年的外运污泥量等业务数据通过折线图等形式进行可视化展示。</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）基本信息管理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1.污水处理厂管理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对污水处理厂名称、污水处理厂联系人、污水处理厂联系电话、权属单位名称、权属单位地址、权属单位所在省、市、区/镇街、权属单位类型（BOT/净水）、权属单位联系人、权属单位联系电话、权属单位统一社会信用代码、生产线名称等信息进行录入、查看、修改、删除、导出等管理操作，基于业务需求，用户可对污水处理厂底下的生产线进行多次添加。</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2.地磅管理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支持对地磅名称、地址等信息进行录入、查看、修改、删除、导出等管理操作。以便于后续在磅单信息管理中用户可选择对应的地磅地点，并为数据看板提供基础数据，同时将现有存量数据进行清洗导入。</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3.运输单位管理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对运输单位名称、运输工具牌照号、道路运输许可证编号、运输单位联系电话、运输单位统一社会信用代码、司机姓名、司机联系电话等信息进行录入、查看、修改、删除、导出等管理操作。基于业务需求，用户可在同一家运输单位对旗下的司机、车牌号进行多次添加。同时将现有存量数据进行清洗导入。</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4.处置单位管理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对处置单位名称、处置单位简称、处置单位地址、省、市、区/镇街、处置单位统一社会信用代码、处置单位负责人、处置单位负责人联系电话等信息进行录入、查看、修改、删除、导出等管理操作。以便于用户在污泥转移联单填报表单中进行处置单位选择，以及和磅单、运输记录的关联，同时将现有存量数据进行清洗导入。</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5.减量单位管理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对减量单位名称、减量单位地址、省、市、区/镇街、所属片区、减量单位联系人、减量单位联系电话、减量单位统一社会信用代码等信息进行录入、查看、修改、删除、导出等管理操作。为后续污泥含水率数据的确认提供基础，同时将现有存量数据进行清洗导入。</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）台账管理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1.污泥转移联单管理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对联单编码、权属单位名称、权属单位地址、污水处理厂名称、运输单位、运输工具牌照号、道路运输许可证编号、接受单位、通信地址、污泥形态（含水率）、批次、磅单序号、运达地、转移时间、承运公司、运输日期、运输起点、运输终点、司机、经营许可证号、接收日期、污泥利用处置方式等信息进行录入、查看、修改、删除、导出等管理操作。并支持用户对磅单、运输记录进行关联，以便外运材料的整体归集。当处置单位完成相关信息录入后，表单处提供入口给到对应单位进行产泥含水率的填报，此时提交后表单状态将会变为待确认，待污水处理厂、外运组、处置单位三方都点击确认后，表单状态方转为已确认，同时将现有存量数据进行清洗导入。</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2.磅单管理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支持对磅单序号、客户名称（污水处理厂）、货品名称、入厂时间、出厂时间、总量、空量、净重等信息进行录入、查看、修改、删除、导出等管理操作，同时将现有存量数据进行清洗导入。</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3.运输记录管理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运输单位对污泥外运的各节点材料，如装车照片、装车封条照片、过磅照片、磅单照片、卸货封条照片、卸货照片、卸货视频等数据进行上传、查看、修改、删除等管理操作。提交后系统自动生成运输单号，用以污泥转移联单关联及后续外运材料归集，同时将现有存量数据进行清洗导入。</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4.生产日报管理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对污水处理厂名称、生产线名称、板数、进料浓度（mg/L）、进料时刻（hh:mm）、进料压力（Mpa）、进料抄表（m³）、压榨时刻（hh:mm）、卸泥时刻（hh:mm）、用电抄表（kw*h）、用水抄表（m³）、自检含水率（%）、产量估重（吨）、班次、人员、等信息进行录入、查看、修改、删除、导出等管理操作。并支持对客户关注的生产日报业务数据进行自动汇总，同时将现有存量数据进行清洗导入。</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4）系统管理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1.菜单管理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提供后台管理系统功能菜单的配置管理功能，可根据系统业务的实际需要进行系统菜单配置。</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2.部门管理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管理用户单位组织架构，包括部门和人员构成，人员姓名、岗位、联系电话等信息。</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3.角色管理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管理用户单位各项角色，包括角色名称、菜单权限等内容。</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4.用户管理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管理用户单位人员信息，包括创建、维护、删除人员的账号、密码、联系电话、部门等基本信息。</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5.日志管理</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后台记录用户登录等的详细记录，提供查询功能，对生成的系统日志进行查询。</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）小程序</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小程序模块主要包括为处置单位、运输单位等用户提供更方便快捷的污泥转移联单、磅单、运输、生产等业务信息录入功能，并且协助用户单位进行小程序的申请及备案申请。</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）信息录入</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1.污泥转移联单信息录入</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在小程序对联单编码、权属单位名称、权属单位地址、污水处理厂名称、运输单位、运输工具牌照号、道路运输许可证编号、接受单位、通信地址、污泥形态（含水率）、批次、磅单序号、运达地、转移时间、承运公司、运输日期、运输起点、运输终点、司机、经营许可证号、接收日期、污泥利用处置方式等信息进行录入、查看、修改、删除等管理操作。并通过系统特制的扫一扫功能即可快速关联出本次外运司机提供的运输记录信息。当处置单位完成相关信息录入后，表单处提供入口给到对应单位进行产泥含水率的填报，此时提交后表单状态将会变为待确认，待污水处理厂、外运组、处置单位三方都点击确认后，表单状态方转为已确认。</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2.磅单信息录入</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支持在小程序对磅单序号、客户名称（污水处理厂）、货品名称、入厂时间、出厂时间、总量、空量、净重等信息进行录入、查看、修改、删除等管理操作。并支持用户关联污泥转移联单信息。</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3.运输信息录入</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运输单位在小程序对外运各节点材料，如装车照片、装车封条照片、过磅照片、磅单照片、卸货封条照片、卸货照片、卸货视频等信息，分别进行上传、查看、修改、删除等管理操作。并自动生成每次运输记录的二维码，用以支撑处置单位后续直接扫一扫后进行污泥转移联单相关信息的关联。</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4.生产信息录入</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持在小程序对污水处理厂名称、生产线名称、板数、进料浓度（mg/L）、进料时刻（hh:mm）、进料压力（Mpa）、进料抄表（m³）、压榨时刻（hh:mm）、卸泥时刻（hh:mm）、用电抄表（kw*h）、用水抄表（m³）、自检含水率（%）、产量估重（吨）、班次、人员等信息进行录入、查看、修改、删除等管理操作。并支持对客户关注的生产日报业务数据进行自动汇总。</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）我的</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1.录入记录</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用户可在此功能处查看到本账号录入的所有信息记录，包括暂未提交的各项草稿记录，并支持关键字以及日期筛选来进行查询。</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2.帮助中心</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基于各项业务逻辑，编制小程序的相关功能操作手册，用户可在帮助中心查看到操作手册的具体内容，对不清楚的功能进行了解，并可查看到技术支撑单位的联系方式。</w:t>
      </w:r>
    </w:p>
    <w:p>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textAlignment w:val="auto"/>
        <w:outlineLvl w:val="1"/>
        <w:rPr>
          <w:rFonts w:hint="eastAsia" w:ascii="宋体" w:hAnsi="宋体" w:eastAsia="宋体" w:cs="宋体"/>
          <w:b/>
          <w:bCs/>
          <w:color w:val="auto"/>
          <w:kern w:val="44"/>
          <w:sz w:val="21"/>
          <w:szCs w:val="21"/>
          <w:highlight w:val="none"/>
          <w:lang w:val="zh-CN"/>
        </w:rPr>
      </w:pPr>
      <w:bookmarkStart w:id="308" w:name="_Toc25057"/>
      <w:bookmarkStart w:id="309" w:name="_Toc20840"/>
      <w:bookmarkStart w:id="310" w:name="_Toc1661"/>
      <w:bookmarkStart w:id="311" w:name="_Toc30003"/>
      <w:bookmarkStart w:id="312" w:name="_Toc31709"/>
      <w:bookmarkStart w:id="313" w:name="_Toc3073"/>
      <w:r>
        <w:rPr>
          <w:rFonts w:hint="eastAsia" w:ascii="宋体" w:hAnsi="宋体" w:eastAsia="宋体" w:cs="宋体"/>
          <w:b/>
          <w:bCs/>
          <w:color w:val="auto"/>
          <w:kern w:val="44"/>
          <w:sz w:val="21"/>
          <w:szCs w:val="21"/>
          <w:highlight w:val="none"/>
          <w:lang w:val="en-US" w:eastAsia="zh-CN"/>
        </w:rPr>
        <w:t>四、</w:t>
      </w:r>
      <w:r>
        <w:rPr>
          <w:rFonts w:hint="eastAsia" w:ascii="宋体" w:hAnsi="宋体" w:eastAsia="宋体" w:cs="宋体"/>
          <w:b/>
          <w:bCs/>
          <w:color w:val="auto"/>
          <w:kern w:val="44"/>
          <w:sz w:val="21"/>
          <w:szCs w:val="21"/>
          <w:highlight w:val="none"/>
          <w:lang w:val="zh-CN"/>
        </w:rPr>
        <w:t>项目的安全设计</w:t>
      </w:r>
      <w:bookmarkEnd w:id="308"/>
      <w:bookmarkEnd w:id="309"/>
      <w:bookmarkEnd w:id="310"/>
      <w:bookmarkEnd w:id="311"/>
      <w:bookmarkEnd w:id="312"/>
      <w:bookmarkEnd w:id="313"/>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67"/>
        <w:textAlignment w:val="auto"/>
        <w:outlineLvl w:val="2"/>
        <w:rPr>
          <w:rFonts w:hint="eastAsia" w:ascii="宋体" w:hAnsi="宋体" w:eastAsia="宋体" w:cs="宋体"/>
          <w:color w:val="auto"/>
          <w:kern w:val="2"/>
          <w:sz w:val="21"/>
          <w:szCs w:val="21"/>
          <w:highlight w:val="none"/>
          <w:lang w:val="zh-CN" w:eastAsia="zh-CN"/>
        </w:rPr>
      </w:pPr>
      <w:bookmarkStart w:id="314" w:name="_Toc31234"/>
      <w:bookmarkStart w:id="315" w:name="_Toc13761"/>
      <w:bookmarkStart w:id="316" w:name="_Toc24374"/>
      <w:bookmarkStart w:id="317" w:name="_Toc29089"/>
      <w:bookmarkStart w:id="318" w:name="_Toc32122"/>
      <w:bookmarkStart w:id="319" w:name="_Toc23304"/>
      <w:r>
        <w:rPr>
          <w:rFonts w:hint="eastAsia" w:ascii="宋体" w:hAnsi="宋体" w:eastAsia="宋体" w:cs="宋体"/>
          <w:color w:val="auto"/>
          <w:kern w:val="2"/>
          <w:sz w:val="21"/>
          <w:szCs w:val="21"/>
          <w:highlight w:val="none"/>
          <w:lang w:val="zh-CN" w:eastAsia="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eastAsia="zh-CN"/>
        </w:rPr>
        <w:t>信息系统安全风险分析</w:t>
      </w:r>
      <w:bookmarkEnd w:id="314"/>
      <w:bookmarkEnd w:id="315"/>
      <w:bookmarkEnd w:id="316"/>
      <w:bookmarkEnd w:id="317"/>
      <w:bookmarkEnd w:id="318"/>
      <w:bookmarkEnd w:id="319"/>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系统面临多种安全威胁。外部攻击风险包括网络钓鱼、病毒感染、黑客攻击、DDoS攻击。系统需部署防火墙、入侵检测和预防系统，定期进行渗透测试以加强防御。</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内部安全风险源于员工操作失误或意图破坏。安全意识培训、操作指导及实施最小权限原则可减轻这些风险。数据泄漏或系统损坏的事件需通过授予必要的数据和资源访问来限制。</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软件漏洞为信息系统带来不容忽视的安全风险。软件复杂性增加伴随新漏洞出现。系统安全依赖及时更新补丁和安全评估。强化软件供应链安全管理是防范零日漏洞攻击的关键。</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非技术性风险如电力故障或硬件故障也可能导致服务中断。数据中心和紧急预案的构建能够提供冗余的解决方案，保障系统连续性和灾难恢复。</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67"/>
        <w:textAlignment w:val="auto"/>
        <w:outlineLvl w:val="2"/>
        <w:rPr>
          <w:rFonts w:hint="eastAsia" w:ascii="宋体" w:hAnsi="宋体" w:eastAsia="宋体" w:cs="宋体"/>
          <w:color w:val="auto"/>
          <w:kern w:val="2"/>
          <w:sz w:val="21"/>
          <w:szCs w:val="21"/>
          <w:highlight w:val="none"/>
          <w:lang w:val="zh-CN" w:eastAsia="zh-CN"/>
        </w:rPr>
      </w:pPr>
      <w:bookmarkStart w:id="320" w:name="_Toc15952"/>
      <w:bookmarkStart w:id="321" w:name="_Toc17158"/>
      <w:bookmarkStart w:id="322" w:name="_Toc31902"/>
      <w:bookmarkStart w:id="323" w:name="_Toc5816"/>
      <w:bookmarkStart w:id="324" w:name="_Toc9571"/>
      <w:bookmarkStart w:id="325" w:name="_Toc11104"/>
      <w:r>
        <w:rPr>
          <w:rFonts w:hint="eastAsia" w:ascii="宋体" w:hAnsi="宋体" w:eastAsia="宋体" w:cs="宋体"/>
          <w:color w:val="auto"/>
          <w:kern w:val="2"/>
          <w:sz w:val="21"/>
          <w:szCs w:val="21"/>
          <w:highlight w:val="none"/>
          <w:lang w:val="zh-CN" w:eastAsia="zh-CN"/>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eastAsia="zh-CN"/>
        </w:rPr>
        <w:t>信息系统安全技术方案</w:t>
      </w:r>
      <w:bookmarkEnd w:id="320"/>
      <w:bookmarkEnd w:id="321"/>
      <w:bookmarkEnd w:id="322"/>
      <w:bookmarkEnd w:id="323"/>
      <w:bookmarkEnd w:id="324"/>
      <w:bookmarkEnd w:id="325"/>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定期的漏洞扫描和及时系统补丁更新。使用安全加固的操作系统配置和服务器端防病毒软件；应用安全策略关注应用程序漏洞的定期扫描与修复，配置Web应用防火墙（WAF）保护；实施代码审查、安全开发生命周期管理和多因素认证机制增加额外安全层。</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数据安全方面，会采用加密传输与存储，以保护敏感数据；确保数据库的访问控制精细并采用字段级加密技术；实施数据掩码和去识别化技术保护个人身份信息。</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综合的日志管理系统，用于收集、分析、存储和报告所有关键系统和数据访问活动的审计日志，并与安全信息和事件管理（SIEM）系统集成。</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数据备份和应用备份需定期执行，包括在多个地理位置的异地备份；远程容灾策略会建立热备、冷备或温备方案，并定期测试灾难恢复计划以确保可行性。</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信息安全监控、预警和应急处置方案将包括部署基于行为分析的入侵检测系统，以准确预警潜在威胁；应急响应团队（CERT）将设计并测试用于各种安全事件的应急响应计划。</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67"/>
        <w:textAlignment w:val="auto"/>
        <w:outlineLvl w:val="2"/>
        <w:rPr>
          <w:rFonts w:hint="eastAsia" w:ascii="宋体" w:hAnsi="宋体" w:eastAsia="宋体" w:cs="宋体"/>
          <w:color w:val="auto"/>
          <w:kern w:val="2"/>
          <w:sz w:val="21"/>
          <w:szCs w:val="21"/>
          <w:highlight w:val="none"/>
          <w:lang w:val="zh-CN" w:eastAsia="zh-CN"/>
        </w:rPr>
      </w:pPr>
      <w:bookmarkStart w:id="326" w:name="_Toc16705"/>
      <w:bookmarkStart w:id="327" w:name="_Toc19979"/>
      <w:bookmarkStart w:id="328" w:name="_Toc28367"/>
      <w:bookmarkStart w:id="329" w:name="_Toc27068"/>
      <w:bookmarkStart w:id="330" w:name="_Toc31834"/>
      <w:bookmarkStart w:id="331" w:name="_Toc16891"/>
      <w:r>
        <w:rPr>
          <w:rFonts w:hint="eastAsia" w:ascii="宋体" w:hAnsi="宋体" w:eastAsia="宋体" w:cs="宋体"/>
          <w:color w:val="auto"/>
          <w:kern w:val="2"/>
          <w:sz w:val="21"/>
          <w:szCs w:val="21"/>
          <w:highlight w:val="none"/>
          <w:lang w:val="zh-CN" w:eastAsia="zh-CN"/>
        </w:rPr>
        <w:t>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eastAsia="zh-CN"/>
        </w:rPr>
        <w:t>信息安全保障需求</w:t>
      </w:r>
      <w:bookmarkEnd w:id="326"/>
      <w:bookmarkEnd w:id="327"/>
      <w:bookmarkEnd w:id="328"/>
      <w:bookmarkEnd w:id="329"/>
      <w:bookmarkEnd w:id="330"/>
      <w:bookmarkEnd w:id="331"/>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本项目将按照国家、广东省、东莞市以及所属行业颁布的相关法律法规和技术标准建设，主要包括：</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(1)《中华人民共和国网络安全法》，按照网络安全法进行业务系统总体安全规划；</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(2)《信息安全技术网络安全等级保护定级指南》（GB/T22240-2020），按照指南进行业务系统定级；</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lang w:val="zh-CN"/>
        </w:rPr>
        <w:t>(3)《信息安全技术网络安全等级保护基本要求》（GB/T22239-2019），按照基本要求进行业务系统信息安全设计。</w:t>
      </w:r>
      <w:bookmarkStart w:id="332" w:name="_Toc12636"/>
    </w:p>
    <w:bookmarkEnd w:id="332"/>
    <w:p>
      <w:pPr>
        <w:bidi w:val="0"/>
        <w:rPr>
          <w:rFonts w:hint="eastAsia" w:ascii="宋体" w:hAnsi="宋体" w:eastAsia="宋体" w:cs="宋体"/>
          <w:color w:val="auto"/>
          <w:highlight w:val="none"/>
          <w:lang w:val="en-US" w:eastAsia="zh-CN"/>
        </w:rPr>
      </w:pPr>
      <w:bookmarkStart w:id="333" w:name="_bookmark15"/>
      <w:bookmarkEnd w:id="333"/>
      <w:bookmarkStart w:id="334" w:name="B.2_技术复杂度因子TCF"/>
      <w:bookmarkEnd w:id="334"/>
      <w:bookmarkStart w:id="335" w:name="附_录_A"/>
      <w:bookmarkEnd w:id="335"/>
      <w:bookmarkStart w:id="336" w:name="B.4__软件因素调整因子（SWF）"/>
      <w:bookmarkEnd w:id="336"/>
      <w:bookmarkStart w:id="337" w:name="B.5__开发因素调整因子（RDF）"/>
      <w:bookmarkEnd w:id="337"/>
      <w:bookmarkStart w:id="338" w:name="_bookmark5"/>
      <w:bookmarkEnd w:id="338"/>
      <w:bookmarkStart w:id="339" w:name="_bookmark18"/>
      <w:bookmarkEnd w:id="339"/>
      <w:bookmarkStart w:id="340" w:name="_bookmark17"/>
      <w:bookmarkEnd w:id="340"/>
      <w:bookmarkStart w:id="341" w:name="_bookmark6"/>
      <w:bookmarkEnd w:id="341"/>
      <w:bookmarkStart w:id="342" w:name="4_软件开发成本测算步骤"/>
      <w:bookmarkEnd w:id="342"/>
      <w:bookmarkStart w:id="343" w:name="_Toc23078"/>
      <w:bookmarkStart w:id="344" w:name="_Toc16206"/>
      <w:bookmarkStart w:id="345" w:name="_Toc15328"/>
    </w:p>
    <w:p>
      <w:pPr>
        <w:pStyle w:val="5"/>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0" w:firstLineChars="0"/>
        <w:textAlignment w:val="auto"/>
        <w:outlineLvl w:val="1"/>
        <w:rPr>
          <w:rFonts w:hint="eastAsia" w:ascii="宋体" w:hAnsi="宋体" w:eastAsia="宋体" w:cs="宋体"/>
          <w:b/>
          <w:bCs/>
          <w:color w:val="auto"/>
          <w:kern w:val="44"/>
          <w:sz w:val="21"/>
          <w:szCs w:val="21"/>
          <w:highlight w:val="none"/>
          <w:lang w:val="en-US"/>
        </w:rPr>
      </w:pPr>
      <w:bookmarkStart w:id="346" w:name="_Toc24517"/>
      <w:bookmarkStart w:id="347" w:name="_Toc27217"/>
      <w:bookmarkStart w:id="348" w:name="_Toc26485"/>
      <w:r>
        <w:rPr>
          <w:rFonts w:hint="eastAsia" w:ascii="宋体" w:hAnsi="宋体" w:eastAsia="宋体" w:cs="宋体"/>
          <w:b/>
          <w:bCs/>
          <w:color w:val="auto"/>
          <w:kern w:val="44"/>
          <w:sz w:val="21"/>
          <w:szCs w:val="21"/>
          <w:highlight w:val="none"/>
          <w:lang w:val="en-US" w:eastAsia="zh-CN"/>
        </w:rPr>
        <w:t>五、</w:t>
      </w:r>
      <w:r>
        <w:rPr>
          <w:rFonts w:hint="eastAsia" w:ascii="宋体" w:hAnsi="宋体" w:eastAsia="宋体" w:cs="宋体"/>
          <w:b/>
          <w:bCs/>
          <w:color w:val="auto"/>
          <w:kern w:val="44"/>
          <w:sz w:val="21"/>
          <w:szCs w:val="21"/>
          <w:highlight w:val="none"/>
          <w:lang w:val="en-US"/>
        </w:rPr>
        <w:t>项目建设模式和实施计划</w:t>
      </w:r>
      <w:bookmarkEnd w:id="343"/>
      <w:bookmarkEnd w:id="344"/>
      <w:bookmarkEnd w:id="345"/>
      <w:bookmarkEnd w:id="346"/>
      <w:bookmarkEnd w:id="347"/>
      <w:bookmarkEnd w:id="348"/>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67"/>
        <w:textAlignment w:val="auto"/>
        <w:outlineLvl w:val="2"/>
        <w:rPr>
          <w:rFonts w:hint="eastAsia" w:ascii="宋体" w:hAnsi="宋体" w:eastAsia="宋体" w:cs="宋体"/>
          <w:color w:val="auto"/>
          <w:kern w:val="2"/>
          <w:sz w:val="21"/>
          <w:szCs w:val="21"/>
          <w:highlight w:val="none"/>
          <w:lang w:val="zh-CN" w:eastAsia="zh-CN"/>
        </w:rPr>
      </w:pPr>
      <w:bookmarkStart w:id="349" w:name="_Toc13088"/>
      <w:bookmarkStart w:id="350" w:name="_Toc13606"/>
      <w:bookmarkStart w:id="351" w:name="_Toc5680"/>
      <w:bookmarkStart w:id="352" w:name="_Toc24836"/>
      <w:bookmarkStart w:id="353" w:name="_Toc29572"/>
      <w:bookmarkStart w:id="354" w:name="_Toc31386"/>
      <w:r>
        <w:rPr>
          <w:rFonts w:hint="eastAsia" w:ascii="宋体" w:hAnsi="宋体" w:eastAsia="宋体" w:cs="宋体"/>
          <w:color w:val="auto"/>
          <w:kern w:val="2"/>
          <w:sz w:val="21"/>
          <w:szCs w:val="21"/>
          <w:highlight w:val="none"/>
          <w:lang w:val="zh-CN" w:eastAsia="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eastAsia="zh-CN"/>
        </w:rPr>
        <w:t>项目建设模式</w:t>
      </w:r>
      <w:bookmarkEnd w:id="349"/>
      <w:bookmarkEnd w:id="350"/>
      <w:bookmarkEnd w:id="351"/>
      <w:bookmarkEnd w:id="352"/>
      <w:bookmarkEnd w:id="353"/>
      <w:bookmarkEnd w:id="354"/>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项目建设将采用集中管理、分布式实施的模式。</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rPr>
        <w:t>将负责整体项目的规划、协调和监督，确保项目按照既定目标和时间表推进。具体实施将由各参与单位根据项目需求和自身职责进行，以确保系统的顺利部署和高效运行。项目完成后，将由</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rPr>
        <w:t>负责系统的持续运营和维护，确保系统长期稳定服务于污泥处理处置业务。</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67"/>
        <w:textAlignment w:val="auto"/>
        <w:outlineLvl w:val="2"/>
        <w:rPr>
          <w:rFonts w:hint="eastAsia" w:ascii="宋体" w:hAnsi="宋体" w:eastAsia="宋体" w:cs="宋体"/>
          <w:color w:val="auto"/>
          <w:kern w:val="2"/>
          <w:sz w:val="21"/>
          <w:szCs w:val="21"/>
          <w:highlight w:val="none"/>
          <w:lang w:val="zh-CN" w:eastAsia="zh-CN"/>
        </w:rPr>
      </w:pPr>
      <w:bookmarkStart w:id="355" w:name="_Toc11020"/>
      <w:bookmarkStart w:id="356" w:name="_Toc20617"/>
      <w:bookmarkStart w:id="357" w:name="_Toc1308"/>
      <w:bookmarkStart w:id="358" w:name="_Toc12164"/>
      <w:bookmarkStart w:id="359" w:name="_Toc26899"/>
      <w:bookmarkStart w:id="360" w:name="_Toc14366"/>
      <w:r>
        <w:rPr>
          <w:rFonts w:hint="eastAsia" w:ascii="宋体" w:hAnsi="宋体" w:eastAsia="宋体" w:cs="宋体"/>
          <w:color w:val="auto"/>
          <w:kern w:val="2"/>
          <w:sz w:val="21"/>
          <w:szCs w:val="21"/>
          <w:highlight w:val="none"/>
          <w:lang w:val="zh-CN" w:eastAsia="zh-CN"/>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eastAsia="zh-CN"/>
        </w:rPr>
        <w:t>项目实施计划</w:t>
      </w:r>
      <w:bookmarkEnd w:id="355"/>
      <w:bookmarkEnd w:id="356"/>
      <w:bookmarkEnd w:id="357"/>
      <w:bookmarkEnd w:id="358"/>
      <w:bookmarkEnd w:id="359"/>
      <w:bookmarkEnd w:id="360"/>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供应商应当在合同签订之日起40日内完成污泥处理处置数据管理系统开发、设计、安装、交付、试运行及验收，</w:t>
      </w:r>
      <w:r>
        <w:rPr>
          <w:rFonts w:hint="eastAsia" w:ascii="宋体" w:hAnsi="宋体" w:eastAsia="宋体" w:cs="宋体"/>
          <w:color w:val="auto"/>
          <w:sz w:val="21"/>
          <w:szCs w:val="21"/>
          <w:highlight w:val="none"/>
          <w:lang w:val="zh-CN"/>
        </w:rPr>
        <w:t>项目实施阶段分为以下：</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表 1 项目实施计划</w:t>
      </w:r>
    </w:p>
    <w:tbl>
      <w:tblPr>
        <w:tblStyle w:val="55"/>
        <w:tblW w:w="4013" w:type="pct"/>
        <w:jc w:val="center"/>
        <w:tblLayout w:type="autofit"/>
        <w:tblCellMar>
          <w:top w:w="0" w:type="dxa"/>
          <w:left w:w="108" w:type="dxa"/>
          <w:bottom w:w="0" w:type="dxa"/>
          <w:right w:w="108" w:type="dxa"/>
        </w:tblCellMar>
      </w:tblPr>
      <w:tblGrid>
        <w:gridCol w:w="1294"/>
        <w:gridCol w:w="4281"/>
        <w:gridCol w:w="1879"/>
      </w:tblGrid>
      <w:tr>
        <w:tblPrEx>
          <w:tblCellMar>
            <w:top w:w="0" w:type="dxa"/>
            <w:left w:w="108" w:type="dxa"/>
            <w:bottom w:w="0" w:type="dxa"/>
            <w:right w:w="108" w:type="dxa"/>
          </w:tblCellMar>
        </w:tblPrEx>
        <w:trPr>
          <w:trHeight w:val="454" w:hRule="atLeast"/>
          <w:jc w:val="center"/>
        </w:trPr>
        <w:tc>
          <w:tcPr>
            <w:tcW w:w="868"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序号</w:t>
            </w:r>
          </w:p>
        </w:tc>
        <w:tc>
          <w:tcPr>
            <w:tcW w:w="2870"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阶段名称</w:t>
            </w:r>
          </w:p>
        </w:tc>
        <w:tc>
          <w:tcPr>
            <w:tcW w:w="1260" w:type="pct"/>
            <w:tcBorders>
              <w:top w:val="single" w:color="000000" w:sz="4" w:space="0"/>
              <w:left w:val="single" w:color="000000" w:sz="4" w:space="0"/>
              <w:bottom w:val="nil"/>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周期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天</w:t>
            </w:r>
            <w:r>
              <w:rPr>
                <w:rFonts w:hint="eastAsia" w:ascii="宋体" w:hAnsi="宋体" w:eastAsia="宋体" w:cs="宋体"/>
                <w:color w:val="auto"/>
                <w:sz w:val="21"/>
                <w:szCs w:val="21"/>
                <w:highlight w:val="none"/>
                <w:lang w:eastAsia="zh-CN"/>
              </w:rPr>
              <w:t>）</w:t>
            </w:r>
          </w:p>
        </w:tc>
      </w:tr>
      <w:tr>
        <w:tblPrEx>
          <w:tblCellMar>
            <w:top w:w="0" w:type="dxa"/>
            <w:left w:w="108" w:type="dxa"/>
            <w:bottom w:w="0" w:type="dxa"/>
            <w:right w:w="108" w:type="dxa"/>
          </w:tblCellMar>
        </w:tblPrEx>
        <w:trPr>
          <w:trHeight w:val="454" w:hRule="atLeast"/>
          <w:jc w:val="center"/>
        </w:trPr>
        <w:tc>
          <w:tcPr>
            <w:tcW w:w="868"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p>
        </w:tc>
        <w:tc>
          <w:tcPr>
            <w:tcW w:w="2870"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前期调研及方案编制</w:t>
            </w:r>
          </w:p>
        </w:tc>
        <w:tc>
          <w:tcPr>
            <w:tcW w:w="1260"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w:t>
            </w:r>
          </w:p>
        </w:tc>
      </w:tr>
      <w:tr>
        <w:tblPrEx>
          <w:tblCellMar>
            <w:top w:w="0" w:type="dxa"/>
            <w:left w:w="108" w:type="dxa"/>
            <w:bottom w:w="0" w:type="dxa"/>
            <w:right w:w="108" w:type="dxa"/>
          </w:tblCellMar>
        </w:tblPrEx>
        <w:trPr>
          <w:trHeight w:val="454" w:hRule="atLeast"/>
          <w:jc w:val="center"/>
        </w:trPr>
        <w:tc>
          <w:tcPr>
            <w:tcW w:w="868"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w:t>
            </w:r>
          </w:p>
        </w:tc>
        <w:tc>
          <w:tcPr>
            <w:tcW w:w="2870"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产品定义及平台开发</w:t>
            </w:r>
          </w:p>
        </w:tc>
        <w:tc>
          <w:tcPr>
            <w:tcW w:w="1260"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20</w:t>
            </w:r>
          </w:p>
        </w:tc>
      </w:tr>
      <w:tr>
        <w:tblPrEx>
          <w:tblCellMar>
            <w:top w:w="0" w:type="dxa"/>
            <w:left w:w="108" w:type="dxa"/>
            <w:bottom w:w="0" w:type="dxa"/>
            <w:right w:w="108" w:type="dxa"/>
          </w:tblCellMar>
        </w:tblPrEx>
        <w:trPr>
          <w:trHeight w:val="454" w:hRule="atLeast"/>
          <w:jc w:val="center"/>
        </w:trPr>
        <w:tc>
          <w:tcPr>
            <w:tcW w:w="868"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w:t>
            </w:r>
          </w:p>
        </w:tc>
        <w:tc>
          <w:tcPr>
            <w:tcW w:w="2870"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项目初验</w:t>
            </w:r>
          </w:p>
        </w:tc>
        <w:tc>
          <w:tcPr>
            <w:tcW w:w="1260"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5</w:t>
            </w:r>
          </w:p>
        </w:tc>
      </w:tr>
      <w:tr>
        <w:tblPrEx>
          <w:tblCellMar>
            <w:top w:w="0" w:type="dxa"/>
            <w:left w:w="108" w:type="dxa"/>
            <w:bottom w:w="0" w:type="dxa"/>
            <w:right w:w="108" w:type="dxa"/>
          </w:tblCellMar>
        </w:tblPrEx>
        <w:trPr>
          <w:trHeight w:val="419" w:hRule="atLeast"/>
          <w:jc w:val="center"/>
        </w:trPr>
        <w:tc>
          <w:tcPr>
            <w:tcW w:w="868"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w:t>
            </w:r>
          </w:p>
        </w:tc>
        <w:tc>
          <w:tcPr>
            <w:tcW w:w="2870"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系统部署、调试</w:t>
            </w:r>
          </w:p>
        </w:tc>
        <w:tc>
          <w:tcPr>
            <w:tcW w:w="1260"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w:t>
            </w:r>
          </w:p>
        </w:tc>
      </w:tr>
      <w:tr>
        <w:tblPrEx>
          <w:tblCellMar>
            <w:top w:w="0" w:type="dxa"/>
            <w:left w:w="108" w:type="dxa"/>
            <w:bottom w:w="0" w:type="dxa"/>
            <w:right w:w="108" w:type="dxa"/>
          </w:tblCellMar>
        </w:tblPrEx>
        <w:trPr>
          <w:trHeight w:val="419" w:hRule="atLeast"/>
          <w:jc w:val="center"/>
        </w:trPr>
        <w:tc>
          <w:tcPr>
            <w:tcW w:w="868"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w:t>
            </w:r>
          </w:p>
        </w:tc>
        <w:tc>
          <w:tcPr>
            <w:tcW w:w="2870"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项目终验</w:t>
            </w:r>
          </w:p>
        </w:tc>
        <w:tc>
          <w:tcPr>
            <w:tcW w:w="1260"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3</w:t>
            </w:r>
          </w:p>
        </w:tc>
      </w:tr>
      <w:tr>
        <w:tblPrEx>
          <w:tblCellMar>
            <w:top w:w="0" w:type="dxa"/>
            <w:left w:w="108" w:type="dxa"/>
            <w:bottom w:w="0" w:type="dxa"/>
            <w:right w:w="108" w:type="dxa"/>
          </w:tblCellMar>
        </w:tblPrEx>
        <w:trPr>
          <w:trHeight w:val="419" w:hRule="atLeast"/>
          <w:jc w:val="center"/>
        </w:trPr>
        <w:tc>
          <w:tcPr>
            <w:tcW w:w="3739"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合计</w:t>
            </w:r>
          </w:p>
        </w:tc>
        <w:tc>
          <w:tcPr>
            <w:tcW w:w="1260" w:type="pct"/>
            <w:tcBorders>
              <w:top w:val="single" w:color="000000" w:sz="4" w:space="0"/>
              <w:left w:val="single" w:color="000000" w:sz="4" w:space="0"/>
              <w:bottom w:val="single" w:color="000000" w:sz="4" w:space="0"/>
              <w:right w:val="single" w:color="000000" w:sz="4" w:space="0"/>
            </w:tcBorders>
            <w:noWrap w:val="0"/>
            <w:vAlign w:val="center"/>
          </w:tcPr>
          <w:p>
            <w:pPr>
              <w:pStyle w:val="63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40</w:t>
            </w:r>
          </w:p>
        </w:tc>
      </w:tr>
    </w:tbl>
    <w:p>
      <w:pPr>
        <w:keepNext w:val="0"/>
        <w:keepLines w:val="0"/>
        <w:pageBreakBefore w:val="0"/>
        <w:widowControl w:val="0"/>
        <w:tabs>
          <w:tab w:val="left" w:pos="567"/>
        </w:tabs>
        <w:kinsoku/>
        <w:wordWrap/>
        <w:overflowPunct/>
        <w:topLinePunct w:val="0"/>
        <w:autoSpaceDE w:val="0"/>
        <w:autoSpaceDN w:val="0"/>
        <w:bidi w:val="0"/>
        <w:adjustRightInd w:val="0"/>
        <w:snapToGrid/>
        <w:spacing w:before="327" w:beforeLines="100" w:line="360" w:lineRule="auto"/>
        <w:ind w:left="567" w:hanging="567"/>
        <w:textAlignment w:val="auto"/>
        <w:outlineLvl w:val="2"/>
        <w:rPr>
          <w:rFonts w:hint="eastAsia" w:ascii="宋体" w:hAnsi="宋体" w:eastAsia="宋体" w:cs="宋体"/>
          <w:color w:val="auto"/>
          <w:kern w:val="2"/>
          <w:sz w:val="21"/>
          <w:szCs w:val="21"/>
          <w:highlight w:val="none"/>
          <w:lang w:val="zh-CN" w:eastAsia="zh-CN"/>
        </w:rPr>
      </w:pPr>
      <w:bookmarkStart w:id="361" w:name="_Toc21330"/>
      <w:bookmarkStart w:id="362" w:name="_Toc26886"/>
      <w:bookmarkStart w:id="363" w:name="_Toc18079"/>
      <w:bookmarkStart w:id="364" w:name="_Toc21932"/>
      <w:bookmarkStart w:id="365" w:name="_Toc29178"/>
      <w:bookmarkStart w:id="366" w:name="_Toc19458"/>
      <w:bookmarkStart w:id="367" w:name="_Toc20661"/>
      <w:r>
        <w:rPr>
          <w:rFonts w:hint="eastAsia" w:ascii="宋体" w:hAnsi="宋体" w:eastAsia="宋体" w:cs="宋体"/>
          <w:color w:val="auto"/>
          <w:kern w:val="2"/>
          <w:sz w:val="21"/>
          <w:szCs w:val="21"/>
          <w:highlight w:val="none"/>
          <w:lang w:val="zh-CN" w:eastAsia="zh-CN"/>
        </w:rPr>
        <w:t>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eastAsia="zh-CN"/>
        </w:rPr>
        <w:t>交付及验收</w:t>
      </w:r>
      <w:bookmarkEnd w:id="361"/>
      <w:bookmarkEnd w:id="362"/>
      <w:bookmarkEnd w:id="363"/>
      <w:bookmarkEnd w:id="364"/>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按照合同约定一次性交付技术服务，并及时通知</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进行项目初步验收，技术服务初步验收完成，所有权转移给采购人。项目初步验收需交付的清单：</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（1）项目文档：项目建设方案，项目计划进度表，操作手册；</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（2）产品设计图：提供不少于20张系统界面设计图；</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（3）软件功能：15项PC端功能和6项小程序功能，详见用户需求书“三、 项目建设方案” 4.2“定制软件开发”。</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最终验收。对项目达到可运行状态并交付采购人之日起3日内，供应商应当组织采购人进行试运行及测试，并根据运行情况及采购人要求对项目进行整改，直至采购人验收合格。采购人确认供应商交付的技术服务内容达到验收标准（匹配建设方案建设内容及使用需求）的，由双方授权代表共同签署验收报告并予以盖章。验收报告一式贰份，双方各执壹份。</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3、对项目终验未达标准的部分，</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有权拒绝验收且不支付剩余款项并要求供应商退回前期支付的款项。</w:t>
      </w: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67"/>
        <w:textAlignment w:val="auto"/>
        <w:outlineLvl w:val="2"/>
        <w:rPr>
          <w:rFonts w:hint="eastAsia" w:ascii="宋体" w:hAnsi="宋体" w:eastAsia="宋体" w:cs="宋体"/>
          <w:color w:val="auto"/>
          <w:kern w:val="2"/>
          <w:sz w:val="21"/>
          <w:szCs w:val="21"/>
          <w:highlight w:val="none"/>
          <w:lang w:val="zh-CN" w:eastAsia="zh-CN"/>
        </w:rPr>
      </w:pPr>
      <w:bookmarkStart w:id="368" w:name="_Toc23744"/>
      <w:bookmarkStart w:id="369" w:name="_Toc5533"/>
      <w:bookmarkStart w:id="370" w:name="_Toc29242"/>
      <w:bookmarkStart w:id="371" w:name="_Toc4328"/>
      <w:bookmarkStart w:id="372" w:name="_Toc21717"/>
      <w:bookmarkStart w:id="373" w:name="_Toc22304"/>
      <w:bookmarkStart w:id="374" w:name="_Toc2530"/>
      <w:r>
        <w:rPr>
          <w:rFonts w:hint="eastAsia" w:ascii="宋体" w:hAnsi="宋体" w:eastAsia="宋体" w:cs="宋体"/>
          <w:color w:val="auto"/>
          <w:kern w:val="2"/>
          <w:sz w:val="21"/>
          <w:szCs w:val="21"/>
          <w:highlight w:val="none"/>
          <w:lang w:val="en-US" w:eastAsia="zh-CN"/>
        </w:rPr>
        <w:t xml:space="preserve">4   </w:t>
      </w:r>
      <w:r>
        <w:rPr>
          <w:rFonts w:hint="eastAsia" w:ascii="宋体" w:hAnsi="宋体" w:eastAsia="宋体" w:cs="宋体"/>
          <w:color w:val="auto"/>
          <w:kern w:val="2"/>
          <w:sz w:val="21"/>
          <w:szCs w:val="21"/>
          <w:highlight w:val="none"/>
          <w:lang w:val="zh-CN" w:eastAsia="zh-CN"/>
        </w:rPr>
        <w:t>项目维</w:t>
      </w:r>
      <w:r>
        <w:rPr>
          <w:rFonts w:hint="eastAsia" w:ascii="宋体" w:hAnsi="宋体" w:eastAsia="宋体" w:cs="宋体"/>
          <w:color w:val="auto"/>
          <w:kern w:val="2"/>
          <w:sz w:val="21"/>
          <w:szCs w:val="21"/>
          <w:highlight w:val="none"/>
          <w:lang w:val="en-US" w:eastAsia="zh-CN"/>
        </w:rPr>
        <w:t>护</w:t>
      </w:r>
      <w:r>
        <w:rPr>
          <w:rFonts w:hint="eastAsia" w:ascii="宋体" w:hAnsi="宋体" w:eastAsia="宋体" w:cs="宋体"/>
          <w:color w:val="auto"/>
          <w:kern w:val="2"/>
          <w:sz w:val="21"/>
          <w:szCs w:val="21"/>
          <w:highlight w:val="none"/>
          <w:lang w:val="zh-CN" w:eastAsia="zh-CN"/>
        </w:rPr>
        <w:t>期</w:t>
      </w:r>
      <w:bookmarkEnd w:id="368"/>
      <w:bookmarkEnd w:id="369"/>
      <w:bookmarkEnd w:id="370"/>
      <w:bookmarkEnd w:id="371"/>
      <w:bookmarkEnd w:id="372"/>
      <w:bookmarkEnd w:id="373"/>
      <w:bookmarkEnd w:id="374"/>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本项目为单一软件开发项目，项目</w:t>
      </w:r>
      <w:r>
        <w:rPr>
          <w:rFonts w:hint="eastAsia" w:ascii="宋体" w:hAnsi="宋体" w:eastAsia="宋体" w:cs="宋体"/>
          <w:color w:val="auto"/>
          <w:sz w:val="21"/>
          <w:szCs w:val="21"/>
          <w:highlight w:val="none"/>
          <w:lang w:val="en-US" w:eastAsia="zh-CN"/>
        </w:rPr>
        <w:t>总合同价</w:t>
      </w:r>
      <w:r>
        <w:rPr>
          <w:rFonts w:hint="eastAsia" w:ascii="宋体" w:hAnsi="宋体" w:eastAsia="宋体" w:cs="宋体"/>
          <w:color w:val="auto"/>
          <w:sz w:val="21"/>
          <w:szCs w:val="21"/>
          <w:highlight w:val="none"/>
          <w:lang w:val="zh-CN"/>
        </w:rPr>
        <w:t>包含为期一年的软件维</w:t>
      </w:r>
      <w:r>
        <w:rPr>
          <w:rFonts w:hint="eastAsia" w:ascii="宋体" w:hAnsi="宋体" w:eastAsia="宋体" w:cs="宋体"/>
          <w:color w:val="auto"/>
          <w:sz w:val="21"/>
          <w:szCs w:val="21"/>
          <w:highlight w:val="none"/>
          <w:lang w:val="en-US" w:eastAsia="zh-CN"/>
        </w:rPr>
        <w:t>护</w:t>
      </w:r>
      <w:r>
        <w:rPr>
          <w:rFonts w:hint="eastAsia" w:ascii="宋体" w:hAnsi="宋体" w:eastAsia="宋体" w:cs="宋体"/>
          <w:color w:val="auto"/>
          <w:sz w:val="21"/>
          <w:szCs w:val="21"/>
          <w:highlight w:val="none"/>
          <w:lang w:val="zh-CN"/>
        </w:rPr>
        <w:t>期。</w:t>
      </w:r>
    </w:p>
    <w:p>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auto"/>
          <w:sz w:val="21"/>
          <w:szCs w:val="21"/>
          <w:highlight w:val="none"/>
          <w:lang w:val="zh-CN"/>
        </w:rPr>
      </w:pPr>
    </w:p>
    <w:p>
      <w:pPr>
        <w:bidi w:val="0"/>
        <w:rPr>
          <w:rFonts w:hint="eastAsia" w:ascii="宋体" w:hAnsi="宋体" w:eastAsia="宋体" w:cs="宋体"/>
          <w:color w:val="auto"/>
          <w:highlight w:val="none"/>
          <w:lang w:val="zh-CN" w:eastAsia="zh-CN"/>
        </w:rPr>
      </w:pPr>
    </w:p>
    <w:bookmarkEnd w:id="365"/>
    <w:bookmarkEnd w:id="366"/>
    <w:bookmarkEnd w:id="367"/>
    <w:p>
      <w:pPr>
        <w:pageBreakBefore w:val="0"/>
        <w:tabs>
          <w:tab w:val="left" w:pos="621"/>
        </w:tabs>
        <w:kinsoku/>
        <w:wordWrap/>
        <w:overflowPunct/>
        <w:topLinePunct w:val="0"/>
        <w:bidi w:val="0"/>
        <w:snapToGrid/>
        <w:spacing w:line="360" w:lineRule="auto"/>
        <w:rPr>
          <w:rFonts w:hint="eastAsia" w:ascii="宋体" w:hAnsi="宋体" w:eastAsia="宋体" w:cs="宋体"/>
          <w:color w:val="auto"/>
          <w:sz w:val="21"/>
          <w:szCs w:val="21"/>
          <w:highlight w:val="none"/>
          <w:lang w:val="zh-CN"/>
        </w:rPr>
      </w:pPr>
    </w:p>
    <w:p>
      <w:pPr>
        <w:pStyle w:val="4"/>
        <w:pageBreakBefore/>
        <w:tabs>
          <w:tab w:val="left" w:pos="1080"/>
        </w:tabs>
        <w:spacing w:line="360" w:lineRule="auto"/>
        <w:ind w:left="567" w:hanging="567"/>
        <w:jc w:val="center"/>
        <w:rPr>
          <w:rFonts w:hint="eastAsia" w:ascii="宋体" w:hAnsi="宋体" w:eastAsia="宋体" w:cs="宋体"/>
          <w:b/>
          <w:bCs/>
          <w:color w:val="auto"/>
          <w:kern w:val="44"/>
          <w:sz w:val="32"/>
          <w:szCs w:val="32"/>
          <w:highlight w:val="none"/>
          <w:lang w:val="zh-CN"/>
        </w:rPr>
      </w:pPr>
      <w:bookmarkStart w:id="375" w:name="_Toc16289"/>
      <w:bookmarkStart w:id="376" w:name="_Toc22795"/>
      <w:r>
        <w:rPr>
          <w:rFonts w:hint="eastAsia" w:ascii="宋体" w:hAnsi="宋体" w:eastAsia="宋体" w:cs="宋体"/>
          <w:b/>
          <w:bCs/>
          <w:color w:val="auto"/>
          <w:kern w:val="44"/>
          <w:sz w:val="32"/>
          <w:szCs w:val="32"/>
          <w:highlight w:val="none"/>
          <w:lang w:val="zh-CN"/>
        </w:rPr>
        <w:t>第四篇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合同条款格式</w:t>
      </w:r>
      <w:bookmarkEnd w:id="375"/>
      <w:bookmarkEnd w:id="376"/>
    </w:p>
    <w:bookmarkEnd w:id="212"/>
    <w:bookmarkEnd w:id="213"/>
    <w:bookmarkEnd w:id="214"/>
    <w:bookmarkEnd w:id="215"/>
    <w:bookmarkEnd w:id="216"/>
    <w:bookmarkEnd w:id="217"/>
    <w:p>
      <w:pPr>
        <w:pStyle w:val="2"/>
        <w:rPr>
          <w:rFonts w:hint="eastAsia" w:ascii="宋体" w:hAnsi="宋体" w:eastAsia="宋体" w:cs="宋体"/>
          <w:color w:val="auto"/>
          <w:highlight w:val="none"/>
          <w:lang w:eastAsia="zh-Hans"/>
        </w:rPr>
      </w:pPr>
      <w:bookmarkStart w:id="377" w:name="_Toc521918113"/>
      <w:bookmarkStart w:id="378" w:name="_Toc450662895"/>
    </w:p>
    <w:p>
      <w:pPr>
        <w:jc w:val="center"/>
        <w:rPr>
          <w:rFonts w:hint="eastAsia" w:ascii="宋体" w:hAnsi="宋体" w:eastAsia="宋体" w:cs="宋体"/>
          <w:b/>
          <w:bCs/>
          <w:color w:val="auto"/>
          <w:sz w:val="44"/>
          <w:szCs w:val="44"/>
          <w:highlight w:val="none"/>
          <w:lang w:eastAsia="zh-Hans"/>
        </w:rPr>
      </w:pPr>
      <w:bookmarkStart w:id="379" w:name="_Hlk112684431"/>
    </w:p>
    <w:p>
      <w:pPr>
        <w:spacing w:line="360" w:lineRule="auto"/>
        <w:ind w:firstLine="0" w:firstLineChars="0"/>
        <w:jc w:val="center"/>
        <w:rPr>
          <w:rFonts w:hint="eastAsia" w:ascii="宋体" w:hAnsi="宋体" w:eastAsia="宋体" w:cs="宋体"/>
          <w:color w:val="auto"/>
          <w:sz w:val="44"/>
          <w:szCs w:val="44"/>
          <w:highlight w:val="none"/>
          <w:lang w:eastAsia="zh-CN"/>
        </w:rPr>
      </w:pPr>
      <w:r>
        <w:rPr>
          <w:rFonts w:hint="eastAsia" w:ascii="宋体" w:hAnsi="宋体" w:eastAsia="宋体" w:cs="宋体"/>
          <w:b/>
          <w:bCs/>
          <w:color w:val="auto"/>
          <w:sz w:val="44"/>
          <w:szCs w:val="44"/>
          <w:highlight w:val="none"/>
          <w:lang w:eastAsia="zh-Hans"/>
        </w:rPr>
        <w:t>【</w:t>
      </w:r>
      <w:r>
        <w:rPr>
          <w:rFonts w:hint="eastAsia" w:ascii="宋体" w:hAnsi="宋体" w:eastAsia="宋体" w:cs="宋体"/>
          <w:b/>
          <w:bCs/>
          <w:color w:val="auto"/>
          <w:sz w:val="44"/>
          <w:szCs w:val="44"/>
          <w:highlight w:val="none"/>
          <w:lang w:eastAsia="zh-CN"/>
        </w:rPr>
        <w:t>东莞市污泥处理处置过程数据管理系统</w:t>
      </w:r>
      <w:r>
        <w:rPr>
          <w:rFonts w:hint="eastAsia" w:ascii="宋体" w:hAnsi="宋体" w:eastAsia="宋体" w:cs="宋体"/>
          <w:b/>
          <w:bCs/>
          <w:color w:val="auto"/>
          <w:sz w:val="44"/>
          <w:szCs w:val="44"/>
          <w:highlight w:val="none"/>
          <w:lang w:eastAsia="zh-Hans"/>
        </w:rPr>
        <w:t>】</w:t>
      </w:r>
      <w:r>
        <w:rPr>
          <w:rFonts w:hint="eastAsia" w:ascii="宋体" w:hAnsi="宋体" w:eastAsia="宋体" w:cs="宋体"/>
          <w:b/>
          <w:bCs/>
          <w:color w:val="auto"/>
          <w:sz w:val="44"/>
          <w:szCs w:val="44"/>
          <w:highlight w:val="none"/>
          <w:lang w:val="en-US" w:eastAsia="zh-CN"/>
        </w:rPr>
        <w:t xml:space="preserve">   项目</w:t>
      </w:r>
      <w:r>
        <w:rPr>
          <w:rFonts w:hint="eastAsia" w:ascii="宋体" w:hAnsi="宋体" w:eastAsia="宋体" w:cs="宋体"/>
          <w:b/>
          <w:bCs/>
          <w:color w:val="auto"/>
          <w:sz w:val="44"/>
          <w:szCs w:val="44"/>
          <w:highlight w:val="none"/>
          <w:lang w:eastAsia="zh-Hans"/>
        </w:rPr>
        <w:t>技术服务</w:t>
      </w:r>
      <w:bookmarkEnd w:id="379"/>
      <w:r>
        <w:rPr>
          <w:rFonts w:hint="eastAsia" w:ascii="宋体" w:hAnsi="宋体" w:eastAsia="宋体" w:cs="宋体"/>
          <w:b/>
          <w:bCs/>
          <w:color w:val="auto"/>
          <w:sz w:val="44"/>
          <w:szCs w:val="44"/>
          <w:highlight w:val="none"/>
          <w:lang w:val="en-US" w:eastAsia="zh-CN"/>
        </w:rPr>
        <w:t>合同</w:t>
      </w: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pacing w:line="480" w:lineRule="auto"/>
        <w:ind w:firstLine="1968" w:firstLineChars="700"/>
        <w:jc w:val="both"/>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lang w:val="en-US" w:eastAsia="zh-CN"/>
        </w:rPr>
        <w:t>合同编号：</w:t>
      </w:r>
      <w:r>
        <w:rPr>
          <w:rFonts w:hint="eastAsia" w:ascii="宋体" w:hAnsi="宋体" w:eastAsia="宋体" w:cs="宋体"/>
          <w:b/>
          <w:bCs/>
          <w:color w:val="auto"/>
          <w:kern w:val="0"/>
          <w:sz w:val="28"/>
          <w:szCs w:val="28"/>
          <w:highlight w:val="none"/>
          <w:u w:val="single"/>
          <w:lang w:val="en-US" w:eastAsia="zh-CN"/>
        </w:rPr>
        <w:t xml:space="preserve">              </w:t>
      </w:r>
    </w:p>
    <w:p>
      <w:pPr>
        <w:spacing w:line="480" w:lineRule="auto"/>
        <w:ind w:firstLine="1968" w:firstLineChars="700"/>
        <w:jc w:val="both"/>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val="en-US" w:eastAsia="zh-CN"/>
        </w:rPr>
        <w:t xml:space="preserve">                  </w:t>
      </w:r>
      <w:r>
        <w:rPr>
          <w:rFonts w:hint="eastAsia" w:ascii="宋体" w:hAnsi="宋体" w:eastAsia="宋体" w:cs="宋体"/>
          <w:b/>
          <w:bCs/>
          <w:color w:val="auto"/>
          <w:kern w:val="0"/>
          <w:sz w:val="28"/>
          <w:szCs w:val="28"/>
          <w:highlight w:val="none"/>
          <w:u w:val="none"/>
        </w:rPr>
        <w:t xml:space="preserve">                          </w:t>
      </w:r>
    </w:p>
    <w:p>
      <w:pPr>
        <w:spacing w:line="480" w:lineRule="auto"/>
        <w:ind w:firstLine="1968" w:firstLineChars="700"/>
        <w:jc w:val="both"/>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lang w:val="en-US" w:eastAsia="zh-CN"/>
        </w:rPr>
        <w:t xml:space="preserve">                  </w:t>
      </w:r>
      <w:r>
        <w:rPr>
          <w:rFonts w:hint="eastAsia" w:ascii="宋体" w:hAnsi="宋体" w:eastAsia="宋体" w:cs="宋体"/>
          <w:b/>
          <w:bCs/>
          <w:color w:val="auto"/>
          <w:kern w:val="0"/>
          <w:sz w:val="28"/>
          <w:szCs w:val="28"/>
          <w:highlight w:val="none"/>
          <w:u w:val="none"/>
        </w:rPr>
        <w:t xml:space="preserve">                          </w:t>
      </w:r>
    </w:p>
    <w:p>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pPr>
        <w:autoSpaceDE w:val="0"/>
        <w:autoSpaceDN w:val="0"/>
        <w:adjustRightInd w:val="0"/>
        <w:spacing w:line="360" w:lineRule="auto"/>
        <w:ind w:firstLine="2226" w:firstLineChars="7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pPr>
        <w:spacing w:line="540" w:lineRule="exact"/>
        <w:ind w:right="-358" w:rightChars="-149" w:firstLine="422" w:firstLineChars="200"/>
        <w:rPr>
          <w:rFonts w:hint="eastAsia" w:ascii="宋体" w:hAnsi="宋体" w:eastAsia="宋体" w:cs="宋体"/>
          <w:b/>
          <w:bCs/>
          <w:color w:val="auto"/>
          <w:sz w:val="21"/>
          <w:szCs w:val="21"/>
          <w:highlight w:val="none"/>
        </w:rPr>
      </w:pPr>
    </w:p>
    <w:p>
      <w:pPr>
        <w:spacing w:line="540" w:lineRule="exact"/>
        <w:ind w:right="-358" w:rightChars="-149" w:firstLine="422" w:firstLineChars="200"/>
        <w:rPr>
          <w:rFonts w:hint="eastAsia" w:ascii="宋体" w:hAnsi="宋体" w:eastAsia="宋体" w:cs="宋体"/>
          <w:b/>
          <w:bCs/>
          <w:color w:val="auto"/>
          <w:sz w:val="21"/>
          <w:szCs w:val="21"/>
          <w:highlight w:val="none"/>
        </w:rPr>
      </w:pPr>
    </w:p>
    <w:p>
      <w:pPr>
        <w:pageBreakBefore/>
        <w:spacing w:line="360" w:lineRule="auto"/>
        <w:ind w:right="-358" w:rightChars="-149" w:firstLine="422" w:firstLineChars="200"/>
        <w:rPr>
          <w:rFonts w:hint="eastAsia" w:ascii="宋体" w:hAnsi="宋体" w:eastAsia="宋体" w:cs="宋体"/>
          <w:b/>
          <w:bCs/>
          <w:color w:val="auto"/>
          <w:sz w:val="21"/>
          <w:szCs w:val="21"/>
          <w:highlight w:val="none"/>
          <w:u w:val="single"/>
        </w:rPr>
      </w:pPr>
      <w:bookmarkStart w:id="380" w:name="_Toc29174"/>
      <w:bookmarkStart w:id="381" w:name="_Toc20774"/>
      <w:r>
        <w:rPr>
          <w:rFonts w:hint="eastAsia" w:ascii="宋体" w:hAnsi="宋体" w:eastAsia="宋体" w:cs="宋体"/>
          <w:b/>
          <w:bCs/>
          <w:color w:val="auto"/>
          <w:sz w:val="21"/>
          <w:szCs w:val="21"/>
          <w:highlight w:val="none"/>
        </w:rPr>
        <w:t>甲    方：</w:t>
      </w:r>
      <w:r>
        <w:rPr>
          <w:rFonts w:hint="eastAsia" w:ascii="宋体" w:hAnsi="宋体" w:eastAsia="宋体" w:cs="宋体"/>
          <w:b/>
          <w:bCs/>
          <w:color w:val="auto"/>
          <w:kern w:val="0"/>
          <w:sz w:val="28"/>
          <w:szCs w:val="28"/>
          <w:highlight w:val="none"/>
          <w:u w:val="single"/>
          <w:lang w:val="en-US" w:eastAsia="zh-CN"/>
        </w:rPr>
        <w:t xml:space="preserve">     </w:t>
      </w:r>
    </w:p>
    <w:p>
      <w:pPr>
        <w:spacing w:line="360" w:lineRule="auto"/>
        <w:ind w:right="-358" w:rightChars="-149" w:firstLine="120" w:firstLineChars="200"/>
        <w:rPr>
          <w:rFonts w:hint="eastAsia" w:ascii="宋体" w:hAnsi="宋体" w:eastAsia="宋体" w:cs="宋体"/>
          <w:b/>
          <w:bCs/>
          <w:color w:val="auto"/>
          <w:sz w:val="6"/>
          <w:szCs w:val="6"/>
          <w:highlight w:val="none"/>
        </w:rPr>
      </w:pPr>
    </w:p>
    <w:p>
      <w:pPr>
        <w:spacing w:line="360" w:lineRule="auto"/>
        <w:ind w:right="-358" w:rightChars="-149"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    方：</w:t>
      </w:r>
      <w:r>
        <w:rPr>
          <w:rFonts w:hint="eastAsia" w:ascii="宋体" w:hAnsi="宋体" w:eastAsia="宋体" w:cs="宋体"/>
          <w:b/>
          <w:bCs/>
          <w:color w:val="auto"/>
          <w:kern w:val="0"/>
          <w:sz w:val="28"/>
          <w:szCs w:val="28"/>
          <w:highlight w:val="none"/>
          <w:u w:val="single"/>
          <w:lang w:val="en-US" w:eastAsia="zh-CN"/>
        </w:rPr>
        <w:t xml:space="preserve">     </w:t>
      </w:r>
    </w:p>
    <w:p>
      <w:pPr>
        <w:spacing w:before="156" w:before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甲乙双方根据《中华人民共和国民法典》的相关规定，本着真诚合作，互惠互利的原则，就双方合作的【东莞市污泥处理处置过程数据管理系统】项目（以下简称“本项目”）达成以下合同。</w:t>
      </w:r>
    </w:p>
    <w:p>
      <w:pPr>
        <w:spacing w:line="360" w:lineRule="auto"/>
        <w:rPr>
          <w:rFonts w:hint="eastAsia" w:ascii="宋体" w:hAnsi="宋体" w:eastAsia="宋体" w:cs="宋体"/>
          <w:b/>
          <w:bCs/>
          <w:color w:val="auto"/>
          <w:sz w:val="21"/>
          <w:szCs w:val="21"/>
          <w:highlight w:val="none"/>
        </w:rPr>
      </w:pPr>
    </w:p>
    <w:p>
      <w:pPr>
        <w:spacing w:line="360" w:lineRule="auto"/>
        <w:outlineLvl w:val="1"/>
        <w:rPr>
          <w:rFonts w:hint="eastAsia" w:ascii="宋体" w:hAnsi="宋体" w:eastAsia="宋体" w:cs="宋体"/>
          <w:b/>
          <w:bCs/>
          <w:color w:val="auto"/>
          <w:sz w:val="21"/>
          <w:szCs w:val="21"/>
          <w:highlight w:val="none"/>
          <w:lang w:val="zh-CN"/>
        </w:rPr>
      </w:pPr>
      <w:bookmarkStart w:id="382" w:name="_Toc9638"/>
      <w:bookmarkStart w:id="383" w:name="_Toc5017"/>
      <w:bookmarkStart w:id="384" w:name="_Toc25429"/>
      <w:bookmarkStart w:id="385" w:name="_Toc24758"/>
      <w:bookmarkStart w:id="386" w:name="_Toc23457"/>
      <w:bookmarkStart w:id="387" w:name="_Toc12512"/>
      <w:r>
        <w:rPr>
          <w:rFonts w:hint="eastAsia" w:ascii="宋体" w:hAnsi="宋体" w:eastAsia="宋体" w:cs="宋体"/>
          <w:b/>
          <w:bCs/>
          <w:color w:val="auto"/>
          <w:sz w:val="21"/>
          <w:szCs w:val="21"/>
          <w:highlight w:val="none"/>
        </w:rPr>
        <w:t>一、服务范围</w:t>
      </w:r>
      <w:bookmarkEnd w:id="382"/>
      <w:bookmarkEnd w:id="383"/>
      <w:bookmarkEnd w:id="384"/>
      <w:bookmarkEnd w:id="385"/>
      <w:bookmarkEnd w:id="386"/>
      <w:bookmarkEnd w:id="387"/>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（一）服务内容及期限</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内容：本项目主要为定制软件开发，涉及PC端和小程序的功能开发。PC端包括数据看板、基本信息管理、台账管理、系统管理等模块，支持用户单位对污水处理厂、处置单位、运输单位、污泥转移联单、磅单、运输记录、生产日报等数据进行填写，同时提供图片和视频上传功能，系统管理模块支持用户对系统用户、部门、权限、日志等内容进行全面管理。小程序提供信息录入、运输记录二维码生成、图片上传和视频上传等模块，支持用户及时上报污泥处理处置生产相关数据，运输单位可通过小程序上传外运相关节点的图片和视频，同时支持处置单位对接收污泥的相关信息进行填报。</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2、服务标准：系统主要实现对污水处理厂、车辆、相关单位等关键信息的相关数据采集，能够处理和管理生产运营日报及运输记录</w:t>
      </w:r>
      <w:r>
        <w:rPr>
          <w:rFonts w:hint="eastAsia" w:ascii="宋体" w:hAnsi="宋体" w:eastAsia="宋体" w:cs="宋体"/>
          <w:color w:val="auto"/>
          <w:sz w:val="21"/>
          <w:szCs w:val="21"/>
          <w:highlight w:val="none"/>
          <w:lang w:val="en-US" w:eastAsia="zh-CN"/>
        </w:rPr>
        <w:t>的数据</w:t>
      </w:r>
      <w:r>
        <w:rPr>
          <w:rFonts w:hint="eastAsia" w:ascii="宋体" w:hAnsi="宋体" w:eastAsia="宋体" w:cs="宋体"/>
          <w:color w:val="auto"/>
          <w:sz w:val="21"/>
          <w:szCs w:val="21"/>
          <w:highlight w:val="none"/>
        </w:rPr>
        <w:t>，不仅包括基础数据的录入，还包括对这些数据的监控和分析，以确保操作的连续性和符合规定的工作流程，还应包括可视化数据处理工具、数据分类查询、离线表格数据提取等功能应用。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3、服务期限：自合同签订之日起</w:t>
      </w:r>
      <w:r>
        <w:rPr>
          <w:rFonts w:hint="eastAsia" w:ascii="宋体" w:hAnsi="宋体" w:eastAsia="宋体" w:cs="宋体"/>
          <w:color w:val="auto"/>
          <w:sz w:val="21"/>
          <w:szCs w:val="21"/>
          <w:highlight w:val="none"/>
          <w:u w:val="single"/>
        </w:rPr>
        <w:t>40</w:t>
      </w:r>
      <w:r>
        <w:rPr>
          <w:rFonts w:hint="eastAsia" w:ascii="宋体" w:hAnsi="宋体" w:eastAsia="宋体" w:cs="宋体"/>
          <w:color w:val="auto"/>
          <w:sz w:val="21"/>
          <w:szCs w:val="21"/>
          <w:highlight w:val="none"/>
        </w:rPr>
        <w:t>日内完成污泥处理处置数据管理系统开发、设计、安装、交付、试运行及验收，具体实施阶段分为以下几阶段：</w:t>
      </w:r>
    </w:p>
    <w:tbl>
      <w:tblPr>
        <w:tblStyle w:val="55"/>
        <w:tblW w:w="4446" w:type="pct"/>
        <w:jc w:val="center"/>
        <w:tblLayout w:type="autofit"/>
        <w:tblCellMar>
          <w:top w:w="0" w:type="dxa"/>
          <w:left w:w="108" w:type="dxa"/>
          <w:bottom w:w="0" w:type="dxa"/>
          <w:right w:w="108" w:type="dxa"/>
        </w:tblCellMar>
      </w:tblPr>
      <w:tblGrid>
        <w:gridCol w:w="1552"/>
        <w:gridCol w:w="3988"/>
        <w:gridCol w:w="2718"/>
      </w:tblGrid>
      <w:tr>
        <w:tblPrEx>
          <w:tblCellMar>
            <w:top w:w="0" w:type="dxa"/>
            <w:left w:w="108" w:type="dxa"/>
            <w:bottom w:w="0" w:type="dxa"/>
            <w:right w:w="108" w:type="dxa"/>
          </w:tblCellMar>
        </w:tblPrEx>
        <w:trPr>
          <w:trHeight w:val="454" w:hRule="atLeast"/>
          <w:jc w:val="center"/>
        </w:trPr>
        <w:tc>
          <w:tcPr>
            <w:tcW w:w="94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序号</w:t>
            </w:r>
          </w:p>
        </w:tc>
        <w:tc>
          <w:tcPr>
            <w:tcW w:w="241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阶段名称</w:t>
            </w:r>
          </w:p>
        </w:tc>
        <w:tc>
          <w:tcPr>
            <w:tcW w:w="1645" w:type="pct"/>
            <w:tcBorders>
              <w:top w:val="single" w:color="000000" w:sz="4" w:space="0"/>
              <w:left w:val="single" w:color="000000" w:sz="4" w:space="0"/>
              <w:bottom w:val="nil"/>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周期</w:t>
            </w:r>
            <w:r>
              <w:rPr>
                <w:rFonts w:hint="eastAsia" w:ascii="宋体" w:hAnsi="宋体" w:eastAsia="宋体" w:cs="宋体"/>
                <w:color w:val="auto"/>
                <w:sz w:val="21"/>
                <w:szCs w:val="21"/>
                <w:highlight w:val="none"/>
                <w:lang w:val="en-US" w:eastAsia="zh-CN" w:bidi="ar-SA"/>
              </w:rPr>
              <w:t>（天）</w:t>
            </w:r>
          </w:p>
        </w:tc>
      </w:tr>
      <w:tr>
        <w:tblPrEx>
          <w:tblCellMar>
            <w:top w:w="0" w:type="dxa"/>
            <w:left w:w="108" w:type="dxa"/>
            <w:bottom w:w="0" w:type="dxa"/>
            <w:right w:w="108" w:type="dxa"/>
          </w:tblCellMar>
        </w:tblPrEx>
        <w:trPr>
          <w:trHeight w:val="454" w:hRule="atLeast"/>
          <w:jc w:val="center"/>
        </w:trPr>
        <w:tc>
          <w:tcPr>
            <w:tcW w:w="94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p>
        </w:tc>
        <w:tc>
          <w:tcPr>
            <w:tcW w:w="241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前期调研及方案编制</w:t>
            </w:r>
          </w:p>
        </w:tc>
        <w:tc>
          <w:tcPr>
            <w:tcW w:w="164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w:t>
            </w:r>
          </w:p>
        </w:tc>
      </w:tr>
      <w:tr>
        <w:tblPrEx>
          <w:tblCellMar>
            <w:top w:w="0" w:type="dxa"/>
            <w:left w:w="108" w:type="dxa"/>
            <w:bottom w:w="0" w:type="dxa"/>
            <w:right w:w="108" w:type="dxa"/>
          </w:tblCellMar>
        </w:tblPrEx>
        <w:trPr>
          <w:trHeight w:val="454" w:hRule="atLeast"/>
          <w:jc w:val="center"/>
        </w:trPr>
        <w:tc>
          <w:tcPr>
            <w:tcW w:w="94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p>
        </w:tc>
        <w:tc>
          <w:tcPr>
            <w:tcW w:w="241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产品定义及平台开发</w:t>
            </w:r>
          </w:p>
        </w:tc>
        <w:tc>
          <w:tcPr>
            <w:tcW w:w="164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20</w:t>
            </w:r>
          </w:p>
        </w:tc>
      </w:tr>
      <w:tr>
        <w:tblPrEx>
          <w:tblCellMar>
            <w:top w:w="0" w:type="dxa"/>
            <w:left w:w="108" w:type="dxa"/>
            <w:bottom w:w="0" w:type="dxa"/>
            <w:right w:w="108" w:type="dxa"/>
          </w:tblCellMar>
        </w:tblPrEx>
        <w:trPr>
          <w:trHeight w:val="454" w:hRule="atLeast"/>
          <w:jc w:val="center"/>
        </w:trPr>
        <w:tc>
          <w:tcPr>
            <w:tcW w:w="94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p>
        </w:tc>
        <w:tc>
          <w:tcPr>
            <w:tcW w:w="241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项目初验</w:t>
            </w:r>
          </w:p>
        </w:tc>
        <w:tc>
          <w:tcPr>
            <w:tcW w:w="164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w:t>
            </w:r>
          </w:p>
        </w:tc>
      </w:tr>
      <w:tr>
        <w:tblPrEx>
          <w:tblCellMar>
            <w:top w:w="0" w:type="dxa"/>
            <w:left w:w="108" w:type="dxa"/>
            <w:bottom w:w="0" w:type="dxa"/>
            <w:right w:w="108" w:type="dxa"/>
          </w:tblCellMar>
        </w:tblPrEx>
        <w:trPr>
          <w:trHeight w:val="454" w:hRule="atLeast"/>
          <w:jc w:val="center"/>
        </w:trPr>
        <w:tc>
          <w:tcPr>
            <w:tcW w:w="94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w:t>
            </w:r>
          </w:p>
        </w:tc>
        <w:tc>
          <w:tcPr>
            <w:tcW w:w="241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系统部署、调试</w:t>
            </w:r>
          </w:p>
        </w:tc>
        <w:tc>
          <w:tcPr>
            <w:tcW w:w="164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w:t>
            </w:r>
          </w:p>
        </w:tc>
      </w:tr>
      <w:tr>
        <w:tblPrEx>
          <w:tblCellMar>
            <w:top w:w="0" w:type="dxa"/>
            <w:left w:w="108" w:type="dxa"/>
            <w:bottom w:w="0" w:type="dxa"/>
            <w:right w:w="108" w:type="dxa"/>
          </w:tblCellMar>
        </w:tblPrEx>
        <w:trPr>
          <w:trHeight w:val="454" w:hRule="atLeast"/>
          <w:jc w:val="center"/>
        </w:trPr>
        <w:tc>
          <w:tcPr>
            <w:tcW w:w="94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w:t>
            </w:r>
          </w:p>
        </w:tc>
        <w:tc>
          <w:tcPr>
            <w:tcW w:w="241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项目终验</w:t>
            </w:r>
          </w:p>
        </w:tc>
        <w:tc>
          <w:tcPr>
            <w:tcW w:w="164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p>
        </w:tc>
      </w:tr>
      <w:tr>
        <w:tblPrEx>
          <w:tblCellMar>
            <w:top w:w="0" w:type="dxa"/>
            <w:left w:w="108" w:type="dxa"/>
            <w:bottom w:w="0" w:type="dxa"/>
            <w:right w:w="108" w:type="dxa"/>
          </w:tblCellMar>
        </w:tblPrEx>
        <w:trPr>
          <w:trHeight w:val="454" w:hRule="atLeast"/>
          <w:jc w:val="center"/>
        </w:trPr>
        <w:tc>
          <w:tcPr>
            <w:tcW w:w="3354"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合计</w:t>
            </w:r>
          </w:p>
        </w:tc>
        <w:tc>
          <w:tcPr>
            <w:tcW w:w="1645"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40</w:t>
            </w:r>
          </w:p>
        </w:tc>
      </w:tr>
    </w:tbl>
    <w:p>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4、具体服务内容服务标准及要求以用户需求书及乙方响应文件承诺条款及方案内容为准。如乙方响应文件承诺条款及方案优于竞争性磋商文件用户需求书的，以乙方响应文件承诺条款及方案内容为准。</w:t>
      </w:r>
    </w:p>
    <w:p>
      <w:pPr>
        <w:widowControl w:val="0"/>
        <w:autoSpaceDE w:val="0"/>
        <w:autoSpaceDN w:val="0"/>
        <w:adjustRightInd w:val="0"/>
        <w:spacing w:line="360" w:lineRule="auto"/>
        <w:jc w:val="center"/>
        <w:rPr>
          <w:rFonts w:hint="eastAsia" w:ascii="宋体" w:hAnsi="宋体" w:eastAsia="宋体" w:cs="宋体"/>
          <w:b/>
          <w:color w:val="auto"/>
          <w:sz w:val="21"/>
          <w:szCs w:val="21"/>
          <w:highlight w:val="none"/>
          <w:lang w:val="en-US" w:eastAsia="zh-CN" w:bidi="ar-SA"/>
        </w:rPr>
      </w:pPr>
    </w:p>
    <w:p>
      <w:pPr>
        <w:widowControl w:val="0"/>
        <w:autoSpaceDE w:val="0"/>
        <w:autoSpaceDN w:val="0"/>
        <w:adjustRightInd w:val="0"/>
        <w:spacing w:line="360" w:lineRule="auto"/>
        <w:outlineLvl w:val="1"/>
        <w:rPr>
          <w:rFonts w:hint="eastAsia" w:ascii="宋体" w:hAnsi="宋体" w:eastAsia="宋体" w:cs="宋体"/>
          <w:b/>
          <w:bCs/>
          <w:color w:val="auto"/>
          <w:sz w:val="21"/>
          <w:szCs w:val="21"/>
          <w:highlight w:val="none"/>
          <w:lang w:val="en-US" w:eastAsia="zh-CN" w:bidi="ar-SA"/>
        </w:rPr>
      </w:pPr>
      <w:bookmarkStart w:id="388" w:name="_Toc26089"/>
      <w:bookmarkStart w:id="389" w:name="_Toc14760"/>
      <w:bookmarkStart w:id="390" w:name="_Toc11564"/>
      <w:bookmarkStart w:id="391" w:name="_Toc6308"/>
      <w:bookmarkStart w:id="392" w:name="_Toc26331"/>
      <w:bookmarkStart w:id="393" w:name="_Toc6245"/>
      <w:bookmarkStart w:id="394" w:name="_Toc32607"/>
      <w:r>
        <w:rPr>
          <w:rFonts w:hint="eastAsia" w:ascii="宋体" w:hAnsi="宋体" w:eastAsia="宋体" w:cs="宋体"/>
          <w:b/>
          <w:bCs/>
          <w:color w:val="auto"/>
          <w:sz w:val="21"/>
          <w:szCs w:val="21"/>
          <w:highlight w:val="none"/>
          <w:lang w:val="zh-CN" w:eastAsia="zh-CN" w:bidi="ar-SA"/>
        </w:rPr>
        <w:t>二、合同价款及支付方式</w:t>
      </w:r>
      <w:bookmarkEnd w:id="388"/>
      <w:bookmarkEnd w:id="389"/>
      <w:bookmarkEnd w:id="390"/>
      <w:bookmarkEnd w:id="391"/>
      <w:bookmarkEnd w:id="392"/>
      <w:bookmarkEnd w:id="393"/>
      <w:bookmarkEnd w:id="394"/>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rPr>
        <w:t>本合同价（即销售额，不含乙方销项税额）为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在本合同履行过程中，合同</w:t>
      </w:r>
      <w:r>
        <w:rPr>
          <w:rFonts w:hint="eastAsia" w:ascii="宋体" w:hAnsi="宋体" w:eastAsia="宋体" w:cs="宋体"/>
          <w:color w:val="auto"/>
          <w:sz w:val="21"/>
          <w:szCs w:val="21"/>
          <w:highlight w:val="none"/>
        </w:rPr>
        <w:t>价（即销售额，不含乙方销项税额）</w:t>
      </w:r>
      <w:r>
        <w:rPr>
          <w:rFonts w:hint="eastAsia" w:ascii="宋体" w:hAnsi="宋体" w:eastAsia="宋体" w:cs="宋体"/>
          <w:color w:val="auto"/>
          <w:sz w:val="21"/>
          <w:szCs w:val="21"/>
          <w:highlight w:val="none"/>
          <w:lang w:val="zh-CN"/>
        </w:rPr>
        <w:t>不随法律法规政策、物价人工、</w:t>
      </w:r>
      <w:r>
        <w:rPr>
          <w:rFonts w:hint="eastAsia" w:ascii="宋体" w:hAnsi="宋体" w:eastAsia="宋体" w:cs="宋体"/>
          <w:color w:val="auto"/>
          <w:sz w:val="21"/>
          <w:szCs w:val="21"/>
          <w:highlight w:val="none"/>
        </w:rPr>
        <w:t>系统交付期限、系统验收不合格导致的返工</w:t>
      </w:r>
      <w:r>
        <w:rPr>
          <w:rFonts w:hint="eastAsia" w:ascii="宋体" w:hAnsi="宋体" w:eastAsia="宋体" w:cs="宋体"/>
          <w:color w:val="auto"/>
          <w:sz w:val="21"/>
          <w:szCs w:val="21"/>
          <w:highlight w:val="none"/>
          <w:lang w:val="zh-CN"/>
        </w:rPr>
        <w:t>调整而进行调整，</w:t>
      </w:r>
      <w:r>
        <w:rPr>
          <w:rFonts w:hint="eastAsia" w:ascii="宋体" w:hAnsi="宋体" w:eastAsia="宋体" w:cs="宋体"/>
          <w:color w:val="auto"/>
          <w:sz w:val="21"/>
          <w:szCs w:val="21"/>
          <w:highlight w:val="none"/>
        </w:rPr>
        <w:t>未经甲方书面确认，乙方无权增加任何费用。若出现合同约定的销售折扣情形，甲、乙双方协商一致后降低合同价。</w:t>
      </w:r>
    </w:p>
    <w:p>
      <w:pPr>
        <w:spacing w:line="360" w:lineRule="auto"/>
        <w:ind w:firstLine="424" w:firstLineChars="20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sz w:val="21"/>
          <w:szCs w:val="21"/>
          <w:highlight w:val="none"/>
          <w:lang w:val="zh-CN"/>
        </w:rPr>
        <w:t>《中华人民共和国增值税</w:t>
      </w:r>
      <w:r>
        <w:rPr>
          <w:rFonts w:hint="eastAsia" w:ascii="宋体" w:hAnsi="宋体" w:eastAsia="宋体" w:cs="宋体"/>
          <w:color w:val="auto"/>
          <w:sz w:val="21"/>
          <w:szCs w:val="21"/>
          <w:highlight w:val="none"/>
        </w:rPr>
        <w:t>暂行</w:t>
      </w:r>
      <w:r>
        <w:rPr>
          <w:rFonts w:hint="eastAsia" w:ascii="宋体" w:hAnsi="宋体" w:eastAsia="宋体" w:cs="宋体"/>
          <w:color w:val="auto"/>
          <w:sz w:val="21"/>
          <w:szCs w:val="21"/>
          <w:highlight w:val="none"/>
          <w:lang w:val="zh-CN"/>
        </w:rPr>
        <w:t>条例》（国务院令第691号修订版）</w:t>
      </w:r>
      <w:r>
        <w:rPr>
          <w:rFonts w:hint="eastAsia" w:ascii="宋体" w:hAnsi="宋体" w:eastAsia="宋体" w:cs="宋体"/>
          <w:color w:val="auto"/>
          <w:sz w:val="21"/>
          <w:szCs w:val="21"/>
          <w:highlight w:val="none"/>
        </w:rPr>
        <w:t>及当前税务部门的相关规定，本合同项目的增值税税率</w:t>
      </w:r>
      <w:r>
        <w:rPr>
          <w:rFonts w:hint="eastAsia" w:ascii="宋体" w:hAnsi="宋体" w:eastAsia="宋体" w:cs="宋体"/>
          <w:color w:val="auto"/>
          <w:spacing w:val="-3"/>
          <w:sz w:val="21"/>
          <w:szCs w:val="21"/>
          <w:highlight w:val="none"/>
        </w:rPr>
        <w:t>暂定</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6%</w:t>
      </w:r>
      <w:r>
        <w:rPr>
          <w:rFonts w:hint="eastAsia" w:ascii="宋体" w:hAnsi="宋体" w:eastAsia="宋体" w:cs="宋体"/>
          <w:color w:val="auto"/>
          <w:sz w:val="21"/>
          <w:szCs w:val="21"/>
          <w:highlight w:val="none"/>
        </w:rPr>
        <w:t>，乙方的增值税销项税额根据本合同约定按实结算。</w:t>
      </w:r>
      <w:r>
        <w:rPr>
          <w:rFonts w:hint="eastAsia" w:ascii="宋体" w:hAnsi="宋体" w:eastAsia="宋体" w:cs="宋体"/>
          <w:color w:val="auto"/>
          <w:sz w:val="21"/>
          <w:szCs w:val="21"/>
          <w:highlight w:val="none"/>
          <w:lang w:val="zh-CN"/>
        </w:rPr>
        <w:t>在本合同履行过程中，税收政策变动导致</w:t>
      </w:r>
      <w:r>
        <w:rPr>
          <w:rFonts w:hint="eastAsia" w:ascii="宋体" w:hAnsi="宋体" w:eastAsia="宋体" w:cs="宋体"/>
          <w:color w:val="auto"/>
          <w:sz w:val="21"/>
          <w:szCs w:val="21"/>
          <w:highlight w:val="none"/>
        </w:rPr>
        <w:t>增值税</w:t>
      </w:r>
      <w:r>
        <w:rPr>
          <w:rFonts w:hint="eastAsia" w:ascii="宋体" w:hAnsi="宋体" w:eastAsia="宋体" w:cs="宋体"/>
          <w:color w:val="auto"/>
          <w:sz w:val="21"/>
          <w:szCs w:val="21"/>
          <w:highlight w:val="none"/>
          <w:lang w:val="zh-CN"/>
        </w:rPr>
        <w:t>税率调整，依法应调整</w:t>
      </w:r>
      <w:r>
        <w:rPr>
          <w:rFonts w:hint="eastAsia" w:ascii="宋体" w:hAnsi="宋体" w:eastAsia="宋体" w:cs="宋体"/>
          <w:color w:val="auto"/>
          <w:sz w:val="21"/>
          <w:szCs w:val="21"/>
          <w:highlight w:val="none"/>
        </w:rPr>
        <w:t>销项税额的，依法调整；但因乙方未按合同约定提供服务、未根据合同约定提供合法、完整的请款资料、系统验收不合格导致的返工等原因导致销项税额增加的，相应损失由乙方承担。</w:t>
      </w:r>
      <w:r>
        <w:rPr>
          <w:rFonts w:hint="eastAsia" w:ascii="宋体" w:hAnsi="宋体" w:eastAsia="宋体" w:cs="宋体"/>
          <w:color w:val="auto"/>
          <w:sz w:val="21"/>
          <w:szCs w:val="21"/>
          <w:highlight w:val="none"/>
          <w:lang w:val="zh-CN"/>
        </w:rPr>
        <w:t>因乙方未按法定税率计算税额或未根据本合同约定出具对应税额的增值税专用发票等乙方原因导致甲方多支付税额的，乙方必须退还甲方，给甲方造成损失的，乙方须向甲方赔偿相应损失。</w:t>
      </w:r>
    </w:p>
    <w:p>
      <w:pPr>
        <w:spacing w:line="360" w:lineRule="auto"/>
        <w:ind w:firstLine="424" w:firstLineChars="20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3、合同价税合计为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元（大写人民币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元整），合同履行期间根据本条第2项规定调整销项税额的，合同价税合计对应调整。</w:t>
      </w:r>
    </w:p>
    <w:p>
      <w:pPr>
        <w:spacing w:line="360" w:lineRule="auto"/>
        <w:ind w:firstLine="424" w:firstLineChars="20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4、合同价为乙方完成本合同项下义务的全部费用，包括但不限于：</w:t>
      </w:r>
    </w:p>
    <w:p>
      <w:pPr>
        <w:spacing w:line="360" w:lineRule="auto"/>
        <w:ind w:left="-2" w:leftChars="-1"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kern w:val="2"/>
          <w:sz w:val="21"/>
          <w:szCs w:val="21"/>
          <w:highlight w:val="none"/>
          <w:u w:val="single"/>
          <w:lang w:val="zh-CN"/>
        </w:rPr>
        <w:t>系统平台清单范围内所有软件的开发、设计、制造、包装、运输（至项目现场甲方指定地点）、人工、保险费、安装、调试、验收、</w:t>
      </w:r>
      <w:r>
        <w:rPr>
          <w:rFonts w:hint="eastAsia" w:ascii="宋体" w:hAnsi="宋体" w:eastAsia="宋体" w:cs="宋体"/>
          <w:b/>
          <w:bCs/>
          <w:color w:val="auto"/>
          <w:kern w:val="2"/>
          <w:sz w:val="21"/>
          <w:szCs w:val="21"/>
          <w:highlight w:val="none"/>
          <w:u w:val="single"/>
        </w:rPr>
        <w:t>培训</w:t>
      </w:r>
      <w:r>
        <w:rPr>
          <w:rFonts w:hint="eastAsia" w:ascii="宋体" w:hAnsi="宋体" w:eastAsia="宋体" w:cs="宋体"/>
          <w:b/>
          <w:bCs/>
          <w:color w:val="auto"/>
          <w:kern w:val="2"/>
          <w:sz w:val="21"/>
          <w:szCs w:val="21"/>
          <w:highlight w:val="none"/>
          <w:u w:val="single"/>
          <w:lang w:val="zh-CN"/>
        </w:rPr>
        <w:t>及第一年的维护服务费（最终验收合格确认之日起计）等费用</w:t>
      </w:r>
      <w:r>
        <w:rPr>
          <w:rFonts w:hint="eastAsia" w:ascii="宋体" w:hAnsi="宋体" w:eastAsia="宋体" w:cs="宋体"/>
          <w:color w:val="auto"/>
          <w:sz w:val="21"/>
          <w:szCs w:val="21"/>
          <w:highlight w:val="none"/>
        </w:rPr>
        <w:t>；</w:t>
      </w:r>
    </w:p>
    <w:p>
      <w:pPr>
        <w:spacing w:line="360" w:lineRule="auto"/>
        <w:ind w:left="-2" w:leftChars="-1"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（2）合同货物及其工艺所有制造方、使用方应支付的对专利权和版权、设计或其他知识产权而需要向其他方支付的费用及版税及合同实施过程的应预见和不可预见费；</w:t>
      </w:r>
    </w:p>
    <w:p>
      <w:pPr>
        <w:spacing w:line="360" w:lineRule="auto"/>
        <w:ind w:left="-2" w:leftChars="-1"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（3）合理利润、乙方销项税额以外的税费等；</w:t>
      </w:r>
    </w:p>
    <w:p>
      <w:pPr>
        <w:spacing w:line="360" w:lineRule="auto"/>
        <w:ind w:left="-2" w:leftChars="-1"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（4）法律法规、商业公认、竞争性磋商文件规定由乙方承担的其他费用。</w:t>
      </w:r>
    </w:p>
    <w:p>
      <w:pPr>
        <w:spacing w:line="360" w:lineRule="auto"/>
        <w:ind w:firstLine="424" w:firstLineChars="20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bCs/>
          <w:color w:val="auto"/>
          <w:sz w:val="21"/>
          <w:szCs w:val="21"/>
          <w:highlight w:val="none"/>
        </w:rPr>
        <w:t>付款方式</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（1）乙方完成本合同项下所有工作并经甲方初验合格、办理完初步验收手续后，乙方向甲方提供</w:t>
      </w:r>
      <w:bookmarkStart w:id="395" w:name="_Hlk163551998"/>
      <w:r>
        <w:rPr>
          <w:rFonts w:hint="eastAsia" w:ascii="宋体" w:hAnsi="宋体" w:eastAsia="宋体" w:cs="宋体"/>
          <w:color w:val="auto"/>
          <w:sz w:val="21"/>
          <w:szCs w:val="21"/>
          <w:highlight w:val="none"/>
        </w:rPr>
        <w:t>与请款金额等额</w:t>
      </w:r>
      <w:bookmarkEnd w:id="395"/>
      <w:r>
        <w:rPr>
          <w:rFonts w:hint="eastAsia" w:ascii="宋体" w:hAnsi="宋体" w:eastAsia="宋体" w:cs="宋体"/>
          <w:color w:val="auto"/>
          <w:sz w:val="21"/>
          <w:szCs w:val="21"/>
          <w:highlight w:val="none"/>
        </w:rPr>
        <w:t>的请款报告及对应的合法、有效的增值税专用发票，甲方经审核确认无误后 30日内以银行转账的方式，向乙方</w:t>
      </w:r>
      <w:r>
        <w:rPr>
          <w:rFonts w:hint="eastAsia" w:ascii="宋体" w:hAnsi="宋体" w:eastAsia="宋体" w:cs="宋体"/>
          <w:color w:val="auto"/>
          <w:sz w:val="21"/>
          <w:szCs w:val="21"/>
          <w:highlight w:val="none"/>
          <w:lang w:bidi="ar"/>
        </w:rPr>
        <w:t>支付合同价的45%及其对应的税额。</w:t>
      </w:r>
    </w:p>
    <w:p>
      <w:pPr>
        <w:widowControl w:val="0"/>
        <w:autoSpaceDE/>
        <w:autoSpaceDN/>
        <w:adjustRightInd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乙方项目调试完毕后，经甲方现场核实、验收并办理最终验收手续后，乙方向甲方提供与请款金额等额的请款报告及合法、有效的增值税专用发票，甲方经审核确认无误后30日内以银行转账的方式，向乙方支付合同价的50%及其对应的税额。</w:t>
      </w:r>
    </w:p>
    <w:p>
      <w:pPr>
        <w:widowControl w:val="0"/>
        <w:autoSpaceDE/>
        <w:autoSpaceDN/>
        <w:adjustRightInd w:val="0"/>
        <w:spacing w:line="360" w:lineRule="auto"/>
        <w:ind w:firstLine="420" w:firstLineChars="200"/>
        <w:jc w:val="both"/>
        <w:rPr>
          <w:rFonts w:hint="eastAsia" w:ascii="宋体" w:hAnsi="宋体" w:eastAsia="宋体" w:cs="宋体"/>
          <w:color w:val="auto"/>
          <w:kern w:val="0"/>
          <w:sz w:val="21"/>
          <w:szCs w:val="22"/>
          <w:highlight w:val="none"/>
          <w:lang w:val="en-US" w:eastAsia="zh-CN" w:bidi="ar-SA"/>
        </w:rPr>
      </w:pPr>
      <w:r>
        <w:rPr>
          <w:rFonts w:hint="eastAsia" w:ascii="宋体" w:hAnsi="宋体" w:eastAsia="宋体" w:cs="宋体"/>
          <w:color w:val="auto"/>
          <w:kern w:val="0"/>
          <w:sz w:val="21"/>
          <w:szCs w:val="21"/>
          <w:highlight w:val="none"/>
          <w:lang w:val="en-US" w:eastAsia="zh-CN" w:bidi="ar-SA"/>
        </w:rPr>
        <w:t>（3）维护期限期限届满后，甲方根据乙方的合同履行情况以及维护期内维护服务提供情况与乙方进行结算。乙方应提供与结算金额等额的请款报告及对应的合法、有效的增值税专用发票，甲方经审核确认无误后，【30】日内以银行转账的方式向乙方支付剩余结算款项。</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以上款项由甲方直接以银行转账方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根据本合同约定需向甲方支付违约金、赔偿金、或其他应付费用等款项的，在乙方向甲方支付完相关款项后，甲方才根据合同向乙方支付合同价款和税额。若因乙方未能支付前述费用，影响项目实施的，甲方有权顺延合同价及税额的支付时间，并从应付合同价款扣减乙方依本合同约定应付的违约金、赔偿金以及其他费用，且乙方必须按照扣除前述费用前的合同价（销售额）开具增值税专用发票，保证增值税税额符合法律规定。</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8、乙方收款账户信息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户名：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开户行： </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账号： </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乙方如需变更收款账户信息的，应提前【7】天以书面方式通知甲方，经双方确认无误方可完成账户变更。因乙方未在约定的时间内向甲方告知账户信息变更而造成的损失由乙方自行承担。</w:t>
      </w:r>
    </w:p>
    <w:p>
      <w:pPr>
        <w:spacing w:line="360" w:lineRule="auto"/>
        <w:ind w:right="210"/>
        <w:rPr>
          <w:rFonts w:hint="eastAsia" w:ascii="宋体" w:hAnsi="宋体" w:eastAsia="宋体" w:cs="宋体"/>
          <w:color w:val="auto"/>
          <w:highlight w:val="none"/>
          <w:lang w:val="zh-CN"/>
        </w:rPr>
      </w:pPr>
    </w:p>
    <w:p>
      <w:pPr>
        <w:widowControl w:val="0"/>
        <w:autoSpaceDE w:val="0"/>
        <w:autoSpaceDN w:val="0"/>
        <w:adjustRightInd w:val="0"/>
        <w:spacing w:line="360" w:lineRule="auto"/>
        <w:ind w:right="210"/>
        <w:outlineLvl w:val="1"/>
        <w:rPr>
          <w:rFonts w:hint="eastAsia" w:ascii="宋体" w:hAnsi="宋体" w:eastAsia="宋体" w:cs="宋体"/>
          <w:b/>
          <w:bCs/>
          <w:color w:val="auto"/>
          <w:sz w:val="21"/>
          <w:szCs w:val="21"/>
          <w:highlight w:val="none"/>
          <w:lang w:val="zh-CN" w:eastAsia="zh-CN" w:bidi="ar-SA"/>
        </w:rPr>
      </w:pPr>
      <w:bookmarkStart w:id="396" w:name="_Toc14121"/>
      <w:bookmarkStart w:id="397" w:name="_Toc11073"/>
      <w:bookmarkStart w:id="398" w:name="_Toc16039"/>
      <w:bookmarkStart w:id="399" w:name="_Toc28854"/>
      <w:bookmarkStart w:id="400" w:name="_Toc18689"/>
      <w:bookmarkStart w:id="401" w:name="_Toc24601"/>
      <w:r>
        <w:rPr>
          <w:rFonts w:hint="eastAsia" w:ascii="宋体" w:hAnsi="宋体" w:eastAsia="宋体" w:cs="宋体"/>
          <w:b/>
          <w:bCs/>
          <w:color w:val="auto"/>
          <w:sz w:val="21"/>
          <w:szCs w:val="21"/>
          <w:highlight w:val="none"/>
          <w:lang w:val="zh-CN" w:eastAsia="zh-CN" w:bidi="ar-SA"/>
        </w:rPr>
        <w:t>三、双方的权利与义务</w:t>
      </w:r>
      <w:bookmarkEnd w:id="396"/>
      <w:bookmarkEnd w:id="397"/>
      <w:bookmarkEnd w:id="398"/>
      <w:bookmarkEnd w:id="399"/>
      <w:bookmarkEnd w:id="400"/>
      <w:bookmarkEnd w:id="401"/>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1、甲方负责提供完成本项目所必须的资料。</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2、甲方负责提供软件运行所需的通信线路、系统安全设施等运行所依赖的环境。</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3、甲方及时配合乙方</w:t>
      </w:r>
      <w:r>
        <w:rPr>
          <w:rFonts w:hint="eastAsia" w:ascii="宋体" w:hAnsi="宋体" w:eastAsia="宋体" w:cs="宋体"/>
          <w:color w:val="auto"/>
          <w:sz w:val="21"/>
          <w:szCs w:val="21"/>
          <w:highlight w:val="none"/>
          <w:lang w:val="en-US" w:eastAsia="zh-CN"/>
        </w:rPr>
        <w:t>对软件</w:t>
      </w:r>
      <w:r>
        <w:rPr>
          <w:rFonts w:hint="eastAsia" w:ascii="宋体" w:hAnsi="宋体" w:eastAsia="宋体" w:cs="宋体"/>
          <w:color w:val="auto"/>
          <w:sz w:val="21"/>
          <w:szCs w:val="21"/>
          <w:highlight w:val="none"/>
        </w:rPr>
        <w:t>进行测试和试运行，并及时反馈修改意见给乙方。</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4、甲方有权对项目进行质量检查。乙方应协助甲方完成质量检查，并提供甲方需要的材料和信息。</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5、甲方与乙方共同对项目实施结果进行验收，出具项目初步验收报告及最终验收报告。</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6、甲方应配备维护人员进行日常性系统管理和数据维护，与乙方技术人员一起完成维护工作，以保持系统运行在最佳状态。</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7、乙方负责根据甲方的具体需求进行软件设计开发，并及时与甲方沟通，确保设计的功能及配置的</w:t>
      </w:r>
      <w:r>
        <w:rPr>
          <w:rFonts w:hint="eastAsia" w:ascii="宋体" w:hAnsi="宋体" w:eastAsia="宋体" w:cs="宋体"/>
          <w:color w:val="auto"/>
          <w:sz w:val="21"/>
          <w:szCs w:val="21"/>
          <w:highlight w:val="none"/>
          <w:lang w:val="en-US" w:eastAsia="zh-CN"/>
        </w:rPr>
        <w:t>软件</w:t>
      </w:r>
      <w:r>
        <w:rPr>
          <w:rFonts w:hint="eastAsia" w:ascii="宋体" w:hAnsi="宋体" w:eastAsia="宋体" w:cs="宋体"/>
          <w:color w:val="auto"/>
          <w:sz w:val="21"/>
          <w:szCs w:val="21"/>
          <w:highlight w:val="none"/>
        </w:rPr>
        <w:t>符合实际操作和管理需要。</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8、乙方负责软件代码的编写，确保软件质量，提供高质量的运行软件；并确保相关软件设计开发等符合竞争性磋商文件、响应文件及本合同约定，且运行可靠、数据准确、实用、操作简捷、界面友好等。</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9、乙方负责培训甲方人员，提供并根据软件的修改、升级情况更新操作说明文档。</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10、乙方负责</w:t>
      </w:r>
      <w:r>
        <w:rPr>
          <w:rFonts w:hint="eastAsia" w:ascii="宋体" w:hAnsi="宋体" w:eastAsia="宋体" w:cs="宋体"/>
          <w:color w:val="auto"/>
          <w:sz w:val="21"/>
          <w:szCs w:val="21"/>
          <w:highlight w:val="none"/>
          <w:lang w:val="en-US" w:eastAsia="zh-CN"/>
        </w:rPr>
        <w:t>相关软件</w:t>
      </w:r>
      <w:r>
        <w:rPr>
          <w:rFonts w:hint="eastAsia" w:ascii="宋体" w:hAnsi="宋体" w:eastAsia="宋体" w:cs="宋体"/>
          <w:color w:val="auto"/>
          <w:sz w:val="21"/>
          <w:szCs w:val="21"/>
          <w:highlight w:val="none"/>
        </w:rPr>
        <w:t>的后期维护，并持续跟进信息化平台及相关软硬件运行情况，及时解决运行中的问题。</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11、乙方负责根据甲方的需求变更，在本合同界定的功能范围内适时进行相关软件的修改、升级工作，涉及的费用均包含在合同价中，乙方无权要求甲方另行支付。</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须提供满足本项目正常开展的人员配置，包括（但不限于）：项目经理、测试人员、研发人员等，并须指定一名专业人员（姓名：【】；联系方式：【】）作为代表与甲方配合，定期与甲方代表对本项目的进度进行沟通，及时解决项目实施过程中可能出现的问题。</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13、乙方保证开发出来的</w:t>
      </w:r>
      <w:r>
        <w:rPr>
          <w:rFonts w:hint="eastAsia" w:ascii="宋体" w:hAnsi="宋体" w:eastAsia="宋体" w:cs="宋体"/>
          <w:color w:val="auto"/>
          <w:sz w:val="21"/>
          <w:szCs w:val="21"/>
          <w:highlight w:val="none"/>
          <w:lang w:val="en-US" w:eastAsia="zh-CN"/>
        </w:rPr>
        <w:t>相关软件</w:t>
      </w:r>
      <w:r>
        <w:rPr>
          <w:rFonts w:hint="eastAsia" w:ascii="宋体" w:hAnsi="宋体" w:eastAsia="宋体" w:cs="宋体"/>
          <w:color w:val="auto"/>
          <w:sz w:val="21"/>
          <w:szCs w:val="21"/>
          <w:highlight w:val="none"/>
        </w:rPr>
        <w:t>符合竞争性磋商文件、响应文件及本合同描述的要求，不能与甲方的信息安全防御体系有任何冲突，如发生冲突乙方必须负责对</w:t>
      </w:r>
      <w:r>
        <w:rPr>
          <w:rFonts w:hint="eastAsia" w:ascii="宋体" w:hAnsi="宋体" w:eastAsia="宋体" w:cs="宋体"/>
          <w:color w:val="auto"/>
          <w:sz w:val="21"/>
          <w:szCs w:val="21"/>
          <w:highlight w:val="none"/>
          <w:lang w:val="en-US" w:eastAsia="zh-CN"/>
        </w:rPr>
        <w:t>相关软件</w:t>
      </w:r>
      <w:r>
        <w:rPr>
          <w:rFonts w:hint="eastAsia" w:ascii="宋体" w:hAnsi="宋体" w:eastAsia="宋体" w:cs="宋体"/>
          <w:color w:val="auto"/>
          <w:sz w:val="21"/>
          <w:szCs w:val="21"/>
          <w:highlight w:val="none"/>
        </w:rPr>
        <w:t>进行调整，以适应甲方的信息安全防御体系；在维护期内，乙方有义务对</w:t>
      </w:r>
      <w:r>
        <w:rPr>
          <w:rFonts w:hint="eastAsia" w:ascii="宋体" w:hAnsi="宋体" w:eastAsia="宋体" w:cs="宋体"/>
          <w:color w:val="auto"/>
          <w:sz w:val="21"/>
          <w:szCs w:val="21"/>
          <w:highlight w:val="none"/>
          <w:lang w:val="en-US" w:eastAsia="zh-CN"/>
        </w:rPr>
        <w:t>相关软件</w:t>
      </w:r>
      <w:r>
        <w:rPr>
          <w:rFonts w:hint="eastAsia" w:ascii="宋体" w:hAnsi="宋体" w:eastAsia="宋体" w:cs="宋体"/>
          <w:color w:val="auto"/>
          <w:sz w:val="21"/>
          <w:szCs w:val="21"/>
          <w:highlight w:val="none"/>
        </w:rPr>
        <w:t>运行过程中存在的所有不符合要求的部分予以免费修正。</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14、乙方所交付的</w:t>
      </w:r>
      <w:r>
        <w:rPr>
          <w:rFonts w:hint="eastAsia" w:ascii="宋体" w:hAnsi="宋体" w:eastAsia="宋体" w:cs="宋体"/>
          <w:color w:val="auto"/>
          <w:sz w:val="21"/>
          <w:szCs w:val="21"/>
          <w:highlight w:val="none"/>
          <w:lang w:val="en-US" w:eastAsia="zh-CN"/>
        </w:rPr>
        <w:t>软件</w:t>
      </w:r>
      <w:r>
        <w:rPr>
          <w:rFonts w:hint="eastAsia" w:ascii="宋体" w:hAnsi="宋体" w:eastAsia="宋体" w:cs="宋体"/>
          <w:color w:val="auto"/>
          <w:sz w:val="21"/>
          <w:szCs w:val="21"/>
          <w:highlight w:val="none"/>
        </w:rPr>
        <w:t>经甲方最终验收合格后，甲方使用过程中要求乙方增加本合同约定及相关竞争性磋商文件范围以外的需求和功能的，所需费用由各方另行协商。</w:t>
      </w:r>
    </w:p>
    <w:p>
      <w:pPr>
        <w:spacing w:line="360" w:lineRule="auto"/>
        <w:rPr>
          <w:rFonts w:hint="eastAsia" w:ascii="宋体" w:hAnsi="宋体" w:eastAsia="宋体" w:cs="宋体"/>
          <w:color w:val="auto"/>
          <w:highlight w:val="none"/>
          <w:lang w:val="zh-CN"/>
        </w:rPr>
      </w:pPr>
    </w:p>
    <w:p>
      <w:pPr>
        <w:widowControl w:val="0"/>
        <w:autoSpaceDE w:val="0"/>
        <w:autoSpaceDN w:val="0"/>
        <w:adjustRightInd w:val="0"/>
        <w:spacing w:line="360" w:lineRule="auto"/>
        <w:outlineLvl w:val="1"/>
        <w:rPr>
          <w:rFonts w:hint="eastAsia" w:ascii="宋体" w:hAnsi="宋体" w:eastAsia="宋体" w:cs="宋体"/>
          <w:b/>
          <w:bCs/>
          <w:color w:val="auto"/>
          <w:sz w:val="21"/>
          <w:szCs w:val="21"/>
          <w:highlight w:val="none"/>
          <w:lang w:val="zh-CN" w:eastAsia="zh-CN" w:bidi="ar-SA"/>
        </w:rPr>
      </w:pPr>
      <w:bookmarkStart w:id="402" w:name="_Toc17843"/>
      <w:bookmarkStart w:id="403" w:name="_Toc10586"/>
      <w:bookmarkStart w:id="404" w:name="_Toc22173"/>
      <w:bookmarkStart w:id="405" w:name="_Toc27748"/>
      <w:bookmarkStart w:id="406" w:name="_Toc5236"/>
      <w:bookmarkStart w:id="407" w:name="_Toc11960"/>
      <w:r>
        <w:rPr>
          <w:rFonts w:hint="eastAsia" w:ascii="宋体" w:hAnsi="宋体" w:eastAsia="宋体" w:cs="宋体"/>
          <w:b/>
          <w:bCs/>
          <w:color w:val="auto"/>
          <w:sz w:val="21"/>
          <w:szCs w:val="21"/>
          <w:highlight w:val="none"/>
          <w:lang w:val="zh-CN" w:eastAsia="zh-CN" w:bidi="ar-SA"/>
        </w:rPr>
        <w:t>四、维护期</w:t>
      </w:r>
      <w:bookmarkEnd w:id="402"/>
      <w:bookmarkEnd w:id="403"/>
      <w:bookmarkEnd w:id="404"/>
      <w:bookmarkEnd w:id="405"/>
      <w:bookmarkEnd w:id="406"/>
      <w:bookmarkEnd w:id="407"/>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软件</w:t>
      </w:r>
      <w:r>
        <w:rPr>
          <w:rFonts w:hint="eastAsia" w:ascii="宋体" w:hAnsi="宋体" w:eastAsia="宋体" w:cs="宋体"/>
          <w:color w:val="auto"/>
          <w:sz w:val="21"/>
          <w:szCs w:val="21"/>
          <w:highlight w:val="none"/>
        </w:rPr>
        <w:t>的免费维护期为1年，自本项目经甲方最终验收合格之日起算。</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护期内，相关软件运行发生异常的，乙方应当在甲方通知后1小时内响应，并在12小时内解决运行异常；如无法在12小时内解决的，乙方应当及时通知甲方，并在24小时内解决运行异常。如因通信线路等故障导致</w:t>
      </w:r>
      <w:r>
        <w:rPr>
          <w:rFonts w:hint="eastAsia" w:ascii="宋体" w:hAnsi="宋体" w:eastAsia="宋体" w:cs="宋体"/>
          <w:color w:val="auto"/>
          <w:sz w:val="21"/>
          <w:szCs w:val="21"/>
          <w:highlight w:val="none"/>
          <w:lang w:val="en-US" w:eastAsia="zh-CN"/>
        </w:rPr>
        <w:t>相关软件</w:t>
      </w:r>
      <w:r>
        <w:rPr>
          <w:rFonts w:hint="eastAsia" w:ascii="宋体" w:hAnsi="宋体" w:eastAsia="宋体" w:cs="宋体"/>
          <w:color w:val="auto"/>
          <w:sz w:val="21"/>
          <w:szCs w:val="21"/>
          <w:highlight w:val="none"/>
        </w:rPr>
        <w:t>运行异常的，乙方应当在发现故障原因后30分钟内通知甲方，并协助甲方处理通信线路等故障，使</w:t>
      </w:r>
      <w:r>
        <w:rPr>
          <w:rFonts w:hint="eastAsia" w:ascii="宋体" w:hAnsi="宋体" w:eastAsia="宋体" w:cs="宋体"/>
          <w:color w:val="auto"/>
          <w:sz w:val="21"/>
          <w:szCs w:val="21"/>
          <w:highlight w:val="none"/>
          <w:lang w:val="en-US" w:eastAsia="zh-CN"/>
        </w:rPr>
        <w:t>相关软件</w:t>
      </w:r>
      <w:r>
        <w:rPr>
          <w:rFonts w:hint="eastAsia" w:ascii="宋体" w:hAnsi="宋体" w:eastAsia="宋体" w:cs="宋体"/>
          <w:color w:val="auto"/>
          <w:sz w:val="21"/>
          <w:szCs w:val="21"/>
          <w:highlight w:val="none"/>
        </w:rPr>
        <w:t>恢复正常运行。</w:t>
      </w:r>
    </w:p>
    <w:p>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免费维护期内，如</w:t>
      </w:r>
      <w:r>
        <w:rPr>
          <w:rFonts w:hint="eastAsia" w:ascii="宋体" w:hAnsi="宋体" w:eastAsia="宋体" w:cs="宋体"/>
          <w:color w:val="auto"/>
          <w:sz w:val="21"/>
          <w:szCs w:val="21"/>
          <w:highlight w:val="none"/>
          <w:lang w:val="en-US" w:eastAsia="zh-CN"/>
        </w:rPr>
        <w:t>相关软件</w:t>
      </w:r>
      <w:r>
        <w:rPr>
          <w:rFonts w:hint="eastAsia" w:ascii="宋体" w:hAnsi="宋体" w:eastAsia="宋体" w:cs="宋体"/>
          <w:color w:val="auto"/>
          <w:sz w:val="21"/>
          <w:szCs w:val="21"/>
          <w:highlight w:val="none"/>
        </w:rPr>
        <w:t>所依赖硬件设备故障导致需要更换的，相关费用由乙方自行承担。</w:t>
      </w:r>
    </w:p>
    <w:p>
      <w:pPr>
        <w:spacing w:line="360" w:lineRule="auto"/>
        <w:rPr>
          <w:rFonts w:hint="eastAsia" w:ascii="宋体" w:hAnsi="宋体" w:eastAsia="宋体" w:cs="宋体"/>
          <w:color w:val="auto"/>
          <w:highlight w:val="none"/>
          <w:lang w:val="zh-CN"/>
        </w:rPr>
      </w:pPr>
    </w:p>
    <w:p>
      <w:pPr>
        <w:widowControl w:val="0"/>
        <w:autoSpaceDE w:val="0"/>
        <w:autoSpaceDN w:val="0"/>
        <w:adjustRightInd w:val="0"/>
        <w:spacing w:line="360" w:lineRule="auto"/>
        <w:outlineLvl w:val="1"/>
        <w:rPr>
          <w:rFonts w:hint="eastAsia" w:ascii="宋体" w:hAnsi="宋体" w:eastAsia="宋体" w:cs="宋体"/>
          <w:b/>
          <w:bCs/>
          <w:color w:val="auto"/>
          <w:sz w:val="21"/>
          <w:szCs w:val="21"/>
          <w:highlight w:val="none"/>
          <w:lang w:val="zh-CN" w:eastAsia="zh-CN" w:bidi="ar-SA"/>
        </w:rPr>
      </w:pPr>
      <w:bookmarkStart w:id="408" w:name="_Toc4863"/>
      <w:bookmarkStart w:id="409" w:name="_Toc2994"/>
      <w:bookmarkStart w:id="410" w:name="_Toc14018"/>
      <w:bookmarkStart w:id="411" w:name="_Toc14525"/>
      <w:bookmarkStart w:id="412" w:name="_Toc18298"/>
      <w:bookmarkStart w:id="413" w:name="_Toc12325"/>
      <w:r>
        <w:rPr>
          <w:rFonts w:hint="eastAsia" w:ascii="宋体" w:hAnsi="宋体" w:eastAsia="宋体" w:cs="宋体"/>
          <w:b/>
          <w:bCs/>
          <w:color w:val="auto"/>
          <w:sz w:val="21"/>
          <w:szCs w:val="21"/>
          <w:highlight w:val="none"/>
          <w:lang w:val="zh-CN" w:eastAsia="zh-CN" w:bidi="ar-SA"/>
        </w:rPr>
        <w:t>五、交付及验收</w:t>
      </w:r>
      <w:bookmarkEnd w:id="408"/>
      <w:bookmarkEnd w:id="409"/>
      <w:bookmarkEnd w:id="410"/>
      <w:bookmarkEnd w:id="411"/>
      <w:bookmarkEnd w:id="412"/>
      <w:bookmarkEnd w:id="413"/>
    </w:p>
    <w:p>
      <w:pPr>
        <w:spacing w:line="360" w:lineRule="auto"/>
        <w:ind w:firstLine="420" w:firstLineChars="200"/>
        <w:rPr>
          <w:rFonts w:hint="eastAsia" w:ascii="宋体" w:hAnsi="宋体" w:eastAsia="宋体" w:cs="宋体"/>
          <w:color w:val="auto"/>
          <w:sz w:val="21"/>
          <w:szCs w:val="21"/>
          <w:highlight w:val="none"/>
        </w:rPr>
      </w:pPr>
      <w:bookmarkStart w:id="414" w:name="_Hlk115287033"/>
      <w:r>
        <w:rPr>
          <w:rFonts w:hint="eastAsia" w:ascii="宋体" w:hAnsi="宋体" w:eastAsia="宋体" w:cs="宋体"/>
          <w:color w:val="auto"/>
          <w:sz w:val="21"/>
          <w:szCs w:val="21"/>
          <w:highlight w:val="none"/>
        </w:rPr>
        <w:t>1、乙方按照合同约定一次性交付技术服务，并及时通知甲方进行项目</w:t>
      </w:r>
      <w:r>
        <w:rPr>
          <w:rFonts w:hint="eastAsia" w:ascii="宋体" w:hAnsi="宋体" w:eastAsia="宋体" w:cs="宋体"/>
          <w:color w:val="auto"/>
          <w:sz w:val="21"/>
          <w:szCs w:val="21"/>
          <w:highlight w:val="none"/>
          <w:lang w:val="en-US" w:eastAsia="zh-CN"/>
        </w:rPr>
        <w:t>初步验收</w:t>
      </w:r>
      <w:r>
        <w:rPr>
          <w:rFonts w:hint="eastAsia" w:ascii="宋体" w:hAnsi="宋体" w:eastAsia="宋体" w:cs="宋体"/>
          <w:color w:val="auto"/>
          <w:sz w:val="21"/>
          <w:szCs w:val="21"/>
          <w:highlight w:val="none"/>
        </w:rPr>
        <w:t>，技术服务初步验收完成，所有权转移给甲方。项目</w:t>
      </w:r>
      <w:r>
        <w:rPr>
          <w:rFonts w:hint="eastAsia" w:ascii="宋体" w:hAnsi="宋体" w:eastAsia="宋体" w:cs="宋体"/>
          <w:color w:val="auto"/>
          <w:sz w:val="21"/>
          <w:szCs w:val="21"/>
          <w:highlight w:val="none"/>
          <w:lang w:val="en-US" w:eastAsia="zh-CN"/>
        </w:rPr>
        <w:t>初步验收</w:t>
      </w:r>
      <w:r>
        <w:rPr>
          <w:rFonts w:hint="eastAsia" w:ascii="宋体" w:hAnsi="宋体" w:eastAsia="宋体" w:cs="宋体"/>
          <w:color w:val="auto"/>
          <w:sz w:val="21"/>
          <w:szCs w:val="21"/>
          <w:highlight w:val="none"/>
        </w:rPr>
        <w:t>需交付的清单：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（1）项目文档：项目建设方案，项目计划进度表，操作手册；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（2）产品设计图：提供不少于20张系统界面设计图；</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（3）软件功能：15项PC端功能和6项小程序功能，详见用户需求书</w:t>
      </w:r>
      <w:r>
        <w:rPr>
          <w:rFonts w:hint="eastAsia" w:ascii="宋体" w:hAnsi="宋体" w:eastAsia="宋体" w:cs="宋体"/>
          <w:color w:val="auto"/>
          <w:sz w:val="21"/>
          <w:szCs w:val="21"/>
          <w:highlight w:val="none"/>
          <w:lang w:val="zh-CN"/>
        </w:rPr>
        <w:t>“三、 项目建设方案</w:t>
      </w:r>
      <w:r>
        <w:rPr>
          <w:rFonts w:hint="eastAsia" w:ascii="宋体" w:hAnsi="宋体" w:eastAsia="宋体" w:cs="宋体"/>
          <w:color w:val="auto"/>
          <w:sz w:val="21"/>
          <w:szCs w:val="21"/>
          <w:highlight w:val="none"/>
        </w:rPr>
        <w:t>” 4.2“定制软件开发”。</w:t>
      </w:r>
    </w:p>
    <w:bookmarkEnd w:id="414"/>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最终验收。对项目达到可运行状态并交付甲方之日起3日内，乙方应当组织甲方进行试运行及测试，并根据运行情况及甲方要求对项目进行整改，直至甲方验收合格。</w:t>
      </w:r>
      <w:r>
        <w:rPr>
          <w:rFonts w:hint="eastAsia" w:ascii="宋体" w:hAnsi="宋体" w:eastAsia="宋体" w:cs="宋体"/>
          <w:color w:val="auto"/>
          <w:sz w:val="21"/>
          <w:szCs w:val="21"/>
          <w:highlight w:val="none"/>
        </w:rPr>
        <w:t>甲方确认乙方交付的技术服务内容达到验收标准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匹配建设方案建设内容及使用需求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的，由甲、乙双方授权代表共同签署验收报告并予以盖章。验收报告一式贰份，双方各执壹份。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3、对项目终验未达标准的部分，甲方有权拒绝验收且不支付剩余款项并要求乙方退回前期支付的款项。</w:t>
      </w:r>
    </w:p>
    <w:p>
      <w:pPr>
        <w:spacing w:line="360" w:lineRule="auto"/>
        <w:rPr>
          <w:rFonts w:hint="eastAsia" w:ascii="宋体" w:hAnsi="宋体" w:eastAsia="宋体" w:cs="宋体"/>
          <w:color w:val="auto"/>
          <w:highlight w:val="none"/>
          <w:lang w:val="zh-CN"/>
        </w:rPr>
      </w:pPr>
    </w:p>
    <w:p>
      <w:pPr>
        <w:widowControl w:val="0"/>
        <w:autoSpaceDE w:val="0"/>
        <w:autoSpaceDN w:val="0"/>
        <w:adjustRightInd w:val="0"/>
        <w:spacing w:line="360" w:lineRule="auto"/>
        <w:outlineLvl w:val="1"/>
        <w:rPr>
          <w:rFonts w:hint="eastAsia" w:ascii="宋体" w:hAnsi="宋体" w:eastAsia="宋体" w:cs="宋体"/>
          <w:b/>
          <w:bCs/>
          <w:color w:val="auto"/>
          <w:sz w:val="21"/>
          <w:szCs w:val="21"/>
          <w:highlight w:val="none"/>
          <w:lang w:val="zh-CN" w:eastAsia="zh-CN" w:bidi="ar-SA"/>
        </w:rPr>
      </w:pPr>
      <w:bookmarkStart w:id="415" w:name="_Toc7539"/>
      <w:bookmarkStart w:id="416" w:name="_Toc1252"/>
      <w:bookmarkStart w:id="417" w:name="_Toc9635"/>
      <w:bookmarkStart w:id="418" w:name="_Toc13614"/>
      <w:bookmarkStart w:id="419" w:name="_Toc31861"/>
      <w:bookmarkStart w:id="420" w:name="_Toc25836"/>
      <w:r>
        <w:rPr>
          <w:rFonts w:hint="eastAsia" w:ascii="宋体" w:hAnsi="宋体" w:eastAsia="宋体" w:cs="宋体"/>
          <w:b/>
          <w:bCs/>
          <w:color w:val="auto"/>
          <w:sz w:val="21"/>
          <w:szCs w:val="21"/>
          <w:highlight w:val="none"/>
          <w:lang w:val="zh-CN" w:eastAsia="zh-CN" w:bidi="ar-SA"/>
        </w:rPr>
        <w:t>六、其它约定</w:t>
      </w:r>
      <w:bookmarkEnd w:id="415"/>
      <w:bookmarkEnd w:id="416"/>
      <w:bookmarkEnd w:id="417"/>
      <w:bookmarkEnd w:id="418"/>
      <w:bookmarkEnd w:id="419"/>
      <w:bookmarkEnd w:id="42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1、本合同项目严禁转包，未经甲方书面同意，乙方不得转包或分包。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、因乙方服务人员服务期间的过失或故意行为，造成甲方经济损失的，由乙方负责赔偿。</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服务人员的劳动关系隶属乙方，乙方在服务过程中必须合法用工，自行负责服务人员的劳动合同签订、工资、节假日和超时加班补助费等工资福利待遇发放、社会保险购买、住宿伙食费用支付等工作，坚决杜绝拖欠工人工资等违法违规现象的出现。乙方与服务人员之间的包括但不限于劳动争议纠纷的一切争议，均与甲方无关，乙方应自行处理，不得影响本合同的履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、乙方负责为本项目服务人员购买因意外身故或伤残和因意外事故住院治疗等保险，并负责办理一切保险赔偿手续。</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、甲乙双方确认乙方根据本合同设计开发的</w:t>
      </w:r>
      <w:r>
        <w:rPr>
          <w:rFonts w:hint="eastAsia" w:ascii="宋体" w:hAnsi="宋体" w:eastAsia="宋体" w:cs="宋体"/>
          <w:color w:val="auto"/>
          <w:sz w:val="21"/>
          <w:szCs w:val="21"/>
          <w:highlight w:val="none"/>
          <w:lang w:val="en-US" w:eastAsia="zh-CN"/>
        </w:rPr>
        <w:t>相关软件</w:t>
      </w:r>
      <w:r>
        <w:rPr>
          <w:rFonts w:hint="eastAsia" w:ascii="宋体" w:hAnsi="宋体" w:eastAsia="宋体" w:cs="宋体"/>
          <w:color w:val="auto"/>
          <w:sz w:val="21"/>
          <w:szCs w:val="21"/>
          <w:highlight w:val="none"/>
        </w:rPr>
        <w:t>的所有权，以及进行软件设计开发过程中形成的知识产权归属于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，甲方享有完全、永久、独占的使用权和管理权；甲方有权自行作出决定并要求乙方将前述</w:t>
      </w:r>
      <w:r>
        <w:rPr>
          <w:rFonts w:hint="eastAsia" w:ascii="宋体" w:hAnsi="宋体" w:eastAsia="宋体" w:cs="宋体"/>
          <w:color w:val="auto"/>
          <w:sz w:val="21"/>
          <w:szCs w:val="21"/>
          <w:highlight w:val="none"/>
          <w:lang w:val="en-US" w:eastAsia="zh-CN"/>
        </w:rPr>
        <w:t>相关软件</w:t>
      </w:r>
      <w:r>
        <w:rPr>
          <w:rFonts w:hint="eastAsia" w:ascii="宋体" w:hAnsi="宋体" w:eastAsia="宋体" w:cs="宋体"/>
          <w:color w:val="auto"/>
          <w:sz w:val="21"/>
          <w:szCs w:val="21"/>
          <w:highlight w:val="none"/>
        </w:rPr>
        <w:t>的所有权及知识产权无偿移交给甲方或甲方指定的第三方，具体时间和方式由甲方自行决定，乙方均应无条件配合。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本项目定制开发使用后，如需二次开发，且涉及本项目以外的知识产权应用，由三方另行协商补充协议。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未经甲方书面同意，乙方不得擅自将前述服务成果以及与之相关的任何资料用于本合同之外的任何场合或者向任何第三方转让、泄露或授权使用；否则，由乙方承担全部的赔偿责任。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保证对其在讨论、签订、履行本合同过程中所获悉的属于甲方的且无法从公开渠道获得的文件资料及信息，甲方在讨论、签订、履行本合同过程中向乙方提供的文件资料及信息，予以严格保密并应采取相应的保密措施，保证其自身及工作人员不私自使用或向任何第三方泄露；否则，乙方承担由此给甲方造成的一切损失。无论本合同是否被撤销、变更、解除或终止，无论本合同是否生效，本合同之保密条款不受其限制而继续有效。</w:t>
      </w:r>
    </w:p>
    <w:p>
      <w:pPr>
        <w:spacing w:line="360" w:lineRule="auto"/>
        <w:ind w:firstLine="420" w:firstLineChars="200"/>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GB"/>
        </w:rPr>
        <w:t>、乙方应保证其提交的</w:t>
      </w:r>
      <w:r>
        <w:rPr>
          <w:rFonts w:hint="eastAsia" w:ascii="宋体" w:hAnsi="宋体" w:eastAsia="宋体" w:cs="宋体"/>
          <w:color w:val="auto"/>
          <w:sz w:val="21"/>
          <w:szCs w:val="21"/>
          <w:highlight w:val="none"/>
        </w:rPr>
        <w:t>有关设计方案、图纸、系统软件等</w:t>
      </w:r>
      <w:r>
        <w:rPr>
          <w:rFonts w:hint="eastAsia" w:ascii="宋体" w:hAnsi="宋体" w:eastAsia="宋体" w:cs="宋体"/>
          <w:color w:val="auto"/>
          <w:sz w:val="21"/>
          <w:szCs w:val="21"/>
          <w:highlight w:val="none"/>
          <w:lang w:val="en-GB"/>
        </w:rPr>
        <w:t>项目成果不侵犯第三人的知识产权或其他合法权利，</w:t>
      </w:r>
      <w:r>
        <w:rPr>
          <w:rFonts w:hint="eastAsia" w:ascii="宋体" w:hAnsi="宋体" w:eastAsia="宋体" w:cs="宋体"/>
          <w:color w:val="auto"/>
          <w:sz w:val="21"/>
          <w:szCs w:val="21"/>
          <w:highlight w:val="none"/>
        </w:rPr>
        <w:t>若乙方按本合同约定开发并交付的服务成果使用任何第三方的知识产权，乙方应保证其获得相应合法授权且甲方及甲方指定的第三方可永久使用该知识产权。</w:t>
      </w:r>
      <w:r>
        <w:rPr>
          <w:rFonts w:hint="eastAsia" w:ascii="宋体" w:hAnsi="宋体" w:eastAsia="宋体" w:cs="宋体"/>
          <w:color w:val="auto"/>
          <w:sz w:val="21"/>
          <w:szCs w:val="21"/>
          <w:highlight w:val="none"/>
          <w:lang w:val="en-GB"/>
        </w:rPr>
        <w:t>否则，应由乙方负责处理并承担相应的责任，并赔偿甲方因此遭受的损失（包括但不限于律师费、诉讼费、执行费、保全费、公证费、鉴定费等）。如因此导致甲方无法使用服务成果的，乙方应退还</w:t>
      </w:r>
      <w:r>
        <w:rPr>
          <w:rFonts w:hint="eastAsia" w:ascii="宋体" w:hAnsi="宋体" w:eastAsia="宋体" w:cs="宋体"/>
          <w:color w:val="auto"/>
          <w:sz w:val="21"/>
          <w:szCs w:val="21"/>
          <w:highlight w:val="none"/>
        </w:rPr>
        <w:t>甲</w:t>
      </w:r>
      <w:r>
        <w:rPr>
          <w:rFonts w:hint="eastAsia" w:ascii="宋体" w:hAnsi="宋体" w:eastAsia="宋体" w:cs="宋体"/>
          <w:color w:val="auto"/>
          <w:sz w:val="21"/>
          <w:szCs w:val="21"/>
          <w:highlight w:val="none"/>
          <w:lang w:val="en-GB"/>
        </w:rPr>
        <w:t>方已支付的全部费用，</w:t>
      </w:r>
      <w:r>
        <w:rPr>
          <w:rFonts w:hint="eastAsia" w:ascii="宋体" w:hAnsi="宋体" w:eastAsia="宋体" w:cs="宋体"/>
          <w:color w:val="auto"/>
          <w:sz w:val="21"/>
          <w:szCs w:val="21"/>
          <w:highlight w:val="none"/>
        </w:rPr>
        <w:t>并向甲方支付合同总价20%的违约金</w:t>
      </w:r>
      <w:r>
        <w:rPr>
          <w:rFonts w:hint="eastAsia" w:ascii="宋体" w:hAnsi="宋体" w:eastAsia="宋体" w:cs="宋体"/>
          <w:color w:val="auto"/>
          <w:sz w:val="21"/>
          <w:szCs w:val="21"/>
          <w:highlight w:val="none"/>
          <w:lang w:val="en-GB"/>
        </w:rPr>
        <w:t>。</w:t>
      </w:r>
    </w:p>
    <w:p>
      <w:pPr>
        <w:spacing w:line="360" w:lineRule="auto"/>
        <w:rPr>
          <w:rFonts w:hint="eastAsia" w:ascii="宋体" w:hAnsi="宋体" w:eastAsia="宋体" w:cs="宋体"/>
          <w:color w:val="auto"/>
          <w:highlight w:val="none"/>
          <w:lang w:val="zh-CN"/>
        </w:rPr>
      </w:pPr>
    </w:p>
    <w:p>
      <w:pPr>
        <w:widowControl w:val="0"/>
        <w:autoSpaceDE w:val="0"/>
        <w:autoSpaceDN w:val="0"/>
        <w:adjustRightInd w:val="0"/>
        <w:spacing w:line="360" w:lineRule="auto"/>
        <w:outlineLvl w:val="1"/>
        <w:rPr>
          <w:rFonts w:hint="eastAsia" w:ascii="宋体" w:hAnsi="宋体" w:eastAsia="宋体" w:cs="宋体"/>
          <w:b/>
          <w:bCs/>
          <w:color w:val="auto"/>
          <w:sz w:val="21"/>
          <w:szCs w:val="21"/>
          <w:highlight w:val="none"/>
          <w:lang w:val="zh-CN" w:eastAsia="zh-CN" w:bidi="ar-SA"/>
        </w:rPr>
      </w:pPr>
      <w:bookmarkStart w:id="421" w:name="_Toc22078"/>
      <w:bookmarkStart w:id="422" w:name="_Toc29375"/>
      <w:bookmarkStart w:id="423" w:name="_Toc24902"/>
      <w:bookmarkStart w:id="424" w:name="_Toc28679"/>
      <w:bookmarkStart w:id="425" w:name="_Toc26092"/>
      <w:bookmarkStart w:id="426" w:name="_Toc22687"/>
      <w:r>
        <w:rPr>
          <w:rFonts w:hint="eastAsia" w:ascii="宋体" w:hAnsi="宋体" w:eastAsia="宋体" w:cs="宋体"/>
          <w:b/>
          <w:bCs/>
          <w:color w:val="auto"/>
          <w:sz w:val="21"/>
          <w:szCs w:val="21"/>
          <w:highlight w:val="none"/>
          <w:lang w:val="zh-CN" w:eastAsia="zh-CN" w:bidi="ar-SA"/>
        </w:rPr>
        <w:t>七、违约责任</w:t>
      </w:r>
      <w:bookmarkEnd w:id="421"/>
      <w:bookmarkEnd w:id="422"/>
      <w:bookmarkEnd w:id="423"/>
      <w:bookmarkEnd w:id="424"/>
      <w:bookmarkEnd w:id="425"/>
      <w:bookmarkEnd w:id="426"/>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按竞争性磋商文件、响应文件及本合同约定时限内完成相关软件设计开发、运行、交付验收或整改的，每逾期一日，乙方应向甲方支付1000元的违约金；逾期超过30日的，甲方有权解除合同，要求乙方退还已支付的合同价款，并支付合同价款20%的违约金。</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提供维护服务的，每超时响应一次，甲方有权根据具体情况要求乙方支付1000元/次的违约金；乙方未按合同约定提供维护服务一个月内累计超过四次（含本数），或者三个月内累计超过十次（含本数）的，甲方有权要求乙方支付5000元/次的违约金；乙方未能约定的时间内解除运行异常情况，甲方有权委托第三方提供维护服务，由此产生的费用由乙方全部承担。</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3、未经甲方书面同意，乙方将本合同的义务转包或分包给第三方的，甲方有权要求乙方支付本合同价20%的违约金，并有权单方解除本合同，如上述违约金不足赔偿甲方因此遭受的损失，甲方有权另行追加赔偿。</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4、乙方或其工作人员违反本合同保密条款约定的，应按合同价的20%向甲方支付违约金，违约金不足以弥补甲方损失的，乙方还应予以补足，同时，甲方有权单方解除本合同。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对项目成果出现的遗漏或错误，应无条件负责修改或补充。乙方怠于修改、补充或经修订仍不符合甲方要求的，不能通过甲方验收确认的，甲方有权停止支付所有费用并有权解除本合同，乙方除应退还已收取的全部费用外，还应支付本合同价20%的违约金。由此造成甲方损失的，乙方应当予以赔偿。</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因乙方的违约行为导致甲方遭受损失（包括但不限于甲方为本合同履行而发生的支出、诉讼费/仲裁费、财产保全费、财产保全担保费、公证费、评估费、鉴定费、拍卖费、查询费、律师费、差旅费、调查取证费、财务费用、向第三人支付的赔偿款/违约金/费用、向政府部门支付的罚款等）的，除支付违约金外，乙方还应当予以赔偿。</w:t>
      </w:r>
    </w:p>
    <w:p>
      <w:pPr>
        <w:rPr>
          <w:rFonts w:hint="eastAsia" w:ascii="宋体" w:hAnsi="宋体" w:eastAsia="宋体" w:cs="宋体"/>
          <w:color w:val="auto"/>
          <w:highlight w:val="none"/>
          <w:lang w:val="zh-CN"/>
        </w:rPr>
      </w:pPr>
    </w:p>
    <w:p>
      <w:pPr>
        <w:widowControl w:val="0"/>
        <w:autoSpaceDE w:val="0"/>
        <w:autoSpaceDN w:val="0"/>
        <w:adjustRightInd w:val="0"/>
        <w:spacing w:line="360" w:lineRule="auto"/>
        <w:ind w:right="210"/>
        <w:outlineLvl w:val="1"/>
        <w:rPr>
          <w:rFonts w:hint="eastAsia" w:ascii="宋体" w:hAnsi="宋体" w:eastAsia="宋体" w:cs="宋体"/>
          <w:b/>
          <w:bCs/>
          <w:color w:val="auto"/>
          <w:sz w:val="21"/>
          <w:szCs w:val="21"/>
          <w:highlight w:val="none"/>
          <w:lang w:val="zh-CN" w:eastAsia="zh-CN" w:bidi="ar-SA"/>
        </w:rPr>
      </w:pPr>
      <w:bookmarkStart w:id="427" w:name="_Toc1663"/>
      <w:bookmarkStart w:id="428" w:name="_Toc15579"/>
      <w:bookmarkStart w:id="429" w:name="_Toc24145"/>
      <w:bookmarkStart w:id="430" w:name="_Toc10818"/>
      <w:bookmarkStart w:id="431" w:name="_Toc21784"/>
      <w:bookmarkStart w:id="432" w:name="_Toc20448"/>
      <w:r>
        <w:rPr>
          <w:rFonts w:hint="eastAsia" w:ascii="宋体" w:hAnsi="宋体" w:eastAsia="宋体" w:cs="宋体"/>
          <w:b/>
          <w:bCs/>
          <w:color w:val="auto"/>
          <w:sz w:val="21"/>
          <w:szCs w:val="21"/>
          <w:highlight w:val="none"/>
          <w:lang w:val="zh-CN" w:eastAsia="zh-CN" w:bidi="ar-SA"/>
        </w:rPr>
        <w:t>八、</w:t>
      </w:r>
      <w:r>
        <w:rPr>
          <w:rFonts w:hint="eastAsia" w:ascii="宋体" w:hAnsi="宋体" w:eastAsia="宋体" w:cs="宋体"/>
          <w:b/>
          <w:bCs/>
          <w:color w:val="auto"/>
          <w:sz w:val="21"/>
          <w:szCs w:val="21"/>
          <w:highlight w:val="none"/>
          <w:lang w:val="en-US" w:eastAsia="zh-CN" w:bidi="ar-SA"/>
        </w:rPr>
        <w:t>合同</w:t>
      </w:r>
      <w:r>
        <w:rPr>
          <w:rFonts w:hint="eastAsia" w:ascii="宋体" w:hAnsi="宋体" w:eastAsia="宋体" w:cs="宋体"/>
          <w:b/>
          <w:bCs/>
          <w:color w:val="auto"/>
          <w:sz w:val="21"/>
          <w:szCs w:val="21"/>
          <w:highlight w:val="none"/>
          <w:lang w:val="zh-CN" w:eastAsia="zh-CN" w:bidi="ar-SA"/>
        </w:rPr>
        <w:t>的变更与终止</w:t>
      </w:r>
      <w:bookmarkEnd w:id="427"/>
      <w:bookmarkEnd w:id="428"/>
      <w:bookmarkEnd w:id="429"/>
      <w:bookmarkEnd w:id="430"/>
      <w:bookmarkEnd w:id="431"/>
      <w:bookmarkEnd w:id="43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在合同履行过程中，双方均应严格遵守合同文本中的各项条款，除本合同另有约定或者双方协商一致外，双方均不得无故终止合同，否则将由合同终止方承担相应的法律责任并赔偿因此给对方造成的损失。</w:t>
      </w:r>
    </w:p>
    <w:p>
      <w:pPr>
        <w:rPr>
          <w:rFonts w:hint="eastAsia" w:ascii="宋体" w:hAnsi="宋体" w:eastAsia="宋体" w:cs="宋体"/>
          <w:color w:val="auto"/>
          <w:highlight w:val="none"/>
          <w:lang w:val="zh-CN"/>
        </w:rPr>
      </w:pPr>
    </w:p>
    <w:p>
      <w:pPr>
        <w:widowControl w:val="0"/>
        <w:autoSpaceDE w:val="0"/>
        <w:autoSpaceDN w:val="0"/>
        <w:adjustRightInd w:val="0"/>
        <w:spacing w:line="360" w:lineRule="auto"/>
        <w:ind w:right="210"/>
        <w:outlineLvl w:val="1"/>
        <w:rPr>
          <w:rFonts w:hint="eastAsia" w:ascii="宋体" w:hAnsi="宋体" w:eastAsia="宋体" w:cs="宋体"/>
          <w:b/>
          <w:bCs/>
          <w:color w:val="auto"/>
          <w:sz w:val="21"/>
          <w:szCs w:val="21"/>
          <w:highlight w:val="none"/>
          <w:lang w:val="zh-CN" w:eastAsia="zh-CN" w:bidi="ar-SA"/>
        </w:rPr>
      </w:pPr>
      <w:bookmarkStart w:id="433" w:name="_Toc19014"/>
      <w:bookmarkStart w:id="434" w:name="_Toc31119"/>
      <w:bookmarkStart w:id="435" w:name="_Toc30951"/>
      <w:bookmarkStart w:id="436" w:name="_Toc2492"/>
      <w:bookmarkStart w:id="437" w:name="_Toc30341"/>
      <w:bookmarkStart w:id="438" w:name="_Toc6592"/>
      <w:r>
        <w:rPr>
          <w:rFonts w:hint="eastAsia" w:ascii="宋体" w:hAnsi="宋体" w:eastAsia="宋体" w:cs="宋体"/>
          <w:b/>
          <w:bCs/>
          <w:color w:val="auto"/>
          <w:sz w:val="21"/>
          <w:szCs w:val="21"/>
          <w:highlight w:val="none"/>
          <w:lang w:val="zh-CN" w:eastAsia="zh-CN" w:bidi="ar-SA"/>
        </w:rPr>
        <w:t>九、不可抗力</w:t>
      </w:r>
      <w:bookmarkEnd w:id="433"/>
      <w:bookmarkEnd w:id="434"/>
      <w:bookmarkEnd w:id="435"/>
      <w:bookmarkEnd w:id="436"/>
      <w:bookmarkEnd w:id="437"/>
      <w:bookmarkEnd w:id="438"/>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1、由于不可抗力因素（指火灾、地震、洪水、战争等）使乙方不能在合同规定的期限内提供服务时，乙方必须立即以书面形式立即通知甲方，并向甲方提供有关政府机关所出具的不可抗力因素证明。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完全不能履约，并在30天内不能恢复履约，则任何一方可提出终止合同，互不承担违约责任。</w:t>
      </w:r>
    </w:p>
    <w:p>
      <w:pPr>
        <w:rPr>
          <w:rFonts w:hint="eastAsia" w:ascii="宋体" w:hAnsi="宋体" w:eastAsia="宋体" w:cs="宋体"/>
          <w:color w:val="auto"/>
          <w:highlight w:val="none"/>
          <w:lang w:val="zh-CN"/>
        </w:rPr>
      </w:pPr>
    </w:p>
    <w:p>
      <w:pPr>
        <w:widowControl w:val="0"/>
        <w:autoSpaceDE w:val="0"/>
        <w:autoSpaceDN w:val="0"/>
        <w:adjustRightInd w:val="0"/>
        <w:spacing w:line="360" w:lineRule="auto"/>
        <w:ind w:right="210"/>
        <w:outlineLvl w:val="1"/>
        <w:rPr>
          <w:rFonts w:hint="eastAsia" w:ascii="宋体" w:hAnsi="宋体" w:eastAsia="宋体" w:cs="宋体"/>
          <w:b/>
          <w:bCs/>
          <w:color w:val="auto"/>
          <w:sz w:val="21"/>
          <w:szCs w:val="21"/>
          <w:highlight w:val="none"/>
          <w:lang w:val="zh-CN" w:eastAsia="zh-CN" w:bidi="ar-SA"/>
        </w:rPr>
      </w:pPr>
      <w:bookmarkStart w:id="439" w:name="_Toc6602"/>
      <w:bookmarkStart w:id="440" w:name="_Toc3585"/>
      <w:bookmarkStart w:id="441" w:name="_Toc9300"/>
      <w:bookmarkStart w:id="442" w:name="_Toc12820"/>
      <w:bookmarkStart w:id="443" w:name="_Toc23334"/>
      <w:bookmarkStart w:id="444" w:name="_Toc31017"/>
      <w:r>
        <w:rPr>
          <w:rFonts w:hint="eastAsia" w:ascii="宋体" w:hAnsi="宋体" w:eastAsia="宋体" w:cs="宋体"/>
          <w:b/>
          <w:bCs/>
          <w:color w:val="auto"/>
          <w:sz w:val="21"/>
          <w:szCs w:val="21"/>
          <w:highlight w:val="none"/>
          <w:lang w:val="zh-CN" w:eastAsia="zh-CN" w:bidi="ar-SA"/>
        </w:rPr>
        <w:t>十、争议的解决</w:t>
      </w:r>
      <w:bookmarkEnd w:id="439"/>
      <w:bookmarkEnd w:id="440"/>
      <w:bookmarkEnd w:id="441"/>
      <w:bookmarkEnd w:id="442"/>
      <w:bookmarkEnd w:id="443"/>
      <w:bookmarkEnd w:id="444"/>
    </w:p>
    <w:p>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双方在履约中发生争执和分歧，双方应通过友好协商解决，如不能通过友好协商解决的，任何一方均可向甲方住所地有管辖权的人民法院提起诉讼解决。</w:t>
      </w:r>
    </w:p>
    <w:p>
      <w:pPr>
        <w:rPr>
          <w:rFonts w:hint="eastAsia" w:ascii="宋体" w:hAnsi="宋体" w:eastAsia="宋体" w:cs="宋体"/>
          <w:color w:val="auto"/>
          <w:highlight w:val="none"/>
          <w:lang w:val="zh-CN"/>
        </w:rPr>
      </w:pPr>
    </w:p>
    <w:p>
      <w:pPr>
        <w:widowControl w:val="0"/>
        <w:autoSpaceDE w:val="0"/>
        <w:autoSpaceDN w:val="0"/>
        <w:adjustRightInd w:val="0"/>
        <w:spacing w:line="360" w:lineRule="auto"/>
        <w:ind w:right="210"/>
        <w:outlineLvl w:val="1"/>
        <w:rPr>
          <w:rFonts w:hint="eastAsia" w:ascii="宋体" w:hAnsi="宋体" w:eastAsia="宋体" w:cs="宋体"/>
          <w:b/>
          <w:bCs/>
          <w:color w:val="auto"/>
          <w:sz w:val="21"/>
          <w:szCs w:val="21"/>
          <w:highlight w:val="none"/>
          <w:lang w:val="zh-CN" w:eastAsia="zh-CN" w:bidi="ar-SA"/>
        </w:rPr>
      </w:pPr>
      <w:bookmarkStart w:id="445" w:name="_Toc25109"/>
      <w:bookmarkStart w:id="446" w:name="_Toc607"/>
      <w:bookmarkStart w:id="447" w:name="_Toc22895"/>
      <w:bookmarkStart w:id="448" w:name="_Toc29744"/>
      <w:bookmarkStart w:id="449" w:name="_Toc32535"/>
      <w:bookmarkStart w:id="450" w:name="_Toc3"/>
      <w:r>
        <w:rPr>
          <w:rFonts w:hint="eastAsia" w:ascii="宋体" w:hAnsi="宋体" w:eastAsia="宋体" w:cs="宋体"/>
          <w:b/>
          <w:bCs/>
          <w:color w:val="auto"/>
          <w:sz w:val="21"/>
          <w:szCs w:val="21"/>
          <w:highlight w:val="none"/>
          <w:lang w:val="zh-CN" w:eastAsia="zh-CN" w:bidi="ar-SA"/>
        </w:rPr>
        <w:t>十一、其他</w:t>
      </w:r>
      <w:bookmarkEnd w:id="445"/>
      <w:bookmarkEnd w:id="446"/>
      <w:bookmarkEnd w:id="447"/>
      <w:bookmarkEnd w:id="448"/>
      <w:bookmarkEnd w:id="449"/>
      <w:bookmarkEnd w:id="450"/>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1、本合同的附件为本合同的有效组成部分，与本合同具有同等法律效力。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份，由甲乙双方各执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份，均具同等效力，由双方法定代表人或授权代表人签字并盖章之日起生效。</w:t>
      </w:r>
    </w:p>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附件：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附件1：用户需求书</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附件2：阳光合作告知函</w:t>
      </w:r>
    </w:p>
    <w:p>
      <w:pPr>
        <w:widowControl w:val="0"/>
        <w:autoSpaceDE w:val="0"/>
        <w:autoSpaceDN w:val="0"/>
        <w:adjustRightInd w:val="0"/>
        <w:spacing w:line="360" w:lineRule="auto"/>
        <w:ind w:right="-26"/>
        <w:jc w:val="both"/>
        <w:rPr>
          <w:rFonts w:hint="eastAsia" w:ascii="宋体" w:hAnsi="宋体" w:eastAsia="宋体" w:cs="宋体"/>
          <w:b/>
          <w:bCs/>
          <w:color w:val="auto"/>
          <w:sz w:val="21"/>
          <w:szCs w:val="21"/>
          <w:highlight w:val="none"/>
          <w:lang w:val="zh-CN" w:eastAsia="zh-CN" w:bidi="ar-SA"/>
        </w:rPr>
      </w:pP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pPr>
        <w:widowControl w:val="0"/>
        <w:autoSpaceDE w:val="0"/>
        <w:autoSpaceDN w:val="0"/>
        <w:adjustRightInd w:val="0"/>
        <w:ind w:right="-26"/>
        <w:jc w:val="center"/>
        <w:rPr>
          <w:rFonts w:hint="eastAsia" w:ascii="宋体" w:hAnsi="宋体" w:eastAsia="宋体" w:cs="宋体"/>
          <w:b/>
          <w:bCs/>
          <w:color w:val="auto"/>
          <w:sz w:val="21"/>
          <w:szCs w:val="21"/>
          <w:highlight w:val="none"/>
          <w:lang w:val="zh-CN" w:eastAsia="zh-CN" w:bidi="ar-SA"/>
        </w:rPr>
      </w:pPr>
    </w:p>
    <w:tbl>
      <w:tblPr>
        <w:tblStyle w:val="55"/>
        <w:tblW w:w="0" w:type="auto"/>
        <w:jc w:val="center"/>
        <w:tblLayout w:type="autofit"/>
        <w:tblCellMar>
          <w:top w:w="0" w:type="dxa"/>
          <w:left w:w="108" w:type="dxa"/>
          <w:bottom w:w="0" w:type="dxa"/>
          <w:right w:w="108" w:type="dxa"/>
        </w:tblCellMar>
      </w:tblPr>
      <w:tblGrid>
        <w:gridCol w:w="4852"/>
        <w:gridCol w:w="4195"/>
      </w:tblGrid>
      <w:tr>
        <w:trPr>
          <w:trHeight w:val="905" w:hRule="atLeast"/>
          <w:jc w:val="center"/>
        </w:trPr>
        <w:tc>
          <w:tcPr>
            <w:tcW w:w="4852" w:type="dxa"/>
          </w:tcPr>
          <w:p>
            <w:pPr>
              <w:keepNext w:val="0"/>
              <w:keepLines w:val="0"/>
              <w:suppressLineNumbers w:val="0"/>
              <w:spacing w:before="0" w:beforeAutospacing="0" w:after="0" w:afterAutospacing="0" w:line="54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p>
            <w:pPr>
              <w:keepNext w:val="0"/>
              <w:keepLines w:val="0"/>
              <w:suppressLineNumbers w:val="0"/>
              <w:spacing w:before="0" w:beforeAutospacing="0" w:after="0" w:afterAutospacing="0" w:line="540" w:lineRule="exact"/>
              <w:ind w:left="563" w:right="0" w:hanging="563" w:hangingChars="267"/>
              <w:rPr>
                <w:rFonts w:hint="eastAsia" w:ascii="宋体" w:hAnsi="宋体" w:eastAsia="宋体" w:cs="宋体"/>
                <w:b/>
                <w:bCs/>
                <w:color w:val="auto"/>
                <w:sz w:val="21"/>
                <w:szCs w:val="21"/>
                <w:highlight w:val="none"/>
              </w:rPr>
            </w:pPr>
          </w:p>
        </w:tc>
        <w:tc>
          <w:tcPr>
            <w:tcW w:w="4195" w:type="dxa"/>
          </w:tcPr>
          <w:p>
            <w:pPr>
              <w:keepNext w:val="0"/>
              <w:keepLines w:val="0"/>
              <w:suppressLineNumbers w:val="0"/>
              <w:spacing w:before="0" w:beforeAutospacing="0" w:after="0" w:afterAutospacing="0" w:line="54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r>
      <w:tr>
        <w:tblPrEx>
          <w:tblCellMar>
            <w:top w:w="0" w:type="dxa"/>
            <w:left w:w="108" w:type="dxa"/>
            <w:bottom w:w="0" w:type="dxa"/>
            <w:right w:w="108" w:type="dxa"/>
          </w:tblCellMar>
        </w:tblPrEx>
        <w:trPr>
          <w:trHeight w:val="744" w:hRule="atLeast"/>
          <w:jc w:val="center"/>
        </w:trPr>
        <w:tc>
          <w:tcPr>
            <w:tcW w:w="4852" w:type="dxa"/>
          </w:tcPr>
          <w:p>
            <w:pPr>
              <w:keepNext w:val="0"/>
              <w:keepLines w:val="0"/>
              <w:suppressLineNumbers w:val="0"/>
              <w:spacing w:before="0" w:beforeAutospacing="0" w:after="0" w:afterAutospacing="0" w:line="54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法定代表人或</w:t>
            </w:r>
            <w:r>
              <w:rPr>
                <w:rFonts w:hint="eastAsia" w:ascii="宋体" w:hAnsi="宋体" w:eastAsia="宋体" w:cs="宋体"/>
                <w:b/>
                <w:bCs/>
                <w:color w:val="auto"/>
                <w:sz w:val="21"/>
                <w:szCs w:val="21"/>
                <w:highlight w:val="none"/>
              </w:rPr>
              <w:tab/>
            </w:r>
          </w:p>
          <w:p>
            <w:pPr>
              <w:keepNext w:val="0"/>
              <w:keepLines w:val="0"/>
              <w:suppressLineNumbers w:val="0"/>
              <w:spacing w:before="0" w:beforeAutospacing="0" w:after="0" w:afterAutospacing="0" w:line="54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授权代表人：</w:t>
            </w:r>
          </w:p>
        </w:tc>
        <w:tc>
          <w:tcPr>
            <w:tcW w:w="4195" w:type="dxa"/>
          </w:tcPr>
          <w:p>
            <w:pPr>
              <w:keepNext w:val="0"/>
              <w:keepLines w:val="0"/>
              <w:suppressLineNumbers w:val="0"/>
              <w:spacing w:before="0" w:beforeAutospacing="0" w:after="0" w:afterAutospacing="0" w:line="54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法定代表人或</w:t>
            </w:r>
            <w:r>
              <w:rPr>
                <w:rFonts w:hint="eastAsia" w:ascii="宋体" w:hAnsi="宋体" w:eastAsia="宋体" w:cs="宋体"/>
                <w:b/>
                <w:bCs/>
                <w:color w:val="auto"/>
                <w:sz w:val="21"/>
                <w:szCs w:val="21"/>
                <w:highlight w:val="none"/>
              </w:rPr>
              <w:tab/>
            </w:r>
          </w:p>
          <w:p>
            <w:pPr>
              <w:keepNext w:val="0"/>
              <w:keepLines w:val="0"/>
              <w:suppressLineNumbers w:val="0"/>
              <w:spacing w:before="0" w:beforeAutospacing="0" w:after="0" w:afterAutospacing="0" w:line="54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授权代表人：</w:t>
            </w:r>
          </w:p>
        </w:tc>
      </w:tr>
      <w:tr>
        <w:tblPrEx>
          <w:tblCellMar>
            <w:top w:w="0" w:type="dxa"/>
            <w:left w:w="108" w:type="dxa"/>
            <w:bottom w:w="0" w:type="dxa"/>
            <w:right w:w="108" w:type="dxa"/>
          </w:tblCellMar>
        </w:tblPrEx>
        <w:trPr>
          <w:trHeight w:val="90" w:hRule="atLeast"/>
          <w:jc w:val="center"/>
        </w:trPr>
        <w:tc>
          <w:tcPr>
            <w:tcW w:w="4852" w:type="dxa"/>
          </w:tcPr>
          <w:p>
            <w:pPr>
              <w:keepNext w:val="0"/>
              <w:keepLines w:val="0"/>
              <w:suppressLineNumbers w:val="0"/>
              <w:spacing w:before="0" w:beforeAutospacing="0" w:after="0" w:afterAutospacing="0" w:line="54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ab/>
            </w:r>
          </w:p>
          <w:p>
            <w:pPr>
              <w:keepNext w:val="0"/>
              <w:keepLines w:val="0"/>
              <w:suppressLineNumbers w:val="0"/>
              <w:spacing w:before="0" w:beforeAutospacing="0" w:after="0" w:afterAutospacing="0" w:line="54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签订时间：</w:t>
            </w:r>
            <w:r>
              <w:rPr>
                <w:rFonts w:hint="eastAsia" w:ascii="宋体" w:hAnsi="宋体" w:eastAsia="宋体" w:cs="宋体"/>
                <w:b/>
                <w:bCs/>
                <w:color w:val="auto"/>
                <w:sz w:val="21"/>
                <w:szCs w:val="21"/>
                <w:highlight w:val="none"/>
              </w:rPr>
              <w:tab/>
            </w:r>
          </w:p>
        </w:tc>
        <w:tc>
          <w:tcPr>
            <w:tcW w:w="4195" w:type="dxa"/>
          </w:tcPr>
          <w:p>
            <w:pPr>
              <w:keepNext w:val="0"/>
              <w:keepLines w:val="0"/>
              <w:suppressLineNumbers w:val="0"/>
              <w:spacing w:before="0" w:beforeAutospacing="0" w:after="0" w:afterAutospacing="0" w:line="54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ab/>
            </w:r>
          </w:p>
          <w:p>
            <w:pPr>
              <w:keepNext w:val="0"/>
              <w:keepLines w:val="0"/>
              <w:suppressLineNumbers w:val="0"/>
              <w:spacing w:before="0" w:beforeAutospacing="0" w:after="0" w:afterAutospacing="0" w:line="540" w:lineRule="exact"/>
              <w:ind w:left="0" w:right="0"/>
              <w:rPr>
                <w:rFonts w:hint="eastAsia" w:ascii="宋体" w:hAnsi="宋体" w:eastAsia="宋体" w:cs="宋体"/>
                <w:b/>
                <w:bCs/>
                <w:color w:val="auto"/>
                <w:sz w:val="21"/>
                <w:szCs w:val="21"/>
                <w:highlight w:val="none"/>
              </w:rPr>
            </w:pPr>
          </w:p>
        </w:tc>
      </w:tr>
    </w:tbl>
    <w:p>
      <w:pPr>
        <w:pStyle w:val="5"/>
        <w:pageBreakBefore/>
        <w:spacing w:beforeLines="0" w:afterLines="0"/>
        <w:rPr>
          <w:rFonts w:hint="eastAsia" w:ascii="宋体" w:hAnsi="宋体" w:eastAsia="宋体" w:cs="宋体"/>
          <w:color w:val="auto"/>
          <w:sz w:val="21"/>
          <w:szCs w:val="21"/>
          <w:highlight w:val="none"/>
        </w:rPr>
      </w:pPr>
      <w:bookmarkStart w:id="451" w:name="_Toc3093"/>
      <w:bookmarkStart w:id="452" w:name="_Toc3220"/>
      <w:bookmarkStart w:id="453" w:name="_Toc18545"/>
      <w:bookmarkStart w:id="454" w:name="_Toc10152"/>
      <w:r>
        <w:rPr>
          <w:rFonts w:hint="eastAsia" w:ascii="宋体" w:hAnsi="宋体" w:eastAsia="宋体" w:cs="宋体"/>
          <w:color w:val="auto"/>
          <w:sz w:val="21"/>
          <w:szCs w:val="21"/>
          <w:highlight w:val="none"/>
        </w:rPr>
        <w:t>附件2 阳光合作告知函</w:t>
      </w:r>
      <w:bookmarkEnd w:id="451"/>
      <w:bookmarkEnd w:id="452"/>
      <w:bookmarkEnd w:id="453"/>
      <w:bookmarkEnd w:id="454"/>
    </w:p>
    <w:p>
      <w:pPr>
        <w:spacing w:beforeLines="0" w:after="156"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阳光合作告知函</w:t>
      </w:r>
    </w:p>
    <w:p>
      <w:pPr>
        <w:spacing w:beforeLines="0" w:afterLines="0" w:line="56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项目名称：   </w:t>
      </w:r>
      <w:r>
        <w:rPr>
          <w:rFonts w:hint="eastAsia" w:ascii="宋体" w:hAnsi="宋体" w:eastAsia="宋体" w:cs="宋体"/>
          <w:color w:val="auto"/>
          <w:sz w:val="21"/>
          <w:szCs w:val="21"/>
          <w:highlight w:val="none"/>
        </w:rPr>
        <w:t>（合同编号：    ）</w:t>
      </w:r>
    </w:p>
    <w:p>
      <w:pPr>
        <w:pStyle w:val="632"/>
        <w:snapToGrid w:val="0"/>
        <w:spacing w:beforeLines="0" w:afterLines="0" w:line="580" w:lineRule="exact"/>
        <w:ind w:firstLine="0"/>
        <w:rPr>
          <w:rFonts w:hint="eastAsia" w:ascii="宋体" w:hAnsi="宋体" w:eastAsia="宋体" w:cs="宋体"/>
          <w:color w:val="auto"/>
          <w:sz w:val="21"/>
          <w:szCs w:val="21"/>
          <w:highlight w:val="none"/>
          <w:u w:val="single"/>
        </w:rPr>
      </w:pPr>
      <w:r>
        <w:rPr>
          <w:rFonts w:hint="eastAsia" w:ascii="宋体" w:hAnsi="宋体" w:eastAsia="宋体" w:cs="宋体"/>
          <w:b/>
          <w:color w:val="auto"/>
          <w:kern w:val="2"/>
          <w:sz w:val="21"/>
          <w:szCs w:val="21"/>
          <w:highlight w:val="none"/>
          <w:u w:val="single"/>
        </w:rPr>
        <w:t xml:space="preserve">                   </w:t>
      </w:r>
      <w:r>
        <w:rPr>
          <w:rFonts w:hint="eastAsia" w:ascii="宋体" w:hAnsi="宋体" w:eastAsia="宋体" w:cs="宋体"/>
          <w:color w:val="auto"/>
          <w:sz w:val="21"/>
          <w:szCs w:val="21"/>
          <w:highlight w:val="none"/>
        </w:rPr>
        <w:t xml:space="preserve">：                          </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为保证我集团人员廉洁从业，规范和鼓励诚信交易行为，防止腐败和商业贿赂发生，推动双方建立阳光合作关系，现将我方推行阳光合作的相关管理规定函告如下：</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一、我方负责对本单位有关人员进行阳光合作教育和管理。</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二、我方人员有责任向贵方介绍本单位有关阳光合作的相关规定。</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三、我方人员应本着诚实守信、公平公开、平等互利原则开展交易合作，遵守国家相关法律法规。</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四、我方人员应廉洁从业，自觉抵制商业贿赂及不正当交易行为，在交易业务中涉及本人、亲属或其他相关人员时，应主动提请回避。</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五、在业务合作过程中，我方人员不得有以下违法违规行为：</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（一）合作过程中通过各种方式向贵方索贿、行贿，或为亲属、其他相关人员索取其他协助或服务； </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（三）擅自截留、挪用或侵占贵方财物； </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（四）以各种形式参与民间借贷，帮助贵方过桥借贷； </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（五）参与黄、赌、毒等违法犯罪活动；</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（六）其他违反国家法律法规和违反廉洁从业的行为。 </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六、在业务合作期间，我方有权通过回访等方式监督阳光合作执行情况。贵方及贵方人员发现我方任何人员任何形式的行贿、索贿、受贿或其他违反阳光合作的行为，可及时向我方举报。</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七、烦请贵方及贵方人员在投诉举报时，积极配合我方的相关调查工作，并提供联系方式等，便于我方纪检监察机构联系与调查核实。我方承诺对贵方的投诉举报人进行保密。</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八、贵方投诉举报的情况，经查证属实，我方将视情节轻重和影响恶劣程度对相关人员进行内部处理；构成犯罪的，依法移送司法机关处置，并将调查结果及时向贵方反馈。</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九、如贵方经办人员或其他相关人员主动诱使我方人员作出本告知函第五点列明的违法违规行为的，我方有权终止双方的合作，由此造成的损失由贵方承担。</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十、我方对如实举报和严格遵守阳光合作精神的合作方，在同等条件下给予后续合作的优先权。</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w:t>
      </w:r>
      <w:bookmarkStart w:id="455" w:name="OLE_LINK1"/>
      <w:r>
        <w:rPr>
          <w:rFonts w:hint="eastAsia" w:ascii="宋体" w:hAnsi="宋体" w:eastAsia="宋体" w:cs="宋体"/>
          <w:color w:val="auto"/>
          <w:sz w:val="21"/>
          <w:szCs w:val="21"/>
          <w:highlight w:val="none"/>
        </w:rPr>
        <w:t>其他</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（一）本告知函所言“其他相关人员”是指经办人以外的与合作项目有直接或间接利益关系的人员，包括但不仅限于项目经办人的亲友。</w:t>
      </w:r>
    </w:p>
    <w:bookmarkEnd w:id="455"/>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（二）我方常设投诉举报受理部门及联系方式： </w:t>
      </w:r>
    </w:p>
    <w:p>
      <w:pPr>
        <w:pStyle w:val="632"/>
        <w:snapToGrid w:val="0"/>
        <w:spacing w:beforeLines="0" w:afterLines="0" w:line="58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1.投诉举报受理部门：</w:t>
      </w:r>
      <w:r>
        <w:rPr>
          <w:rFonts w:hint="eastAsia" w:ascii="宋体" w:hAnsi="宋体" w:eastAsia="宋体" w:cs="宋体"/>
          <w:color w:val="auto"/>
          <w:sz w:val="21"/>
          <w:szCs w:val="21"/>
          <w:highlight w:val="none"/>
        </w:rPr>
        <w:t>东莞市水务集团有限公司纪检监察部；</w:t>
      </w:r>
    </w:p>
    <w:p>
      <w:pPr>
        <w:pStyle w:val="632"/>
        <w:snapToGrid w:val="0"/>
        <w:spacing w:beforeLines="0" w:afterLines="0" w:line="58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2.投诉举报电话：</w:t>
      </w:r>
      <w:r>
        <w:rPr>
          <w:rFonts w:hint="eastAsia" w:ascii="宋体" w:hAnsi="宋体" w:eastAsia="宋体" w:cs="宋体"/>
          <w:color w:val="auto"/>
          <w:sz w:val="21"/>
          <w:szCs w:val="21"/>
          <w:highlight w:val="none"/>
        </w:rPr>
        <w:t>0769–28823293（星期一至星期五：8:30-17:30）；</w:t>
      </w:r>
    </w:p>
    <w:p>
      <w:pPr>
        <w:pStyle w:val="632"/>
        <w:snapToGrid w:val="0"/>
        <w:spacing w:beforeLines="0" w:afterLines="0" w:line="58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3.联系地址：</w:t>
      </w:r>
      <w:r>
        <w:rPr>
          <w:rFonts w:hint="eastAsia" w:ascii="宋体" w:hAnsi="宋体" w:eastAsia="宋体" w:cs="宋体"/>
          <w:color w:val="auto"/>
          <w:sz w:val="21"/>
          <w:szCs w:val="21"/>
          <w:highlight w:val="none"/>
        </w:rPr>
        <w:t>东莞市东城街道育华路1号；</w:t>
      </w:r>
    </w:p>
    <w:p>
      <w:pPr>
        <w:pStyle w:val="632"/>
        <w:snapToGrid w:val="0"/>
        <w:spacing w:beforeLines="0" w:afterLines="0" w:line="58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4.邮编：</w:t>
      </w:r>
      <w:r>
        <w:rPr>
          <w:rFonts w:hint="eastAsia" w:ascii="宋体" w:hAnsi="宋体" w:eastAsia="宋体" w:cs="宋体"/>
          <w:color w:val="auto"/>
          <w:sz w:val="21"/>
          <w:szCs w:val="21"/>
          <w:highlight w:val="none"/>
        </w:rPr>
        <w:t>523000。</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让我们共同为建立健康、公平的商业秩序和实现双赢而努力。</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特此致函。</w:t>
      </w: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p>
    <w:p>
      <w:pPr>
        <w:pStyle w:val="632"/>
        <w:snapToGrid w:val="0"/>
        <w:spacing w:beforeLines="0" w:afterLines="0" w:line="580" w:lineRule="exact"/>
        <w:ind w:firstLine="420" w:firstLineChars="200"/>
        <w:rPr>
          <w:rFonts w:hint="eastAsia" w:ascii="宋体" w:hAnsi="宋体" w:eastAsia="宋体" w:cs="宋体"/>
          <w:color w:val="auto"/>
          <w:sz w:val="21"/>
          <w:szCs w:val="21"/>
          <w:highlight w:val="none"/>
        </w:rPr>
      </w:pPr>
    </w:p>
    <w:p>
      <w:pPr>
        <w:pStyle w:val="632"/>
        <w:wordWrap w:val="0"/>
        <w:snapToGrid w:val="0"/>
        <w:spacing w:beforeLines="0" w:afterLines="0" w:line="580" w:lineRule="exact"/>
        <w:ind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东莞市众源环境投资有限公司</w:t>
      </w:r>
    </w:p>
    <w:p>
      <w:pPr>
        <w:pStyle w:val="632"/>
        <w:snapToGrid w:val="0"/>
        <w:spacing w:beforeLines="0" w:afterLines="0" w:line="580" w:lineRule="exact"/>
        <w:ind w:firstLine="3990" w:firstLineChars="1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bookmarkStart w:id="456" w:name="设计变更通知单"/>
      <w:bookmarkEnd w:id="456"/>
      <w:bookmarkStart w:id="457" w:name="现场签证通知单"/>
      <w:bookmarkEnd w:id="457"/>
    </w:p>
    <w:p>
      <w:pPr>
        <w:pStyle w:val="632"/>
        <w:pageBreakBefore/>
        <w:snapToGrid w:val="0"/>
        <w:spacing w:beforeLines="0" w:afterLines="0" w:line="580" w:lineRule="exact"/>
        <w:ind w:firstLine="0"/>
        <w:jc w:val="center"/>
        <w:rPr>
          <w:rFonts w:hint="eastAsia" w:ascii="宋体" w:hAnsi="宋体" w:eastAsia="宋体" w:cs="宋体"/>
          <w:color w:val="auto"/>
          <w:sz w:val="21"/>
          <w:szCs w:val="21"/>
          <w:highlight w:val="none"/>
          <w:lang w:val="zh-CN"/>
        </w:rPr>
      </w:pPr>
      <w:r>
        <w:rPr>
          <w:rFonts w:hint="eastAsia" w:ascii="宋体" w:hAnsi="宋体" w:eastAsia="宋体" w:cs="宋体"/>
          <w:b/>
          <w:color w:val="auto"/>
          <w:sz w:val="28"/>
          <w:szCs w:val="28"/>
          <w:highlight w:val="none"/>
          <w:lang w:val="zh-CN"/>
        </w:rPr>
        <w:t>阳光合作告知函回执</w:t>
      </w:r>
    </w:p>
    <w:p>
      <w:pPr>
        <w:pStyle w:val="632"/>
        <w:snapToGrid w:val="0"/>
        <w:spacing w:beforeLines="0" w:afterLines="0" w:line="58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632"/>
        <w:snapToGrid w:val="0"/>
        <w:spacing w:beforeLines="0" w:afterLines="0" w:line="58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632"/>
        <w:snapToGrid w:val="0"/>
        <w:spacing w:beforeLines="0" w:afterLines="0" w:line="580" w:lineRule="exact"/>
        <w:ind w:firstLine="0"/>
        <w:jc w:val="center"/>
        <w:rPr>
          <w:rFonts w:hint="eastAsia" w:ascii="宋体" w:hAnsi="宋体" w:eastAsia="宋体" w:cs="宋体"/>
          <w:color w:val="auto"/>
          <w:sz w:val="21"/>
          <w:szCs w:val="21"/>
          <w:highlight w:val="none"/>
          <w:lang w:val="zh-CN"/>
        </w:rPr>
      </w:pPr>
    </w:p>
    <w:p>
      <w:pPr>
        <w:spacing w:beforeLines="0" w:afterLines="0" w:line="580" w:lineRule="exact"/>
        <w:ind w:firstLine="600" w:firstLineChars="25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我单位于</w:t>
      </w:r>
      <w:r>
        <w:rPr>
          <w:rFonts w:hint="eastAsia" w:ascii="宋体" w:hAnsi="宋体" w:eastAsia="宋体" w:cs="宋体"/>
          <w:color w:val="auto"/>
          <w:sz w:val="24"/>
          <w:szCs w:val="21"/>
          <w:highlight w:val="none"/>
          <w:u w:val="single"/>
          <w:lang w:val="zh-CN"/>
        </w:rPr>
        <w:t xml:space="preserve">       </w:t>
      </w:r>
      <w:r>
        <w:rPr>
          <w:rFonts w:hint="eastAsia" w:ascii="宋体" w:hAnsi="宋体" w:eastAsia="宋体" w:cs="宋体"/>
          <w:color w:val="auto"/>
          <w:sz w:val="24"/>
          <w:szCs w:val="21"/>
          <w:highlight w:val="none"/>
          <w:lang w:val="zh-CN"/>
        </w:rPr>
        <w:t>年</w:t>
      </w:r>
      <w:r>
        <w:rPr>
          <w:rFonts w:hint="eastAsia" w:ascii="宋体" w:hAnsi="宋体" w:eastAsia="宋体" w:cs="宋体"/>
          <w:color w:val="auto"/>
          <w:sz w:val="24"/>
          <w:szCs w:val="21"/>
          <w:highlight w:val="none"/>
          <w:u w:val="single"/>
          <w:lang w:val="zh-CN"/>
        </w:rPr>
        <w:t xml:space="preserve">    </w:t>
      </w:r>
      <w:r>
        <w:rPr>
          <w:rFonts w:hint="eastAsia" w:ascii="宋体" w:hAnsi="宋体" w:eastAsia="宋体" w:cs="宋体"/>
          <w:color w:val="auto"/>
          <w:sz w:val="24"/>
          <w:szCs w:val="21"/>
          <w:highlight w:val="none"/>
          <w:lang w:val="zh-CN"/>
        </w:rPr>
        <w:t>月</w:t>
      </w:r>
      <w:r>
        <w:rPr>
          <w:rFonts w:hint="eastAsia" w:ascii="宋体" w:hAnsi="宋体" w:eastAsia="宋体" w:cs="宋体"/>
          <w:color w:val="auto"/>
          <w:sz w:val="24"/>
          <w:szCs w:val="21"/>
          <w:highlight w:val="none"/>
          <w:u w:val="single"/>
          <w:lang w:val="zh-CN"/>
        </w:rPr>
        <w:t xml:space="preserve">    </w:t>
      </w:r>
      <w:r>
        <w:rPr>
          <w:rFonts w:hint="eastAsia" w:ascii="宋体" w:hAnsi="宋体" w:eastAsia="宋体" w:cs="宋体"/>
          <w:color w:val="auto"/>
          <w:sz w:val="24"/>
          <w:szCs w:val="21"/>
          <w:highlight w:val="none"/>
          <w:lang w:val="zh-CN"/>
        </w:rPr>
        <w:t>日收到</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公司</w:t>
      </w:r>
      <w:r>
        <w:rPr>
          <w:rFonts w:hint="eastAsia" w:ascii="宋体" w:hAnsi="宋体" w:eastAsia="宋体" w:cs="宋体"/>
          <w:color w:val="auto"/>
          <w:sz w:val="24"/>
          <w:szCs w:val="21"/>
          <w:highlight w:val="none"/>
          <w:lang w:val="zh-CN"/>
        </w:rPr>
        <w:t>的《阳光合作告知函》，承诺理解函告内容并告知相关人员严格执行其中规定。</w:t>
      </w:r>
    </w:p>
    <w:p>
      <w:pPr>
        <w:snapToGrid w:val="0"/>
        <w:spacing w:beforeLines="0" w:afterLines="0" w:line="580" w:lineRule="exact"/>
        <w:rPr>
          <w:rFonts w:hint="eastAsia" w:ascii="宋体" w:hAnsi="宋体" w:eastAsia="宋体" w:cs="宋体"/>
          <w:color w:val="auto"/>
          <w:sz w:val="24"/>
          <w:szCs w:val="21"/>
          <w:highlight w:val="none"/>
          <w:lang w:val="zh-CN"/>
        </w:rPr>
      </w:pPr>
    </w:p>
    <w:p>
      <w:pPr>
        <w:keepNext w:val="0"/>
        <w:keepLines w:val="0"/>
        <w:pageBreakBefore w:val="0"/>
        <w:widowControl w:val="0"/>
        <w:kinsoku/>
        <w:overflowPunct/>
        <w:topLinePunct w:val="0"/>
        <w:autoSpaceDE w:val="0"/>
        <w:autoSpaceDN w:val="0"/>
        <w:bidi w:val="0"/>
        <w:adjustRightInd w:val="0"/>
        <w:snapToGrid w:val="0"/>
        <w:spacing w:beforeLines="0" w:afterLines="0" w:line="480" w:lineRule="auto"/>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zh-CN"/>
        </w:rPr>
        <w:t xml:space="preserve">                      </w:t>
      </w:r>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1"/>
          <w:highlight w:val="none"/>
          <w:u w:val="single"/>
        </w:rPr>
        <w:t xml:space="preserve">            公司</w:t>
      </w:r>
      <w:r>
        <w:rPr>
          <w:rFonts w:hint="eastAsia" w:ascii="宋体" w:hAnsi="宋体" w:eastAsia="宋体" w:cs="宋体"/>
          <w:color w:val="auto"/>
          <w:sz w:val="24"/>
          <w:szCs w:val="21"/>
          <w:highlight w:val="none"/>
          <w:lang w:val="zh-CN"/>
        </w:rPr>
        <w:t>（盖章）</w:t>
      </w:r>
    </w:p>
    <w:p>
      <w:pPr>
        <w:keepNext w:val="0"/>
        <w:keepLines w:val="0"/>
        <w:pageBreakBefore w:val="0"/>
        <w:widowControl w:val="0"/>
        <w:kinsoku/>
        <w:overflowPunct/>
        <w:topLinePunct w:val="0"/>
        <w:autoSpaceDE w:val="0"/>
        <w:autoSpaceDN w:val="0"/>
        <w:bidi w:val="0"/>
        <w:adjustRightInd w:val="0"/>
        <w:snapToGrid w:val="0"/>
        <w:spacing w:beforeLines="0" w:afterLines="0" w:line="480" w:lineRule="auto"/>
        <w:ind w:right="1280" w:firstLine="4800" w:firstLineChars="20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 法定代表人：           </w:t>
      </w:r>
    </w:p>
    <w:p>
      <w:pPr>
        <w:keepNext w:val="0"/>
        <w:keepLines w:val="0"/>
        <w:pageBreakBefore w:val="0"/>
        <w:widowControl w:val="0"/>
        <w:kinsoku/>
        <w:wordWrap w:val="0"/>
        <w:overflowPunct/>
        <w:topLinePunct w:val="0"/>
        <w:autoSpaceDE w:val="0"/>
        <w:autoSpaceDN w:val="0"/>
        <w:bidi w:val="0"/>
        <w:adjustRightInd w:val="0"/>
        <w:snapToGrid w:val="0"/>
        <w:spacing w:beforeLines="0" w:afterLines="0" w:line="480" w:lineRule="auto"/>
        <w:jc w:val="center"/>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1"/>
          <w:highlight w:val="none"/>
          <w:lang w:val="en-US" w:eastAsia="zh-CN"/>
        </w:rPr>
        <w:t xml:space="preserve">          </w:t>
      </w:r>
      <w:r>
        <w:rPr>
          <w:rFonts w:hint="eastAsia" w:ascii="宋体" w:hAnsi="宋体" w:eastAsia="宋体" w:cs="宋体"/>
          <w:color w:val="auto"/>
          <w:sz w:val="24"/>
          <w:szCs w:val="21"/>
          <w:highlight w:val="none"/>
        </w:rPr>
        <w:t>年    月    日</w:t>
      </w:r>
    </w:p>
    <w:p>
      <w:pPr>
        <w:keepNext w:val="0"/>
        <w:keepLines w:val="0"/>
        <w:pageBreakBefore/>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color w:val="auto"/>
          <w:sz w:val="21"/>
          <w:szCs w:val="21"/>
          <w:highlight w:val="none"/>
          <w:u w:val="none"/>
          <w:lang w:val="en-US" w:eastAsia="zh-CN"/>
        </w:rPr>
      </w:pPr>
    </w:p>
    <w:bookmarkEnd w:id="380"/>
    <w:bookmarkEnd w:id="381"/>
    <w:p>
      <w:pPr>
        <w:spacing w:line="360" w:lineRule="auto"/>
        <w:ind w:firstLine="0" w:firstLineChars="0"/>
        <w:jc w:val="center"/>
        <w:outlineLvl w:val="0"/>
        <w:rPr>
          <w:rFonts w:hint="eastAsia" w:ascii="宋体" w:hAnsi="宋体" w:eastAsia="宋体" w:cs="宋体"/>
          <w:b/>
          <w:bCs/>
          <w:color w:val="auto"/>
          <w:kern w:val="44"/>
          <w:sz w:val="32"/>
          <w:szCs w:val="32"/>
          <w:highlight w:val="none"/>
          <w:lang w:val="zh-CN"/>
        </w:rPr>
      </w:pPr>
      <w:bookmarkStart w:id="458" w:name="_Toc20772"/>
      <w:bookmarkStart w:id="459" w:name="_Toc1479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五</w:t>
      </w:r>
      <w:r>
        <w:rPr>
          <w:rFonts w:hint="eastAsia" w:ascii="宋体" w:hAnsi="宋体" w:eastAsia="宋体" w:cs="宋体"/>
          <w:b/>
          <w:bCs/>
          <w:color w:val="auto"/>
          <w:kern w:val="44"/>
          <w:sz w:val="32"/>
          <w:szCs w:val="32"/>
          <w:highlight w:val="none"/>
          <w:lang w:val="zh-CN"/>
        </w:rPr>
        <w:t>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响应文件格式</w:t>
      </w:r>
      <w:bookmarkEnd w:id="377"/>
      <w:bookmarkEnd w:id="378"/>
      <w:bookmarkEnd w:id="458"/>
      <w:bookmarkEnd w:id="459"/>
    </w:p>
    <w:p>
      <w:pPr>
        <w:pStyle w:val="24"/>
        <w:spacing w:line="360" w:lineRule="auto"/>
        <w:jc w:val="center"/>
        <w:rPr>
          <w:rFonts w:hint="eastAsia" w:ascii="宋体" w:hAnsi="宋体" w:eastAsia="宋体" w:cs="宋体"/>
          <w:color w:val="auto"/>
          <w:sz w:val="84"/>
          <w:highlight w:val="none"/>
        </w:rPr>
      </w:pPr>
      <w:bookmarkStart w:id="460" w:name="_Toc9074"/>
      <w:bookmarkStart w:id="461" w:name="_Toc19008822"/>
      <w:bookmarkStart w:id="462" w:name="_Toc490169461"/>
      <w:bookmarkStart w:id="463" w:name="_Toc56076622"/>
      <w:bookmarkStart w:id="464" w:name="_Toc22486"/>
      <w:bookmarkStart w:id="465" w:name="_Toc521918114"/>
      <w:bookmarkStart w:id="466" w:name="_Toc497746558"/>
      <w:bookmarkStart w:id="467" w:name="_Toc27736"/>
      <w:bookmarkStart w:id="468" w:name="_Toc54334003"/>
      <w:bookmarkStart w:id="469" w:name="_Toc1123949"/>
      <w:bookmarkStart w:id="470" w:name="_Toc5098067"/>
      <w:bookmarkStart w:id="471" w:name="_Toc79146596"/>
      <w:bookmarkStart w:id="472" w:name="_Toc495907130"/>
    </w:p>
    <w:p>
      <w:pPr>
        <w:pStyle w:val="24"/>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u w:val="none"/>
        </w:rPr>
      </w:pPr>
    </w:p>
    <w:p>
      <w:pPr>
        <w:pStyle w:val="24"/>
        <w:spacing w:line="360" w:lineRule="auto"/>
        <w:ind w:firstLine="600" w:firstLineChars="200"/>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编号：</w:t>
      </w:r>
      <w:r>
        <w:rPr>
          <w:rFonts w:hint="eastAsia" w:ascii="宋体" w:hAnsi="宋体" w:eastAsia="宋体" w:cs="宋体"/>
          <w:b w:val="0"/>
          <w:bCs w:val="0"/>
          <w:color w:val="auto"/>
          <w:sz w:val="30"/>
          <w:highlight w:val="none"/>
          <w:u w:val="single"/>
        </w:rPr>
        <w:t>ZYHJ-2024-0001</w:t>
      </w:r>
    </w:p>
    <w:p>
      <w:pPr>
        <w:pStyle w:val="24"/>
        <w:spacing w:line="360" w:lineRule="auto"/>
        <w:ind w:firstLine="600" w:firstLineChars="200"/>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rPr>
        <w:t>项目名称：</w:t>
      </w:r>
      <w:r>
        <w:rPr>
          <w:rFonts w:hint="eastAsia" w:ascii="宋体" w:hAnsi="宋体" w:eastAsia="宋体" w:cs="宋体"/>
          <w:b w:val="0"/>
          <w:bCs w:val="0"/>
          <w:color w:val="auto"/>
          <w:sz w:val="30"/>
          <w:highlight w:val="none"/>
          <w:u w:val="single"/>
        </w:rPr>
        <w:t>东莞市污泥处理处置过程数据管理系统采购项目</w:t>
      </w:r>
      <w:r>
        <w:rPr>
          <w:rFonts w:hint="eastAsia" w:ascii="宋体" w:hAnsi="宋体" w:eastAsia="宋体" w:cs="宋体"/>
          <w:color w:val="auto"/>
          <w:sz w:val="30"/>
          <w:highlight w:val="none"/>
          <w:u w:val="none"/>
        </w:rPr>
        <w:t xml:space="preserve">                      </w:t>
      </w:r>
    </w:p>
    <w:p>
      <w:pPr>
        <w:pStyle w:val="24"/>
        <w:spacing w:line="360" w:lineRule="auto"/>
        <w:ind w:firstLine="600" w:firstLineChars="200"/>
        <w:rPr>
          <w:rFonts w:hint="eastAsia" w:ascii="宋体" w:hAnsi="宋体" w:eastAsia="宋体" w:cs="宋体"/>
          <w:color w:val="auto"/>
          <w:sz w:val="30"/>
          <w:highlight w:val="none"/>
          <w:u w:val="none"/>
          <w:lang w:val="en-US" w:eastAsia="zh-CN"/>
        </w:rPr>
      </w:pPr>
      <w:r>
        <w:rPr>
          <w:rFonts w:hint="eastAsia" w:ascii="宋体" w:hAnsi="宋体" w:eastAsia="宋体" w:cs="宋体"/>
          <w:color w:val="auto"/>
          <w:sz w:val="30"/>
          <w:highlight w:val="none"/>
          <w:u w:val="none"/>
          <w:lang w:val="en-US" w:eastAsia="zh-CN"/>
        </w:rPr>
        <w:t>响应文件内容：</w:t>
      </w:r>
      <w:r>
        <w:rPr>
          <w:rFonts w:hint="eastAsia" w:ascii="宋体" w:hAnsi="宋体" w:eastAsia="宋体" w:cs="宋体"/>
          <w:color w:val="auto"/>
          <w:sz w:val="30"/>
          <w:highlight w:val="none"/>
          <w:u w:val="single"/>
          <w:lang w:val="en-US" w:eastAsia="zh-CN"/>
        </w:rPr>
        <w:t xml:space="preserve">响应文件商务部分 </w:t>
      </w:r>
    </w:p>
    <w:p>
      <w:pPr>
        <w:pStyle w:val="24"/>
        <w:spacing w:line="360" w:lineRule="auto"/>
        <w:ind w:firstLine="600" w:firstLineChars="200"/>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人：</w:t>
      </w:r>
      <w:r>
        <w:rPr>
          <w:rFonts w:hint="eastAsia" w:ascii="宋体" w:hAnsi="宋体" w:eastAsia="宋体" w:cs="宋体"/>
          <w:b w:val="0"/>
          <w:bCs w:val="0"/>
          <w:color w:val="auto"/>
          <w:sz w:val="30"/>
          <w:highlight w:val="none"/>
          <w:u w:val="single"/>
        </w:rPr>
        <w:t>东莞市众源环境投资有限公司</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none"/>
        </w:rPr>
        <w:t xml:space="preserve">                     </w:t>
      </w:r>
    </w:p>
    <w:p>
      <w:pPr>
        <w:pStyle w:val="24"/>
        <w:spacing w:line="360" w:lineRule="auto"/>
        <w:ind w:firstLine="600" w:firstLineChars="2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u w:val="none"/>
          <w:lang w:val="en-US" w:eastAsia="zh-CN"/>
        </w:rPr>
        <w:t>供应商</w:t>
      </w:r>
      <w:r>
        <w:rPr>
          <w:rFonts w:hint="eastAsia" w:ascii="宋体" w:hAnsi="宋体" w:eastAsia="宋体" w:cs="宋体"/>
          <w:color w:val="auto"/>
          <w:sz w:val="30"/>
          <w:highlight w:val="none"/>
          <w:u w:val="none"/>
        </w:rPr>
        <w:t>：</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 xml:space="preserve">    </w:t>
      </w:r>
    </w:p>
    <w:p>
      <w:pPr>
        <w:pStyle w:val="24"/>
        <w:spacing w:line="360" w:lineRule="auto"/>
        <w:ind w:firstLine="600" w:firstLineChars="200"/>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文件商务评审部分索引表</w:t>
      </w:r>
    </w:p>
    <w:p>
      <w:pPr>
        <w:pStyle w:val="73"/>
        <w:rPr>
          <w:rFonts w:hint="eastAsia" w:ascii="宋体" w:hAnsi="宋体" w:eastAsia="宋体" w:cs="宋体"/>
          <w:color w:val="auto"/>
          <w:highlight w:val="none"/>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1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项目</w:t>
            </w:r>
          </w:p>
        </w:tc>
        <w:tc>
          <w:tcPr>
            <w:tcW w:w="1785"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文件上的满分值</w:t>
            </w: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合计</w:t>
            </w:r>
          </w:p>
        </w:tc>
        <w:tc>
          <w:tcPr>
            <w:tcW w:w="1785" w:type="pct"/>
            <w:tcBorders>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bl>
    <w:p>
      <w:pPr>
        <w:bidi w:val="0"/>
        <w:rPr>
          <w:rFonts w:hint="eastAsia" w:ascii="宋体" w:hAnsi="宋体" w:eastAsia="宋体" w:cs="宋体"/>
          <w:color w:val="auto"/>
          <w:highlight w:val="none"/>
        </w:rPr>
      </w:pPr>
    </w:p>
    <w:p>
      <w:pPr>
        <w:pStyle w:val="5"/>
        <w:keepNext w:val="0"/>
        <w:keepLines w:val="0"/>
        <w:pageBreakBefore/>
        <w:widowControl w:val="0"/>
        <w:kinsoku/>
        <w:wordWrap/>
        <w:overflowPunct/>
        <w:topLinePunct w:val="0"/>
        <w:autoSpaceDE w:val="0"/>
        <w:autoSpaceDN w:val="0"/>
        <w:bidi w:val="0"/>
        <w:adjustRightInd w:val="0"/>
        <w:snapToGrid/>
        <w:textAlignment w:val="auto"/>
        <w:rPr>
          <w:rFonts w:hint="eastAsia" w:ascii="宋体" w:hAnsi="宋体" w:eastAsia="宋体" w:cs="宋体"/>
          <w:b/>
          <w:color w:val="auto"/>
          <w:sz w:val="32"/>
          <w:szCs w:val="32"/>
          <w:highlight w:val="none"/>
        </w:rPr>
      </w:pPr>
      <w:bookmarkStart w:id="473" w:name="_Toc26395"/>
      <w:bookmarkStart w:id="474" w:name="_Toc29318"/>
      <w:bookmarkStart w:id="475" w:name="_Toc28428"/>
      <w:r>
        <w:rPr>
          <w:rFonts w:hint="eastAsia" w:ascii="宋体" w:hAnsi="宋体" w:eastAsia="宋体" w:cs="宋体"/>
          <w:b/>
          <w:color w:val="auto"/>
          <w:sz w:val="32"/>
          <w:szCs w:val="32"/>
          <w:highlight w:val="none"/>
        </w:rPr>
        <w:t>一、</w:t>
      </w:r>
      <w:r>
        <w:rPr>
          <w:rFonts w:hint="eastAsia" w:ascii="宋体" w:hAnsi="宋体" w:eastAsia="宋体" w:cs="宋体"/>
          <w:b/>
          <w:color w:val="auto"/>
          <w:sz w:val="32"/>
          <w:szCs w:val="32"/>
          <w:highlight w:val="none"/>
          <w:lang w:val="en-US" w:eastAsia="zh-CN"/>
        </w:rPr>
        <w:t>磋商</w:t>
      </w:r>
      <w:r>
        <w:rPr>
          <w:rFonts w:hint="eastAsia" w:ascii="宋体" w:hAnsi="宋体" w:eastAsia="宋体" w:cs="宋体"/>
          <w:b/>
          <w:color w:val="auto"/>
          <w:sz w:val="32"/>
          <w:szCs w:val="32"/>
          <w:highlight w:val="none"/>
        </w:rPr>
        <w:t>函格式</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rPr>
        <w:t>磋 商</w:t>
      </w:r>
      <w:r>
        <w:rPr>
          <w:rFonts w:hint="eastAsia" w:ascii="宋体" w:hAnsi="宋体" w:eastAsia="宋体" w:cs="宋体"/>
          <w:b/>
          <w:bCs/>
          <w:color w:val="auto"/>
          <w:kern w:val="2"/>
          <w:sz w:val="30"/>
          <w:szCs w:val="30"/>
          <w:highlight w:val="none"/>
          <w:lang w:val="zh-CN"/>
        </w:rPr>
        <w:t xml:space="preserve"> 函</w:t>
      </w:r>
    </w:p>
    <w:p>
      <w:pPr>
        <w:spacing w:line="360" w:lineRule="auto"/>
        <w:jc w:val="both"/>
        <w:rPr>
          <w:rFonts w:hint="eastAsia" w:ascii="宋体" w:hAnsi="宋体" w:eastAsia="宋体" w:cs="宋体"/>
          <w:color w:val="auto"/>
          <w:kern w:val="2"/>
          <w:sz w:val="21"/>
          <w:szCs w:val="21"/>
          <w:highlight w:val="none"/>
          <w:lang w:val="zh-CN"/>
        </w:rPr>
      </w:pPr>
    </w:p>
    <w:p>
      <w:pPr>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致：东莞市众源环境投资有限公司</w:t>
      </w:r>
    </w:p>
    <w:p>
      <w:pPr>
        <w:spacing w:line="360" w:lineRule="auto"/>
        <w:jc w:val="both"/>
        <w:rPr>
          <w:rFonts w:hint="eastAsia" w:ascii="宋体" w:hAnsi="宋体" w:eastAsia="宋体" w:cs="宋体"/>
          <w:color w:val="auto"/>
          <w:kern w:val="2"/>
          <w:sz w:val="21"/>
          <w:szCs w:val="21"/>
          <w:highlight w:val="none"/>
        </w:rPr>
      </w:pPr>
    </w:p>
    <w:p>
      <w:pPr>
        <w:widowControl/>
        <w:spacing w:line="360" w:lineRule="auto"/>
        <w:ind w:firstLine="424" w:firstLineChars="20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根据贵方为</w:t>
      </w:r>
      <w:r>
        <w:rPr>
          <w:rFonts w:hint="eastAsia" w:ascii="宋体" w:hAnsi="宋体" w:eastAsia="宋体" w:cs="宋体"/>
          <w:color w:val="auto"/>
          <w:sz w:val="21"/>
          <w:szCs w:val="21"/>
          <w:highlight w:val="none"/>
          <w:u w:val="single"/>
          <w:lang w:eastAsia="zh-CN"/>
        </w:rPr>
        <w:t>东莞市污泥处理处置过程数据管理系统采购项目</w:t>
      </w:r>
      <w:r>
        <w:rPr>
          <w:rFonts w:hint="eastAsia" w:ascii="宋体" w:hAnsi="宋体" w:eastAsia="宋体" w:cs="宋体"/>
          <w:color w:val="auto"/>
          <w:kern w:val="2"/>
          <w:sz w:val="21"/>
          <w:szCs w:val="21"/>
          <w:highlight w:val="none"/>
          <w:lang w:val="zh-CN"/>
        </w:rPr>
        <w:t>(采购编号：ZYHJ-2024-0001)的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邀请，我方</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（供应商名称）作为供应商正式授权</w:t>
      </w:r>
      <w:r>
        <w:rPr>
          <w:rFonts w:hint="eastAsia" w:ascii="宋体" w:hAnsi="宋体" w:eastAsia="宋体" w:cs="宋体"/>
          <w:color w:val="auto"/>
          <w:kern w:val="2"/>
          <w:sz w:val="21"/>
          <w:szCs w:val="21"/>
          <w:highlight w:val="none"/>
          <w:u w:val="single"/>
          <w:lang w:val="zh-CN"/>
        </w:rPr>
        <w:t>　　（</w:t>
      </w:r>
      <w:r>
        <w:rPr>
          <w:rFonts w:hint="eastAsia" w:ascii="宋体" w:hAnsi="宋体" w:eastAsia="宋体" w:cs="宋体"/>
          <w:color w:val="auto"/>
          <w:kern w:val="2"/>
          <w:sz w:val="21"/>
          <w:szCs w:val="21"/>
          <w:highlight w:val="none"/>
          <w:lang w:val="zh-CN"/>
        </w:rPr>
        <w:t>授权代表全名，职务）代表我方进行有关本次</w:t>
      </w:r>
      <w:r>
        <w:rPr>
          <w:rFonts w:hint="eastAsia" w:ascii="宋体" w:hAnsi="宋体" w:eastAsia="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lang w:val="zh-CN"/>
        </w:rPr>
        <w:t>的一切事宜。</w:t>
      </w:r>
    </w:p>
    <w:p>
      <w:pPr>
        <w:spacing w:line="360" w:lineRule="auto"/>
        <w:ind w:firstLine="4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在此提交的响应文件，包括如下等内容，并已单独密封封装：</w:t>
      </w:r>
    </w:p>
    <w:p>
      <w:pPr>
        <w:spacing w:line="360" w:lineRule="auto"/>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一</w:t>
      </w:r>
      <w:r>
        <w:rPr>
          <w:rFonts w:hint="eastAsia" w:ascii="宋体" w:hAnsi="宋体" w:eastAsia="宋体" w:cs="宋体"/>
          <w:color w:val="auto"/>
          <w:kern w:val="2"/>
          <w:sz w:val="21"/>
          <w:szCs w:val="21"/>
          <w:highlight w:val="none"/>
          <w:lang w:val="zh-CN"/>
        </w:rPr>
        <w:t>）响应文件（正本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份，副本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份）（含响应文件电子文件</w:t>
      </w:r>
      <w:r>
        <w:rPr>
          <w:rFonts w:hint="eastAsia" w:ascii="宋体" w:hAnsi="宋体" w:eastAsia="宋体" w:cs="宋体"/>
          <w:color w:val="auto"/>
          <w:kern w:val="2"/>
          <w:sz w:val="21"/>
          <w:szCs w:val="21"/>
          <w:highlight w:val="none"/>
          <w:lang w:val="en-US" w:eastAsia="zh-CN"/>
        </w:rPr>
        <w:t>和讲解电子文件</w:t>
      </w:r>
      <w:r>
        <w:rPr>
          <w:rFonts w:hint="eastAsia" w:ascii="宋体" w:hAnsi="宋体" w:eastAsia="宋体" w:cs="宋体"/>
          <w:color w:val="auto"/>
          <w:kern w:val="2"/>
          <w:sz w:val="21"/>
          <w:szCs w:val="21"/>
          <w:highlight w:val="none"/>
          <w:lang w:val="zh-CN"/>
        </w:rPr>
        <w:t>）；</w:t>
      </w:r>
    </w:p>
    <w:p>
      <w:pPr>
        <w:spacing w:line="360" w:lineRule="auto"/>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我方已完全明白竞争性磋商文件的所有条款要求，并重申以下几点：</w:t>
      </w:r>
    </w:p>
    <w:p>
      <w:pPr>
        <w:spacing w:line="360" w:lineRule="auto"/>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（—）我方决定参加采购编号为ZYHJ-2024-0001的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w:t>
      </w:r>
    </w:p>
    <w:p>
      <w:pPr>
        <w:spacing w:line="360" w:lineRule="auto"/>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（二）本响应文件的有效期自递交响应文件截止日后90日有效，如</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，有效期将延至合同终止日为止；</w:t>
      </w:r>
    </w:p>
    <w:p>
      <w:pPr>
        <w:spacing w:line="360" w:lineRule="auto"/>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（三）我方已详细研究了竞争性磋商文件的所有内容包括修正文（如有）和所有已提供的参考资料以及有关附件并完全明白，我方放弃在此方面提出含糊意见或误解的一切权力；</w:t>
      </w:r>
    </w:p>
    <w:p>
      <w:pPr>
        <w:spacing w:line="360" w:lineRule="auto"/>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（四）我方明白并愿意在规定的递交响应文件截止时间和日期之后，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有效期之内撤回报价，</w:t>
      </w:r>
      <w:r>
        <w:rPr>
          <w:rFonts w:hint="eastAsia" w:ascii="宋体" w:hAnsi="宋体" w:eastAsia="宋体" w:cs="宋体"/>
          <w:color w:val="auto"/>
          <w:kern w:val="2"/>
          <w:sz w:val="21"/>
          <w:szCs w:val="21"/>
          <w:highlight w:val="none"/>
          <w:lang w:val="en-US" w:eastAsia="zh-CN"/>
        </w:rPr>
        <w:t>则按无效响应处理或取消成交资格</w:t>
      </w:r>
      <w:r>
        <w:rPr>
          <w:rFonts w:hint="eastAsia" w:ascii="宋体" w:hAnsi="宋体" w:eastAsia="宋体" w:cs="宋体"/>
          <w:color w:val="auto"/>
          <w:kern w:val="2"/>
          <w:sz w:val="21"/>
          <w:szCs w:val="21"/>
          <w:highlight w:val="none"/>
          <w:lang w:val="zh-CN"/>
        </w:rPr>
        <w:t>；</w:t>
      </w:r>
    </w:p>
    <w:p>
      <w:pPr>
        <w:spacing w:line="360" w:lineRule="auto"/>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（五）我方同意按照贵方可能提出的要求而提供与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有关的任何其它数据或信息；</w:t>
      </w:r>
    </w:p>
    <w:p>
      <w:pPr>
        <w:spacing w:line="360" w:lineRule="auto"/>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（六）我方理解贵方不一定接受最低报价或任何贵方可能收到的报价；</w:t>
      </w:r>
    </w:p>
    <w:p>
      <w:pPr>
        <w:spacing w:line="360" w:lineRule="auto"/>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（七）我方如果成交，将保证履行竞争性磋商文件以及竞争性磋商文件修改书（如有）中的全部责任和义务，按质、按量、按期完成《合同书》中的全部任务；</w:t>
      </w:r>
    </w:p>
    <w:p>
      <w:pPr>
        <w:spacing w:line="360" w:lineRule="auto"/>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（八）保证响应文件中所有资料均真实有效，否则按无效</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处理或可取消成交资格，并愿意接受按弄虚作假骗取成交的有关规定进行处理；</w:t>
      </w:r>
    </w:p>
    <w:p>
      <w:pPr>
        <w:spacing w:line="360" w:lineRule="auto"/>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（九）若我方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后，我方一定按照竞争性磋商文件的要求和响应文件的承诺签订和履行合同，否则贵方可取消我方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资格，我方愿意接受</w:t>
      </w:r>
      <w:r>
        <w:rPr>
          <w:rFonts w:hint="eastAsia" w:ascii="宋体" w:hAnsi="宋体" w:eastAsia="宋体" w:cs="宋体"/>
          <w:color w:val="auto"/>
          <w:kern w:val="2"/>
          <w:sz w:val="21"/>
          <w:szCs w:val="21"/>
          <w:highlight w:val="none"/>
          <w:lang w:val="en-US" w:eastAsia="zh-CN"/>
        </w:rPr>
        <w:t>竞争性磋商文件内相关</w:t>
      </w:r>
      <w:r>
        <w:rPr>
          <w:rFonts w:hint="eastAsia" w:ascii="宋体" w:hAnsi="宋体" w:eastAsia="宋体" w:cs="宋体"/>
          <w:color w:val="auto"/>
          <w:kern w:val="2"/>
          <w:sz w:val="21"/>
          <w:szCs w:val="21"/>
          <w:highlight w:val="none"/>
          <w:lang w:val="zh-CN"/>
        </w:rPr>
        <w:t>违约</w:t>
      </w:r>
      <w:r>
        <w:rPr>
          <w:rFonts w:hint="eastAsia" w:ascii="宋体" w:hAnsi="宋体" w:eastAsia="宋体" w:cs="宋体"/>
          <w:color w:val="auto"/>
          <w:kern w:val="2"/>
          <w:sz w:val="21"/>
          <w:szCs w:val="21"/>
          <w:highlight w:val="none"/>
          <w:lang w:val="en-US" w:eastAsia="zh-CN"/>
        </w:rPr>
        <w:t>责任和处置措施</w:t>
      </w:r>
      <w:r>
        <w:rPr>
          <w:rFonts w:hint="eastAsia" w:ascii="宋体" w:hAnsi="宋体" w:eastAsia="宋体" w:cs="宋体"/>
          <w:color w:val="auto"/>
          <w:kern w:val="2"/>
          <w:sz w:val="21"/>
          <w:szCs w:val="21"/>
          <w:highlight w:val="none"/>
          <w:lang w:val="zh-CN"/>
        </w:rPr>
        <w:t>；</w:t>
      </w:r>
    </w:p>
    <w:p>
      <w:pPr>
        <w:spacing w:line="360" w:lineRule="auto"/>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（十）若我方获得成交后，核查出响应文件内容前后不一致，我方愿按最高标准的承诺履约义务；</w:t>
      </w:r>
    </w:p>
    <w:p>
      <w:pPr>
        <w:spacing w:line="360" w:lineRule="auto"/>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（十一）所有与本</w:t>
      </w:r>
      <w:r>
        <w:rPr>
          <w:rFonts w:hint="eastAsia" w:ascii="宋体" w:hAnsi="宋体" w:eastAsia="宋体" w:cs="宋体"/>
          <w:color w:val="auto"/>
          <w:kern w:val="2"/>
          <w:sz w:val="21"/>
          <w:szCs w:val="21"/>
          <w:highlight w:val="none"/>
          <w:lang w:val="en-US" w:eastAsia="zh-CN"/>
        </w:rPr>
        <w:t>次竞争性磋商</w:t>
      </w:r>
      <w:r>
        <w:rPr>
          <w:rFonts w:hint="eastAsia" w:ascii="宋体" w:hAnsi="宋体" w:eastAsia="宋体" w:cs="宋体"/>
          <w:color w:val="auto"/>
          <w:kern w:val="2"/>
          <w:sz w:val="21"/>
          <w:szCs w:val="21"/>
          <w:highlight w:val="none"/>
          <w:lang w:val="zh-CN"/>
        </w:rPr>
        <w:t>有关的函件请发往下列地址：</w:t>
      </w:r>
    </w:p>
    <w:p>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地  　址：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邮政编码：</w:t>
      </w:r>
      <w:r>
        <w:rPr>
          <w:rFonts w:hint="eastAsia" w:ascii="宋体" w:hAnsi="宋体" w:eastAsia="宋体" w:cs="宋体"/>
          <w:color w:val="auto"/>
          <w:kern w:val="2"/>
          <w:sz w:val="21"/>
          <w:szCs w:val="21"/>
          <w:highlight w:val="none"/>
          <w:u w:val="single"/>
          <w:lang w:val="zh-CN"/>
        </w:rPr>
        <w:t xml:space="preserve">　　　　　　　　　 　 </w:t>
      </w:r>
    </w:p>
    <w:p>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电　　话：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传　　真：</w:t>
      </w:r>
      <w:r>
        <w:rPr>
          <w:rFonts w:hint="eastAsia" w:ascii="宋体" w:hAnsi="宋体" w:eastAsia="宋体" w:cs="宋体"/>
          <w:color w:val="auto"/>
          <w:kern w:val="2"/>
          <w:sz w:val="21"/>
          <w:szCs w:val="21"/>
          <w:highlight w:val="none"/>
          <w:u w:val="single"/>
          <w:lang w:val="zh-CN"/>
        </w:rPr>
        <w:t>　　　　　　　　　　　</w:t>
      </w:r>
    </w:p>
    <w:p>
      <w:pPr>
        <w:spacing w:line="360" w:lineRule="auto"/>
        <w:ind w:firstLine="840" w:firstLineChars="4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网    站：                      电子邮箱：</w:t>
      </w:r>
      <w:r>
        <w:rPr>
          <w:rFonts w:hint="eastAsia" w:ascii="宋体" w:hAnsi="宋体" w:eastAsia="宋体" w:cs="宋体"/>
          <w:color w:val="auto"/>
          <w:kern w:val="2"/>
          <w:sz w:val="21"/>
          <w:szCs w:val="21"/>
          <w:highlight w:val="none"/>
          <w:u w:val="single"/>
          <w:lang w:val="zh-CN"/>
        </w:rPr>
        <w:t xml:space="preserve">                      </w:t>
      </w:r>
    </w:p>
    <w:p>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代表姓名：　　　　　　　　　　　职　　务：</w:t>
      </w:r>
      <w:r>
        <w:rPr>
          <w:rFonts w:hint="eastAsia" w:ascii="宋体" w:hAnsi="宋体" w:eastAsia="宋体" w:cs="宋体"/>
          <w:color w:val="auto"/>
          <w:kern w:val="2"/>
          <w:sz w:val="21"/>
          <w:szCs w:val="21"/>
          <w:highlight w:val="none"/>
          <w:u w:val="single"/>
          <w:lang w:val="zh-CN"/>
        </w:rPr>
        <w:t xml:space="preserve">　　　　　　　　　　 </w:t>
      </w:r>
    </w:p>
    <w:p>
      <w:pPr>
        <w:spacing w:line="360" w:lineRule="auto"/>
        <w:ind w:left="631" w:leftChars="88" w:hanging="420" w:hangingChars="200"/>
        <w:jc w:val="both"/>
        <w:rPr>
          <w:rFonts w:hint="eastAsia" w:ascii="宋体" w:hAnsi="宋体" w:eastAsia="宋体" w:cs="宋体"/>
          <w:color w:val="auto"/>
          <w:kern w:val="2"/>
          <w:sz w:val="21"/>
          <w:szCs w:val="21"/>
          <w:highlight w:val="none"/>
          <w:u w:val="single"/>
          <w:lang w:val="zh-CN"/>
        </w:rPr>
      </w:pPr>
    </w:p>
    <w:p>
      <w:pPr>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 xml:space="preserve">                       </w:t>
      </w:r>
    </w:p>
    <w:p>
      <w:pPr>
        <w:spacing w:line="360" w:lineRule="auto"/>
        <w:ind w:right="17" w:firstLine="4935" w:firstLineChars="23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w:t>
      </w:r>
    </w:p>
    <w:p>
      <w:pPr>
        <w:spacing w:line="360" w:lineRule="auto"/>
        <w:ind w:firstLine="5040" w:firstLineChars="240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pPr>
        <w:spacing w:line="360" w:lineRule="auto"/>
        <w:ind w:firstLine="5040" w:firstLineChars="2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法定代表人或其授权代表签名（或盖私章）：    </w:t>
      </w:r>
    </w:p>
    <w:p>
      <w:pPr>
        <w:spacing w:line="360" w:lineRule="auto"/>
        <w:ind w:firstLine="5040" w:firstLineChars="240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pPr>
        <w:spacing w:line="360" w:lineRule="auto"/>
        <w:ind w:firstLine="632" w:firstLineChars="300"/>
        <w:jc w:val="center"/>
        <w:rPr>
          <w:rFonts w:hint="eastAsia" w:ascii="宋体" w:hAnsi="宋体" w:eastAsia="宋体" w:cs="宋体"/>
          <w:b/>
          <w:bCs/>
          <w:color w:val="auto"/>
          <w:kern w:val="2"/>
          <w:sz w:val="21"/>
          <w:highlight w:val="none"/>
          <w:u w:val="single"/>
          <w:lang w:val="zh-CN"/>
        </w:rPr>
      </w:pPr>
      <w:r>
        <w:rPr>
          <w:rFonts w:hint="eastAsia" w:ascii="宋体" w:hAnsi="宋体" w:eastAsia="宋体" w:cs="宋体"/>
          <w:b/>
          <w:bCs/>
          <w:color w:val="auto"/>
          <w:kern w:val="2"/>
          <w:sz w:val="21"/>
          <w:highlight w:val="none"/>
          <w:u w:val="single"/>
          <w:lang w:val="zh-CN"/>
        </w:rPr>
        <w:t>注：本</w:t>
      </w:r>
      <w:r>
        <w:rPr>
          <w:rFonts w:hint="eastAsia" w:ascii="宋体" w:hAnsi="宋体" w:eastAsia="宋体" w:cs="宋体"/>
          <w:b/>
          <w:bCs/>
          <w:color w:val="auto"/>
          <w:kern w:val="2"/>
          <w:sz w:val="21"/>
          <w:highlight w:val="none"/>
          <w:u w:val="single"/>
          <w:lang w:val="en-US" w:eastAsia="zh-CN"/>
        </w:rPr>
        <w:t>磋商</w:t>
      </w:r>
      <w:r>
        <w:rPr>
          <w:rFonts w:hint="eastAsia" w:ascii="宋体" w:hAnsi="宋体" w:eastAsia="宋体" w:cs="宋体"/>
          <w:b/>
          <w:bCs/>
          <w:color w:val="auto"/>
          <w:kern w:val="2"/>
          <w:sz w:val="21"/>
          <w:highlight w:val="none"/>
          <w:u w:val="single"/>
          <w:lang w:val="zh-CN"/>
        </w:rPr>
        <w:t>函篇幅超过一页的，须每页加盖供应商法人公章。</w:t>
      </w:r>
    </w:p>
    <w:p>
      <w:pPr>
        <w:pStyle w:val="5"/>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476" w:name="_Toc54334004"/>
      <w:bookmarkStart w:id="477" w:name="_Toc497746559"/>
      <w:bookmarkStart w:id="478" w:name="_Toc56076623"/>
      <w:bookmarkStart w:id="479" w:name="_Toc1123950"/>
      <w:bookmarkStart w:id="480" w:name="_Toc495907131"/>
      <w:bookmarkStart w:id="481" w:name="_Toc14924"/>
      <w:bookmarkStart w:id="482" w:name="_Toc521918115"/>
      <w:bookmarkStart w:id="483" w:name="_Toc79146597"/>
      <w:bookmarkStart w:id="484" w:name="_Toc15830"/>
      <w:bookmarkStart w:id="485" w:name="_Toc19008823"/>
      <w:bookmarkStart w:id="486" w:name="_Toc29778"/>
      <w:bookmarkStart w:id="487" w:name="_Toc12121"/>
      <w:bookmarkStart w:id="488" w:name="_Toc490169462"/>
      <w:bookmarkStart w:id="489" w:name="_Toc5046"/>
      <w:bookmarkStart w:id="490" w:name="_Toc5098068"/>
      <w:bookmarkStart w:id="491" w:name="_Toc14190"/>
      <w:r>
        <w:rPr>
          <w:rFonts w:hint="eastAsia" w:ascii="宋体" w:hAnsi="宋体" w:eastAsia="宋体" w:cs="宋体"/>
          <w:b/>
          <w:color w:val="auto"/>
          <w:sz w:val="32"/>
          <w:szCs w:val="32"/>
          <w:highlight w:val="none"/>
        </w:rPr>
        <w:t>二、</w:t>
      </w:r>
      <w:r>
        <w:rPr>
          <w:rFonts w:hint="eastAsia" w:ascii="宋体" w:hAnsi="宋体" w:eastAsia="宋体" w:cs="宋体"/>
          <w:b/>
          <w:color w:val="auto"/>
          <w:sz w:val="32"/>
          <w:szCs w:val="32"/>
          <w:highlight w:val="none"/>
          <w:lang w:eastAsia="zh-CN"/>
        </w:rPr>
        <w:t>磋商承诺书</w:t>
      </w:r>
      <w:r>
        <w:rPr>
          <w:rFonts w:hint="eastAsia" w:ascii="宋体" w:hAnsi="宋体" w:eastAsia="宋体" w:cs="宋体"/>
          <w:b/>
          <w:color w:val="auto"/>
          <w:sz w:val="32"/>
          <w:szCs w:val="32"/>
          <w:highlight w:val="none"/>
        </w:rPr>
        <w:t>格式</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21"/>
          <w:szCs w:val="21"/>
          <w:highlight w:val="none"/>
        </w:rPr>
        <w:cr/>
      </w:r>
      <w:r>
        <w:rPr>
          <w:rFonts w:hint="eastAsia" w:ascii="宋体" w:hAnsi="宋体" w:eastAsia="宋体" w:cs="宋体"/>
          <w:b/>
          <w:color w:val="auto"/>
          <w:sz w:val="30"/>
          <w:szCs w:val="30"/>
          <w:highlight w:val="none"/>
          <w:lang w:eastAsia="zh-CN"/>
        </w:rPr>
        <w:t>磋商承诺书</w:t>
      </w:r>
    </w:p>
    <w:p>
      <w:pPr>
        <w:jc w:val="center"/>
        <w:rPr>
          <w:rFonts w:hint="eastAsia" w:ascii="宋体" w:hAnsi="宋体" w:eastAsia="宋体" w:cs="宋体"/>
          <w:b/>
          <w:color w:val="auto"/>
          <w:sz w:val="32"/>
          <w:szCs w:val="32"/>
          <w:highlight w:val="none"/>
        </w:rPr>
      </w:pP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名称）已完整阅读了</w:t>
      </w:r>
      <w:r>
        <w:rPr>
          <w:rFonts w:hint="eastAsia" w:ascii="宋体" w:hAnsi="宋体" w:eastAsia="宋体" w:cs="宋体"/>
          <w:color w:val="auto"/>
          <w:sz w:val="21"/>
          <w:szCs w:val="21"/>
          <w:highlight w:val="none"/>
          <w:lang w:eastAsia="zh-CN"/>
        </w:rPr>
        <w:t>东莞市污泥处理处置过程数据管理系统采购项目</w:t>
      </w:r>
      <w:r>
        <w:rPr>
          <w:rFonts w:hint="eastAsia" w:ascii="宋体" w:hAnsi="宋体" w:eastAsia="宋体" w:cs="宋体"/>
          <w:color w:val="auto"/>
          <w:sz w:val="21"/>
          <w:szCs w:val="21"/>
          <w:highlight w:val="none"/>
        </w:rPr>
        <w:t>（采购编号：</w:t>
      </w:r>
      <w:r>
        <w:rPr>
          <w:rFonts w:hint="eastAsia" w:ascii="宋体" w:hAnsi="宋体" w:eastAsia="宋体" w:cs="宋体"/>
          <w:color w:val="auto"/>
          <w:sz w:val="21"/>
          <w:szCs w:val="21"/>
          <w:highlight w:val="none"/>
          <w:lang w:eastAsia="zh-CN"/>
        </w:rPr>
        <w:t>ZYHJ-2024-0001</w:t>
      </w:r>
      <w:r>
        <w:rPr>
          <w:rFonts w:hint="eastAsia" w:ascii="宋体" w:hAnsi="宋体" w:eastAsia="宋体" w:cs="宋体"/>
          <w:color w:val="auto"/>
          <w:sz w:val="21"/>
          <w:szCs w:val="21"/>
          <w:highlight w:val="none"/>
        </w:rPr>
        <w:t>）竞争性磋商文件的所有内容（包括澄清，以及所有已提供的参考资料和有关附件），并完全理解上述文件所表达的意思，该项目递交响应文件时间截止后，我方承诺不再对上述文件内容进行询问或质疑。</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我方承诺，若我方存在通过弄虚作假等手段骗取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的，采购人有权或协助主管部门认定我方严重失信的不良行为，纳入相关企业信用“黑名单”，限制我方参与依法必须招标项目的投标，并向行政主管部门报送结果。同时，采购人有权根据《关于对环境保护领域失信生产经营单位及其有关人员开展联合惩戒的合作备忘录》等规定，通过“信用中国”网站向社会公示我方的失信行为，实现“一处失信、处处受限”。</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若我方在</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或履行本合同过程中存在提供虚假材料、虚假响应</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文件要求等弄虚作假行为，或未能根据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须知第29.2款约定按时提供原件核查的，因此导致我方无法参与东莞市水务集团有限公司相关招标采购活动的，由我方自行承担全部后果。</w:t>
      </w: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80" w:firstLineChars="200"/>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4252" w:firstLineChars="2025"/>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pPr>
        <w:spacing w:line="360" w:lineRule="auto"/>
        <w:ind w:firstLine="4252" w:firstLineChars="2025"/>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pPr>
        <w:spacing w:line="360" w:lineRule="auto"/>
        <w:ind w:firstLine="4252" w:firstLineChars="2025"/>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pPr>
        <w:spacing w:line="360" w:lineRule="auto"/>
        <w:rPr>
          <w:rFonts w:hint="eastAsia" w:ascii="宋体" w:hAnsi="宋体" w:eastAsia="宋体" w:cs="宋体"/>
          <w:color w:val="auto"/>
          <w:highlight w:val="none"/>
        </w:rPr>
      </w:pPr>
      <w:bookmarkStart w:id="492" w:name="_Toc326768876"/>
      <w:bookmarkStart w:id="493" w:name="_Toc311032584"/>
      <w:bookmarkStart w:id="494" w:name="_Toc316896755"/>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495" w:name="_Toc102860413"/>
      <w:bookmarkStart w:id="496" w:name="_Toc104991870"/>
      <w:bookmarkStart w:id="497" w:name="_Toc24336"/>
      <w:bookmarkStart w:id="498" w:name="_Toc5075"/>
      <w:bookmarkStart w:id="499" w:name="_Toc25507"/>
      <w:bookmarkStart w:id="500" w:name="_Toc142508364"/>
      <w:bookmarkStart w:id="501" w:name="_Toc1618"/>
      <w:bookmarkStart w:id="502" w:name="_Toc17805"/>
      <w:bookmarkStart w:id="503" w:name="_Toc140596923"/>
      <w:bookmarkStart w:id="504" w:name="_Toc94107204"/>
      <w:bookmarkStart w:id="505" w:name="_Toc82182546"/>
      <w:bookmarkStart w:id="506" w:name="_Toc29910"/>
      <w:bookmarkStart w:id="507" w:name="_Toc86764083"/>
      <w:bookmarkStart w:id="508" w:name="_Toc102860069"/>
      <w:bookmarkStart w:id="509" w:name="_Toc25698"/>
      <w:r>
        <w:rPr>
          <w:rFonts w:hint="eastAsia" w:ascii="宋体" w:hAnsi="宋体" w:eastAsia="宋体" w:cs="宋体"/>
          <w:b/>
          <w:color w:val="auto"/>
          <w:kern w:val="44"/>
          <w:sz w:val="32"/>
          <w:szCs w:val="32"/>
          <w:highlight w:val="none"/>
        </w:rPr>
        <w:t>三、供货及/或提供服务过程承诺函格式</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sz w:val="21"/>
          <w:szCs w:val="21"/>
          <w:highlight w:val="none"/>
        </w:rPr>
        <w:t>东莞市众源环境投资有限公司</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名称）为</w:t>
      </w:r>
      <w:r>
        <w:rPr>
          <w:rFonts w:hint="eastAsia" w:ascii="宋体" w:hAnsi="宋体" w:eastAsia="宋体" w:cs="宋体"/>
          <w:color w:val="auto"/>
          <w:kern w:val="0"/>
          <w:sz w:val="21"/>
          <w:szCs w:val="21"/>
          <w:highlight w:val="none"/>
          <w:lang w:val="en-US" w:eastAsia="zh-CN"/>
        </w:rPr>
        <w:t>采购人的</w:t>
      </w:r>
      <w:r>
        <w:rPr>
          <w:rFonts w:hint="eastAsia" w:ascii="宋体" w:hAnsi="宋体" w:eastAsia="宋体" w:cs="宋体"/>
          <w:color w:val="auto"/>
          <w:kern w:val="0"/>
          <w:sz w:val="21"/>
          <w:szCs w:val="21"/>
          <w:highlight w:val="none"/>
        </w:rPr>
        <w:t>东莞市污泥处理处置过程数据管理系统采购项目(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编号：</w:t>
      </w:r>
      <w:r>
        <w:rPr>
          <w:rFonts w:hint="eastAsia" w:ascii="宋体" w:hAnsi="宋体" w:eastAsia="宋体" w:cs="宋体"/>
          <w:color w:val="auto"/>
          <w:kern w:val="2"/>
          <w:sz w:val="21"/>
          <w:szCs w:val="21"/>
          <w:highlight w:val="none"/>
          <w:lang w:val="zh-CN"/>
        </w:rPr>
        <w:t>ZYHJ-2024-0001</w:t>
      </w:r>
      <w:r>
        <w:rPr>
          <w:rFonts w:hint="eastAsia" w:ascii="宋体" w:hAnsi="宋体" w:eastAsia="宋体" w:cs="宋体"/>
          <w:color w:val="auto"/>
          <w:sz w:val="21"/>
          <w:szCs w:val="21"/>
          <w:highlight w:val="none"/>
          <w:lang w:val="zh-CN"/>
        </w:rPr>
        <w:t>号</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响应报价</w:t>
      </w:r>
      <w:r>
        <w:rPr>
          <w:rFonts w:hint="eastAsia" w:ascii="宋体" w:hAnsi="宋体" w:eastAsia="宋体" w:cs="宋体"/>
          <w:color w:val="auto"/>
          <w:kern w:val="0"/>
          <w:sz w:val="21"/>
          <w:szCs w:val="21"/>
          <w:highlight w:val="none"/>
        </w:rPr>
        <w:t>单位，为确保供货及/或提供服务过程中的人身、财产安全，我方承诺，如我方获得</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资格，将严格按照下列要求开展工作。</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1、我方承诺将严格遵守国家、地方政府有关安全生产及劳动保护的法律法规、标准、规定，贯彻执行</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人的各项安全管理规章制度。</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2、我方承诺将依法参加工伤保险，为安排至</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人从事本项目的工作人员缴纳保险费，并为从事危险作业的人员办理意外伤害保险。</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3、我方承诺服从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的安全管理，保证作业区域的现场文明安全管理达标，现场临时用电、机器设备、安全防护齐全、完好，并接受和配合</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的安全监督检查，我方提供到</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现场作业的所有安全装置、防护设施必须依据经</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审批后的安全技术方案进行搭设、安装，同时我方无条件保证安全防护设施使用的搭设材料的质量安全，在用于安全防护的物资进场前将有关物资的材质证明报</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，经</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确认后方可使用。</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4、我方承诺携带进场的机器设备、机具必须是合格产品，并对携带进场的机器设备、机具安全负责管理、维护及检查，对</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人所属设备、电器、管线及其他设施等，承诺事先征得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代表的同意，并采取安全防护措施。</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场所遵守</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人的一切规章制度和安全条例，服从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的监督。我方在提供服务过程中，如因违反</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相关规章制度、安全条例，或因不服从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监督而发生安全事故的，其结果与责任均由我方负责，</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无须承担任何结果与责任。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7、我方承诺协助和指导</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进行货物的储存，对</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8、我方车辆在</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场所行驶时，将严格遵守厂区道路限行，限速和限重要求，如因我方未遵守前述要求，对厂区/</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人（含其人员）、我方人员、第三方造成损失的，由我方承担赔偿责任。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10、因我方原因，造成我方损失，由我方自负，给</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造成财产损失和人员伤害，我方承担全部责任，并全额赔偿</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11、非因</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原因，造成我方损失的，</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无需承担任何责任，由我方自行承担全部责任。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12、我方承诺严格遵守法律法规以及</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的安全管理要求，并接受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主管领导。</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13、我方承诺接受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的检查与监督，并主动配合，做好安全工作，凡有违反上述条款的即视为我方违约，</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有权视情况从货物/服务价款中扣除（1000-2000）元/次作为违约金。</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如因我方违反上述条款造成安全生产事故的，我方将承担由此引发的一切责任与后果，如造成</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损失的，我方将予以足额赔偿。</w:t>
      </w:r>
    </w:p>
    <w:p>
      <w:pPr>
        <w:autoSpaceDE w:val="0"/>
        <w:autoSpaceDN w:val="0"/>
        <w:adjustRightInd w:val="0"/>
        <w:spacing w:line="360" w:lineRule="auto"/>
        <w:ind w:firstLine="504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pPr>
        <w:autoSpaceDE w:val="0"/>
        <w:autoSpaceDN w:val="0"/>
        <w:adjustRightInd w:val="0"/>
        <w:spacing w:line="360" w:lineRule="auto"/>
        <w:ind w:firstLine="50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法人公章）</w:t>
      </w:r>
    </w:p>
    <w:p>
      <w:pPr>
        <w:autoSpaceDE w:val="0"/>
        <w:autoSpaceDN w:val="0"/>
        <w:adjustRightInd w:val="0"/>
        <w:spacing w:line="360" w:lineRule="auto"/>
        <w:ind w:firstLine="504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日期：   年   月   日</w:t>
      </w:r>
    </w:p>
    <w:p>
      <w:pPr>
        <w:pStyle w:val="5"/>
        <w:pageBreakBefore/>
        <w:rPr>
          <w:rFonts w:hint="eastAsia" w:ascii="宋体" w:hAnsi="宋体" w:eastAsia="宋体" w:cs="宋体"/>
          <w:b/>
          <w:color w:val="auto"/>
          <w:sz w:val="32"/>
          <w:szCs w:val="32"/>
          <w:highlight w:val="none"/>
        </w:rPr>
      </w:pPr>
      <w:bookmarkStart w:id="510" w:name="_Toc79146598"/>
      <w:bookmarkStart w:id="511" w:name="_Toc3270"/>
      <w:bookmarkStart w:id="512" w:name="_Toc19153"/>
      <w:bookmarkStart w:id="513" w:name="_Toc54334005"/>
      <w:bookmarkStart w:id="514" w:name="_Toc1123951"/>
      <w:bookmarkStart w:id="515" w:name="_Toc19008824"/>
      <w:bookmarkStart w:id="516" w:name="_Toc14689"/>
      <w:bookmarkStart w:id="517" w:name="_Toc495907132"/>
      <w:bookmarkStart w:id="518" w:name="_Toc16943"/>
      <w:bookmarkStart w:id="519" w:name="_Toc56076624"/>
      <w:bookmarkStart w:id="520" w:name="_Toc490169463"/>
      <w:bookmarkStart w:id="521" w:name="_Toc5098069"/>
      <w:bookmarkStart w:id="522" w:name="_Toc8924"/>
      <w:bookmarkStart w:id="523" w:name="_Toc521918116"/>
      <w:bookmarkStart w:id="524" w:name="_Toc497746560"/>
      <w:bookmarkStart w:id="525" w:name="_Toc20459"/>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、首次报价表格式</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jc w:val="left"/>
        <w:rPr>
          <w:rFonts w:hint="eastAsia" w:ascii="宋体" w:hAnsi="宋体" w:eastAsia="宋体" w:cs="宋体"/>
          <w:b/>
          <w:bCs/>
          <w:color w:val="auto"/>
          <w:kern w:val="2"/>
          <w:sz w:val="30"/>
          <w:szCs w:val="30"/>
          <w:highlight w:val="none"/>
          <w:lang w:val="zh-CN"/>
        </w:rPr>
      </w:pPr>
      <w:bookmarkStart w:id="526" w:name="_Toc2395_WPSOffice_Level3"/>
      <w:bookmarkStart w:id="527" w:name="_Toc1294"/>
      <w:bookmarkStart w:id="528" w:name="_Toc142508367"/>
      <w:bookmarkStart w:id="529" w:name="_Toc140596926"/>
      <w:bookmarkStart w:id="530" w:name="_Toc104991873"/>
      <w:bookmarkStart w:id="531" w:name="_Toc94107207"/>
      <w:bookmarkStart w:id="532" w:name="_Toc102860416"/>
      <w:bookmarkStart w:id="533" w:name="_Toc24175"/>
      <w:bookmarkStart w:id="534" w:name="_Toc102860072"/>
      <w:bookmarkStart w:id="535" w:name="_Toc15425"/>
      <w:bookmarkStart w:id="536" w:name="_Toc522047376"/>
      <w:bookmarkStart w:id="537" w:name="_Toc521576296"/>
      <w:bookmarkStart w:id="538" w:name="_Toc521918117"/>
      <w:bookmarkStart w:id="539" w:name="_Toc532576763"/>
      <w:bookmarkStart w:id="540" w:name="_Toc519153435"/>
      <w:bookmarkStart w:id="541" w:name="_Toc521918314"/>
      <w:r>
        <w:rPr>
          <w:rFonts w:hint="eastAsia" w:ascii="宋体" w:hAnsi="宋体" w:eastAsia="宋体" w:cs="宋体"/>
          <w:b/>
          <w:bCs/>
          <w:color w:val="auto"/>
          <w:kern w:val="2"/>
          <w:sz w:val="30"/>
          <w:szCs w:val="30"/>
          <w:highlight w:val="none"/>
          <w:lang w:val="zh-CN"/>
        </w:rPr>
        <w:t>4.1 投标报价表</w:t>
      </w:r>
      <w:bookmarkEnd w:id="526"/>
      <w:bookmarkEnd w:id="527"/>
      <w:bookmarkEnd w:id="528"/>
      <w:bookmarkEnd w:id="529"/>
      <w:bookmarkEnd w:id="530"/>
      <w:bookmarkEnd w:id="531"/>
      <w:bookmarkEnd w:id="532"/>
      <w:bookmarkEnd w:id="533"/>
      <w:bookmarkEnd w:id="534"/>
      <w:bookmarkEnd w:id="535"/>
    </w:p>
    <w:p>
      <w:pPr>
        <w:spacing w:line="360" w:lineRule="auto"/>
        <w:jc w:val="center"/>
        <w:rPr>
          <w:rFonts w:hint="eastAsia" w:ascii="宋体" w:hAnsi="宋体" w:eastAsia="宋体" w:cs="宋体"/>
          <w:b/>
          <w:bCs/>
          <w:color w:val="auto"/>
          <w:kern w:val="2"/>
          <w:sz w:val="30"/>
          <w:szCs w:val="30"/>
          <w:highlight w:val="none"/>
          <w:lang w:val="zh-CN"/>
        </w:rPr>
      </w:pPr>
    </w:p>
    <w:p>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首次报价</w:t>
      </w:r>
      <w:bookmarkEnd w:id="536"/>
      <w:bookmarkEnd w:id="537"/>
      <w:bookmarkEnd w:id="538"/>
      <w:bookmarkEnd w:id="539"/>
      <w:bookmarkEnd w:id="540"/>
      <w:bookmarkEnd w:id="541"/>
      <w:r>
        <w:rPr>
          <w:rFonts w:hint="eastAsia" w:ascii="宋体" w:hAnsi="宋体" w:eastAsia="宋体" w:cs="宋体"/>
          <w:b/>
          <w:bCs/>
          <w:color w:val="auto"/>
          <w:kern w:val="2"/>
          <w:sz w:val="30"/>
          <w:szCs w:val="30"/>
          <w:highlight w:val="none"/>
          <w:lang w:val="zh-CN"/>
        </w:rPr>
        <w:t>表</w:t>
      </w:r>
    </w:p>
    <w:p>
      <w:pPr>
        <w:pStyle w:val="32"/>
        <w:spacing w:line="360" w:lineRule="auto"/>
        <w:ind w:left="1054" w:hanging="1054" w:hangingChars="5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u w:val="single"/>
          <w:lang w:eastAsia="zh-CN"/>
        </w:rPr>
        <w:t>东莞市污泥处理处置过程数据管理系统采购项目</w:t>
      </w:r>
    </w:p>
    <w:p>
      <w:pPr>
        <w:pStyle w:val="32"/>
        <w:spacing w:line="360" w:lineRule="auto"/>
        <w:rPr>
          <w:rFonts w:hint="eastAsia" w:ascii="宋体" w:hAnsi="宋体" w:eastAsia="宋体" w:cs="宋体"/>
          <w:b w:val="0"/>
          <w:color w:val="auto"/>
          <w:sz w:val="21"/>
          <w:szCs w:val="21"/>
          <w:highlight w:val="none"/>
          <w:u w:val="single"/>
          <w:lang w:eastAsia="zh-CN"/>
        </w:rPr>
      </w:pPr>
      <w:r>
        <w:rPr>
          <w:rFonts w:hint="eastAsia" w:ascii="宋体" w:hAnsi="宋体" w:eastAsia="宋体" w:cs="宋体"/>
          <w:b/>
          <w:color w:val="auto"/>
          <w:sz w:val="21"/>
          <w:szCs w:val="21"/>
          <w:highlight w:val="none"/>
        </w:rPr>
        <w:t>采购编号：</w:t>
      </w:r>
      <w:r>
        <w:rPr>
          <w:rFonts w:hint="eastAsia" w:ascii="宋体" w:hAnsi="宋体" w:eastAsia="宋体" w:cs="宋体"/>
          <w:b w:val="0"/>
          <w:color w:val="auto"/>
          <w:sz w:val="21"/>
          <w:szCs w:val="21"/>
          <w:highlight w:val="none"/>
          <w:u w:val="single"/>
          <w:lang w:eastAsia="zh-CN"/>
        </w:rPr>
        <w:t>ZYHJ-2024-0001</w:t>
      </w:r>
    </w:p>
    <w:tbl>
      <w:tblPr>
        <w:tblStyle w:val="55"/>
        <w:tblW w:w="480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3"/>
        <w:gridCol w:w="3314"/>
        <w:gridCol w:w="3359"/>
        <w:gridCol w:w="13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1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36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85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36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名称</w:t>
            </w:r>
          </w:p>
        </w:tc>
        <w:tc>
          <w:tcPr>
            <w:tcW w:w="188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36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响应</w:t>
            </w:r>
            <w:r>
              <w:rPr>
                <w:rFonts w:hint="eastAsia" w:ascii="宋体" w:hAnsi="宋体" w:eastAsia="宋体" w:cs="宋体"/>
                <w:b/>
                <w:color w:val="auto"/>
                <w:kern w:val="0"/>
                <w:sz w:val="21"/>
                <w:szCs w:val="21"/>
                <w:highlight w:val="none"/>
              </w:rPr>
              <w:t>报价（不含销项税）</w:t>
            </w:r>
          </w:p>
        </w:tc>
        <w:tc>
          <w:tcPr>
            <w:tcW w:w="74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36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517" w:type="pct"/>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855" w:type="pct"/>
            <w:tcBorders>
              <w:top w:val="single" w:color="auto" w:sz="4" w:space="0"/>
              <w:left w:val="single" w:color="auto" w:sz="4" w:space="0"/>
              <w:right w:val="single" w:color="auto" w:sz="4" w:space="0"/>
            </w:tcBorders>
            <w:vAlign w:val="center"/>
          </w:tcPr>
          <w:p>
            <w:pPr>
              <w:keepNext w:val="0"/>
              <w:keepLines w:val="0"/>
              <w:suppressLineNumbers w:val="0"/>
              <w:autoSpaceDE w:val="0"/>
              <w:autoSpaceDN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东莞市污泥处理处置过程数据管理系统采购项目</w:t>
            </w:r>
          </w:p>
        </w:tc>
        <w:tc>
          <w:tcPr>
            <w:tcW w:w="1880" w:type="pct"/>
            <w:tcBorders>
              <w:top w:val="single" w:color="auto" w:sz="4" w:space="0"/>
              <w:left w:val="single" w:color="auto" w:sz="4" w:space="0"/>
              <w:right w:val="single" w:color="auto" w:sz="4" w:space="0"/>
            </w:tcBorders>
            <w:vAlign w:val="center"/>
          </w:tcPr>
          <w:p>
            <w:pPr>
              <w:keepNext w:val="0"/>
              <w:keepLines w:val="0"/>
              <w:suppressLineNumbers w:val="0"/>
              <w:tabs>
                <w:tab w:val="left" w:pos="8610"/>
              </w:tabs>
              <w:autoSpaceDE/>
              <w:autoSpaceDN/>
              <w:adjustRightInd/>
              <w:spacing w:before="0" w:beforeAutospacing="0" w:after="0" w:afterAutospacing="0" w:line="360" w:lineRule="auto"/>
              <w:ind w:left="0" w:right="0" w:firstLine="840" w:firstLineChars="400"/>
              <w:jc w:val="both"/>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lang w:val="zh-CN"/>
              </w:rPr>
              <w:t>元</w:t>
            </w:r>
          </w:p>
        </w:tc>
        <w:tc>
          <w:tcPr>
            <w:tcW w:w="746" w:type="pct"/>
            <w:tcBorders>
              <w:top w:val="single" w:color="auto" w:sz="4" w:space="0"/>
              <w:left w:val="single" w:color="auto" w:sz="4" w:space="0"/>
              <w:right w:val="single" w:color="auto" w:sz="4" w:space="0"/>
            </w:tcBorders>
            <w:vAlign w:val="center"/>
          </w:tcPr>
          <w:p>
            <w:pPr>
              <w:keepNext w:val="0"/>
              <w:keepLines w:val="0"/>
              <w:suppressLineNumbers w:val="0"/>
              <w:tabs>
                <w:tab w:val="left" w:pos="8610"/>
              </w:tabs>
              <w:autoSpaceDE/>
              <w:autoSpaceDN/>
              <w:adjustRightInd/>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bl>
    <w:p>
      <w:pPr>
        <w:pStyle w:val="32"/>
        <w:spacing w:line="360" w:lineRule="auto"/>
        <w:rPr>
          <w:rFonts w:hint="eastAsia" w:ascii="宋体" w:hAnsi="宋体" w:eastAsia="宋体" w:cs="宋体"/>
          <w:b w:val="0"/>
          <w:color w:val="auto"/>
          <w:sz w:val="21"/>
          <w:szCs w:val="21"/>
          <w:highlight w:val="none"/>
          <w:u w:val="single"/>
          <w:lang w:eastAsia="zh-CN"/>
        </w:rPr>
      </w:pPr>
    </w:p>
    <w:p>
      <w:pPr>
        <w:pStyle w:val="32"/>
        <w:spacing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pPr>
        <w:autoSpaceDE w:val="0"/>
        <w:autoSpaceDN w:val="0"/>
        <w:adjustRightInd w:val="0"/>
        <w:snapToGrid w:val="0"/>
        <w:spacing w:line="360" w:lineRule="auto"/>
        <w:ind w:left="612" w:leftChars="18" w:hanging="569" w:hangingChars="270"/>
        <w:jc w:val="left"/>
        <w:outlineLvl w:val="9"/>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备注：</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kern w:val="0"/>
          <w:sz w:val="21"/>
          <w:szCs w:val="21"/>
          <w:highlight w:val="none"/>
          <w:u w:val="none"/>
        </w:rPr>
      </w:pPr>
      <w:r>
        <w:rPr>
          <w:rFonts w:hint="eastAsia" w:ascii="宋体" w:hAnsi="宋体" w:eastAsia="宋体" w:cs="宋体"/>
          <w:b w:val="0"/>
          <w:bCs/>
          <w:color w:val="auto"/>
          <w:kern w:val="0"/>
          <w:sz w:val="21"/>
          <w:szCs w:val="21"/>
          <w:highlight w:val="none"/>
          <w:u w:val="none"/>
        </w:rPr>
        <w:t>（1）</w:t>
      </w:r>
      <w:r>
        <w:rPr>
          <w:rFonts w:hint="eastAsia" w:ascii="宋体" w:hAnsi="宋体" w:eastAsia="宋体" w:cs="宋体"/>
          <w:b/>
          <w:color w:val="auto"/>
          <w:kern w:val="0"/>
          <w:sz w:val="21"/>
          <w:szCs w:val="21"/>
          <w:highlight w:val="none"/>
          <w:u w:val="single"/>
        </w:rPr>
        <w:t>本项目响应报价为不含税价，即为《中华人民共和国增值税暂行条例》（国务院令第691号修订版）规定的销售额</w:t>
      </w:r>
      <w:r>
        <w:rPr>
          <w:rFonts w:hint="eastAsia" w:ascii="宋体" w:hAnsi="宋体" w:eastAsia="宋体" w:cs="宋体"/>
          <w:b/>
          <w:color w:val="auto"/>
          <w:kern w:val="0"/>
          <w:sz w:val="21"/>
          <w:szCs w:val="21"/>
          <w:highlight w:val="none"/>
          <w:u w:val="none"/>
        </w:rPr>
        <w:t>。</w:t>
      </w:r>
      <w:r>
        <w:rPr>
          <w:rFonts w:hint="eastAsia" w:ascii="宋体" w:hAnsi="宋体" w:eastAsia="宋体" w:cs="宋体"/>
          <w:b w:val="0"/>
          <w:bCs/>
          <w:color w:val="auto"/>
          <w:kern w:val="0"/>
          <w:sz w:val="21"/>
          <w:szCs w:val="21"/>
          <w:highlight w:val="none"/>
          <w:u w:val="none"/>
        </w:rPr>
        <w:t>本竞争性磋商文件所称的不含税价是指不含本采购项目的</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销项税额，包含了</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完成合同义务（含</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代缴代扣、分包及委外服务、施工、采购货物等所产生的价税）的其他全部费用。</w:t>
      </w:r>
      <w:r>
        <w:rPr>
          <w:rFonts w:hint="eastAsia" w:ascii="宋体" w:hAnsi="宋体" w:eastAsia="宋体" w:cs="宋体"/>
          <w:b w:val="0"/>
          <w:bCs/>
          <w:color w:val="auto"/>
          <w:kern w:val="0"/>
          <w:sz w:val="21"/>
          <w:szCs w:val="21"/>
          <w:highlight w:val="none"/>
          <w:u w:val="none"/>
          <w:lang w:val="zh-CN"/>
        </w:rPr>
        <w:t>本采购项目的销项税额由</w:t>
      </w:r>
      <w:r>
        <w:rPr>
          <w:rFonts w:hint="eastAsia" w:ascii="宋体" w:hAnsi="宋体" w:eastAsia="宋体" w:cs="宋体"/>
          <w:b w:val="0"/>
          <w:bCs/>
          <w:color w:val="auto"/>
          <w:kern w:val="0"/>
          <w:sz w:val="21"/>
          <w:szCs w:val="21"/>
          <w:highlight w:val="none"/>
          <w:u w:val="none"/>
          <w:lang w:val="en-US" w:eastAsia="zh-CN"/>
        </w:rPr>
        <w:t>采购人</w:t>
      </w:r>
      <w:r>
        <w:rPr>
          <w:rFonts w:hint="eastAsia" w:ascii="宋体" w:hAnsi="宋体" w:eastAsia="宋体" w:cs="宋体"/>
          <w:b w:val="0"/>
          <w:bCs/>
          <w:color w:val="auto"/>
          <w:kern w:val="0"/>
          <w:sz w:val="21"/>
          <w:szCs w:val="21"/>
          <w:highlight w:val="none"/>
          <w:u w:val="none"/>
          <w:lang w:val="zh-CN"/>
        </w:rPr>
        <w:t>承担</w:t>
      </w:r>
      <w:r>
        <w:rPr>
          <w:rFonts w:hint="eastAsia" w:ascii="宋体" w:hAnsi="宋体" w:eastAsia="宋体" w:cs="宋体"/>
          <w:b w:val="0"/>
          <w:bCs/>
          <w:color w:val="auto"/>
          <w:kern w:val="0"/>
          <w:sz w:val="21"/>
          <w:szCs w:val="21"/>
          <w:highlight w:val="none"/>
          <w:u w:val="none"/>
        </w:rPr>
        <w:t>，不计入</w:t>
      </w:r>
      <w:r>
        <w:rPr>
          <w:rFonts w:hint="eastAsia" w:ascii="宋体" w:hAnsi="宋体" w:eastAsia="宋体" w:cs="宋体"/>
          <w:b w:val="0"/>
          <w:bCs/>
          <w:color w:val="auto"/>
          <w:kern w:val="0"/>
          <w:sz w:val="21"/>
          <w:szCs w:val="21"/>
          <w:highlight w:val="none"/>
          <w:u w:val="none"/>
          <w:lang w:val="en-US" w:eastAsia="zh-CN"/>
        </w:rPr>
        <w:t>响应</w:t>
      </w:r>
      <w:r>
        <w:rPr>
          <w:rFonts w:hint="eastAsia" w:ascii="宋体" w:hAnsi="宋体" w:eastAsia="宋体" w:cs="宋体"/>
          <w:b w:val="0"/>
          <w:bCs/>
          <w:color w:val="auto"/>
          <w:kern w:val="0"/>
          <w:sz w:val="21"/>
          <w:szCs w:val="21"/>
          <w:highlight w:val="none"/>
          <w:u w:val="none"/>
        </w:rPr>
        <w:t>报价。</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rPr>
        <w:t>的</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rPr>
        <w:t>报价</w:t>
      </w:r>
      <w:r>
        <w:rPr>
          <w:rFonts w:hint="eastAsia" w:ascii="宋体" w:hAnsi="宋体" w:eastAsia="宋体" w:cs="宋体"/>
          <w:b/>
          <w:bCs w:val="0"/>
          <w:color w:val="auto"/>
          <w:kern w:val="0"/>
          <w:sz w:val="21"/>
          <w:szCs w:val="21"/>
          <w:highlight w:val="none"/>
          <w:u w:val="single"/>
        </w:rPr>
        <w:t>高</w:t>
      </w:r>
      <w:r>
        <w:rPr>
          <w:rFonts w:hint="eastAsia" w:ascii="宋体" w:hAnsi="宋体" w:eastAsia="宋体" w:cs="宋体"/>
          <w:b/>
          <w:bCs w:val="0"/>
          <w:color w:val="auto"/>
          <w:sz w:val="21"/>
          <w:szCs w:val="21"/>
          <w:highlight w:val="none"/>
          <w:u w:val="single"/>
        </w:rPr>
        <w:t>于最高限价的，该</w:t>
      </w:r>
      <w:r>
        <w:rPr>
          <w:rFonts w:hint="eastAsia" w:ascii="宋体" w:hAnsi="宋体" w:eastAsia="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rPr>
        <w:t>的</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rPr>
        <w:t>文件将被视为无效</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val="0"/>
          <w:bCs/>
          <w:color w:val="auto"/>
          <w:sz w:val="21"/>
          <w:szCs w:val="21"/>
          <w:highlight w:val="none"/>
        </w:rPr>
        <w:t>。</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（3）对不同文字文本</w:t>
      </w:r>
      <w:r>
        <w:rPr>
          <w:rFonts w:hint="eastAsia" w:ascii="宋体" w:hAnsi="宋体" w:eastAsia="宋体" w:cs="宋体"/>
          <w:b w:val="0"/>
          <w:bCs/>
          <w:color w:val="auto"/>
          <w:sz w:val="21"/>
          <w:szCs w:val="21"/>
          <w:highlight w:val="none"/>
          <w:lang w:val="en-US" w:eastAsia="zh-CN"/>
        </w:rPr>
        <w:t>响应</w:t>
      </w:r>
      <w:r>
        <w:rPr>
          <w:rFonts w:hint="eastAsia" w:ascii="宋体" w:hAnsi="宋体" w:eastAsia="宋体" w:cs="宋体"/>
          <w:b w:val="0"/>
          <w:bCs/>
          <w:color w:val="auto"/>
          <w:sz w:val="21"/>
          <w:szCs w:val="21"/>
          <w:highlight w:val="none"/>
        </w:rPr>
        <w:t>文件的解释发生异议的，以中文文本为准。</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color w:val="auto"/>
          <w:sz w:val="21"/>
          <w:szCs w:val="21"/>
          <w:highlight w:val="none"/>
          <w:lang w:val="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zh-CN"/>
        </w:rPr>
        <w:t>）</w:t>
      </w:r>
      <w:r>
        <w:rPr>
          <w:rFonts w:hint="eastAsia" w:ascii="宋体" w:hAnsi="宋体" w:eastAsia="宋体" w:cs="宋体"/>
          <w:b/>
          <w:color w:val="auto"/>
          <w:sz w:val="21"/>
          <w:szCs w:val="21"/>
          <w:highlight w:val="none"/>
          <w:u w:val="single"/>
          <w:lang w:val="zh-CN"/>
        </w:rPr>
        <w:t>不含税</w:t>
      </w:r>
      <w:r>
        <w:rPr>
          <w:rFonts w:hint="eastAsia" w:ascii="宋体" w:hAnsi="宋体" w:eastAsia="宋体" w:cs="宋体"/>
          <w:b/>
          <w:color w:val="auto"/>
          <w:sz w:val="21"/>
          <w:szCs w:val="21"/>
          <w:highlight w:val="none"/>
          <w:u w:val="single"/>
          <w:lang w:val="en-US" w:eastAsia="zh-CN"/>
        </w:rPr>
        <w:t>响应报价</w:t>
      </w:r>
      <w:r>
        <w:rPr>
          <w:rFonts w:hint="eastAsia" w:ascii="宋体" w:hAnsi="宋体" w:eastAsia="宋体" w:cs="宋体"/>
          <w:b/>
          <w:color w:val="auto"/>
          <w:sz w:val="21"/>
          <w:szCs w:val="21"/>
          <w:highlight w:val="none"/>
          <w:u w:val="single"/>
          <w:lang w:val="zh-CN"/>
        </w:rPr>
        <w:t>为包干价，包括但不限于：1）</w:t>
      </w:r>
      <w:r>
        <w:rPr>
          <w:rFonts w:hint="eastAsia" w:ascii="宋体" w:hAnsi="宋体" w:eastAsia="宋体" w:cs="宋体"/>
          <w:b/>
          <w:bCs/>
          <w:color w:val="auto"/>
          <w:kern w:val="2"/>
          <w:sz w:val="21"/>
          <w:szCs w:val="21"/>
          <w:highlight w:val="none"/>
          <w:u w:val="single"/>
          <w:lang w:val="zh-CN" w:eastAsia="zh-CN"/>
        </w:rPr>
        <w:t>系统平台清单</w:t>
      </w:r>
      <w:r>
        <w:rPr>
          <w:rFonts w:hint="eastAsia" w:ascii="宋体" w:hAnsi="宋体" w:eastAsia="宋体" w:cs="宋体"/>
          <w:b/>
          <w:bCs/>
          <w:color w:val="auto"/>
          <w:kern w:val="2"/>
          <w:sz w:val="21"/>
          <w:szCs w:val="21"/>
          <w:highlight w:val="none"/>
          <w:u w:val="single"/>
          <w:lang w:val="zh-CN"/>
        </w:rPr>
        <w:t>范围内所有</w:t>
      </w:r>
      <w:r>
        <w:rPr>
          <w:rFonts w:hint="eastAsia" w:ascii="宋体" w:hAnsi="宋体" w:eastAsia="宋体" w:cs="宋体"/>
          <w:b/>
          <w:bCs/>
          <w:color w:val="auto"/>
          <w:kern w:val="2"/>
          <w:sz w:val="21"/>
          <w:szCs w:val="21"/>
          <w:highlight w:val="none"/>
          <w:u w:val="single"/>
          <w:lang w:val="zh-CN" w:eastAsia="zh-CN"/>
        </w:rPr>
        <w:t>软件</w:t>
      </w:r>
      <w:r>
        <w:rPr>
          <w:rFonts w:hint="eastAsia" w:ascii="宋体" w:hAnsi="宋体" w:eastAsia="宋体" w:cs="宋体"/>
          <w:b/>
          <w:bCs/>
          <w:color w:val="auto"/>
          <w:kern w:val="2"/>
          <w:sz w:val="21"/>
          <w:szCs w:val="21"/>
          <w:highlight w:val="none"/>
          <w:u w:val="single"/>
          <w:lang w:val="zh-CN"/>
        </w:rPr>
        <w:t>的</w:t>
      </w:r>
      <w:r>
        <w:rPr>
          <w:rFonts w:hint="eastAsia" w:ascii="宋体" w:hAnsi="宋体" w:eastAsia="宋体" w:cs="宋体"/>
          <w:b/>
          <w:bCs/>
          <w:color w:val="auto"/>
          <w:kern w:val="2"/>
          <w:sz w:val="21"/>
          <w:szCs w:val="21"/>
          <w:highlight w:val="none"/>
          <w:u w:val="single"/>
          <w:lang w:val="zh-CN" w:eastAsia="zh-CN"/>
        </w:rPr>
        <w:t>开发、设计、</w:t>
      </w:r>
      <w:r>
        <w:rPr>
          <w:rFonts w:hint="eastAsia" w:ascii="宋体" w:hAnsi="宋体" w:eastAsia="宋体" w:cs="宋体"/>
          <w:b/>
          <w:bCs/>
          <w:color w:val="auto"/>
          <w:kern w:val="2"/>
          <w:sz w:val="21"/>
          <w:szCs w:val="21"/>
          <w:highlight w:val="none"/>
          <w:u w:val="single"/>
          <w:lang w:val="zh-CN"/>
        </w:rPr>
        <w:t>制造、包装、运输（至项目现场甲方指定地点）、人工、保险费、安装、调试、验收、</w:t>
      </w:r>
      <w:r>
        <w:rPr>
          <w:rFonts w:hint="eastAsia" w:ascii="宋体" w:hAnsi="宋体" w:eastAsia="宋体" w:cs="宋体"/>
          <w:b/>
          <w:bCs/>
          <w:color w:val="auto"/>
          <w:kern w:val="2"/>
          <w:sz w:val="21"/>
          <w:szCs w:val="21"/>
          <w:highlight w:val="none"/>
          <w:u w:val="single"/>
          <w:lang w:val="en-US" w:eastAsia="zh-CN"/>
        </w:rPr>
        <w:t>培训</w:t>
      </w:r>
      <w:r>
        <w:rPr>
          <w:rFonts w:hint="eastAsia" w:ascii="宋体" w:hAnsi="宋体" w:eastAsia="宋体" w:cs="宋体"/>
          <w:b/>
          <w:bCs/>
          <w:color w:val="auto"/>
          <w:kern w:val="2"/>
          <w:sz w:val="21"/>
          <w:szCs w:val="21"/>
          <w:highlight w:val="none"/>
          <w:u w:val="single"/>
          <w:lang w:val="zh-CN" w:eastAsia="zh-CN"/>
        </w:rPr>
        <w:t>及第一年</w:t>
      </w:r>
      <w:r>
        <w:rPr>
          <w:rFonts w:hint="eastAsia" w:ascii="宋体" w:hAnsi="宋体" w:eastAsia="宋体" w:cs="宋体"/>
          <w:b/>
          <w:bCs/>
          <w:color w:val="auto"/>
          <w:kern w:val="2"/>
          <w:sz w:val="21"/>
          <w:szCs w:val="21"/>
          <w:highlight w:val="none"/>
          <w:u w:val="single"/>
          <w:lang w:val="zh-CN"/>
        </w:rPr>
        <w:t>的维护服务</w:t>
      </w:r>
      <w:r>
        <w:rPr>
          <w:rFonts w:hint="eastAsia" w:ascii="宋体" w:hAnsi="宋体" w:eastAsia="宋体" w:cs="宋体"/>
          <w:b/>
          <w:bCs/>
          <w:color w:val="auto"/>
          <w:kern w:val="2"/>
          <w:sz w:val="21"/>
          <w:szCs w:val="21"/>
          <w:highlight w:val="none"/>
          <w:u w:val="single"/>
          <w:lang w:val="zh-CN" w:eastAsia="zh-CN"/>
        </w:rPr>
        <w:t>费（最终验收</w:t>
      </w:r>
      <w:r>
        <w:rPr>
          <w:rFonts w:hint="eastAsia" w:ascii="宋体" w:hAnsi="宋体" w:eastAsia="宋体" w:cs="宋体"/>
          <w:b/>
          <w:bCs/>
          <w:color w:val="auto"/>
          <w:kern w:val="2"/>
          <w:sz w:val="21"/>
          <w:szCs w:val="21"/>
          <w:highlight w:val="none"/>
          <w:u w:val="single"/>
          <w:lang w:val="en-US" w:eastAsia="zh-CN"/>
        </w:rPr>
        <w:t>合格</w:t>
      </w:r>
      <w:r>
        <w:rPr>
          <w:rFonts w:hint="eastAsia" w:ascii="宋体" w:hAnsi="宋体" w:eastAsia="宋体" w:cs="宋体"/>
          <w:b/>
          <w:bCs/>
          <w:color w:val="auto"/>
          <w:kern w:val="2"/>
          <w:sz w:val="21"/>
          <w:szCs w:val="21"/>
          <w:highlight w:val="none"/>
          <w:u w:val="single"/>
          <w:lang w:val="zh-CN"/>
        </w:rPr>
        <w:t>确认之日起计</w:t>
      </w:r>
      <w:r>
        <w:rPr>
          <w:rFonts w:hint="eastAsia" w:ascii="宋体" w:hAnsi="宋体" w:eastAsia="宋体" w:cs="宋体"/>
          <w:b/>
          <w:bCs/>
          <w:color w:val="auto"/>
          <w:kern w:val="2"/>
          <w:sz w:val="21"/>
          <w:szCs w:val="21"/>
          <w:highlight w:val="none"/>
          <w:u w:val="single"/>
          <w:lang w:val="zh-CN" w:eastAsia="zh-CN"/>
        </w:rPr>
        <w:t>）等</w:t>
      </w:r>
      <w:r>
        <w:rPr>
          <w:rFonts w:hint="eastAsia" w:ascii="宋体" w:hAnsi="宋体" w:eastAsia="宋体" w:cs="宋体"/>
          <w:b/>
          <w:bCs/>
          <w:color w:val="auto"/>
          <w:kern w:val="2"/>
          <w:sz w:val="21"/>
          <w:szCs w:val="21"/>
          <w:highlight w:val="none"/>
          <w:u w:val="single"/>
          <w:lang w:val="zh-CN"/>
        </w:rPr>
        <w:t>费用</w:t>
      </w:r>
      <w:r>
        <w:rPr>
          <w:rFonts w:hint="eastAsia" w:ascii="宋体" w:hAnsi="宋体" w:eastAsia="宋体" w:cs="宋体"/>
          <w:b/>
          <w:bCs/>
          <w:color w:val="auto"/>
          <w:kern w:val="2"/>
          <w:sz w:val="21"/>
          <w:szCs w:val="21"/>
          <w:highlight w:val="none"/>
          <w:u w:val="single"/>
          <w:lang w:val="en-US" w:eastAsia="zh-CN"/>
        </w:rPr>
        <w:t>；2</w:t>
      </w:r>
      <w:r>
        <w:rPr>
          <w:rFonts w:hint="eastAsia" w:ascii="宋体" w:hAnsi="宋体" w:eastAsia="宋体" w:cs="宋体"/>
          <w:b/>
          <w:bCs/>
          <w:color w:val="auto"/>
          <w:kern w:val="2"/>
          <w:sz w:val="21"/>
          <w:szCs w:val="21"/>
          <w:highlight w:val="none"/>
          <w:u w:val="single"/>
          <w:lang w:val="zh-CN"/>
        </w:rPr>
        <w:t>）合同货物及其工艺所有制造方、使用方应支付的对专利权和版权、设计或其他知识产权而需要向其他方支付的费用及版税</w:t>
      </w:r>
      <w:r>
        <w:rPr>
          <w:rFonts w:hint="eastAsia" w:ascii="宋体" w:hAnsi="宋体" w:eastAsia="宋体" w:cs="宋体"/>
          <w:b/>
          <w:bCs/>
          <w:color w:val="auto"/>
          <w:kern w:val="2"/>
          <w:sz w:val="21"/>
          <w:szCs w:val="21"/>
          <w:highlight w:val="none"/>
          <w:u w:val="single"/>
          <w:lang w:val="en-US" w:eastAsia="zh-CN"/>
        </w:rPr>
        <w:t>及合同实施过程的应预见和不可预见费；3）</w:t>
      </w:r>
      <w:r>
        <w:rPr>
          <w:rFonts w:hint="eastAsia" w:ascii="宋体" w:hAnsi="宋体" w:eastAsia="宋体" w:cs="宋体"/>
          <w:b/>
          <w:bCs/>
          <w:color w:val="auto"/>
          <w:kern w:val="2"/>
          <w:sz w:val="21"/>
          <w:szCs w:val="21"/>
          <w:highlight w:val="none"/>
          <w:u w:val="single"/>
          <w:lang w:val="zh-CN"/>
        </w:rPr>
        <w:t>合理利润、</w:t>
      </w:r>
      <w:r>
        <w:rPr>
          <w:rFonts w:hint="eastAsia" w:ascii="宋体" w:hAnsi="宋体" w:eastAsia="宋体" w:cs="宋体"/>
          <w:b/>
          <w:bCs/>
          <w:color w:val="auto"/>
          <w:kern w:val="2"/>
          <w:sz w:val="21"/>
          <w:szCs w:val="21"/>
          <w:highlight w:val="none"/>
          <w:u w:val="single"/>
          <w:lang w:val="en-US" w:eastAsia="zh-CN"/>
        </w:rPr>
        <w:t>成交人</w:t>
      </w:r>
      <w:r>
        <w:rPr>
          <w:rFonts w:hint="eastAsia" w:ascii="宋体" w:hAnsi="宋体" w:eastAsia="宋体" w:cs="宋体"/>
          <w:b/>
          <w:bCs/>
          <w:color w:val="auto"/>
          <w:kern w:val="2"/>
          <w:sz w:val="21"/>
          <w:szCs w:val="21"/>
          <w:highlight w:val="none"/>
          <w:u w:val="single"/>
          <w:lang w:val="zh-CN"/>
        </w:rPr>
        <w:t>销项税额以外的税费等；</w:t>
      </w:r>
      <w:r>
        <w:rPr>
          <w:rFonts w:hint="eastAsia" w:ascii="宋体" w:hAnsi="宋体" w:eastAsia="宋体" w:cs="宋体"/>
          <w:b/>
          <w:bCs/>
          <w:color w:val="auto"/>
          <w:kern w:val="2"/>
          <w:sz w:val="21"/>
          <w:szCs w:val="21"/>
          <w:highlight w:val="none"/>
          <w:u w:val="single"/>
          <w:lang w:val="en-US" w:eastAsia="zh-CN"/>
        </w:rPr>
        <w:t>4</w:t>
      </w:r>
      <w:r>
        <w:rPr>
          <w:rFonts w:hint="eastAsia" w:ascii="宋体" w:hAnsi="宋体" w:eastAsia="宋体" w:cs="宋体"/>
          <w:b/>
          <w:color w:val="auto"/>
          <w:sz w:val="21"/>
          <w:szCs w:val="21"/>
          <w:highlight w:val="none"/>
          <w:u w:val="single"/>
          <w:lang w:val="zh-CN"/>
        </w:rPr>
        <w:t>）</w:t>
      </w:r>
      <w:r>
        <w:rPr>
          <w:rFonts w:hint="eastAsia" w:ascii="宋体" w:hAnsi="宋体" w:eastAsia="宋体" w:cs="宋体"/>
          <w:b/>
          <w:bCs/>
          <w:color w:val="auto"/>
          <w:kern w:val="2"/>
          <w:sz w:val="21"/>
          <w:szCs w:val="21"/>
          <w:highlight w:val="none"/>
          <w:u w:val="single"/>
          <w:lang w:val="zh-CN"/>
        </w:rPr>
        <w:t>法律法规、商业公认、</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文件规定由</w:t>
      </w:r>
      <w:r>
        <w:rPr>
          <w:rFonts w:hint="eastAsia" w:ascii="宋体" w:hAnsi="宋体" w:eastAsia="宋体" w:cs="宋体"/>
          <w:b/>
          <w:bCs/>
          <w:color w:val="auto"/>
          <w:kern w:val="2"/>
          <w:sz w:val="21"/>
          <w:szCs w:val="21"/>
          <w:highlight w:val="none"/>
          <w:u w:val="single"/>
          <w:lang w:val="en-US" w:eastAsia="zh-CN"/>
        </w:rPr>
        <w:t>成交人</w:t>
      </w:r>
      <w:r>
        <w:rPr>
          <w:rFonts w:hint="eastAsia" w:ascii="宋体" w:hAnsi="宋体" w:eastAsia="宋体" w:cs="宋体"/>
          <w:b/>
          <w:bCs/>
          <w:color w:val="auto"/>
          <w:kern w:val="2"/>
          <w:sz w:val="21"/>
          <w:szCs w:val="21"/>
          <w:highlight w:val="none"/>
          <w:u w:val="single"/>
          <w:lang w:val="zh-CN"/>
        </w:rPr>
        <w:t>承担的其他直接及间接费用</w:t>
      </w:r>
      <w:r>
        <w:rPr>
          <w:rFonts w:hint="eastAsia" w:ascii="宋体" w:hAnsi="宋体" w:eastAsia="宋体" w:cs="宋体"/>
          <w:b/>
          <w:color w:val="auto"/>
          <w:sz w:val="21"/>
          <w:szCs w:val="21"/>
          <w:highlight w:val="none"/>
          <w:u w:val="single"/>
          <w:lang w:val="zh-CN"/>
        </w:rPr>
        <w:t>。未经采购人书面同意，成交人（包括但不限于成交人指定的第三方）不得要求采购人另行支付其他任何费用</w:t>
      </w:r>
      <w:r>
        <w:rPr>
          <w:rFonts w:hint="eastAsia" w:ascii="宋体" w:hAnsi="宋体" w:eastAsia="宋体" w:cs="宋体"/>
          <w:b/>
          <w:color w:val="auto"/>
          <w:sz w:val="21"/>
          <w:szCs w:val="21"/>
          <w:highlight w:val="none"/>
          <w:lang w:val="zh-CN"/>
        </w:rPr>
        <w:t>。</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lang w:val="zh-CN"/>
        </w:rPr>
        <w:t>）</w:t>
      </w:r>
      <w:r>
        <w:rPr>
          <w:rFonts w:hint="eastAsia" w:ascii="宋体" w:hAnsi="宋体" w:eastAsia="宋体" w:cs="宋体"/>
          <w:b/>
          <w:bCs w:val="0"/>
          <w:color w:val="auto"/>
          <w:kern w:val="0"/>
          <w:sz w:val="21"/>
          <w:szCs w:val="21"/>
          <w:highlight w:val="none"/>
          <w:u w:val="single"/>
          <w:lang w:val="zh-CN"/>
        </w:rPr>
        <w:t>本表一式</w:t>
      </w:r>
      <w:r>
        <w:rPr>
          <w:rFonts w:hint="eastAsia" w:ascii="宋体" w:hAnsi="宋体" w:eastAsia="宋体" w:cs="宋体"/>
          <w:b/>
          <w:bCs w:val="0"/>
          <w:color w:val="auto"/>
          <w:kern w:val="0"/>
          <w:sz w:val="21"/>
          <w:szCs w:val="21"/>
          <w:highlight w:val="none"/>
          <w:u w:val="single"/>
          <w:lang w:val="en-US" w:eastAsia="zh-CN"/>
        </w:rPr>
        <w:t>一</w:t>
      </w:r>
      <w:r>
        <w:rPr>
          <w:rFonts w:hint="eastAsia" w:ascii="宋体" w:hAnsi="宋体" w:eastAsia="宋体" w:cs="宋体"/>
          <w:b/>
          <w:bCs w:val="0"/>
          <w:color w:val="auto"/>
          <w:kern w:val="0"/>
          <w:sz w:val="21"/>
          <w:szCs w:val="21"/>
          <w:highlight w:val="none"/>
          <w:u w:val="single"/>
          <w:lang w:val="zh-CN"/>
        </w:rPr>
        <w:t>份，编入响应文件商务文件</w:t>
      </w:r>
      <w:r>
        <w:rPr>
          <w:rFonts w:hint="eastAsia" w:ascii="宋体" w:hAnsi="宋体" w:eastAsia="宋体" w:cs="宋体"/>
          <w:b/>
          <w:bCs w:val="0"/>
          <w:color w:val="auto"/>
          <w:kern w:val="0"/>
          <w:sz w:val="21"/>
          <w:szCs w:val="21"/>
          <w:highlight w:val="none"/>
          <w:u w:val="single"/>
          <w:lang w:val="en-US" w:eastAsia="zh-CN"/>
        </w:rPr>
        <w:t>一起提交</w:t>
      </w:r>
      <w:r>
        <w:rPr>
          <w:rFonts w:hint="eastAsia" w:ascii="宋体" w:hAnsi="宋体" w:eastAsia="宋体" w:cs="宋体"/>
          <w:bCs/>
          <w:color w:val="auto"/>
          <w:kern w:val="0"/>
          <w:sz w:val="21"/>
          <w:szCs w:val="21"/>
          <w:highlight w:val="none"/>
          <w:lang w:val="zh-CN"/>
        </w:rPr>
        <w:t>。</w:t>
      </w:r>
    </w:p>
    <w:p>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lang w:val="zh-CN"/>
        </w:rPr>
        <w:t>）</w:t>
      </w:r>
      <w:r>
        <w:rPr>
          <w:rFonts w:hint="eastAsia" w:ascii="宋体" w:hAnsi="宋体" w:eastAsia="宋体" w:cs="宋体"/>
          <w:color w:val="auto"/>
          <w:kern w:val="0"/>
          <w:sz w:val="21"/>
          <w:szCs w:val="21"/>
          <w:highlight w:val="none"/>
        </w:rPr>
        <w:t>报价保留小数点后两位。</w:t>
      </w:r>
    </w:p>
    <w:p>
      <w:pPr>
        <w:spacing w:line="360" w:lineRule="auto"/>
        <w:ind w:firstLine="3544"/>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pPr>
        <w:spacing w:line="360" w:lineRule="auto"/>
        <w:ind w:firstLine="3544"/>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pPr>
        <w:spacing w:line="360" w:lineRule="auto"/>
        <w:ind w:firstLine="3544"/>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 xml:space="preserve">日期：   年    月   日 </w:t>
      </w:r>
    </w:p>
    <w:p>
      <w:pPr>
        <w:pStyle w:val="2"/>
        <w:rPr>
          <w:rFonts w:hint="eastAsia" w:ascii="宋体" w:hAnsi="宋体" w:eastAsia="宋体" w:cs="宋体"/>
          <w:color w:val="auto"/>
          <w:kern w:val="2"/>
          <w:sz w:val="21"/>
          <w:highlight w:val="none"/>
        </w:rPr>
        <w:sectPr>
          <w:headerReference r:id="rId8" w:type="first"/>
          <w:footerReference r:id="rId10" w:type="first"/>
          <w:footerReference r:id="rId9"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p>
      <w:pPr>
        <w:pStyle w:val="5"/>
        <w:rPr>
          <w:rFonts w:hint="eastAsia" w:ascii="宋体" w:hAnsi="宋体" w:eastAsia="宋体" w:cs="宋体"/>
          <w:b/>
          <w:color w:val="auto"/>
          <w:sz w:val="32"/>
          <w:szCs w:val="32"/>
          <w:highlight w:val="none"/>
        </w:rPr>
      </w:pPr>
      <w:bookmarkStart w:id="542" w:name="_Toc27788"/>
      <w:bookmarkStart w:id="543" w:name="_Toc56076625"/>
      <w:bookmarkStart w:id="544" w:name="_Toc25342"/>
      <w:bookmarkStart w:id="545" w:name="_Toc18720"/>
      <w:bookmarkStart w:id="546" w:name="_Toc54334008"/>
      <w:bookmarkStart w:id="547" w:name="_Toc8153"/>
      <w:bookmarkStart w:id="548" w:name="_Toc79146599"/>
      <w:bookmarkStart w:id="549" w:name="_Toc12569"/>
      <w:bookmarkStart w:id="550" w:name="_Toc26644"/>
      <w:bookmarkStart w:id="551" w:name="_Toc495907133"/>
      <w:bookmarkStart w:id="552" w:name="_Toc497746561"/>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资格证明文件</w:t>
      </w:r>
      <w:bookmarkEnd w:id="542"/>
      <w:bookmarkEnd w:id="543"/>
      <w:bookmarkEnd w:id="544"/>
      <w:bookmarkEnd w:id="545"/>
      <w:bookmarkEnd w:id="546"/>
      <w:bookmarkEnd w:id="547"/>
      <w:bookmarkEnd w:id="548"/>
      <w:bookmarkEnd w:id="549"/>
      <w:bookmarkEnd w:id="550"/>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bookmarkStart w:id="553" w:name="_Toc40288701"/>
      <w:bookmarkStart w:id="554" w:name="_Toc5098071"/>
      <w:bookmarkStart w:id="555" w:name="_Toc521918123"/>
      <w:bookmarkStart w:id="556" w:name="_Toc522047382"/>
      <w:bookmarkStart w:id="557" w:name="_Toc521576302"/>
      <w:bookmarkStart w:id="558" w:name="_Toc521918320"/>
      <w:bookmarkStart w:id="559" w:name="_Toc79146600"/>
      <w:bookmarkStart w:id="560" w:name="_Toc38982592"/>
      <w:bookmarkStart w:id="561" w:name="_Toc532576766"/>
      <w:bookmarkStart w:id="562" w:name="_Toc1123953"/>
      <w:bookmarkStart w:id="563" w:name="_Toc54334009"/>
      <w:bookmarkStart w:id="564" w:name="_Toc519153441"/>
      <w:bookmarkStart w:id="565" w:name="_Toc19008826"/>
      <w:bookmarkStart w:id="566" w:name="_Toc56076626"/>
      <w:r>
        <w:rPr>
          <w:rFonts w:hint="eastAsia" w:ascii="宋体" w:hAnsi="宋体" w:eastAsia="宋体" w:cs="宋体"/>
          <w:b/>
          <w:color w:val="auto"/>
          <w:kern w:val="2"/>
          <w:sz w:val="30"/>
          <w:szCs w:val="30"/>
          <w:highlight w:val="none"/>
          <w:lang w:val="en-US" w:eastAsia="zh-CN"/>
        </w:rPr>
        <w:t>5.1 多证合一营业执照（或事业单位法人证书）复印件</w:t>
      </w:r>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567" w:name="_Toc519153444"/>
      <w:bookmarkStart w:id="568" w:name="_Toc521918126"/>
      <w:bookmarkStart w:id="569" w:name="_Toc5098073"/>
      <w:bookmarkStart w:id="570" w:name="_Toc522047385"/>
      <w:bookmarkStart w:id="571" w:name="_Toc1123955"/>
      <w:bookmarkStart w:id="572" w:name="_Toc521918323"/>
      <w:bookmarkStart w:id="573" w:name="_Toc521576305"/>
      <w:bookmarkStart w:id="574" w:name="_Toc532576769"/>
      <w:bookmarkStart w:id="575" w:name="_Toc19008829"/>
      <w:bookmarkStart w:id="576" w:name="_Toc38982594"/>
      <w:bookmarkStart w:id="577" w:name="_Toc56076628"/>
      <w:bookmarkStart w:id="578" w:name="_Toc79146602"/>
      <w:bookmarkStart w:id="579" w:name="_Toc54334011"/>
      <w:bookmarkStart w:id="580" w:name="_Toc40288703"/>
      <w:r>
        <w:rPr>
          <w:rFonts w:hint="eastAsia" w:ascii="宋体" w:hAnsi="宋体" w:eastAsia="宋体" w:cs="宋体"/>
          <w:b/>
          <w:color w:val="auto"/>
          <w:kern w:val="2"/>
          <w:sz w:val="30"/>
          <w:szCs w:val="30"/>
          <w:highlight w:val="none"/>
          <w:lang w:val="en-US" w:eastAsia="zh-CN"/>
        </w:rPr>
        <w:t>5.2 开户许可证复印件（基本存款账户）</w:t>
      </w:r>
      <w:bookmarkEnd w:id="567"/>
      <w:bookmarkEnd w:id="568"/>
      <w:bookmarkEnd w:id="569"/>
      <w:bookmarkEnd w:id="570"/>
      <w:bookmarkEnd w:id="571"/>
      <w:bookmarkEnd w:id="572"/>
      <w:bookmarkEnd w:id="573"/>
      <w:bookmarkEnd w:id="574"/>
      <w:r>
        <w:rPr>
          <w:rFonts w:hint="eastAsia" w:ascii="宋体" w:hAnsi="宋体" w:eastAsia="宋体" w:cs="宋体"/>
          <w:b/>
          <w:color w:val="auto"/>
          <w:kern w:val="2"/>
          <w:sz w:val="30"/>
          <w:szCs w:val="30"/>
          <w:highlight w:val="none"/>
          <w:lang w:val="en-US" w:eastAsia="zh-CN"/>
        </w:rPr>
        <w:t>复印件</w:t>
      </w:r>
      <w:bookmarkEnd w:id="575"/>
      <w:r>
        <w:rPr>
          <w:rFonts w:hint="eastAsia" w:ascii="宋体" w:hAnsi="宋体" w:eastAsia="宋体" w:cs="宋体"/>
          <w:b/>
          <w:color w:val="auto"/>
          <w:kern w:val="2"/>
          <w:sz w:val="30"/>
          <w:szCs w:val="30"/>
          <w:highlight w:val="none"/>
          <w:lang w:val="en-US" w:eastAsia="zh-CN"/>
        </w:rPr>
        <w:t>，如供应商企业银行账户开户所在地区已取消企业银行账户许可，供应商应提供基本存款账户开户名称、开户银行、账号、编号等信息及相关备案证明（如有）或其他能证明其为基本存款账户的资料复印件</w:t>
      </w:r>
      <w:bookmarkEnd w:id="576"/>
      <w:bookmarkEnd w:id="577"/>
      <w:bookmarkEnd w:id="578"/>
      <w:bookmarkEnd w:id="579"/>
      <w:bookmarkEnd w:id="580"/>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val="en-US" w:eastAsia="zh-CN"/>
        </w:rPr>
        <w:t>5.3</w:t>
      </w:r>
      <w:r>
        <w:rPr>
          <w:rFonts w:hint="eastAsia" w:ascii="宋体" w:hAnsi="宋体" w:eastAsia="宋体" w:cs="宋体"/>
          <w:b/>
          <w:color w:val="auto"/>
          <w:kern w:val="2"/>
          <w:sz w:val="30"/>
          <w:szCs w:val="30"/>
          <w:highlight w:val="none"/>
        </w:rPr>
        <w:t xml:space="preserve"> </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Pr>
          <w:rFonts w:hint="eastAsia" w:ascii="宋体" w:hAnsi="宋体" w:eastAsia="宋体" w:cs="宋体"/>
          <w:b/>
          <w:color w:val="auto"/>
          <w:kern w:val="2"/>
          <w:sz w:val="30"/>
          <w:szCs w:val="30"/>
          <w:highlight w:val="none"/>
        </w:rPr>
        <w:t>法定代表人身份证明书原件、法定代表人授权书原件格式（法定代表人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时只需提供法定代表人身份证明书，委托他人为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代表或签署</w:t>
      </w:r>
      <w:r>
        <w:rPr>
          <w:rFonts w:hint="eastAsia" w:ascii="宋体" w:hAnsi="宋体" w:eastAsia="宋体" w:cs="宋体"/>
          <w:b/>
          <w:color w:val="auto"/>
          <w:kern w:val="2"/>
          <w:sz w:val="30"/>
          <w:szCs w:val="30"/>
          <w:highlight w:val="none"/>
          <w:lang w:val="en-US" w:eastAsia="zh-CN"/>
        </w:rPr>
        <w:t>响应</w:t>
      </w:r>
      <w:r>
        <w:rPr>
          <w:rFonts w:hint="eastAsia" w:ascii="宋体" w:hAnsi="宋体" w:eastAsia="宋体" w:cs="宋体"/>
          <w:b/>
          <w:color w:val="auto"/>
          <w:kern w:val="2"/>
          <w:sz w:val="30"/>
          <w:szCs w:val="30"/>
          <w:highlight w:val="none"/>
        </w:rPr>
        <w:t>文件时需同时提供法定代表人授权书）</w:t>
      </w:r>
    </w:p>
    <w:p>
      <w:pPr>
        <w:autoSpaceDE/>
        <w:autoSpaceDN/>
        <w:adjustRightInd/>
        <w:spacing w:before="120" w:after="120" w:line="360" w:lineRule="auto"/>
        <w:ind w:firstLine="426" w:firstLineChars="202"/>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（1）法定代表人身份</w:t>
      </w:r>
      <w:r>
        <w:rPr>
          <w:rFonts w:hint="eastAsia" w:ascii="宋体" w:hAnsi="宋体" w:eastAsia="宋体" w:cs="宋体"/>
          <w:b/>
          <w:color w:val="auto"/>
          <w:kern w:val="2"/>
          <w:sz w:val="21"/>
          <w:szCs w:val="24"/>
          <w:highlight w:val="none"/>
        </w:rPr>
        <w:t>证明书</w:t>
      </w:r>
      <w:r>
        <w:rPr>
          <w:rFonts w:hint="eastAsia" w:ascii="宋体" w:hAnsi="宋体" w:eastAsia="宋体" w:cs="宋体"/>
          <w:b/>
          <w:color w:val="auto"/>
          <w:kern w:val="2"/>
          <w:sz w:val="21"/>
          <w:szCs w:val="21"/>
          <w:highlight w:val="none"/>
        </w:rPr>
        <w:t>格式</w:t>
      </w:r>
    </w:p>
    <w:p>
      <w:pPr>
        <w:autoSpaceDE/>
        <w:autoSpaceDN/>
        <w:adjustRightInd/>
        <w:spacing w:before="120" w:after="120" w:line="360" w:lineRule="auto"/>
        <w:ind w:firstLine="608" w:firstLineChars="202"/>
        <w:jc w:val="center"/>
        <w:rPr>
          <w:rFonts w:hint="eastAsia" w:ascii="宋体" w:hAnsi="宋体" w:eastAsia="宋体" w:cs="宋体"/>
          <w:b/>
          <w:color w:val="auto"/>
          <w:kern w:val="2"/>
          <w:sz w:val="30"/>
          <w:szCs w:val="30"/>
          <w:highlight w:val="none"/>
        </w:rPr>
      </w:pPr>
    </w:p>
    <w:p>
      <w:pPr>
        <w:autoSpaceDE/>
        <w:autoSpaceDN/>
        <w:adjustRightInd/>
        <w:spacing w:before="120" w:after="120" w:line="360" w:lineRule="auto"/>
        <w:ind w:firstLine="608" w:firstLineChars="202"/>
        <w:jc w:val="center"/>
        <w:rPr>
          <w:rFonts w:hint="eastAsia" w:ascii="宋体" w:hAnsi="宋体" w:eastAsia="宋体" w:cs="宋体"/>
          <w:b/>
          <w:bCs/>
          <w:color w:val="auto"/>
          <w:kern w:val="2"/>
          <w:sz w:val="30"/>
          <w:szCs w:val="30"/>
          <w:highlight w:val="none"/>
        </w:rPr>
      </w:pPr>
      <w:r>
        <w:rPr>
          <w:rFonts w:hint="eastAsia" w:ascii="宋体" w:hAnsi="宋体" w:eastAsia="宋体" w:cs="宋体"/>
          <w:b/>
          <w:color w:val="auto"/>
          <w:kern w:val="2"/>
          <w:sz w:val="30"/>
          <w:szCs w:val="30"/>
          <w:highlight w:val="none"/>
        </w:rPr>
        <w:t>法定代</w:t>
      </w:r>
      <w:bookmarkStart w:id="581" w:name="_Toc36971359"/>
      <w:bookmarkStart w:id="582" w:name="_Toc45995270"/>
      <w:r>
        <w:rPr>
          <w:rFonts w:hint="eastAsia" w:ascii="宋体" w:hAnsi="宋体" w:eastAsia="宋体" w:cs="宋体"/>
          <w:b/>
          <w:color w:val="auto"/>
          <w:kern w:val="2"/>
          <w:sz w:val="30"/>
          <w:szCs w:val="30"/>
          <w:highlight w:val="none"/>
        </w:rPr>
        <w:t>表人身份证明书</w:t>
      </w:r>
    </w:p>
    <w:p>
      <w:pPr>
        <w:autoSpaceDE/>
        <w:autoSpaceDN/>
        <w:adjustRightInd/>
        <w:spacing w:before="120" w:after="120" w:line="360" w:lineRule="auto"/>
        <w:ind w:firstLine="420" w:firstLineChars="20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先生</w:t>
      </w:r>
      <w:bookmarkEnd w:id="581"/>
      <w:bookmarkEnd w:id="582"/>
      <w:r>
        <w:rPr>
          <w:rFonts w:hint="eastAsia" w:ascii="宋体" w:hAnsi="宋体" w:eastAsia="宋体" w:cs="宋体"/>
          <w:color w:val="auto"/>
          <w:kern w:val="2"/>
          <w:sz w:val="21"/>
          <w:highlight w:val="none"/>
        </w:rPr>
        <w:t>／女士：现任我单位</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职务，为法定代表人，特此证明。</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有效日期：</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签发日期：</w:t>
      </w:r>
      <w:r>
        <w:rPr>
          <w:rFonts w:hint="eastAsia" w:ascii="宋体" w:hAnsi="宋体" w:eastAsia="宋体" w:cs="宋体"/>
          <w:color w:val="auto"/>
          <w:kern w:val="2"/>
          <w:sz w:val="21"/>
          <w:highlight w:val="none"/>
          <w:u w:val="single"/>
        </w:rPr>
        <w:t xml:space="preserve">           </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附：代表人性别：</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 年龄：</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身份证号码：</w:t>
      </w:r>
      <w:r>
        <w:rPr>
          <w:rFonts w:hint="eastAsia" w:ascii="宋体" w:hAnsi="宋体" w:eastAsia="宋体" w:cs="宋体"/>
          <w:color w:val="auto"/>
          <w:kern w:val="2"/>
          <w:sz w:val="21"/>
          <w:highlight w:val="none"/>
          <w:u w:val="single"/>
        </w:rPr>
        <w:t xml:space="preserve">            </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营业执照号码：</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经济性质： </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主营（产）：</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兼营（产）：</w:t>
      </w:r>
    </w:p>
    <w:p>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附 法定代表人身份证复印件 </w:t>
      </w:r>
    </w:p>
    <w:p>
      <w:pPr>
        <w:autoSpaceDE/>
        <w:autoSpaceDN/>
        <w:adjustRightInd/>
        <w:spacing w:before="120" w:after="120" w:line="360" w:lineRule="auto"/>
        <w:ind w:left="629" w:firstLine="474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供应商：（加盖供应商法人公章）</w:t>
      </w:r>
    </w:p>
    <w:p>
      <w:pPr>
        <w:tabs>
          <w:tab w:val="left" w:pos="525"/>
        </w:tabs>
        <w:autoSpaceDE/>
        <w:autoSpaceDN/>
        <w:adjustRightInd/>
        <w:spacing w:before="120" w:after="120" w:line="360" w:lineRule="auto"/>
        <w:ind w:left="528" w:leftChars="220" w:firstLine="4857" w:firstLineChars="231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日</w:t>
      </w:r>
      <w:r>
        <w:rPr>
          <w:rFonts w:hint="eastAsia" w:ascii="宋体" w:hAnsi="宋体" w:eastAsia="宋体" w:cs="宋体"/>
          <w:b/>
          <w:bCs/>
          <w:color w:val="auto"/>
          <w:kern w:val="2"/>
          <w:sz w:val="21"/>
          <w:szCs w:val="21"/>
          <w:highlight w:val="none"/>
          <w:lang w:val="zh-CN"/>
        </w:rPr>
        <w:t xml:space="preserve"> </w:t>
      </w:r>
    </w:p>
    <w:p>
      <w:pPr>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4445" t="5080" r="5080" b="13970"/>
                <wp:wrapNone/>
                <wp:docPr id="2" name="文本框 3"/>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rPr>
                              <w:t>法定代表人身份证反面</w:t>
                            </w:r>
                          </w:p>
                          <w:p>
                            <w:pPr>
                              <w:jc w:val="center"/>
                              <w:rPr>
                                <w:sz w:val="21"/>
                                <w:szCs w:val="21"/>
                              </w:rPr>
                            </w:pPr>
                          </w:p>
                        </w:txbxContent>
                      </wps:txbx>
                      <wps:bodyPr upright="1"/>
                    </wps:wsp>
                  </a:graphicData>
                </a:graphic>
              </wp:anchor>
            </w:drawing>
          </mc:Choice>
          <mc:Fallback>
            <w:pict>
              <v:shape id="文本框 3"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XrEnZAAAACgEAAA8AAAAAAAAAAQAg&#10;AAAAIgAAAGRycy9kb3ducmV2LnhtbFBLAQIUABQAAAAIAIdO4kDCMoWeDQIAADcEAAAOAAAAAAAA&#10;AAEAIAAAACgBAABkcnMvZTJvRG9jLnhtbFBLBQYAAAAABgAGAFkBAACnBQ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rPr>
                        <w:t>法定代表人身份证反面</w:t>
                      </w:r>
                    </w:p>
                    <w:p>
                      <w:pPr>
                        <w:jc w:val="center"/>
                        <w:rPr>
                          <w:sz w:val="21"/>
                          <w:szCs w:val="21"/>
                        </w:rPr>
                      </w:pPr>
                    </w:p>
                  </w:txbxContent>
                </v:textbox>
              </v:shape>
            </w:pict>
          </mc:Fallback>
        </mc:AlternateContent>
      </w:r>
      <w:r>
        <w:rPr>
          <w:rFonts w:hint="eastAsia" w:ascii="宋体" w:hAnsi="宋体" w:eastAsia="宋体" w:cs="宋体"/>
          <w:color w:val="auto"/>
          <w:kern w:val="2"/>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4445" t="5080" r="5080" b="13970"/>
                <wp:wrapNone/>
                <wp:docPr id="1" name="文本框 2"/>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rPr>
                              <w:t>法定代表人身份证正面</w:t>
                            </w:r>
                          </w:p>
                        </w:txbxContent>
                      </wps:txbx>
                      <wps:bodyPr upright="1"/>
                    </wps:wsp>
                  </a:graphicData>
                </a:graphic>
              </wp:anchor>
            </w:drawing>
          </mc:Choice>
          <mc:Fallback>
            <w:pict>
              <v:shape id="文本框 2"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M6n92AAAAAgBAAAPAAAAAAAAAAEAIAAA&#10;ACIAAABkcnMvZG93bnJldi54bWxQSwECFAAUAAAACACHTuJA71OXCwwCAAA3BAAADgAAAAAAAAAB&#10;ACAAAAAnAQAAZHJzL2Uyb0RvYy54bWxQSwUGAAAAAAYABgBZAQAApQ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sz w:val="21"/>
                          <w:szCs w:val="21"/>
                        </w:rPr>
                      </w:pPr>
                      <w:r>
                        <w:rPr>
                          <w:rFonts w:hint="eastAsia" w:ascii="宋体" w:hAnsi="宋体"/>
                          <w:sz w:val="21"/>
                          <w:szCs w:val="21"/>
                        </w:rPr>
                        <w:t>法定代表人身份证正面</w:t>
                      </w:r>
                    </w:p>
                  </w:txbxContent>
                </v:textbox>
              </v:shape>
            </w:pict>
          </mc:Fallback>
        </mc:AlternateContent>
      </w:r>
    </w:p>
    <w:p>
      <w:pPr>
        <w:rPr>
          <w:rFonts w:hint="eastAsia" w:ascii="宋体" w:hAnsi="宋体" w:eastAsia="宋体" w:cs="宋体"/>
          <w:color w:val="auto"/>
          <w:highlight w:val="none"/>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color w:val="auto"/>
          <w:sz w:val="21"/>
          <w:highlight w:val="none"/>
          <w:lang w:val="zh-CN"/>
        </w:rPr>
      </w:pPr>
    </w:p>
    <w:p>
      <w:pPr>
        <w:rPr>
          <w:rFonts w:hint="eastAsia" w:ascii="宋体" w:hAnsi="宋体" w:eastAsia="宋体" w:cs="宋体"/>
          <w:b/>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ind w:firstLine="105" w:firstLineChars="5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注：法定代表人身份证须在有效期限内。</w:t>
      </w:r>
      <w:r>
        <w:rPr>
          <w:rFonts w:hint="eastAsia" w:ascii="宋体" w:hAnsi="宋体" w:eastAsia="宋体" w:cs="宋体"/>
          <w:color w:val="auto"/>
          <w:sz w:val="21"/>
          <w:highlight w:val="none"/>
          <w:lang w:val="zh-CN"/>
        </w:rPr>
        <w:br w:type="page"/>
      </w:r>
      <w:bookmarkEnd w:id="492"/>
      <w:bookmarkEnd w:id="493"/>
      <w:bookmarkEnd w:id="494"/>
      <w:bookmarkStart w:id="583" w:name="_Toc495907134"/>
      <w:bookmarkStart w:id="584" w:name="_Toc522047383"/>
      <w:bookmarkStart w:id="585" w:name="_Toc521918124"/>
      <w:bookmarkStart w:id="586" w:name="_Toc532576767"/>
      <w:bookmarkStart w:id="587" w:name="_Toc497746562"/>
      <w:bookmarkStart w:id="588" w:name="_Toc521576303"/>
      <w:bookmarkStart w:id="589" w:name="_Toc490169464"/>
      <w:bookmarkStart w:id="590" w:name="_Toc521918321"/>
      <w:bookmarkStart w:id="591" w:name="_Toc519153442"/>
      <w:r>
        <w:rPr>
          <w:rFonts w:hint="eastAsia" w:ascii="宋体" w:hAnsi="宋体" w:eastAsia="宋体" w:cs="宋体"/>
          <w:color w:val="auto"/>
          <w:sz w:val="32"/>
          <w:szCs w:val="32"/>
          <w:highlight w:val="none"/>
          <w:lang w:val="zh-CN"/>
        </w:rPr>
        <w:t xml:space="preserve"> </w:t>
      </w:r>
      <w:bookmarkEnd w:id="583"/>
      <w:bookmarkEnd w:id="584"/>
      <w:bookmarkEnd w:id="585"/>
      <w:bookmarkEnd w:id="586"/>
      <w:bookmarkEnd w:id="587"/>
      <w:bookmarkEnd w:id="588"/>
      <w:bookmarkEnd w:id="589"/>
      <w:bookmarkEnd w:id="590"/>
      <w:bookmarkEnd w:id="591"/>
      <w:r>
        <w:rPr>
          <w:rFonts w:hint="eastAsia" w:ascii="宋体" w:hAnsi="宋体" w:eastAsia="宋体" w:cs="宋体"/>
          <w:b/>
          <w:color w:val="auto"/>
          <w:kern w:val="2"/>
          <w:sz w:val="21"/>
          <w:szCs w:val="21"/>
          <w:highlight w:val="none"/>
          <w:lang w:val="zh-CN"/>
        </w:rPr>
        <w:t>（2）</w:t>
      </w:r>
      <w:r>
        <w:rPr>
          <w:rFonts w:hint="eastAsia" w:ascii="宋体" w:hAnsi="宋体" w:eastAsia="宋体" w:cs="宋体"/>
          <w:b/>
          <w:bCs/>
          <w:color w:val="auto"/>
          <w:kern w:val="2"/>
          <w:sz w:val="21"/>
          <w:szCs w:val="21"/>
          <w:highlight w:val="none"/>
          <w:lang w:val="zh-CN"/>
        </w:rPr>
        <w:t>法定代表人授权书格式</w:t>
      </w:r>
    </w:p>
    <w:p>
      <w:pPr>
        <w:rPr>
          <w:rFonts w:hint="eastAsia" w:ascii="宋体" w:hAnsi="宋体" w:eastAsia="宋体" w:cs="宋体"/>
          <w:b/>
          <w:bCs/>
          <w:color w:val="auto"/>
          <w:kern w:val="2"/>
          <w:sz w:val="30"/>
          <w:szCs w:val="30"/>
          <w:highlight w:val="none"/>
          <w:lang w:val="zh-CN"/>
        </w:rPr>
      </w:pPr>
    </w:p>
    <w:p>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法定代表人授权书</w:t>
      </w:r>
    </w:p>
    <w:p>
      <w:pPr>
        <w:spacing w:line="360" w:lineRule="auto"/>
        <w:jc w:val="center"/>
        <w:rPr>
          <w:rFonts w:hint="eastAsia" w:ascii="宋体" w:hAnsi="宋体" w:eastAsia="宋体" w:cs="宋体"/>
          <w:color w:val="auto"/>
          <w:kern w:val="2"/>
          <w:sz w:val="21"/>
          <w:szCs w:val="28"/>
          <w:highlight w:val="none"/>
          <w:lang w:val="zh-CN"/>
        </w:rPr>
      </w:pPr>
    </w:p>
    <w:p>
      <w:pPr>
        <w:autoSpaceDE/>
        <w:autoSpaceDN/>
        <w:adjustRightInd/>
        <w:spacing w:before="120" w:after="120" w:line="360" w:lineRule="auto"/>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致：东莞市众源环境投资有限公司</w:t>
      </w:r>
    </w:p>
    <w:p>
      <w:pPr>
        <w:widowControl/>
        <w:spacing w:line="360" w:lineRule="auto"/>
        <w:ind w:firstLine="424" w:firstLineChars="20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本授权书声明：注册于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（供应商地址）的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（供应商名称）在下面签字的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（法定代表人姓名、职务、身份证号码）代表本公司授权在下面签字或盖私章的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（被授权人的姓名、职务、身份证号码）为本公司的合法代表人，签署</w:t>
      </w:r>
      <w:r>
        <w:rPr>
          <w:rFonts w:hint="eastAsia" w:ascii="宋体" w:hAnsi="宋体" w:eastAsia="宋体" w:cs="宋体"/>
          <w:color w:val="auto"/>
          <w:kern w:val="2"/>
          <w:sz w:val="21"/>
          <w:highlight w:val="none"/>
          <w:u w:val="single"/>
          <w:lang w:val="zh-CN"/>
        </w:rPr>
        <w:t>东莞市污泥处理处置过程数据管理系统采购项目</w:t>
      </w:r>
      <w:r>
        <w:rPr>
          <w:rFonts w:hint="eastAsia" w:ascii="宋体" w:hAnsi="宋体" w:eastAsia="宋体" w:cs="宋体"/>
          <w:color w:val="auto"/>
          <w:kern w:val="2"/>
          <w:sz w:val="21"/>
          <w:szCs w:val="21"/>
          <w:highlight w:val="none"/>
          <w:lang w:val="zh-CN"/>
        </w:rPr>
        <w:t>（采购编号：</w:t>
      </w:r>
      <w:r>
        <w:rPr>
          <w:rFonts w:hint="eastAsia" w:ascii="宋体" w:hAnsi="宋体" w:eastAsia="宋体" w:cs="宋体"/>
          <w:color w:val="auto"/>
          <w:kern w:val="2"/>
          <w:sz w:val="21"/>
          <w:szCs w:val="21"/>
          <w:highlight w:val="none"/>
          <w:u w:val="single"/>
          <w:lang w:val="zh-CN"/>
        </w:rPr>
        <w:t>ZYHJ-2024-0001</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rPr>
        <w:t>代表我公司</w:t>
      </w:r>
      <w:r>
        <w:rPr>
          <w:rFonts w:hint="eastAsia" w:ascii="宋体" w:hAnsi="宋体" w:eastAsia="宋体" w:cs="宋体"/>
          <w:color w:val="auto"/>
          <w:kern w:val="2"/>
          <w:sz w:val="21"/>
          <w:highlight w:val="none"/>
          <w:lang w:val="zh-CN"/>
        </w:rPr>
        <w:t>递交响应文件、参与</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、代表我公司应磋商小组的要求对响应文件进行澄清、进行合同谈判、</w:t>
      </w:r>
      <w:r>
        <w:rPr>
          <w:rFonts w:hint="eastAsia" w:ascii="宋体" w:hAnsi="宋体" w:eastAsia="宋体" w:cs="宋体"/>
          <w:color w:val="auto"/>
          <w:kern w:val="2"/>
          <w:sz w:val="21"/>
          <w:highlight w:val="none"/>
          <w:lang w:val="en-US" w:eastAsia="zh-CN"/>
        </w:rPr>
        <w:t>填报最终报价</w:t>
      </w:r>
      <w:r>
        <w:rPr>
          <w:rFonts w:hint="eastAsia" w:ascii="宋体" w:hAnsi="宋体" w:eastAsia="宋体" w:cs="宋体"/>
          <w:color w:val="auto"/>
          <w:kern w:val="2"/>
          <w:sz w:val="21"/>
          <w:highlight w:val="none"/>
          <w:lang w:val="zh-CN"/>
        </w:rPr>
        <w:t>和签署合同，以我公司的名义处理一切与之有关的事宜，</w:t>
      </w:r>
      <w:r>
        <w:rPr>
          <w:rFonts w:hint="eastAsia" w:ascii="宋体" w:hAnsi="宋体" w:eastAsia="宋体" w:cs="宋体"/>
          <w:color w:val="auto"/>
          <w:kern w:val="2"/>
          <w:sz w:val="21"/>
          <w:szCs w:val="21"/>
          <w:highlight w:val="none"/>
        </w:rPr>
        <w:t>我承认代理人全权代表我所签署的本项目响应文件的内容及</w:t>
      </w:r>
      <w:r>
        <w:rPr>
          <w:rFonts w:hint="eastAsia" w:ascii="宋体" w:hAnsi="宋体" w:eastAsia="宋体" w:cs="宋体"/>
          <w:color w:val="auto"/>
          <w:kern w:val="2"/>
          <w:sz w:val="21"/>
          <w:highlight w:val="none"/>
          <w:lang w:val="zh-CN"/>
        </w:rPr>
        <w:t>所进行的上述活动。</w:t>
      </w:r>
    </w:p>
    <w:p>
      <w:pPr>
        <w:autoSpaceDE/>
        <w:autoSpaceDN/>
        <w:adjustRightInd/>
        <w:spacing w:before="120" w:after="12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日签字生效，有效期至响应文件失效期止，</w:t>
      </w:r>
      <w:r>
        <w:rPr>
          <w:rFonts w:hint="eastAsia" w:ascii="宋体" w:hAnsi="宋体" w:eastAsia="宋体" w:cs="宋体"/>
          <w:color w:val="auto"/>
          <w:kern w:val="2"/>
          <w:sz w:val="21"/>
          <w:szCs w:val="21"/>
          <w:highlight w:val="none"/>
        </w:rPr>
        <w:t>代理人无转委托权，</w:t>
      </w:r>
      <w:r>
        <w:rPr>
          <w:rFonts w:hint="eastAsia" w:ascii="宋体" w:hAnsi="宋体" w:eastAsia="宋体" w:cs="宋体"/>
          <w:color w:val="auto"/>
          <w:kern w:val="2"/>
          <w:sz w:val="21"/>
          <w:highlight w:val="none"/>
          <w:lang w:val="zh-CN"/>
        </w:rPr>
        <w:t>特此声明。</w:t>
      </w:r>
    </w:p>
    <w:p>
      <w:pPr>
        <w:autoSpaceDE/>
        <w:autoSpaceDN/>
        <w:adjustRightInd/>
        <w:spacing w:before="120" w:after="120" w:line="360" w:lineRule="auto"/>
        <w:ind w:firstLine="277" w:firstLineChars="132"/>
        <w:rPr>
          <w:rFonts w:hint="eastAsia" w:ascii="宋体" w:hAnsi="宋体" w:eastAsia="宋体" w:cs="宋体"/>
          <w:color w:val="auto"/>
          <w:kern w:val="2"/>
          <w:sz w:val="21"/>
          <w:highlight w:val="none"/>
          <w:lang w:val="zh-CN"/>
        </w:rPr>
      </w:pPr>
    </w:p>
    <w:p>
      <w:pPr>
        <w:keepNext w:val="0"/>
        <w:keepLines w:val="0"/>
        <w:pageBreakBefore w:val="0"/>
        <w:widowControl w:val="0"/>
        <w:kinsoku/>
        <w:wordWrap/>
        <w:overflowPunct/>
        <w:topLinePunct w:val="0"/>
        <w:autoSpaceDE/>
        <w:autoSpaceDN/>
        <w:bidi w:val="0"/>
        <w:adjustRightInd/>
        <w:snapToGrid/>
        <w:spacing w:before="120" w:after="120" w:line="360" w:lineRule="auto"/>
        <w:ind w:left="629" w:firstLine="425"/>
        <w:jc w:val="both"/>
        <w:textAlignment w:val="auto"/>
        <w:rPr>
          <w:rFonts w:hint="eastAsia" w:ascii="宋体" w:hAnsi="宋体" w:eastAsia="宋体" w:cs="宋体"/>
          <w:color w:val="auto"/>
          <w:kern w:val="2"/>
          <w:sz w:val="21"/>
          <w:highlight w:val="none"/>
        </w:rPr>
      </w:pP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供应商地址：</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法定代表人（签名或盖私章）：</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被授权人（签名或盖私章）：</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被授权人联系手机：</w:t>
      </w:r>
    </w:p>
    <w:p>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 子 邮 箱：</w:t>
      </w:r>
    </w:p>
    <w:p>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pPr>
        <w:widowControl/>
        <w:adjustRightInd/>
        <w:spacing w:before="120" w:after="120" w:line="360" w:lineRule="auto"/>
        <w:ind w:right="893"/>
        <w:jc w:val="left"/>
        <w:textAlignment w:val="bottom"/>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附 法定代表人、被授权人身份证复印件</w:t>
      </w:r>
    </w:p>
    <w:p>
      <w:pPr>
        <w:widowControl/>
        <w:adjustRightInd/>
        <w:spacing w:before="120" w:after="120" w:line="360" w:lineRule="auto"/>
        <w:ind w:right="893"/>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3004820</wp:posOffset>
                </wp:positionH>
                <wp:positionV relativeFrom="paragraph">
                  <wp:posOffset>34290</wp:posOffset>
                </wp:positionV>
                <wp:extent cx="2743200" cy="1771015"/>
                <wp:effectExtent l="4445" t="4445" r="14605" b="15240"/>
                <wp:wrapNone/>
                <wp:docPr id="4" name="文本框 5"/>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kern w:val="2"/>
                                <w:sz w:val="21"/>
                              </w:rPr>
                            </w:pPr>
                            <w:r>
                              <w:rPr>
                                <w:rFonts w:hint="eastAsia" w:ascii="宋体" w:hAnsi="宋体"/>
                                <w:kern w:val="2"/>
                                <w:sz w:val="21"/>
                              </w:rPr>
                              <w:t>法定代表人身份证反面</w:t>
                            </w:r>
                          </w:p>
                        </w:txbxContent>
                      </wps:txbx>
                      <wps:bodyPr upright="1"/>
                    </wps:wsp>
                  </a:graphicData>
                </a:graphic>
              </wp:anchor>
            </w:drawing>
          </mc:Choice>
          <mc:Fallback>
            <w:pict>
              <v:shape id="文本框 5" o:spid="_x0000_s1026" o:spt="202" type="#_x0000_t202" style="position:absolute;left:0pt;margin-left:236.6pt;margin-top:2.7pt;height:139.45pt;width:216pt;z-index:251662336;mso-width-relative:page;mso-height-relative:page;" fillcolor="#FFFFFF" filled="t" stroked="t" coordsize="21600,21600" o:gfxdata="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2jzWtgAAAAJAQAADwAAAAAAAAABACAA&#10;AAAiAAAAZHJzL2Rvd25yZXYueG1sUEsBAhQAFAAAAAgAh07iQFEHt8ENAgAANwQAAA4AAAAAAAAA&#10;AQAgAAAAJwEAAGRycy9lMm9Eb2MueG1sUEsFBgAAAAAGAAYAWQEAAKY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kern w:val="2"/>
                          <w:sz w:val="21"/>
                        </w:rPr>
                      </w:pPr>
                      <w:r>
                        <w:rPr>
                          <w:rFonts w:hint="eastAsia" w:ascii="宋体" w:hAnsi="宋体"/>
                          <w:kern w:val="2"/>
                          <w:sz w:val="21"/>
                        </w:rPr>
                        <w:t>法定代表人身份证反面</w:t>
                      </w:r>
                    </w:p>
                  </w:txbxContent>
                </v:textbox>
              </v:shape>
            </w:pict>
          </mc:Fallback>
        </mc:AlternateContent>
      </w: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34290</wp:posOffset>
                </wp:positionV>
                <wp:extent cx="2743200" cy="1771015"/>
                <wp:effectExtent l="4445" t="4445" r="14605" b="15240"/>
                <wp:wrapNone/>
                <wp:docPr id="3" name="文本框 4"/>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p>
                          <w:p>
                            <w:pPr>
                              <w:rPr>
                                <w:rFonts w:hint="eastAsia"/>
                              </w:rPr>
                            </w:pPr>
                          </w:p>
                          <w:p>
                            <w:pPr>
                              <w:jc w:val="center"/>
                              <w:rPr>
                                <w:rFonts w:ascii="宋体" w:hAnsi="宋体"/>
                                <w:kern w:val="2"/>
                                <w:sz w:val="21"/>
                              </w:rPr>
                            </w:pPr>
                            <w:r>
                              <w:rPr>
                                <w:rFonts w:hint="eastAsia" w:ascii="宋体" w:hAnsi="宋体"/>
                                <w:kern w:val="2"/>
                                <w:sz w:val="21"/>
                              </w:rPr>
                              <w:t>法定代表人身份证正面</w:t>
                            </w:r>
                          </w:p>
                        </w:txbxContent>
                      </wps:txbx>
                      <wps:bodyPr upright="1"/>
                    </wps:wsp>
                  </a:graphicData>
                </a:graphic>
              </wp:anchor>
            </w:drawing>
          </mc:Choice>
          <mc:Fallback>
            <w:pict>
              <v:shape id="文本框 4" o:spid="_x0000_s1026" o:spt="202" type="#_x0000_t202" style="position:absolute;left:0pt;margin-left:1.85pt;margin-top:2.7pt;height:139.45pt;width:216pt;z-index:251661312;mso-width-relative:page;mso-height-relative:page;" fillcolor="#FFFFFF" filled="t" stroked="t" coordsize="21600,21600" o:gfxdata="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Vxgb9YAAAAHAQAADwAAAAAAAAABACAAAAAi&#10;AAAAZHJzL2Rvd25yZXYueG1sUEsBAhQAFAAAAAgAh07iQF7hwqkMAgAANwQAAA4AAAAAAAAAAQAg&#10;AAAAJQEAAGRycy9lMm9Eb2MueG1sUEsFBgAAAAAGAAYAWQEAAKMFA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ascii="宋体" w:hAnsi="宋体"/>
                          <w:kern w:val="2"/>
                          <w:sz w:val="21"/>
                        </w:rPr>
                      </w:pPr>
                      <w:r>
                        <w:rPr>
                          <w:rFonts w:hint="eastAsia" w:ascii="宋体" w:hAnsi="宋体"/>
                          <w:kern w:val="2"/>
                          <w:sz w:val="21"/>
                        </w:rPr>
                        <w:t>法定代表人身份证正面</w:t>
                      </w:r>
                    </w:p>
                  </w:txbxContent>
                </v:textbox>
              </v:shape>
            </w:pict>
          </mc:Fallback>
        </mc:AlternateConten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2985770</wp:posOffset>
                </wp:positionH>
                <wp:positionV relativeFrom="paragraph">
                  <wp:posOffset>163195</wp:posOffset>
                </wp:positionV>
                <wp:extent cx="2743200" cy="1771015"/>
                <wp:effectExtent l="4445" t="4445" r="14605" b="15240"/>
                <wp:wrapNone/>
                <wp:docPr id="6" name="文本框 7"/>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被授权人身份证反面</w:t>
                            </w:r>
                          </w:p>
                          <w:p>
                            <w:pPr>
                              <w:rPr>
                                <w:rFonts w:hint="eastAsia"/>
                              </w:rPr>
                            </w:pPr>
                          </w:p>
                          <w:p>
                            <w:pPr>
                              <w:rPr>
                                <w:rFonts w:hint="eastAsia"/>
                              </w:rPr>
                            </w:pPr>
                          </w:p>
                        </w:txbxContent>
                      </wps:txbx>
                      <wps:bodyPr upright="1"/>
                    </wps:wsp>
                  </a:graphicData>
                </a:graphic>
              </wp:anchor>
            </w:drawing>
          </mc:Choice>
          <mc:Fallback>
            <w:pict>
              <v:shape id="文本框 7" o:spid="_x0000_s1026" o:spt="202" type="#_x0000_t202" style="position:absolute;left:0pt;margin-left:235.1pt;margin-top:12.85pt;height:139.45pt;width:216pt;z-index:251664384;mso-width-relative:page;mso-height-relative:page;" fillcolor="#FFFFFF" filled="t" stroked="t" coordsize="21600,21600" o:gfxdata="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B8QdoAAAAKAQAADwAAAAAAAAABACAA&#10;AAAiAAAAZHJzL2Rvd25yZXYueG1sUEsBAhQAFAAAAAgAh07iQGhEhc0LAgAANwQAAA4AAAAAAAAA&#10;AQAgAAAAKQEAAGRycy9lMm9Eb2MueG1sUEsFBgAAAAAGAAYAWQEAAKYFAAAAAA==&#10;">
                <v:fill on="t" focussize="0,0"/>
                <v:stroke color="#000000" joinstyle="miter"/>
                <v:imagedata o:title=""/>
                <o:lock v:ext="edit" aspectratio="f"/>
                <v:textbo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被授权人身份证反面</w:t>
                      </w:r>
                    </w:p>
                    <w:p>
                      <w:pPr>
                        <w:rPr>
                          <w:rFonts w:hint="eastAsia"/>
                        </w:rPr>
                      </w:pPr>
                    </w:p>
                    <w:p>
                      <w:pPr>
                        <w:rPr>
                          <w:rFonts w:hint="eastAsia"/>
                        </w:rPr>
                      </w:pPr>
                    </w:p>
                  </w:txbxContent>
                </v:textbox>
              </v:shape>
            </w:pict>
          </mc:Fallback>
        </mc:AlternateContent>
      </w: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163195</wp:posOffset>
                </wp:positionV>
                <wp:extent cx="2743200" cy="1771015"/>
                <wp:effectExtent l="4445" t="4445" r="14605" b="15240"/>
                <wp:wrapNone/>
                <wp:docPr id="5" name="文本框 6"/>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被授权人身份证正面</w:t>
                            </w:r>
                          </w:p>
                          <w:p>
                            <w:pPr>
                              <w:rPr>
                                <w:rFonts w:hint="eastAsia"/>
                              </w:rPr>
                            </w:pPr>
                          </w:p>
                          <w:p>
                            <w:pPr>
                              <w:rPr>
                                <w:rFonts w:hint="eastAsia"/>
                              </w:rPr>
                            </w:pPr>
                          </w:p>
                        </w:txbxContent>
                      </wps:txbx>
                      <wps:bodyPr upright="1"/>
                    </wps:wsp>
                  </a:graphicData>
                </a:graphic>
              </wp:anchor>
            </w:drawing>
          </mc:Choice>
          <mc:Fallback>
            <w:pict>
              <v:shape id="文本框 6" o:spid="_x0000_s1026" o:spt="202" type="#_x0000_t202" style="position:absolute;left:0pt;margin-left:1.1pt;margin-top:12.85pt;height:139.45pt;width:216pt;z-index:251665408;mso-width-relative:page;mso-height-relative:page;" fillcolor="#FFFFFF" filled="t" stroked="t" coordsize="21600,21600" o:gfxdata="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ZfjYAAAACAEAAA8AAAAAAAAAAQAgAAAA&#10;IgAAAGRycy9kb3ducmV2LnhtbFBLAQIUABQAAAAIAIdO4kBFJZdYCwIAADcEAAAOAAAAAAAAAAEA&#10;IAAAACcBAABkcnMvZTJvRG9jLnhtbFBLBQYAAAAABgAGAFkBAACkBQAAAAA=&#10;">
                <v:fill on="t" focussize="0,0"/>
                <v:stroke color="#000000" joinstyle="miter"/>
                <v:imagedata o:title=""/>
                <o:lock v:ext="edit" aspectratio="f"/>
                <v:textbox>
                  <w:txbxContent>
                    <w:p>
                      <w:pPr>
                        <w:rPr>
                          <w:rFonts w:hint="eastAsia"/>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hint="eastAsia" w:hAnsi="等线 Light"/>
                          <w:color w:val="FF0000"/>
                          <w:kern w:val="2"/>
                          <w:sz w:val="21"/>
                        </w:rPr>
                      </w:pPr>
                    </w:p>
                    <w:p>
                      <w:pPr>
                        <w:jc w:val="center"/>
                        <w:rPr>
                          <w:rFonts w:ascii="宋体" w:hAnsi="宋体"/>
                        </w:rPr>
                      </w:pPr>
                      <w:r>
                        <w:rPr>
                          <w:rFonts w:hint="eastAsia" w:ascii="宋体" w:hAnsi="宋体"/>
                          <w:kern w:val="2"/>
                          <w:sz w:val="21"/>
                        </w:rPr>
                        <w:t>被授权人身份证正面</w:t>
                      </w:r>
                    </w:p>
                    <w:p>
                      <w:pPr>
                        <w:rPr>
                          <w:rFonts w:hint="eastAsia"/>
                        </w:rPr>
                      </w:pPr>
                    </w:p>
                    <w:p>
                      <w:pPr>
                        <w:rPr>
                          <w:rFonts w:hint="eastAsia"/>
                        </w:rPr>
                      </w:pPr>
                    </w:p>
                  </w:txbxContent>
                </v:textbox>
              </v:shape>
            </w:pict>
          </mc:Fallback>
        </mc:AlternateContent>
      </w: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pStyle w:val="73"/>
        <w:rPr>
          <w:rFonts w:hint="eastAsia" w:ascii="宋体" w:hAnsi="宋体" w:eastAsia="宋体" w:cs="宋体"/>
          <w:color w:val="auto"/>
          <w:sz w:val="21"/>
          <w:szCs w:val="21"/>
          <w:highlight w:val="none"/>
        </w:rPr>
      </w:pPr>
    </w:p>
    <w:p>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firstLine="0"/>
        <w:textAlignment w:val="auto"/>
        <w:outlineLvl w:val="9"/>
        <w:rPr>
          <w:rFonts w:hint="eastAsia" w:ascii="宋体" w:hAnsi="宋体" w:eastAsia="宋体" w:cs="宋体"/>
          <w:b/>
          <w:color w:val="auto"/>
          <w:sz w:val="21"/>
          <w:szCs w:val="21"/>
          <w:highlight w:val="none"/>
        </w:rPr>
      </w:pPr>
      <w:bookmarkStart w:id="592" w:name="_Toc522047384"/>
      <w:bookmarkStart w:id="593" w:name="_Toc521918322"/>
      <w:bookmarkStart w:id="594" w:name="_Toc519153443"/>
      <w:bookmarkStart w:id="595" w:name="_Toc521576304"/>
      <w:bookmarkStart w:id="596" w:name="_Toc521918125"/>
      <w:bookmarkStart w:id="597" w:name="_Toc490169465"/>
      <w:bookmarkStart w:id="598" w:name="_Toc495907135"/>
      <w:r>
        <w:rPr>
          <w:rFonts w:hint="eastAsia" w:ascii="宋体" w:hAnsi="宋体" w:eastAsia="宋体" w:cs="宋体"/>
          <w:b/>
          <w:color w:val="auto"/>
          <w:sz w:val="21"/>
          <w:szCs w:val="21"/>
          <w:highlight w:val="none"/>
        </w:rPr>
        <w:t>注：上述身份证须在有效期限内。</w:t>
      </w:r>
    </w:p>
    <w:p>
      <w:pPr>
        <w:tabs>
          <w:tab w:val="left" w:pos="567"/>
        </w:tabs>
        <w:spacing w:line="360" w:lineRule="auto"/>
        <w:ind w:left="567" w:hanging="567"/>
        <w:outlineLvl w:val="2"/>
        <w:rPr>
          <w:rFonts w:hint="eastAsia" w:ascii="宋体" w:hAnsi="宋体" w:eastAsia="宋体" w:cs="宋体"/>
          <w:b/>
          <w:color w:val="auto"/>
          <w:sz w:val="21"/>
          <w:szCs w:val="21"/>
          <w:highlight w:val="none"/>
        </w:rPr>
        <w:sectPr>
          <w:headerReference r:id="rId11" w:type="first"/>
          <w:footerReference r:id="rId13" w:type="first"/>
          <w:footerReference r:id="rId12"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592"/>
    <w:bookmarkEnd w:id="593"/>
    <w:bookmarkEnd w:id="594"/>
    <w:bookmarkEnd w:id="595"/>
    <w:bookmarkEnd w:id="596"/>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kern w:val="2"/>
          <w:sz w:val="30"/>
          <w:szCs w:val="30"/>
          <w:highlight w:val="none"/>
          <w:lang w:val="zh-CN"/>
        </w:rPr>
      </w:pPr>
      <w:r>
        <w:rPr>
          <w:rFonts w:hint="eastAsia" w:ascii="宋体" w:hAnsi="宋体" w:eastAsia="宋体" w:cs="宋体"/>
          <w:b/>
          <w:color w:val="auto"/>
          <w:kern w:val="2"/>
          <w:sz w:val="30"/>
          <w:szCs w:val="30"/>
          <w:highlight w:val="none"/>
          <w:lang w:val="en-US" w:eastAsia="zh-CN"/>
        </w:rPr>
        <w:t>5.4</w:t>
      </w:r>
      <w:r>
        <w:rPr>
          <w:rFonts w:hint="eastAsia" w:ascii="宋体" w:hAnsi="宋体" w:eastAsia="宋体" w:cs="宋体"/>
          <w:b/>
          <w:color w:val="auto"/>
          <w:kern w:val="2"/>
          <w:sz w:val="30"/>
          <w:szCs w:val="30"/>
          <w:highlight w:val="none"/>
        </w:rPr>
        <w:t xml:space="preserve"> </w:t>
      </w:r>
      <w:r>
        <w:rPr>
          <w:rFonts w:hint="eastAsia" w:ascii="宋体" w:hAnsi="宋体" w:eastAsia="宋体" w:cs="宋体"/>
          <w:b/>
          <w:color w:val="auto"/>
          <w:kern w:val="2"/>
          <w:sz w:val="30"/>
          <w:szCs w:val="30"/>
          <w:highlight w:val="none"/>
          <w:lang w:val="zh-CN"/>
        </w:rPr>
        <w:t>资格业绩【</w:t>
      </w:r>
      <w:r>
        <w:rPr>
          <w:rFonts w:hint="eastAsia" w:ascii="宋体" w:hAnsi="宋体" w:eastAsia="宋体" w:cs="宋体"/>
          <w:b/>
          <w:color w:val="auto"/>
          <w:kern w:val="2"/>
          <w:sz w:val="30"/>
          <w:szCs w:val="30"/>
          <w:highlight w:val="none"/>
          <w:lang w:val="zh-CN" w:eastAsia="zh-CN"/>
        </w:rPr>
        <w:t>供应商</w:t>
      </w:r>
      <w:r>
        <w:rPr>
          <w:rFonts w:hint="eastAsia" w:ascii="宋体" w:hAnsi="宋体" w:eastAsia="宋体" w:cs="宋体"/>
          <w:b/>
          <w:color w:val="auto"/>
          <w:kern w:val="2"/>
          <w:sz w:val="30"/>
          <w:szCs w:val="30"/>
          <w:highlight w:val="none"/>
          <w:lang w:val="zh-CN"/>
        </w:rPr>
        <w:t>提供一份</w:t>
      </w:r>
      <w:r>
        <w:rPr>
          <w:rFonts w:hint="eastAsia" w:ascii="宋体" w:hAnsi="宋体" w:eastAsia="宋体" w:cs="宋体"/>
          <w:b/>
          <w:color w:val="auto"/>
          <w:kern w:val="2"/>
          <w:sz w:val="30"/>
          <w:szCs w:val="30"/>
          <w:highlight w:val="none"/>
          <w:lang w:val="en-US" w:eastAsia="zh-CN"/>
        </w:rPr>
        <w:t>2021</w:t>
      </w:r>
      <w:r>
        <w:rPr>
          <w:rFonts w:hint="eastAsia" w:ascii="宋体" w:hAnsi="宋体" w:eastAsia="宋体" w:cs="宋体"/>
          <w:b/>
          <w:color w:val="auto"/>
          <w:kern w:val="2"/>
          <w:sz w:val="30"/>
          <w:szCs w:val="30"/>
          <w:highlight w:val="none"/>
          <w:lang w:val="zh-CN"/>
        </w:rPr>
        <w:t>年</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月</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日以来</w:t>
      </w:r>
      <w:r>
        <w:rPr>
          <w:rFonts w:hint="eastAsia" w:ascii="宋体" w:hAnsi="宋体" w:eastAsia="宋体" w:cs="宋体"/>
          <w:b/>
          <w:color w:val="auto"/>
          <w:kern w:val="2"/>
          <w:sz w:val="30"/>
          <w:szCs w:val="30"/>
          <w:highlight w:val="none"/>
          <w:lang w:val="zh-CN" w:eastAsia="zh-CN"/>
        </w:rPr>
        <w:t>系统(或软件）开发</w:t>
      </w:r>
      <w:r>
        <w:rPr>
          <w:rFonts w:hint="eastAsia" w:ascii="宋体" w:hAnsi="宋体" w:eastAsia="宋体" w:cs="宋体"/>
          <w:b/>
          <w:color w:val="auto"/>
          <w:kern w:val="2"/>
          <w:sz w:val="30"/>
          <w:szCs w:val="30"/>
          <w:highlight w:val="none"/>
          <w:lang w:val="en-US" w:eastAsia="zh-CN"/>
        </w:rPr>
        <w:t>或</w:t>
      </w:r>
      <w:r>
        <w:rPr>
          <w:rFonts w:hint="eastAsia" w:ascii="宋体" w:hAnsi="宋体" w:eastAsia="宋体" w:cs="宋体"/>
          <w:b/>
          <w:color w:val="auto"/>
          <w:kern w:val="2"/>
          <w:sz w:val="30"/>
          <w:szCs w:val="30"/>
          <w:highlight w:val="none"/>
          <w:lang w:val="zh-CN" w:eastAsia="zh-CN"/>
        </w:rPr>
        <w:t>设计</w:t>
      </w:r>
      <w:r>
        <w:rPr>
          <w:rFonts w:hint="eastAsia" w:ascii="宋体" w:hAnsi="宋体" w:eastAsia="宋体" w:cs="宋体"/>
          <w:b/>
          <w:color w:val="auto"/>
          <w:kern w:val="2"/>
          <w:sz w:val="30"/>
          <w:szCs w:val="30"/>
          <w:highlight w:val="none"/>
          <w:lang w:val="zh-CN"/>
        </w:rPr>
        <w:t>业绩（合同签订日期为</w:t>
      </w:r>
      <w:r>
        <w:rPr>
          <w:rFonts w:hint="eastAsia" w:ascii="宋体" w:hAnsi="宋体" w:eastAsia="宋体" w:cs="宋体"/>
          <w:b/>
          <w:color w:val="auto"/>
          <w:kern w:val="2"/>
          <w:sz w:val="30"/>
          <w:szCs w:val="30"/>
          <w:highlight w:val="none"/>
          <w:lang w:val="en-US" w:eastAsia="zh-CN"/>
        </w:rPr>
        <w:t>2021</w:t>
      </w:r>
      <w:r>
        <w:rPr>
          <w:rFonts w:hint="eastAsia" w:ascii="宋体" w:hAnsi="宋体" w:eastAsia="宋体" w:cs="宋体"/>
          <w:b/>
          <w:color w:val="auto"/>
          <w:kern w:val="2"/>
          <w:sz w:val="30"/>
          <w:szCs w:val="30"/>
          <w:highlight w:val="none"/>
          <w:lang w:val="zh-CN"/>
        </w:rPr>
        <w:t>年</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月</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日或以后）】</w:t>
      </w:r>
    </w:p>
    <w:p>
      <w:pPr>
        <w:outlineLvl w:val="9"/>
        <w:rPr>
          <w:rFonts w:hint="eastAsia" w:ascii="宋体" w:hAnsi="宋体" w:eastAsia="宋体" w:cs="宋体"/>
          <w:b/>
          <w:color w:val="auto"/>
          <w:kern w:val="2"/>
          <w:sz w:val="30"/>
          <w:szCs w:val="30"/>
          <w:highlight w:val="none"/>
          <w:lang w:val="zh-CN"/>
        </w:rPr>
      </w:pPr>
    </w:p>
    <w:tbl>
      <w:tblPr>
        <w:tblStyle w:val="55"/>
        <w:tblW w:w="466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5"/>
        <w:gridCol w:w="1178"/>
        <w:gridCol w:w="2813"/>
        <w:gridCol w:w="1913"/>
        <w:gridCol w:w="20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ind w:left="0" w:right="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序号</w:t>
            </w:r>
          </w:p>
        </w:tc>
        <w:tc>
          <w:tcPr>
            <w:tcW w:w="6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ind w:left="0" w:right="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项目名称</w:t>
            </w:r>
          </w:p>
        </w:tc>
        <w:tc>
          <w:tcPr>
            <w:tcW w:w="162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ind w:left="0" w:right="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负责的主要服务内容</w:t>
            </w:r>
          </w:p>
        </w:tc>
        <w:tc>
          <w:tcPr>
            <w:tcW w:w="11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签约日期</w:t>
            </w:r>
          </w:p>
        </w:tc>
        <w:tc>
          <w:tcPr>
            <w:tcW w:w="11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ind w:left="0" w:right="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业主联系人及电话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ind w:left="0" w:right="0"/>
              <w:jc w:val="center"/>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p>
        </w:tc>
        <w:tc>
          <w:tcPr>
            <w:tcW w:w="6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ind w:left="0" w:right="0"/>
              <w:jc w:val="center"/>
              <w:outlineLvl w:val="9"/>
              <w:rPr>
                <w:rFonts w:hint="eastAsia" w:ascii="宋体" w:hAnsi="宋体" w:eastAsia="宋体" w:cs="宋体"/>
                <w:color w:val="auto"/>
                <w:kern w:val="2"/>
                <w:sz w:val="21"/>
                <w:szCs w:val="21"/>
                <w:highlight w:val="none"/>
              </w:rPr>
            </w:pPr>
          </w:p>
        </w:tc>
        <w:tc>
          <w:tcPr>
            <w:tcW w:w="162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ind w:left="0" w:right="0"/>
              <w:jc w:val="center"/>
              <w:outlineLvl w:val="9"/>
              <w:rPr>
                <w:rFonts w:hint="eastAsia" w:ascii="宋体" w:hAnsi="宋体" w:eastAsia="宋体" w:cs="宋体"/>
                <w:color w:val="auto"/>
                <w:kern w:val="2"/>
                <w:sz w:val="21"/>
                <w:szCs w:val="21"/>
                <w:highlight w:val="none"/>
              </w:rPr>
            </w:pPr>
          </w:p>
        </w:tc>
        <w:tc>
          <w:tcPr>
            <w:tcW w:w="110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rPr>
            </w:pPr>
          </w:p>
        </w:tc>
        <w:tc>
          <w:tcPr>
            <w:tcW w:w="11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42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ind w:left="0" w:right="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67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ind w:left="0" w:right="0"/>
              <w:jc w:val="center"/>
              <w:outlineLvl w:val="9"/>
              <w:rPr>
                <w:rFonts w:hint="eastAsia" w:ascii="宋体" w:hAnsi="宋体" w:eastAsia="宋体" w:cs="宋体"/>
                <w:color w:val="auto"/>
                <w:kern w:val="2"/>
                <w:sz w:val="21"/>
                <w:szCs w:val="21"/>
                <w:highlight w:val="none"/>
              </w:rPr>
            </w:pPr>
          </w:p>
        </w:tc>
        <w:tc>
          <w:tcPr>
            <w:tcW w:w="162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ind w:left="0" w:right="0"/>
              <w:jc w:val="center"/>
              <w:outlineLvl w:val="9"/>
              <w:rPr>
                <w:rFonts w:hint="eastAsia" w:ascii="宋体" w:hAnsi="宋体" w:eastAsia="宋体" w:cs="宋体"/>
                <w:color w:val="auto"/>
                <w:kern w:val="2"/>
                <w:sz w:val="21"/>
                <w:szCs w:val="21"/>
                <w:highlight w:val="none"/>
              </w:rPr>
            </w:pPr>
          </w:p>
        </w:tc>
        <w:tc>
          <w:tcPr>
            <w:tcW w:w="110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rPr>
            </w:pPr>
          </w:p>
        </w:tc>
        <w:tc>
          <w:tcPr>
            <w:tcW w:w="11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autoSpaceDN/>
              <w:adjustRightInd/>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rPr>
            </w:pPr>
          </w:p>
        </w:tc>
      </w:tr>
    </w:tbl>
    <w:p>
      <w:pPr>
        <w:pStyle w:val="73"/>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（1）作为</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资格条件证明的业绩放置在此处。</w:t>
      </w:r>
    </w:p>
    <w:p>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lang w:val="en-US" w:eastAsia="zh-CN"/>
        </w:rPr>
        <w:t>资格</w:t>
      </w:r>
      <w:r>
        <w:rPr>
          <w:rFonts w:hint="eastAsia" w:ascii="宋体" w:hAnsi="宋体" w:eastAsia="宋体" w:cs="宋体"/>
          <w:b/>
          <w:color w:val="auto"/>
          <w:sz w:val="21"/>
          <w:szCs w:val="21"/>
          <w:highlight w:val="none"/>
          <w:u w:val="single"/>
          <w:lang w:val="zh-CN"/>
        </w:rPr>
        <w:t>业绩</w:t>
      </w:r>
      <w:r>
        <w:rPr>
          <w:rFonts w:hint="eastAsia" w:ascii="宋体" w:hAnsi="宋体" w:eastAsia="宋体" w:cs="宋体"/>
          <w:b/>
          <w:bCs w:val="0"/>
          <w:color w:val="auto"/>
          <w:kern w:val="2"/>
          <w:sz w:val="21"/>
          <w:szCs w:val="21"/>
          <w:highlight w:val="none"/>
          <w:u w:val="single"/>
          <w:lang w:val="zh-CN"/>
        </w:rPr>
        <w:t>必须</w:t>
      </w:r>
      <w:r>
        <w:rPr>
          <w:rFonts w:hint="eastAsia" w:ascii="宋体" w:hAnsi="宋体" w:eastAsia="宋体" w:cs="宋体"/>
          <w:b/>
          <w:color w:val="auto"/>
          <w:sz w:val="21"/>
          <w:szCs w:val="21"/>
          <w:highlight w:val="none"/>
          <w:u w:val="single"/>
          <w:lang w:val="zh-CN"/>
        </w:rPr>
        <w:t>附合同复印件。若合同无法反映合同签订时间、合同服务内容的，还需提供服务购买方出具的书面补充情况说明文件复印件作为辅助证明</w:t>
      </w:r>
      <w:r>
        <w:rPr>
          <w:rFonts w:hint="eastAsia" w:ascii="宋体" w:hAnsi="宋体" w:eastAsia="宋体" w:cs="宋体"/>
          <w:b/>
          <w:color w:val="auto"/>
          <w:sz w:val="21"/>
          <w:szCs w:val="21"/>
          <w:highlight w:val="none"/>
          <w:lang w:val="zh-CN"/>
        </w:rPr>
        <w:t>。</w:t>
      </w:r>
    </w:p>
    <w:p>
      <w:pPr>
        <w:keepNext w:val="0"/>
        <w:keepLines w:val="0"/>
        <w:pageBreakBefore w:val="0"/>
        <w:widowControl w:val="0"/>
        <w:kinsoku/>
        <w:wordWrap/>
        <w:overflowPunct/>
        <w:topLinePunct w:val="0"/>
        <w:autoSpaceDE/>
        <w:autoSpaceDN/>
        <w:bidi w:val="0"/>
        <w:adjustRightInd/>
        <w:snapToGrid w:val="0"/>
        <w:spacing w:line="360" w:lineRule="auto"/>
        <w:ind w:left="344" w:leftChars="-58" w:hanging="483" w:hangingChars="229"/>
        <w:jc w:val="both"/>
        <w:textAlignment w:val="auto"/>
        <w:outlineLvl w:val="9"/>
        <w:rPr>
          <w:rFonts w:hint="eastAsia" w:ascii="宋体" w:hAnsi="宋体" w:eastAsia="宋体" w:cs="宋体"/>
          <w:b/>
          <w:color w:val="auto"/>
          <w:sz w:val="21"/>
          <w:szCs w:val="21"/>
          <w:highlight w:val="none"/>
          <w:lang w:val="zh-CN"/>
        </w:rPr>
      </w:pPr>
      <w:bookmarkStart w:id="599" w:name="_Toc20010"/>
      <w:bookmarkStart w:id="600" w:name="_Toc24862"/>
      <w:bookmarkStart w:id="601" w:name="_Toc12931"/>
      <w:r>
        <w:rPr>
          <w:rFonts w:hint="eastAsia" w:ascii="宋体" w:hAnsi="宋体" w:eastAsia="宋体" w:cs="宋体"/>
          <w:b/>
          <w:color w:val="auto"/>
          <w:sz w:val="21"/>
          <w:szCs w:val="21"/>
          <w:highlight w:val="none"/>
          <w:lang w:val="zh-CN"/>
        </w:rPr>
        <w:t>（3）</w:t>
      </w:r>
      <w:r>
        <w:rPr>
          <w:rFonts w:hint="eastAsia" w:ascii="宋体" w:hAnsi="宋体" w:eastAsia="宋体" w:cs="宋体"/>
          <w:b/>
          <w:color w:val="auto"/>
          <w:sz w:val="21"/>
          <w:szCs w:val="21"/>
          <w:highlight w:val="none"/>
          <w:u w:val="single"/>
          <w:lang w:val="zh-CN"/>
        </w:rPr>
        <w:t>合同业绩证明材料必须满足下列条件：①合同签订日期为202</w:t>
      </w:r>
      <w:r>
        <w:rPr>
          <w:rFonts w:hint="eastAsia" w:ascii="宋体" w:hAnsi="宋体" w:eastAsia="宋体" w:cs="宋体"/>
          <w:b/>
          <w:color w:val="auto"/>
          <w:sz w:val="21"/>
          <w:szCs w:val="21"/>
          <w:highlight w:val="none"/>
          <w:u w:val="single"/>
        </w:rPr>
        <w:t>1</w:t>
      </w:r>
      <w:r>
        <w:rPr>
          <w:rFonts w:hint="eastAsia" w:ascii="宋体" w:hAnsi="宋体" w:eastAsia="宋体" w:cs="宋体"/>
          <w:b/>
          <w:color w:val="auto"/>
          <w:sz w:val="21"/>
          <w:szCs w:val="21"/>
          <w:highlight w:val="none"/>
          <w:u w:val="single"/>
          <w:lang w:val="zh-CN"/>
        </w:rPr>
        <w:t>年1月1日或以后；②合同服务内容为</w:t>
      </w:r>
      <w:r>
        <w:rPr>
          <w:rFonts w:hint="eastAsia" w:ascii="宋体" w:hAnsi="宋体" w:eastAsia="宋体" w:cs="宋体"/>
          <w:b/>
          <w:color w:val="auto"/>
          <w:sz w:val="21"/>
          <w:szCs w:val="21"/>
          <w:highlight w:val="none"/>
          <w:u w:val="single"/>
          <w:lang w:val="zh-CN" w:eastAsia="zh-CN"/>
        </w:rPr>
        <w:t>系统(或软件）开发</w:t>
      </w:r>
      <w:r>
        <w:rPr>
          <w:rFonts w:hint="eastAsia" w:ascii="宋体" w:hAnsi="宋体" w:eastAsia="宋体" w:cs="宋体"/>
          <w:b/>
          <w:color w:val="auto"/>
          <w:sz w:val="21"/>
          <w:szCs w:val="21"/>
          <w:highlight w:val="none"/>
          <w:u w:val="single"/>
          <w:lang w:val="en-US" w:eastAsia="zh-CN"/>
        </w:rPr>
        <w:t>或</w:t>
      </w:r>
      <w:r>
        <w:rPr>
          <w:rFonts w:hint="eastAsia" w:ascii="宋体" w:hAnsi="宋体" w:eastAsia="宋体" w:cs="宋体"/>
          <w:b/>
          <w:color w:val="auto"/>
          <w:sz w:val="21"/>
          <w:szCs w:val="21"/>
          <w:highlight w:val="none"/>
          <w:u w:val="single"/>
          <w:lang w:val="zh-CN" w:eastAsia="zh-CN"/>
        </w:rPr>
        <w:t>设计</w:t>
      </w:r>
      <w:r>
        <w:rPr>
          <w:rFonts w:hint="eastAsia" w:ascii="宋体" w:hAnsi="宋体" w:eastAsia="宋体" w:cs="宋体"/>
          <w:b/>
          <w:color w:val="auto"/>
          <w:sz w:val="21"/>
          <w:szCs w:val="21"/>
          <w:highlight w:val="none"/>
          <w:lang w:val="zh-CN"/>
        </w:rPr>
        <w:t>。</w:t>
      </w:r>
    </w:p>
    <w:p>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zh-CN"/>
        </w:rPr>
        <w:t>）</w:t>
      </w:r>
      <w:bookmarkEnd w:id="599"/>
      <w:bookmarkEnd w:id="600"/>
      <w:bookmarkEnd w:id="601"/>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eastAsia="宋体" w:cs="宋体"/>
          <w:b/>
          <w:color w:val="auto"/>
          <w:sz w:val="21"/>
          <w:szCs w:val="21"/>
          <w:highlight w:val="none"/>
          <w:u w:val="none"/>
          <w:lang w:val="en-US" w:eastAsia="zh-CN"/>
        </w:rPr>
        <w:t>响应</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pPr>
        <w:tabs>
          <w:tab w:val="left" w:pos="567"/>
        </w:tabs>
        <w:rPr>
          <w:rFonts w:hint="eastAsia" w:ascii="宋体" w:hAnsi="宋体" w:eastAsia="宋体" w:cs="宋体"/>
          <w:color w:val="auto"/>
          <w:highlight w:val="none"/>
        </w:rPr>
      </w:pPr>
    </w:p>
    <w:p>
      <w:pPr>
        <w:pStyle w:val="73"/>
        <w:rPr>
          <w:rFonts w:hint="eastAsia" w:ascii="宋体" w:hAnsi="宋体" w:eastAsia="宋体" w:cs="宋体"/>
          <w:color w:val="auto"/>
          <w:highlight w:val="none"/>
        </w:rPr>
      </w:pPr>
    </w:p>
    <w:p>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bookmarkStart w:id="602" w:name="_Toc21843"/>
      <w:bookmarkStart w:id="603" w:name="_Toc7508"/>
      <w:bookmarkStart w:id="604" w:name="_Toc8121"/>
      <w:bookmarkStart w:id="605" w:name="_Toc1123957"/>
      <w:bookmarkStart w:id="606" w:name="_Toc79146603"/>
      <w:bookmarkStart w:id="607" w:name="_Toc521918324"/>
      <w:bookmarkStart w:id="608" w:name="_Toc40288704"/>
      <w:bookmarkStart w:id="609" w:name="_Toc522047386"/>
      <w:bookmarkStart w:id="610" w:name="_Toc532576770"/>
      <w:bookmarkStart w:id="611" w:name="_Toc54334012"/>
      <w:bookmarkStart w:id="612" w:name="_Toc56076629"/>
      <w:bookmarkStart w:id="613" w:name="_Toc19008830"/>
      <w:bookmarkStart w:id="614" w:name="_Toc521576306"/>
      <w:bookmarkStart w:id="615" w:name="_Toc38982595"/>
      <w:bookmarkStart w:id="616" w:name="_Toc521918127"/>
      <w:bookmarkStart w:id="617" w:name="_Toc5098074"/>
      <w:r>
        <w:rPr>
          <w:rFonts w:hint="eastAsia" w:ascii="宋体" w:hAnsi="宋体" w:eastAsia="宋体" w:cs="宋体"/>
          <w:b/>
          <w:color w:val="auto"/>
          <w:kern w:val="0"/>
          <w:sz w:val="30"/>
          <w:szCs w:val="30"/>
          <w:highlight w:val="none"/>
        </w:rPr>
        <w:t>5.5 最近3年</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牵涉的其他（失信和违法）处罚说明格式</w:t>
      </w:r>
      <w:bookmarkEnd w:id="602"/>
      <w:bookmarkEnd w:id="603"/>
      <w:bookmarkEnd w:id="604"/>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30"/>
          <w:szCs w:val="30"/>
          <w:highlight w:val="none"/>
        </w:rPr>
      </w:pP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kern w:val="2"/>
          <w:sz w:val="30"/>
          <w:szCs w:val="30"/>
          <w:highlight w:val="none"/>
          <w:lang w:val="zh-CN"/>
        </w:rPr>
        <w:t>处罚说明</w:t>
      </w:r>
    </w:p>
    <w:bookmarkEnd w:id="605"/>
    <w:bookmarkEnd w:id="606"/>
    <w:bookmarkEnd w:id="607"/>
    <w:bookmarkEnd w:id="608"/>
    <w:bookmarkEnd w:id="609"/>
    <w:bookmarkEnd w:id="610"/>
    <w:bookmarkEnd w:id="611"/>
    <w:bookmarkEnd w:id="612"/>
    <w:bookmarkEnd w:id="613"/>
    <w:bookmarkEnd w:id="614"/>
    <w:bookmarkEnd w:id="615"/>
    <w:bookmarkEnd w:id="616"/>
    <w:bookmarkEnd w:id="617"/>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是否被认定为严重违法失信行为记录名单</w:t>
            </w:r>
          </w:p>
        </w:tc>
        <w:tc>
          <w:tcPr>
            <w:tcW w:w="156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pPr>
        <w:spacing w:line="360" w:lineRule="auto"/>
        <w:rPr>
          <w:rFonts w:hint="eastAsia" w:ascii="宋体" w:hAnsi="宋体" w:eastAsia="宋体" w:cs="宋体"/>
          <w:color w:val="auto"/>
          <w:sz w:val="21"/>
          <w:szCs w:val="21"/>
          <w:highlight w:val="none"/>
          <w:shd w:val="clear" w:color="auto" w:fill="FFFFFF"/>
        </w:rPr>
      </w:pPr>
    </w:p>
    <w:p>
      <w:pPr>
        <w:autoSpaceDE w:val="0"/>
        <w:autoSpaceDN w:val="0"/>
        <w:adjustRightInd w:val="0"/>
        <w:spacing w:line="360" w:lineRule="auto"/>
        <w:jc w:val="left"/>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shd w:val="clear" w:color="auto" w:fill="FFFFFF"/>
        </w:rPr>
        <w:t>备注：根据</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pPr>
        <w:spacing w:line="360" w:lineRule="auto"/>
        <w:rPr>
          <w:rFonts w:hint="eastAsia" w:ascii="宋体" w:hAnsi="宋体" w:eastAsia="宋体" w:cs="宋体"/>
          <w:color w:val="auto"/>
          <w:kern w:val="2"/>
          <w:sz w:val="21"/>
          <w:szCs w:val="21"/>
          <w:highlight w:val="none"/>
          <w:lang w:val="zh-CN"/>
        </w:rPr>
      </w:pPr>
    </w:p>
    <w:p>
      <w:pPr>
        <w:spacing w:line="360" w:lineRule="auto"/>
        <w:rPr>
          <w:rFonts w:hint="eastAsia" w:ascii="宋体" w:hAnsi="宋体" w:eastAsia="宋体" w:cs="宋体"/>
          <w:color w:val="auto"/>
          <w:kern w:val="2"/>
          <w:sz w:val="21"/>
          <w:szCs w:val="21"/>
          <w:highlight w:val="none"/>
          <w:lang w:val="zh-CN"/>
        </w:rPr>
      </w:pPr>
    </w:p>
    <w:p>
      <w:pPr>
        <w:spacing w:line="360" w:lineRule="auto"/>
        <w:rPr>
          <w:rFonts w:hint="eastAsia" w:ascii="宋体" w:hAnsi="宋体" w:eastAsia="宋体" w:cs="宋体"/>
          <w:color w:val="auto"/>
          <w:sz w:val="21"/>
          <w:szCs w:val="21"/>
          <w:highlight w:val="none"/>
          <w:shd w:val="clear" w:color="auto" w:fill="FFFFFF"/>
        </w:rPr>
      </w:pPr>
    </w:p>
    <w:p>
      <w:pPr>
        <w:spacing w:line="360" w:lineRule="auto"/>
        <w:jc w:val="center"/>
        <w:rPr>
          <w:rFonts w:hint="eastAsia" w:ascii="宋体" w:hAnsi="宋体" w:eastAsia="宋体" w:cs="宋体"/>
          <w:color w:val="auto"/>
          <w:highlight w:val="none"/>
        </w:rPr>
      </w:pPr>
    </w:p>
    <w:p>
      <w:pPr>
        <w:autoSpaceDE/>
        <w:autoSpaceDN/>
        <w:adjustRightInd/>
        <w:spacing w:line="360" w:lineRule="auto"/>
        <w:ind w:right="420" w:firstLine="4410" w:firstLineChars="21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r>
        <w:rPr>
          <w:rFonts w:hint="eastAsia" w:ascii="宋体" w:hAnsi="宋体" w:eastAsia="宋体" w:cs="宋体"/>
          <w:color w:val="auto"/>
          <w:sz w:val="21"/>
          <w:szCs w:val="21"/>
          <w:highlight w:val="none"/>
          <w:lang w:val="zh-CN"/>
        </w:rPr>
        <w:t>（加盖供应商法人公章）</w:t>
      </w:r>
    </w:p>
    <w:p>
      <w:pPr>
        <w:keepNext w:val="0"/>
        <w:keepLines w:val="0"/>
        <w:pageBreakBefore w:val="0"/>
        <w:widowControl w:val="0"/>
        <w:kinsoku/>
        <w:wordWrap/>
        <w:overflowPunct/>
        <w:topLinePunct w:val="0"/>
        <w:autoSpaceDE w:val="0"/>
        <w:autoSpaceDN w:val="0"/>
        <w:bidi w:val="0"/>
        <w:adjustRightInd w:val="0"/>
        <w:snapToGrid/>
        <w:spacing w:line="360" w:lineRule="auto"/>
        <w:ind w:right="896" w:firstLine="2835" w:firstLineChars="135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               日  期：   年  月  日</w:t>
      </w:r>
    </w:p>
    <w:p>
      <w:pPr>
        <w:spacing w:line="360" w:lineRule="auto"/>
        <w:rPr>
          <w:rFonts w:hint="eastAsia" w:ascii="宋体" w:hAnsi="宋体" w:eastAsia="宋体" w:cs="宋体"/>
          <w:color w:val="auto"/>
          <w:kern w:val="2"/>
          <w:sz w:val="21"/>
          <w:szCs w:val="21"/>
          <w:highlight w:val="none"/>
          <w:lang w:val="zh-CN"/>
        </w:rPr>
      </w:pPr>
    </w:p>
    <w:p>
      <w:pPr>
        <w:spacing w:line="360" w:lineRule="auto"/>
        <w:rPr>
          <w:rFonts w:hint="eastAsia" w:ascii="宋体" w:hAnsi="宋体" w:eastAsia="宋体" w:cs="宋体"/>
          <w:color w:val="auto"/>
          <w:kern w:val="2"/>
          <w:sz w:val="21"/>
          <w:szCs w:val="21"/>
          <w:highlight w:val="none"/>
          <w:lang w:val="zh-CN"/>
        </w:rPr>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597"/>
    <w:bookmarkEnd w:id="598"/>
    <w:p>
      <w:pPr>
        <w:outlineLvl w:val="1"/>
        <w:rPr>
          <w:rFonts w:hint="eastAsia" w:ascii="宋体" w:hAnsi="宋体" w:eastAsia="宋体" w:cs="宋体"/>
          <w:b/>
          <w:color w:val="auto"/>
          <w:sz w:val="32"/>
          <w:szCs w:val="32"/>
          <w:highlight w:val="none"/>
        </w:rPr>
      </w:pPr>
      <w:bookmarkStart w:id="618" w:name="_Toc79146605"/>
      <w:bookmarkStart w:id="619" w:name="_Toc13178"/>
      <w:bookmarkStart w:id="620" w:name="_Toc23120"/>
      <w:bookmarkStart w:id="621" w:name="_Toc54342745"/>
      <w:bookmarkStart w:id="622" w:name="_Toc14938"/>
      <w:bookmarkStart w:id="623" w:name="_Toc193"/>
      <w:bookmarkStart w:id="624" w:name="_Toc1835"/>
      <w:bookmarkStart w:id="625" w:name="_Toc14716"/>
      <w:bookmarkStart w:id="626" w:name="_Toc5098076"/>
      <w:bookmarkStart w:id="627" w:name="_Toc1123959"/>
      <w:bookmarkStart w:id="628" w:name="_Toc490169466"/>
      <w:bookmarkStart w:id="629" w:name="_Toc54334014"/>
      <w:bookmarkStart w:id="630" w:name="_Toc56076633"/>
      <w:bookmarkStart w:id="631" w:name="_Toc497746566"/>
      <w:bookmarkStart w:id="632" w:name="_Toc495907136"/>
      <w:bookmarkStart w:id="633" w:name="_Toc19008832"/>
      <w:bookmarkStart w:id="634" w:name="_Toc521918129"/>
      <w:r>
        <w:rPr>
          <w:rFonts w:hint="eastAsia" w:ascii="宋体" w:hAnsi="宋体" w:eastAsia="宋体" w:cs="宋体"/>
          <w:b/>
          <w:color w:val="auto"/>
          <w:kern w:val="2"/>
          <w:sz w:val="32"/>
          <w:szCs w:val="32"/>
          <w:highlight w:val="none"/>
          <w:lang w:val="en-US" w:eastAsia="zh-CN"/>
        </w:rPr>
        <w:t>六</w:t>
      </w:r>
      <w:r>
        <w:rPr>
          <w:rFonts w:hint="eastAsia" w:ascii="宋体" w:hAnsi="宋体" w:eastAsia="宋体" w:cs="宋体"/>
          <w:b/>
          <w:color w:val="auto"/>
          <w:sz w:val="32"/>
          <w:szCs w:val="32"/>
          <w:highlight w:val="none"/>
        </w:rPr>
        <w:t>、供应商基本情况一览表</w:t>
      </w:r>
      <w:bookmarkEnd w:id="618"/>
      <w:bookmarkEnd w:id="619"/>
      <w:bookmarkEnd w:id="620"/>
      <w:bookmarkEnd w:id="621"/>
      <w:bookmarkEnd w:id="622"/>
      <w:bookmarkEnd w:id="623"/>
      <w:bookmarkEnd w:id="624"/>
      <w:bookmarkEnd w:id="625"/>
    </w:p>
    <w:p>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jc w:val="center"/>
        <w:textAlignment w:val="auto"/>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供应商基本情况一览表</w:t>
      </w:r>
    </w:p>
    <w:p>
      <w:pPr>
        <w:snapToGrid w:val="0"/>
        <w:spacing w:line="360" w:lineRule="auto"/>
        <w:ind w:firstLine="315" w:firstLineChars="1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1、名称及概况：</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（1）供应商名称：</w:t>
      </w:r>
      <w:r>
        <w:rPr>
          <w:rFonts w:hint="eastAsia" w:ascii="宋体" w:hAnsi="宋体" w:eastAsia="宋体" w:cs="宋体"/>
          <w:color w:val="auto"/>
          <w:kern w:val="2"/>
          <w:sz w:val="21"/>
          <w:highlight w:val="none"/>
          <w:u w:val="single"/>
          <w:lang w:val="en-US" w:eastAsia="zh-CN"/>
        </w:rPr>
        <w:t xml:space="preserve">                                       </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（2）总部地址：</w:t>
      </w:r>
      <w:r>
        <w:rPr>
          <w:rFonts w:hint="eastAsia" w:ascii="宋体" w:hAnsi="宋体" w:eastAsia="宋体" w:cs="宋体"/>
          <w:color w:val="auto"/>
          <w:kern w:val="2"/>
          <w:sz w:val="21"/>
          <w:highlight w:val="none"/>
          <w:u w:val="single"/>
          <w:lang w:val="en-US" w:eastAsia="zh-CN"/>
        </w:rPr>
        <w:t xml:space="preserve">                                         </w:t>
      </w:r>
    </w:p>
    <w:p>
      <w:pPr>
        <w:spacing w:line="360" w:lineRule="auto"/>
        <w:ind w:firstLine="735" w:firstLineChars="350"/>
        <w:jc w:val="both"/>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邮政编码：</w:t>
      </w:r>
      <w:r>
        <w:rPr>
          <w:rFonts w:hint="eastAsia" w:ascii="宋体" w:hAnsi="宋体" w:eastAsia="宋体" w:cs="宋体"/>
          <w:color w:val="auto"/>
          <w:kern w:val="2"/>
          <w:sz w:val="21"/>
          <w:highlight w:val="none"/>
          <w:u w:val="single"/>
          <w:lang w:val="en-US" w:eastAsia="zh-CN"/>
        </w:rPr>
        <w:t xml:space="preserve">                                         </w:t>
      </w:r>
    </w:p>
    <w:p>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电话号码：_________________________________________</w:t>
      </w:r>
    </w:p>
    <w:p>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传真号码：_________________________________________</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（3）成立</w:t>
      </w:r>
      <w:r>
        <w:rPr>
          <w:rFonts w:hint="eastAsia" w:ascii="宋体" w:hAnsi="宋体" w:eastAsia="宋体" w:cs="宋体"/>
          <w:color w:val="auto"/>
          <w:kern w:val="2"/>
          <w:sz w:val="21"/>
          <w:highlight w:val="none"/>
          <w:lang w:val="en-US" w:eastAsia="zh-CN"/>
        </w:rPr>
        <w:t>和/</w:t>
      </w:r>
      <w:r>
        <w:rPr>
          <w:rFonts w:hint="eastAsia" w:ascii="宋体" w:hAnsi="宋体" w:eastAsia="宋体" w:cs="宋体"/>
          <w:color w:val="auto"/>
          <w:kern w:val="2"/>
          <w:sz w:val="21"/>
          <w:highlight w:val="none"/>
          <w:lang w:val="zh-CN"/>
        </w:rPr>
        <w:t>或注册日期：</w:t>
      </w:r>
      <w:r>
        <w:rPr>
          <w:rFonts w:hint="eastAsia" w:ascii="宋体" w:hAnsi="宋体" w:eastAsia="宋体" w:cs="宋体"/>
          <w:color w:val="auto"/>
          <w:kern w:val="2"/>
          <w:sz w:val="21"/>
          <w:highlight w:val="none"/>
          <w:u w:val="single"/>
          <w:lang w:val="en-US" w:eastAsia="zh-CN"/>
        </w:rPr>
        <w:t xml:space="preserve">                                </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（4）法定代表人：</w:t>
      </w:r>
      <w:r>
        <w:rPr>
          <w:rFonts w:hint="eastAsia" w:ascii="宋体" w:hAnsi="宋体" w:eastAsia="宋体" w:cs="宋体"/>
          <w:color w:val="auto"/>
          <w:kern w:val="2"/>
          <w:sz w:val="21"/>
          <w:highlight w:val="none"/>
          <w:u w:val="single"/>
          <w:lang w:val="en-US" w:eastAsia="zh-CN"/>
        </w:rPr>
        <w:t xml:space="preserve">                                       </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（5）开户银行：_________________________________________ </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（6）开户账号：_________________________________________ </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（7）注册资</w:t>
      </w:r>
      <w:r>
        <w:rPr>
          <w:rFonts w:hint="eastAsia" w:ascii="宋体" w:hAnsi="宋体" w:eastAsia="宋体" w:cs="宋体"/>
          <w:color w:val="auto"/>
          <w:kern w:val="2"/>
          <w:sz w:val="21"/>
          <w:highlight w:val="none"/>
          <w:lang w:val="en-US" w:eastAsia="zh-CN"/>
        </w:rPr>
        <w:t>金</w:t>
      </w:r>
      <w:r>
        <w:rPr>
          <w:rFonts w:hint="eastAsia" w:ascii="宋体" w:hAnsi="宋体" w:eastAsia="宋体" w:cs="宋体"/>
          <w:color w:val="auto"/>
          <w:kern w:val="2"/>
          <w:sz w:val="21"/>
          <w:highlight w:val="none"/>
          <w:lang w:val="zh-CN"/>
        </w:rPr>
        <w:t xml:space="preserve">：_________________________________________ </w:t>
      </w:r>
    </w:p>
    <w:p>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（8）主要负责人姓名：___________________________________</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（9）项目主要联系人（姓名、职务、</w:t>
      </w:r>
      <w:r>
        <w:rPr>
          <w:rFonts w:hint="eastAsia" w:ascii="宋体" w:hAnsi="宋体" w:eastAsia="宋体" w:cs="宋体"/>
          <w:color w:val="auto"/>
          <w:kern w:val="2"/>
          <w:sz w:val="21"/>
          <w:highlight w:val="none"/>
          <w:lang w:val="en-US" w:eastAsia="zh-CN"/>
        </w:rPr>
        <w:t>通讯</w:t>
      </w:r>
      <w:r>
        <w:rPr>
          <w:rFonts w:hint="eastAsia" w:ascii="宋体" w:hAnsi="宋体" w:eastAsia="宋体" w:cs="宋体"/>
          <w:color w:val="auto"/>
          <w:kern w:val="2"/>
          <w:sz w:val="21"/>
          <w:highlight w:val="none"/>
          <w:lang w:val="zh-CN"/>
        </w:rPr>
        <w:t>）：_______________</w:t>
      </w:r>
    </w:p>
    <w:p>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（10）在中国的代表的姓名和地址（如有）：________________</w:t>
      </w:r>
    </w:p>
    <w:p>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2、供征询之银行的名称和地址：__________________________</w:t>
      </w:r>
    </w:p>
    <w:p>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3、公司所隶属之国际集团名称（如果是）__________________</w:t>
      </w:r>
    </w:p>
    <w:p>
      <w:pPr>
        <w:snapToGrid w:val="0"/>
        <w:spacing w:line="360" w:lineRule="auto"/>
        <w:ind w:firstLine="315" w:firstLineChars="15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4、提交资料（包括但不限于组织架构、公司简介等）：</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（1）公司简介；</w:t>
      </w:r>
    </w:p>
    <w:p>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（2）公司组织架构；</w:t>
      </w:r>
    </w:p>
    <w:p>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（3）东莞市内设有分支机构情况介绍[应提供该分支机构的多证合一营业执照复印件等证明材料]（若无前述分支机构的无需介绍）。</w:t>
      </w:r>
    </w:p>
    <w:p>
      <w:pPr>
        <w:spacing w:line="360" w:lineRule="auto"/>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兹证明上述说明是真实、正确的，并提供了全部能提供的资料和数据，我们同意遵照贵方要求出示有关证明文件。</w:t>
      </w:r>
    </w:p>
    <w:p>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pPr>
        <w:spacing w:line="360" w:lineRule="auto"/>
        <w:ind w:firstLine="504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   年   月   日</w:t>
      </w:r>
    </w:p>
    <w:p>
      <w:pPr>
        <w:pStyle w:val="5"/>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635" w:name="_Toc20214"/>
      <w:bookmarkStart w:id="636" w:name="_Toc7954"/>
      <w:bookmarkStart w:id="637" w:name="_Toc22780"/>
      <w:bookmarkStart w:id="638" w:name="_Toc79146606"/>
      <w:bookmarkStart w:id="639" w:name="_Toc17562"/>
      <w:bookmarkStart w:id="640" w:name="_Toc19838"/>
      <w:bookmarkStart w:id="641" w:name="_Toc14606"/>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财务状况表格式</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 xml:space="preserve">财务状况表 </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[价格单位：（人民币）元]</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度</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总资产（元）</w:t>
            </w: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净资产（元）</w:t>
            </w:r>
          </w:p>
        </w:tc>
        <w:tc>
          <w:tcPr>
            <w:tcW w:w="271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年营业额（元）</w:t>
            </w: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2020</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2021</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2022</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总计</w:t>
            </w: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bl>
    <w:p>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备注：需</w:t>
      </w:r>
      <w:r>
        <w:rPr>
          <w:rFonts w:hint="eastAsia" w:ascii="宋体" w:hAnsi="宋体" w:eastAsia="宋体" w:cs="宋体"/>
          <w:b w:val="0"/>
          <w:bCs w:val="0"/>
          <w:color w:val="auto"/>
          <w:sz w:val="21"/>
          <w:szCs w:val="21"/>
          <w:highlight w:val="none"/>
          <w:lang w:val="zh-CN"/>
        </w:rPr>
        <w:t>提供2020年、2021年、2022年三个年度</w:t>
      </w:r>
      <w:r>
        <w:rPr>
          <w:rFonts w:hint="eastAsia" w:ascii="宋体" w:hAnsi="宋体" w:eastAsia="宋体" w:cs="宋体"/>
          <w:color w:val="auto"/>
          <w:sz w:val="21"/>
          <w:szCs w:val="21"/>
          <w:highlight w:val="none"/>
        </w:rPr>
        <w:t>对应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经独立会计师事务所审计的审计报告及</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财务状况表；若</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为新成立或未进行独立会计师事务所审计的，本表中对应年度的财务信息应填写“/”，</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文件不作无效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处理，但存在因不符合</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办法中的评分标准而导致对应项不得分。</w:t>
      </w:r>
    </w:p>
    <w:p>
      <w:pPr>
        <w:spacing w:line="360" w:lineRule="auto"/>
        <w:rPr>
          <w:rFonts w:hint="eastAsia" w:ascii="宋体" w:hAnsi="宋体" w:eastAsia="宋体" w:cs="宋体"/>
          <w:color w:val="auto"/>
          <w:sz w:val="21"/>
          <w:szCs w:val="21"/>
          <w:highlight w:val="none"/>
        </w:rPr>
      </w:pPr>
    </w:p>
    <w:p>
      <w:pPr>
        <w:pStyle w:val="187"/>
        <w:spacing w:line="360" w:lineRule="auto"/>
        <w:ind w:firstLine="433"/>
        <w:rPr>
          <w:rFonts w:hint="eastAsia" w:ascii="宋体" w:hAnsi="宋体" w:eastAsia="宋体" w:cs="宋体"/>
          <w:color w:val="auto"/>
          <w:sz w:val="21"/>
          <w:szCs w:val="21"/>
          <w:highlight w:val="none"/>
        </w:rPr>
      </w:pPr>
    </w:p>
    <w:p>
      <w:pPr>
        <w:spacing w:line="360" w:lineRule="auto"/>
        <w:ind w:firstLine="5829" w:firstLineChars="2776"/>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pPr>
        <w:keepNext w:val="0"/>
        <w:keepLines w:val="0"/>
        <w:pageBreakBefore w:val="0"/>
        <w:widowControl w:val="0"/>
        <w:kinsoku/>
        <w:wordWrap/>
        <w:overflowPunct/>
        <w:topLinePunct w:val="0"/>
        <w:autoSpaceDE w:val="0"/>
        <w:autoSpaceDN w:val="0"/>
        <w:bidi w:val="0"/>
        <w:adjustRightInd w:val="0"/>
        <w:snapToGrid/>
        <w:spacing w:line="360" w:lineRule="auto"/>
        <w:ind w:firstLine="5835" w:firstLineChars="27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pPr>
        <w:numPr>
          <w:ilvl w:val="0"/>
          <w:numId w:val="12"/>
        </w:numPr>
        <w:rPr>
          <w:rFonts w:hint="eastAsia" w:ascii="宋体" w:hAnsi="宋体" w:eastAsia="宋体" w:cs="宋体"/>
          <w:b/>
          <w:bCs w:val="0"/>
          <w:color w:val="auto"/>
          <w:sz w:val="32"/>
          <w:szCs w:val="32"/>
          <w:highlight w:val="none"/>
          <w:lang w:val="en-US" w:eastAsia="zh-CN" w:bidi="ar-SA"/>
        </w:rPr>
      </w:pPr>
      <w:r>
        <w:rPr>
          <w:rFonts w:hint="eastAsia" w:ascii="宋体" w:hAnsi="宋体" w:eastAsia="宋体" w:cs="宋体"/>
          <w:b/>
          <w:bCs w:val="0"/>
          <w:color w:val="auto"/>
          <w:sz w:val="32"/>
          <w:szCs w:val="32"/>
          <w:highlight w:val="none"/>
          <w:lang w:val="en-US" w:eastAsia="zh-CN" w:bidi="ar-SA"/>
        </w:rPr>
        <w:br w:type="page"/>
      </w:r>
    </w:p>
    <w:p>
      <w:pPr>
        <w:pStyle w:val="5"/>
        <w:numPr>
          <w:ilvl w:val="0"/>
          <w:numId w:val="0"/>
        </w:numPr>
        <w:rPr>
          <w:rFonts w:hint="eastAsia" w:ascii="宋体" w:hAnsi="宋体" w:eastAsia="宋体" w:cs="宋体"/>
          <w:b/>
          <w:bCs w:val="0"/>
          <w:color w:val="auto"/>
          <w:sz w:val="32"/>
          <w:szCs w:val="32"/>
          <w:highlight w:val="none"/>
          <w:lang w:val="en-US" w:eastAsia="zh-CN" w:bidi="ar-SA"/>
        </w:rPr>
      </w:pPr>
      <w:bookmarkStart w:id="642" w:name="_Toc20936"/>
      <w:bookmarkStart w:id="643" w:name="_Toc26305"/>
      <w:bookmarkStart w:id="644" w:name="_Toc4756"/>
      <w:bookmarkStart w:id="645" w:name="_Toc23206"/>
      <w:r>
        <w:rPr>
          <w:rFonts w:hint="eastAsia" w:ascii="宋体" w:hAnsi="宋体" w:eastAsia="宋体" w:cs="宋体"/>
          <w:b/>
          <w:bCs w:val="0"/>
          <w:color w:val="auto"/>
          <w:sz w:val="32"/>
          <w:szCs w:val="32"/>
          <w:highlight w:val="none"/>
          <w:lang w:val="en-US" w:eastAsia="zh-CN" w:bidi="ar-SA"/>
        </w:rPr>
        <w:t>八、</w:t>
      </w:r>
      <w:bookmarkEnd w:id="642"/>
      <w:bookmarkStart w:id="646" w:name="_Toc79146604"/>
      <w:bookmarkStart w:id="647" w:name="_Toc56076630"/>
      <w:bookmarkStart w:id="648" w:name="_Toc19008831"/>
      <w:bookmarkStart w:id="649" w:name="_Toc5098075"/>
      <w:bookmarkStart w:id="650" w:name="_Toc1123958"/>
      <w:bookmarkStart w:id="651" w:name="_Toc54334013"/>
      <w:bookmarkStart w:id="652" w:name="_Toc521918128"/>
      <w:bookmarkStart w:id="653" w:name="_Toc56076634"/>
      <w:bookmarkStart w:id="654" w:name="_Toc79146607"/>
      <w:r>
        <w:rPr>
          <w:rFonts w:hint="eastAsia" w:ascii="宋体" w:hAnsi="宋体" w:eastAsia="宋体" w:cs="宋体"/>
          <w:b/>
          <w:bCs w:val="0"/>
          <w:color w:val="auto"/>
          <w:sz w:val="32"/>
          <w:szCs w:val="32"/>
          <w:highlight w:val="none"/>
          <w:lang w:val="en-US" w:eastAsia="zh-CN" w:bidi="ar-SA"/>
        </w:rPr>
        <w:t>标准化体系认证</w:t>
      </w:r>
      <w:bookmarkEnd w:id="643"/>
      <w:bookmarkEnd w:id="644"/>
      <w:bookmarkEnd w:id="645"/>
    </w:p>
    <w:p>
      <w:pPr>
        <w:tabs>
          <w:tab w:val="left" w:pos="567"/>
        </w:tabs>
        <w:autoSpaceDE w:val="0"/>
        <w:autoSpaceDN w:val="0"/>
        <w:adjustRightInd w:val="0"/>
        <w:spacing w:line="360" w:lineRule="auto"/>
        <w:jc w:val="both"/>
        <w:outlineLvl w:val="9"/>
        <w:rPr>
          <w:rFonts w:hint="eastAsia" w:ascii="宋体" w:hAnsi="宋体" w:eastAsia="宋体" w:cs="宋体"/>
          <w:b w:val="0"/>
          <w:bCs/>
          <w:color w:val="auto"/>
          <w:kern w:val="0"/>
          <w:sz w:val="21"/>
          <w:szCs w:val="21"/>
          <w:highlight w:val="none"/>
        </w:rPr>
      </w:pPr>
    </w:p>
    <w:p>
      <w:pPr>
        <w:tabs>
          <w:tab w:val="left" w:pos="567"/>
        </w:tabs>
        <w:autoSpaceDE w:val="0"/>
        <w:autoSpaceDN w:val="0"/>
        <w:adjustRightInd w:val="0"/>
        <w:spacing w:line="360" w:lineRule="auto"/>
        <w:ind w:firstLine="420" w:firstLineChars="200"/>
        <w:jc w:val="both"/>
        <w:outlineLvl w:val="9"/>
        <w:rPr>
          <w:rFonts w:hint="eastAsia" w:ascii="宋体" w:hAnsi="宋体" w:eastAsia="宋体" w:cs="宋体"/>
          <w:b w:val="0"/>
          <w:bCs/>
          <w:color w:val="auto"/>
          <w:kern w:val="0"/>
          <w:sz w:val="21"/>
          <w:szCs w:val="21"/>
          <w:highlight w:val="none"/>
          <w:lang w:val="zh-CN" w:eastAsia="zh-CN"/>
        </w:rPr>
      </w:pPr>
      <w:r>
        <w:rPr>
          <w:rFonts w:hint="eastAsia" w:ascii="宋体" w:hAnsi="宋体" w:eastAsia="宋体" w:cs="宋体"/>
          <w:b w:val="0"/>
          <w:bCs/>
          <w:color w:val="auto"/>
          <w:kern w:val="0"/>
          <w:sz w:val="21"/>
          <w:szCs w:val="21"/>
          <w:highlight w:val="none"/>
        </w:rPr>
        <w:t>备</w:t>
      </w:r>
      <w:r>
        <w:rPr>
          <w:rFonts w:hint="eastAsia" w:ascii="宋体" w:hAnsi="宋体" w:eastAsia="宋体"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zh-CN" w:eastAsia="zh-CN"/>
        </w:rPr>
        <w:t>供应商应提供上述证书复印件及能显示证书有效状态的全国认证认可信息公共服务平台(http://cx.cnca.cn/)查询结果凭证{凭证界面显示有“全国认证认可信息公共服务平台”或“认证证书(需显示网址cx.cnca.cn)”}。</w:t>
      </w:r>
    </w:p>
    <w:p>
      <w:pPr>
        <w:pStyle w:val="5"/>
        <w:keepNext w:val="0"/>
        <w:keepLines w:val="0"/>
        <w:pageBreakBefore/>
        <w:widowControl w:val="0"/>
        <w:kinsoku/>
        <w:wordWrap/>
        <w:overflowPunct/>
        <w:topLinePunct w:val="0"/>
        <w:autoSpaceDE w:val="0"/>
        <w:autoSpaceDN w:val="0"/>
        <w:bidi w:val="0"/>
        <w:adjustRightInd w:val="0"/>
        <w:snapToGrid/>
        <w:textAlignment w:val="auto"/>
        <w:rPr>
          <w:rFonts w:hint="eastAsia" w:ascii="宋体" w:hAnsi="宋体" w:eastAsia="宋体" w:cs="宋体"/>
          <w:b/>
          <w:color w:val="auto"/>
          <w:sz w:val="32"/>
          <w:szCs w:val="32"/>
          <w:highlight w:val="none"/>
        </w:rPr>
      </w:pPr>
      <w:bookmarkStart w:id="655" w:name="_Toc11069"/>
      <w:bookmarkStart w:id="656" w:name="_Toc16191"/>
      <w:bookmarkStart w:id="657" w:name="_Toc29911"/>
      <w:bookmarkStart w:id="658" w:name="_Toc14594"/>
      <w:bookmarkStart w:id="659" w:name="_Toc25060"/>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lang w:val="zh-CN"/>
        </w:rPr>
        <w:t>合同条款偏离表格式</w:t>
      </w:r>
      <w:bookmarkEnd w:id="655"/>
      <w:bookmarkEnd w:id="656"/>
      <w:bookmarkEnd w:id="657"/>
      <w:bookmarkEnd w:id="658"/>
      <w:bookmarkEnd w:id="659"/>
    </w:p>
    <w:p>
      <w:pPr>
        <w:rPr>
          <w:rFonts w:hint="eastAsia" w:ascii="宋体" w:hAnsi="宋体" w:eastAsia="宋体" w:cs="宋体"/>
          <w:color w:val="auto"/>
          <w:highlight w:val="none"/>
        </w:rPr>
      </w:pPr>
    </w:p>
    <w:p>
      <w:pPr>
        <w:jc w:val="center"/>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lang w:val="zh-CN"/>
        </w:rPr>
        <w:t>合同条款偏离表</w:t>
      </w:r>
    </w:p>
    <w:tbl>
      <w:tblPr>
        <w:tblStyle w:val="5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34"/>
        <w:gridCol w:w="2533"/>
        <w:gridCol w:w="1864"/>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6" w:hRule="atLeast"/>
          <w:jc w:val="center"/>
        </w:trPr>
        <w:tc>
          <w:tcPr>
            <w:tcW w:w="906"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序号</w:t>
            </w:r>
          </w:p>
        </w:tc>
        <w:tc>
          <w:tcPr>
            <w:tcW w:w="3767"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合同要求</w:t>
            </w:r>
          </w:p>
        </w:tc>
        <w:tc>
          <w:tcPr>
            <w:tcW w:w="4613" w:type="dxa"/>
            <w:gridSpan w:val="2"/>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906"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条款号</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简要内容</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偏离情况</w:t>
            </w: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服务范围</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合同价款及支付方式</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双方的权利与义务</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维护期</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交付及验收</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六</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其它约定</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七</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违约责任</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八</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lang w:val="zh-CN" w:eastAsia="zh-CN"/>
              </w:rPr>
              <w:t>的变更与终止</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九</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不可抗力</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10</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十</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争议的解决</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11</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十一</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其他</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12</w:t>
            </w:r>
          </w:p>
        </w:tc>
        <w:tc>
          <w:tcPr>
            <w:tcW w:w="123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附件二</w:t>
            </w:r>
          </w:p>
        </w:tc>
        <w:tc>
          <w:tcPr>
            <w:tcW w:w="2533"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阳光合作告知函</w:t>
            </w:r>
          </w:p>
        </w:tc>
        <w:tc>
          <w:tcPr>
            <w:tcW w:w="1864"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bl>
    <w:p>
      <w:pPr>
        <w:spacing w:line="360" w:lineRule="auto"/>
        <w:ind w:firstLine="420" w:firstLineChars="200"/>
        <w:rPr>
          <w:rFonts w:hint="eastAsia" w:ascii="宋体" w:hAnsi="宋体" w:eastAsia="宋体" w:cs="宋体"/>
          <w:color w:val="auto"/>
          <w:sz w:val="21"/>
          <w:szCs w:val="21"/>
          <w:highlight w:val="none"/>
        </w:rPr>
      </w:pPr>
    </w:p>
    <w:p>
      <w:pPr>
        <w:snapToGrid w:val="0"/>
        <w:spacing w:line="360" w:lineRule="auto"/>
        <w:ind w:left="379" w:leftChars="-58" w:hanging="518" w:hangingChars="2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napToGrid w:val="0"/>
        <w:spacing w:line="360" w:lineRule="auto"/>
        <w:ind w:left="711" w:leftChars="59" w:hanging="569" w:hangingChars="27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u w:val="single"/>
          <w:lang w:eastAsia="zh-CN"/>
        </w:rPr>
        <w:t>供应商</w:t>
      </w:r>
      <w:r>
        <w:rPr>
          <w:rFonts w:hint="eastAsia" w:ascii="宋体" w:hAnsi="宋体" w:eastAsia="宋体" w:cs="宋体"/>
          <w:b/>
          <w:color w:val="auto"/>
          <w:sz w:val="21"/>
          <w:szCs w:val="21"/>
          <w:highlight w:val="none"/>
          <w:u w:val="single"/>
        </w:rPr>
        <w:t>应对照竞争性磋商文件合同格式内合同条款及附件，逐条、如实地填写“偏离情况”。“偏离情况”项为正偏离（或负偏离）的，必须在“具体偏离内容”项内详细说明与合同的偏离内容，“偏离情况”项为无偏离的，在“具体偏离内容”项内可不填或填“无”。若发现虚假填写本表，或对合同及其附件响应有负偏离的，按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文件处理。若发现此表未逐条填写视为完全满足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w:t>
      </w:r>
      <w:r>
        <w:rPr>
          <w:rFonts w:hint="eastAsia" w:ascii="宋体" w:hAnsi="宋体" w:eastAsia="宋体" w:cs="宋体"/>
          <w:b/>
          <w:color w:val="auto"/>
          <w:sz w:val="21"/>
          <w:szCs w:val="21"/>
          <w:highlight w:val="none"/>
          <w:u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667" w:leftChars="59"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）偏离情况（响应文件对竞争性磋商文件合同条款的响应程度）分为：正偏离、负偏离、无偏离。正偏离是指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提供的服务（或货物、或工程）商务条件优于竞争性磋商文件的要求；负偏离是指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提供的服务（或货物、或工程）商务条件不满足或不完全满足竞争性磋商文件的要求；无偏离是指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提供的服务（或货物、或工程）商务条件完全满足竞争性磋商文件的要求。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left="667" w:leftChars="59"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差异内容较多可另附页说明，</w:t>
      </w:r>
      <w:r>
        <w:rPr>
          <w:rFonts w:hint="eastAsia" w:ascii="宋体" w:hAnsi="宋体" w:eastAsia="宋体" w:cs="宋体"/>
          <w:color w:val="auto"/>
          <w:sz w:val="21"/>
          <w:szCs w:val="21"/>
          <w:highlight w:val="none"/>
          <w:lang w:val="zh-CN"/>
        </w:rPr>
        <w:t>并在本偏离表“具体偏离内容”项注明其在响应文件中的具体页码</w:t>
      </w:r>
      <w:r>
        <w:rPr>
          <w:rFonts w:hint="eastAsia" w:ascii="宋体" w:hAnsi="宋体" w:eastAsia="宋体" w:cs="宋体"/>
          <w:color w:val="auto"/>
          <w:sz w:val="21"/>
          <w:szCs w:val="21"/>
          <w:highlight w:val="none"/>
        </w:rPr>
        <w:t>。</w:t>
      </w:r>
    </w:p>
    <w:p>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pPr>
        <w:keepNext w:val="0"/>
        <w:keepLines w:val="0"/>
        <w:pageBreakBefore/>
        <w:widowControl w:val="0"/>
        <w:kinsoku/>
        <w:wordWrap/>
        <w:overflowPunct/>
        <w:topLinePunct w:val="0"/>
        <w:autoSpaceDE w:val="0"/>
        <w:autoSpaceDN w:val="0"/>
        <w:bidi w:val="0"/>
        <w:adjustRightInd w:val="0"/>
        <w:snapToGrid/>
        <w:spacing w:before="120" w:beforeLines="50" w:line="360" w:lineRule="auto"/>
        <w:ind w:left="0" w:hanging="643" w:hangingChars="200"/>
        <w:textAlignment w:val="auto"/>
        <w:outlineLvl w:val="1"/>
        <w:rPr>
          <w:rFonts w:hint="eastAsia" w:ascii="宋体" w:hAnsi="宋体" w:eastAsia="宋体" w:cs="宋体"/>
          <w:b/>
          <w:color w:val="auto"/>
          <w:sz w:val="32"/>
          <w:szCs w:val="32"/>
          <w:highlight w:val="none"/>
        </w:rPr>
      </w:pPr>
      <w:bookmarkStart w:id="660" w:name="_Toc16182"/>
      <w:bookmarkStart w:id="661" w:name="_Toc11329"/>
      <w:bookmarkStart w:id="662" w:name="_Toc24906"/>
      <w:r>
        <w:rPr>
          <w:rFonts w:hint="eastAsia" w:ascii="宋体" w:hAnsi="宋体" w:eastAsia="宋体" w:cs="宋体"/>
          <w:b/>
          <w:color w:val="auto"/>
          <w:sz w:val="32"/>
          <w:szCs w:val="32"/>
          <w:highlight w:val="none"/>
          <w:lang w:val="en-US" w:eastAsia="zh-CN" w:bidi="ar-SA"/>
        </w:rPr>
        <w:t>十、</w:t>
      </w:r>
      <w:bookmarkEnd w:id="646"/>
      <w:r>
        <w:rPr>
          <w:rFonts w:hint="eastAsia" w:ascii="宋体" w:hAnsi="宋体" w:eastAsia="宋体" w:cs="宋体"/>
          <w:b/>
          <w:color w:val="auto"/>
          <w:sz w:val="32"/>
          <w:szCs w:val="32"/>
          <w:highlight w:val="none"/>
          <w:lang w:val="en-US" w:eastAsia="zh-CN" w:bidi="ar-SA"/>
        </w:rPr>
        <w:t>业绩表格式</w:t>
      </w:r>
      <w:bookmarkEnd w:id="660"/>
      <w:bookmarkEnd w:id="661"/>
      <w:bookmarkEnd w:id="662"/>
    </w:p>
    <w:p>
      <w:pPr>
        <w:keepNext w:val="0"/>
        <w:keepLines w:val="0"/>
        <w:pageBreakBefore w:val="0"/>
        <w:widowControl w:val="0"/>
        <w:kinsoku/>
        <w:wordWrap/>
        <w:overflowPunct/>
        <w:topLinePunct w:val="0"/>
        <w:autoSpaceDE/>
        <w:autoSpaceDN/>
        <w:bidi w:val="0"/>
        <w:adjustRightInd/>
        <w:snapToGrid w:val="0"/>
        <w:spacing w:line="360" w:lineRule="auto"/>
        <w:ind w:left="278" w:leftChars="116" w:firstLine="0" w:firstLineChars="0"/>
        <w:jc w:val="left"/>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供应商2021年1月1日以来（签订合同的时间为2021年1月1日或以后）承接</w:t>
      </w:r>
      <w:r>
        <w:rPr>
          <w:rFonts w:hint="eastAsia" w:ascii="宋体" w:hAnsi="宋体" w:eastAsia="宋体" w:cs="宋体"/>
          <w:bCs/>
          <w:color w:val="auto"/>
          <w:kern w:val="2"/>
          <w:sz w:val="21"/>
          <w:szCs w:val="21"/>
          <w:highlight w:val="none"/>
        </w:rPr>
        <w:t>的</w:t>
      </w:r>
      <w:r>
        <w:rPr>
          <w:rFonts w:hint="eastAsia" w:ascii="宋体" w:hAnsi="宋体" w:eastAsia="宋体" w:cs="宋体"/>
          <w:bCs/>
          <w:color w:val="auto"/>
          <w:kern w:val="2"/>
          <w:sz w:val="21"/>
          <w:szCs w:val="21"/>
          <w:highlight w:val="none"/>
          <w:lang w:val="en-US" w:eastAsia="zh-CN"/>
        </w:rPr>
        <w:t>系统(或软件）开发或设计</w:t>
      </w:r>
      <w:r>
        <w:rPr>
          <w:rFonts w:hint="eastAsia" w:ascii="宋体" w:hAnsi="宋体" w:eastAsia="宋体" w:cs="宋体"/>
          <w:bCs/>
          <w:color w:val="auto"/>
          <w:kern w:val="2"/>
          <w:sz w:val="21"/>
          <w:szCs w:val="21"/>
          <w:highlight w:val="none"/>
          <w:lang w:val="zh-CN"/>
        </w:rPr>
        <w:t>业绩</w:t>
      </w:r>
      <w:r>
        <w:rPr>
          <w:rFonts w:hint="eastAsia" w:ascii="宋体" w:hAnsi="宋体" w:eastAsia="宋体" w:cs="宋体"/>
          <w:bCs/>
          <w:color w:val="auto"/>
          <w:kern w:val="2"/>
          <w:sz w:val="21"/>
          <w:szCs w:val="21"/>
          <w:highlight w:val="none"/>
        </w:rPr>
        <w:t>表</w:t>
      </w:r>
    </w:p>
    <w:tbl>
      <w:tblPr>
        <w:tblStyle w:val="55"/>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019"/>
        <w:gridCol w:w="1561"/>
        <w:gridCol w:w="1413"/>
        <w:gridCol w:w="1383"/>
        <w:gridCol w:w="992"/>
        <w:gridCol w:w="1598"/>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49"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3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合同金额</w:t>
            </w:r>
          </w:p>
        </w:tc>
        <w:tc>
          <w:tcPr>
            <w:tcW w:w="992"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合同服务期截止时间</w:t>
            </w:r>
          </w:p>
        </w:tc>
        <w:tc>
          <w:tcPr>
            <w:tcW w:w="1598"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598" w:type="dxa"/>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89" w:hRule="exact"/>
          <w:jc w:val="center"/>
        </w:trPr>
        <w:tc>
          <w:tcPr>
            <w:tcW w:w="101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tabs>
          <w:tab w:val="left" w:pos="0"/>
        </w:tabs>
        <w:spacing w:line="360" w:lineRule="auto"/>
        <w:ind w:right="-34"/>
        <w:jc w:val="both"/>
        <w:rPr>
          <w:rFonts w:hint="eastAsia" w:ascii="宋体" w:hAnsi="宋体" w:eastAsia="宋体" w:cs="宋体"/>
          <w:color w:val="auto"/>
          <w:sz w:val="21"/>
          <w:szCs w:val="21"/>
          <w:highlight w:val="none"/>
        </w:rPr>
      </w:pPr>
    </w:p>
    <w:p>
      <w:pPr>
        <w:tabs>
          <w:tab w:val="left" w:pos="0"/>
        </w:tabs>
        <w:spacing w:line="360" w:lineRule="auto"/>
        <w:ind w:left="142" w:leftChars="59" w:right="-3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napToGrid w:val="0"/>
        <w:spacing w:line="360" w:lineRule="auto"/>
        <w:ind w:left="850" w:leftChars="118"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b/>
          <w:bCs/>
          <w:color w:val="auto"/>
          <w:sz w:val="21"/>
          <w:szCs w:val="21"/>
          <w:highlight w:val="none"/>
          <w:u w:val="single"/>
          <w:lang w:val="en-US" w:eastAsia="zh-CN"/>
        </w:rPr>
        <w:t>业绩材料需提供合同复印件，同类项目指合同内容包含但不限于以下其中一项服务内容：系统(或软件）开发或设计，否则评审时不予考虑。业绩按单项合同采购金额从高到底的方式排列；同一个单项合同的业绩可以同时在资格业绩和评分业绩重复放置，作为供应商资格条件证明的业绩放置在“5.4资格业绩”处</w:t>
      </w:r>
      <w:r>
        <w:rPr>
          <w:rFonts w:hint="eastAsia" w:ascii="宋体" w:hAnsi="宋体" w:eastAsia="宋体" w:cs="宋体"/>
          <w:color w:val="auto"/>
          <w:sz w:val="21"/>
          <w:szCs w:val="21"/>
          <w:highlight w:val="none"/>
          <w:u w:val="none"/>
          <w:lang w:val="en-US" w:eastAsia="zh-CN"/>
        </w:rPr>
        <w:t>。</w:t>
      </w:r>
    </w:p>
    <w:p>
      <w:pPr>
        <w:snapToGrid w:val="0"/>
        <w:spacing w:line="360" w:lineRule="auto"/>
        <w:ind w:left="850" w:leftChars="118" w:hanging="567" w:hangingChars="27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bCs/>
          <w:i w:val="0"/>
          <w:iCs w:val="0"/>
          <w:color w:val="auto"/>
          <w:sz w:val="21"/>
          <w:szCs w:val="21"/>
          <w:highlight w:val="none"/>
          <w:u w:val="single"/>
          <w:lang w:val="en-US" w:eastAsia="zh-CN"/>
        </w:rPr>
        <w:t>若合同无法反映评分条件（合同签订日期为2021年1月1日或以后、服务内容、合同金额、</w:t>
      </w:r>
      <w:r>
        <w:rPr>
          <w:rFonts w:hint="eastAsia" w:ascii="宋体" w:hAnsi="宋体" w:eastAsia="宋体" w:cs="宋体"/>
          <w:b/>
          <w:bCs/>
          <w:color w:val="auto"/>
          <w:sz w:val="21"/>
          <w:szCs w:val="21"/>
          <w:highlight w:val="none"/>
          <w:u w:val="single"/>
          <w:lang w:val="en-US" w:eastAsia="zh-CN"/>
        </w:rPr>
        <w:t>委托人、受托人</w:t>
      </w:r>
      <w:r>
        <w:rPr>
          <w:rFonts w:hint="eastAsia" w:ascii="宋体" w:hAnsi="宋体" w:eastAsia="宋体" w:cs="宋体"/>
          <w:b/>
          <w:bCs/>
          <w:i w:val="0"/>
          <w:iCs w:val="0"/>
          <w:color w:val="auto"/>
          <w:sz w:val="21"/>
          <w:szCs w:val="21"/>
          <w:highlight w:val="none"/>
          <w:u w:val="single"/>
          <w:lang w:val="en-US" w:eastAsia="zh-CN"/>
        </w:rPr>
        <w:t>）的，还需提供委托人出具的书面补充说明文件复印件作为辅助证明</w:t>
      </w:r>
      <w:r>
        <w:rPr>
          <w:rFonts w:hint="eastAsia" w:ascii="宋体" w:hAnsi="宋体" w:eastAsia="宋体" w:cs="宋体"/>
          <w:b/>
          <w:bCs/>
          <w:i w:val="0"/>
          <w:iCs w:val="0"/>
          <w:color w:val="auto"/>
          <w:sz w:val="21"/>
          <w:szCs w:val="21"/>
          <w:highlight w:val="none"/>
          <w:u w:val="single"/>
        </w:rPr>
        <w:t>，否则视为无效业绩</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u w:val="single"/>
        </w:rPr>
        <w:t>未按上述要求</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提供证明材料的业绩，或</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所附材料无法证明符合本项</w:t>
      </w:r>
      <w:r>
        <w:rPr>
          <w:rFonts w:hint="eastAsia" w:ascii="宋体" w:hAnsi="宋体" w:eastAsia="宋体" w:cs="宋体"/>
          <w:b/>
          <w:bCs/>
          <w:color w:val="auto"/>
          <w:sz w:val="21"/>
          <w:szCs w:val="21"/>
          <w:highlight w:val="none"/>
          <w:u w:val="single"/>
          <w:lang w:val="en-US" w:eastAsia="zh-CN"/>
        </w:rPr>
        <w:t>评分要求的业绩，在评审时将不予考虑</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）采购人有权对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提供的业绩进行核查（包括对全部业绩材料的原件进行核查），若发现弄虚作假，有权取消其</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资格，并将上报监督管理部门，从严处理，列入相应的</w:t>
      </w:r>
      <w:r>
        <w:rPr>
          <w:rFonts w:hint="eastAsia" w:ascii="宋体" w:hAnsi="宋体" w:eastAsia="宋体" w:cs="宋体"/>
          <w:color w:val="auto"/>
          <w:kern w:val="2"/>
          <w:sz w:val="21"/>
          <w:szCs w:val="21"/>
          <w:highlight w:val="none"/>
          <w:lang w:val="zh-CN"/>
        </w:rPr>
        <w:t>‘黑名单’</w:t>
      </w:r>
      <w:r>
        <w:rPr>
          <w:rFonts w:hint="eastAsia" w:ascii="宋体" w:hAnsi="宋体" w:eastAsia="宋体" w:cs="宋体"/>
          <w:color w:val="auto"/>
          <w:sz w:val="21"/>
          <w:szCs w:val="21"/>
          <w:highlight w:val="none"/>
        </w:rPr>
        <w:t>。</w:t>
      </w:r>
    </w:p>
    <w:p>
      <w:pPr>
        <w:tabs>
          <w:tab w:val="left" w:pos="0"/>
        </w:tabs>
        <w:spacing w:line="360" w:lineRule="auto"/>
        <w:ind w:left="142" w:leftChars="59" w:right="-34"/>
        <w:jc w:val="both"/>
        <w:rPr>
          <w:rFonts w:hint="eastAsia" w:ascii="宋体" w:hAnsi="宋体" w:eastAsia="宋体" w:cs="宋体"/>
          <w:color w:val="auto"/>
          <w:sz w:val="21"/>
          <w:szCs w:val="21"/>
          <w:highlight w:val="none"/>
        </w:rPr>
      </w:pPr>
    </w:p>
    <w:p>
      <w:pPr>
        <w:spacing w:line="360" w:lineRule="auto"/>
        <w:ind w:firstLine="5199" w:firstLineChars="2476"/>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zh-CN"/>
        </w:rPr>
        <w:t>供应商：（加盖供应商法人公章）</w:t>
      </w:r>
    </w:p>
    <w:p>
      <w:pPr>
        <w:spacing w:line="360" w:lineRule="auto"/>
        <w:ind w:firstLine="5199" w:firstLineChars="2476"/>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zh-CN"/>
        </w:rPr>
        <w:t>日期：   年    月   日</w:t>
      </w:r>
    </w:p>
    <w:bookmarkEnd w:id="647"/>
    <w:bookmarkEnd w:id="648"/>
    <w:bookmarkEnd w:id="649"/>
    <w:bookmarkEnd w:id="650"/>
    <w:bookmarkEnd w:id="651"/>
    <w:bookmarkEnd w:id="652"/>
    <w:p>
      <w:pPr>
        <w:keepNext w:val="0"/>
        <w:keepLines w:val="0"/>
        <w:pageBreakBefore/>
        <w:widowControl w:val="0"/>
        <w:kinsoku/>
        <w:wordWrap/>
        <w:overflowPunct/>
        <w:topLinePunct w:val="0"/>
        <w:autoSpaceDE w:val="0"/>
        <w:autoSpaceDN w:val="0"/>
        <w:bidi w:val="0"/>
        <w:adjustRightInd w:val="0"/>
        <w:snapToGrid/>
        <w:spacing w:before="120" w:beforeLines="50" w:line="360" w:lineRule="auto"/>
        <w:ind w:left="0" w:hanging="643" w:hangingChars="200"/>
        <w:textAlignment w:val="auto"/>
        <w:outlineLvl w:val="1"/>
        <w:rPr>
          <w:rFonts w:hint="eastAsia" w:ascii="宋体" w:hAnsi="宋体" w:eastAsia="宋体" w:cs="宋体"/>
          <w:b/>
          <w:color w:val="auto"/>
          <w:sz w:val="32"/>
          <w:szCs w:val="32"/>
          <w:highlight w:val="none"/>
        </w:rPr>
      </w:pPr>
      <w:bookmarkStart w:id="663" w:name="_Toc26721"/>
      <w:bookmarkStart w:id="664" w:name="_Toc15982"/>
      <w:bookmarkStart w:id="665" w:name="_Toc22561"/>
      <w:bookmarkStart w:id="666" w:name="_Toc17514"/>
      <w:r>
        <w:rPr>
          <w:rFonts w:hint="eastAsia" w:ascii="宋体" w:hAnsi="宋体" w:eastAsia="宋体" w:cs="宋体"/>
          <w:b/>
          <w:color w:val="auto"/>
          <w:sz w:val="32"/>
          <w:szCs w:val="32"/>
          <w:highlight w:val="none"/>
          <w:lang w:val="en-US" w:eastAsia="zh-CN"/>
        </w:rPr>
        <w:t>十一</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bidi="ar-SA"/>
        </w:rPr>
        <w:t>拟投入本项目的服务人员情况</w:t>
      </w:r>
      <w:bookmarkEnd w:id="663"/>
      <w:bookmarkEnd w:id="664"/>
      <w:bookmarkEnd w:id="665"/>
    </w:p>
    <w:p>
      <w:pPr>
        <w:rPr>
          <w:rFonts w:hint="eastAsia" w:ascii="宋体" w:hAnsi="宋体" w:eastAsia="宋体" w:cs="宋体"/>
          <w:color w:val="auto"/>
          <w:highlight w:val="none"/>
        </w:rPr>
      </w:pPr>
    </w:p>
    <w:p>
      <w:pPr>
        <w:pStyle w:val="187"/>
        <w:spacing w:line="36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拟投入</w:t>
      </w:r>
      <w:r>
        <w:rPr>
          <w:rFonts w:hint="eastAsia" w:ascii="宋体" w:hAnsi="宋体" w:eastAsia="宋体" w:cs="宋体"/>
          <w:b/>
          <w:color w:val="auto"/>
          <w:sz w:val="30"/>
          <w:szCs w:val="30"/>
          <w:highlight w:val="none"/>
          <w:lang w:val="en-US" w:eastAsia="zh-CN"/>
        </w:rPr>
        <w:t>本项目的服务</w:t>
      </w:r>
      <w:r>
        <w:rPr>
          <w:rFonts w:hint="eastAsia" w:ascii="宋体" w:hAnsi="宋体" w:eastAsia="宋体" w:cs="宋体"/>
          <w:b/>
          <w:color w:val="auto"/>
          <w:sz w:val="30"/>
          <w:szCs w:val="30"/>
          <w:highlight w:val="none"/>
        </w:rPr>
        <w:t>人员清单表</w:t>
      </w:r>
    </w:p>
    <w:tbl>
      <w:tblPr>
        <w:tblStyle w:val="55"/>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446"/>
        <w:gridCol w:w="677"/>
        <w:gridCol w:w="677"/>
        <w:gridCol w:w="804"/>
        <w:gridCol w:w="1135"/>
        <w:gridCol w:w="702"/>
        <w:gridCol w:w="1084"/>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（1）此表格式供参照，</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可以根据本表格式内容自行划表填写。</w:t>
      </w:r>
    </w:p>
    <w:p>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（2）拟投入本项目的</w:t>
      </w:r>
      <w:r>
        <w:rPr>
          <w:rFonts w:hint="eastAsia" w:ascii="宋体" w:hAnsi="宋体" w:eastAsia="宋体" w:cs="宋体"/>
          <w:color w:val="auto"/>
          <w:sz w:val="21"/>
          <w:szCs w:val="21"/>
          <w:highlight w:val="none"/>
          <w:lang w:val="en-US" w:eastAsia="zh-CN"/>
        </w:rPr>
        <w:t>项目经理</w:t>
      </w:r>
      <w:r>
        <w:rPr>
          <w:rFonts w:hint="eastAsia" w:ascii="宋体" w:hAnsi="宋体" w:eastAsia="宋体" w:cs="宋体"/>
          <w:color w:val="auto"/>
          <w:sz w:val="21"/>
          <w:szCs w:val="21"/>
          <w:highlight w:val="none"/>
        </w:rPr>
        <w:t>和关键岗位人员需提供简历表。</w:t>
      </w:r>
    </w:p>
    <w:p>
      <w:pPr>
        <w:rPr>
          <w:rFonts w:hint="eastAsia" w:ascii="宋体" w:hAnsi="宋体" w:eastAsia="宋体" w:cs="宋体"/>
          <w:color w:val="auto"/>
          <w:highlight w:val="none"/>
        </w:rPr>
      </w:pPr>
    </w:p>
    <w:p>
      <w:pPr>
        <w:rPr>
          <w:rFonts w:hint="eastAsia" w:ascii="宋体" w:hAnsi="宋体" w:eastAsia="宋体" w:cs="宋体"/>
          <w:b/>
          <w:color w:val="auto"/>
          <w:sz w:val="30"/>
          <w:szCs w:val="30"/>
          <w:highlight w:val="none"/>
        </w:rPr>
      </w:pPr>
    </w:p>
    <w:p>
      <w:pPr>
        <w:spacing w:line="360" w:lineRule="auto"/>
        <w:ind w:firstLine="5199" w:firstLineChars="247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供应商：（加盖供应商法人公章）</w:t>
      </w:r>
    </w:p>
    <w:p>
      <w:pPr>
        <w:spacing w:line="360" w:lineRule="auto"/>
        <w:ind w:firstLine="5199" w:firstLineChars="2476"/>
        <w:jc w:val="both"/>
        <w:rPr>
          <w:rFonts w:hint="eastAsia" w:ascii="宋体" w:hAnsi="宋体" w:eastAsia="宋体" w:cs="宋体"/>
          <w:b/>
          <w:color w:val="auto"/>
          <w:sz w:val="30"/>
          <w:szCs w:val="30"/>
          <w:highlight w:val="none"/>
        </w:rPr>
      </w:pPr>
      <w:r>
        <w:rPr>
          <w:rFonts w:hint="eastAsia" w:ascii="宋体" w:hAnsi="宋体" w:eastAsia="宋体" w:cs="宋体"/>
          <w:color w:val="auto"/>
          <w:kern w:val="2"/>
          <w:sz w:val="21"/>
          <w:szCs w:val="21"/>
          <w:highlight w:val="none"/>
          <w:lang w:val="zh-CN"/>
        </w:rPr>
        <w:t>日期：   年    月   日</w:t>
      </w: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p>
    <w:p>
      <w:pPr>
        <w:rPr>
          <w:rFonts w:hint="eastAsia" w:ascii="宋体" w:hAnsi="宋体" w:eastAsia="宋体" w:cs="宋体"/>
          <w:color w:val="auto"/>
          <w:highlight w:val="none"/>
        </w:rPr>
      </w:pPr>
    </w:p>
    <w:p>
      <w:pPr>
        <w:pStyle w:val="187"/>
        <w:spacing w:line="36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简历表格式</w:t>
      </w: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拟担任本项目</w:t>
      </w:r>
      <w:r>
        <w:rPr>
          <w:rFonts w:hint="eastAsia" w:ascii="宋体" w:hAnsi="宋体" w:eastAsia="宋体" w:cs="宋体"/>
          <w:b/>
          <w:color w:val="auto"/>
          <w:sz w:val="30"/>
          <w:szCs w:val="30"/>
          <w:highlight w:val="none"/>
          <w:u w:val="single"/>
        </w:rPr>
        <w:t xml:space="preserve">     （职位名称）  </w:t>
      </w:r>
      <w:r>
        <w:rPr>
          <w:rFonts w:hint="eastAsia" w:ascii="宋体" w:hAnsi="宋体" w:eastAsia="宋体" w:cs="宋体"/>
          <w:b/>
          <w:color w:val="auto"/>
          <w:sz w:val="30"/>
          <w:szCs w:val="30"/>
          <w:highlight w:val="none"/>
        </w:rPr>
        <w:t>人员简历表</w:t>
      </w:r>
    </w:p>
    <w:tbl>
      <w:tblPr>
        <w:tblStyle w:val="55"/>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91"/>
        <w:gridCol w:w="1509"/>
        <w:gridCol w:w="1421"/>
        <w:gridCol w:w="1609"/>
        <w:gridCol w:w="435"/>
        <w:gridCol w:w="406"/>
        <w:gridCol w:w="816"/>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资格或职称</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4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4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服务内容</w:t>
            </w: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服务单位企业类型</w:t>
            </w: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所任职务</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pStyle w:val="2"/>
        <w:overflowPunct w:val="0"/>
        <w:spacing w:line="360" w:lineRule="exact"/>
        <w:ind w:firstLine="422"/>
        <w:jc w:val="left"/>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备注：</w:t>
      </w:r>
    </w:p>
    <w:p>
      <w:pPr>
        <w:spacing w:line="360" w:lineRule="exact"/>
        <w:ind w:left="850" w:leftChars="118" w:hanging="567" w:hangingChars="27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（1）拟投入本项目的</w:t>
      </w:r>
      <w:r>
        <w:rPr>
          <w:rFonts w:hint="eastAsia" w:ascii="宋体" w:hAnsi="宋体" w:eastAsia="宋体" w:cs="宋体"/>
          <w:color w:val="auto"/>
          <w:sz w:val="21"/>
          <w:szCs w:val="21"/>
          <w:highlight w:val="none"/>
          <w:lang w:eastAsia="zh-CN"/>
        </w:rPr>
        <w:t>项目经理</w:t>
      </w:r>
      <w:r>
        <w:rPr>
          <w:rFonts w:hint="eastAsia" w:ascii="宋体" w:hAnsi="宋体" w:eastAsia="宋体" w:cs="宋体"/>
          <w:color w:val="auto"/>
          <w:sz w:val="21"/>
          <w:szCs w:val="21"/>
          <w:highlight w:val="none"/>
        </w:rPr>
        <w:t>及关键岗位人员需提供简历表。</w:t>
      </w:r>
    </w:p>
    <w:p>
      <w:pPr>
        <w:spacing w:line="360" w:lineRule="exact"/>
        <w:ind w:left="850" w:leftChars="118" w:hanging="567" w:hangingChars="27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（2）须附有资格证书（或注册/执业/岗位证书/技术职称）、</w:t>
      </w:r>
      <w:r>
        <w:rPr>
          <w:rFonts w:hint="eastAsia" w:ascii="宋体" w:hAnsi="宋体" w:eastAsia="宋体" w:cs="宋体"/>
          <w:color w:val="auto"/>
          <w:sz w:val="21"/>
          <w:szCs w:val="21"/>
          <w:highlight w:val="none"/>
          <w:lang w:val="en-US" w:eastAsia="zh-CN"/>
        </w:rPr>
        <w:t>身份证、劳动合同</w:t>
      </w:r>
      <w:r>
        <w:rPr>
          <w:rFonts w:hint="eastAsia" w:ascii="宋体" w:hAnsi="宋体" w:eastAsia="宋体" w:cs="宋体"/>
          <w:color w:val="auto"/>
          <w:sz w:val="21"/>
          <w:szCs w:val="21"/>
          <w:highlight w:val="none"/>
        </w:rPr>
        <w:t>及人力资源和</w:t>
      </w:r>
      <w:r>
        <w:rPr>
          <w:rFonts w:hint="eastAsia" w:ascii="宋体" w:hAnsi="宋体" w:eastAsia="宋体" w:cs="宋体"/>
          <w:color w:val="auto"/>
          <w:kern w:val="2"/>
          <w:sz w:val="21"/>
          <w:szCs w:val="21"/>
          <w:highlight w:val="none"/>
        </w:rPr>
        <w:t>社会保障部门（或税务部门）出具的</w:t>
      </w:r>
      <w:r>
        <w:rPr>
          <w:rFonts w:hint="eastAsia" w:ascii="宋体" w:hAnsi="宋体" w:eastAsia="宋体" w:cs="宋体"/>
          <w:color w:val="auto"/>
          <w:kern w:val="2"/>
          <w:sz w:val="21"/>
          <w:szCs w:val="21"/>
          <w:highlight w:val="none"/>
          <w:lang w:eastAsia="zh-CN"/>
        </w:rPr>
        <w:t>供应</w:t>
      </w:r>
      <w:r>
        <w:rPr>
          <w:rFonts w:hint="eastAsia" w:ascii="宋体" w:hAnsi="宋体" w:eastAsia="宋体" w:cs="宋体"/>
          <w:b w:val="0"/>
          <w:bCs w:val="0"/>
          <w:color w:val="auto"/>
          <w:kern w:val="2"/>
          <w:sz w:val="21"/>
          <w:szCs w:val="21"/>
          <w:highlight w:val="none"/>
          <w:lang w:eastAsia="zh-CN"/>
        </w:rPr>
        <w:t>商</w:t>
      </w:r>
      <w:r>
        <w:rPr>
          <w:rFonts w:hint="eastAsia" w:ascii="宋体" w:hAnsi="宋体" w:eastAsia="宋体" w:cs="宋体"/>
          <w:b/>
          <w:bCs/>
          <w:color w:val="auto"/>
          <w:kern w:val="2"/>
          <w:sz w:val="21"/>
          <w:szCs w:val="21"/>
          <w:highlight w:val="none"/>
          <w:u w:val="single"/>
        </w:rPr>
        <w:t>近六个月（</w:t>
      </w:r>
      <w:r>
        <w:rPr>
          <w:rFonts w:hint="eastAsia" w:ascii="宋体" w:hAnsi="宋体" w:eastAsia="宋体" w:cs="宋体"/>
          <w:b/>
          <w:bCs/>
          <w:color w:val="auto"/>
          <w:sz w:val="21"/>
          <w:szCs w:val="21"/>
          <w:highlight w:val="none"/>
          <w:u w:val="single"/>
          <w:lang w:val="en-US" w:eastAsia="zh-CN"/>
        </w:rPr>
        <w:t>2023年9月、</w:t>
      </w:r>
      <w:r>
        <w:rPr>
          <w:rFonts w:hint="eastAsia" w:ascii="宋体" w:hAnsi="宋体" w:eastAsia="宋体" w:cs="宋体"/>
          <w:b/>
          <w:bCs/>
          <w:color w:val="auto"/>
          <w:sz w:val="21"/>
          <w:szCs w:val="21"/>
          <w:highlight w:val="none"/>
          <w:u w:val="single"/>
          <w:lang w:val="zh-CN"/>
        </w:rPr>
        <w:t>2023年</w:t>
      </w:r>
      <w:r>
        <w:rPr>
          <w:rFonts w:hint="eastAsia" w:ascii="宋体" w:hAnsi="宋体" w:eastAsia="宋体" w:cs="宋体"/>
          <w:b/>
          <w:bCs/>
          <w:color w:val="auto"/>
          <w:sz w:val="21"/>
          <w:szCs w:val="21"/>
          <w:highlight w:val="none"/>
          <w:u w:val="single"/>
        </w:rPr>
        <w:t>10</w:t>
      </w:r>
      <w:r>
        <w:rPr>
          <w:rFonts w:hint="eastAsia" w:ascii="宋体" w:hAnsi="宋体" w:eastAsia="宋体" w:cs="宋体"/>
          <w:b/>
          <w:bCs/>
          <w:color w:val="auto"/>
          <w:sz w:val="21"/>
          <w:szCs w:val="21"/>
          <w:highlight w:val="none"/>
          <w:u w:val="single"/>
          <w:lang w:val="zh-CN"/>
        </w:rPr>
        <w:t>月、2023年</w:t>
      </w:r>
      <w:r>
        <w:rPr>
          <w:rFonts w:hint="eastAsia" w:ascii="宋体" w:hAnsi="宋体" w:eastAsia="宋体" w:cs="宋体"/>
          <w:b/>
          <w:bCs/>
          <w:color w:val="auto"/>
          <w:sz w:val="21"/>
          <w:szCs w:val="21"/>
          <w:highlight w:val="none"/>
          <w:u w:val="single"/>
        </w:rPr>
        <w:t>11</w:t>
      </w:r>
      <w:r>
        <w:rPr>
          <w:rFonts w:hint="eastAsia" w:ascii="宋体" w:hAnsi="宋体" w:eastAsia="宋体" w:cs="宋体"/>
          <w:b/>
          <w:bCs/>
          <w:color w:val="auto"/>
          <w:sz w:val="21"/>
          <w:szCs w:val="21"/>
          <w:highlight w:val="none"/>
          <w:u w:val="single"/>
          <w:lang w:val="zh-CN"/>
        </w:rPr>
        <w:t>月、2023年</w:t>
      </w:r>
      <w:r>
        <w:rPr>
          <w:rFonts w:hint="eastAsia" w:ascii="宋体" w:hAnsi="宋体" w:eastAsia="宋体" w:cs="宋体"/>
          <w:b/>
          <w:bCs/>
          <w:color w:val="auto"/>
          <w:sz w:val="21"/>
          <w:szCs w:val="21"/>
          <w:highlight w:val="none"/>
          <w:u w:val="single"/>
        </w:rPr>
        <w:t>12</w:t>
      </w:r>
      <w:r>
        <w:rPr>
          <w:rFonts w:hint="eastAsia" w:ascii="宋体" w:hAnsi="宋体" w:eastAsia="宋体" w:cs="宋体"/>
          <w:b/>
          <w:bCs/>
          <w:color w:val="auto"/>
          <w:sz w:val="21"/>
          <w:szCs w:val="21"/>
          <w:highlight w:val="none"/>
          <w:u w:val="single"/>
          <w:lang w:val="zh-CN"/>
        </w:rPr>
        <w:t>月、</w:t>
      </w:r>
      <w:r>
        <w:rPr>
          <w:rFonts w:hint="eastAsia" w:ascii="宋体" w:hAnsi="宋体" w:eastAsia="宋体" w:cs="宋体"/>
          <w:b/>
          <w:bCs/>
          <w:color w:val="auto"/>
          <w:sz w:val="21"/>
          <w:szCs w:val="21"/>
          <w:highlight w:val="none"/>
          <w:u w:val="single"/>
          <w:lang w:val="en-US" w:eastAsia="zh-CN"/>
        </w:rPr>
        <w:t>2024年1月、2024年2月</w:t>
      </w:r>
      <w:r>
        <w:rPr>
          <w:rFonts w:hint="eastAsia" w:ascii="宋体" w:hAnsi="宋体" w:eastAsia="宋体" w:cs="宋体"/>
          <w:b/>
          <w:bCs/>
          <w:color w:val="auto"/>
          <w:kern w:val="2"/>
          <w:sz w:val="21"/>
          <w:szCs w:val="21"/>
          <w:highlight w:val="none"/>
          <w:u w:val="single"/>
        </w:rPr>
        <w:t>）</w:t>
      </w:r>
      <w:r>
        <w:rPr>
          <w:rFonts w:hint="eastAsia" w:ascii="宋体" w:hAnsi="宋体" w:eastAsia="宋体" w:cs="宋体"/>
          <w:b/>
          <w:bCs/>
          <w:color w:val="auto"/>
          <w:kern w:val="2"/>
          <w:sz w:val="21"/>
          <w:szCs w:val="21"/>
          <w:highlight w:val="none"/>
        </w:rPr>
        <w:t>为其缴纳</w:t>
      </w:r>
      <w:r>
        <w:rPr>
          <w:rFonts w:hint="eastAsia" w:ascii="宋体" w:hAnsi="宋体" w:eastAsia="宋体" w:cs="宋体"/>
          <w:b/>
          <w:bCs/>
          <w:color w:val="auto"/>
          <w:kern w:val="2"/>
          <w:sz w:val="21"/>
          <w:szCs w:val="21"/>
          <w:highlight w:val="none"/>
          <w:lang w:eastAsia="zh-CN"/>
        </w:rPr>
        <w:t>的</w:t>
      </w:r>
      <w:r>
        <w:rPr>
          <w:rFonts w:hint="eastAsia" w:ascii="宋体" w:hAnsi="宋体" w:eastAsia="宋体" w:cs="宋体"/>
          <w:b/>
          <w:bCs/>
          <w:color w:val="auto"/>
          <w:kern w:val="2"/>
          <w:sz w:val="21"/>
          <w:szCs w:val="21"/>
          <w:highlight w:val="none"/>
        </w:rPr>
        <w:t>社会保险证明复印件</w:t>
      </w:r>
      <w:r>
        <w:rPr>
          <w:rFonts w:hint="eastAsia" w:ascii="宋体" w:hAnsi="宋体" w:eastAsia="宋体" w:cs="宋体"/>
          <w:color w:val="auto"/>
          <w:sz w:val="21"/>
          <w:szCs w:val="21"/>
          <w:highlight w:val="none"/>
          <w:lang w:val="zh-CN"/>
        </w:rPr>
        <w:t>。</w:t>
      </w:r>
    </w:p>
    <w:p>
      <w:pPr>
        <w:spacing w:line="360" w:lineRule="exact"/>
        <w:ind w:left="850" w:leftChars="118" w:hanging="567" w:hangingChars="270"/>
        <w:jc w:val="both"/>
        <w:rPr>
          <w:rFonts w:hint="eastAsia" w:ascii="宋体" w:hAnsi="宋体" w:eastAsia="宋体" w:cs="宋体"/>
          <w:b/>
          <w:color w:val="auto"/>
          <w:sz w:val="32"/>
          <w:szCs w:val="32"/>
          <w:highlight w:val="none"/>
          <w:lang w:val="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）未按上述要求提供证明材料的，或所附材料无法证明符合评分要求的，在评审时将不予考虑，不得分。</w:t>
      </w:r>
    </w:p>
    <w:p>
      <w:pPr>
        <w:pStyle w:val="24"/>
        <w:spacing w:line="360" w:lineRule="auto"/>
        <w:jc w:val="center"/>
        <w:rPr>
          <w:rFonts w:hint="eastAsia" w:ascii="宋体" w:hAnsi="宋体" w:eastAsia="宋体" w:cs="宋体"/>
          <w:color w:val="auto"/>
          <w:sz w:val="84"/>
          <w:highlight w:val="none"/>
        </w:rPr>
      </w:pPr>
    </w:p>
    <w:p>
      <w:pPr>
        <w:pStyle w:val="5"/>
        <w:pageBreakBefore/>
        <w:rPr>
          <w:rFonts w:hint="eastAsia" w:ascii="宋体" w:hAnsi="宋体" w:eastAsia="宋体" w:cs="宋体"/>
          <w:b/>
          <w:color w:val="auto"/>
          <w:sz w:val="32"/>
          <w:szCs w:val="32"/>
          <w:highlight w:val="none"/>
          <w:lang w:val="en-US" w:eastAsia="zh-CN"/>
        </w:rPr>
      </w:pPr>
      <w:bookmarkStart w:id="667" w:name="_Toc1625"/>
      <w:bookmarkStart w:id="668" w:name="_Toc203"/>
      <w:bookmarkStart w:id="669" w:name="_Toc14130"/>
      <w:r>
        <w:rPr>
          <w:rFonts w:hint="eastAsia" w:ascii="宋体" w:hAnsi="宋体" w:eastAsia="宋体" w:cs="宋体"/>
          <w:b/>
          <w:color w:val="auto"/>
          <w:sz w:val="32"/>
          <w:szCs w:val="32"/>
          <w:highlight w:val="none"/>
        </w:rPr>
        <w:t>十</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bookmarkEnd w:id="667"/>
      <w:bookmarkEnd w:id="668"/>
      <w:bookmarkEnd w:id="669"/>
    </w:p>
    <w:p>
      <w:pPr>
        <w:spacing w:before="120" w:beforeLines="50" w:line="360" w:lineRule="auto"/>
        <w:ind w:left="420" w:hanging="420" w:hangingChars="200"/>
        <w:rPr>
          <w:rFonts w:hint="eastAsia" w:ascii="宋体" w:hAnsi="宋体" w:eastAsia="宋体" w:cs="宋体"/>
          <w:color w:val="auto"/>
          <w:sz w:val="21"/>
          <w:szCs w:val="21"/>
          <w:highlight w:val="none"/>
        </w:rPr>
      </w:pPr>
    </w:p>
    <w:p>
      <w:pPr>
        <w:pStyle w:val="2"/>
        <w:rPr>
          <w:rFonts w:hint="eastAsia" w:ascii="宋体" w:hAnsi="宋体" w:eastAsia="宋体" w:cs="宋体"/>
          <w:color w:val="auto"/>
          <w:highlight w:val="none"/>
        </w:rPr>
      </w:pPr>
    </w:p>
    <w:p>
      <w:pPr>
        <w:rPr>
          <w:rFonts w:hint="eastAsia" w:ascii="宋体" w:hAnsi="宋体" w:eastAsia="宋体" w:cs="宋体"/>
          <w:b/>
          <w:color w:val="auto"/>
          <w:sz w:val="32"/>
          <w:szCs w:val="32"/>
          <w:highlight w:val="none"/>
          <w:lang w:val="zh-CN"/>
        </w:rPr>
      </w:pPr>
      <w:bookmarkStart w:id="670" w:name="_Toc29244"/>
      <w:bookmarkStart w:id="671" w:name="_Toc104991887"/>
      <w:bookmarkStart w:id="672" w:name="_Toc140596940"/>
      <w:bookmarkStart w:id="673" w:name="_Toc94107222"/>
      <w:bookmarkStart w:id="674" w:name="_Toc31916"/>
      <w:bookmarkStart w:id="675" w:name="_Toc1977739"/>
      <w:bookmarkStart w:id="676" w:name="_Toc102860085"/>
      <w:bookmarkStart w:id="677" w:name="_Toc102860429"/>
      <w:bookmarkStart w:id="678" w:name="_Toc11449"/>
      <w:bookmarkStart w:id="679" w:name="_Toc142508380"/>
      <w:bookmarkStart w:id="680" w:name="_Toc27482"/>
      <w:bookmarkStart w:id="681" w:name="_Toc18038"/>
      <w:r>
        <w:rPr>
          <w:rFonts w:hint="eastAsia" w:ascii="宋体" w:hAnsi="宋体" w:eastAsia="宋体" w:cs="宋体"/>
          <w:b/>
          <w:color w:val="auto"/>
          <w:sz w:val="32"/>
          <w:szCs w:val="32"/>
          <w:highlight w:val="none"/>
          <w:lang w:val="zh-CN"/>
        </w:rPr>
        <w:br w:type="page"/>
      </w:r>
    </w:p>
    <w:p>
      <w:pPr>
        <w:pStyle w:val="5"/>
        <w:rPr>
          <w:rFonts w:hint="eastAsia" w:ascii="宋体" w:hAnsi="宋体" w:eastAsia="宋体" w:cs="宋体"/>
          <w:b/>
          <w:color w:val="auto"/>
          <w:sz w:val="32"/>
          <w:szCs w:val="32"/>
          <w:highlight w:val="none"/>
          <w:lang w:val="zh-CN"/>
        </w:rPr>
      </w:pPr>
      <w:bookmarkStart w:id="682" w:name="_Toc10034"/>
      <w:r>
        <w:rPr>
          <w:rFonts w:hint="eastAsia" w:ascii="宋体" w:hAnsi="宋体" w:eastAsia="宋体" w:cs="宋体"/>
          <w:b/>
          <w:color w:val="auto"/>
          <w:sz w:val="32"/>
          <w:szCs w:val="32"/>
          <w:highlight w:val="none"/>
          <w:lang w:val="zh-CN"/>
        </w:rPr>
        <w:t>十</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lang w:val="zh-CN"/>
        </w:rPr>
        <w:t>、技术响应文件格式</w:t>
      </w:r>
      <w:bookmarkEnd w:id="670"/>
      <w:bookmarkEnd w:id="671"/>
      <w:bookmarkEnd w:id="672"/>
      <w:bookmarkEnd w:id="673"/>
      <w:bookmarkEnd w:id="674"/>
      <w:bookmarkEnd w:id="675"/>
      <w:bookmarkEnd w:id="676"/>
      <w:bookmarkEnd w:id="677"/>
      <w:bookmarkEnd w:id="678"/>
      <w:bookmarkEnd w:id="679"/>
      <w:bookmarkEnd w:id="680"/>
      <w:bookmarkEnd w:id="681"/>
      <w:bookmarkEnd w:id="682"/>
    </w:p>
    <w:p>
      <w:pPr>
        <w:pStyle w:val="3"/>
        <w:rPr>
          <w:rFonts w:hint="eastAsia" w:ascii="宋体" w:hAnsi="宋体" w:eastAsia="宋体" w:cs="宋体"/>
          <w:color w:val="auto"/>
          <w:sz w:val="84"/>
          <w:highlight w:val="none"/>
        </w:rPr>
      </w:pPr>
    </w:p>
    <w:p>
      <w:pPr>
        <w:pStyle w:val="3"/>
        <w:rPr>
          <w:rFonts w:hint="eastAsia" w:ascii="宋体" w:hAnsi="宋体" w:eastAsia="宋体" w:cs="宋体"/>
          <w:color w:val="auto"/>
          <w:sz w:val="84"/>
          <w:highlight w:val="none"/>
        </w:rPr>
      </w:pPr>
    </w:p>
    <w:p>
      <w:pPr>
        <w:pStyle w:val="3"/>
        <w:rPr>
          <w:rFonts w:hint="eastAsia" w:ascii="宋体" w:hAnsi="宋体" w:eastAsia="宋体" w:cs="宋体"/>
          <w:color w:val="auto"/>
          <w:sz w:val="84"/>
          <w:highlight w:val="none"/>
        </w:rPr>
      </w:pPr>
    </w:p>
    <w:p>
      <w:pPr>
        <w:pStyle w:val="24"/>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rPr>
      </w:pPr>
    </w:p>
    <w:p>
      <w:pPr>
        <w:pStyle w:val="24"/>
        <w:spacing w:line="360" w:lineRule="auto"/>
        <w:rPr>
          <w:rFonts w:hint="eastAsia" w:ascii="宋体" w:hAnsi="宋体" w:eastAsia="宋体" w:cs="宋体"/>
          <w:color w:val="auto"/>
          <w:highlight w:val="none"/>
          <w:u w:val="none"/>
        </w:rPr>
      </w:pPr>
    </w:p>
    <w:p>
      <w:pPr>
        <w:pStyle w:val="24"/>
        <w:spacing w:line="360" w:lineRule="auto"/>
        <w:ind w:firstLine="600" w:firstLineChars="200"/>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编号：</w:t>
      </w:r>
      <w:r>
        <w:rPr>
          <w:rFonts w:hint="eastAsia" w:ascii="宋体" w:hAnsi="宋体" w:eastAsia="宋体" w:cs="宋体"/>
          <w:b w:val="0"/>
          <w:bCs w:val="0"/>
          <w:color w:val="auto"/>
          <w:sz w:val="30"/>
          <w:highlight w:val="none"/>
          <w:u w:val="single"/>
        </w:rPr>
        <w:t>ZYHJ-2024-0001</w:t>
      </w:r>
    </w:p>
    <w:p>
      <w:pPr>
        <w:pStyle w:val="24"/>
        <w:spacing w:line="360" w:lineRule="auto"/>
        <w:ind w:firstLine="600" w:firstLineChars="200"/>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rPr>
        <w:t>项目名称：</w:t>
      </w:r>
      <w:r>
        <w:rPr>
          <w:rFonts w:hint="eastAsia" w:ascii="宋体" w:hAnsi="宋体" w:eastAsia="宋体" w:cs="宋体"/>
          <w:b w:val="0"/>
          <w:bCs w:val="0"/>
          <w:color w:val="auto"/>
          <w:sz w:val="30"/>
          <w:highlight w:val="none"/>
          <w:u w:val="single"/>
        </w:rPr>
        <w:t>东莞市污泥处理处置过程数据管理系统采购项目</w:t>
      </w:r>
      <w:r>
        <w:rPr>
          <w:rFonts w:hint="eastAsia" w:ascii="宋体" w:hAnsi="宋体" w:eastAsia="宋体" w:cs="宋体"/>
          <w:color w:val="auto"/>
          <w:sz w:val="30"/>
          <w:highlight w:val="none"/>
          <w:u w:val="none"/>
        </w:rPr>
        <w:t xml:space="preserve">                      </w:t>
      </w:r>
    </w:p>
    <w:p>
      <w:pPr>
        <w:pStyle w:val="24"/>
        <w:spacing w:line="360" w:lineRule="auto"/>
        <w:ind w:firstLine="600" w:firstLineChars="200"/>
        <w:rPr>
          <w:rFonts w:hint="eastAsia" w:ascii="宋体" w:hAnsi="宋体" w:eastAsia="宋体" w:cs="宋体"/>
          <w:color w:val="auto"/>
          <w:sz w:val="30"/>
          <w:highlight w:val="none"/>
          <w:u w:val="none"/>
          <w:lang w:val="en-US" w:eastAsia="zh-CN"/>
        </w:rPr>
      </w:pPr>
      <w:r>
        <w:rPr>
          <w:rFonts w:hint="eastAsia" w:ascii="宋体" w:hAnsi="宋体" w:eastAsia="宋体" w:cs="宋体"/>
          <w:color w:val="auto"/>
          <w:sz w:val="30"/>
          <w:highlight w:val="none"/>
          <w:u w:val="none"/>
          <w:lang w:val="en-US" w:eastAsia="zh-CN"/>
        </w:rPr>
        <w:t>响应文件内容：</w:t>
      </w:r>
      <w:r>
        <w:rPr>
          <w:rFonts w:hint="eastAsia" w:ascii="宋体" w:hAnsi="宋体" w:eastAsia="宋体" w:cs="宋体"/>
          <w:color w:val="auto"/>
          <w:sz w:val="30"/>
          <w:highlight w:val="none"/>
          <w:u w:val="single"/>
          <w:lang w:val="en-US" w:eastAsia="zh-CN"/>
        </w:rPr>
        <w:t xml:space="preserve">响应文件技术部分 </w:t>
      </w:r>
    </w:p>
    <w:p>
      <w:pPr>
        <w:pStyle w:val="24"/>
        <w:spacing w:line="360" w:lineRule="auto"/>
        <w:ind w:firstLine="600" w:firstLineChars="200"/>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人：</w:t>
      </w:r>
      <w:r>
        <w:rPr>
          <w:rFonts w:hint="eastAsia" w:ascii="宋体" w:hAnsi="宋体" w:eastAsia="宋体" w:cs="宋体"/>
          <w:b w:val="0"/>
          <w:bCs w:val="0"/>
          <w:color w:val="auto"/>
          <w:sz w:val="30"/>
          <w:highlight w:val="none"/>
          <w:u w:val="single"/>
        </w:rPr>
        <w:t>东莞市众源环境投资有限公司</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none"/>
        </w:rPr>
        <w:t xml:space="preserve">                     </w:t>
      </w:r>
    </w:p>
    <w:p>
      <w:pPr>
        <w:pStyle w:val="24"/>
        <w:spacing w:line="360" w:lineRule="auto"/>
        <w:ind w:firstLine="600" w:firstLineChars="2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u w:val="none"/>
          <w:lang w:val="en-US" w:eastAsia="zh-CN"/>
        </w:rPr>
        <w:t>供应商</w:t>
      </w:r>
      <w:r>
        <w:rPr>
          <w:rFonts w:hint="eastAsia" w:ascii="宋体" w:hAnsi="宋体" w:eastAsia="宋体" w:cs="宋体"/>
          <w:color w:val="auto"/>
          <w:sz w:val="30"/>
          <w:highlight w:val="none"/>
          <w:u w:val="none"/>
        </w:rPr>
        <w:t>：</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 xml:space="preserve">    </w:t>
      </w:r>
    </w:p>
    <w:p>
      <w:pPr>
        <w:pStyle w:val="24"/>
        <w:spacing w:line="360" w:lineRule="auto"/>
        <w:ind w:firstLine="600" w:firstLineChars="200"/>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评审部分索引表</w:t>
      </w:r>
    </w:p>
    <w:p>
      <w:pPr>
        <w:widowControl w:val="0"/>
        <w:autoSpaceDE w:val="0"/>
        <w:autoSpaceDN w:val="0"/>
        <w:adjustRightInd w:val="0"/>
        <w:jc w:val="center"/>
        <w:rPr>
          <w:rFonts w:hint="eastAsia" w:ascii="宋体" w:hAnsi="宋体" w:eastAsia="宋体" w:cs="宋体"/>
          <w:b/>
          <w:color w:val="auto"/>
          <w:sz w:val="24"/>
          <w:szCs w:val="24"/>
          <w:highlight w:val="none"/>
          <w:lang w:val="en-US" w:eastAsia="zh-CN" w:bidi="ar-SA"/>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1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项目</w:t>
            </w:r>
          </w:p>
        </w:tc>
        <w:tc>
          <w:tcPr>
            <w:tcW w:w="1785"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文件上的满分值</w:t>
            </w: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合计</w:t>
            </w:r>
          </w:p>
        </w:tc>
        <w:tc>
          <w:tcPr>
            <w:tcW w:w="1785" w:type="pct"/>
            <w:tcBorders>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bl>
    <w:p>
      <w:pPr>
        <w:bidi w:val="0"/>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color w:val="auto"/>
          <w:highlight w:val="none"/>
        </w:rPr>
      </w:pPr>
    </w:p>
    <w:p>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bookmarkStart w:id="683" w:name="_Toc14565"/>
      <w:bookmarkStart w:id="684" w:name="_Toc31870"/>
    </w:p>
    <w:bookmarkEnd w:id="653"/>
    <w:bookmarkEnd w:id="654"/>
    <w:bookmarkEnd w:id="666"/>
    <w:bookmarkEnd w:id="683"/>
    <w:bookmarkEnd w:id="684"/>
    <w:p>
      <w:pPr>
        <w:bidi w:val="0"/>
        <w:rPr>
          <w:rFonts w:hint="eastAsia" w:ascii="宋体" w:hAnsi="宋体" w:eastAsia="宋体" w:cs="宋体"/>
          <w:color w:val="auto"/>
          <w:highlight w:val="none"/>
          <w:lang w:val="en-US" w:eastAsia="zh-CN"/>
        </w:rPr>
      </w:pPr>
      <w:bookmarkStart w:id="685" w:name="_Toc3277"/>
      <w:bookmarkStart w:id="686" w:name="_Toc11360"/>
      <w:bookmarkStart w:id="687" w:name="_Toc3742"/>
      <w:bookmarkStart w:id="688" w:name="_Toc56076635"/>
      <w:bookmarkStart w:id="689" w:name="_Toc79146608"/>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r>
        <w:rPr>
          <w:rFonts w:hint="eastAsia" w:ascii="宋体" w:hAnsi="宋体" w:eastAsia="宋体" w:cs="宋体"/>
          <w:b/>
          <w:color w:val="auto"/>
          <w:kern w:val="2"/>
          <w:sz w:val="30"/>
          <w:szCs w:val="30"/>
          <w:highlight w:val="none"/>
          <w:lang w:val="en-US" w:eastAsia="zh-CN"/>
        </w:rPr>
        <w:t xml:space="preserve">13.1 </w:t>
      </w:r>
      <w:r>
        <w:rPr>
          <w:rFonts w:hint="eastAsia" w:ascii="宋体" w:hAnsi="宋体" w:eastAsia="宋体" w:cs="宋体"/>
          <w:b/>
          <w:color w:val="auto"/>
          <w:kern w:val="2"/>
          <w:sz w:val="30"/>
          <w:szCs w:val="30"/>
          <w:highlight w:val="none"/>
          <w:lang w:val="zh-CN" w:eastAsia="zh-CN"/>
        </w:rPr>
        <w:t>用户需求响应情况</w:t>
      </w:r>
      <w:bookmarkEnd w:id="685"/>
      <w:bookmarkEnd w:id="686"/>
      <w:bookmarkEnd w:id="687"/>
      <w:bookmarkEnd w:id="688"/>
      <w:bookmarkEnd w:id="689"/>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用户需求偏离表格式</w:t>
      </w:r>
    </w:p>
    <w:p>
      <w:pPr>
        <w:snapToGrid w:val="0"/>
        <w:spacing w:line="360" w:lineRule="auto"/>
        <w:ind w:left="379" w:leftChars="-58" w:hanging="518" w:hangingChars="247"/>
        <w:rPr>
          <w:rFonts w:hint="eastAsia" w:ascii="宋体" w:hAnsi="宋体" w:eastAsia="宋体" w:cs="宋体"/>
          <w:color w:val="auto"/>
          <w:sz w:val="21"/>
          <w:szCs w:val="21"/>
          <w:highlight w:val="none"/>
        </w:rPr>
      </w:pPr>
    </w:p>
    <w:tbl>
      <w:tblPr>
        <w:tblStyle w:val="5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486"/>
        <w:gridCol w:w="1463"/>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398" w:type="pct"/>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竞争性磋商文件要求</w:t>
            </w:r>
          </w:p>
        </w:tc>
        <w:tc>
          <w:tcPr>
            <w:tcW w:w="164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2955" w:type="pct"/>
            <w:tcBorders>
              <w:top w:val="single" w:color="auto" w:sz="4" w:space="0"/>
              <w:left w:val="single" w:color="auto" w:sz="4" w:space="0"/>
              <w:bottom w:val="single" w:color="auto" w:sz="4" w:space="0"/>
              <w:right w:val="single" w:color="auto" w:sz="4" w:space="0"/>
            </w:tcBorders>
            <w:noWrap w:val="0"/>
            <w:vAlign w:val="center"/>
          </w:tcPr>
          <w:p>
            <w:pPr>
              <w:pStyle w:val="187"/>
              <w:keepNext w:val="0"/>
              <w:keepLines w:val="0"/>
              <w:pageBreakBefore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简要内容</w:t>
            </w:r>
          </w:p>
        </w:tc>
        <w:tc>
          <w:tcPr>
            <w:tcW w:w="7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项目现状及必要性分析</w:t>
            </w:r>
          </w:p>
        </w:tc>
        <w:tc>
          <w:tcPr>
            <w:tcW w:w="7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zh-CN"/>
              </w:rPr>
              <w:t>需求分析</w:t>
            </w:r>
          </w:p>
        </w:tc>
        <w:tc>
          <w:tcPr>
            <w:tcW w:w="7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240" w:lineRule="auto"/>
              <w:ind w:left="0" w:right="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zh-CN" w:eastAsia="zh-CN"/>
              </w:rPr>
              <w:t>项目建设方案</w:t>
            </w:r>
          </w:p>
        </w:tc>
        <w:tc>
          <w:tcPr>
            <w:tcW w:w="7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95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suppressLineNumbers w:val="0"/>
              <w:kinsoku/>
              <w:wordWrap/>
              <w:overflowPunct/>
              <w:topLinePunct w:val="0"/>
              <w:bidi w:val="0"/>
              <w:snapToGrid/>
              <w:spacing w:before="0" w:beforeAutospacing="0" w:after="0" w:afterAutospacing="0" w:line="240" w:lineRule="auto"/>
              <w:ind w:lef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zh-CN"/>
              </w:rPr>
              <w:t>项目的安全设计</w:t>
            </w:r>
          </w:p>
        </w:tc>
        <w:tc>
          <w:tcPr>
            <w:tcW w:w="7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95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suppressLineNumbers w:val="0"/>
              <w:kinsoku/>
              <w:wordWrap/>
              <w:overflowPunct/>
              <w:topLinePunct w:val="0"/>
              <w:bidi w:val="0"/>
              <w:snapToGrid/>
              <w:spacing w:before="0" w:beforeAutospacing="0" w:after="0" w:afterAutospacing="0" w:line="240" w:lineRule="auto"/>
              <w:ind w:lef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44"/>
                <w:sz w:val="21"/>
                <w:szCs w:val="21"/>
                <w:highlight w:val="none"/>
                <w:lang w:val="en-US"/>
              </w:rPr>
              <w:t>项目建设模式和实施计划</w:t>
            </w:r>
          </w:p>
        </w:tc>
        <w:tc>
          <w:tcPr>
            <w:tcW w:w="7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955" w:type="pct"/>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suppressLineNumbers w:val="0"/>
              <w:kinsoku/>
              <w:wordWrap/>
              <w:overflowPunct/>
              <w:topLinePunct w:val="0"/>
              <w:bidi w:val="0"/>
              <w:snapToGrid/>
              <w:spacing w:before="0" w:beforeAutospacing="0" w:after="0" w:afterAutospacing="0" w:line="240" w:lineRule="auto"/>
              <w:ind w:lef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44"/>
                <w:sz w:val="21"/>
                <w:szCs w:val="21"/>
                <w:highlight w:val="none"/>
                <w:lang w:val="en-US"/>
              </w:rPr>
              <w:t>付款方式</w:t>
            </w:r>
          </w:p>
        </w:tc>
        <w:tc>
          <w:tcPr>
            <w:tcW w:w="7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用户需求书“★”条款汇总：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2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tabs>
                <w:tab w:val="left" w:pos="567"/>
              </w:tabs>
              <w:kinsoku/>
              <w:wordWrap/>
              <w:overflowPunct/>
              <w:topLinePunct w:val="0"/>
              <w:bidi w:val="0"/>
              <w:snapToGrid/>
              <w:spacing w:before="0" w:beforeAutospacing="0" w:after="0" w:afterAutospacing="0" w:line="240" w:lineRule="auto"/>
              <w:ind w:left="567" w:right="0" w:hanging="567"/>
              <w:outlineLvl w:val="9"/>
              <w:rPr>
                <w:rFonts w:hint="eastAsia" w:ascii="宋体" w:hAnsi="宋体" w:eastAsia="宋体" w:cs="宋体"/>
                <w:color w:val="auto"/>
                <w:kern w:val="2"/>
                <w:sz w:val="21"/>
                <w:szCs w:val="21"/>
                <w:highlight w:val="none"/>
                <w:lang w:val="zh-CN"/>
              </w:rPr>
            </w:pPr>
            <w:bookmarkStart w:id="690" w:name="_Toc8956"/>
            <w:bookmarkStart w:id="691" w:name="_Toc1854"/>
            <w:bookmarkStart w:id="692" w:name="_Toc4836"/>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功能需求分析</w:t>
            </w:r>
            <w:bookmarkEnd w:id="690"/>
            <w:bookmarkEnd w:id="691"/>
            <w:bookmarkEnd w:id="692"/>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系统需要具备全面的数据管理能力，包括对污水处理厂、车辆、相关单位等关键信息的录入、更新和维护。这涉及到详细的信息分类，例如污水处理厂的名称、位置、规模等，车辆的型号、牌照和使用情况，以及人员的职位、联系方式等。这些数据的准确录入和及时更新对于整个污泥处理流程的高效运行至关重要。</w:t>
            </w:r>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系统需能够处理和管理生产运营日报及运输记录。这不仅包括基础数据的录入，还包括对这些数据的监控和分析，以确保操作的连续性和符合规定的工作流程。例如，生产运营日报中的数据点可能包括进料时间、处理量、以及相关的质量检测结果等。</w:t>
            </w:r>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数据可视化功能将收集到的数据以图形化的方式呈现，以便于管理层对整个污泥处理流程有直观的认识和分析。</w:t>
            </w:r>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多媒体管理是为了满足现场操作记录和回顾的需求。例如，系统支持上传现场处理过程的图片和视频，以便于记录和证明处理过程符合标准和规定。</w:t>
            </w:r>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系统管理功能的需求包括了用户权限管理、操作日志记录等，以保证系统的安全性和可追踪性。这涉及到用户的角色分配、访问权限的设置以及对用户操作的监控和记录。</w:t>
            </w:r>
          </w:p>
          <w:p>
            <w:pPr>
              <w:keepNext w:val="0"/>
              <w:keepLines w:val="0"/>
              <w:pageBreakBefore w:val="0"/>
              <w:suppressLineNumbers w:val="0"/>
              <w:kinsoku/>
              <w:wordWrap/>
              <w:overflowPunct/>
              <w:topLinePunct w:val="0"/>
              <w:bidi w:val="0"/>
              <w:snapToGrid/>
              <w:spacing w:before="0" w:beforeAutospacing="0" w:after="0" w:afterAutospacing="0" w:line="240" w:lineRule="auto"/>
              <w:ind w:left="0" w:right="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rPr>
              <w:t>小程序的建设方便多方用户对污泥生产、运输环节的相关信息进行录入和管理。</w:t>
            </w:r>
          </w:p>
        </w:tc>
        <w:tc>
          <w:tcPr>
            <w:tcW w:w="7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2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tabs>
                <w:tab w:val="left" w:pos="567"/>
              </w:tabs>
              <w:kinsoku/>
              <w:wordWrap/>
              <w:overflowPunct/>
              <w:topLinePunct w:val="0"/>
              <w:bidi w:val="0"/>
              <w:snapToGrid/>
              <w:spacing w:before="0" w:beforeAutospacing="0" w:after="0" w:afterAutospacing="0" w:line="240" w:lineRule="auto"/>
              <w:ind w:left="567" w:right="0" w:hanging="567"/>
              <w:outlineLvl w:val="9"/>
              <w:rPr>
                <w:rFonts w:hint="eastAsia" w:ascii="宋体" w:hAnsi="宋体" w:eastAsia="宋体" w:cs="宋体"/>
                <w:color w:val="auto"/>
                <w:kern w:val="2"/>
                <w:sz w:val="21"/>
                <w:szCs w:val="21"/>
                <w:highlight w:val="none"/>
                <w:lang w:val="zh-CN"/>
              </w:rPr>
            </w:pPr>
            <w:bookmarkStart w:id="693" w:name="_Toc10930"/>
            <w:bookmarkStart w:id="694" w:name="_Toc6510"/>
            <w:bookmarkStart w:id="695" w:name="_Toc8141"/>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性能需求分析</w:t>
            </w:r>
            <w:bookmarkEnd w:id="693"/>
            <w:bookmarkEnd w:id="694"/>
            <w:bookmarkEnd w:id="695"/>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系统设计支持500个用户使用，具体需求如下：</w:t>
            </w:r>
          </w:p>
          <w:p>
            <w:pPr>
              <w:pStyle w:val="17"/>
              <w:keepNext w:val="0"/>
              <w:keepLines w:val="0"/>
              <w:pageBreakBefore w:val="0"/>
              <w:suppressLineNumbers w:val="0"/>
              <w:kinsoku/>
              <w:wordWrap/>
              <w:overflowPunct/>
              <w:topLinePunct w:val="0"/>
              <w:bidi w:val="0"/>
              <w:snapToGrid/>
              <w:spacing w:before="0" w:beforeAutospacing="0" w:after="0" w:afterAutospacing="0" w:line="240" w:lineRule="auto"/>
              <w:ind w:left="0" w:right="0" w:firstLine="482"/>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表 </w:t>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SEQ 表 \* ARABIC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en-US"/>
              </w:rPr>
              <w:t>用户需求表</w:t>
            </w:r>
          </w:p>
          <w:tbl>
            <w:tblPr>
              <w:tblStyle w:val="55"/>
              <w:tblW w:w="5000" w:type="pct"/>
              <w:jc w:val="center"/>
              <w:tblLayout w:type="fixed"/>
              <w:tblCellMar>
                <w:top w:w="0" w:type="dxa"/>
                <w:left w:w="0" w:type="dxa"/>
                <w:bottom w:w="0" w:type="dxa"/>
                <w:right w:w="0" w:type="dxa"/>
              </w:tblCellMar>
            </w:tblPr>
            <w:tblGrid>
              <w:gridCol w:w="1070"/>
              <w:gridCol w:w="962"/>
              <w:gridCol w:w="985"/>
              <w:gridCol w:w="2253"/>
            </w:tblGrid>
            <w:tr>
              <w:tblPrEx>
                <w:tblCellMar>
                  <w:top w:w="0" w:type="dxa"/>
                  <w:left w:w="0" w:type="dxa"/>
                  <w:bottom w:w="0" w:type="dxa"/>
                  <w:right w:w="0" w:type="dxa"/>
                </w:tblCellMar>
              </w:tblPrEx>
              <w:trPr>
                <w:trHeight w:val="397" w:hRule="atLeast"/>
                <w:jc w:val="center"/>
              </w:trPr>
              <w:tc>
                <w:tcPr>
                  <w:tcW w:w="101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bidi="ar"/>
                    </w:rPr>
                    <w:t>单位</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bidi="ar"/>
                    </w:rPr>
                    <w:t>权限</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bidi="ar"/>
                    </w:rPr>
                    <w:t>用户数</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bidi="ar"/>
                    </w:rPr>
                    <w:t>备注</w:t>
                  </w:r>
                </w:p>
              </w:tc>
            </w:tr>
            <w:tr>
              <w:tblPrEx>
                <w:tblCellMar>
                  <w:top w:w="0" w:type="dxa"/>
                  <w:left w:w="0" w:type="dxa"/>
                  <w:bottom w:w="0" w:type="dxa"/>
                  <w:right w:w="0" w:type="dxa"/>
                </w:tblCellMar>
              </w:tblPrEx>
              <w:trPr>
                <w:trHeight w:val="340" w:hRule="atLeast"/>
                <w:jc w:val="center"/>
              </w:trPr>
              <w:tc>
                <w:tcPr>
                  <w:tcW w:w="101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行政主管部门</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查阅</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left"/>
                    <w:outlineLvl w:val="9"/>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40" w:hRule="atLeast"/>
                <w:jc w:val="center"/>
              </w:trPr>
              <w:tc>
                <w:tcPr>
                  <w:tcW w:w="101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集团</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查阅</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left"/>
                    <w:outlineLvl w:val="9"/>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40" w:hRule="atLeast"/>
                <w:jc w:val="center"/>
              </w:trPr>
              <w:tc>
                <w:tcPr>
                  <w:tcW w:w="1015" w:type="pct"/>
                  <w:vMerge w:val="restar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实业公司</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查阅</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lef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领导层</w:t>
                  </w:r>
                </w:p>
              </w:tc>
            </w:tr>
            <w:tr>
              <w:tblPrEx>
                <w:tblCellMar>
                  <w:top w:w="0" w:type="dxa"/>
                  <w:left w:w="0" w:type="dxa"/>
                  <w:bottom w:w="0" w:type="dxa"/>
                  <w:right w:w="0" w:type="dxa"/>
                </w:tblCellMar>
              </w:tblPrEx>
              <w:trPr>
                <w:trHeight w:val="340" w:hRule="atLeast"/>
                <w:jc w:val="center"/>
              </w:trPr>
              <w:tc>
                <w:tcPr>
                  <w:tcW w:w="1015" w:type="pct"/>
                  <w:vMerge w:val="continue"/>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管理</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lef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经营管理人员</w:t>
                  </w:r>
                </w:p>
              </w:tc>
            </w:tr>
            <w:tr>
              <w:tblPrEx>
                <w:tblCellMar>
                  <w:top w:w="0" w:type="dxa"/>
                  <w:left w:w="0" w:type="dxa"/>
                  <w:bottom w:w="0" w:type="dxa"/>
                  <w:right w:w="0" w:type="dxa"/>
                </w:tblCellMar>
              </w:tblPrEx>
              <w:trPr>
                <w:trHeight w:val="340" w:hRule="atLeast"/>
                <w:jc w:val="center"/>
              </w:trPr>
              <w:tc>
                <w:tcPr>
                  <w:tcW w:w="1015" w:type="pct"/>
                  <w:vMerge w:val="restar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众源公司</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管理</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50</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left"/>
                    <w:outlineLvl w:val="9"/>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340" w:hRule="atLeast"/>
                <w:jc w:val="center"/>
              </w:trPr>
              <w:tc>
                <w:tcPr>
                  <w:tcW w:w="1015" w:type="pct"/>
                  <w:vMerge w:val="continue"/>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填报</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lef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一线生产员工</w:t>
                  </w:r>
                </w:p>
              </w:tc>
            </w:tr>
            <w:tr>
              <w:tblPrEx>
                <w:tblCellMar>
                  <w:top w:w="0" w:type="dxa"/>
                  <w:left w:w="0" w:type="dxa"/>
                  <w:bottom w:w="0" w:type="dxa"/>
                  <w:right w:w="0" w:type="dxa"/>
                </w:tblCellMar>
              </w:tblPrEx>
              <w:trPr>
                <w:trHeight w:val="340" w:hRule="atLeast"/>
                <w:jc w:val="center"/>
              </w:trPr>
              <w:tc>
                <w:tcPr>
                  <w:tcW w:w="101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污水厂</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填报</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136</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lef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BOT34家，净水34家（含新扩建），每家2个端口</w:t>
                  </w:r>
                </w:p>
              </w:tc>
            </w:tr>
            <w:tr>
              <w:tblPrEx>
                <w:tblCellMar>
                  <w:top w:w="0" w:type="dxa"/>
                  <w:left w:w="0" w:type="dxa"/>
                  <w:bottom w:w="0" w:type="dxa"/>
                  <w:right w:w="0" w:type="dxa"/>
                </w:tblCellMar>
              </w:tblPrEx>
              <w:trPr>
                <w:trHeight w:val="340" w:hRule="atLeast"/>
                <w:jc w:val="center"/>
              </w:trPr>
              <w:tc>
                <w:tcPr>
                  <w:tcW w:w="101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处置单位</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填报</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30</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lef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10家处置单位，每家3个端口</w:t>
                  </w:r>
                </w:p>
              </w:tc>
            </w:tr>
            <w:tr>
              <w:tblPrEx>
                <w:tblCellMar>
                  <w:top w:w="0" w:type="dxa"/>
                  <w:left w:w="0" w:type="dxa"/>
                  <w:bottom w:w="0" w:type="dxa"/>
                  <w:right w:w="0" w:type="dxa"/>
                </w:tblCellMar>
              </w:tblPrEx>
              <w:trPr>
                <w:trHeight w:val="340" w:hRule="atLeast"/>
                <w:jc w:val="center"/>
              </w:trPr>
              <w:tc>
                <w:tcPr>
                  <w:tcW w:w="101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减量单位</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填报</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24</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lef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8家减量单位，每家3个端口</w:t>
                  </w:r>
                </w:p>
              </w:tc>
            </w:tr>
            <w:tr>
              <w:tblPrEx>
                <w:tblCellMar>
                  <w:top w:w="0" w:type="dxa"/>
                  <w:left w:w="0" w:type="dxa"/>
                  <w:bottom w:w="0" w:type="dxa"/>
                  <w:right w:w="0" w:type="dxa"/>
                </w:tblCellMar>
              </w:tblPrEx>
              <w:trPr>
                <w:trHeight w:val="340" w:hRule="atLeast"/>
                <w:jc w:val="center"/>
              </w:trPr>
              <w:tc>
                <w:tcPr>
                  <w:tcW w:w="101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运输单位</w:t>
                  </w:r>
                </w:p>
              </w:tc>
              <w:tc>
                <w:tcPr>
                  <w:tcW w:w="911"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填报</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50</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lef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50个司机</w:t>
                  </w:r>
                </w:p>
              </w:tc>
            </w:tr>
            <w:tr>
              <w:tblPrEx>
                <w:tblCellMar>
                  <w:top w:w="0" w:type="dxa"/>
                  <w:left w:w="0" w:type="dxa"/>
                  <w:bottom w:w="0" w:type="dxa"/>
                  <w:right w:w="0" w:type="dxa"/>
                </w:tblCellMar>
              </w:tblPrEx>
              <w:trPr>
                <w:trHeight w:val="340" w:hRule="atLeast"/>
                <w:jc w:val="center"/>
              </w:trPr>
              <w:tc>
                <w:tcPr>
                  <w:tcW w:w="1927" w:type="pct"/>
                  <w:gridSpan w:val="2"/>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合计</w:t>
                  </w:r>
                </w:p>
              </w:tc>
              <w:tc>
                <w:tcPr>
                  <w:tcW w:w="935"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450</w:t>
                  </w:r>
                </w:p>
              </w:tc>
              <w:tc>
                <w:tcPr>
                  <w:tcW w:w="2137" w:type="pct"/>
                  <w:tcBorders>
                    <w:top w:val="single" w:color="000000" w:sz="4" w:space="0"/>
                    <w:left w:val="single" w:color="000000" w:sz="4" w:space="0"/>
                    <w:bottom w:val="single" w:color="000000" w:sz="4" w:space="0"/>
                    <w:right w:val="single" w:color="000000" w:sz="4" w:space="0"/>
                  </w:tcBorders>
                  <w:noWrap/>
                  <w:tcMar>
                    <w:top w:w="24" w:type="dxa"/>
                    <w:left w:w="36" w:type="dxa"/>
                    <w:bottom w:w="24" w:type="dxa"/>
                    <w:right w:w="36"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outlineLvl w:val="9"/>
                    <w:rPr>
                      <w:rFonts w:hint="eastAsia" w:ascii="宋体" w:hAnsi="宋体" w:eastAsia="宋体" w:cs="宋体"/>
                      <w:color w:val="auto"/>
                      <w:sz w:val="21"/>
                      <w:szCs w:val="21"/>
                      <w:highlight w:val="none"/>
                    </w:rPr>
                  </w:pPr>
                </w:p>
              </w:tc>
            </w:tr>
          </w:tbl>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按照目前全过程资料情况，日均约50条全过程生产记录，每条记录包含图片、视频、数据等，储存大小合约50M，年需存储容量约1T，暂按两年计算，合计2T，数据存储在采购人指定的服务器上。</w:t>
            </w:r>
          </w:p>
        </w:tc>
        <w:tc>
          <w:tcPr>
            <w:tcW w:w="7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2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tabs>
                <w:tab w:val="left" w:pos="567"/>
              </w:tabs>
              <w:kinsoku/>
              <w:wordWrap/>
              <w:overflowPunct/>
              <w:topLinePunct w:val="0"/>
              <w:bidi w:val="0"/>
              <w:snapToGrid/>
              <w:spacing w:before="0" w:beforeAutospacing="0" w:after="0" w:afterAutospacing="0" w:line="240" w:lineRule="auto"/>
              <w:ind w:left="567" w:right="0" w:hanging="567"/>
              <w:outlineLvl w:val="9"/>
              <w:rPr>
                <w:rFonts w:hint="eastAsia" w:ascii="宋体" w:hAnsi="宋体" w:eastAsia="宋体" w:cs="宋体"/>
                <w:color w:val="auto"/>
                <w:kern w:val="2"/>
                <w:sz w:val="21"/>
                <w:szCs w:val="21"/>
                <w:highlight w:val="none"/>
                <w:lang w:val="zh-CN"/>
              </w:rPr>
            </w:pPr>
            <w:bookmarkStart w:id="696" w:name="_Toc18272"/>
            <w:bookmarkStart w:id="697" w:name="_Toc19424"/>
            <w:bookmarkStart w:id="698" w:name="_Toc27374"/>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用户分析</w:t>
            </w:r>
            <w:bookmarkEnd w:id="696"/>
            <w:bookmarkEnd w:id="697"/>
            <w:bookmarkEnd w:id="698"/>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该系统的用户主要分为两类：系统管理用户和系统服务用户。系统管理用户主要是实业公司和众源公司的管理人员，这些用户需要对系统进行全面操作，包括数据录入、修改、审核和报告生成等，同时还需要能够监控系统运行状态，处理技术问题并进行配置更改。</w:t>
            </w:r>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另一类用户是系统服务用户，主要是委外服务单位和一线工作人员，如减量、运输和处置，一线生产间班长、司机等。这部分用户的主要需求集中在日常数据的录入、查询和报告查看上，他们需要的是一个直观易用、响应迅速的系统界面，以便快速完成日常任务。</w:t>
            </w:r>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平台的设计和开发将会考虑到这两类用户的具体需求和使用模式，确保系统能够为管理用户提供全面的操作功能，同时为服务用户提供快速、直观的日常操作体验。</w:t>
            </w:r>
          </w:p>
        </w:tc>
        <w:tc>
          <w:tcPr>
            <w:tcW w:w="7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2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tabs>
                <w:tab w:val="left" w:pos="567"/>
              </w:tabs>
              <w:kinsoku/>
              <w:wordWrap/>
              <w:overflowPunct/>
              <w:topLinePunct w:val="0"/>
              <w:bidi w:val="0"/>
              <w:snapToGrid/>
              <w:spacing w:before="0" w:beforeAutospacing="0" w:after="0" w:afterAutospacing="0" w:line="240" w:lineRule="auto"/>
              <w:ind w:left="567" w:right="0" w:hanging="567"/>
              <w:outlineLvl w:val="9"/>
              <w:rPr>
                <w:rFonts w:hint="eastAsia" w:ascii="宋体" w:hAnsi="宋体" w:eastAsia="宋体" w:cs="宋体"/>
                <w:color w:val="auto"/>
                <w:kern w:val="2"/>
                <w:sz w:val="21"/>
                <w:szCs w:val="21"/>
                <w:highlight w:val="none"/>
                <w:lang w:val="zh-CN"/>
              </w:rPr>
            </w:pPr>
            <w:bookmarkStart w:id="699" w:name="_Toc12953"/>
            <w:bookmarkStart w:id="700" w:name="_Toc20169"/>
            <w:bookmarkStart w:id="701" w:name="_Toc1485"/>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信息安全保障需求</w:t>
            </w:r>
            <w:bookmarkEnd w:id="699"/>
            <w:bookmarkEnd w:id="700"/>
            <w:bookmarkEnd w:id="701"/>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安全等级定级：根据《信息安全技术 网络安全等级保护定级指南》（GBT 22240-2020），项目需对社会秩序和公共利益的潜在影响进行评估。考虑到该平台可能对公共利益造成严重损害，确定其为第二级安全保护。</w:t>
            </w:r>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数据安全管理：包括数据传输、加密、管控及备份与恢复。数据传输需保障完整性和有效性，如通过哈希算法校验。数据加密消除明码存储的安全隐患，需采用数据库内置功能或专用加密设备。数据管控强化数据库访问权限，防止未授权访问。数据备份和恢复通过多种方式确保数据安全。</w:t>
            </w:r>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访问控制和安全审计：实施基于角色的访问控制（RBAC），确保仅授权用户访问敏感信息，并进行用户身份验证和授权。安全审计关键在于监控系统活动，记录关键操作，定期审查日志以及时响应安全事件。</w:t>
            </w:r>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安全漏洞管理：定期扫描系统漏洞并及时修补，使用最新安全补丁和更新。部署防病毒软件和入侵检测系统，识别和阻止恶意软件及未授权访问。</w:t>
            </w:r>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应急响应和灾难恢复：建立应急响应机制和灾难恢复计划，以应对网络攻击、系统故障或其他安全事件，确保业务连续性和数据完整性。</w:t>
            </w:r>
          </w:p>
        </w:tc>
        <w:tc>
          <w:tcPr>
            <w:tcW w:w="7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p>
        </w:tc>
        <w:tc>
          <w:tcPr>
            <w:tcW w:w="2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tabs>
                <w:tab w:val="left" w:pos="567"/>
              </w:tabs>
              <w:kinsoku/>
              <w:wordWrap/>
              <w:overflowPunct/>
              <w:topLinePunct w:val="0"/>
              <w:bidi w:val="0"/>
              <w:snapToGrid/>
              <w:spacing w:before="0" w:beforeAutospacing="0" w:after="0" w:afterAutospacing="0" w:line="240" w:lineRule="auto"/>
              <w:ind w:left="567" w:right="0" w:hanging="567"/>
              <w:outlineLvl w:val="9"/>
              <w:rPr>
                <w:rFonts w:hint="eastAsia" w:ascii="宋体" w:hAnsi="宋体" w:eastAsia="宋体" w:cs="宋体"/>
                <w:color w:val="auto"/>
                <w:kern w:val="2"/>
                <w:sz w:val="21"/>
                <w:szCs w:val="21"/>
                <w:highlight w:val="none"/>
                <w:lang w:val="zh-CN"/>
              </w:rPr>
            </w:pPr>
            <w:bookmarkStart w:id="702" w:name="_Toc22296"/>
            <w:bookmarkStart w:id="703" w:name="_Toc20566"/>
            <w:bookmarkStart w:id="704" w:name="_Toc29184"/>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关联系统和接口需求</w:t>
            </w:r>
            <w:bookmarkEnd w:id="702"/>
            <w:bookmarkEnd w:id="703"/>
            <w:bookmarkEnd w:id="704"/>
          </w:p>
          <w:p>
            <w:pPr>
              <w:keepNext w:val="0"/>
              <w:keepLines w:val="0"/>
              <w:pageBreakBefore w:val="0"/>
              <w:widowControl w:val="0"/>
              <w:suppressLineNumbers w:val="0"/>
              <w:tabs>
                <w:tab w:val="left" w:pos="621"/>
              </w:tabs>
              <w:kinsoku/>
              <w:wordWrap/>
              <w:overflowPunct/>
              <w:topLinePunct w:val="0"/>
              <w:autoSpaceDE w:val="0"/>
              <w:autoSpaceDN w:val="0"/>
              <w:bidi w:val="0"/>
              <w:adjustRightInd w:val="0"/>
              <w:snapToGrid/>
              <w:spacing w:before="0" w:beforeAutospacing="0" w:after="0" w:afterAutospacing="0" w:line="24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该项目应预留至少一个数据接口，用于后续将接入</w:t>
            </w:r>
            <w:r>
              <w:rPr>
                <w:rFonts w:hint="eastAsia" w:ascii="宋体" w:hAnsi="宋体" w:eastAsia="宋体" w:cs="宋体"/>
                <w:color w:val="auto"/>
                <w:sz w:val="21"/>
                <w:szCs w:val="21"/>
                <w:highlight w:val="none"/>
                <w:lang w:val="en-US" w:eastAsia="zh-CN"/>
              </w:rPr>
              <w:t>东莞市环保</w:t>
            </w:r>
            <w:r>
              <w:rPr>
                <w:rFonts w:hint="eastAsia" w:ascii="宋体" w:hAnsi="宋体" w:eastAsia="宋体" w:cs="宋体"/>
                <w:color w:val="auto"/>
                <w:sz w:val="21"/>
                <w:szCs w:val="21"/>
                <w:highlight w:val="none"/>
                <w:lang w:val="zh-CN"/>
              </w:rPr>
              <w:t>产业</w:t>
            </w:r>
            <w:r>
              <w:rPr>
                <w:rFonts w:hint="eastAsia" w:ascii="宋体" w:hAnsi="宋体" w:eastAsia="宋体" w:cs="宋体"/>
                <w:color w:val="auto"/>
                <w:sz w:val="21"/>
                <w:szCs w:val="21"/>
                <w:highlight w:val="none"/>
                <w:lang w:val="en-US" w:eastAsia="zh-CN"/>
              </w:rPr>
              <w:t>促进</w:t>
            </w:r>
            <w:r>
              <w:rPr>
                <w:rFonts w:hint="eastAsia" w:ascii="宋体" w:hAnsi="宋体" w:eastAsia="宋体" w:cs="宋体"/>
                <w:color w:val="auto"/>
                <w:sz w:val="21"/>
                <w:szCs w:val="21"/>
                <w:highlight w:val="none"/>
                <w:lang w:val="zh-CN"/>
              </w:rPr>
              <w:t>中心后期系统，满足两个系统之间数据传输，届时根据实际情况制定对接方式（库表/接口）。</w:t>
            </w:r>
          </w:p>
        </w:tc>
        <w:tc>
          <w:tcPr>
            <w:tcW w:w="7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p>
        </w:tc>
        <w:tc>
          <w:tcPr>
            <w:tcW w:w="8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color w:val="auto"/>
                <w:sz w:val="21"/>
                <w:szCs w:val="21"/>
                <w:highlight w:val="none"/>
              </w:rPr>
            </w:pPr>
          </w:p>
        </w:tc>
      </w:tr>
    </w:tbl>
    <w:p>
      <w:pPr>
        <w:snapToGrid w:val="0"/>
        <w:spacing w:line="360" w:lineRule="auto"/>
        <w:ind w:left="379" w:leftChars="-58" w:hanging="518" w:hangingChars="247"/>
        <w:rPr>
          <w:rFonts w:hint="eastAsia" w:ascii="宋体" w:hAnsi="宋体" w:eastAsia="宋体" w:cs="宋体"/>
          <w:color w:val="auto"/>
          <w:sz w:val="21"/>
          <w:szCs w:val="21"/>
          <w:highlight w:val="none"/>
        </w:rPr>
      </w:pPr>
    </w:p>
    <w:p>
      <w:pPr>
        <w:snapToGrid w:val="0"/>
        <w:spacing w:line="360" w:lineRule="auto"/>
        <w:ind w:left="379" w:leftChars="-58" w:hanging="518" w:hangingChars="2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napToGrid w:val="0"/>
        <w:spacing w:line="360" w:lineRule="auto"/>
        <w:ind w:left="382" w:leftChars="-58" w:hanging="521" w:hangingChars="247"/>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（1）</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应对照竞争性磋商文件用户需求书</w:t>
      </w:r>
      <w:r>
        <w:rPr>
          <w:rFonts w:hint="eastAsia" w:ascii="宋体" w:hAnsi="宋体" w:eastAsia="宋体" w:cs="宋体"/>
          <w:b/>
          <w:color w:val="auto"/>
          <w:sz w:val="21"/>
          <w:szCs w:val="21"/>
          <w:highlight w:val="none"/>
          <w:u w:val="single"/>
          <w:lang w:val="en-US" w:eastAsia="zh-CN"/>
        </w:rPr>
        <w:t>的响应，</w:t>
      </w:r>
      <w:r>
        <w:rPr>
          <w:rFonts w:hint="eastAsia" w:ascii="宋体" w:hAnsi="宋体" w:eastAsia="宋体" w:cs="宋体"/>
          <w:b/>
          <w:bCs/>
          <w:color w:val="auto"/>
          <w:sz w:val="21"/>
          <w:szCs w:val="21"/>
          <w:highlight w:val="none"/>
          <w:u w:val="single"/>
        </w:rPr>
        <w:t>如实地填写“偏离情况”</w:t>
      </w:r>
      <w:r>
        <w:rPr>
          <w:rFonts w:hint="eastAsia" w:ascii="宋体" w:hAnsi="宋体" w:eastAsia="宋体" w:cs="宋体"/>
          <w:b/>
          <w:color w:val="auto"/>
          <w:sz w:val="21"/>
          <w:szCs w:val="21"/>
          <w:highlight w:val="none"/>
          <w:u w:val="single"/>
        </w:rPr>
        <w:t>项。“偏离情况”项为正偏离（或负偏离）的，必须在“具体偏离内容”项内详细说明与竞争性磋商文件的偏离内容，“偏离情况”项为无偏离的，在“具体偏离内容”项内填“无偏离”</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若发现此表未填写或未逐条填写“★”条款以外的条款的，视为完全满足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w:t>
      </w:r>
    </w:p>
    <w:p>
      <w:pPr>
        <w:snapToGrid w:val="0"/>
        <w:spacing w:line="360" w:lineRule="auto"/>
        <w:ind w:left="382" w:leftChars="-58" w:hanging="521" w:hangingChars="247"/>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u w:val="single"/>
        </w:rPr>
        <w:t>若</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文件未实质性满足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文件提出的实质性要求和条件（“★”条款）的，视为无效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w:t>
      </w:r>
    </w:p>
    <w:p>
      <w:pPr>
        <w:snapToGrid w:val="0"/>
        <w:spacing w:line="360" w:lineRule="auto"/>
        <w:ind w:left="382"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若发现虚假填写本表，按无效响应文件处理</w:t>
      </w:r>
      <w:r>
        <w:rPr>
          <w:rFonts w:hint="eastAsia" w:ascii="宋体" w:hAnsi="宋体" w:eastAsia="宋体" w:cs="宋体"/>
          <w:b/>
          <w:color w:val="auto"/>
          <w:sz w:val="21"/>
          <w:szCs w:val="21"/>
          <w:highlight w:val="none"/>
        </w:rPr>
        <w:t>。</w:t>
      </w:r>
    </w:p>
    <w:p>
      <w:pPr>
        <w:snapToGrid w:val="0"/>
        <w:spacing w:line="360" w:lineRule="auto"/>
        <w:ind w:left="379" w:leftChars="-58" w:hanging="518" w:hangingChars="247"/>
        <w:rPr>
          <w:rFonts w:hint="eastAsia" w:ascii="宋体" w:hAnsi="宋体" w:eastAsia="宋体" w:cs="宋体"/>
          <w:b w:val="0"/>
          <w:bCs/>
          <w:color w:val="auto"/>
          <w:sz w:val="21"/>
          <w:szCs w:val="21"/>
          <w:highlight w:val="none"/>
          <w:u w:val="none"/>
        </w:rPr>
      </w:pP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kern w:val="2"/>
          <w:sz w:val="21"/>
          <w:szCs w:val="21"/>
          <w:highlight w:val="none"/>
          <w:lang w:val="en-US" w:eastAsia="zh-CN"/>
        </w:rPr>
        <w:t>4</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sz w:val="21"/>
          <w:szCs w:val="21"/>
          <w:highlight w:val="none"/>
        </w:rPr>
        <w:t>偏离情况分为：正偏离、负偏离、无偏离。正偏离是指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对用户需求响应优于竞争性磋商文件的要求；负偏离是指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对用户需求响应不满足或不完全满足竞争性磋商文件的要求；</w:t>
      </w:r>
      <w:r>
        <w:rPr>
          <w:rFonts w:hint="eastAsia" w:ascii="宋体" w:hAnsi="宋体" w:eastAsia="宋体" w:cs="宋体"/>
          <w:b w:val="0"/>
          <w:bCs/>
          <w:color w:val="auto"/>
          <w:sz w:val="21"/>
          <w:szCs w:val="21"/>
          <w:highlight w:val="none"/>
          <w:u w:val="none"/>
        </w:rPr>
        <w:t>无偏离是指</w:t>
      </w:r>
      <w:r>
        <w:rPr>
          <w:rFonts w:hint="eastAsia" w:ascii="宋体" w:hAnsi="宋体" w:eastAsia="宋体" w:cs="宋体"/>
          <w:b w:val="0"/>
          <w:bCs/>
          <w:color w:val="auto"/>
          <w:sz w:val="21"/>
          <w:szCs w:val="21"/>
          <w:highlight w:val="none"/>
          <w:u w:val="none"/>
          <w:lang w:eastAsia="zh-CN"/>
        </w:rPr>
        <w:t>供应商</w:t>
      </w:r>
      <w:r>
        <w:rPr>
          <w:rFonts w:hint="eastAsia" w:ascii="宋体" w:hAnsi="宋体" w:eastAsia="宋体" w:cs="宋体"/>
          <w:b w:val="0"/>
          <w:bCs/>
          <w:color w:val="auto"/>
          <w:sz w:val="21"/>
          <w:szCs w:val="21"/>
          <w:highlight w:val="none"/>
          <w:u w:val="none"/>
        </w:rPr>
        <w:t>对用户需求响应完全满足竞争性磋商文件的要求。</w:t>
      </w:r>
    </w:p>
    <w:p>
      <w:pPr>
        <w:snapToGrid w:val="0"/>
        <w:spacing w:line="360" w:lineRule="auto"/>
        <w:ind w:left="379" w:leftChars="-58" w:hanging="518" w:hangingChars="247"/>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rPr>
        <w:t>（</w:t>
      </w:r>
      <w:r>
        <w:rPr>
          <w:rFonts w:hint="eastAsia" w:ascii="宋体" w:hAnsi="宋体" w:eastAsia="宋体" w:cs="宋体"/>
          <w:b w:val="0"/>
          <w:bCs/>
          <w:color w:val="auto"/>
          <w:kern w:val="2"/>
          <w:sz w:val="21"/>
          <w:szCs w:val="21"/>
          <w:highlight w:val="none"/>
          <w:u w:val="none"/>
          <w:lang w:val="en-US" w:eastAsia="zh-CN"/>
        </w:rPr>
        <w:t>5</w:t>
      </w:r>
      <w:r>
        <w:rPr>
          <w:rFonts w:hint="eastAsia" w:ascii="宋体" w:hAnsi="宋体" w:eastAsia="宋体" w:cs="宋体"/>
          <w:b w:val="0"/>
          <w:bCs/>
          <w:color w:val="auto"/>
          <w:kern w:val="2"/>
          <w:sz w:val="21"/>
          <w:szCs w:val="21"/>
          <w:highlight w:val="none"/>
          <w:u w:val="none"/>
        </w:rPr>
        <w:t>）</w:t>
      </w:r>
      <w:r>
        <w:rPr>
          <w:rFonts w:hint="eastAsia" w:ascii="宋体" w:hAnsi="宋体" w:eastAsia="宋体" w:cs="宋体"/>
          <w:b w:val="0"/>
          <w:bCs/>
          <w:color w:val="auto"/>
          <w:kern w:val="2"/>
          <w:sz w:val="21"/>
          <w:szCs w:val="21"/>
          <w:highlight w:val="none"/>
          <w:u w:val="none"/>
          <w:lang w:eastAsia="zh-CN"/>
        </w:rPr>
        <w:t>供应商</w:t>
      </w:r>
      <w:r>
        <w:rPr>
          <w:rFonts w:hint="eastAsia" w:ascii="宋体" w:hAnsi="宋体" w:eastAsia="宋体" w:cs="宋体"/>
          <w:b w:val="0"/>
          <w:bCs/>
          <w:color w:val="auto"/>
          <w:kern w:val="2"/>
          <w:sz w:val="21"/>
          <w:szCs w:val="21"/>
          <w:highlight w:val="none"/>
          <w:u w:val="none"/>
        </w:rPr>
        <w:t>可将反映</w:t>
      </w:r>
      <w:r>
        <w:rPr>
          <w:rFonts w:hint="eastAsia" w:ascii="宋体" w:hAnsi="宋体" w:eastAsia="宋体" w:cs="宋体"/>
          <w:b w:val="0"/>
          <w:bCs/>
          <w:color w:val="auto"/>
          <w:kern w:val="2"/>
          <w:sz w:val="21"/>
          <w:szCs w:val="21"/>
          <w:highlight w:val="none"/>
          <w:u w:val="none"/>
          <w:lang w:val="en-US" w:eastAsia="zh-CN"/>
        </w:rPr>
        <w:t>履约能力或</w:t>
      </w:r>
      <w:r>
        <w:rPr>
          <w:rFonts w:hint="eastAsia" w:ascii="宋体" w:hAnsi="宋体" w:eastAsia="宋体" w:cs="宋体"/>
          <w:b w:val="0"/>
          <w:bCs/>
          <w:color w:val="auto"/>
          <w:kern w:val="2"/>
          <w:sz w:val="21"/>
          <w:szCs w:val="21"/>
          <w:highlight w:val="none"/>
          <w:u w:val="none"/>
        </w:rPr>
        <w:t>服务</w:t>
      </w:r>
      <w:r>
        <w:rPr>
          <w:rFonts w:hint="eastAsia" w:ascii="宋体" w:hAnsi="宋体" w:eastAsia="宋体" w:cs="宋体"/>
          <w:b w:val="0"/>
          <w:bCs/>
          <w:color w:val="auto"/>
          <w:kern w:val="2"/>
          <w:sz w:val="21"/>
          <w:szCs w:val="21"/>
          <w:highlight w:val="none"/>
          <w:u w:val="none"/>
          <w:lang w:val="en-US" w:eastAsia="zh-CN"/>
        </w:rPr>
        <w:t>质量的</w:t>
      </w:r>
      <w:r>
        <w:rPr>
          <w:rFonts w:hint="eastAsia" w:ascii="宋体" w:hAnsi="宋体" w:eastAsia="宋体" w:cs="宋体"/>
          <w:b w:val="0"/>
          <w:bCs/>
          <w:color w:val="auto"/>
          <w:kern w:val="2"/>
          <w:sz w:val="21"/>
          <w:szCs w:val="21"/>
          <w:highlight w:val="none"/>
          <w:u w:val="none"/>
        </w:rPr>
        <w:t>相关资料作为本表的附件，并在本偏离表“具体偏离内容”项内注明其在响应文件中的具体页码。</w:t>
      </w:r>
    </w:p>
    <w:p>
      <w:pPr>
        <w:spacing w:line="360" w:lineRule="auto"/>
        <w:ind w:firstLine="4935" w:firstLineChars="2350"/>
        <w:rPr>
          <w:rFonts w:hint="eastAsia" w:ascii="宋体" w:hAnsi="宋体" w:eastAsia="宋体" w:cs="宋体"/>
          <w:color w:val="auto"/>
          <w:kern w:val="2"/>
          <w:sz w:val="21"/>
          <w:highlight w:val="none"/>
          <w:lang w:val="zh-CN"/>
        </w:rPr>
      </w:pPr>
    </w:p>
    <w:p>
      <w:pPr>
        <w:spacing w:line="360" w:lineRule="auto"/>
        <w:ind w:firstLine="4935" w:firstLineChars="2350"/>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highlight w:val="none"/>
          <w:lang w:val="zh-CN"/>
        </w:rPr>
        <w:t>供应商</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val="zh-CN"/>
        </w:rPr>
        <w:t>（加盖供应商法人公章）</w:t>
      </w:r>
    </w:p>
    <w:p>
      <w:pPr>
        <w:spacing w:line="360" w:lineRule="auto"/>
        <w:ind w:firstLine="5040" w:firstLineChars="24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  期：   年    月     日</w:t>
      </w:r>
    </w:p>
    <w:p>
      <w:pPr>
        <w:spacing w:line="360" w:lineRule="auto"/>
        <w:jc w:val="both"/>
        <w:rPr>
          <w:rFonts w:hint="eastAsia" w:ascii="宋体" w:hAnsi="宋体" w:eastAsia="宋体" w:cs="宋体"/>
          <w:b/>
          <w:bCs/>
          <w:color w:val="auto"/>
          <w:sz w:val="21"/>
          <w:szCs w:val="21"/>
          <w:highlight w:val="none"/>
        </w:rPr>
        <w:sectPr>
          <w:pgSz w:w="11907" w:h="16840"/>
          <w:pgMar w:top="1417"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bookmarkStart w:id="705" w:name="_Toc41571412"/>
      <w:bookmarkStart w:id="706" w:name="_Toc56076639"/>
      <w:bookmarkStart w:id="707" w:name="_Toc79146609"/>
      <w:bookmarkStart w:id="708" w:name="_Toc31049"/>
      <w:bookmarkStart w:id="709" w:name="_Toc14292"/>
      <w:bookmarkStart w:id="710" w:name="_Toc12153"/>
      <w:bookmarkStart w:id="711" w:name="_Toc79146610"/>
      <w:bookmarkStart w:id="712" w:name="_Toc497746567"/>
      <w:bookmarkStart w:id="713" w:name="_Toc490169467"/>
      <w:bookmarkStart w:id="714" w:name="_Toc19008834"/>
      <w:bookmarkStart w:id="715" w:name="_Toc5098078"/>
      <w:bookmarkStart w:id="716" w:name="_Toc495907137"/>
      <w:bookmarkStart w:id="717" w:name="_Toc521918131"/>
      <w:bookmarkStart w:id="718" w:name="_Toc1123961"/>
      <w:bookmarkStart w:id="719" w:name="_Toc54334016"/>
      <w:r>
        <w:rPr>
          <w:rFonts w:hint="eastAsia" w:ascii="宋体" w:hAnsi="宋体" w:eastAsia="宋体" w:cs="宋体"/>
          <w:b/>
          <w:color w:val="auto"/>
          <w:kern w:val="2"/>
          <w:sz w:val="30"/>
          <w:szCs w:val="30"/>
          <w:highlight w:val="none"/>
          <w:lang w:val="en-US" w:eastAsia="zh-CN"/>
        </w:rPr>
        <w:t>13.2</w:t>
      </w:r>
      <w:bookmarkEnd w:id="705"/>
      <w:bookmarkEnd w:id="706"/>
      <w:r>
        <w:rPr>
          <w:rFonts w:hint="eastAsia" w:ascii="宋体" w:hAnsi="宋体" w:eastAsia="宋体" w:cs="宋体"/>
          <w:b/>
          <w:color w:val="auto"/>
          <w:kern w:val="2"/>
          <w:sz w:val="30"/>
          <w:szCs w:val="30"/>
          <w:highlight w:val="none"/>
          <w:lang w:val="en-US" w:eastAsia="zh-CN"/>
        </w:rPr>
        <w:t xml:space="preserve"> 设计方案</w:t>
      </w:r>
      <w:bookmarkEnd w:id="707"/>
      <w:bookmarkEnd w:id="708"/>
      <w:bookmarkEnd w:id="709"/>
      <w:bookmarkEnd w:id="710"/>
    </w:p>
    <w:p>
      <w:pPr>
        <w:spacing w:before="120" w:beforeLines="50"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bookmarkEnd w:id="711"/>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720" w:name="_Toc79146611"/>
      <w:bookmarkStart w:id="721" w:name="_Toc6859"/>
      <w:bookmarkStart w:id="722" w:name="_Toc23831"/>
      <w:bookmarkStart w:id="723" w:name="_Toc25931"/>
      <w:r>
        <w:rPr>
          <w:rFonts w:hint="eastAsia" w:ascii="宋体" w:hAnsi="宋体" w:eastAsia="宋体" w:cs="宋体"/>
          <w:b/>
          <w:color w:val="auto"/>
          <w:kern w:val="2"/>
          <w:sz w:val="30"/>
          <w:szCs w:val="30"/>
          <w:highlight w:val="none"/>
          <w:lang w:val="en-US" w:eastAsia="zh-CN"/>
        </w:rPr>
        <w:t>13.3</w:t>
      </w:r>
      <w:bookmarkEnd w:id="720"/>
      <w:r>
        <w:rPr>
          <w:rFonts w:hint="eastAsia" w:ascii="宋体" w:hAnsi="宋体" w:eastAsia="宋体" w:cs="宋体"/>
          <w:b/>
          <w:color w:val="auto"/>
          <w:kern w:val="2"/>
          <w:sz w:val="30"/>
          <w:szCs w:val="30"/>
          <w:highlight w:val="none"/>
          <w:lang w:val="en-US" w:eastAsia="zh-CN"/>
        </w:rPr>
        <w:t xml:space="preserve"> 进度计划及进度保证措施</w:t>
      </w:r>
      <w:bookmarkEnd w:id="721"/>
      <w:bookmarkEnd w:id="722"/>
      <w:bookmarkEnd w:id="723"/>
    </w:p>
    <w:p>
      <w:pPr>
        <w:spacing w:before="120" w:beforeLines="50"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p>
    <w:p>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724" w:name="_Toc23515"/>
      <w:bookmarkStart w:id="725" w:name="_Toc14673"/>
      <w:bookmarkStart w:id="726" w:name="_Toc9785"/>
      <w:r>
        <w:rPr>
          <w:rFonts w:hint="eastAsia" w:ascii="宋体" w:hAnsi="宋体" w:eastAsia="宋体" w:cs="宋体"/>
          <w:b/>
          <w:color w:val="auto"/>
          <w:kern w:val="2"/>
          <w:sz w:val="30"/>
          <w:szCs w:val="30"/>
          <w:highlight w:val="none"/>
          <w:lang w:val="en-US" w:eastAsia="zh-CN"/>
        </w:rPr>
        <w:t xml:space="preserve">13.4 </w:t>
      </w:r>
      <w:r>
        <w:rPr>
          <w:rFonts w:hint="eastAsia" w:ascii="宋体" w:hAnsi="宋体" w:eastAsia="宋体" w:cs="宋体"/>
          <w:b/>
          <w:color w:val="auto"/>
          <w:kern w:val="2"/>
          <w:sz w:val="30"/>
          <w:szCs w:val="30"/>
          <w:highlight w:val="none"/>
          <w:lang w:val="zh-CN" w:eastAsia="zh-CN"/>
        </w:rPr>
        <w:t>售后服务方案</w:t>
      </w:r>
      <w:bookmarkEnd w:id="724"/>
      <w:bookmarkEnd w:id="725"/>
      <w:bookmarkEnd w:id="726"/>
    </w:p>
    <w:p>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bookmarkEnd w:id="712"/>
    <w:bookmarkEnd w:id="713"/>
    <w:bookmarkEnd w:id="714"/>
    <w:bookmarkEnd w:id="715"/>
    <w:bookmarkEnd w:id="716"/>
    <w:bookmarkEnd w:id="717"/>
    <w:bookmarkEnd w:id="718"/>
    <w:bookmarkEnd w:id="719"/>
    <w:p>
      <w:pPr>
        <w:pStyle w:val="4"/>
        <w:keepNext w:val="0"/>
        <w:keepLines w:val="0"/>
        <w:pageBreakBefore/>
        <w:widowControl w:val="0"/>
        <w:tabs>
          <w:tab w:val="left" w:pos="1080"/>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44"/>
          <w:sz w:val="32"/>
          <w:szCs w:val="32"/>
          <w:highlight w:val="none"/>
          <w:lang w:val="zh-CN"/>
        </w:rPr>
      </w:pPr>
      <w:bookmarkStart w:id="727" w:name="_Toc521918141"/>
      <w:bookmarkStart w:id="728" w:name="_Toc51642408"/>
      <w:bookmarkStart w:id="729" w:name="_Toc21619"/>
      <w:bookmarkStart w:id="730" w:name="_Toc26577"/>
      <w:r>
        <w:rPr>
          <w:rFonts w:hint="eastAsia" w:ascii="宋体" w:hAnsi="宋体" w:eastAsia="宋体" w:cs="宋体"/>
          <w:b/>
          <w:bCs/>
          <w:color w:val="auto"/>
          <w:kern w:val="44"/>
          <w:sz w:val="32"/>
          <w:szCs w:val="32"/>
          <w:highlight w:val="none"/>
          <w:lang w:val="zh-CN"/>
        </w:rPr>
        <w:t>附件一：</w:t>
      </w:r>
      <w:bookmarkEnd w:id="727"/>
      <w:bookmarkEnd w:id="728"/>
      <w:r>
        <w:rPr>
          <w:rFonts w:hint="eastAsia" w:ascii="宋体" w:hAnsi="宋体" w:eastAsia="宋体" w:cs="宋体"/>
          <w:b/>
          <w:bCs/>
          <w:color w:val="auto"/>
          <w:kern w:val="44"/>
          <w:sz w:val="32"/>
          <w:szCs w:val="32"/>
          <w:highlight w:val="none"/>
          <w:lang w:val="zh-CN"/>
        </w:rPr>
        <w:t>评审工作大纲</w:t>
      </w:r>
      <w:bookmarkEnd w:id="729"/>
      <w:bookmarkEnd w:id="730"/>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400" w:lineRule="atLeast"/>
        <w:jc w:val="center"/>
        <w:rPr>
          <w:rFonts w:hint="eastAsia" w:ascii="宋体" w:hAnsi="宋体" w:eastAsia="宋体" w:cs="宋体"/>
          <w:b/>
          <w:bCs/>
          <w:color w:val="auto"/>
          <w:kern w:val="2"/>
          <w:sz w:val="21"/>
          <w:szCs w:val="21"/>
          <w:highlight w:val="none"/>
        </w:rPr>
      </w:pPr>
    </w:p>
    <w:p>
      <w:pPr>
        <w:spacing w:line="360" w:lineRule="auto"/>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zh-CN"/>
        </w:rPr>
        <w:t>东莞市污泥处理处置过程数据管理系统采购项目</w:t>
      </w:r>
      <w:r>
        <w:rPr>
          <w:rFonts w:hint="eastAsia" w:ascii="宋体" w:hAnsi="宋体" w:eastAsia="宋体" w:cs="宋体"/>
          <w:b/>
          <w:bCs/>
          <w:color w:val="auto"/>
          <w:kern w:val="2"/>
          <w:sz w:val="36"/>
          <w:szCs w:val="36"/>
          <w:highlight w:val="none"/>
          <w:lang w:val="en-US" w:eastAsia="zh-CN"/>
        </w:rPr>
        <w:t xml:space="preserve"> </w:t>
      </w: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lang w:val="zh-CN"/>
        </w:rPr>
        <w:t>评审工作大纲</w:t>
      </w: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both"/>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jc w:val="both"/>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spacing w:line="400" w:lineRule="atLeast"/>
        <w:rPr>
          <w:rFonts w:hint="eastAsia" w:ascii="宋体" w:hAnsi="宋体" w:eastAsia="宋体" w:cs="宋体"/>
          <w:b/>
          <w:bCs/>
          <w:color w:val="auto"/>
          <w:kern w:val="2"/>
          <w:sz w:val="36"/>
          <w:szCs w:val="36"/>
          <w:highlight w:val="none"/>
        </w:rPr>
      </w:pPr>
    </w:p>
    <w:p>
      <w:pPr>
        <w:spacing w:line="400" w:lineRule="atLeast"/>
        <w:jc w:val="center"/>
        <w:rPr>
          <w:rFonts w:hint="eastAsia" w:ascii="宋体" w:hAnsi="宋体" w:eastAsia="宋体" w:cs="宋体"/>
          <w:b/>
          <w:bCs/>
          <w:color w:val="auto"/>
          <w:kern w:val="2"/>
          <w:sz w:val="36"/>
          <w:szCs w:val="36"/>
          <w:highlight w:val="none"/>
        </w:rPr>
      </w:pPr>
    </w:p>
    <w:p>
      <w:pPr>
        <w:pStyle w:val="2"/>
        <w:rPr>
          <w:rFonts w:hint="eastAsia" w:ascii="宋体" w:hAnsi="宋体" w:eastAsia="宋体" w:cs="宋体"/>
          <w:color w:val="auto"/>
          <w:highlight w:val="none"/>
          <w:lang w:val="en-US"/>
        </w:rPr>
      </w:pPr>
    </w:p>
    <w:p>
      <w:pPr>
        <w:tabs>
          <w:tab w:val="left" w:pos="1140"/>
        </w:tabs>
        <w:spacing w:line="360" w:lineRule="auto"/>
        <w:jc w:val="both"/>
        <w:rPr>
          <w:rFonts w:hint="eastAsia" w:ascii="宋体" w:hAnsi="宋体" w:eastAsia="宋体" w:cs="宋体"/>
          <w:b/>
          <w:bCs/>
          <w:color w:val="auto"/>
          <w:kern w:val="2"/>
          <w:sz w:val="21"/>
          <w:szCs w:val="21"/>
          <w:highlight w:val="none"/>
        </w:rPr>
      </w:pPr>
    </w:p>
    <w:p>
      <w:pPr>
        <w:pStyle w:val="2"/>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pageBreakBefore/>
        <w:tabs>
          <w:tab w:val="left" w:pos="1140"/>
        </w:tabs>
        <w:spacing w:line="36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color w:val="auto"/>
          <w:kern w:val="2"/>
          <w:sz w:val="28"/>
          <w:szCs w:val="28"/>
          <w:highlight w:val="none"/>
          <w:lang w:val="zh-CN"/>
        </w:rPr>
        <w:t>一、</w:t>
      </w:r>
      <w:r>
        <w:rPr>
          <w:rFonts w:hint="eastAsia" w:ascii="宋体" w:hAnsi="宋体" w:eastAsia="宋体" w:cs="宋体"/>
          <w:b/>
          <w:bCs/>
          <w:color w:val="auto"/>
          <w:kern w:val="2"/>
          <w:sz w:val="28"/>
          <w:szCs w:val="28"/>
          <w:highlight w:val="none"/>
          <w:lang w:val="zh-CN"/>
        </w:rPr>
        <w:t>总</w:t>
      </w:r>
      <w:r>
        <w:rPr>
          <w:rFonts w:hint="eastAsia" w:ascii="宋体" w:hAnsi="宋体" w:eastAsia="宋体" w:cs="宋体"/>
          <w:b/>
          <w:bCs/>
          <w:color w:val="auto"/>
          <w:kern w:val="2"/>
          <w:sz w:val="28"/>
          <w:szCs w:val="28"/>
          <w:highlight w:val="none"/>
        </w:rPr>
        <w:t xml:space="preserve">  </w:t>
      </w:r>
      <w:r>
        <w:rPr>
          <w:rFonts w:hint="eastAsia" w:ascii="宋体" w:hAnsi="宋体" w:eastAsia="宋体" w:cs="宋体"/>
          <w:b/>
          <w:bCs/>
          <w:color w:val="auto"/>
          <w:kern w:val="2"/>
          <w:sz w:val="28"/>
          <w:szCs w:val="28"/>
          <w:highlight w:val="none"/>
          <w:lang w:val="zh-CN"/>
        </w:rPr>
        <w:t>则</w:t>
      </w:r>
    </w:p>
    <w:p>
      <w:pPr>
        <w:tabs>
          <w:tab w:val="left" w:pos="567"/>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1、一般规定</w:t>
      </w:r>
    </w:p>
    <w:p>
      <w:pPr>
        <w:numPr>
          <w:ilvl w:val="0"/>
          <w:numId w:val="0"/>
        </w:numPr>
        <w:spacing w:line="360" w:lineRule="auto"/>
        <w:ind w:left="420" w:leftChars="0" w:hanging="420" w:hangingChars="200"/>
        <w:jc w:val="both"/>
        <w:rPr>
          <w:rFonts w:hint="eastAsia" w:ascii="宋体" w:hAnsi="宋体" w:eastAsia="宋体" w:cs="宋体"/>
          <w:color w:val="auto"/>
          <w:sz w:val="21"/>
          <w:szCs w:val="32"/>
          <w:highlight w:val="none"/>
        </w:rPr>
      </w:pPr>
      <w:r>
        <w:rPr>
          <w:rFonts w:hint="eastAsia" w:ascii="宋体" w:hAnsi="宋体" w:eastAsia="宋体" w:cs="宋体"/>
          <w:color w:val="auto"/>
          <w:kern w:val="2"/>
          <w:sz w:val="21"/>
          <w:highlight w:val="none"/>
          <w:lang w:val="zh-CN"/>
        </w:rPr>
        <w:t>1.1</w:t>
      </w:r>
      <w:r>
        <w:rPr>
          <w:rFonts w:hint="eastAsia" w:ascii="宋体" w:hAnsi="宋体" w:eastAsia="宋体" w:cs="宋体"/>
          <w:color w:val="auto"/>
          <w:kern w:val="2"/>
          <w:sz w:val="21"/>
          <w:highlight w:val="none"/>
          <w:lang w:val="en-US" w:eastAsia="zh-CN"/>
        </w:rPr>
        <w:t xml:space="preserve"> 东莞市污泥处理处置过程数据管理系统采购项目</w:t>
      </w:r>
      <w:r>
        <w:rPr>
          <w:rFonts w:hint="eastAsia" w:ascii="宋体" w:hAnsi="宋体" w:eastAsia="宋体" w:cs="宋体"/>
          <w:color w:val="auto"/>
          <w:kern w:val="2"/>
          <w:sz w:val="21"/>
          <w:highlight w:val="none"/>
          <w:lang w:val="zh-CN"/>
        </w:rPr>
        <w:t>(采购编号：ZYHJ-2024-0001)的采购按照采购人及上级单位的相关制度等有关规定进行。</w:t>
      </w:r>
    </w:p>
    <w:p>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1.2</w:t>
      </w:r>
      <w:r>
        <w:rPr>
          <w:rFonts w:hint="eastAsia" w:ascii="宋体" w:hAnsi="宋体" w:eastAsia="宋体" w:cs="宋体"/>
          <w:color w:val="auto"/>
          <w:kern w:val="2"/>
          <w:sz w:val="21"/>
          <w:highlight w:val="none"/>
          <w:lang w:val="en-US" w:eastAsia="zh-CN"/>
        </w:rPr>
        <w:t xml:space="preserve"> 磋商</w:t>
      </w:r>
      <w:r>
        <w:rPr>
          <w:rFonts w:hint="eastAsia" w:ascii="宋体" w:hAnsi="宋体" w:eastAsia="宋体" w:cs="宋体"/>
          <w:color w:val="auto"/>
          <w:kern w:val="2"/>
          <w:sz w:val="21"/>
          <w:highlight w:val="none"/>
          <w:lang w:val="zh-CN"/>
        </w:rPr>
        <w:t>必须遵循公开、公平、公正、诚实信用的原则。</w:t>
      </w:r>
    </w:p>
    <w:p>
      <w:pPr>
        <w:numPr>
          <w:ilvl w:val="0"/>
          <w:numId w:val="0"/>
        </w:numPr>
        <w:spacing w:line="360" w:lineRule="auto"/>
        <w:ind w:left="420" w:leftChars="0"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1.3</w:t>
      </w:r>
      <w:r>
        <w:rPr>
          <w:rFonts w:hint="eastAsia" w:ascii="宋体" w:hAnsi="宋体" w:eastAsia="宋体" w:cs="宋体"/>
          <w:color w:val="auto"/>
          <w:kern w:val="2"/>
          <w:sz w:val="21"/>
          <w:highlight w:val="none"/>
          <w:lang w:val="en-US" w:eastAsia="zh-CN"/>
        </w:rPr>
        <w:t xml:space="preserve"> 采购</w:t>
      </w:r>
      <w:r>
        <w:rPr>
          <w:rFonts w:hint="eastAsia" w:ascii="宋体" w:hAnsi="宋体" w:eastAsia="宋体" w:cs="宋体"/>
          <w:color w:val="auto"/>
          <w:kern w:val="2"/>
          <w:sz w:val="21"/>
          <w:highlight w:val="none"/>
          <w:lang w:val="zh-CN"/>
        </w:rPr>
        <w:t>代理机构（</w:t>
      </w:r>
      <w:r>
        <w:rPr>
          <w:rFonts w:hint="eastAsia" w:ascii="宋体" w:hAnsi="宋体" w:eastAsia="宋体" w:cs="宋体"/>
          <w:color w:val="auto"/>
          <w:kern w:val="2"/>
          <w:sz w:val="21"/>
          <w:highlight w:val="none"/>
          <w:lang w:val="en-US" w:eastAsia="zh-CN"/>
        </w:rPr>
        <w:t>广东和盛招标代理有限公司</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32"/>
          <w:highlight w:val="none"/>
        </w:rPr>
        <w:t>组</w:t>
      </w:r>
      <w:r>
        <w:rPr>
          <w:rFonts w:hint="eastAsia" w:ascii="宋体" w:hAnsi="宋体" w:eastAsia="宋体" w:cs="宋体"/>
          <w:color w:val="auto"/>
          <w:kern w:val="2"/>
          <w:sz w:val="21"/>
          <w:highlight w:val="none"/>
          <w:lang w:val="zh-CN"/>
        </w:rPr>
        <w:t>织</w:t>
      </w:r>
      <w:r>
        <w:rPr>
          <w:rFonts w:hint="eastAsia" w:ascii="宋体" w:hAnsi="宋体" w:eastAsia="宋体" w:cs="宋体"/>
          <w:color w:val="auto"/>
          <w:kern w:val="2"/>
          <w:sz w:val="21"/>
          <w:highlight w:val="none"/>
          <w:lang w:val="en-US" w:eastAsia="zh-CN"/>
        </w:rPr>
        <w:t>磋商活动</w:t>
      </w:r>
      <w:r>
        <w:rPr>
          <w:rFonts w:hint="eastAsia" w:ascii="宋体" w:hAnsi="宋体" w:eastAsia="宋体" w:cs="宋体"/>
          <w:color w:val="auto"/>
          <w:kern w:val="2"/>
          <w:sz w:val="21"/>
          <w:highlight w:val="none"/>
          <w:lang w:val="zh-CN"/>
        </w:rPr>
        <w:t>，全过程接受采购人</w:t>
      </w:r>
      <w:r>
        <w:rPr>
          <w:rFonts w:hint="eastAsia" w:ascii="宋体" w:hAnsi="宋体" w:eastAsia="宋体" w:cs="宋体"/>
          <w:color w:val="auto"/>
          <w:sz w:val="21"/>
          <w:szCs w:val="32"/>
          <w:highlight w:val="none"/>
        </w:rPr>
        <w:t>及上级单位</w:t>
      </w:r>
      <w:r>
        <w:rPr>
          <w:rFonts w:hint="eastAsia" w:ascii="宋体" w:hAnsi="宋体" w:eastAsia="宋体" w:cs="宋体"/>
          <w:color w:val="auto"/>
          <w:kern w:val="2"/>
          <w:sz w:val="21"/>
          <w:highlight w:val="none"/>
          <w:lang w:val="zh-CN"/>
        </w:rPr>
        <w:t>的监督、管理和指导。</w:t>
      </w:r>
    </w:p>
    <w:p>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 磋商</w:t>
      </w:r>
      <w:r>
        <w:rPr>
          <w:rFonts w:hint="eastAsia" w:ascii="宋体" w:hAnsi="宋体" w:eastAsia="宋体" w:cs="宋体"/>
          <w:color w:val="auto"/>
          <w:kern w:val="2"/>
          <w:sz w:val="21"/>
          <w:highlight w:val="none"/>
          <w:lang w:val="zh-CN"/>
        </w:rPr>
        <w:t>按照</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文件规定的内容进行，采取综合评分法进行评审。</w:t>
      </w:r>
    </w:p>
    <w:p>
      <w:pPr>
        <w:numPr>
          <w:ilvl w:val="0"/>
          <w:numId w:val="0"/>
        </w:numPr>
        <w:spacing w:line="360" w:lineRule="auto"/>
        <w:ind w:left="420" w:leftChars="0"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1.5 </w:t>
      </w:r>
      <w:r>
        <w:rPr>
          <w:rFonts w:hint="eastAsia" w:ascii="宋体" w:hAnsi="宋体" w:eastAsia="宋体" w:cs="宋体"/>
          <w:color w:val="auto"/>
          <w:kern w:val="2"/>
          <w:sz w:val="21"/>
          <w:highlight w:val="none"/>
          <w:lang w:val="zh-CN"/>
        </w:rPr>
        <w:t>本办法的评审对象是指供应商按照</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文件要求提供的有效响应文件，包括供应商应磋商小组要求对原响应文件作出的正式书面澄清文件。</w:t>
      </w:r>
    </w:p>
    <w:p>
      <w:pPr>
        <w:spacing w:line="360" w:lineRule="auto"/>
        <w:jc w:val="both"/>
        <w:rPr>
          <w:rFonts w:hint="eastAsia" w:ascii="宋体" w:hAnsi="宋体" w:eastAsia="宋体" w:cs="宋体"/>
          <w:color w:val="auto"/>
          <w:kern w:val="2"/>
          <w:highlight w:val="none"/>
          <w:lang w:val="zh-CN"/>
        </w:rPr>
      </w:pPr>
    </w:p>
    <w:p>
      <w:pPr>
        <w:tabs>
          <w:tab w:val="left" w:pos="360"/>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2、磋商小组的组成</w:t>
      </w:r>
    </w:p>
    <w:p>
      <w:pPr>
        <w:keepNext w:val="0"/>
        <w:keepLines w:val="0"/>
        <w:pageBreakBefore w:val="0"/>
        <w:widowControl w:val="0"/>
        <w:tabs>
          <w:tab w:val="left" w:pos="567"/>
          <w:tab w:val="left" w:pos="1145"/>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sz w:val="21"/>
          <w:highlight w:val="none"/>
        </w:rPr>
      </w:pPr>
      <w:r>
        <w:rPr>
          <w:rFonts w:hint="eastAsia" w:ascii="宋体" w:hAnsi="宋体" w:eastAsia="宋体" w:cs="宋体"/>
          <w:color w:val="auto"/>
          <w:kern w:val="2"/>
          <w:sz w:val="21"/>
          <w:highlight w:val="none"/>
          <w:lang w:val="zh-CN"/>
        </w:rPr>
        <w:t>2.1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rPr>
        <w:t>磋商小组</w:t>
      </w:r>
      <w:r>
        <w:rPr>
          <w:rFonts w:hint="eastAsia" w:ascii="宋体" w:hAnsi="宋体" w:eastAsia="宋体" w:cs="宋体"/>
          <w:color w:val="auto"/>
          <w:sz w:val="21"/>
          <w:highlight w:val="none"/>
        </w:rPr>
        <w:t>由由采购人的代表和技术、经济等方面的专家组成，成员为</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rPr>
        <w:t>人，其中技术、经济等方面的专家不少于成员总数的三分之二。</w:t>
      </w:r>
      <w:r>
        <w:rPr>
          <w:rFonts w:hint="eastAsia" w:ascii="宋体" w:hAnsi="宋体" w:eastAsia="宋体" w:cs="宋体"/>
          <w:color w:val="auto"/>
          <w:kern w:val="2"/>
          <w:sz w:val="21"/>
          <w:highlight w:val="none"/>
          <w:lang w:val="zh-CN"/>
        </w:rPr>
        <w:t>专家依法从</w:t>
      </w:r>
      <w:r>
        <w:rPr>
          <w:rFonts w:hint="eastAsia" w:ascii="宋体" w:hAnsi="宋体" w:eastAsia="宋体" w:cs="宋体"/>
          <w:color w:val="auto"/>
          <w:sz w:val="21"/>
          <w:highlight w:val="none"/>
        </w:rPr>
        <w:t>专家库中随机抽取产生。</w:t>
      </w:r>
    </w:p>
    <w:p>
      <w:pPr>
        <w:tabs>
          <w:tab w:val="left" w:pos="567"/>
          <w:tab w:val="left" w:pos="1145"/>
        </w:tabs>
        <w:spacing w:line="360" w:lineRule="auto"/>
        <w:ind w:left="600" w:hanging="6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2.2</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磋商工作组由</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人、</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代理机构及有关专家组成。</w:t>
      </w:r>
    </w:p>
    <w:p>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2.3</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磋商工作组分成磋商小组、</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代理机构秘书组。</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w:t>
      </w:r>
      <w:r>
        <w:rPr>
          <w:rFonts w:hint="eastAsia" w:ascii="宋体" w:hAnsi="宋体" w:eastAsia="宋体" w:cs="宋体"/>
          <w:color w:val="auto"/>
          <w:kern w:val="2"/>
          <w:sz w:val="21"/>
          <w:highlight w:val="none"/>
          <w:lang w:val="en-US" w:eastAsia="zh-CN"/>
        </w:rPr>
        <w:t xml:space="preserve">4 </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应相对独立工作，负责评审、</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撰写评审报告。采购代理机构秘书组负责评审过程中资料的保管、发放及回收，协调技术和</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评审工作的进展和整理、汇总评审资料及复核。</w:t>
      </w:r>
    </w:p>
    <w:p>
      <w:pPr>
        <w:spacing w:line="360" w:lineRule="auto"/>
        <w:jc w:val="both"/>
        <w:rPr>
          <w:rFonts w:hint="eastAsia" w:ascii="宋体" w:hAnsi="宋体" w:eastAsia="宋体" w:cs="宋体"/>
          <w:color w:val="auto"/>
          <w:kern w:val="2"/>
          <w:highlight w:val="none"/>
          <w:lang w:val="zh-CN"/>
        </w:rPr>
      </w:pPr>
    </w:p>
    <w:p>
      <w:pPr>
        <w:spacing w:line="360" w:lineRule="auto"/>
        <w:jc w:val="both"/>
        <w:rPr>
          <w:rFonts w:hint="eastAsia" w:ascii="宋体" w:hAnsi="宋体" w:eastAsia="宋体" w:cs="宋体"/>
          <w:color w:val="auto"/>
          <w:kern w:val="2"/>
          <w:highlight w:val="none"/>
          <w:lang w:val="zh-CN"/>
        </w:rPr>
      </w:pPr>
      <w:r>
        <w:rPr>
          <w:rFonts w:hint="eastAsia" w:ascii="宋体" w:hAnsi="宋体" w:eastAsia="宋体" w:cs="宋体"/>
          <w:b/>
          <w:color w:val="auto"/>
          <w:kern w:val="2"/>
          <w:sz w:val="21"/>
          <w:szCs w:val="21"/>
          <w:highlight w:val="none"/>
          <w:lang w:val="zh-CN"/>
        </w:rPr>
        <w:t>3、</w:t>
      </w:r>
      <w:r>
        <w:rPr>
          <w:rFonts w:hint="eastAsia" w:ascii="宋体" w:hAnsi="宋体" w:eastAsia="宋体" w:cs="宋体"/>
          <w:b/>
          <w:bCs/>
          <w:color w:val="auto"/>
          <w:kern w:val="2"/>
          <w:sz w:val="21"/>
          <w:highlight w:val="none"/>
          <w:lang w:val="zh-CN"/>
        </w:rPr>
        <w:t>磋商小组职责</w:t>
      </w:r>
    </w:p>
    <w:p>
      <w:pPr>
        <w:spacing w:line="360" w:lineRule="auto"/>
        <w:ind w:left="424" w:leftChars="-1" w:hanging="426" w:hangingChars="203"/>
        <w:rPr>
          <w:rFonts w:hint="eastAsia" w:ascii="宋体" w:hAnsi="宋体" w:eastAsia="宋体" w:cs="宋体"/>
          <w:b w:val="0"/>
          <w:bCs w:val="0"/>
          <w:color w:val="auto"/>
          <w:sz w:val="21"/>
          <w:highlight w:val="none"/>
        </w:rPr>
      </w:pPr>
      <w:r>
        <w:rPr>
          <w:rFonts w:hint="eastAsia" w:ascii="宋体" w:hAnsi="宋体" w:eastAsia="宋体" w:cs="宋体"/>
          <w:b w:val="0"/>
          <w:bCs w:val="0"/>
          <w:color w:val="auto"/>
          <w:sz w:val="21"/>
          <w:highlight w:val="none"/>
          <w:lang w:val="zh-CN"/>
        </w:rPr>
        <w:t>3.1</w:t>
      </w:r>
      <w:r>
        <w:rPr>
          <w:rFonts w:hint="eastAsia" w:ascii="宋体" w:hAnsi="宋体" w:eastAsia="宋体" w:cs="宋体"/>
          <w:b w:val="0"/>
          <w:bCs w:val="0"/>
          <w:color w:val="auto"/>
          <w:sz w:val="21"/>
          <w:highlight w:val="none"/>
          <w:lang w:val="en-US" w:eastAsia="zh-CN"/>
        </w:rPr>
        <w:t xml:space="preserve"> </w:t>
      </w:r>
      <w:r>
        <w:rPr>
          <w:rFonts w:hint="eastAsia" w:ascii="宋体" w:hAnsi="宋体" w:eastAsia="宋体" w:cs="宋体"/>
          <w:b w:val="0"/>
          <w:bCs w:val="0"/>
          <w:color w:val="auto"/>
          <w:sz w:val="21"/>
          <w:highlight w:val="none"/>
        </w:rPr>
        <w:t>磋商小组成员应当按照客观、公正、审慎的原则，根据竞争性磋商文件规定的评审程序、评审</w:t>
      </w:r>
    </w:p>
    <w:p>
      <w:pPr>
        <w:spacing w:line="360" w:lineRule="auto"/>
        <w:ind w:firstLine="420" w:firstLineChars="200"/>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rPr>
        <w:t>方法和评审标准进行独立评审</w:t>
      </w:r>
      <w:r>
        <w:rPr>
          <w:rFonts w:hint="eastAsia" w:ascii="宋体" w:hAnsi="宋体" w:eastAsia="宋体" w:cs="宋体"/>
          <w:b w:val="0"/>
          <w:bCs w:val="0"/>
          <w:color w:val="auto"/>
          <w:sz w:val="21"/>
          <w:highlight w:val="none"/>
          <w:lang w:val="zh-CN"/>
        </w:rPr>
        <w:t>；</w:t>
      </w:r>
    </w:p>
    <w:p>
      <w:pPr>
        <w:spacing w:line="360" w:lineRule="auto"/>
        <w:ind w:left="424" w:hanging="424" w:hangingChars="202"/>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3.2 供应商</w:t>
      </w:r>
      <w:r>
        <w:rPr>
          <w:rFonts w:hint="eastAsia" w:ascii="宋体" w:hAnsi="宋体" w:eastAsia="宋体" w:cs="宋体"/>
          <w:b w:val="0"/>
          <w:bCs w:val="0"/>
          <w:color w:val="auto"/>
          <w:sz w:val="21"/>
          <w:highlight w:val="none"/>
        </w:rPr>
        <w:t>未实质性响应竞争性磋商文件的响应文件按无效响应处理，磋商小组应当告知提交响应文件的供应商</w:t>
      </w:r>
      <w:r>
        <w:rPr>
          <w:rFonts w:hint="eastAsia" w:ascii="宋体" w:hAnsi="宋体" w:eastAsia="宋体" w:cs="宋体"/>
          <w:b w:val="0"/>
          <w:bCs w:val="0"/>
          <w:color w:val="auto"/>
          <w:sz w:val="21"/>
          <w:highlight w:val="none"/>
          <w:lang w:val="zh-CN"/>
        </w:rPr>
        <w:t>；</w:t>
      </w:r>
    </w:p>
    <w:p>
      <w:pPr>
        <w:spacing w:line="360" w:lineRule="auto"/>
        <w:ind w:left="424" w:hanging="424" w:hangingChars="202"/>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3.3 竞争性磋商文件内容违反国家有关强制性规定的，磋商小组应当停止评审并</w:t>
      </w:r>
      <w:r>
        <w:rPr>
          <w:rFonts w:hint="eastAsia" w:ascii="宋体" w:hAnsi="宋体" w:eastAsia="宋体" w:cs="宋体"/>
          <w:b w:val="0"/>
          <w:bCs w:val="0"/>
          <w:color w:val="auto"/>
          <w:sz w:val="21"/>
          <w:highlight w:val="none"/>
          <w:lang w:val="en-US" w:eastAsia="zh-CN"/>
        </w:rPr>
        <w:t>记录</w:t>
      </w:r>
      <w:r>
        <w:rPr>
          <w:rFonts w:hint="eastAsia" w:ascii="宋体" w:hAnsi="宋体" w:eastAsia="宋体" w:cs="宋体"/>
          <w:b w:val="0"/>
          <w:bCs w:val="0"/>
          <w:color w:val="auto"/>
          <w:sz w:val="21"/>
          <w:highlight w:val="none"/>
          <w:lang w:val="zh-CN"/>
        </w:rPr>
        <w:t>；</w:t>
      </w:r>
    </w:p>
    <w:p>
      <w:pPr>
        <w:tabs>
          <w:tab w:val="left" w:pos="675"/>
        </w:tabs>
        <w:spacing w:line="360" w:lineRule="auto"/>
        <w:ind w:left="567" w:hanging="567"/>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3.4 推荐成交候选人名单</w:t>
      </w:r>
      <w:r>
        <w:rPr>
          <w:rFonts w:hint="eastAsia" w:ascii="宋体" w:hAnsi="宋体" w:eastAsia="宋体" w:cs="宋体"/>
          <w:color w:val="auto"/>
          <w:sz w:val="21"/>
          <w:highlight w:val="none"/>
          <w:lang w:val="zh-CN"/>
        </w:rPr>
        <w:t>及排序</w:t>
      </w:r>
      <w:r>
        <w:rPr>
          <w:rFonts w:hint="eastAsia" w:ascii="宋体" w:hAnsi="宋体" w:eastAsia="宋体" w:cs="宋体"/>
          <w:b w:val="0"/>
          <w:bCs w:val="0"/>
          <w:color w:val="auto"/>
          <w:sz w:val="21"/>
          <w:highlight w:val="none"/>
          <w:lang w:val="zh-CN"/>
        </w:rPr>
        <w:t>；</w:t>
      </w:r>
    </w:p>
    <w:p>
      <w:pPr>
        <w:spacing w:line="360" w:lineRule="auto"/>
        <w:ind w:left="567" w:hanging="567"/>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sz w:val="21"/>
          <w:highlight w:val="none"/>
          <w:lang w:val="zh-CN"/>
        </w:rPr>
        <w:t>3.</w:t>
      </w:r>
      <w:r>
        <w:rPr>
          <w:rFonts w:hint="eastAsia" w:ascii="宋体" w:hAnsi="宋体" w:eastAsia="宋体" w:cs="宋体"/>
          <w:b w:val="0"/>
          <w:bCs w:val="0"/>
          <w:color w:val="auto"/>
          <w:sz w:val="21"/>
          <w:highlight w:val="none"/>
        </w:rPr>
        <w:t xml:space="preserve">5 </w:t>
      </w:r>
      <w:r>
        <w:rPr>
          <w:rFonts w:hint="eastAsia" w:ascii="宋体" w:hAnsi="宋体" w:eastAsia="宋体" w:cs="宋体"/>
          <w:b w:val="0"/>
          <w:bCs w:val="0"/>
          <w:color w:val="auto"/>
          <w:sz w:val="21"/>
          <w:highlight w:val="none"/>
          <w:lang w:val="zh-CN"/>
        </w:rPr>
        <w:t>向</w:t>
      </w:r>
      <w:r>
        <w:rPr>
          <w:rFonts w:hint="eastAsia" w:ascii="宋体" w:hAnsi="宋体" w:eastAsia="宋体" w:cs="宋体"/>
          <w:b w:val="0"/>
          <w:bCs w:val="0"/>
          <w:color w:val="auto"/>
          <w:sz w:val="21"/>
          <w:highlight w:val="none"/>
        </w:rPr>
        <w:t>采购</w:t>
      </w:r>
      <w:r>
        <w:rPr>
          <w:rFonts w:hint="eastAsia" w:ascii="宋体" w:hAnsi="宋体" w:eastAsia="宋体" w:cs="宋体"/>
          <w:b w:val="0"/>
          <w:bCs w:val="0"/>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w:t>
      </w:r>
      <w:r>
        <w:rPr>
          <w:rFonts w:hint="eastAsia" w:ascii="宋体" w:hAnsi="宋体" w:eastAsia="宋体" w:cs="宋体"/>
          <w:color w:val="auto"/>
          <w:sz w:val="21"/>
          <w:szCs w:val="21"/>
          <w:highlight w:val="none"/>
          <w:lang w:val="zh-CN"/>
        </w:rPr>
        <w:t>构</w:t>
      </w:r>
      <w:r>
        <w:rPr>
          <w:rFonts w:hint="eastAsia" w:ascii="宋体" w:hAnsi="宋体" w:eastAsia="宋体" w:cs="宋体"/>
          <w:b w:val="0"/>
          <w:bCs w:val="0"/>
          <w:color w:val="auto"/>
          <w:sz w:val="21"/>
          <w:highlight w:val="none"/>
          <w:lang w:val="zh-CN"/>
        </w:rPr>
        <w:t>或者有关部门报告非法干预评审工作的行为</w:t>
      </w:r>
      <w:r>
        <w:rPr>
          <w:rFonts w:hint="eastAsia" w:ascii="宋体" w:hAnsi="宋体" w:eastAsia="宋体" w:cs="宋体"/>
          <w:b w:val="0"/>
          <w:bCs w:val="0"/>
          <w:color w:val="auto"/>
          <w:highlight w:val="none"/>
          <w:lang w:val="zh-CN"/>
        </w:rPr>
        <w:t>。</w:t>
      </w:r>
    </w:p>
    <w:p>
      <w:pPr>
        <w:spacing w:line="360" w:lineRule="auto"/>
        <w:rPr>
          <w:rFonts w:hint="eastAsia" w:ascii="宋体" w:hAnsi="宋体" w:eastAsia="宋体" w:cs="宋体"/>
          <w:color w:val="auto"/>
          <w:highlight w:val="none"/>
          <w:lang w:val="zh-CN"/>
        </w:rPr>
      </w:pPr>
    </w:p>
    <w:p>
      <w:pPr>
        <w:tabs>
          <w:tab w:val="left" w:pos="405"/>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4、</w:t>
      </w:r>
      <w:r>
        <w:rPr>
          <w:rFonts w:hint="eastAsia" w:ascii="宋体" w:hAnsi="宋体" w:eastAsia="宋体" w:cs="宋体"/>
          <w:b/>
          <w:bCs/>
          <w:color w:val="auto"/>
          <w:kern w:val="2"/>
          <w:sz w:val="21"/>
          <w:highlight w:val="none"/>
          <w:lang w:val="zh-CN"/>
        </w:rPr>
        <w:tab/>
      </w:r>
      <w:r>
        <w:rPr>
          <w:rFonts w:hint="eastAsia" w:ascii="宋体" w:hAnsi="宋体" w:eastAsia="宋体" w:cs="宋体"/>
          <w:b/>
          <w:bCs/>
          <w:color w:val="auto"/>
          <w:kern w:val="2"/>
          <w:sz w:val="21"/>
          <w:highlight w:val="none"/>
          <w:lang w:val="zh-CN"/>
        </w:rPr>
        <w:t>磋商小组</w:t>
      </w:r>
      <w:r>
        <w:rPr>
          <w:rFonts w:hint="eastAsia" w:ascii="宋体" w:hAnsi="宋体" w:eastAsia="宋体" w:cs="宋体"/>
          <w:b/>
          <w:bCs/>
          <w:color w:val="auto"/>
          <w:kern w:val="2"/>
          <w:sz w:val="21"/>
          <w:szCs w:val="21"/>
          <w:highlight w:val="none"/>
          <w:lang w:val="zh-CN"/>
        </w:rPr>
        <w:t>义务</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4.1 遵纪守法，客观、公正、廉洁地履行职责；</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4.2 按照竞争性磋商文件规定的评审方法和评审标准进行评审，对评审意见承担个人责任；</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4.3 对磋商过程和结果，以及供应商的商业秘密保密；</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4.4 参与评审报告的起草；</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4.5 配合有关部门的投诉处理工作；</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4.6 配合</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代理机构答复供应商提出的</w:t>
      </w:r>
      <w:r>
        <w:rPr>
          <w:rFonts w:hint="eastAsia" w:ascii="宋体" w:hAnsi="宋体" w:eastAsia="宋体" w:cs="宋体"/>
          <w:color w:val="auto"/>
          <w:sz w:val="21"/>
          <w:highlight w:val="none"/>
          <w:lang w:val="en-US" w:eastAsia="zh-CN"/>
        </w:rPr>
        <w:t>异议</w:t>
      </w:r>
      <w:r>
        <w:rPr>
          <w:rFonts w:hint="eastAsia" w:ascii="宋体" w:hAnsi="宋体" w:eastAsia="宋体" w:cs="宋体"/>
          <w:color w:val="auto"/>
          <w:sz w:val="21"/>
          <w:highlight w:val="none"/>
          <w:lang w:val="zh-CN"/>
        </w:rPr>
        <w:t>。</w:t>
      </w:r>
    </w:p>
    <w:p>
      <w:pPr>
        <w:spacing w:line="360" w:lineRule="auto"/>
        <w:rPr>
          <w:rFonts w:hint="eastAsia" w:ascii="宋体" w:hAnsi="宋体" w:eastAsia="宋体" w:cs="宋体"/>
          <w:color w:val="auto"/>
          <w:highlight w:val="none"/>
          <w:lang w:val="zh-CN"/>
        </w:rPr>
      </w:pPr>
    </w:p>
    <w:p>
      <w:pPr>
        <w:tabs>
          <w:tab w:val="left" w:pos="1547"/>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5、磋商程序</w:t>
      </w:r>
    </w:p>
    <w:p>
      <w:pPr>
        <w:spacing w:line="360" w:lineRule="auto"/>
        <w:ind w:left="426" w:hanging="426"/>
        <w:jc w:val="both"/>
        <w:rPr>
          <w:rFonts w:hint="eastAsia" w:ascii="宋体" w:hAnsi="宋体" w:eastAsia="宋体" w:cs="宋体"/>
          <w:bCs/>
          <w:color w:val="auto"/>
          <w:kern w:val="2"/>
          <w:sz w:val="21"/>
          <w:highlight w:val="none"/>
          <w:lang w:val="zh-CN"/>
        </w:rPr>
      </w:pPr>
      <w:r>
        <w:rPr>
          <w:rFonts w:hint="eastAsia" w:ascii="宋体" w:hAnsi="宋体" w:eastAsia="宋体" w:cs="宋体"/>
          <w:bCs/>
          <w:color w:val="auto"/>
          <w:kern w:val="2"/>
          <w:sz w:val="21"/>
          <w:highlight w:val="none"/>
          <w:lang w:val="zh-CN"/>
        </w:rPr>
        <w:t>5.1</w:t>
      </w:r>
      <w:r>
        <w:rPr>
          <w:rFonts w:hint="eastAsia" w:ascii="宋体" w:hAnsi="宋体" w:eastAsia="宋体" w:cs="宋体"/>
          <w:bCs/>
          <w:color w:val="auto"/>
          <w:kern w:val="2"/>
          <w:sz w:val="21"/>
          <w:highlight w:val="none"/>
          <w:lang w:val="en-US" w:eastAsia="zh-CN"/>
        </w:rPr>
        <w:t xml:space="preserve"> 评审</w:t>
      </w:r>
      <w:r>
        <w:rPr>
          <w:rFonts w:hint="eastAsia" w:ascii="宋体" w:hAnsi="宋体" w:eastAsia="宋体" w:cs="宋体"/>
          <w:bCs/>
          <w:color w:val="auto"/>
          <w:kern w:val="2"/>
          <w:sz w:val="21"/>
          <w:highlight w:val="none"/>
          <w:lang w:val="zh-CN"/>
        </w:rPr>
        <w:t>首先由磋商小组对供应商的响应文件</w:t>
      </w:r>
      <w:r>
        <w:rPr>
          <w:rFonts w:hint="eastAsia" w:ascii="宋体" w:hAnsi="宋体" w:eastAsia="宋体" w:cs="宋体"/>
          <w:bCs/>
          <w:color w:val="auto"/>
          <w:kern w:val="2"/>
          <w:sz w:val="21"/>
          <w:highlight w:val="none"/>
          <w:lang w:val="en-US" w:eastAsia="zh-CN"/>
        </w:rPr>
        <w:t>做资格性检查</w:t>
      </w:r>
      <w:r>
        <w:rPr>
          <w:rFonts w:hint="eastAsia" w:ascii="宋体" w:hAnsi="宋体" w:eastAsia="宋体" w:cs="宋体"/>
          <w:b w:val="0"/>
          <w:bCs/>
          <w:color w:val="auto"/>
          <w:kern w:val="2"/>
          <w:sz w:val="21"/>
          <w:highlight w:val="none"/>
          <w:lang w:val="en-US" w:eastAsia="zh-CN"/>
        </w:rPr>
        <w:t>，对未能通过初审的响应文件不再进入下一阶段磋商。若本次采购过程中有效供应商只有2家时，</w:t>
      </w:r>
      <w:r>
        <w:rPr>
          <w:rFonts w:hint="eastAsia" w:ascii="宋体" w:hAnsi="宋体" w:eastAsia="宋体" w:cs="宋体"/>
          <w:color w:val="auto"/>
          <w:sz w:val="21"/>
          <w:szCs w:val="18"/>
          <w:highlight w:val="none"/>
        </w:rPr>
        <w:t>经</w:t>
      </w:r>
      <w:r>
        <w:rPr>
          <w:rFonts w:hint="eastAsia" w:ascii="宋体" w:hAnsi="宋体" w:eastAsia="宋体" w:cs="宋体"/>
          <w:color w:val="auto"/>
          <w:sz w:val="21"/>
          <w:szCs w:val="18"/>
          <w:highlight w:val="none"/>
          <w:lang w:val="en-US" w:eastAsia="zh-CN"/>
        </w:rPr>
        <w:t>磋商小组</w:t>
      </w:r>
      <w:r>
        <w:rPr>
          <w:rFonts w:hint="eastAsia" w:ascii="宋体" w:hAnsi="宋体" w:eastAsia="宋体" w:cs="宋体"/>
          <w:color w:val="auto"/>
          <w:sz w:val="21"/>
          <w:szCs w:val="18"/>
          <w:highlight w:val="none"/>
        </w:rPr>
        <w:t>论证，</w:t>
      </w:r>
      <w:r>
        <w:rPr>
          <w:rFonts w:hint="eastAsia" w:ascii="宋体" w:hAnsi="宋体" w:eastAsia="宋体" w:cs="宋体"/>
          <w:color w:val="auto"/>
          <w:sz w:val="21"/>
          <w:szCs w:val="18"/>
          <w:highlight w:val="none"/>
          <w:lang w:val="en-US" w:eastAsia="zh-CN"/>
        </w:rPr>
        <w:t>竞争性磋商</w:t>
      </w:r>
      <w:r>
        <w:rPr>
          <w:rFonts w:hint="eastAsia" w:ascii="宋体" w:hAnsi="宋体" w:eastAsia="宋体" w:cs="宋体"/>
          <w:color w:val="auto"/>
          <w:sz w:val="21"/>
          <w:szCs w:val="18"/>
          <w:highlight w:val="none"/>
        </w:rPr>
        <w:t>文件没有不合理条款、采购程序符合规定的</w:t>
      </w: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rPr>
        <w:t>经</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rPr>
        <w:t>人代表和作出实质性响应的</w:t>
      </w:r>
      <w:r>
        <w:rPr>
          <w:rFonts w:hint="eastAsia" w:ascii="宋体" w:hAnsi="宋体" w:eastAsia="宋体" w:cs="宋体"/>
          <w:color w:val="auto"/>
          <w:sz w:val="21"/>
          <w:szCs w:val="18"/>
          <w:highlight w:val="none"/>
          <w:lang w:val="en-US" w:eastAsia="zh-CN"/>
        </w:rPr>
        <w:t>供应商</w:t>
      </w:r>
      <w:r>
        <w:rPr>
          <w:rFonts w:hint="eastAsia" w:ascii="宋体" w:hAnsi="宋体" w:eastAsia="宋体" w:cs="宋体"/>
          <w:color w:val="auto"/>
          <w:sz w:val="21"/>
          <w:szCs w:val="18"/>
          <w:highlight w:val="none"/>
        </w:rPr>
        <w:t>代表同意后，</w:t>
      </w:r>
      <w:r>
        <w:rPr>
          <w:rFonts w:hint="eastAsia" w:ascii="宋体" w:hAnsi="宋体" w:eastAsia="宋体" w:cs="宋体"/>
          <w:b w:val="0"/>
          <w:bCs/>
          <w:color w:val="auto"/>
          <w:kern w:val="2"/>
          <w:sz w:val="21"/>
          <w:highlight w:val="none"/>
          <w:lang w:val="en-US" w:eastAsia="zh-CN"/>
        </w:rPr>
        <w:t>本竞争性磋商采购活动可以继续进行。若符合要求的供应商只有1家时，本次竞争性磋商失败</w:t>
      </w:r>
      <w:r>
        <w:rPr>
          <w:rFonts w:hint="eastAsia" w:ascii="宋体" w:hAnsi="宋体" w:eastAsia="宋体" w:cs="宋体"/>
          <w:b w:val="0"/>
          <w:bCs/>
          <w:color w:val="auto"/>
          <w:kern w:val="2"/>
          <w:sz w:val="21"/>
          <w:szCs w:val="21"/>
          <w:highlight w:val="none"/>
          <w:lang w:val="zh-CN"/>
        </w:rPr>
        <w:t>。</w:t>
      </w:r>
    </w:p>
    <w:p>
      <w:pPr>
        <w:spacing w:line="360" w:lineRule="auto"/>
        <w:ind w:left="426" w:hanging="426"/>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 xml:space="preserve">5.2 </w:t>
      </w:r>
      <w:r>
        <w:rPr>
          <w:rFonts w:hint="eastAsia" w:ascii="宋体" w:hAnsi="宋体" w:eastAsia="宋体" w:cs="宋体"/>
          <w:color w:val="auto"/>
          <w:kern w:val="2"/>
          <w:sz w:val="21"/>
          <w:szCs w:val="21"/>
          <w:highlight w:val="none"/>
          <w:lang w:val="zh-CN"/>
        </w:rPr>
        <w:t>磋商小组将集中与单一通过初审的供应商（以响应供应商签到</w:t>
      </w:r>
      <w:r>
        <w:rPr>
          <w:rFonts w:hint="eastAsia" w:ascii="宋体" w:hAnsi="宋体" w:eastAsia="宋体" w:cs="宋体"/>
          <w:color w:val="auto"/>
          <w:kern w:val="2"/>
          <w:sz w:val="21"/>
          <w:szCs w:val="21"/>
          <w:highlight w:val="none"/>
          <w:lang w:val="en-US" w:eastAsia="zh-CN"/>
        </w:rPr>
        <w:t>时间</w:t>
      </w:r>
      <w:r>
        <w:rPr>
          <w:rFonts w:hint="eastAsia" w:ascii="宋体" w:hAnsi="宋体" w:eastAsia="宋体" w:cs="宋体"/>
          <w:color w:val="auto"/>
          <w:kern w:val="2"/>
          <w:sz w:val="21"/>
          <w:szCs w:val="21"/>
          <w:highlight w:val="none"/>
          <w:lang w:val="zh-CN"/>
        </w:rPr>
        <w:t>顺序为准）分别进行</w:t>
      </w:r>
      <w:r>
        <w:rPr>
          <w:rFonts w:hint="eastAsia" w:ascii="宋体" w:hAnsi="宋体" w:eastAsia="宋体" w:cs="宋体"/>
          <w:color w:val="auto"/>
          <w:kern w:val="2"/>
          <w:sz w:val="21"/>
          <w:szCs w:val="21"/>
          <w:highlight w:val="none"/>
          <w:lang w:val="en-US" w:eastAsia="zh-CN"/>
        </w:rPr>
        <w:t>现场</w:t>
      </w:r>
      <w:r>
        <w:rPr>
          <w:rFonts w:hint="eastAsia" w:ascii="宋体" w:hAnsi="宋体" w:eastAsia="宋体" w:cs="宋体"/>
          <w:color w:val="auto"/>
          <w:kern w:val="2"/>
          <w:sz w:val="21"/>
          <w:szCs w:val="21"/>
          <w:highlight w:val="none"/>
          <w:lang w:val="zh-CN"/>
        </w:rPr>
        <w:t>磋商，并给予所有参加磋商的响应供应商平等的磋商机会。</w:t>
      </w:r>
      <w:r>
        <w:rPr>
          <w:rFonts w:hint="eastAsia" w:ascii="宋体" w:hAnsi="宋体" w:eastAsia="宋体" w:cs="宋体"/>
          <w:color w:val="auto"/>
          <w:kern w:val="2"/>
          <w:sz w:val="21"/>
          <w:szCs w:val="21"/>
          <w:highlight w:val="none"/>
          <w:lang w:val="en-US" w:eastAsia="zh-CN"/>
        </w:rPr>
        <w:t>如需要，进行必要的澄清工作。</w:t>
      </w:r>
    </w:p>
    <w:p>
      <w:pPr>
        <w:spacing w:line="360" w:lineRule="auto"/>
        <w:ind w:left="424" w:hanging="424" w:hangingChars="202"/>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3</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磋商小组将逐一对响应文件初审合格的供应商首次报价进行磋商。</w:t>
      </w:r>
    </w:p>
    <w:p>
      <w:pPr>
        <w:spacing w:line="360" w:lineRule="auto"/>
        <w:ind w:left="424" w:hanging="424" w:hanging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rPr>
        <w:t>在磋商过程中，磋商小组可以根据竞争性磋商文件和磋商情况实质性变动采购需求中的技术、服务要求以及合同草案条款，但不得变动竞争性磋商文件中的其他内容。实质性变动的内容，</w:t>
      </w:r>
      <w:r>
        <w:rPr>
          <w:rFonts w:hint="eastAsia" w:ascii="宋体" w:hAnsi="宋体" w:eastAsia="宋体" w:cs="宋体"/>
          <w:color w:val="auto"/>
          <w:kern w:val="2"/>
          <w:sz w:val="21"/>
          <w:highlight w:val="none"/>
          <w:lang w:val="en-US" w:eastAsia="zh-CN"/>
        </w:rPr>
        <w:t>须经采购人确认，</w:t>
      </w:r>
      <w:r>
        <w:rPr>
          <w:rFonts w:hint="eastAsia" w:ascii="宋体" w:hAnsi="宋体" w:eastAsia="宋体" w:cs="宋体"/>
          <w:color w:val="auto"/>
          <w:kern w:val="2"/>
          <w:sz w:val="21"/>
          <w:highlight w:val="none"/>
        </w:rPr>
        <w:t>对竞争性磋商文件作出的实质性变动是竞争性磋商文件的有效组成部分，磋商小组应当及时以书面形式同时通知所有参加磋商的供应商。</w:t>
      </w:r>
    </w:p>
    <w:p>
      <w:pPr>
        <w:pageBreakBefore w:val="0"/>
        <w:widowControl w:val="0"/>
        <w:kinsoku/>
        <w:wordWrap/>
        <w:overflowPunct/>
        <w:topLinePunct w:val="0"/>
        <w:autoSpaceDE w:val="0"/>
        <w:autoSpaceDN w:val="0"/>
        <w:bidi w:val="0"/>
        <w:adjustRightInd w:val="0"/>
        <w:snapToGrid/>
        <w:spacing w:line="360" w:lineRule="auto"/>
        <w:ind w:left="630" w:right="0" w:hanging="630" w:hangingChars="30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b/>
          <w:bCs/>
          <w:color w:val="auto"/>
          <w:sz w:val="21"/>
          <w:szCs w:val="21"/>
          <w:highlight w:val="none"/>
          <w:lang w:val="zh-CN"/>
        </w:rPr>
        <w:t>现场</w:t>
      </w:r>
      <w:r>
        <w:rPr>
          <w:rFonts w:hint="eastAsia" w:ascii="宋体" w:hAnsi="宋体" w:eastAsia="宋体" w:cs="宋体"/>
          <w:b/>
          <w:bCs/>
          <w:color w:val="auto"/>
          <w:sz w:val="21"/>
          <w:szCs w:val="21"/>
          <w:highlight w:val="none"/>
          <w:lang w:val="en-US" w:eastAsia="zh-CN"/>
        </w:rPr>
        <w:t>设计方案</w:t>
      </w:r>
      <w:r>
        <w:rPr>
          <w:rFonts w:hint="eastAsia" w:ascii="宋体" w:hAnsi="宋体" w:eastAsia="宋体" w:cs="宋体"/>
          <w:b/>
          <w:bCs/>
          <w:color w:val="auto"/>
          <w:sz w:val="21"/>
          <w:szCs w:val="21"/>
          <w:highlight w:val="none"/>
          <w:lang w:val="zh-CN"/>
        </w:rPr>
        <w:t xml:space="preserve">讲解 </w:t>
      </w:r>
    </w:p>
    <w:p>
      <w:pPr>
        <w:pageBreakBefore w:val="0"/>
        <w:widowControl w:val="0"/>
        <w:kinsoku/>
        <w:wordWrap/>
        <w:overflowPunct/>
        <w:topLinePunct w:val="0"/>
        <w:autoSpaceDE/>
        <w:autoSpaceDN/>
        <w:bidi w:val="0"/>
        <w:adjustRightInd w:val="0"/>
        <w:snapToGrid/>
        <w:spacing w:line="360" w:lineRule="auto"/>
        <w:ind w:left="499" w:leftChars="208" w:right="0" w:firstLine="0" w:firstLineChars="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本项目在磋商过程中，</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rPr>
        <w:t>需</w:t>
      </w:r>
      <w:r>
        <w:rPr>
          <w:rFonts w:hint="eastAsia" w:ascii="宋体" w:hAnsi="宋体" w:eastAsia="宋体" w:cs="宋体"/>
          <w:b/>
          <w:bCs/>
          <w:color w:val="auto"/>
          <w:sz w:val="21"/>
          <w:szCs w:val="21"/>
          <w:highlight w:val="none"/>
          <w:u w:val="single"/>
          <w:lang w:val="en-US" w:eastAsia="zh-CN"/>
        </w:rPr>
        <w:t>委</w:t>
      </w:r>
      <w:r>
        <w:rPr>
          <w:rFonts w:hint="eastAsia" w:ascii="宋体" w:hAnsi="宋体" w:eastAsia="宋体" w:cs="宋体"/>
          <w:b/>
          <w:bCs/>
          <w:color w:val="auto"/>
          <w:sz w:val="21"/>
          <w:szCs w:val="21"/>
          <w:highlight w:val="none"/>
          <w:u w:val="single"/>
        </w:rPr>
        <w:t>派不多于2位代表现场向</w:t>
      </w:r>
      <w:r>
        <w:rPr>
          <w:rFonts w:hint="eastAsia" w:ascii="宋体" w:hAnsi="宋体" w:eastAsia="宋体" w:cs="宋体"/>
          <w:b/>
          <w:bCs/>
          <w:color w:val="auto"/>
          <w:sz w:val="21"/>
          <w:szCs w:val="21"/>
          <w:highlight w:val="none"/>
          <w:u w:val="single"/>
          <w:lang w:val="en-US" w:eastAsia="zh-CN"/>
        </w:rPr>
        <w:t>磋商小组</w:t>
      </w:r>
      <w:r>
        <w:rPr>
          <w:rFonts w:hint="eastAsia" w:ascii="宋体" w:hAnsi="宋体" w:eastAsia="宋体" w:cs="宋体"/>
          <w:b/>
          <w:bCs/>
          <w:color w:val="auto"/>
          <w:sz w:val="21"/>
          <w:szCs w:val="21"/>
          <w:highlight w:val="none"/>
          <w:u w:val="single"/>
        </w:rPr>
        <w:t>介绍</w:t>
      </w:r>
      <w:r>
        <w:rPr>
          <w:rFonts w:hint="eastAsia" w:ascii="宋体" w:hAnsi="宋体" w:eastAsia="宋体" w:cs="宋体"/>
          <w:b/>
          <w:bCs/>
          <w:color w:val="auto"/>
          <w:sz w:val="21"/>
          <w:szCs w:val="21"/>
          <w:highlight w:val="none"/>
          <w:u w:val="single"/>
          <w:lang w:val="en-US" w:eastAsia="zh-CN"/>
        </w:rPr>
        <w:t>设计方案</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rPr>
        <w:t>方案介绍时间不超过15分钟。现场讲解文件内容</w:t>
      </w:r>
      <w:r>
        <w:rPr>
          <w:rFonts w:hint="eastAsia" w:ascii="宋体" w:hAnsi="宋体" w:eastAsia="宋体" w:cs="宋体"/>
          <w:b/>
          <w:bCs/>
          <w:color w:val="auto"/>
          <w:sz w:val="21"/>
          <w:szCs w:val="21"/>
          <w:highlight w:val="none"/>
          <w:u w:val="single"/>
          <w:lang w:val="en-US" w:eastAsia="zh-CN"/>
        </w:rPr>
        <w:t>为</w:t>
      </w:r>
      <w:r>
        <w:rPr>
          <w:rFonts w:hint="eastAsia" w:ascii="宋体" w:hAnsi="宋体" w:eastAsia="宋体" w:cs="宋体"/>
          <w:b/>
          <w:bCs/>
          <w:color w:val="auto"/>
          <w:sz w:val="21"/>
          <w:szCs w:val="21"/>
          <w:highlight w:val="none"/>
          <w:u w:val="single"/>
          <w:lang w:val="en-US" w:eastAsia="zh-CN"/>
        </w:rPr>
        <w:t>设计方案，包括但不限于总体架构、数据架构、信息管理、系统管理模块、界面设计、系统安全、小程序模块等</w:t>
      </w:r>
      <w:r>
        <w:rPr>
          <w:rFonts w:hint="eastAsia" w:ascii="宋体" w:hAnsi="宋体" w:eastAsia="宋体" w:cs="宋体"/>
          <w:b/>
          <w:bCs/>
          <w:color w:val="auto"/>
          <w:sz w:val="21"/>
          <w:szCs w:val="21"/>
          <w:highlight w:val="none"/>
          <w:u w:val="single"/>
          <w:lang w:eastAsia="zh-CN"/>
        </w:rPr>
        <w:t>。</w:t>
      </w:r>
    </w:p>
    <w:p>
      <w:pPr>
        <w:pageBreakBefore w:val="0"/>
        <w:widowControl w:val="0"/>
        <w:kinsoku/>
        <w:wordWrap/>
        <w:overflowPunct/>
        <w:topLinePunct w:val="0"/>
        <w:autoSpaceDE/>
        <w:autoSpaceDN/>
        <w:bidi w:val="0"/>
        <w:adjustRightInd w:val="0"/>
        <w:snapToGrid/>
        <w:spacing w:line="360" w:lineRule="auto"/>
        <w:ind w:left="379" w:leftChars="158" w:right="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供应商参加磋商时，应</w:t>
      </w:r>
      <w:r>
        <w:rPr>
          <w:rFonts w:hint="eastAsia" w:ascii="宋体" w:hAnsi="宋体" w:eastAsia="宋体" w:cs="宋体"/>
          <w:b/>
          <w:bCs/>
          <w:color w:val="auto"/>
          <w:sz w:val="21"/>
          <w:szCs w:val="21"/>
          <w:highlight w:val="none"/>
        </w:rPr>
        <w:t>自带笔记本电脑作为现场讲解的备用电脑，当</w:t>
      </w:r>
      <w:r>
        <w:rPr>
          <w:rFonts w:hint="eastAsia" w:ascii="宋体" w:hAnsi="宋体" w:eastAsia="宋体"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现场提供的电脑难以正常播放</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的讲解电子文件等情况时使用。</w:t>
      </w:r>
    </w:p>
    <w:p>
      <w:pPr>
        <w:spacing w:line="360" w:lineRule="auto"/>
        <w:ind w:left="424" w:hanging="424" w:hangingChars="202"/>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6</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line="360" w:lineRule="auto"/>
        <w:ind w:left="462" w:leftChars="0" w:hanging="462" w:hangingChars="2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5.7</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eastAsia="zh-CN"/>
        </w:rPr>
        <w:t>竞争性磋商文件能够详细列明采购标的的技术、服务要求的，</w:t>
      </w:r>
      <w:r>
        <w:rPr>
          <w:rFonts w:hint="eastAsia" w:ascii="宋体" w:hAnsi="宋体" w:eastAsia="宋体" w:cs="宋体"/>
          <w:b w:val="0"/>
          <w:bCs w:val="0"/>
          <w:color w:val="auto"/>
          <w:kern w:val="2"/>
          <w:sz w:val="21"/>
          <w:szCs w:val="21"/>
          <w:highlight w:val="none"/>
          <w:u w:val="none"/>
          <w:lang w:val="zh-CN"/>
        </w:rPr>
        <w:t>磋商结束后，所有作出实质性响应的有效供应商应在规定的时间内集中密封提交最后报价（</w:t>
      </w:r>
      <w:r>
        <w:rPr>
          <w:rFonts w:hint="eastAsia" w:ascii="宋体" w:hAnsi="宋体" w:eastAsia="宋体" w:cs="宋体"/>
          <w:b w:val="0"/>
          <w:bCs w:val="0"/>
          <w:color w:val="auto"/>
          <w:kern w:val="2"/>
          <w:sz w:val="21"/>
          <w:szCs w:val="21"/>
          <w:highlight w:val="none"/>
          <w:u w:val="none"/>
          <w:lang w:val="en-US" w:eastAsia="zh-CN"/>
        </w:rPr>
        <w:t>最后报价时间视磋商进程由磋商小组决定</w:t>
      </w:r>
      <w:r>
        <w:rPr>
          <w:rFonts w:hint="eastAsia" w:ascii="宋体" w:hAnsi="宋体" w:eastAsia="宋体" w:cs="宋体"/>
          <w:b w:val="0"/>
          <w:bCs w:val="0"/>
          <w:color w:val="auto"/>
          <w:kern w:val="2"/>
          <w:sz w:val="21"/>
          <w:szCs w:val="21"/>
          <w:highlight w:val="none"/>
          <w:u w:val="none"/>
          <w:lang w:val="zh-CN"/>
        </w:rPr>
        <w:t>），最后报价是供应商响应文件的有效组成部分。如在磋商中磋商小组没有对本磋商文件作实质性变动增加新的需求，后一轮报价不得高于前一轮报价</w:t>
      </w:r>
      <w:r>
        <w:rPr>
          <w:rFonts w:hint="eastAsia" w:ascii="宋体" w:hAnsi="宋体" w:eastAsia="宋体" w:cs="宋体"/>
          <w:color w:val="auto"/>
          <w:kern w:val="2"/>
          <w:sz w:val="21"/>
          <w:szCs w:val="21"/>
          <w:highlight w:val="none"/>
          <w:lang w:val="zh-CN"/>
        </w:rPr>
        <w:t>。</w:t>
      </w:r>
    </w:p>
    <w:p>
      <w:pPr>
        <w:spacing w:line="360" w:lineRule="auto"/>
        <w:ind w:left="424" w:leftChars="-12" w:hanging="453" w:hangingChars="216"/>
        <w:jc w:val="both"/>
        <w:rPr>
          <w:rFonts w:hint="eastAsia" w:ascii="宋体" w:hAnsi="宋体" w:eastAsia="宋体" w:cs="宋体"/>
          <w:bCs/>
          <w:color w:val="auto"/>
          <w:kern w:val="2"/>
          <w:sz w:val="21"/>
          <w:highlight w:val="none"/>
          <w:lang w:val="zh-CN"/>
        </w:rPr>
      </w:pPr>
      <w:r>
        <w:rPr>
          <w:rFonts w:hint="eastAsia" w:ascii="宋体" w:hAnsi="宋体" w:eastAsia="宋体" w:cs="宋体"/>
          <w:color w:val="auto"/>
          <w:kern w:val="2"/>
          <w:sz w:val="21"/>
          <w:highlight w:val="none"/>
          <w:u w:val="none"/>
          <w:lang w:val="zh-CN"/>
        </w:rPr>
        <w:t>5.</w:t>
      </w:r>
      <w:r>
        <w:rPr>
          <w:rFonts w:hint="eastAsia" w:ascii="宋体" w:hAnsi="宋体" w:eastAsia="宋体" w:cs="宋体"/>
          <w:color w:val="auto"/>
          <w:kern w:val="2"/>
          <w:sz w:val="21"/>
          <w:highlight w:val="none"/>
          <w:u w:val="none"/>
          <w:lang w:val="en-US" w:eastAsia="zh-CN"/>
        </w:rPr>
        <w:t>8</w:t>
      </w:r>
      <w:r>
        <w:rPr>
          <w:rFonts w:hint="eastAsia" w:ascii="宋体" w:hAnsi="宋体" w:eastAsia="宋体" w:cs="宋体"/>
          <w:color w:val="auto"/>
          <w:kern w:val="2"/>
          <w:sz w:val="21"/>
          <w:highlight w:val="none"/>
          <w:u w:val="none"/>
          <w:lang w:val="zh-CN"/>
        </w:rPr>
        <w:t xml:space="preserve"> </w:t>
      </w:r>
      <w:r>
        <w:rPr>
          <w:rFonts w:hint="eastAsia" w:ascii="宋体" w:hAnsi="宋体" w:eastAsia="宋体" w:cs="宋体"/>
          <w:color w:val="auto"/>
          <w:kern w:val="2"/>
          <w:sz w:val="21"/>
          <w:highlight w:val="none"/>
          <w:u w:val="none"/>
          <w:lang w:val="en-US" w:eastAsia="zh-CN"/>
        </w:rPr>
        <w:t>根据评分标准以及各项权重，磋商小组各成员单独就每个供应商的商务状况、技术状况进行比较和评价，评出其商务得分和技术得分。</w:t>
      </w:r>
    </w:p>
    <w:p>
      <w:pPr>
        <w:spacing w:line="360" w:lineRule="auto"/>
        <w:ind w:left="426" w:hanging="426"/>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9</w:t>
      </w:r>
      <w:r>
        <w:rPr>
          <w:rFonts w:hint="eastAsia" w:ascii="宋体" w:hAnsi="宋体" w:eastAsia="宋体" w:cs="宋体"/>
          <w:color w:val="auto"/>
          <w:kern w:val="2"/>
          <w:sz w:val="21"/>
          <w:highlight w:val="none"/>
          <w:lang w:val="zh-CN"/>
        </w:rPr>
        <w:t xml:space="preserve"> 对有效供应商的磋商报价进行审查和价格评分。</w:t>
      </w:r>
    </w:p>
    <w:p>
      <w:pPr>
        <w:keepNext w:val="0"/>
        <w:keepLines w:val="0"/>
        <w:pageBreakBefore w:val="0"/>
        <w:widowControl w:val="0"/>
        <w:kinsoku/>
        <w:wordWrap/>
        <w:overflowPunct/>
        <w:topLinePunct w:val="0"/>
        <w:autoSpaceDE w:val="0"/>
        <w:autoSpaceDN w:val="0"/>
        <w:bidi w:val="0"/>
        <w:adjustRightInd w:val="0"/>
        <w:snapToGrid/>
        <w:spacing w:line="360" w:lineRule="auto"/>
        <w:ind w:left="422" w:right="51" w:hanging="422" w:hangingChars="201"/>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10</w:t>
      </w:r>
      <w:r>
        <w:rPr>
          <w:rFonts w:hint="eastAsia" w:ascii="宋体" w:hAnsi="宋体" w:eastAsia="宋体" w:cs="宋体"/>
          <w:color w:val="auto"/>
          <w:kern w:val="2"/>
          <w:sz w:val="21"/>
          <w:highlight w:val="none"/>
          <w:lang w:val="zh-CN"/>
        </w:rPr>
        <w:t xml:space="preserve"> 磋商小组</w:t>
      </w:r>
      <w:r>
        <w:rPr>
          <w:rFonts w:hint="eastAsia" w:ascii="宋体" w:hAnsi="宋体" w:eastAsia="宋体" w:cs="宋体"/>
          <w:color w:val="auto"/>
          <w:sz w:val="21"/>
          <w:szCs w:val="21"/>
          <w:highlight w:val="none"/>
        </w:rPr>
        <w:t>将向采购人推荐</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最后综合得分最高</w:t>
      </w:r>
      <w:r>
        <w:rPr>
          <w:rFonts w:hint="eastAsia" w:ascii="宋体" w:hAnsi="宋体" w:eastAsia="宋体" w:cs="宋体"/>
          <w:color w:val="auto"/>
          <w:kern w:val="2"/>
          <w:sz w:val="21"/>
          <w:highlight w:val="none"/>
        </w:rPr>
        <w:t>的</w:t>
      </w:r>
      <w:r>
        <w:rPr>
          <w:rFonts w:hint="eastAsia" w:ascii="宋体" w:hAnsi="宋体" w:eastAsia="宋体" w:cs="宋体"/>
          <w:color w:val="auto"/>
          <w:kern w:val="2"/>
          <w:sz w:val="21"/>
          <w:highlight w:val="none"/>
          <w:lang w:val="en-US" w:eastAsia="zh-CN"/>
        </w:rPr>
        <w:t>供应商</w:t>
      </w:r>
      <w:r>
        <w:rPr>
          <w:rFonts w:hint="eastAsia" w:ascii="宋体" w:hAnsi="宋体" w:eastAsia="宋体" w:cs="宋体"/>
          <w:color w:val="auto"/>
          <w:kern w:val="2"/>
          <w:sz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w:t>
      </w:r>
      <w:r>
        <w:rPr>
          <w:rFonts w:hint="eastAsia" w:ascii="宋体" w:hAnsi="宋体" w:eastAsia="宋体" w:cs="宋体"/>
          <w:color w:val="auto"/>
          <w:kern w:val="2"/>
          <w:sz w:val="21"/>
          <w:highlight w:val="none"/>
          <w:lang w:val="zh-CN"/>
        </w:rPr>
        <w:t>。</w:t>
      </w:r>
    </w:p>
    <w:p>
      <w:pPr>
        <w:tabs>
          <w:tab w:val="left" w:pos="360"/>
        </w:tabs>
        <w:spacing w:line="360" w:lineRule="auto"/>
        <w:ind w:left="645" w:right="51" w:hanging="644" w:hangingChars="307"/>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highlight w:val="none"/>
          <w:lang w:val="zh-CN"/>
        </w:rPr>
        <w:t>5.</w:t>
      </w:r>
      <w:r>
        <w:rPr>
          <w:rFonts w:hint="eastAsia" w:ascii="宋体" w:hAnsi="宋体" w:eastAsia="宋体" w:cs="宋体"/>
          <w:color w:val="auto"/>
          <w:kern w:val="2"/>
          <w:sz w:val="21"/>
          <w:highlight w:val="none"/>
          <w:lang w:val="zh-CN"/>
        </w:rPr>
        <w:t>1</w:t>
      </w:r>
      <w:r>
        <w:rPr>
          <w:rFonts w:hint="eastAsia" w:ascii="宋体" w:hAnsi="宋体" w:eastAsia="宋体" w:cs="宋体"/>
          <w:color w:val="auto"/>
          <w:kern w:val="2"/>
          <w:sz w:val="21"/>
          <w:highlight w:val="none"/>
          <w:lang w:val="en-US" w:eastAsia="zh-CN"/>
        </w:rPr>
        <w:t>1</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sz w:val="21"/>
          <w:highlight w:val="none"/>
          <w:lang w:val="zh-CN"/>
        </w:rPr>
        <w:t>磋商小组</w:t>
      </w:r>
      <w:r>
        <w:rPr>
          <w:rFonts w:hint="eastAsia" w:ascii="宋体" w:hAnsi="宋体" w:eastAsia="宋体" w:cs="宋体"/>
          <w:color w:val="auto"/>
          <w:kern w:val="2"/>
          <w:sz w:val="21"/>
          <w:highlight w:val="none"/>
          <w:lang w:val="zh-CN"/>
        </w:rPr>
        <w:t>根据评审结果编写评审报告。</w:t>
      </w:r>
    </w:p>
    <w:p>
      <w:pPr>
        <w:tabs>
          <w:tab w:val="left" w:pos="1140"/>
        </w:tabs>
        <w:spacing w:line="360" w:lineRule="auto"/>
        <w:ind w:firstLine="3213" w:firstLineChars="1000"/>
        <w:rPr>
          <w:rFonts w:hint="eastAsia" w:ascii="宋体" w:hAnsi="宋体" w:eastAsia="宋体" w:cs="宋体"/>
          <w:b/>
          <w:bCs/>
          <w:color w:val="auto"/>
          <w:kern w:val="2"/>
          <w:sz w:val="32"/>
          <w:szCs w:val="32"/>
          <w:highlight w:val="none"/>
        </w:rPr>
      </w:pPr>
    </w:p>
    <w:p>
      <w:pPr>
        <w:tabs>
          <w:tab w:val="left" w:pos="1140"/>
        </w:tabs>
        <w:spacing w:line="360" w:lineRule="auto"/>
        <w:ind w:firstLine="2811" w:firstLineChars="1000"/>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二、响应文件的初审</w:t>
      </w:r>
    </w:p>
    <w:p>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6、响应文件的初审分为资格性检查和符合性检查。</w:t>
      </w:r>
    </w:p>
    <w:p>
      <w:pPr>
        <w:spacing w:line="360" w:lineRule="auto"/>
        <w:ind w:left="443" w:leftChars="8"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6.1 资格性检查是指磋商小组依据法律法规和竞争性磋商文件的规定，对响应文件中的资格证明</w:t>
      </w:r>
      <w:r>
        <w:rPr>
          <w:rFonts w:hint="eastAsia" w:ascii="宋体" w:hAnsi="宋体" w:eastAsia="宋体" w:cs="宋体"/>
          <w:b w:val="0"/>
          <w:color w:val="auto"/>
          <w:kern w:val="2"/>
          <w:sz w:val="21"/>
          <w:szCs w:val="24"/>
          <w:highlight w:val="none"/>
          <w:lang w:val="zh-CN"/>
        </w:rPr>
        <w:t>、投标保证金（</w:t>
      </w:r>
      <w:r>
        <w:rPr>
          <w:rFonts w:hint="eastAsia" w:ascii="宋体" w:hAnsi="宋体" w:eastAsia="宋体" w:cs="宋体"/>
          <w:b w:val="0"/>
          <w:color w:val="auto"/>
          <w:kern w:val="2"/>
          <w:sz w:val="21"/>
          <w:szCs w:val="24"/>
          <w:highlight w:val="none"/>
          <w:lang w:val="zh-CN" w:eastAsia="zh-CN"/>
        </w:rPr>
        <w:t>若有</w:t>
      </w:r>
      <w:r>
        <w:rPr>
          <w:rFonts w:hint="eastAsia" w:ascii="宋体" w:hAnsi="宋体" w:eastAsia="宋体" w:cs="宋体"/>
          <w:b w:val="0"/>
          <w:color w:val="auto"/>
          <w:kern w:val="2"/>
          <w:sz w:val="21"/>
          <w:szCs w:val="24"/>
          <w:highlight w:val="none"/>
          <w:lang w:val="zh-CN"/>
        </w:rPr>
        <w:t>）</w:t>
      </w:r>
      <w:r>
        <w:rPr>
          <w:rFonts w:hint="eastAsia" w:ascii="宋体" w:hAnsi="宋体" w:eastAsia="宋体" w:cs="宋体"/>
          <w:color w:val="auto"/>
          <w:kern w:val="2"/>
          <w:sz w:val="21"/>
          <w:highlight w:val="none"/>
          <w:lang w:val="zh-CN"/>
        </w:rPr>
        <w:t>等进行审查，以确定供应商是否具备响应资格。</w:t>
      </w:r>
    </w:p>
    <w:p>
      <w:pPr>
        <w:spacing w:line="360" w:lineRule="auto"/>
        <w:ind w:left="424"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6.2 符合性检查是指磋商小组依据竞争性磋商文件规定，从响应文件的有效性、完整性和对竞争性磋商文件的响应程度进行审查，以确定是否对竞争性磋商文件的实质性要求作出响应。</w:t>
      </w:r>
    </w:p>
    <w:p>
      <w:pPr>
        <w:spacing w:line="360" w:lineRule="auto"/>
        <w:ind w:left="545" w:leftChars="227"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实质性响应的磋商响应指的是符合竞争性磋商文件要求的全部“★”条款和验收标准而无任何重大偏离或保留。重大偏离或保留系指实质上影响到合同项下的供货</w:t>
      </w:r>
      <w:r>
        <w:rPr>
          <w:rFonts w:hint="eastAsia" w:ascii="宋体" w:hAnsi="宋体" w:eastAsia="宋体" w:cs="宋体"/>
          <w:color w:val="auto"/>
          <w:kern w:val="2"/>
          <w:sz w:val="21"/>
          <w:highlight w:val="none"/>
          <w:lang w:val="en-US" w:eastAsia="zh-CN"/>
        </w:rPr>
        <w:t>或</w:t>
      </w:r>
      <w:r>
        <w:rPr>
          <w:rFonts w:hint="eastAsia" w:ascii="宋体" w:hAnsi="宋体" w:eastAsia="宋体" w:cs="宋体"/>
          <w:color w:val="auto"/>
          <w:kern w:val="2"/>
          <w:sz w:val="21"/>
          <w:highlight w:val="none"/>
          <w:lang w:val="zh-CN"/>
        </w:rPr>
        <w:t>服务范围、质量和性能，或指与竞争性磋商文件有实质不一致，限制了合同项下采购人的权利和承包人的义务, 或对该重大偏离的修改对提交实质性响应磋商的其他供应商将不公平。</w:t>
      </w:r>
    </w:p>
    <w:p>
      <w:pPr>
        <w:spacing w:line="360" w:lineRule="auto"/>
        <w:ind w:firstLine="945" w:firstLineChars="4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磋商小组决定竞争性磋商文件的响应性是基于响应文件的内容本身而不靠外部的证据。</w:t>
      </w:r>
    </w:p>
    <w:p>
      <w:pPr>
        <w:spacing w:line="360" w:lineRule="auto"/>
        <w:ind w:left="545" w:leftChars="227"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对是否符合实质性响应竞争性磋商文件有争议的响应文件,磋商小组将以记名方式表决,得票超过半数的供应商才有资格进入下一阶段的评审,否则将被认定为无效响应文件。</w:t>
      </w:r>
    </w:p>
    <w:p>
      <w:pPr>
        <w:spacing w:line="360" w:lineRule="auto"/>
        <w:jc w:val="both"/>
        <w:rPr>
          <w:rFonts w:hint="eastAsia" w:ascii="宋体" w:hAnsi="宋体" w:eastAsia="宋体" w:cs="宋体"/>
          <w:color w:val="auto"/>
          <w:kern w:val="2"/>
          <w:sz w:val="21"/>
          <w:highlight w:val="none"/>
          <w:lang w:val="zh-CN"/>
        </w:rPr>
      </w:pPr>
    </w:p>
    <w:p>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7、响应文件出现下列情况之一的，被认定为无效</w:t>
      </w:r>
      <w:r>
        <w:rPr>
          <w:rFonts w:hint="eastAsia" w:ascii="宋体" w:hAnsi="宋体" w:eastAsia="宋体" w:cs="宋体"/>
          <w:b/>
          <w:color w:val="auto"/>
          <w:kern w:val="2"/>
          <w:sz w:val="21"/>
          <w:highlight w:val="none"/>
          <w:lang w:val="en-US" w:eastAsia="zh-CN"/>
        </w:rPr>
        <w:t>响应</w:t>
      </w:r>
      <w:r>
        <w:rPr>
          <w:rFonts w:hint="eastAsia" w:ascii="宋体" w:hAnsi="宋体" w:eastAsia="宋体" w:cs="宋体"/>
          <w:b/>
          <w:color w:val="auto"/>
          <w:kern w:val="2"/>
          <w:sz w:val="21"/>
          <w:highlight w:val="none"/>
          <w:lang w:val="zh-CN"/>
        </w:rPr>
        <w:t>：</w:t>
      </w:r>
    </w:p>
    <w:p>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7.1 </w:t>
      </w:r>
      <w:r>
        <w:rPr>
          <w:rFonts w:hint="eastAsia" w:ascii="宋体" w:hAnsi="宋体" w:eastAsia="宋体" w:cs="宋体"/>
          <w:b/>
          <w:color w:val="auto"/>
          <w:sz w:val="21"/>
          <w:szCs w:val="21"/>
          <w:highlight w:val="none"/>
          <w:u w:val="single"/>
        </w:rPr>
        <w:t>磋商最后报价超过最高限价的</w:t>
      </w:r>
      <w:r>
        <w:rPr>
          <w:rFonts w:hint="eastAsia" w:ascii="宋体" w:hAnsi="宋体" w:eastAsia="宋体" w:cs="宋体"/>
          <w:b/>
          <w:color w:val="auto"/>
          <w:sz w:val="21"/>
          <w:szCs w:val="21"/>
          <w:highlight w:val="none"/>
        </w:rPr>
        <w:t>；</w:t>
      </w:r>
    </w:p>
    <w:p>
      <w:pPr>
        <w:pStyle w:val="187"/>
        <w:spacing w:line="360" w:lineRule="auto"/>
        <w:ind w:left="493" w:leftChars="0" w:hanging="493" w:hangingChars="234"/>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 xml:space="preserve">7.2 </w:t>
      </w:r>
      <w:r>
        <w:rPr>
          <w:rFonts w:hint="eastAsia" w:ascii="宋体" w:hAnsi="宋体" w:eastAsia="宋体" w:cs="宋体"/>
          <w:b/>
          <w:color w:val="auto"/>
          <w:sz w:val="21"/>
          <w:szCs w:val="21"/>
          <w:highlight w:val="none"/>
          <w:u w:val="single"/>
        </w:rPr>
        <w:t>供应商不符合合格供应商的基本条件[含未提供资格证明文件，或供应商（含其不具有独立法人</w:t>
      </w:r>
    </w:p>
    <w:p>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资格的分支机构）被列入“信用中国”网站（www.creditchina.gov.cn）失信被执行人、</w:t>
      </w:r>
      <w:r>
        <w:rPr>
          <w:rFonts w:hint="eastAsia" w:ascii="宋体" w:hAnsi="宋体" w:eastAsia="宋体" w:cs="宋体"/>
          <w:b/>
          <w:color w:val="auto"/>
          <w:sz w:val="21"/>
          <w:szCs w:val="21"/>
          <w:highlight w:val="none"/>
          <w:u w:val="single"/>
          <w:lang w:val="zh-CN"/>
        </w:rPr>
        <w:t>重大税收违法失信主体</w:t>
      </w:r>
      <w:r>
        <w:rPr>
          <w:rFonts w:hint="eastAsia" w:ascii="宋体" w:hAnsi="宋体" w:eastAsia="宋体" w:cs="宋体"/>
          <w:b/>
          <w:color w:val="auto"/>
          <w:sz w:val="21"/>
          <w:szCs w:val="21"/>
          <w:highlight w:val="none"/>
          <w:u w:val="single"/>
        </w:rPr>
        <w:t>、严重违法失信行为记录名单（受惩黑名单），被列入但处罚期限届满的除外]</w:t>
      </w:r>
      <w:r>
        <w:rPr>
          <w:rFonts w:hint="eastAsia" w:ascii="宋体" w:hAnsi="宋体" w:eastAsia="宋体" w:cs="宋体"/>
          <w:b/>
          <w:color w:val="auto"/>
          <w:sz w:val="21"/>
          <w:szCs w:val="21"/>
          <w:highlight w:val="none"/>
        </w:rPr>
        <w:t>；</w:t>
      </w:r>
    </w:p>
    <w:p>
      <w:pPr>
        <w:pStyle w:val="187"/>
        <w:spacing w:line="360" w:lineRule="auto"/>
        <w:ind w:left="527" w:hanging="527" w:hanging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7.3 </w:t>
      </w:r>
      <w:r>
        <w:rPr>
          <w:rFonts w:hint="eastAsia" w:ascii="宋体" w:hAnsi="宋体" w:eastAsia="宋体" w:cs="宋体"/>
          <w:b/>
          <w:color w:val="auto"/>
          <w:sz w:val="21"/>
          <w:szCs w:val="21"/>
          <w:highlight w:val="none"/>
          <w:u w:val="single"/>
        </w:rPr>
        <w:t>响应文件未按照</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规定要求密封；响应文件无法定代表人或其授权代表签字（或盖私章），或签字人无法定代表人有效授权的；签字盖章不符合</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文件要求的</w:t>
      </w:r>
      <w:r>
        <w:rPr>
          <w:rFonts w:hint="eastAsia" w:ascii="宋体" w:hAnsi="宋体" w:eastAsia="宋体" w:cs="宋体"/>
          <w:b/>
          <w:color w:val="auto"/>
          <w:sz w:val="21"/>
          <w:szCs w:val="21"/>
          <w:highlight w:val="none"/>
        </w:rPr>
        <w:t xml:space="preserve">； </w:t>
      </w:r>
    </w:p>
    <w:p>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7.4 </w:t>
      </w:r>
      <w:r>
        <w:rPr>
          <w:rFonts w:hint="eastAsia" w:ascii="宋体" w:hAnsi="宋体" w:eastAsia="宋体" w:cs="宋体"/>
          <w:b/>
          <w:color w:val="auto"/>
          <w:sz w:val="21"/>
          <w:szCs w:val="21"/>
          <w:highlight w:val="none"/>
          <w:u w:val="single"/>
          <w:lang w:val="en-US" w:eastAsia="zh-CN"/>
        </w:rPr>
        <w:t>响应文件</w:t>
      </w:r>
      <w:r>
        <w:rPr>
          <w:rFonts w:hint="eastAsia" w:ascii="宋体" w:hAnsi="宋体" w:eastAsia="宋体" w:cs="宋体"/>
          <w:b/>
          <w:color w:val="auto"/>
          <w:sz w:val="21"/>
          <w:szCs w:val="21"/>
          <w:highlight w:val="none"/>
          <w:u w:val="single"/>
        </w:rPr>
        <w:t>有效期限不符合要求</w:t>
      </w:r>
      <w:r>
        <w:rPr>
          <w:rFonts w:hint="eastAsia" w:ascii="宋体" w:hAnsi="宋体" w:eastAsia="宋体" w:cs="宋体"/>
          <w:b/>
          <w:color w:val="auto"/>
          <w:sz w:val="21"/>
          <w:szCs w:val="21"/>
          <w:highlight w:val="none"/>
        </w:rPr>
        <w:t>；</w:t>
      </w:r>
    </w:p>
    <w:p>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7.5 </w:t>
      </w:r>
      <w:r>
        <w:rPr>
          <w:rFonts w:hint="eastAsia" w:ascii="宋体" w:hAnsi="宋体" w:eastAsia="宋体" w:cs="宋体"/>
          <w:b/>
          <w:color w:val="auto"/>
          <w:sz w:val="21"/>
          <w:szCs w:val="21"/>
          <w:highlight w:val="none"/>
          <w:u w:val="single"/>
        </w:rPr>
        <w:t>将项目拆开</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或</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方案不是唯一</w:t>
      </w:r>
      <w:r>
        <w:rPr>
          <w:rFonts w:hint="eastAsia" w:ascii="宋体" w:hAnsi="宋体" w:eastAsia="宋体" w:cs="宋体"/>
          <w:b/>
          <w:color w:val="auto"/>
          <w:sz w:val="21"/>
          <w:szCs w:val="21"/>
          <w:highlight w:val="none"/>
        </w:rPr>
        <w:t>；</w:t>
      </w:r>
    </w:p>
    <w:p>
      <w:pPr>
        <w:pStyle w:val="187"/>
        <w:spacing w:line="360" w:lineRule="auto"/>
        <w:ind w:left="493" w:leftChars="0" w:hanging="493" w:hangingChars="234"/>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 xml:space="preserve">6 </w:t>
      </w:r>
      <w:r>
        <w:rPr>
          <w:rFonts w:hint="eastAsia" w:ascii="宋体" w:hAnsi="宋体" w:eastAsia="宋体" w:cs="宋体"/>
          <w:b/>
          <w:color w:val="auto"/>
          <w:sz w:val="21"/>
          <w:szCs w:val="21"/>
          <w:highlight w:val="none"/>
          <w:u w:val="single"/>
          <w:lang w:val="en-US" w:eastAsia="zh-CN"/>
        </w:rPr>
        <w:t>未提供或</w:t>
      </w:r>
      <w:r>
        <w:rPr>
          <w:rFonts w:hint="eastAsia" w:ascii="宋体" w:hAnsi="宋体" w:eastAsia="宋体" w:cs="宋体"/>
          <w:b/>
          <w:color w:val="auto"/>
          <w:sz w:val="21"/>
          <w:szCs w:val="21"/>
          <w:highlight w:val="none"/>
          <w:u w:val="single"/>
        </w:rPr>
        <w:t>虚假填写《合同条款偏离表》和《用户需求偏离表》的，或</w:t>
      </w:r>
      <w:r>
        <w:rPr>
          <w:rFonts w:hint="eastAsia" w:ascii="宋体" w:hAnsi="宋体" w:eastAsia="宋体" w:cs="宋体"/>
          <w:b/>
          <w:color w:val="auto"/>
          <w:sz w:val="21"/>
          <w:szCs w:val="21"/>
          <w:highlight w:val="none"/>
          <w:u w:val="single"/>
          <w:lang w:val="en-US" w:eastAsia="zh-CN"/>
        </w:rPr>
        <w:t>经磋商小组与供应商进行</w:t>
      </w:r>
    </w:p>
    <w:p>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val="en-US" w:eastAsia="zh-CN"/>
        </w:rPr>
        <w:t>磋商后，供应商最终的</w:t>
      </w:r>
      <w:r>
        <w:rPr>
          <w:rFonts w:hint="eastAsia" w:ascii="宋体" w:hAnsi="宋体" w:eastAsia="宋体" w:cs="宋体"/>
          <w:b/>
          <w:color w:val="auto"/>
          <w:sz w:val="21"/>
          <w:szCs w:val="21"/>
          <w:highlight w:val="none"/>
          <w:u w:val="single"/>
        </w:rPr>
        <w:t>《合同条款偏离表》</w:t>
      </w:r>
      <w:r>
        <w:rPr>
          <w:rFonts w:hint="eastAsia" w:ascii="宋体" w:hAnsi="宋体" w:eastAsia="宋体" w:cs="宋体"/>
          <w:b/>
          <w:color w:val="auto"/>
          <w:sz w:val="21"/>
          <w:szCs w:val="21"/>
          <w:highlight w:val="none"/>
          <w:u w:val="single"/>
          <w:lang w:val="en-US" w:eastAsia="zh-CN"/>
        </w:rPr>
        <w:t>响应条款</w:t>
      </w:r>
      <w:r>
        <w:rPr>
          <w:rFonts w:hint="eastAsia" w:ascii="宋体" w:hAnsi="宋体" w:eastAsia="宋体" w:cs="宋体"/>
          <w:b/>
          <w:color w:val="auto"/>
          <w:sz w:val="21"/>
          <w:szCs w:val="21"/>
          <w:highlight w:val="none"/>
          <w:u w:val="single"/>
        </w:rPr>
        <w:t>有重大的负偏离导致采购人利益无法得到保障、存在采购人无法接受的风险的</w:t>
      </w:r>
      <w:r>
        <w:rPr>
          <w:rFonts w:hint="eastAsia" w:ascii="宋体" w:hAnsi="宋体" w:eastAsia="宋体" w:cs="宋体"/>
          <w:b/>
          <w:color w:val="auto"/>
          <w:sz w:val="21"/>
          <w:szCs w:val="21"/>
          <w:highlight w:val="none"/>
        </w:rPr>
        <w:t>。</w:t>
      </w:r>
    </w:p>
    <w:p>
      <w:pPr>
        <w:pStyle w:val="187"/>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未实质性满足</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提出的实质性要求和条件（标注★的条款）</w:t>
      </w:r>
      <w:r>
        <w:rPr>
          <w:rFonts w:hint="eastAsia" w:ascii="宋体" w:hAnsi="宋体" w:eastAsia="宋体" w:cs="宋体"/>
          <w:b/>
          <w:color w:val="auto"/>
          <w:sz w:val="21"/>
          <w:szCs w:val="21"/>
          <w:highlight w:val="none"/>
        </w:rPr>
        <w:t>。</w:t>
      </w:r>
    </w:p>
    <w:p>
      <w:pPr>
        <w:spacing w:line="360" w:lineRule="auto"/>
        <w:ind w:left="315" w:hanging="315" w:hangingChars="150"/>
        <w:jc w:val="both"/>
        <w:rPr>
          <w:rFonts w:hint="eastAsia" w:ascii="宋体" w:hAnsi="宋体" w:eastAsia="宋体" w:cs="宋体"/>
          <w:color w:val="auto"/>
          <w:sz w:val="21"/>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8、磋商小组应当书面要求存在细微偏差的供应商在磋商评审结束前予以补正。细微偏差是指响应文件在实质上响应竞争性磋商文件要求，但在个别地方存在漏项或者提供了不完整的技术方案信息和数据等情况，并且补正这些遗漏或者不完整不会对其他供应商造成不公平的结果。细微偏差不影响响应文件的有效性。</w:t>
      </w:r>
    </w:p>
    <w:p>
      <w:pPr>
        <w:pStyle w:val="187"/>
        <w:spacing w:line="360" w:lineRule="auto"/>
        <w:ind w:left="735" w:firstLine="0" w:firstLineChars="0"/>
        <w:rPr>
          <w:rFonts w:hint="eastAsia" w:ascii="宋体" w:hAnsi="宋体" w:eastAsia="宋体" w:cs="宋体"/>
          <w:b/>
          <w:color w:val="auto"/>
          <w:sz w:val="21"/>
          <w:szCs w:val="21"/>
          <w:highlight w:val="none"/>
        </w:rPr>
      </w:pPr>
    </w:p>
    <w:p>
      <w:pPr>
        <w:tabs>
          <w:tab w:val="left" w:pos="1140"/>
        </w:tabs>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三、澄清有关问题</w:t>
      </w:r>
    </w:p>
    <w:p>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9、在响应</w:t>
      </w:r>
      <w:r>
        <w:rPr>
          <w:rFonts w:hint="eastAsia" w:ascii="宋体" w:hAnsi="宋体" w:eastAsia="宋体" w:cs="宋体"/>
          <w:color w:val="auto"/>
          <w:sz w:val="21"/>
          <w:highlight w:val="none"/>
          <w:lang w:val="zh-CN" w:eastAsia="zh-CN"/>
        </w:rPr>
        <w:t>文件</w:t>
      </w:r>
      <w:r>
        <w:rPr>
          <w:rFonts w:hint="eastAsia" w:ascii="宋体" w:hAnsi="宋体" w:eastAsia="宋体" w:cs="宋体"/>
          <w:color w:val="auto"/>
          <w:sz w:val="21"/>
          <w:highlight w:val="none"/>
          <w:lang w:val="zh-CN"/>
        </w:rPr>
        <w:t>的商务、技术资格性检查及符合性检查过程中，供应商可应磋商小组要求对响应文件中有关问题进行书面澄清。该书面澄清作为其响应文件的一部分。</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对</w:t>
      </w:r>
      <w:r>
        <w:rPr>
          <w:rFonts w:hint="eastAsia" w:ascii="宋体" w:hAnsi="宋体" w:eastAsia="宋体" w:cs="宋体"/>
          <w:color w:val="auto"/>
          <w:sz w:val="21"/>
          <w:highlight w:val="none"/>
          <w:lang w:val="zh-CN"/>
        </w:rPr>
        <w:t>响应文件</w:t>
      </w:r>
      <w:r>
        <w:rPr>
          <w:rFonts w:hint="eastAsia" w:ascii="宋体" w:hAnsi="宋体" w:eastAsia="宋体" w:cs="宋体"/>
          <w:color w:val="auto"/>
          <w:kern w:val="2"/>
          <w:sz w:val="21"/>
          <w:highlight w:val="none"/>
          <w:lang w:val="zh-CN"/>
        </w:rPr>
        <w:t>中含义不明确、同类问题表述不一致或者有明显文字和计算错误的内容，磋商小组可以书面形式（由磋商小组成员签字）要求供应商作出必要的澄清、说明或者纠正。</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9.2 供应商的澄清、说明或者纠正应当采用书面形式，由其授权的代表签字，并不得超出响应文件的范围或者改变响应文件的实质性内容。</w:t>
      </w:r>
    </w:p>
    <w:p>
      <w:pPr>
        <w:keepNext w:val="0"/>
        <w:keepLines w:val="0"/>
        <w:pageBreakBefore w:val="0"/>
        <w:widowControl w:val="0"/>
        <w:kinsoku/>
        <w:wordWrap/>
        <w:overflowPunct/>
        <w:topLinePunct w:val="0"/>
        <w:autoSpaceDE w:val="0"/>
        <w:autoSpaceDN w:val="0"/>
        <w:bidi w:val="0"/>
        <w:adjustRightInd w:val="0"/>
        <w:snapToGrid/>
        <w:spacing w:line="360" w:lineRule="auto"/>
        <w:ind w:left="420" w:right="18"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9.3 经过澄清后仍不符合要求，则该项目在下一步评审进行评分调整；若重大（实质性）偏差仍存在，且不可接受，供应商则被认为是“不响应竞争性磋商文件要求的供应商”，不再进入下一步评审。</w:t>
      </w:r>
    </w:p>
    <w:p>
      <w:pPr>
        <w:pStyle w:val="187"/>
        <w:spacing w:line="360" w:lineRule="auto"/>
        <w:ind w:left="424"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竞争性磋商文件计算错误的修正</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（1）响应文件中的大写金额和小写金额不一致的，以大写金额为准；</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（2）对不同文字文本响应文件的解释发生异议的，以中文文本为准。</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szCs w:val="24"/>
          <w:highlight w:val="none"/>
          <w:lang w:val="zh-CN"/>
        </w:rPr>
        <w:t>9.</w:t>
      </w:r>
      <w:r>
        <w:rPr>
          <w:rFonts w:hint="eastAsia" w:ascii="宋体" w:hAnsi="宋体" w:eastAsia="宋体" w:cs="宋体"/>
          <w:color w:val="auto"/>
          <w:kern w:val="2"/>
          <w:sz w:val="21"/>
          <w:szCs w:val="24"/>
          <w:highlight w:val="none"/>
          <w:lang w:val="zh-CN" w:eastAsia="zh-CN"/>
        </w:rPr>
        <w:t xml:space="preserve">5 </w:t>
      </w:r>
      <w:r>
        <w:rPr>
          <w:rFonts w:hint="eastAsia" w:ascii="宋体" w:hAnsi="宋体" w:eastAsia="宋体" w:cs="宋体"/>
          <w:color w:val="auto"/>
          <w:kern w:val="2"/>
          <w:sz w:val="21"/>
          <w:highlight w:val="none"/>
          <w:lang w:val="zh-CN"/>
        </w:rPr>
        <w:t>磋商小组按上述修正误差的原则调整的价格对其响应供应商具有约束力。如果响应供应商不接受修正后的价格，其报价将被拒绝。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9.6 </w:t>
      </w:r>
      <w:r>
        <w:rPr>
          <w:rFonts w:hint="eastAsia" w:ascii="宋体" w:hAnsi="宋体" w:eastAsia="宋体" w:cs="宋体"/>
          <w:b/>
          <w:color w:val="auto"/>
          <w:sz w:val="21"/>
          <w:szCs w:val="21"/>
          <w:highlight w:val="none"/>
          <w:lang w:val="zh-CN"/>
        </w:rPr>
        <w:t>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出现超低报价，有可能影响服务质量和不能诚信履约的，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将要求该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作出书面说明并提供相关证明材料，以确定</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是否以低于企业成本价报价。若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不能合理说明或不能提供相关证明材料的，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将认定其</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报价低于成本，同时否决其</w:t>
      </w:r>
      <w:r>
        <w:rPr>
          <w:rFonts w:hint="eastAsia" w:ascii="宋体" w:hAnsi="宋体" w:eastAsia="宋体" w:cs="宋体"/>
          <w:b/>
          <w:color w:val="auto"/>
          <w:sz w:val="21"/>
          <w:szCs w:val="21"/>
          <w:highlight w:val="none"/>
          <w:lang w:val="en-US" w:eastAsia="zh-CN"/>
        </w:rPr>
        <w:t>递交的响应文件</w:t>
      </w:r>
      <w:r>
        <w:rPr>
          <w:rFonts w:hint="eastAsia" w:ascii="宋体" w:hAnsi="宋体" w:eastAsia="宋体" w:cs="宋体"/>
          <w:b/>
          <w:color w:val="auto"/>
          <w:sz w:val="21"/>
          <w:szCs w:val="21"/>
          <w:highlight w:val="none"/>
          <w:lang w:val="zh-CN"/>
        </w:rPr>
        <w:t>。</w:t>
      </w:r>
    </w:p>
    <w:p>
      <w:pPr>
        <w:pStyle w:val="187"/>
        <w:spacing w:line="360" w:lineRule="auto"/>
        <w:ind w:left="735" w:firstLine="0" w:firstLineChars="0"/>
        <w:rPr>
          <w:rFonts w:hint="eastAsia" w:ascii="宋体" w:hAnsi="宋体" w:eastAsia="宋体" w:cs="宋体"/>
          <w:color w:val="auto"/>
          <w:kern w:val="2"/>
          <w:sz w:val="21"/>
          <w:szCs w:val="21"/>
          <w:highlight w:val="none"/>
        </w:rPr>
      </w:pPr>
    </w:p>
    <w:p>
      <w:pPr>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四、比较和评价</w:t>
      </w:r>
    </w:p>
    <w:p>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按</w:t>
      </w:r>
      <w:r>
        <w:rPr>
          <w:rFonts w:hint="eastAsia" w:ascii="宋体" w:hAnsi="宋体" w:eastAsia="宋体" w:cs="宋体"/>
          <w:color w:val="auto"/>
          <w:kern w:val="2"/>
          <w:sz w:val="21"/>
          <w:highlight w:val="none"/>
          <w:lang w:val="en-US" w:eastAsia="zh-CN"/>
        </w:rPr>
        <w:t>竞争性磋商</w:t>
      </w:r>
      <w:r>
        <w:rPr>
          <w:rFonts w:hint="eastAsia" w:ascii="宋体" w:hAnsi="宋体" w:eastAsia="宋体" w:cs="宋体"/>
          <w:color w:val="auto"/>
          <w:kern w:val="2"/>
          <w:sz w:val="21"/>
          <w:highlight w:val="none"/>
          <w:lang w:val="zh-CN"/>
        </w:rPr>
        <w:t>文件中规定的评审方法和标准，对资格性检查和符合性检查合格的响应文件进行商务和技术评估、综合比较与评价；</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 xml:space="preserve">根据商务和技术评估的结果，采用综合评分法，分别对响应文件的商务、技术、价格等内容进行打分。 </w:t>
      </w:r>
    </w:p>
    <w:p>
      <w:pPr>
        <w:tabs>
          <w:tab w:val="left" w:pos="780"/>
        </w:tabs>
        <w:spacing w:line="360" w:lineRule="auto"/>
        <w:ind w:left="780" w:hanging="780"/>
        <w:jc w:val="both"/>
        <w:rPr>
          <w:rFonts w:hint="eastAsia" w:ascii="宋体" w:hAnsi="宋体" w:eastAsia="宋体" w:cs="宋体"/>
          <w:b w:val="0"/>
          <w:bCs/>
          <w:color w:val="auto"/>
          <w:kern w:val="2"/>
          <w:sz w:val="21"/>
          <w:highlight w:val="none"/>
          <w:lang w:val="zh-CN"/>
        </w:rPr>
      </w:pPr>
      <w:r>
        <w:rPr>
          <w:rFonts w:hint="eastAsia" w:ascii="宋体" w:hAnsi="宋体" w:eastAsia="宋体" w:cs="宋体"/>
          <w:b w:val="0"/>
          <w:bCs/>
          <w:color w:val="auto"/>
          <w:kern w:val="2"/>
          <w:sz w:val="21"/>
          <w:highlight w:val="none"/>
          <w:lang w:val="zh-CN"/>
        </w:rPr>
        <w:t>11、</w:t>
      </w:r>
      <w:r>
        <w:rPr>
          <w:rFonts w:hint="eastAsia" w:ascii="宋体" w:hAnsi="宋体" w:eastAsia="宋体" w:cs="宋体"/>
          <w:b w:val="0"/>
          <w:bCs/>
          <w:color w:val="auto"/>
          <w:kern w:val="2"/>
          <w:sz w:val="21"/>
          <w:highlight w:val="none"/>
        </w:rPr>
        <w:t>磋商小组</w:t>
      </w:r>
      <w:r>
        <w:rPr>
          <w:rFonts w:hint="eastAsia" w:ascii="宋体" w:hAnsi="宋体" w:eastAsia="宋体" w:cs="宋体"/>
          <w:b w:val="0"/>
          <w:bCs/>
          <w:color w:val="auto"/>
          <w:kern w:val="2"/>
          <w:sz w:val="21"/>
          <w:highlight w:val="none"/>
          <w:lang w:val="zh-CN"/>
        </w:rPr>
        <w:t>打分办法</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）参加评分的磋商小组成员应尽力体现客观、实事求是，避免学派偏见和个人偏好。</w:t>
      </w:r>
    </w:p>
    <w:p>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lang w:val="zh-CN"/>
        </w:rPr>
        <w:t>）衡量、对比的依据，应以竞争性磋商文件、响应文件、提供的正式试验数据、澄清中的文字为</w:t>
      </w:r>
    </w:p>
    <w:p>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准，口头回答和收集的资料只作为参考。</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）评分主要是为比较各供应商的商务、技术和价格综合排序。</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）磋商小组打分采取记名形式。</w:t>
      </w:r>
    </w:p>
    <w:p>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各磋商小组成员根据秘书组提供的商务、技术打分表独立自主打分，任何人不得要求评委统一打分或统一确定等次顺序。</w:t>
      </w:r>
    </w:p>
    <w:p>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6</w:t>
      </w:r>
      <w:r>
        <w:rPr>
          <w:rFonts w:hint="eastAsia" w:ascii="宋体" w:hAnsi="宋体" w:eastAsia="宋体" w:cs="宋体"/>
          <w:color w:val="auto"/>
          <w:kern w:val="2"/>
          <w:sz w:val="21"/>
          <w:highlight w:val="none"/>
          <w:lang w:val="zh-CN"/>
        </w:rPr>
        <w:t>）对打分表中的每项条款，各磋商小组成员应根据响应文件、澄清材料、竞争性磋商文件要求，按满足的程度给供应商打分。</w:t>
      </w:r>
    </w:p>
    <w:p>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）评分程序</w:t>
      </w:r>
    </w:p>
    <w:p>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1）就供应商的响应文件对照整理出商务、技术评审因素对比表，并在经过校核的基础上逐项</w:t>
      </w:r>
    </w:p>
    <w:p>
      <w:pPr>
        <w:tabs>
          <w:tab w:val="left" w:pos="1134"/>
        </w:tabs>
        <w:spacing w:line="360" w:lineRule="auto"/>
        <w:ind w:firstLine="840" w:firstLineChars="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打分。</w:t>
      </w:r>
    </w:p>
    <w:p>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2）各磋商小组成员独立完成打分后，将统计好的评分表交给</w:t>
      </w:r>
      <w:r>
        <w:rPr>
          <w:rFonts w:hint="eastAsia" w:ascii="宋体" w:hAnsi="宋体" w:eastAsia="宋体" w:cs="宋体"/>
          <w:color w:val="auto"/>
          <w:kern w:val="2"/>
          <w:sz w:val="21"/>
          <w:highlight w:val="none"/>
          <w:lang w:val="en-US" w:eastAsia="zh-CN"/>
        </w:rPr>
        <w:t>现场工作人员</w:t>
      </w:r>
      <w:r>
        <w:rPr>
          <w:rFonts w:hint="eastAsia" w:ascii="宋体" w:hAnsi="宋体" w:eastAsia="宋体" w:cs="宋体"/>
          <w:color w:val="auto"/>
          <w:kern w:val="2"/>
          <w:sz w:val="21"/>
          <w:highlight w:val="none"/>
          <w:lang w:val="zh-CN"/>
        </w:rPr>
        <w:t>复核。</w:t>
      </w:r>
    </w:p>
    <w:p>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3）评分统计表中各供应商得分应为评委打分的算术平均值。</w:t>
      </w:r>
    </w:p>
    <w:p>
      <w:pPr>
        <w:spacing w:line="360" w:lineRule="auto"/>
        <w:ind w:left="2" w:leftChars="1"/>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12、评分因素及分值</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72"/>
        <w:gridCol w:w="49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评分因素</w:t>
            </w:r>
          </w:p>
        </w:tc>
        <w:tc>
          <w:tcPr>
            <w:tcW w:w="26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1、商务</w:t>
            </w:r>
          </w:p>
        </w:tc>
        <w:tc>
          <w:tcPr>
            <w:tcW w:w="2646"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2、技术</w:t>
            </w:r>
          </w:p>
        </w:tc>
        <w:tc>
          <w:tcPr>
            <w:tcW w:w="2646"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50</w:t>
            </w:r>
            <w:r>
              <w:rPr>
                <w:rFonts w:hint="eastAsia" w:ascii="宋体" w:hAnsi="宋体" w:eastAsia="宋体" w:cs="宋体"/>
                <w:color w:val="auto"/>
                <w:kern w:val="2"/>
                <w:sz w:val="21"/>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3、价格</w:t>
            </w:r>
          </w:p>
        </w:tc>
        <w:tc>
          <w:tcPr>
            <w:tcW w:w="2646" w:type="pct"/>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20分</w:t>
            </w:r>
          </w:p>
        </w:tc>
      </w:tr>
    </w:tbl>
    <w:p>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p>
    <w:p>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12.1商务：</w:t>
      </w:r>
    </w:p>
    <w:tbl>
      <w:tblPr>
        <w:tblStyle w:val="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613"/>
        <w:gridCol w:w="1026"/>
        <w:gridCol w:w="5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评审内容</w:t>
            </w:r>
          </w:p>
        </w:tc>
        <w:tc>
          <w:tcPr>
            <w:tcW w:w="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满分值</w:t>
            </w:r>
          </w:p>
        </w:tc>
        <w:tc>
          <w:tcPr>
            <w:tcW w:w="31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财务状况</w:t>
            </w:r>
          </w:p>
        </w:tc>
        <w:tc>
          <w:tcPr>
            <w:tcW w:w="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1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年三个年度，</w:t>
            </w:r>
            <w:r>
              <w:rPr>
                <w:rFonts w:hint="eastAsia" w:ascii="宋体" w:hAnsi="宋体" w:eastAsia="宋体" w:cs="宋体"/>
                <w:color w:val="auto"/>
                <w:sz w:val="21"/>
                <w:szCs w:val="21"/>
                <w:highlight w:val="none"/>
                <w:lang w:val="zh-CN"/>
              </w:rPr>
              <w:t>每具有1个年度为盈利的得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盈</w:t>
            </w:r>
            <w:r>
              <w:rPr>
                <w:rFonts w:hint="eastAsia" w:ascii="宋体" w:hAnsi="宋体" w:eastAsia="宋体" w:cs="宋体"/>
                <w:b/>
                <w:bCs/>
                <w:color w:val="auto"/>
                <w:sz w:val="21"/>
                <w:szCs w:val="21"/>
                <w:highlight w:val="none"/>
                <w:lang w:val="en-US" w:eastAsia="zh-CN"/>
              </w:rPr>
              <w:t>利指净利润为正数（非零、非负数），供应商</w:t>
            </w:r>
            <w:r>
              <w:rPr>
                <w:rFonts w:hint="eastAsia" w:ascii="宋体" w:hAnsi="宋体" w:eastAsia="宋体" w:cs="宋体"/>
                <w:b/>
                <w:bCs/>
                <w:color w:val="auto"/>
                <w:sz w:val="21"/>
                <w:szCs w:val="21"/>
                <w:highlight w:val="none"/>
                <w:lang w:val="zh-CN"/>
              </w:rPr>
              <w:t>应提供2020年、2021年、2022年三个年度的财务报表，净利润以经审计的财务报表为准，</w:t>
            </w:r>
            <w:r>
              <w:rPr>
                <w:rFonts w:hint="eastAsia" w:ascii="宋体" w:hAnsi="宋体" w:eastAsia="宋体" w:cs="宋体"/>
                <w:b/>
                <w:bCs/>
                <w:color w:val="auto"/>
                <w:sz w:val="21"/>
                <w:szCs w:val="21"/>
                <w:highlight w:val="none"/>
                <w:lang w:val="en-US" w:eastAsia="zh-CN"/>
              </w:rPr>
              <w:t>应</w:t>
            </w:r>
            <w:r>
              <w:rPr>
                <w:rFonts w:hint="eastAsia" w:ascii="宋体" w:hAnsi="宋体" w:eastAsia="宋体" w:cs="宋体"/>
                <w:b/>
                <w:bCs/>
                <w:color w:val="auto"/>
                <w:sz w:val="21"/>
                <w:szCs w:val="21"/>
                <w:highlight w:val="none"/>
                <w:lang w:val="zh-CN"/>
              </w:rPr>
              <w:t>提供经独立会计师事务所审计过的有效的财务报表</w:t>
            </w:r>
            <w:r>
              <w:rPr>
                <w:rFonts w:hint="eastAsia" w:ascii="宋体" w:hAnsi="宋体" w:eastAsia="宋体" w:cs="宋体"/>
                <w:b/>
                <w:bCs/>
                <w:color w:val="auto"/>
                <w:sz w:val="21"/>
                <w:szCs w:val="21"/>
                <w:highlight w:val="none"/>
                <w:lang w:val="en-US" w:eastAsia="zh-CN"/>
              </w:rPr>
              <w:t>复印</w:t>
            </w:r>
            <w:r>
              <w:rPr>
                <w:rFonts w:hint="eastAsia" w:ascii="宋体" w:hAnsi="宋体" w:eastAsia="宋体" w:cs="宋体"/>
                <w:b/>
                <w:bCs/>
                <w:color w:val="auto"/>
                <w:sz w:val="21"/>
                <w:szCs w:val="21"/>
                <w:highlight w:val="none"/>
                <w:lang w:val="zh-CN"/>
              </w:rPr>
              <w:t>件，未提供前述财务</w:t>
            </w:r>
            <w:r>
              <w:rPr>
                <w:rFonts w:hint="eastAsia" w:ascii="宋体" w:hAnsi="宋体" w:eastAsia="宋体" w:cs="宋体"/>
                <w:b/>
                <w:bCs/>
                <w:color w:val="auto"/>
                <w:sz w:val="21"/>
                <w:szCs w:val="21"/>
                <w:highlight w:val="none"/>
                <w:lang w:val="en-US" w:eastAsia="zh-CN"/>
              </w:rPr>
              <w:t>报表</w:t>
            </w:r>
            <w:r>
              <w:rPr>
                <w:rFonts w:hint="eastAsia" w:ascii="宋体" w:hAnsi="宋体" w:eastAsia="宋体" w:cs="宋体"/>
                <w:b/>
                <w:bCs/>
                <w:color w:val="auto"/>
                <w:sz w:val="21"/>
                <w:szCs w:val="21"/>
                <w:highlight w:val="none"/>
                <w:lang w:val="zh-CN"/>
              </w:rPr>
              <w:t>或财务</w:t>
            </w:r>
            <w:r>
              <w:rPr>
                <w:rFonts w:hint="eastAsia" w:ascii="宋体" w:hAnsi="宋体" w:eastAsia="宋体" w:cs="宋体"/>
                <w:b/>
                <w:bCs/>
                <w:color w:val="auto"/>
                <w:sz w:val="21"/>
                <w:szCs w:val="21"/>
                <w:highlight w:val="none"/>
                <w:lang w:val="en-US" w:eastAsia="zh-CN"/>
              </w:rPr>
              <w:t>报表</w:t>
            </w:r>
            <w:r>
              <w:rPr>
                <w:rFonts w:hint="eastAsia" w:ascii="宋体" w:hAnsi="宋体" w:eastAsia="宋体" w:cs="宋体"/>
                <w:b/>
                <w:bCs/>
                <w:color w:val="auto"/>
                <w:sz w:val="21"/>
                <w:szCs w:val="21"/>
                <w:highlight w:val="none"/>
                <w:lang w:val="zh-CN"/>
              </w:rPr>
              <w:t>未能反映净利润的，不得分。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标准化体系</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认证</w:t>
            </w:r>
          </w:p>
        </w:tc>
        <w:tc>
          <w:tcPr>
            <w:tcW w:w="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134" w:type="pct"/>
            <w:tcBorders>
              <w:top w:val="single" w:color="auto" w:sz="4" w:space="0"/>
              <w:left w:val="single" w:color="auto" w:sz="4" w:space="0"/>
              <w:bottom w:val="single" w:color="auto" w:sz="4" w:space="0"/>
              <w:right w:val="single" w:color="auto" w:sz="4" w:space="0"/>
            </w:tcBorders>
            <w:noWrap w:val="0"/>
            <w:vAlign w:val="center"/>
          </w:tcPr>
          <w:p>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（1）供应商具有有效期内的ISO9001质量管理体系认证证书得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（2）供应商具有有效期内的</w:t>
            </w:r>
            <w:r>
              <w:rPr>
                <w:rFonts w:hint="eastAsia" w:ascii="宋体" w:hAnsi="宋体" w:eastAsia="宋体" w:cs="宋体"/>
                <w:color w:val="auto"/>
                <w:sz w:val="21"/>
                <w:szCs w:val="21"/>
                <w:highlight w:val="none"/>
                <w:lang w:val="zh-CN" w:eastAsia="zh-CN"/>
              </w:rPr>
              <w:t>信息技术服务管理体系</w:t>
            </w:r>
            <w:r>
              <w:rPr>
                <w:rFonts w:hint="eastAsia" w:ascii="宋体" w:hAnsi="宋体" w:eastAsia="宋体" w:cs="宋体"/>
                <w:color w:val="auto"/>
                <w:sz w:val="21"/>
                <w:szCs w:val="21"/>
                <w:highlight w:val="none"/>
                <w:lang w:val="zh-CN"/>
              </w:rPr>
              <w:t>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（3）供应商具有有效期内的</w:t>
            </w:r>
            <w:r>
              <w:rPr>
                <w:rFonts w:hint="eastAsia" w:ascii="宋体" w:hAnsi="宋体" w:eastAsia="宋体" w:cs="宋体"/>
                <w:color w:val="auto"/>
                <w:sz w:val="21"/>
                <w:szCs w:val="21"/>
                <w:highlight w:val="none"/>
                <w:lang w:val="zh-CN" w:eastAsia="zh-CN"/>
              </w:rPr>
              <w:t>信息安全管理体系</w:t>
            </w:r>
            <w:r>
              <w:rPr>
                <w:rFonts w:hint="eastAsia" w:ascii="宋体" w:hAnsi="宋体" w:eastAsia="宋体" w:cs="宋体"/>
                <w:color w:val="auto"/>
                <w:sz w:val="21"/>
                <w:szCs w:val="21"/>
                <w:highlight w:val="none"/>
                <w:lang w:val="zh-CN"/>
              </w:rPr>
              <w:t>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rPr>
              <w:t>备</w:t>
            </w:r>
            <w:r>
              <w:rPr>
                <w:rFonts w:hint="eastAsia" w:ascii="宋体" w:hAnsi="宋体" w:eastAsia="宋体" w:cs="宋体"/>
                <w:b/>
                <w:bCs/>
                <w:color w:val="auto"/>
                <w:kern w:val="2"/>
                <w:sz w:val="21"/>
                <w:szCs w:val="21"/>
                <w:highlight w:val="none"/>
                <w:lang w:val="zh-CN"/>
              </w:rPr>
              <w:t>注：</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rPr>
              <w:t>供应商应</w:t>
            </w:r>
            <w:r>
              <w:rPr>
                <w:rFonts w:hint="eastAsia" w:ascii="宋体" w:hAnsi="宋体" w:eastAsia="宋体" w:cs="宋体"/>
                <w:b/>
                <w:color w:val="auto"/>
                <w:kern w:val="2"/>
                <w:sz w:val="21"/>
                <w:szCs w:val="21"/>
                <w:highlight w:val="none"/>
              </w:rPr>
              <w:t>提供上述证书复印件及能显示证书有效状态的全国认证认可信息公共服务平台(http://cx.cnca.cn/)查询结果凭证</w:t>
            </w:r>
            <w:r>
              <w:rPr>
                <w:rFonts w:hint="eastAsia" w:ascii="宋体" w:hAnsi="宋体" w:eastAsia="宋体" w:cs="宋体"/>
                <w:b/>
                <w:color w:val="auto"/>
                <w:kern w:val="2"/>
                <w:sz w:val="21"/>
                <w:szCs w:val="21"/>
                <w:highlight w:val="none"/>
                <w:lang w:val="en-US" w:eastAsia="zh-CN"/>
              </w:rPr>
              <w:t>{</w:t>
            </w:r>
            <w:r>
              <w:rPr>
                <w:rFonts w:hint="eastAsia" w:ascii="宋体" w:hAnsi="宋体" w:eastAsia="宋体" w:cs="宋体"/>
                <w:b/>
                <w:color w:val="auto"/>
                <w:kern w:val="2"/>
                <w:sz w:val="21"/>
                <w:szCs w:val="21"/>
                <w:highlight w:val="none"/>
              </w:rPr>
              <w:t>凭证界面显示有“全国认证认可信息公共服务平台”或“认证证书(需显示网址cx.cnca.cn)”}，否则不得分。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868" w:type="pc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552" w:type="pc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3134" w:type="pct"/>
            <w:tcBorders>
              <w:top w:val="single" w:color="auto" w:sz="4" w:space="0"/>
              <w:left w:val="single" w:color="auto" w:sz="4" w:space="0"/>
              <w:bottom w:val="single" w:color="auto" w:sz="4" w:space="0"/>
              <w:right w:val="single" w:color="auto" w:sz="4" w:space="0"/>
            </w:tcBorders>
            <w:noWrap w:val="0"/>
            <w:vAlign w:val="center"/>
          </w:tcPr>
          <w:p>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2021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以来（签订合同的时间要求为</w:t>
            </w:r>
            <w:r>
              <w:rPr>
                <w:rFonts w:hint="eastAsia" w:ascii="宋体" w:hAnsi="宋体" w:eastAsia="宋体" w:cs="宋体"/>
                <w:color w:val="auto"/>
                <w:sz w:val="21"/>
                <w:szCs w:val="21"/>
                <w:highlight w:val="none"/>
                <w:lang w:eastAsia="zh-CN"/>
              </w:rPr>
              <w:t>2021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月1日或以后）承接</w:t>
            </w:r>
            <w:r>
              <w:rPr>
                <w:rFonts w:hint="eastAsia" w:ascii="宋体" w:hAnsi="宋体" w:eastAsia="宋体" w:cs="宋体"/>
                <w:color w:val="auto"/>
                <w:sz w:val="21"/>
                <w:szCs w:val="21"/>
                <w:highlight w:val="none"/>
                <w:lang w:val="en-US" w:eastAsia="zh-CN"/>
              </w:rPr>
              <w:t>的相关同类项目</w:t>
            </w:r>
            <w:r>
              <w:rPr>
                <w:rFonts w:hint="eastAsia" w:ascii="宋体" w:hAnsi="宋体" w:eastAsia="宋体" w:cs="宋体"/>
                <w:color w:val="auto"/>
                <w:sz w:val="21"/>
                <w:szCs w:val="21"/>
                <w:highlight w:val="none"/>
              </w:rPr>
              <w:t>业绩，本项</w:t>
            </w:r>
            <w:r>
              <w:rPr>
                <w:rFonts w:hint="eastAsia" w:ascii="宋体" w:hAnsi="宋体" w:eastAsia="宋体" w:cs="宋体"/>
                <w:color w:val="auto"/>
                <w:sz w:val="21"/>
                <w:szCs w:val="21"/>
                <w:highlight w:val="none"/>
                <w:lang w:val="en-US" w:eastAsia="zh-CN"/>
              </w:rPr>
              <w:t>满分12</w:t>
            </w:r>
            <w:r>
              <w:rPr>
                <w:rFonts w:hint="eastAsia" w:ascii="宋体" w:hAnsi="宋体" w:eastAsia="宋体" w:cs="宋体"/>
                <w:color w:val="auto"/>
                <w:sz w:val="21"/>
                <w:szCs w:val="21"/>
                <w:highlight w:val="none"/>
              </w:rPr>
              <w:t>分；</w:t>
            </w:r>
          </w:p>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万元的前述</w:t>
            </w:r>
            <w:r>
              <w:rPr>
                <w:rFonts w:hint="eastAsia" w:ascii="宋体" w:hAnsi="宋体" w:eastAsia="宋体" w:cs="宋体"/>
                <w:color w:val="auto"/>
                <w:sz w:val="21"/>
                <w:szCs w:val="21"/>
                <w:highlight w:val="none"/>
                <w:lang w:val="en-US" w:eastAsia="zh-CN"/>
              </w:rPr>
              <w:t>同类项目</w:t>
            </w:r>
            <w:r>
              <w:rPr>
                <w:rFonts w:hint="eastAsia" w:ascii="宋体" w:hAnsi="宋体" w:eastAsia="宋体" w:cs="宋体"/>
                <w:color w:val="auto"/>
                <w:sz w:val="21"/>
                <w:szCs w:val="21"/>
                <w:highlight w:val="none"/>
              </w:rPr>
              <w:t>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业绩材料需提供合同复印件，相关同类项目指合同内容包含但不限于以下其中一项服务内容：系统(或软件）开发或设计，否则评审时不予考虑。</w:t>
            </w:r>
          </w:p>
          <w:p>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若合同无法反映评分条件（合同签订日期为2021年1月1日或以后、服务内容、合同金额、委托人、受托人）的，还需提供委托人出具的书面补充说明文件复印件作为辅助证明</w:t>
            </w:r>
            <w:r>
              <w:rPr>
                <w:rFonts w:hint="eastAsia" w:ascii="宋体" w:hAnsi="宋体" w:eastAsia="宋体" w:cs="宋体"/>
                <w:b/>
                <w:bCs/>
                <w:color w:val="auto"/>
                <w:sz w:val="21"/>
                <w:szCs w:val="21"/>
                <w:highlight w:val="none"/>
              </w:rPr>
              <w:t>，否则视为无效业绩</w:t>
            </w:r>
            <w:r>
              <w:rPr>
                <w:rFonts w:hint="eastAsia" w:ascii="宋体" w:hAnsi="宋体" w:eastAsia="宋体" w:cs="宋体"/>
                <w:b/>
                <w:bCs/>
                <w:color w:val="auto"/>
                <w:sz w:val="21"/>
                <w:szCs w:val="21"/>
                <w:highlight w:val="none"/>
                <w:lang w:eastAsia="zh-CN"/>
              </w:rPr>
              <w:t>。</w:t>
            </w:r>
          </w:p>
          <w:p>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）未按上述要求提供证明材料的业绩，或所附材料无法证明符合本项</w:t>
            </w:r>
            <w:r>
              <w:rPr>
                <w:rFonts w:hint="eastAsia" w:ascii="宋体" w:hAnsi="宋体" w:eastAsia="宋体" w:cs="宋体"/>
                <w:b/>
                <w:bCs/>
                <w:color w:val="auto"/>
                <w:sz w:val="21"/>
                <w:szCs w:val="21"/>
                <w:highlight w:val="none"/>
                <w:lang w:val="en-US" w:eastAsia="zh-CN"/>
              </w:rPr>
              <w:t>评分要求的业绩，在评审时将不予考虑</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8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w:t>
            </w:r>
            <w:r>
              <w:rPr>
                <w:rFonts w:hint="eastAsia" w:ascii="宋体" w:hAnsi="宋体" w:eastAsia="宋体" w:cs="宋体"/>
                <w:color w:val="auto"/>
                <w:sz w:val="21"/>
                <w:szCs w:val="21"/>
                <w:highlight w:val="none"/>
                <w:lang w:val="en-US" w:eastAsia="zh-CN"/>
              </w:rPr>
              <w:t>投入</w:t>
            </w:r>
            <w:r>
              <w:rPr>
                <w:rFonts w:hint="eastAsia" w:ascii="宋体" w:hAnsi="宋体" w:eastAsia="宋体" w:cs="宋体"/>
                <w:color w:val="auto"/>
                <w:sz w:val="21"/>
                <w:szCs w:val="21"/>
                <w:highlight w:val="none"/>
              </w:rPr>
              <w:t>本项目服务人员情况</w:t>
            </w:r>
          </w:p>
        </w:tc>
        <w:tc>
          <w:tcPr>
            <w:tcW w:w="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35" w:firstLineChars="1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31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（1）拟投入本项目的项目负责人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仅限一人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（本小项最高得3分）：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人社部、工信部颁发的计算机技术与软件专业技术资格高级证书（如信息系统项目管理师，或系统分析师，或系统架构设计师等），得3分；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人社部、工信部颁发的计算机技术与软件专业技术资格中级证书（如</w:t>
            </w:r>
            <w:r>
              <w:rPr>
                <w:rFonts w:hint="eastAsia" w:ascii="宋体" w:hAnsi="宋体" w:eastAsia="宋体" w:cs="宋体"/>
                <w:color w:val="auto"/>
                <w:sz w:val="21"/>
                <w:szCs w:val="21"/>
                <w:highlight w:val="none"/>
              </w:rPr>
              <w:t>系统集成项目管理工程师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或信息安全工程师，或</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"https://www.ruankao.org.cn/article/content/ksjs/02_46" \o "信息系统管理工程师"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信息系统管理工程师</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"https://www.ruankao.org.cn/article/content/ksjs/02_15" \o "软件设计师"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软件设计师</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等），得1分。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（2）对拟投入本项目的</w:t>
            </w:r>
            <w:r>
              <w:rPr>
                <w:rFonts w:hint="eastAsia" w:ascii="宋体" w:hAnsi="宋体" w:eastAsia="宋体" w:cs="宋体"/>
                <w:color w:val="auto"/>
                <w:sz w:val="21"/>
                <w:szCs w:val="21"/>
                <w:highlight w:val="none"/>
              </w:rPr>
              <w:t>其他服务人员</w:t>
            </w:r>
            <w:r>
              <w:rPr>
                <w:rFonts w:hint="eastAsia" w:ascii="宋体" w:hAnsi="宋体" w:eastAsia="宋体" w:cs="宋体"/>
                <w:color w:val="auto"/>
                <w:sz w:val="21"/>
                <w:szCs w:val="21"/>
                <w:highlight w:val="none"/>
                <w:lang w:val="en-US" w:eastAsia="zh-CN"/>
              </w:rPr>
              <w:t>进行评审（本小项最高得9分）</w:t>
            </w:r>
            <w:r>
              <w:rPr>
                <w:rFonts w:hint="eastAsia" w:ascii="宋体" w:hAnsi="宋体" w:eastAsia="宋体" w:cs="宋体"/>
                <w:color w:val="auto"/>
                <w:sz w:val="21"/>
                <w:szCs w:val="21"/>
                <w:highlight w:val="none"/>
              </w:rPr>
              <w:t>：</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①具有人社部、工信部颁发的计算机技术与软件专业技术资格中级证书或以上（如软件设计师、软件测评师、信息安全工程师等），每人得2分，</w:t>
            </w:r>
            <w:r>
              <w:rPr>
                <w:rFonts w:hint="eastAsia" w:ascii="宋体" w:hAnsi="宋体" w:eastAsia="宋体" w:cs="宋体"/>
                <w:color w:val="auto"/>
                <w:sz w:val="21"/>
                <w:szCs w:val="21"/>
                <w:highlight w:val="none"/>
              </w:rPr>
              <w:t>本小项满分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②具有人社部、工信部颁发的计算机技术与软件专业技术资格初级证书或以上（如程序员、信息系统运行管理员、信息处理技术员等），每人得1分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本小项满分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备</w:t>
            </w:r>
            <w:r>
              <w:rPr>
                <w:rFonts w:hint="eastAsia" w:ascii="宋体" w:hAnsi="宋体" w:eastAsia="宋体" w:cs="宋体"/>
                <w:b/>
                <w:bCs/>
                <w:color w:val="auto"/>
                <w:sz w:val="21"/>
                <w:szCs w:val="21"/>
                <w:highlight w:val="none"/>
                <w:lang w:val="zh-CN"/>
              </w:rPr>
              <w:t>注：</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同一人不重复得分，</w:t>
            </w:r>
            <w:r>
              <w:rPr>
                <w:rFonts w:hint="eastAsia" w:ascii="宋体" w:hAnsi="宋体" w:eastAsia="宋体" w:cs="宋体"/>
                <w:b/>
                <w:bCs/>
                <w:color w:val="auto"/>
                <w:sz w:val="21"/>
                <w:szCs w:val="21"/>
                <w:highlight w:val="none"/>
                <w:lang w:val="zh-CN"/>
              </w:rPr>
              <w:t>应提供上述人员有效期内的资格证书（或注册/执业/岗位证书/技术职称）、</w:t>
            </w:r>
            <w:r>
              <w:rPr>
                <w:rFonts w:hint="eastAsia" w:ascii="宋体" w:hAnsi="宋体" w:eastAsia="宋体" w:cs="宋体"/>
                <w:b/>
                <w:bCs/>
                <w:color w:val="auto"/>
                <w:sz w:val="21"/>
                <w:szCs w:val="21"/>
                <w:highlight w:val="none"/>
                <w:lang w:val="en-US" w:eastAsia="zh-CN"/>
              </w:rPr>
              <w:t>身份证、劳动合同</w:t>
            </w:r>
            <w:r>
              <w:rPr>
                <w:rFonts w:hint="eastAsia" w:ascii="宋体" w:hAnsi="宋体" w:eastAsia="宋体" w:cs="宋体"/>
                <w:b/>
                <w:bCs/>
                <w:color w:val="auto"/>
                <w:sz w:val="21"/>
                <w:szCs w:val="21"/>
                <w:highlight w:val="none"/>
                <w:lang w:val="zh-CN"/>
              </w:rPr>
              <w:t>及</w:t>
            </w:r>
            <w:r>
              <w:rPr>
                <w:rFonts w:hint="eastAsia" w:ascii="宋体" w:hAnsi="宋体" w:eastAsia="宋体" w:cs="宋体"/>
                <w:b/>
                <w:bCs/>
                <w:color w:val="auto"/>
                <w:sz w:val="21"/>
                <w:szCs w:val="21"/>
                <w:highlight w:val="none"/>
              </w:rPr>
              <w:t>人力资源和</w:t>
            </w:r>
            <w:r>
              <w:rPr>
                <w:rFonts w:hint="eastAsia" w:ascii="宋体" w:hAnsi="宋体" w:eastAsia="宋体" w:cs="宋体"/>
                <w:b/>
                <w:bCs/>
                <w:color w:val="auto"/>
                <w:kern w:val="2"/>
                <w:sz w:val="21"/>
                <w:szCs w:val="21"/>
                <w:highlight w:val="none"/>
              </w:rPr>
              <w:t>社会保障部门（或税务部门）出具的</w:t>
            </w:r>
            <w:r>
              <w:rPr>
                <w:rFonts w:hint="eastAsia" w:ascii="宋体" w:hAnsi="宋体" w:eastAsia="宋体" w:cs="宋体"/>
                <w:b/>
                <w:bCs/>
                <w:color w:val="auto"/>
                <w:kern w:val="2"/>
                <w:sz w:val="21"/>
                <w:szCs w:val="21"/>
                <w:highlight w:val="none"/>
                <w:lang w:eastAsia="zh-CN"/>
              </w:rPr>
              <w:t>供应商</w:t>
            </w:r>
            <w:r>
              <w:rPr>
                <w:rFonts w:hint="eastAsia" w:ascii="宋体" w:hAnsi="宋体" w:eastAsia="宋体" w:cs="宋体"/>
                <w:b/>
                <w:bCs/>
                <w:color w:val="auto"/>
                <w:kern w:val="2"/>
                <w:sz w:val="21"/>
                <w:szCs w:val="21"/>
                <w:highlight w:val="none"/>
                <w:u w:val="none"/>
              </w:rPr>
              <w:t>近六个月（</w:t>
            </w:r>
            <w:r>
              <w:rPr>
                <w:rFonts w:hint="eastAsia" w:ascii="宋体" w:hAnsi="宋体" w:eastAsia="宋体" w:cs="宋体"/>
                <w:b/>
                <w:bCs/>
                <w:color w:val="auto"/>
                <w:sz w:val="21"/>
                <w:szCs w:val="21"/>
                <w:highlight w:val="none"/>
                <w:u w:val="none"/>
                <w:lang w:val="en-US" w:eastAsia="zh-CN"/>
              </w:rPr>
              <w:t>2023年9月、</w:t>
            </w:r>
            <w:r>
              <w:rPr>
                <w:rFonts w:hint="eastAsia" w:ascii="宋体" w:hAnsi="宋体" w:eastAsia="宋体" w:cs="宋体"/>
                <w:b/>
                <w:bCs/>
                <w:color w:val="auto"/>
                <w:sz w:val="21"/>
                <w:szCs w:val="21"/>
                <w:highlight w:val="none"/>
                <w:u w:val="none"/>
                <w:lang w:val="zh-CN"/>
              </w:rPr>
              <w:t>2023年</w:t>
            </w:r>
            <w:r>
              <w:rPr>
                <w:rFonts w:hint="eastAsia" w:ascii="宋体" w:hAnsi="宋体" w:eastAsia="宋体" w:cs="宋体"/>
                <w:b/>
                <w:bCs/>
                <w:color w:val="auto"/>
                <w:sz w:val="21"/>
                <w:szCs w:val="21"/>
                <w:highlight w:val="none"/>
                <w:u w:val="none"/>
              </w:rPr>
              <w:t>10</w:t>
            </w:r>
            <w:r>
              <w:rPr>
                <w:rFonts w:hint="eastAsia" w:ascii="宋体" w:hAnsi="宋体" w:eastAsia="宋体" w:cs="宋体"/>
                <w:b/>
                <w:bCs/>
                <w:color w:val="auto"/>
                <w:sz w:val="21"/>
                <w:szCs w:val="21"/>
                <w:highlight w:val="none"/>
                <w:u w:val="none"/>
                <w:lang w:val="zh-CN"/>
              </w:rPr>
              <w:t>月、2023年</w:t>
            </w:r>
            <w:r>
              <w:rPr>
                <w:rFonts w:hint="eastAsia" w:ascii="宋体" w:hAnsi="宋体" w:eastAsia="宋体" w:cs="宋体"/>
                <w:b/>
                <w:bCs/>
                <w:color w:val="auto"/>
                <w:sz w:val="21"/>
                <w:szCs w:val="21"/>
                <w:highlight w:val="none"/>
                <w:u w:val="none"/>
              </w:rPr>
              <w:t>11</w:t>
            </w:r>
            <w:r>
              <w:rPr>
                <w:rFonts w:hint="eastAsia" w:ascii="宋体" w:hAnsi="宋体" w:eastAsia="宋体" w:cs="宋体"/>
                <w:b/>
                <w:bCs/>
                <w:color w:val="auto"/>
                <w:sz w:val="21"/>
                <w:szCs w:val="21"/>
                <w:highlight w:val="none"/>
                <w:u w:val="none"/>
                <w:lang w:val="zh-CN"/>
              </w:rPr>
              <w:t>月、2023年</w:t>
            </w:r>
            <w:r>
              <w:rPr>
                <w:rFonts w:hint="eastAsia" w:ascii="宋体" w:hAnsi="宋体" w:eastAsia="宋体" w:cs="宋体"/>
                <w:b/>
                <w:bCs/>
                <w:color w:val="auto"/>
                <w:sz w:val="21"/>
                <w:szCs w:val="21"/>
                <w:highlight w:val="none"/>
                <w:u w:val="none"/>
              </w:rPr>
              <w:t>12</w:t>
            </w:r>
            <w:r>
              <w:rPr>
                <w:rFonts w:hint="eastAsia" w:ascii="宋体" w:hAnsi="宋体" w:eastAsia="宋体" w:cs="宋体"/>
                <w:b/>
                <w:bCs/>
                <w:color w:val="auto"/>
                <w:sz w:val="21"/>
                <w:szCs w:val="21"/>
                <w:highlight w:val="none"/>
                <w:u w:val="none"/>
                <w:lang w:val="zh-CN"/>
              </w:rPr>
              <w:t>月、</w:t>
            </w:r>
            <w:r>
              <w:rPr>
                <w:rFonts w:hint="eastAsia" w:ascii="宋体" w:hAnsi="宋体" w:eastAsia="宋体" w:cs="宋体"/>
                <w:b/>
                <w:bCs/>
                <w:color w:val="auto"/>
                <w:sz w:val="21"/>
                <w:szCs w:val="21"/>
                <w:highlight w:val="none"/>
                <w:u w:val="none"/>
                <w:lang w:val="en-US" w:eastAsia="zh-CN"/>
              </w:rPr>
              <w:t>2024年1月、2024年2月</w:t>
            </w:r>
            <w:r>
              <w:rPr>
                <w:rFonts w:hint="eastAsia" w:ascii="宋体" w:hAnsi="宋体" w:eastAsia="宋体" w:cs="宋体"/>
                <w:b/>
                <w:bCs/>
                <w:color w:val="auto"/>
                <w:kern w:val="2"/>
                <w:sz w:val="21"/>
                <w:szCs w:val="21"/>
                <w:highlight w:val="none"/>
                <w:u w:val="none"/>
              </w:rPr>
              <w:t>）</w:t>
            </w:r>
            <w:r>
              <w:rPr>
                <w:rFonts w:hint="eastAsia" w:ascii="宋体" w:hAnsi="宋体" w:eastAsia="宋体" w:cs="宋体"/>
                <w:b/>
                <w:bCs/>
                <w:color w:val="auto"/>
                <w:kern w:val="2"/>
                <w:sz w:val="21"/>
                <w:szCs w:val="21"/>
                <w:highlight w:val="none"/>
              </w:rPr>
              <w:t>为其缴纳</w:t>
            </w:r>
            <w:r>
              <w:rPr>
                <w:rFonts w:hint="eastAsia" w:ascii="宋体" w:hAnsi="宋体" w:eastAsia="宋体" w:cs="宋体"/>
                <w:b/>
                <w:bCs/>
                <w:color w:val="auto"/>
                <w:kern w:val="2"/>
                <w:sz w:val="21"/>
                <w:szCs w:val="21"/>
                <w:highlight w:val="none"/>
                <w:lang w:eastAsia="zh-CN"/>
              </w:rPr>
              <w:t>的</w:t>
            </w:r>
            <w:r>
              <w:rPr>
                <w:rFonts w:hint="eastAsia" w:ascii="宋体" w:hAnsi="宋体" w:eastAsia="宋体" w:cs="宋体"/>
                <w:b/>
                <w:bCs/>
                <w:color w:val="auto"/>
                <w:kern w:val="2"/>
                <w:sz w:val="21"/>
                <w:szCs w:val="21"/>
                <w:highlight w:val="none"/>
              </w:rPr>
              <w:t>社会保险证明复印件</w:t>
            </w:r>
            <w:r>
              <w:rPr>
                <w:rFonts w:hint="eastAsia" w:ascii="宋体" w:hAnsi="宋体" w:eastAsia="宋体" w:cs="宋体"/>
                <w:b/>
                <w:bCs/>
                <w:color w:val="auto"/>
                <w:sz w:val="21"/>
                <w:szCs w:val="21"/>
                <w:highlight w:val="none"/>
                <w:lang w:val="zh-CN"/>
              </w:rPr>
              <w:t>，否则对应分项不得分。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（2）未按上述要求提供证明材料的，或所附材料无法证明符合评分要求的，在评审时将不予考虑，不得分。</w:t>
            </w:r>
          </w:p>
        </w:tc>
      </w:tr>
    </w:tbl>
    <w:p>
      <w:pPr>
        <w:pStyle w:val="10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lang w:val="zh-CN"/>
        </w:rPr>
      </w:pPr>
    </w:p>
    <w:p>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1</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lang w:val="zh-CN"/>
        </w:rPr>
        <w:t>.</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lang w:val="zh-CN"/>
        </w:rPr>
        <w:t>技术：</w:t>
      </w:r>
    </w:p>
    <w:tbl>
      <w:tblPr>
        <w:tblStyle w:val="55"/>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698"/>
        <w:gridCol w:w="1132"/>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1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69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评审项目</w:t>
            </w:r>
          </w:p>
        </w:tc>
        <w:tc>
          <w:tcPr>
            <w:tcW w:w="113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满分值</w:t>
            </w:r>
          </w:p>
        </w:tc>
        <w:tc>
          <w:tcPr>
            <w:tcW w:w="609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9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34" w:firstLine="105" w:firstLineChars="5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用户需求书的响应情况</w:t>
            </w:r>
          </w:p>
        </w:tc>
        <w:tc>
          <w:tcPr>
            <w:tcW w:w="113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09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对竞争性磋商文件的技术要求条款响应程度进行评分：完全满足用户需求书的要求得满分；每一处负偏离，扣2分；同时参照其响应文件中其部分的内容进行对比，每发现一处供应商填写为无偏离或正偏离，但磋商小组评审认定其为负偏离的，每处扣5分；本项最低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69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34"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lang w:val="zh-CN"/>
              </w:rPr>
              <w:t>方案</w:t>
            </w:r>
          </w:p>
        </w:tc>
        <w:tc>
          <w:tcPr>
            <w:tcW w:w="113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609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对现场演示设计方案的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设计</w:t>
            </w:r>
            <w:r>
              <w:rPr>
                <w:rFonts w:hint="eastAsia" w:ascii="宋体" w:hAnsi="宋体" w:eastAsia="宋体" w:cs="宋体"/>
                <w:sz w:val="21"/>
                <w:szCs w:val="21"/>
                <w:highlight w:val="none"/>
                <w:lang w:val="en-US" w:eastAsia="zh-CN"/>
              </w:rPr>
              <w:t>、功能满足程度、可视化、高效、安全性能，以及与本项目的适用性进行评价，</w:t>
            </w:r>
            <w:r>
              <w:rPr>
                <w:rFonts w:hint="eastAsia" w:ascii="宋体" w:hAnsi="宋体" w:eastAsia="宋体" w:cs="宋体"/>
                <w:color w:val="auto"/>
                <w:sz w:val="21"/>
                <w:szCs w:val="21"/>
                <w:highlight w:val="none"/>
                <w:lang w:val="en-US" w:eastAsia="zh-CN"/>
              </w:rPr>
              <w:t>分优[20-16分]、良（16-10分]、中（10-4分]、差（4-0分]进行评审。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5"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98"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34" w:rightChars="0"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进度计划及</w:t>
            </w:r>
            <w:r>
              <w:rPr>
                <w:rFonts w:hint="eastAsia" w:ascii="宋体" w:hAnsi="宋体" w:eastAsia="宋体" w:cs="宋体"/>
                <w:color w:val="auto"/>
                <w:sz w:val="21"/>
                <w:szCs w:val="21"/>
                <w:highlight w:val="none"/>
                <w:lang w:eastAsia="zh-CN"/>
              </w:rPr>
              <w:t>进度保证措施</w:t>
            </w:r>
          </w:p>
        </w:tc>
        <w:tc>
          <w:tcPr>
            <w:tcW w:w="113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09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根据供应商提供的详细的项目实施各步骤的时间进度计划进行横向对比，对</w:t>
            </w:r>
            <w:r>
              <w:rPr>
                <w:rFonts w:hint="eastAsia" w:ascii="宋体" w:hAnsi="宋体" w:eastAsia="宋体" w:cs="宋体"/>
                <w:color w:val="auto"/>
                <w:sz w:val="21"/>
                <w:szCs w:val="21"/>
                <w:highlight w:val="none"/>
              </w:rPr>
              <w:t>进度计划安排是否合理、</w:t>
            </w:r>
            <w:r>
              <w:rPr>
                <w:rFonts w:hint="eastAsia" w:ascii="宋体" w:hAnsi="宋体" w:eastAsia="宋体" w:cs="宋体"/>
                <w:color w:val="auto"/>
                <w:sz w:val="21"/>
                <w:szCs w:val="21"/>
                <w:highlight w:val="none"/>
                <w:lang w:val="en-US" w:eastAsia="zh-CN"/>
              </w:rPr>
              <w:t>满足采购人进度要求</w:t>
            </w:r>
            <w:r>
              <w:rPr>
                <w:rFonts w:hint="eastAsia" w:ascii="宋体" w:hAnsi="宋体" w:eastAsia="宋体" w:cs="宋体"/>
                <w:color w:val="auto"/>
                <w:sz w:val="21"/>
                <w:szCs w:val="21"/>
                <w:highlight w:val="none"/>
              </w:rPr>
              <w:t>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及保证措施是否具体、可行，分</w:t>
            </w: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分]、良（</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-5分]、中（5-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分]、差（</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-0分]</w:t>
            </w:r>
            <w:r>
              <w:rPr>
                <w:rFonts w:hint="eastAsia" w:ascii="宋体" w:hAnsi="宋体" w:eastAsia="宋体" w:cs="宋体"/>
                <w:color w:val="auto"/>
                <w:sz w:val="21"/>
                <w:szCs w:val="21"/>
                <w:highlight w:val="none"/>
              </w:rPr>
              <w:t>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815"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98"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34" w:firstLine="105" w:firstLineChars="5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w:t>
            </w:r>
          </w:p>
        </w:tc>
        <w:tc>
          <w:tcPr>
            <w:tcW w:w="113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092"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横向对比</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售后服务机构的便利性</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en-US" w:eastAsia="zh-CN"/>
              </w:rPr>
              <w:t>时间</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分]、中（</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分]、差（</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val="zh-CN"/>
              </w:rPr>
              <w:t>进行评审。</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备注：售后服务机构</w:t>
            </w:r>
            <w:r>
              <w:rPr>
                <w:rFonts w:hint="eastAsia" w:ascii="宋体" w:hAnsi="宋体" w:eastAsia="宋体" w:cs="宋体"/>
                <w:b/>
                <w:bCs/>
                <w:color w:val="auto"/>
                <w:kern w:val="0"/>
                <w:sz w:val="21"/>
                <w:szCs w:val="21"/>
                <w:highlight w:val="none"/>
                <w:lang w:val="en-US" w:eastAsia="zh-CN" w:bidi="ar"/>
              </w:rPr>
              <w:t>必须为供应商（或供应商分支机构），以供应商提供的的</w:t>
            </w:r>
            <w:r>
              <w:rPr>
                <w:rFonts w:hint="eastAsia" w:ascii="宋体" w:hAnsi="宋体" w:eastAsia="宋体" w:cs="宋体"/>
                <w:b/>
                <w:bCs/>
                <w:color w:val="auto"/>
                <w:kern w:val="0"/>
                <w:sz w:val="21"/>
                <w:szCs w:val="21"/>
                <w:highlight w:val="none"/>
                <w:lang w:bidi="ar"/>
              </w:rPr>
              <w:t>售后服务机构</w:t>
            </w:r>
            <w:r>
              <w:rPr>
                <w:rFonts w:hint="eastAsia" w:ascii="宋体" w:hAnsi="宋体" w:eastAsia="宋体" w:cs="宋体"/>
                <w:b/>
                <w:bCs/>
                <w:color w:val="auto"/>
                <w:kern w:val="0"/>
                <w:sz w:val="21"/>
                <w:szCs w:val="21"/>
                <w:highlight w:val="none"/>
                <w:lang w:val="en-US" w:eastAsia="zh-CN" w:bidi="ar"/>
              </w:rPr>
              <w:t>营业执照或经营</w:t>
            </w:r>
            <w:r>
              <w:rPr>
                <w:rFonts w:hint="eastAsia" w:ascii="宋体" w:hAnsi="宋体" w:eastAsia="宋体" w:cs="宋体"/>
                <w:b/>
                <w:bCs/>
                <w:color w:val="auto"/>
                <w:kern w:val="0"/>
                <w:sz w:val="21"/>
                <w:szCs w:val="21"/>
                <w:highlight w:val="none"/>
                <w:lang w:bidi="ar"/>
              </w:rPr>
              <w:t>场地自有产权证明复印件（或非自有产权时提供承租人为</w:t>
            </w:r>
            <w:r>
              <w:rPr>
                <w:rFonts w:hint="eastAsia" w:ascii="宋体" w:hAnsi="宋体" w:eastAsia="宋体" w:cs="宋体"/>
                <w:b/>
                <w:bCs/>
                <w:color w:val="auto"/>
                <w:kern w:val="0"/>
                <w:sz w:val="21"/>
                <w:szCs w:val="21"/>
                <w:highlight w:val="none"/>
                <w:lang w:val="en-US" w:eastAsia="zh-CN" w:bidi="ar"/>
              </w:rPr>
              <w:t>供应商</w:t>
            </w:r>
            <w:r>
              <w:rPr>
                <w:rFonts w:hint="eastAsia" w:ascii="宋体" w:hAnsi="宋体" w:eastAsia="宋体" w:cs="宋体"/>
                <w:b/>
                <w:bCs/>
                <w:color w:val="auto"/>
                <w:kern w:val="0"/>
                <w:sz w:val="21"/>
                <w:szCs w:val="21"/>
                <w:highlight w:val="none"/>
                <w:lang w:bidi="ar"/>
              </w:rPr>
              <w:t>的租赁合同复印件）</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距离采购人机房（</w:t>
            </w:r>
            <w:r>
              <w:rPr>
                <w:rFonts w:hint="eastAsia" w:ascii="宋体" w:hAnsi="宋体" w:eastAsia="宋体" w:cs="宋体"/>
                <w:b/>
                <w:bCs/>
                <w:color w:val="auto"/>
                <w:kern w:val="0"/>
                <w:sz w:val="21"/>
                <w:szCs w:val="21"/>
                <w:highlight w:val="none"/>
                <w:lang w:bidi="ar"/>
              </w:rPr>
              <w:t>广东省东莞市</w:t>
            </w:r>
            <w:r>
              <w:rPr>
                <w:rFonts w:hint="eastAsia" w:ascii="宋体" w:hAnsi="宋体" w:eastAsia="宋体" w:cs="宋体"/>
                <w:b/>
                <w:bCs/>
                <w:color w:val="auto"/>
                <w:kern w:val="0"/>
                <w:sz w:val="21"/>
                <w:szCs w:val="21"/>
                <w:highlight w:val="none"/>
                <w:lang w:val="en-US" w:eastAsia="zh-CN" w:bidi="ar"/>
              </w:rPr>
              <w:t>东城街道育华路1号）的证明材料（包括但不限于地图软件截图）等资料作为依据进行评审，</w:t>
            </w:r>
            <w:r>
              <w:rPr>
                <w:rFonts w:hint="eastAsia" w:ascii="宋体" w:hAnsi="宋体" w:eastAsia="宋体" w:cs="宋体"/>
                <w:b/>
                <w:bCs/>
                <w:color w:val="auto"/>
                <w:kern w:val="0"/>
                <w:sz w:val="21"/>
                <w:szCs w:val="21"/>
                <w:highlight w:val="none"/>
                <w:lang w:bidi="ar"/>
              </w:rPr>
              <w:t>未按要求提供上述资料的本项不得分。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815"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p>
        </w:tc>
        <w:tc>
          <w:tcPr>
            <w:tcW w:w="1698"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34" w:firstLine="105" w:firstLineChars="50"/>
              <w:jc w:val="center"/>
              <w:textAlignment w:val="auto"/>
              <w:rPr>
                <w:rFonts w:hint="eastAsia" w:ascii="宋体" w:hAnsi="宋体" w:eastAsia="宋体" w:cs="宋体"/>
                <w:color w:val="auto"/>
                <w:kern w:val="2"/>
                <w:sz w:val="21"/>
                <w:szCs w:val="21"/>
                <w:highlight w:val="none"/>
                <w:lang w:val="en-US" w:eastAsia="zh-CN"/>
              </w:rPr>
            </w:pPr>
          </w:p>
        </w:tc>
        <w:tc>
          <w:tcPr>
            <w:tcW w:w="1132" w:type="dxa"/>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092" w:type="dxa"/>
            <w:noWrap w:val="0"/>
            <w:vAlign w:val="center"/>
          </w:tcPr>
          <w:p>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横向比较供应商</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lang w:val="en-US" w:eastAsia="zh-CN"/>
              </w:rPr>
              <w:t>售后服务</w:t>
            </w:r>
            <w:r>
              <w:rPr>
                <w:rFonts w:hint="eastAsia" w:ascii="宋体" w:hAnsi="宋体" w:eastAsia="宋体" w:cs="宋体"/>
                <w:color w:val="auto"/>
                <w:sz w:val="21"/>
                <w:szCs w:val="21"/>
                <w:highlight w:val="none"/>
              </w:rPr>
              <w:t>机构</w:t>
            </w:r>
            <w:r>
              <w:rPr>
                <w:rFonts w:hint="eastAsia" w:ascii="宋体" w:hAnsi="宋体" w:eastAsia="宋体" w:cs="宋体"/>
                <w:color w:val="auto"/>
                <w:sz w:val="21"/>
                <w:szCs w:val="21"/>
                <w:highlight w:val="none"/>
                <w:lang w:val="zh-CN"/>
              </w:rPr>
              <w:t>规模、</w:t>
            </w:r>
            <w:r>
              <w:rPr>
                <w:rFonts w:hint="eastAsia" w:ascii="宋体" w:hAnsi="宋体" w:eastAsia="宋体" w:cs="宋体"/>
                <w:color w:val="auto"/>
                <w:sz w:val="21"/>
                <w:szCs w:val="21"/>
                <w:highlight w:val="none"/>
                <w:lang w:val="en-US" w:eastAsia="zh-CN"/>
              </w:rPr>
              <w:t>人员配置方案、维护响应时间</w:t>
            </w:r>
            <w:r>
              <w:rPr>
                <w:rFonts w:hint="eastAsia" w:ascii="宋体" w:hAnsi="宋体" w:eastAsia="宋体" w:cs="宋体"/>
                <w:color w:val="auto"/>
                <w:sz w:val="21"/>
                <w:szCs w:val="21"/>
                <w:highlight w:val="none"/>
              </w:rPr>
              <w:t>及方式、应急处理方式等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分]、良（</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分]、中（</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分]、差（</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-0分]进行评审</w:t>
            </w:r>
            <w:r>
              <w:rPr>
                <w:rFonts w:hint="eastAsia" w:ascii="宋体" w:hAnsi="宋体" w:eastAsia="宋体" w:cs="宋体"/>
                <w:color w:val="auto"/>
                <w:sz w:val="21"/>
                <w:szCs w:val="21"/>
                <w:highlight w:val="none"/>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bidi="ar"/>
              </w:rPr>
              <w:t>备注：</w:t>
            </w:r>
            <w:r>
              <w:rPr>
                <w:rFonts w:hint="eastAsia" w:ascii="宋体" w:hAnsi="宋体" w:eastAsia="宋体" w:cs="宋体"/>
                <w:b/>
                <w:bCs/>
                <w:color w:val="auto"/>
                <w:kern w:val="0"/>
                <w:sz w:val="21"/>
                <w:szCs w:val="21"/>
                <w:highlight w:val="none"/>
                <w:lang w:val="en-US" w:eastAsia="zh-CN" w:bidi="ar"/>
              </w:rPr>
              <w:t>提供售后服务机构规模及维修能力情况说明、</w:t>
            </w:r>
            <w:r>
              <w:rPr>
                <w:rFonts w:hint="eastAsia" w:ascii="宋体" w:hAnsi="宋体" w:eastAsia="宋体" w:cs="宋体"/>
                <w:b/>
                <w:bCs/>
                <w:color w:val="auto"/>
                <w:kern w:val="0"/>
                <w:sz w:val="21"/>
                <w:szCs w:val="21"/>
                <w:highlight w:val="none"/>
                <w:lang w:bidi="ar"/>
              </w:rPr>
              <w:t>人员配置方案、</w:t>
            </w:r>
            <w:r>
              <w:rPr>
                <w:rFonts w:hint="eastAsia" w:ascii="宋体" w:hAnsi="宋体" w:eastAsia="宋体" w:cs="宋体"/>
                <w:b/>
                <w:bCs/>
                <w:color w:val="auto"/>
                <w:kern w:val="0"/>
                <w:sz w:val="21"/>
                <w:szCs w:val="21"/>
                <w:highlight w:val="none"/>
                <w:lang w:val="en-US" w:eastAsia="zh-CN" w:bidi="ar"/>
              </w:rPr>
              <w:t>等资料作为依据进行评审，</w:t>
            </w:r>
            <w:r>
              <w:rPr>
                <w:rFonts w:hint="eastAsia" w:ascii="宋体" w:hAnsi="宋体" w:eastAsia="宋体" w:cs="宋体"/>
                <w:b/>
                <w:bCs/>
                <w:color w:val="auto"/>
                <w:kern w:val="0"/>
                <w:sz w:val="21"/>
                <w:szCs w:val="21"/>
                <w:highlight w:val="none"/>
                <w:lang w:bidi="ar"/>
              </w:rPr>
              <w:t>未按要求提供上述资料的本项不得分。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37" w:type="dxa"/>
            <w:gridSpan w:val="4"/>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上述“评分项目”中按“优、良、中、差”区间评审的，若低于该项满分分值60%时，评标专家需详细填写该项低分的充分理由</w:t>
            </w:r>
            <w:r>
              <w:rPr>
                <w:rFonts w:hint="eastAsia" w:ascii="宋体" w:hAnsi="宋体" w:eastAsia="宋体" w:cs="宋体"/>
                <w:b/>
                <w:bCs/>
                <w:color w:val="auto"/>
                <w:sz w:val="21"/>
                <w:szCs w:val="21"/>
                <w:highlight w:val="none"/>
                <w:lang w:eastAsia="zh-CN"/>
              </w:rPr>
              <w:t>。</w:t>
            </w:r>
          </w:p>
        </w:tc>
      </w:tr>
    </w:tbl>
    <w:p>
      <w:pPr>
        <w:pStyle w:val="187"/>
        <w:spacing w:line="360" w:lineRule="auto"/>
        <w:ind w:firstLine="0" w:firstLineChars="0"/>
        <w:rPr>
          <w:rFonts w:hint="eastAsia" w:ascii="宋体" w:hAnsi="宋体" w:eastAsia="宋体" w:cs="宋体"/>
          <w:b/>
          <w:bCs/>
          <w:color w:val="auto"/>
          <w:sz w:val="21"/>
          <w:szCs w:val="21"/>
          <w:highlight w:val="none"/>
          <w:lang w:val="zh-CN"/>
        </w:rPr>
      </w:pPr>
    </w:p>
    <w:p>
      <w:pPr>
        <w:pStyle w:val="187"/>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2.3 价格评分：</w:t>
      </w:r>
      <w:r>
        <w:rPr>
          <w:rFonts w:hint="eastAsia" w:ascii="宋体" w:hAnsi="宋体" w:eastAsia="宋体" w:cs="宋体"/>
          <w:b/>
          <w:bCs/>
          <w:color w:val="auto"/>
          <w:sz w:val="21"/>
          <w:szCs w:val="21"/>
          <w:highlight w:val="none"/>
          <w:lang w:val="zh-CN"/>
        </w:rPr>
        <w:t>总分</w:t>
      </w:r>
      <w:r>
        <w:rPr>
          <w:rFonts w:hint="eastAsia" w:ascii="宋体" w:hAnsi="宋体" w:eastAsia="宋体" w:cs="宋体"/>
          <w:b/>
          <w:bCs/>
          <w:color w:val="auto"/>
          <w:sz w:val="21"/>
          <w:szCs w:val="21"/>
          <w:highlight w:val="none"/>
        </w:rPr>
        <w:t>20</w:t>
      </w:r>
      <w:r>
        <w:rPr>
          <w:rFonts w:hint="eastAsia" w:ascii="宋体" w:hAnsi="宋体" w:eastAsia="宋体" w:cs="宋体"/>
          <w:b/>
          <w:bCs/>
          <w:color w:val="auto"/>
          <w:sz w:val="21"/>
          <w:szCs w:val="21"/>
          <w:highlight w:val="none"/>
          <w:lang w:val="zh-CN"/>
        </w:rPr>
        <w:t>分</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A、本项目采购低价优先法计算报价得分，即满足竞争性磋商文件要求且最后报价最低的供应商的价格为磋商基准价，其价格分为满分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其他供应商的价格分统一按照下列公式计算：</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0×100%</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B、分数出现小数点，保留小数点后2位，从小数点后第3位四舍五入。</w:t>
      </w:r>
    </w:p>
    <w:p>
      <w:pPr>
        <w:spacing w:line="360" w:lineRule="auto"/>
        <w:rPr>
          <w:rFonts w:hint="eastAsia" w:ascii="宋体" w:hAnsi="宋体" w:eastAsia="宋体" w:cs="宋体"/>
          <w:b/>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13.综合得分排名</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总得分=F1＋F2＋……+Fn</w:t>
      </w:r>
    </w:p>
    <w:p>
      <w:pPr>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F1、F2、……Fn分别为各项评分因素的得分；</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8"/>
          <w:szCs w:val="28"/>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五、推荐成交人</w:t>
      </w:r>
    </w:p>
    <w:p>
      <w:pPr>
        <w:spacing w:line="360" w:lineRule="auto"/>
        <w:ind w:left="424" w:leftChars="-1" w:hanging="426" w:hangingChars="203"/>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1 </w:t>
      </w:r>
      <w:r>
        <w:rPr>
          <w:rFonts w:hint="eastAsia" w:ascii="宋体" w:hAnsi="宋体" w:eastAsia="宋体" w:cs="宋体"/>
          <w:color w:val="auto"/>
          <w:kern w:val="2"/>
          <w:sz w:val="21"/>
          <w:highlight w:val="none"/>
          <w:lang w:val="zh-CN"/>
        </w:rPr>
        <w:t>磋商小组工作组计算的分值经复核无误后为定值。磋商小组专家组的每一位成员根据上述评分</w:t>
      </w:r>
    </w:p>
    <w:p>
      <w:pPr>
        <w:spacing w:line="360" w:lineRule="auto"/>
        <w:ind w:left="417" w:leftChars="173" w:hanging="2" w:hangingChars="1"/>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标准地对竞争性磋商文件分别打分，对响应供应商的响应文件的商务文件（含价格）及技术文件分别评分。磋商小组专家首先对商务标（含价格）进行评审，按评审标准打分后，取所有磋商小组成员评分的平均值得出该供应商的商务及价格评分；然后磋商小组专家对技术文件进行评审，按</w:t>
      </w:r>
      <w:r>
        <w:rPr>
          <w:rFonts w:hint="eastAsia" w:ascii="宋体" w:hAnsi="宋体" w:eastAsia="宋体" w:cs="宋体"/>
          <w:color w:val="auto"/>
          <w:kern w:val="2"/>
          <w:sz w:val="21"/>
          <w:highlight w:val="none"/>
          <w:lang w:val="zh-CN" w:eastAsia="zh-CN"/>
        </w:rPr>
        <w:t>评审</w:t>
      </w:r>
      <w:r>
        <w:rPr>
          <w:rFonts w:hint="eastAsia" w:ascii="宋体" w:hAnsi="宋体" w:eastAsia="宋体" w:cs="宋体"/>
          <w:color w:val="auto"/>
          <w:kern w:val="2"/>
          <w:sz w:val="21"/>
          <w:highlight w:val="none"/>
          <w:lang w:val="zh-CN"/>
        </w:rPr>
        <w:t>标准打分后，取所有磋商小组成员评分的平均值得出该供应商的技术评分。</w:t>
      </w:r>
    </w:p>
    <w:p>
      <w:pPr>
        <w:spacing w:line="360" w:lineRule="auto"/>
        <w:ind w:left="424" w:leftChars="-1" w:hanging="426" w:hangingChars="203"/>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14.2</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最终以各供应商响应文件的最后综合得分的高低排出次序，得分最高的为第一名，得分次高</w:t>
      </w:r>
    </w:p>
    <w:p>
      <w:pPr>
        <w:spacing w:line="360" w:lineRule="auto"/>
        <w:ind w:left="417" w:leftChars="173" w:hanging="2" w:hangingChars="1"/>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的为第二名，如此类推。如果有两个或以上的供应商的最后综合得分相同，则在最后综合得分相同的供应商中按磋商报价由低到高顺序排出次序，报价低的排前，报价高的排后。如果出现供应商的最后综合得分及磋商报价均相同时，则在最后综合得分相同的</w:t>
      </w:r>
      <w:r>
        <w:rPr>
          <w:rFonts w:hint="eastAsia" w:ascii="宋体" w:hAnsi="宋体" w:eastAsia="宋体" w:cs="宋体"/>
          <w:color w:val="auto"/>
          <w:kern w:val="2"/>
          <w:sz w:val="21"/>
          <w:highlight w:val="none"/>
          <w:lang w:val="en-US" w:eastAsia="zh-CN"/>
        </w:rPr>
        <w:t>响应</w:t>
      </w:r>
      <w:r>
        <w:rPr>
          <w:rFonts w:hint="eastAsia" w:ascii="宋体" w:hAnsi="宋体" w:eastAsia="宋体" w:cs="宋体"/>
          <w:color w:val="auto"/>
          <w:kern w:val="2"/>
          <w:sz w:val="21"/>
          <w:highlight w:val="none"/>
          <w:lang w:val="zh-CN"/>
        </w:rPr>
        <w:t>供应商中按技术评分得分高低排出次序，得分高的排前，得分低的排后。如果出现供应商的最后综合得分、磋商报价及技术评分均相同时，按商务得分较高的排名在前；再次出现相同时，则用抽签的方式确定得分相同的供应商的排名次序。</w:t>
      </w:r>
    </w:p>
    <w:p>
      <w:pPr>
        <w:spacing w:line="360" w:lineRule="auto"/>
        <w:ind w:left="424" w:leftChars="-1" w:hanging="426" w:hangingChars="203"/>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14.3</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磋商小组将向采购人推荐</w:t>
      </w:r>
      <w:r>
        <w:rPr>
          <w:rFonts w:hint="eastAsia" w:ascii="宋体" w:hAnsi="宋体" w:eastAsia="宋体" w:cs="宋体"/>
          <w:color w:val="auto"/>
          <w:kern w:val="2"/>
          <w:sz w:val="21"/>
          <w:highlight w:val="none"/>
          <w:lang w:val="zh-CN" w:eastAsia="zh-CN"/>
        </w:rPr>
        <w:t>评审</w:t>
      </w:r>
      <w:r>
        <w:rPr>
          <w:rFonts w:hint="eastAsia" w:ascii="宋体" w:hAnsi="宋体" w:eastAsia="宋体" w:cs="宋体"/>
          <w:color w:val="auto"/>
          <w:kern w:val="2"/>
          <w:sz w:val="21"/>
          <w:highlight w:val="none"/>
          <w:lang w:val="zh-CN"/>
        </w:rPr>
        <w:t>最后综合得分最高的</w:t>
      </w:r>
      <w:r>
        <w:rPr>
          <w:rFonts w:hint="eastAsia" w:ascii="宋体" w:hAnsi="宋体" w:eastAsia="宋体" w:cs="宋体"/>
          <w:color w:val="auto"/>
          <w:kern w:val="2"/>
          <w:sz w:val="21"/>
          <w:highlight w:val="none"/>
          <w:lang w:val="en-US" w:eastAsia="zh-CN"/>
        </w:rPr>
        <w:t>供应商</w:t>
      </w:r>
      <w:r>
        <w:rPr>
          <w:rFonts w:hint="eastAsia" w:ascii="宋体" w:hAnsi="宋体" w:eastAsia="宋体" w:cs="宋体"/>
          <w:color w:val="auto"/>
          <w:kern w:val="2"/>
          <w:sz w:val="21"/>
          <w:highlight w:val="none"/>
          <w:lang w:val="zh-CN"/>
        </w:rPr>
        <w:t>为</w:t>
      </w:r>
      <w:r>
        <w:rPr>
          <w:rFonts w:hint="eastAsia" w:ascii="宋体" w:hAnsi="宋体" w:eastAsia="宋体" w:cs="宋体"/>
          <w:color w:val="auto"/>
          <w:kern w:val="2"/>
          <w:sz w:val="21"/>
          <w:highlight w:val="none"/>
          <w:lang w:val="en-US" w:eastAsia="zh-CN"/>
        </w:rPr>
        <w:t>成交</w:t>
      </w:r>
      <w:r>
        <w:rPr>
          <w:rFonts w:hint="eastAsia" w:ascii="宋体" w:hAnsi="宋体" w:eastAsia="宋体" w:cs="宋体"/>
          <w:color w:val="auto"/>
          <w:kern w:val="2"/>
          <w:sz w:val="21"/>
          <w:highlight w:val="none"/>
          <w:lang w:val="zh-CN"/>
        </w:rPr>
        <w:t>候选人。</w:t>
      </w:r>
    </w:p>
    <w:p>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p>
    <w:p>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六、编写评审报告</w:t>
      </w:r>
    </w:p>
    <w:p>
      <w:pPr>
        <w:spacing w:line="360" w:lineRule="auto"/>
        <w:ind w:left="420" w:hanging="420" w:hangingChars="200"/>
        <w:rPr>
          <w:rFonts w:hint="eastAsia" w:ascii="宋体" w:hAnsi="宋体" w:eastAsia="宋体" w:cs="宋体"/>
          <w:b/>
          <w:bCs/>
          <w:color w:val="auto"/>
          <w:kern w:val="2"/>
          <w:sz w:val="21"/>
          <w:szCs w:val="32"/>
          <w:highlight w:val="none"/>
          <w:lang w:val="zh-CN"/>
        </w:rPr>
      </w:pPr>
      <w:r>
        <w:rPr>
          <w:rFonts w:hint="eastAsia" w:ascii="宋体" w:hAnsi="宋体" w:eastAsia="宋体" w:cs="宋体"/>
          <w:color w:val="auto"/>
          <w:kern w:val="2"/>
          <w:sz w:val="21"/>
          <w:highlight w:val="none"/>
        </w:rPr>
        <w:t>15</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根据评审结果撰写评审报告。评审报告是</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根据全体</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成员签字的原始评审记录和评审结果编写的报告，其主要内容包括：</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1）磋商邀请时间、开标日期和地点；</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2）供应商名单和</w:t>
      </w:r>
      <w:r>
        <w:rPr>
          <w:rFonts w:hint="eastAsia" w:ascii="宋体" w:hAnsi="宋体" w:eastAsia="宋体" w:cs="宋体"/>
          <w:color w:val="auto"/>
          <w:sz w:val="21"/>
          <w:szCs w:val="21"/>
          <w:highlight w:val="none"/>
        </w:rPr>
        <w:t>磋商小组</w:t>
      </w:r>
      <w:r>
        <w:rPr>
          <w:rFonts w:hint="eastAsia" w:ascii="宋体" w:hAnsi="宋体" w:eastAsia="宋体" w:cs="宋体"/>
          <w:color w:val="auto"/>
          <w:sz w:val="21"/>
          <w:highlight w:val="none"/>
          <w:lang w:val="zh-CN"/>
        </w:rPr>
        <w:t>成员名单；</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xml:space="preserve">      3）磋商记录；</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4）评审方法和标准；</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5）评审记录和评审情况及说明，包括响应无效供应商名单及原因；</w:t>
      </w:r>
    </w:p>
    <w:p>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6）评审结果和</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lang w:val="zh-CN"/>
        </w:rPr>
        <w:t>候选供应商排序表；</w:t>
      </w:r>
    </w:p>
    <w:p>
      <w:pPr>
        <w:spacing w:line="360" w:lineRule="auto"/>
        <w:ind w:left="420" w:firstLine="210" w:firstLineChars="1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的推荐建议。</w:t>
      </w:r>
    </w:p>
    <w:p>
      <w:pPr>
        <w:spacing w:line="360" w:lineRule="auto"/>
        <w:jc w:val="center"/>
        <w:rPr>
          <w:rFonts w:hint="eastAsia" w:ascii="宋体" w:hAnsi="宋体" w:eastAsia="宋体" w:cs="宋体"/>
          <w:b/>
          <w:bCs/>
          <w:color w:val="auto"/>
          <w:kern w:val="2"/>
          <w:sz w:val="28"/>
          <w:szCs w:val="28"/>
          <w:highlight w:val="none"/>
          <w:lang w:val="zh-CN"/>
        </w:rPr>
      </w:pPr>
    </w:p>
    <w:p>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28"/>
          <w:szCs w:val="28"/>
          <w:highlight w:val="none"/>
          <w:lang w:val="zh-CN"/>
        </w:rPr>
        <w:t>七、注意事项</w:t>
      </w:r>
    </w:p>
    <w:p>
      <w:pPr>
        <w:spacing w:line="360" w:lineRule="auto"/>
        <w:ind w:left="315"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rPr>
        <w:t>16</w:t>
      </w:r>
      <w:r>
        <w:rPr>
          <w:rFonts w:hint="eastAsia" w:ascii="宋体" w:hAnsi="宋体" w:eastAsia="宋体" w:cs="宋体"/>
          <w:color w:val="auto"/>
          <w:kern w:val="2"/>
          <w:sz w:val="21"/>
          <w:highlight w:val="none"/>
          <w:lang w:val="zh-CN"/>
        </w:rPr>
        <w:t>、为确保磋商活动的顺利进行，防止因泄密或其它意外而造成的不良后果及影响，凡参加磋商活动的人员都必须认真执行本规定：</w:t>
      </w:r>
    </w:p>
    <w:p>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1）在磋商期间，所有分发的供应商响应文件、资料等仅限于在磋商场所中使用，不得带往其它地方，所有的磋商文件、供应商响应文件、资料等一律编号登记。</w:t>
      </w:r>
    </w:p>
    <w:p>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2）磋商小组成员及工作人员不得在公共场合谈论有关评审内容。</w:t>
      </w:r>
    </w:p>
    <w:p>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磋商小组成员及工作人员不得以书信、电讯、口述等方式将有关评审内容（如资料、供应商响应文件、磋商报价、评审方式、磋商小组的决定、磋商小组机构、磋商小组人员名单等）披露给未参加磋商的任何无关人员，包括上级领导、同级和下级人员，任何与评审无关的人员（包括亲朋好友和同事）不得进入磋商场所。</w:t>
      </w:r>
    </w:p>
    <w:p>
      <w:pPr>
        <w:spacing w:line="360" w:lineRule="auto"/>
        <w:ind w:left="915" w:leftChars="250"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4）在举行与各供应商的澄清会之前磋商小组应明确参加会议的人员及主谈人。任何需要供应商在澄清会上澄清的问题必须经磋商小组成员签字并由主谈人提出。在澄清期间，对于涉及本规定保密范畴的所有内容，主谈人不得向供应商透露。</w:t>
      </w:r>
    </w:p>
    <w:p>
      <w:pPr>
        <w:spacing w:line="360" w:lineRule="auto"/>
        <w:ind w:left="120" w:leftChars="50" w:firstLine="525" w:firstLineChars="250"/>
        <w:jc w:val="both"/>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5）任何磋商人员和工作人员不得对外公布磋商的一切内容。</w:t>
      </w:r>
    </w:p>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font-weight : 400">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FrutigerNext LT Light">
    <w:altName w:val="宋体"/>
    <w:panose1 w:val="00000000000000000000"/>
    <w:charset w:val="86"/>
    <w:family w:val="swiss"/>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_x001A_">
    <w:altName w:val="Times New Roman"/>
    <w:panose1 w:val="00000000000000000000"/>
    <w:charset w:val="00"/>
    <w:family w:val="roman"/>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Lucida Grande">
    <w:altName w:val="Arial"/>
    <w:panose1 w:val="020B0600040502020204"/>
    <w:charset w:val="00"/>
    <w:family w:val="auto"/>
    <w:pitch w:val="default"/>
    <w:sig w:usb0="00000000" w:usb1="00000000" w:usb2="00000000" w:usb3="00000000" w:csb0="000001B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0"/>
      </w:rPr>
    </w:pPr>
    <w:r>
      <w:fldChar w:fldCharType="begin"/>
    </w:r>
    <w:r>
      <w:rPr>
        <w:rStyle w:val="60"/>
      </w:rPr>
      <w:instrText xml:space="preserve">PAGE  </w:instrText>
    </w:r>
    <w:r>
      <w:fldChar w:fldCharType="end"/>
    </w:r>
  </w:p>
  <w:p>
    <w:pPr>
      <w:pStyle w:val="39"/>
      <w:ind w:right="360"/>
    </w:pPr>
  </w:p>
  <w:p/>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EIRc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MQhFyQEAAJkDAAAOAAAAAAAAAAEAIAAAAB4BAABkcnMvZTJvRG9j&#10;LnhtbFBLBQYAAAAABgAGAFkBAABZBQAAAAA=&#10;">
              <v:fill on="f" focussize="0,0"/>
              <v:stroke on="f"/>
              <v:imagedata o:title=""/>
              <o:lock v:ext="edit" aspectratio="f"/>
              <v:textbox inset="0mm,0mm,0mm,0mm" style="mso-fit-shape-to-text:t;">
                <w:txbxContent>
                  <w:p>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6Vsg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2TiEqPdd2aJcD8K7Q8ImSm+5wgg7FcaRFXbTeuWd+PNesp5+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AQOlbIAQAAmgMAAA4AAAAAAAAAAQAgAAAAHgEAAGRycy9lMm9Eb2Mu&#10;eG1sUEsFBgAAAAAGAAYAWQEAAFgFAAAAAA==&#10;">
              <v:fill on="f" focussize="0,0"/>
              <v:stroke on="f"/>
              <v:imagedata o:title=""/>
              <o:lock v:ext="edit" aspectratio="f"/>
              <v:textbox inset="0mm,0mm,0mm,0mm" style="mso-fit-shape-to-text:t;">
                <w:txbxContent>
                  <w:p>
                    <w:pPr>
                      <w:pStyle w:val="39"/>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aNYcg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B2jWHIAQAAmgMAAA4AAAAAAAAAAQAgAAAAHgEAAGRycy9lMm9Eb2Mu&#10;eG1sUEsFBgAAAAAGAAYAWQEAAFgFAAAAAA==&#10;">
              <v:fill on="f" focussize="0,0"/>
              <v:stroke on="f"/>
              <v:imagedata o:title=""/>
              <o:lock v:ext="edit" aspectratio="f"/>
              <v:textbox inset="0mm,0mm,0mm,0mm" style="mso-fit-shape-to-text:t;">
                <w:txbxContent>
                  <w:p>
                    <w:pPr>
                      <w:pStyle w:val="3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1UOc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2FJieMWJ37++eP868/593dy&#10;nfXpA9SY9hAwMQ0f/IC5sx/QmWkPKtr8RUIE46ju6aKuHBIR+dFquVpVGBIYmy+Izx6fhwjpo/SW&#10;ZKOhEcdXVOXHO0hj6pySqzl/q40pIzTuPwdiZg/LvY89ZisNu2EitPPtCfn0OPmGOlx0Sswnh8Lm&#10;JZmNOBu72TiEqPdd2aJcD8L7Q8ImSm+5wgg7FcaRFXbTeuWd+Pdesh5/qc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DdVDnIAQAAmgMAAA4AAAAAAAAAAQAgAAAAHgEAAGRycy9lMm9Eb2Mu&#10;eG1sUEsFBgAAAAAGAAYAWQEAAFgFAAAAAA==&#10;">
              <v:fill on="f" focussize="0,0"/>
              <v:stroke on="f"/>
              <v:imagedata o:title=""/>
              <o:lock v:ext="edit" aspectratio="f"/>
              <v:textbox inset="0mm,0mm,0mm,0mm" style="mso-fit-shape-to-text:t;">
                <w:txbxContent>
                  <w:p>
                    <w:pPr>
                      <w:pStyle w:val="3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pP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vjDs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k&#10;b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u+MOyQEAAJoDAAAOAAAAAAAAAAEAIAAAAB4BAABkcnMvZTJvRG9j&#10;LnhtbFBLBQYAAAAABgAGAFkBAABZBQAAAAA=&#10;">
              <v:fill on="f" focussize="0,0"/>
              <v:stroke on="f"/>
              <v:imagedata o:title=""/>
              <o:lock v:ext="edit" aspectratio="f"/>
              <v:textbox inset="0mm,0mm,0mm,0mm" style="mso-fit-shape-to-text:t;">
                <w:txbxContent>
                  <w:p>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top w:val="none" w:color="auto" w:sz="0" w:space="0"/>
        <w:left w:val="none" w:color="auto" w:sz="0" w:space="0"/>
        <w:bottom w:val="none" w:color="auto" w:sz="0" w:space="1"/>
        <w:right w:val="none" w:color="auto" w:sz="0" w:space="0"/>
        <w:between w:val="none" w:color="auto" w:sz="0" w:space="0"/>
      </w:pBdr>
      <w:rPr>
        <w:rFonts w:hint="eastAsia"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C0FD1"/>
    <w:multiLevelType w:val="multilevel"/>
    <w:tmpl w:val="027C0FD1"/>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pStyle w:val="478"/>
      <w:lvlText w:val="%1.%2.%3.%4.%5.%6.%7.%8.%9."/>
      <w:lvlJc w:val="left"/>
      <w:pPr>
        <w:tabs>
          <w:tab w:val="left" w:pos="1559"/>
        </w:tabs>
        <w:ind w:left="1559" w:hanging="1559"/>
      </w:pPr>
      <w:rPr>
        <w:rFonts w:hint="eastAsia"/>
      </w:rPr>
    </w:lvl>
  </w:abstractNum>
  <w:abstractNum w:abstractNumId="1">
    <w:nsid w:val="115801B5"/>
    <w:multiLevelType w:val="multilevel"/>
    <w:tmpl w:val="115801B5"/>
    <w:lvl w:ilvl="0" w:tentative="0">
      <w:start w:val="1"/>
      <w:numFmt w:val="decimal"/>
      <w:pStyle w:val="47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EC9440B"/>
    <w:multiLevelType w:val="multilevel"/>
    <w:tmpl w:val="1EC9440B"/>
    <w:lvl w:ilvl="0" w:tentative="0">
      <w:start w:val="1"/>
      <w:numFmt w:val="decimal"/>
      <w:pStyle w:val="60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23466618"/>
    <w:multiLevelType w:val="multilevel"/>
    <w:tmpl w:val="23466618"/>
    <w:lvl w:ilvl="0" w:tentative="0">
      <w:start w:val="1"/>
      <w:numFmt w:val="decimal"/>
      <w:pStyle w:val="572"/>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5DE29EA"/>
    <w:multiLevelType w:val="singleLevel"/>
    <w:tmpl w:val="25DE29EA"/>
    <w:lvl w:ilvl="0" w:tentative="0">
      <w:start w:val="7"/>
      <w:numFmt w:val="chineseCounting"/>
      <w:suff w:val="nothing"/>
      <w:lvlText w:val="%1、"/>
      <w:lvlJc w:val="left"/>
      <w:rPr>
        <w:rFonts w:hint="eastAsia"/>
      </w:rPr>
    </w:lvl>
  </w:abstractNum>
  <w:abstractNum w:abstractNumId="5">
    <w:nsid w:val="2B8C6822"/>
    <w:multiLevelType w:val="multilevel"/>
    <w:tmpl w:val="2B8C6822"/>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b w:val="0"/>
        <w:bCs/>
      </w:rPr>
    </w:lvl>
    <w:lvl w:ilvl="2" w:tentative="0">
      <w:start w:val="1"/>
      <w:numFmt w:val="decimal"/>
      <w:pStyle w:val="49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F8D6FBB"/>
    <w:multiLevelType w:val="multilevel"/>
    <w:tmpl w:val="2F8D6FBB"/>
    <w:lvl w:ilvl="0" w:tentative="0">
      <w:start w:val="1"/>
      <w:numFmt w:val="decimal"/>
      <w:pStyle w:val="584"/>
      <w:lvlText w:val="%1."/>
      <w:legacy w:legacy="1" w:legacySpace="0" w:legacyIndent="360"/>
      <w:lvlJc w:val="left"/>
      <w:rPr>
        <w:rFonts w:hint="eastAsia" w:ascii="等线 Light" w:hAnsi="等线 Light" w:eastAsia="等线 Light"/>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7">
    <w:nsid w:val="52F84DAB"/>
    <w:multiLevelType w:val="multilevel"/>
    <w:tmpl w:val="52F84DAB"/>
    <w:lvl w:ilvl="0" w:tentative="0">
      <w:start w:val="1"/>
      <w:numFmt w:val="decimal"/>
      <w:lvlText w:val="%1"/>
      <w:lvlJc w:val="left"/>
      <w:pPr>
        <w:tabs>
          <w:tab w:val="left" w:pos="425"/>
        </w:tabs>
        <w:ind w:left="425" w:hanging="425"/>
      </w:pPr>
      <w:rPr>
        <w:rFonts w:hint="eastAsia"/>
      </w:rPr>
    </w:lvl>
    <w:lvl w:ilvl="1" w:tentative="0">
      <w:start w:val="1"/>
      <w:numFmt w:val="chineseCountingThousand"/>
      <w:pStyle w:val="475"/>
      <w:lvlText w:val="(%2)"/>
      <w:lvlJc w:val="left"/>
      <w:pPr>
        <w:tabs>
          <w:tab w:val="left" w:pos="567"/>
        </w:tabs>
        <w:ind w:left="567" w:hanging="567"/>
      </w:pPr>
      <w:rPr>
        <w:rFonts w:hint="eastAsia"/>
        <w:b w:val="0"/>
        <w:bCs/>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572D1240"/>
    <w:multiLevelType w:val="multilevel"/>
    <w:tmpl w:val="572D1240"/>
    <w:lvl w:ilvl="0" w:tentative="0">
      <w:start w:val="1"/>
      <w:numFmt w:val="decimal"/>
      <w:pStyle w:val="525"/>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B4DB846"/>
    <w:multiLevelType w:val="singleLevel"/>
    <w:tmpl w:val="5B4DB846"/>
    <w:lvl w:ilvl="0" w:tentative="0">
      <w:start w:val="6"/>
      <w:numFmt w:val="chineseCounting"/>
      <w:pStyle w:val="18"/>
      <w:suff w:val="space"/>
      <w:lvlText w:val="第%1条"/>
      <w:lvlJc w:val="left"/>
    </w:lvl>
  </w:abstractNum>
  <w:abstractNum w:abstractNumId="10">
    <w:nsid w:val="69D4D353"/>
    <w:multiLevelType w:val="singleLevel"/>
    <w:tmpl w:val="69D4D353"/>
    <w:lvl w:ilvl="0" w:tentative="0">
      <w:start w:val="1"/>
      <w:numFmt w:val="decimal"/>
      <w:suff w:val="nothing"/>
      <w:lvlText w:val="（%1）"/>
      <w:lvlJc w:val="left"/>
    </w:lvl>
  </w:abstractNum>
  <w:abstractNum w:abstractNumId="11">
    <w:nsid w:val="7E8B76FF"/>
    <w:multiLevelType w:val="multilevel"/>
    <w:tmpl w:val="7E8B76FF"/>
    <w:lvl w:ilvl="0" w:tentative="0">
      <w:start w:val="1"/>
      <w:numFmt w:val="decimal"/>
      <w:pStyle w:val="28"/>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color w:val="auto"/>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11"/>
  </w:num>
  <w:num w:numId="3">
    <w:abstractNumId w:val="10"/>
  </w:num>
  <w:num w:numId="4">
    <w:abstractNumId w:val="7"/>
  </w:num>
  <w:num w:numId="5">
    <w:abstractNumId w:val="1"/>
  </w:num>
  <w:num w:numId="6">
    <w:abstractNumId w:val="0"/>
  </w:num>
  <w:num w:numId="7">
    <w:abstractNumId w:val="5"/>
  </w:num>
  <w:num w:numId="8">
    <w:abstractNumId w:val="8"/>
  </w:num>
  <w:num w:numId="9">
    <w:abstractNumId w:val="3"/>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zhkZTNmZjYxZDM3ZTI3Y2U4MTU5MzRiOTg1MWQifQ=="/>
  </w:docVars>
  <w:rsids>
    <w:rsidRoot w:val="00172A27"/>
    <w:rsid w:val="0000033B"/>
    <w:rsid w:val="000004D8"/>
    <w:rsid w:val="00000A48"/>
    <w:rsid w:val="00001384"/>
    <w:rsid w:val="0000145D"/>
    <w:rsid w:val="000014AA"/>
    <w:rsid w:val="00001F26"/>
    <w:rsid w:val="0000293E"/>
    <w:rsid w:val="000031BA"/>
    <w:rsid w:val="000033DB"/>
    <w:rsid w:val="000036B5"/>
    <w:rsid w:val="00003B3D"/>
    <w:rsid w:val="00004156"/>
    <w:rsid w:val="00004AC9"/>
    <w:rsid w:val="00004D05"/>
    <w:rsid w:val="00004F7C"/>
    <w:rsid w:val="00005043"/>
    <w:rsid w:val="00005297"/>
    <w:rsid w:val="00005507"/>
    <w:rsid w:val="00005BF8"/>
    <w:rsid w:val="00006195"/>
    <w:rsid w:val="00006738"/>
    <w:rsid w:val="00007089"/>
    <w:rsid w:val="00007345"/>
    <w:rsid w:val="00007716"/>
    <w:rsid w:val="000079EA"/>
    <w:rsid w:val="00007A04"/>
    <w:rsid w:val="00007C62"/>
    <w:rsid w:val="00007DA6"/>
    <w:rsid w:val="00010367"/>
    <w:rsid w:val="0001123B"/>
    <w:rsid w:val="000112F4"/>
    <w:rsid w:val="000113B2"/>
    <w:rsid w:val="000113BF"/>
    <w:rsid w:val="00011BA9"/>
    <w:rsid w:val="000122D0"/>
    <w:rsid w:val="00012E7B"/>
    <w:rsid w:val="0001406B"/>
    <w:rsid w:val="00014400"/>
    <w:rsid w:val="000145A6"/>
    <w:rsid w:val="00014E7F"/>
    <w:rsid w:val="00015044"/>
    <w:rsid w:val="00015146"/>
    <w:rsid w:val="00015373"/>
    <w:rsid w:val="0001553F"/>
    <w:rsid w:val="000156AA"/>
    <w:rsid w:val="00015725"/>
    <w:rsid w:val="00015822"/>
    <w:rsid w:val="00015ECB"/>
    <w:rsid w:val="00016090"/>
    <w:rsid w:val="00016149"/>
    <w:rsid w:val="00016244"/>
    <w:rsid w:val="00016657"/>
    <w:rsid w:val="00016E51"/>
    <w:rsid w:val="000177BE"/>
    <w:rsid w:val="00017E79"/>
    <w:rsid w:val="00017FAD"/>
    <w:rsid w:val="00020534"/>
    <w:rsid w:val="00020BBC"/>
    <w:rsid w:val="00021475"/>
    <w:rsid w:val="00021E70"/>
    <w:rsid w:val="00021F28"/>
    <w:rsid w:val="00021FDC"/>
    <w:rsid w:val="00022434"/>
    <w:rsid w:val="00022A75"/>
    <w:rsid w:val="00022B36"/>
    <w:rsid w:val="00022F7B"/>
    <w:rsid w:val="00023124"/>
    <w:rsid w:val="0002334F"/>
    <w:rsid w:val="00023385"/>
    <w:rsid w:val="0002437D"/>
    <w:rsid w:val="0002493B"/>
    <w:rsid w:val="00024A55"/>
    <w:rsid w:val="00024BD4"/>
    <w:rsid w:val="00024E24"/>
    <w:rsid w:val="000251B9"/>
    <w:rsid w:val="000255AC"/>
    <w:rsid w:val="00026007"/>
    <w:rsid w:val="00026292"/>
    <w:rsid w:val="000267B4"/>
    <w:rsid w:val="00026ABF"/>
    <w:rsid w:val="00027107"/>
    <w:rsid w:val="0002720D"/>
    <w:rsid w:val="00027587"/>
    <w:rsid w:val="00027D04"/>
    <w:rsid w:val="00027E42"/>
    <w:rsid w:val="0003121B"/>
    <w:rsid w:val="00031793"/>
    <w:rsid w:val="00031AC9"/>
    <w:rsid w:val="00031C8B"/>
    <w:rsid w:val="00031C8E"/>
    <w:rsid w:val="00031DD4"/>
    <w:rsid w:val="00031F4C"/>
    <w:rsid w:val="00031F9D"/>
    <w:rsid w:val="00032201"/>
    <w:rsid w:val="0003229F"/>
    <w:rsid w:val="000322CF"/>
    <w:rsid w:val="00032384"/>
    <w:rsid w:val="00033203"/>
    <w:rsid w:val="000339C4"/>
    <w:rsid w:val="00033DEF"/>
    <w:rsid w:val="00033FFB"/>
    <w:rsid w:val="0003410A"/>
    <w:rsid w:val="0003466F"/>
    <w:rsid w:val="0003490A"/>
    <w:rsid w:val="00034E66"/>
    <w:rsid w:val="000351A9"/>
    <w:rsid w:val="0003573C"/>
    <w:rsid w:val="000359DE"/>
    <w:rsid w:val="00035B8C"/>
    <w:rsid w:val="00035C80"/>
    <w:rsid w:val="00036A97"/>
    <w:rsid w:val="0003759C"/>
    <w:rsid w:val="00040187"/>
    <w:rsid w:val="0004081E"/>
    <w:rsid w:val="00040A10"/>
    <w:rsid w:val="00040B47"/>
    <w:rsid w:val="000419FD"/>
    <w:rsid w:val="00041BDE"/>
    <w:rsid w:val="00041E42"/>
    <w:rsid w:val="0004217E"/>
    <w:rsid w:val="000427DE"/>
    <w:rsid w:val="00042BF1"/>
    <w:rsid w:val="00042D41"/>
    <w:rsid w:val="00043BBF"/>
    <w:rsid w:val="00044171"/>
    <w:rsid w:val="00044272"/>
    <w:rsid w:val="000444C8"/>
    <w:rsid w:val="000449CB"/>
    <w:rsid w:val="00044E06"/>
    <w:rsid w:val="0004507A"/>
    <w:rsid w:val="00045120"/>
    <w:rsid w:val="000451E8"/>
    <w:rsid w:val="0004527C"/>
    <w:rsid w:val="000461E4"/>
    <w:rsid w:val="000463B3"/>
    <w:rsid w:val="0004682F"/>
    <w:rsid w:val="00046D80"/>
    <w:rsid w:val="00047935"/>
    <w:rsid w:val="000479CD"/>
    <w:rsid w:val="00047B8E"/>
    <w:rsid w:val="00047F1B"/>
    <w:rsid w:val="00051BA1"/>
    <w:rsid w:val="00051C5B"/>
    <w:rsid w:val="00051E3C"/>
    <w:rsid w:val="00051F96"/>
    <w:rsid w:val="00052DE9"/>
    <w:rsid w:val="00053D70"/>
    <w:rsid w:val="00053F7F"/>
    <w:rsid w:val="000541E3"/>
    <w:rsid w:val="000545E2"/>
    <w:rsid w:val="000546A8"/>
    <w:rsid w:val="00054B86"/>
    <w:rsid w:val="00055978"/>
    <w:rsid w:val="000561E3"/>
    <w:rsid w:val="000564D7"/>
    <w:rsid w:val="00056A02"/>
    <w:rsid w:val="00056BD4"/>
    <w:rsid w:val="000571C6"/>
    <w:rsid w:val="00057559"/>
    <w:rsid w:val="00057573"/>
    <w:rsid w:val="00060006"/>
    <w:rsid w:val="000604BB"/>
    <w:rsid w:val="00060AA1"/>
    <w:rsid w:val="00061B6F"/>
    <w:rsid w:val="00061F9E"/>
    <w:rsid w:val="0006202C"/>
    <w:rsid w:val="00062C32"/>
    <w:rsid w:val="000637E4"/>
    <w:rsid w:val="0006396E"/>
    <w:rsid w:val="00063B2A"/>
    <w:rsid w:val="00063CB4"/>
    <w:rsid w:val="00064AB0"/>
    <w:rsid w:val="00065283"/>
    <w:rsid w:val="000652FC"/>
    <w:rsid w:val="00065C22"/>
    <w:rsid w:val="00065CBF"/>
    <w:rsid w:val="00065F1F"/>
    <w:rsid w:val="00066C42"/>
    <w:rsid w:val="00066D70"/>
    <w:rsid w:val="00066FCB"/>
    <w:rsid w:val="0006748D"/>
    <w:rsid w:val="00067973"/>
    <w:rsid w:val="00067CF6"/>
    <w:rsid w:val="00067DFE"/>
    <w:rsid w:val="00067FF3"/>
    <w:rsid w:val="00070787"/>
    <w:rsid w:val="00070DCB"/>
    <w:rsid w:val="00071F67"/>
    <w:rsid w:val="00072C3B"/>
    <w:rsid w:val="00072C8D"/>
    <w:rsid w:val="000732DB"/>
    <w:rsid w:val="0007396A"/>
    <w:rsid w:val="000739F4"/>
    <w:rsid w:val="00073C18"/>
    <w:rsid w:val="00073EE6"/>
    <w:rsid w:val="0007409C"/>
    <w:rsid w:val="000741A0"/>
    <w:rsid w:val="0007421C"/>
    <w:rsid w:val="0007533A"/>
    <w:rsid w:val="0007560D"/>
    <w:rsid w:val="00075B43"/>
    <w:rsid w:val="00077DA2"/>
    <w:rsid w:val="0008029C"/>
    <w:rsid w:val="000806E4"/>
    <w:rsid w:val="000807BB"/>
    <w:rsid w:val="00080BB6"/>
    <w:rsid w:val="00081050"/>
    <w:rsid w:val="000810B6"/>
    <w:rsid w:val="00081285"/>
    <w:rsid w:val="00081815"/>
    <w:rsid w:val="00081A68"/>
    <w:rsid w:val="00081D58"/>
    <w:rsid w:val="000821A4"/>
    <w:rsid w:val="00082411"/>
    <w:rsid w:val="000828B9"/>
    <w:rsid w:val="00082F8C"/>
    <w:rsid w:val="00083591"/>
    <w:rsid w:val="000835A2"/>
    <w:rsid w:val="00083639"/>
    <w:rsid w:val="000837B8"/>
    <w:rsid w:val="0008386F"/>
    <w:rsid w:val="00083DC1"/>
    <w:rsid w:val="000840C7"/>
    <w:rsid w:val="00084DC3"/>
    <w:rsid w:val="00085354"/>
    <w:rsid w:val="00085849"/>
    <w:rsid w:val="00085C17"/>
    <w:rsid w:val="00085F66"/>
    <w:rsid w:val="00085F9E"/>
    <w:rsid w:val="00086402"/>
    <w:rsid w:val="000867FB"/>
    <w:rsid w:val="00087168"/>
    <w:rsid w:val="00087178"/>
    <w:rsid w:val="000871F0"/>
    <w:rsid w:val="000872C7"/>
    <w:rsid w:val="00087A37"/>
    <w:rsid w:val="00090491"/>
    <w:rsid w:val="0009129F"/>
    <w:rsid w:val="0009135D"/>
    <w:rsid w:val="000917F4"/>
    <w:rsid w:val="000920E2"/>
    <w:rsid w:val="000921FA"/>
    <w:rsid w:val="000922C3"/>
    <w:rsid w:val="00092B8C"/>
    <w:rsid w:val="00092D0D"/>
    <w:rsid w:val="000931C5"/>
    <w:rsid w:val="00093438"/>
    <w:rsid w:val="000948F2"/>
    <w:rsid w:val="00094905"/>
    <w:rsid w:val="00094CA6"/>
    <w:rsid w:val="00094D9E"/>
    <w:rsid w:val="00094DCA"/>
    <w:rsid w:val="00094E96"/>
    <w:rsid w:val="00094F30"/>
    <w:rsid w:val="0009552D"/>
    <w:rsid w:val="00095DF6"/>
    <w:rsid w:val="00095F0E"/>
    <w:rsid w:val="00096BAF"/>
    <w:rsid w:val="000977FF"/>
    <w:rsid w:val="000978E8"/>
    <w:rsid w:val="00097BC7"/>
    <w:rsid w:val="00097E30"/>
    <w:rsid w:val="000A064E"/>
    <w:rsid w:val="000A0861"/>
    <w:rsid w:val="000A0979"/>
    <w:rsid w:val="000A0A86"/>
    <w:rsid w:val="000A1B6B"/>
    <w:rsid w:val="000A1C7A"/>
    <w:rsid w:val="000A1DB9"/>
    <w:rsid w:val="000A1F95"/>
    <w:rsid w:val="000A22E0"/>
    <w:rsid w:val="000A37D9"/>
    <w:rsid w:val="000A427B"/>
    <w:rsid w:val="000A5080"/>
    <w:rsid w:val="000A5107"/>
    <w:rsid w:val="000A5697"/>
    <w:rsid w:val="000A5857"/>
    <w:rsid w:val="000A58F0"/>
    <w:rsid w:val="000A5AD3"/>
    <w:rsid w:val="000A5B72"/>
    <w:rsid w:val="000A5F92"/>
    <w:rsid w:val="000A648B"/>
    <w:rsid w:val="000A6D3C"/>
    <w:rsid w:val="000A6F71"/>
    <w:rsid w:val="000A70FF"/>
    <w:rsid w:val="000A74D3"/>
    <w:rsid w:val="000A7ECF"/>
    <w:rsid w:val="000A7F63"/>
    <w:rsid w:val="000B0338"/>
    <w:rsid w:val="000B04A8"/>
    <w:rsid w:val="000B0C76"/>
    <w:rsid w:val="000B132D"/>
    <w:rsid w:val="000B13DB"/>
    <w:rsid w:val="000B145F"/>
    <w:rsid w:val="000B211C"/>
    <w:rsid w:val="000B236E"/>
    <w:rsid w:val="000B2756"/>
    <w:rsid w:val="000B3481"/>
    <w:rsid w:val="000B3909"/>
    <w:rsid w:val="000B3AED"/>
    <w:rsid w:val="000B3FF8"/>
    <w:rsid w:val="000B429E"/>
    <w:rsid w:val="000B56C1"/>
    <w:rsid w:val="000B5759"/>
    <w:rsid w:val="000B5D35"/>
    <w:rsid w:val="000B61F5"/>
    <w:rsid w:val="000B6345"/>
    <w:rsid w:val="000B668E"/>
    <w:rsid w:val="000B682D"/>
    <w:rsid w:val="000B694F"/>
    <w:rsid w:val="000B6B79"/>
    <w:rsid w:val="000B72C4"/>
    <w:rsid w:val="000B742F"/>
    <w:rsid w:val="000B7F0F"/>
    <w:rsid w:val="000B7FD1"/>
    <w:rsid w:val="000C07BA"/>
    <w:rsid w:val="000C0FCF"/>
    <w:rsid w:val="000C104B"/>
    <w:rsid w:val="000C1875"/>
    <w:rsid w:val="000C1D23"/>
    <w:rsid w:val="000C29A0"/>
    <w:rsid w:val="000C2DA6"/>
    <w:rsid w:val="000C2FE8"/>
    <w:rsid w:val="000C3106"/>
    <w:rsid w:val="000C39A6"/>
    <w:rsid w:val="000C407F"/>
    <w:rsid w:val="000C4728"/>
    <w:rsid w:val="000C4965"/>
    <w:rsid w:val="000C4B4C"/>
    <w:rsid w:val="000C4F9C"/>
    <w:rsid w:val="000C52E5"/>
    <w:rsid w:val="000C5989"/>
    <w:rsid w:val="000C5992"/>
    <w:rsid w:val="000C5BC6"/>
    <w:rsid w:val="000C5C86"/>
    <w:rsid w:val="000C66C4"/>
    <w:rsid w:val="000C673C"/>
    <w:rsid w:val="000C6D36"/>
    <w:rsid w:val="000C7D7E"/>
    <w:rsid w:val="000D041A"/>
    <w:rsid w:val="000D0C5F"/>
    <w:rsid w:val="000D1B62"/>
    <w:rsid w:val="000D1BAD"/>
    <w:rsid w:val="000D276F"/>
    <w:rsid w:val="000D27B9"/>
    <w:rsid w:val="000D2D6D"/>
    <w:rsid w:val="000D31D2"/>
    <w:rsid w:val="000D3815"/>
    <w:rsid w:val="000D397B"/>
    <w:rsid w:val="000D3999"/>
    <w:rsid w:val="000D4302"/>
    <w:rsid w:val="000D4367"/>
    <w:rsid w:val="000D47D4"/>
    <w:rsid w:val="000D496A"/>
    <w:rsid w:val="000D4B38"/>
    <w:rsid w:val="000D4F7D"/>
    <w:rsid w:val="000D4F89"/>
    <w:rsid w:val="000D531F"/>
    <w:rsid w:val="000D5598"/>
    <w:rsid w:val="000D59BD"/>
    <w:rsid w:val="000D5A0D"/>
    <w:rsid w:val="000D6224"/>
    <w:rsid w:val="000D65DD"/>
    <w:rsid w:val="000D6D96"/>
    <w:rsid w:val="000D7621"/>
    <w:rsid w:val="000D7827"/>
    <w:rsid w:val="000D7CE2"/>
    <w:rsid w:val="000D7F19"/>
    <w:rsid w:val="000E0FC8"/>
    <w:rsid w:val="000E1CEA"/>
    <w:rsid w:val="000E2758"/>
    <w:rsid w:val="000E2AA6"/>
    <w:rsid w:val="000E2B76"/>
    <w:rsid w:val="000E2C5A"/>
    <w:rsid w:val="000E2EE2"/>
    <w:rsid w:val="000E3457"/>
    <w:rsid w:val="000E365C"/>
    <w:rsid w:val="000E3B73"/>
    <w:rsid w:val="000E3C04"/>
    <w:rsid w:val="000E3DE6"/>
    <w:rsid w:val="000E49C8"/>
    <w:rsid w:val="000E4C43"/>
    <w:rsid w:val="000E58B8"/>
    <w:rsid w:val="000E5AEA"/>
    <w:rsid w:val="000E5C7B"/>
    <w:rsid w:val="000E6E4B"/>
    <w:rsid w:val="000E72B3"/>
    <w:rsid w:val="000E7925"/>
    <w:rsid w:val="000E7B98"/>
    <w:rsid w:val="000F0799"/>
    <w:rsid w:val="000F0F69"/>
    <w:rsid w:val="000F21B9"/>
    <w:rsid w:val="000F22DD"/>
    <w:rsid w:val="000F2761"/>
    <w:rsid w:val="000F286D"/>
    <w:rsid w:val="000F35D4"/>
    <w:rsid w:val="000F4E93"/>
    <w:rsid w:val="000F4FB2"/>
    <w:rsid w:val="000F537F"/>
    <w:rsid w:val="000F557C"/>
    <w:rsid w:val="000F5791"/>
    <w:rsid w:val="000F60CF"/>
    <w:rsid w:val="000F64E9"/>
    <w:rsid w:val="000F7161"/>
    <w:rsid w:val="000F7666"/>
    <w:rsid w:val="000F7B5B"/>
    <w:rsid w:val="000F7D1C"/>
    <w:rsid w:val="000F7EDC"/>
    <w:rsid w:val="001002E5"/>
    <w:rsid w:val="001006A2"/>
    <w:rsid w:val="00100C14"/>
    <w:rsid w:val="0010143B"/>
    <w:rsid w:val="00101670"/>
    <w:rsid w:val="00101956"/>
    <w:rsid w:val="00101A85"/>
    <w:rsid w:val="00101D6C"/>
    <w:rsid w:val="0010230B"/>
    <w:rsid w:val="001025F8"/>
    <w:rsid w:val="001026AB"/>
    <w:rsid w:val="001028C1"/>
    <w:rsid w:val="001028E9"/>
    <w:rsid w:val="00102F08"/>
    <w:rsid w:val="00103335"/>
    <w:rsid w:val="00103D0D"/>
    <w:rsid w:val="00104291"/>
    <w:rsid w:val="0010453C"/>
    <w:rsid w:val="00104C62"/>
    <w:rsid w:val="001053CD"/>
    <w:rsid w:val="0010609D"/>
    <w:rsid w:val="00106E59"/>
    <w:rsid w:val="001078B6"/>
    <w:rsid w:val="00107F3C"/>
    <w:rsid w:val="0011074A"/>
    <w:rsid w:val="00110C8C"/>
    <w:rsid w:val="00110E26"/>
    <w:rsid w:val="00111279"/>
    <w:rsid w:val="001115F8"/>
    <w:rsid w:val="0011162B"/>
    <w:rsid w:val="001120DC"/>
    <w:rsid w:val="0011295D"/>
    <w:rsid w:val="00112EC1"/>
    <w:rsid w:val="00113510"/>
    <w:rsid w:val="001135C9"/>
    <w:rsid w:val="00113D18"/>
    <w:rsid w:val="001141BF"/>
    <w:rsid w:val="001146E7"/>
    <w:rsid w:val="00114788"/>
    <w:rsid w:val="001149CF"/>
    <w:rsid w:val="00114AA2"/>
    <w:rsid w:val="00115A04"/>
    <w:rsid w:val="0011623A"/>
    <w:rsid w:val="0011650B"/>
    <w:rsid w:val="00116FBB"/>
    <w:rsid w:val="0011709A"/>
    <w:rsid w:val="00117224"/>
    <w:rsid w:val="0011724A"/>
    <w:rsid w:val="00117A79"/>
    <w:rsid w:val="00117C2A"/>
    <w:rsid w:val="00117EB4"/>
    <w:rsid w:val="00121175"/>
    <w:rsid w:val="00121953"/>
    <w:rsid w:val="00121C23"/>
    <w:rsid w:val="001225A6"/>
    <w:rsid w:val="00122A49"/>
    <w:rsid w:val="00122E40"/>
    <w:rsid w:val="0012334E"/>
    <w:rsid w:val="001233FC"/>
    <w:rsid w:val="00123F1F"/>
    <w:rsid w:val="00124062"/>
    <w:rsid w:val="00124D05"/>
    <w:rsid w:val="00124EF1"/>
    <w:rsid w:val="00125571"/>
    <w:rsid w:val="00125903"/>
    <w:rsid w:val="00125A9F"/>
    <w:rsid w:val="00125B8B"/>
    <w:rsid w:val="00125CCB"/>
    <w:rsid w:val="001264E3"/>
    <w:rsid w:val="0012672B"/>
    <w:rsid w:val="00126B39"/>
    <w:rsid w:val="001274AC"/>
    <w:rsid w:val="0012755A"/>
    <w:rsid w:val="00127EA3"/>
    <w:rsid w:val="001303FB"/>
    <w:rsid w:val="001304D7"/>
    <w:rsid w:val="00130AC3"/>
    <w:rsid w:val="00130D20"/>
    <w:rsid w:val="00130EBF"/>
    <w:rsid w:val="001310D2"/>
    <w:rsid w:val="00132314"/>
    <w:rsid w:val="00132865"/>
    <w:rsid w:val="00132A88"/>
    <w:rsid w:val="00132B3D"/>
    <w:rsid w:val="00132C37"/>
    <w:rsid w:val="00132FAC"/>
    <w:rsid w:val="00133656"/>
    <w:rsid w:val="00133EAC"/>
    <w:rsid w:val="001340AF"/>
    <w:rsid w:val="00134231"/>
    <w:rsid w:val="001344D2"/>
    <w:rsid w:val="00134805"/>
    <w:rsid w:val="00134825"/>
    <w:rsid w:val="00134C60"/>
    <w:rsid w:val="00134EE3"/>
    <w:rsid w:val="00135440"/>
    <w:rsid w:val="001357B0"/>
    <w:rsid w:val="00135CA5"/>
    <w:rsid w:val="00136169"/>
    <w:rsid w:val="00136BC0"/>
    <w:rsid w:val="00137754"/>
    <w:rsid w:val="00137ADF"/>
    <w:rsid w:val="00137E4B"/>
    <w:rsid w:val="001400E8"/>
    <w:rsid w:val="0014058A"/>
    <w:rsid w:val="00140C5B"/>
    <w:rsid w:val="00141CF9"/>
    <w:rsid w:val="00141DFE"/>
    <w:rsid w:val="00142637"/>
    <w:rsid w:val="00142706"/>
    <w:rsid w:val="0014313F"/>
    <w:rsid w:val="00144346"/>
    <w:rsid w:val="0014446F"/>
    <w:rsid w:val="0014494B"/>
    <w:rsid w:val="001451E9"/>
    <w:rsid w:val="00145C78"/>
    <w:rsid w:val="00145D49"/>
    <w:rsid w:val="001460CA"/>
    <w:rsid w:val="001465D5"/>
    <w:rsid w:val="00146683"/>
    <w:rsid w:val="001467F4"/>
    <w:rsid w:val="00146A96"/>
    <w:rsid w:val="00146ADE"/>
    <w:rsid w:val="00146D65"/>
    <w:rsid w:val="00146E1B"/>
    <w:rsid w:val="001474EC"/>
    <w:rsid w:val="00147556"/>
    <w:rsid w:val="00147650"/>
    <w:rsid w:val="001479ED"/>
    <w:rsid w:val="00147E70"/>
    <w:rsid w:val="00147F69"/>
    <w:rsid w:val="00150960"/>
    <w:rsid w:val="00151435"/>
    <w:rsid w:val="00151A10"/>
    <w:rsid w:val="0015220A"/>
    <w:rsid w:val="0015293F"/>
    <w:rsid w:val="001529C8"/>
    <w:rsid w:val="00153024"/>
    <w:rsid w:val="0015371A"/>
    <w:rsid w:val="001539C6"/>
    <w:rsid w:val="00153B6D"/>
    <w:rsid w:val="00153D6C"/>
    <w:rsid w:val="00153ED3"/>
    <w:rsid w:val="00154196"/>
    <w:rsid w:val="00154326"/>
    <w:rsid w:val="001543BD"/>
    <w:rsid w:val="0015503D"/>
    <w:rsid w:val="0015505E"/>
    <w:rsid w:val="001551AD"/>
    <w:rsid w:val="0015540A"/>
    <w:rsid w:val="00155433"/>
    <w:rsid w:val="001559AE"/>
    <w:rsid w:val="00155FEA"/>
    <w:rsid w:val="00156123"/>
    <w:rsid w:val="001561D0"/>
    <w:rsid w:val="0015639B"/>
    <w:rsid w:val="0015664E"/>
    <w:rsid w:val="00156D8D"/>
    <w:rsid w:val="001570B7"/>
    <w:rsid w:val="00157C10"/>
    <w:rsid w:val="001608D2"/>
    <w:rsid w:val="0016105B"/>
    <w:rsid w:val="00161207"/>
    <w:rsid w:val="00161B8F"/>
    <w:rsid w:val="00161BE9"/>
    <w:rsid w:val="00161CAF"/>
    <w:rsid w:val="0016297E"/>
    <w:rsid w:val="0016319F"/>
    <w:rsid w:val="00163830"/>
    <w:rsid w:val="00163B8C"/>
    <w:rsid w:val="00163E58"/>
    <w:rsid w:val="00164D33"/>
    <w:rsid w:val="001654BE"/>
    <w:rsid w:val="00165927"/>
    <w:rsid w:val="00165C5F"/>
    <w:rsid w:val="00165E7B"/>
    <w:rsid w:val="00166235"/>
    <w:rsid w:val="001666F0"/>
    <w:rsid w:val="0016682D"/>
    <w:rsid w:val="0016747D"/>
    <w:rsid w:val="00167BE8"/>
    <w:rsid w:val="00170B25"/>
    <w:rsid w:val="00170E71"/>
    <w:rsid w:val="001716A2"/>
    <w:rsid w:val="001716E1"/>
    <w:rsid w:val="00172134"/>
    <w:rsid w:val="001722E3"/>
    <w:rsid w:val="0017378F"/>
    <w:rsid w:val="00173AD1"/>
    <w:rsid w:val="00173B61"/>
    <w:rsid w:val="001740B8"/>
    <w:rsid w:val="00174562"/>
    <w:rsid w:val="001747F1"/>
    <w:rsid w:val="001758AF"/>
    <w:rsid w:val="001759C2"/>
    <w:rsid w:val="00176209"/>
    <w:rsid w:val="001769D4"/>
    <w:rsid w:val="00176F3C"/>
    <w:rsid w:val="0017742F"/>
    <w:rsid w:val="00177CEB"/>
    <w:rsid w:val="00177E34"/>
    <w:rsid w:val="0018028F"/>
    <w:rsid w:val="00180932"/>
    <w:rsid w:val="0018094A"/>
    <w:rsid w:val="001816DA"/>
    <w:rsid w:val="001819D3"/>
    <w:rsid w:val="00181FCD"/>
    <w:rsid w:val="001824B6"/>
    <w:rsid w:val="00182556"/>
    <w:rsid w:val="00182710"/>
    <w:rsid w:val="001830BD"/>
    <w:rsid w:val="00183346"/>
    <w:rsid w:val="0018339C"/>
    <w:rsid w:val="00183808"/>
    <w:rsid w:val="00183A52"/>
    <w:rsid w:val="00183B9D"/>
    <w:rsid w:val="001840E3"/>
    <w:rsid w:val="00184966"/>
    <w:rsid w:val="00184D80"/>
    <w:rsid w:val="00186C70"/>
    <w:rsid w:val="00187135"/>
    <w:rsid w:val="00187648"/>
    <w:rsid w:val="00187AE6"/>
    <w:rsid w:val="00190327"/>
    <w:rsid w:val="00190545"/>
    <w:rsid w:val="0019077E"/>
    <w:rsid w:val="00190DE1"/>
    <w:rsid w:val="001920B2"/>
    <w:rsid w:val="0019253B"/>
    <w:rsid w:val="00192BBA"/>
    <w:rsid w:val="00192F22"/>
    <w:rsid w:val="00193399"/>
    <w:rsid w:val="0019341B"/>
    <w:rsid w:val="001934ED"/>
    <w:rsid w:val="00193DED"/>
    <w:rsid w:val="00193F95"/>
    <w:rsid w:val="00194157"/>
    <w:rsid w:val="0019469A"/>
    <w:rsid w:val="001947F9"/>
    <w:rsid w:val="00194A7F"/>
    <w:rsid w:val="00194AF1"/>
    <w:rsid w:val="00194BE6"/>
    <w:rsid w:val="00194F5F"/>
    <w:rsid w:val="0019508D"/>
    <w:rsid w:val="001959BB"/>
    <w:rsid w:val="00195B8A"/>
    <w:rsid w:val="00196675"/>
    <w:rsid w:val="001966CB"/>
    <w:rsid w:val="001967D7"/>
    <w:rsid w:val="0019690B"/>
    <w:rsid w:val="00196EC7"/>
    <w:rsid w:val="00196F8D"/>
    <w:rsid w:val="001970E5"/>
    <w:rsid w:val="001971A3"/>
    <w:rsid w:val="00197877"/>
    <w:rsid w:val="00197B44"/>
    <w:rsid w:val="00197B87"/>
    <w:rsid w:val="001A021D"/>
    <w:rsid w:val="001A0683"/>
    <w:rsid w:val="001A08D7"/>
    <w:rsid w:val="001A0C41"/>
    <w:rsid w:val="001A1877"/>
    <w:rsid w:val="001A190D"/>
    <w:rsid w:val="001A1B5B"/>
    <w:rsid w:val="001A1CB4"/>
    <w:rsid w:val="001A2173"/>
    <w:rsid w:val="001A2337"/>
    <w:rsid w:val="001A27B5"/>
    <w:rsid w:val="001A2B08"/>
    <w:rsid w:val="001A2DF5"/>
    <w:rsid w:val="001A3B70"/>
    <w:rsid w:val="001A3CCD"/>
    <w:rsid w:val="001A3E41"/>
    <w:rsid w:val="001A41CE"/>
    <w:rsid w:val="001A4283"/>
    <w:rsid w:val="001A4826"/>
    <w:rsid w:val="001A48FA"/>
    <w:rsid w:val="001A4A94"/>
    <w:rsid w:val="001A4B1A"/>
    <w:rsid w:val="001A4FFB"/>
    <w:rsid w:val="001A50E9"/>
    <w:rsid w:val="001A5442"/>
    <w:rsid w:val="001A5889"/>
    <w:rsid w:val="001A59EE"/>
    <w:rsid w:val="001A71D4"/>
    <w:rsid w:val="001A7229"/>
    <w:rsid w:val="001A72AC"/>
    <w:rsid w:val="001A77B4"/>
    <w:rsid w:val="001A7CB5"/>
    <w:rsid w:val="001A7E84"/>
    <w:rsid w:val="001B06B2"/>
    <w:rsid w:val="001B09FA"/>
    <w:rsid w:val="001B0B5C"/>
    <w:rsid w:val="001B15DA"/>
    <w:rsid w:val="001B1BAF"/>
    <w:rsid w:val="001B2047"/>
    <w:rsid w:val="001B20A4"/>
    <w:rsid w:val="001B28AB"/>
    <w:rsid w:val="001B2A24"/>
    <w:rsid w:val="001B30F4"/>
    <w:rsid w:val="001B3519"/>
    <w:rsid w:val="001B3C94"/>
    <w:rsid w:val="001B3DAA"/>
    <w:rsid w:val="001B3E51"/>
    <w:rsid w:val="001B3F27"/>
    <w:rsid w:val="001B3FD4"/>
    <w:rsid w:val="001B5552"/>
    <w:rsid w:val="001B5B2A"/>
    <w:rsid w:val="001B5BAA"/>
    <w:rsid w:val="001B5D39"/>
    <w:rsid w:val="001B678D"/>
    <w:rsid w:val="001B69A3"/>
    <w:rsid w:val="001B6BDC"/>
    <w:rsid w:val="001B6C92"/>
    <w:rsid w:val="001B6DE9"/>
    <w:rsid w:val="001B6ED8"/>
    <w:rsid w:val="001B7427"/>
    <w:rsid w:val="001B76D7"/>
    <w:rsid w:val="001B7ABA"/>
    <w:rsid w:val="001B7AF6"/>
    <w:rsid w:val="001B7C22"/>
    <w:rsid w:val="001B7E2A"/>
    <w:rsid w:val="001C090D"/>
    <w:rsid w:val="001C0E9C"/>
    <w:rsid w:val="001C1293"/>
    <w:rsid w:val="001C1473"/>
    <w:rsid w:val="001C1580"/>
    <w:rsid w:val="001C169B"/>
    <w:rsid w:val="001C18F7"/>
    <w:rsid w:val="001C1986"/>
    <w:rsid w:val="001C1B85"/>
    <w:rsid w:val="001C20EC"/>
    <w:rsid w:val="001C2161"/>
    <w:rsid w:val="001C22DE"/>
    <w:rsid w:val="001C2749"/>
    <w:rsid w:val="001C3A04"/>
    <w:rsid w:val="001C3A45"/>
    <w:rsid w:val="001C3E5D"/>
    <w:rsid w:val="001C3E96"/>
    <w:rsid w:val="001C4066"/>
    <w:rsid w:val="001C46A5"/>
    <w:rsid w:val="001C54B1"/>
    <w:rsid w:val="001C5880"/>
    <w:rsid w:val="001C5B48"/>
    <w:rsid w:val="001C61D9"/>
    <w:rsid w:val="001C6626"/>
    <w:rsid w:val="001C69D5"/>
    <w:rsid w:val="001C6DF8"/>
    <w:rsid w:val="001C6EF2"/>
    <w:rsid w:val="001C76FD"/>
    <w:rsid w:val="001D01E1"/>
    <w:rsid w:val="001D0505"/>
    <w:rsid w:val="001D064E"/>
    <w:rsid w:val="001D07B4"/>
    <w:rsid w:val="001D0C2C"/>
    <w:rsid w:val="001D11E3"/>
    <w:rsid w:val="001D1627"/>
    <w:rsid w:val="001D1752"/>
    <w:rsid w:val="001D1BB4"/>
    <w:rsid w:val="001D1DCB"/>
    <w:rsid w:val="001D1EAE"/>
    <w:rsid w:val="001D26F2"/>
    <w:rsid w:val="001D2841"/>
    <w:rsid w:val="001D28E3"/>
    <w:rsid w:val="001D2C03"/>
    <w:rsid w:val="001D2D8E"/>
    <w:rsid w:val="001D30DA"/>
    <w:rsid w:val="001D3333"/>
    <w:rsid w:val="001D3511"/>
    <w:rsid w:val="001D3DFE"/>
    <w:rsid w:val="001D40EB"/>
    <w:rsid w:val="001D4189"/>
    <w:rsid w:val="001D41B8"/>
    <w:rsid w:val="001D4661"/>
    <w:rsid w:val="001D4F58"/>
    <w:rsid w:val="001D57A3"/>
    <w:rsid w:val="001D7893"/>
    <w:rsid w:val="001D7955"/>
    <w:rsid w:val="001D7FFA"/>
    <w:rsid w:val="001E00B8"/>
    <w:rsid w:val="001E014A"/>
    <w:rsid w:val="001E02B7"/>
    <w:rsid w:val="001E06ED"/>
    <w:rsid w:val="001E0DDD"/>
    <w:rsid w:val="001E1342"/>
    <w:rsid w:val="001E15F4"/>
    <w:rsid w:val="001E2119"/>
    <w:rsid w:val="001E2459"/>
    <w:rsid w:val="001E2B06"/>
    <w:rsid w:val="001E3252"/>
    <w:rsid w:val="001E34A2"/>
    <w:rsid w:val="001E35EE"/>
    <w:rsid w:val="001E3CDE"/>
    <w:rsid w:val="001E40E8"/>
    <w:rsid w:val="001E42A1"/>
    <w:rsid w:val="001E44F1"/>
    <w:rsid w:val="001E4E9C"/>
    <w:rsid w:val="001E508C"/>
    <w:rsid w:val="001E5261"/>
    <w:rsid w:val="001E540A"/>
    <w:rsid w:val="001E5438"/>
    <w:rsid w:val="001E64FE"/>
    <w:rsid w:val="001E65A9"/>
    <w:rsid w:val="001E7348"/>
    <w:rsid w:val="001E79C4"/>
    <w:rsid w:val="001F01E1"/>
    <w:rsid w:val="001F07CF"/>
    <w:rsid w:val="001F1035"/>
    <w:rsid w:val="001F1193"/>
    <w:rsid w:val="001F11C1"/>
    <w:rsid w:val="001F15C8"/>
    <w:rsid w:val="001F1602"/>
    <w:rsid w:val="001F1C1B"/>
    <w:rsid w:val="001F232D"/>
    <w:rsid w:val="001F24BB"/>
    <w:rsid w:val="001F2975"/>
    <w:rsid w:val="001F2C6F"/>
    <w:rsid w:val="001F34BE"/>
    <w:rsid w:val="001F3533"/>
    <w:rsid w:val="001F37E2"/>
    <w:rsid w:val="001F3CB0"/>
    <w:rsid w:val="001F3D36"/>
    <w:rsid w:val="001F47AA"/>
    <w:rsid w:val="001F4D8F"/>
    <w:rsid w:val="001F521D"/>
    <w:rsid w:val="001F52E6"/>
    <w:rsid w:val="001F5319"/>
    <w:rsid w:val="001F5929"/>
    <w:rsid w:val="001F5B00"/>
    <w:rsid w:val="001F5B76"/>
    <w:rsid w:val="001F5C63"/>
    <w:rsid w:val="001F63E1"/>
    <w:rsid w:val="001F670B"/>
    <w:rsid w:val="001F67D3"/>
    <w:rsid w:val="001F6A34"/>
    <w:rsid w:val="001F6B45"/>
    <w:rsid w:val="001F7496"/>
    <w:rsid w:val="001F74E7"/>
    <w:rsid w:val="001F7574"/>
    <w:rsid w:val="001F78F7"/>
    <w:rsid w:val="001F7E39"/>
    <w:rsid w:val="0020002B"/>
    <w:rsid w:val="00200170"/>
    <w:rsid w:val="002008E3"/>
    <w:rsid w:val="00200BCA"/>
    <w:rsid w:val="002029B6"/>
    <w:rsid w:val="00202B16"/>
    <w:rsid w:val="00202B3A"/>
    <w:rsid w:val="002032B9"/>
    <w:rsid w:val="00203452"/>
    <w:rsid w:val="002034F8"/>
    <w:rsid w:val="002038BC"/>
    <w:rsid w:val="0020393D"/>
    <w:rsid w:val="00204295"/>
    <w:rsid w:val="00204A86"/>
    <w:rsid w:val="002053F8"/>
    <w:rsid w:val="002065E4"/>
    <w:rsid w:val="002066F0"/>
    <w:rsid w:val="00206956"/>
    <w:rsid w:val="00206C78"/>
    <w:rsid w:val="00207144"/>
    <w:rsid w:val="00207811"/>
    <w:rsid w:val="00210054"/>
    <w:rsid w:val="00210A39"/>
    <w:rsid w:val="002110C0"/>
    <w:rsid w:val="00211E92"/>
    <w:rsid w:val="0021203A"/>
    <w:rsid w:val="002120C8"/>
    <w:rsid w:val="002125C7"/>
    <w:rsid w:val="002127A0"/>
    <w:rsid w:val="00212AAC"/>
    <w:rsid w:val="00212B17"/>
    <w:rsid w:val="00212E5F"/>
    <w:rsid w:val="00213396"/>
    <w:rsid w:val="002138D4"/>
    <w:rsid w:val="00213961"/>
    <w:rsid w:val="00213EE7"/>
    <w:rsid w:val="0021434F"/>
    <w:rsid w:val="00214446"/>
    <w:rsid w:val="00214A1F"/>
    <w:rsid w:val="00215D1A"/>
    <w:rsid w:val="00216122"/>
    <w:rsid w:val="00216409"/>
    <w:rsid w:val="002164BF"/>
    <w:rsid w:val="00216C64"/>
    <w:rsid w:val="00216D2F"/>
    <w:rsid w:val="00216FC8"/>
    <w:rsid w:val="002172D3"/>
    <w:rsid w:val="00217358"/>
    <w:rsid w:val="0021777E"/>
    <w:rsid w:val="002178FF"/>
    <w:rsid w:val="00217ACE"/>
    <w:rsid w:val="00217F20"/>
    <w:rsid w:val="002202D0"/>
    <w:rsid w:val="002203F0"/>
    <w:rsid w:val="0022087F"/>
    <w:rsid w:val="00220C9D"/>
    <w:rsid w:val="00220F3F"/>
    <w:rsid w:val="00221182"/>
    <w:rsid w:val="00222D4E"/>
    <w:rsid w:val="00223044"/>
    <w:rsid w:val="0022323C"/>
    <w:rsid w:val="0022349F"/>
    <w:rsid w:val="00224917"/>
    <w:rsid w:val="00224AC7"/>
    <w:rsid w:val="00225269"/>
    <w:rsid w:val="00225455"/>
    <w:rsid w:val="002256BE"/>
    <w:rsid w:val="0022584A"/>
    <w:rsid w:val="00225C66"/>
    <w:rsid w:val="00225D97"/>
    <w:rsid w:val="00226138"/>
    <w:rsid w:val="002261E5"/>
    <w:rsid w:val="00226212"/>
    <w:rsid w:val="00226826"/>
    <w:rsid w:val="00226A5B"/>
    <w:rsid w:val="00226F23"/>
    <w:rsid w:val="0023013E"/>
    <w:rsid w:val="0023068A"/>
    <w:rsid w:val="00230CC3"/>
    <w:rsid w:val="00231285"/>
    <w:rsid w:val="00231A87"/>
    <w:rsid w:val="002325AF"/>
    <w:rsid w:val="0023263C"/>
    <w:rsid w:val="00232718"/>
    <w:rsid w:val="00232F45"/>
    <w:rsid w:val="002333A2"/>
    <w:rsid w:val="00233625"/>
    <w:rsid w:val="00233F1B"/>
    <w:rsid w:val="0023434A"/>
    <w:rsid w:val="002344CC"/>
    <w:rsid w:val="00235096"/>
    <w:rsid w:val="0023526E"/>
    <w:rsid w:val="002352FC"/>
    <w:rsid w:val="002354ED"/>
    <w:rsid w:val="002360ED"/>
    <w:rsid w:val="00236134"/>
    <w:rsid w:val="00236339"/>
    <w:rsid w:val="00236395"/>
    <w:rsid w:val="00236417"/>
    <w:rsid w:val="0023674E"/>
    <w:rsid w:val="00236B88"/>
    <w:rsid w:val="00236C3C"/>
    <w:rsid w:val="00236C6B"/>
    <w:rsid w:val="00236D19"/>
    <w:rsid w:val="00236F67"/>
    <w:rsid w:val="0023767C"/>
    <w:rsid w:val="0024033F"/>
    <w:rsid w:val="002404CE"/>
    <w:rsid w:val="002407E7"/>
    <w:rsid w:val="002413BD"/>
    <w:rsid w:val="00241B3B"/>
    <w:rsid w:val="00241BF8"/>
    <w:rsid w:val="002423E4"/>
    <w:rsid w:val="00242974"/>
    <w:rsid w:val="00242B37"/>
    <w:rsid w:val="002431FC"/>
    <w:rsid w:val="002436F8"/>
    <w:rsid w:val="002437B4"/>
    <w:rsid w:val="00243A3C"/>
    <w:rsid w:val="00243AD4"/>
    <w:rsid w:val="002455F3"/>
    <w:rsid w:val="00245A7D"/>
    <w:rsid w:val="002460A3"/>
    <w:rsid w:val="00246132"/>
    <w:rsid w:val="0024624E"/>
    <w:rsid w:val="00246611"/>
    <w:rsid w:val="00246B70"/>
    <w:rsid w:val="00246B93"/>
    <w:rsid w:val="002472DD"/>
    <w:rsid w:val="00247706"/>
    <w:rsid w:val="002506A4"/>
    <w:rsid w:val="0025135E"/>
    <w:rsid w:val="002514E0"/>
    <w:rsid w:val="00251CA1"/>
    <w:rsid w:val="00251FD0"/>
    <w:rsid w:val="002520B4"/>
    <w:rsid w:val="0025317D"/>
    <w:rsid w:val="002538C5"/>
    <w:rsid w:val="0025396F"/>
    <w:rsid w:val="0025559B"/>
    <w:rsid w:val="00255E38"/>
    <w:rsid w:val="00256232"/>
    <w:rsid w:val="002565CC"/>
    <w:rsid w:val="00256A9A"/>
    <w:rsid w:val="00256D60"/>
    <w:rsid w:val="00256DAC"/>
    <w:rsid w:val="002571AD"/>
    <w:rsid w:val="00257372"/>
    <w:rsid w:val="00257AF2"/>
    <w:rsid w:val="00257BD0"/>
    <w:rsid w:val="002603A7"/>
    <w:rsid w:val="0026057C"/>
    <w:rsid w:val="00260707"/>
    <w:rsid w:val="002607A9"/>
    <w:rsid w:val="00260A35"/>
    <w:rsid w:val="00260A7E"/>
    <w:rsid w:val="00260AB5"/>
    <w:rsid w:val="0026121B"/>
    <w:rsid w:val="002619EC"/>
    <w:rsid w:val="00261D77"/>
    <w:rsid w:val="00262898"/>
    <w:rsid w:val="00262A2F"/>
    <w:rsid w:val="00263074"/>
    <w:rsid w:val="0026325B"/>
    <w:rsid w:val="002639C5"/>
    <w:rsid w:val="00263DB5"/>
    <w:rsid w:val="00263ED5"/>
    <w:rsid w:val="0026440F"/>
    <w:rsid w:val="0026465B"/>
    <w:rsid w:val="0026471C"/>
    <w:rsid w:val="00264744"/>
    <w:rsid w:val="00265577"/>
    <w:rsid w:val="0026599D"/>
    <w:rsid w:val="002665F6"/>
    <w:rsid w:val="0026678E"/>
    <w:rsid w:val="00266951"/>
    <w:rsid w:val="00266E3E"/>
    <w:rsid w:val="002674DC"/>
    <w:rsid w:val="00267BD4"/>
    <w:rsid w:val="00267D7F"/>
    <w:rsid w:val="002701FC"/>
    <w:rsid w:val="0027043B"/>
    <w:rsid w:val="0027062F"/>
    <w:rsid w:val="00270633"/>
    <w:rsid w:val="0027073B"/>
    <w:rsid w:val="00270BA6"/>
    <w:rsid w:val="00270FD2"/>
    <w:rsid w:val="00271261"/>
    <w:rsid w:val="00271AC0"/>
    <w:rsid w:val="00271EBF"/>
    <w:rsid w:val="00272000"/>
    <w:rsid w:val="00272D7B"/>
    <w:rsid w:val="00273894"/>
    <w:rsid w:val="00274771"/>
    <w:rsid w:val="00274AB0"/>
    <w:rsid w:val="00274B6C"/>
    <w:rsid w:val="00274C88"/>
    <w:rsid w:val="00275014"/>
    <w:rsid w:val="00275848"/>
    <w:rsid w:val="002759C8"/>
    <w:rsid w:val="00275AF0"/>
    <w:rsid w:val="00276377"/>
    <w:rsid w:val="002765F2"/>
    <w:rsid w:val="00276F3C"/>
    <w:rsid w:val="00277A5C"/>
    <w:rsid w:val="00277CE0"/>
    <w:rsid w:val="002800EE"/>
    <w:rsid w:val="002801A4"/>
    <w:rsid w:val="00280272"/>
    <w:rsid w:val="002806C3"/>
    <w:rsid w:val="00280B54"/>
    <w:rsid w:val="0028104F"/>
    <w:rsid w:val="00281232"/>
    <w:rsid w:val="0028154C"/>
    <w:rsid w:val="00281FDC"/>
    <w:rsid w:val="0028226F"/>
    <w:rsid w:val="0028229B"/>
    <w:rsid w:val="002823AC"/>
    <w:rsid w:val="0028359B"/>
    <w:rsid w:val="00283773"/>
    <w:rsid w:val="00283E52"/>
    <w:rsid w:val="002842BD"/>
    <w:rsid w:val="0028477F"/>
    <w:rsid w:val="00284973"/>
    <w:rsid w:val="00284F53"/>
    <w:rsid w:val="0028517E"/>
    <w:rsid w:val="0028571C"/>
    <w:rsid w:val="00285C79"/>
    <w:rsid w:val="00285D9B"/>
    <w:rsid w:val="002860B4"/>
    <w:rsid w:val="00286284"/>
    <w:rsid w:val="00286369"/>
    <w:rsid w:val="002878BA"/>
    <w:rsid w:val="00287CAA"/>
    <w:rsid w:val="00287CDD"/>
    <w:rsid w:val="00287E90"/>
    <w:rsid w:val="00287EE3"/>
    <w:rsid w:val="002901F9"/>
    <w:rsid w:val="00290E75"/>
    <w:rsid w:val="0029166B"/>
    <w:rsid w:val="002917B2"/>
    <w:rsid w:val="00291B84"/>
    <w:rsid w:val="00291B86"/>
    <w:rsid w:val="00291BE5"/>
    <w:rsid w:val="002929AD"/>
    <w:rsid w:val="00292F40"/>
    <w:rsid w:val="0029334B"/>
    <w:rsid w:val="002933E8"/>
    <w:rsid w:val="00293DF0"/>
    <w:rsid w:val="002942AC"/>
    <w:rsid w:val="002942AE"/>
    <w:rsid w:val="00294922"/>
    <w:rsid w:val="00294B62"/>
    <w:rsid w:val="002950F4"/>
    <w:rsid w:val="0029540A"/>
    <w:rsid w:val="00295D9D"/>
    <w:rsid w:val="002A000E"/>
    <w:rsid w:val="002A0179"/>
    <w:rsid w:val="002A01AA"/>
    <w:rsid w:val="002A064D"/>
    <w:rsid w:val="002A0E7D"/>
    <w:rsid w:val="002A1033"/>
    <w:rsid w:val="002A11D0"/>
    <w:rsid w:val="002A16F1"/>
    <w:rsid w:val="002A18CA"/>
    <w:rsid w:val="002A1AD7"/>
    <w:rsid w:val="002A2369"/>
    <w:rsid w:val="002A356B"/>
    <w:rsid w:val="002A37B8"/>
    <w:rsid w:val="002A3FE3"/>
    <w:rsid w:val="002A408E"/>
    <w:rsid w:val="002A41EC"/>
    <w:rsid w:val="002A42C0"/>
    <w:rsid w:val="002A47AB"/>
    <w:rsid w:val="002A49F5"/>
    <w:rsid w:val="002A4A15"/>
    <w:rsid w:val="002A4E74"/>
    <w:rsid w:val="002A4F3C"/>
    <w:rsid w:val="002A5BEF"/>
    <w:rsid w:val="002A5CFD"/>
    <w:rsid w:val="002A6539"/>
    <w:rsid w:val="002A69F6"/>
    <w:rsid w:val="002A6FF9"/>
    <w:rsid w:val="002A74ED"/>
    <w:rsid w:val="002A77F6"/>
    <w:rsid w:val="002A7A7E"/>
    <w:rsid w:val="002B02CC"/>
    <w:rsid w:val="002B0585"/>
    <w:rsid w:val="002B0843"/>
    <w:rsid w:val="002B1913"/>
    <w:rsid w:val="002B1B65"/>
    <w:rsid w:val="002B294B"/>
    <w:rsid w:val="002B2D46"/>
    <w:rsid w:val="002B2EC9"/>
    <w:rsid w:val="002B3575"/>
    <w:rsid w:val="002B3D0E"/>
    <w:rsid w:val="002B3FA3"/>
    <w:rsid w:val="002B42A1"/>
    <w:rsid w:val="002B4856"/>
    <w:rsid w:val="002B49E3"/>
    <w:rsid w:val="002B4B33"/>
    <w:rsid w:val="002B4F9A"/>
    <w:rsid w:val="002B4FA5"/>
    <w:rsid w:val="002B55CE"/>
    <w:rsid w:val="002B57CE"/>
    <w:rsid w:val="002B5E95"/>
    <w:rsid w:val="002B5F99"/>
    <w:rsid w:val="002B6347"/>
    <w:rsid w:val="002B674E"/>
    <w:rsid w:val="002B6A87"/>
    <w:rsid w:val="002B6D32"/>
    <w:rsid w:val="002C03BD"/>
    <w:rsid w:val="002C061D"/>
    <w:rsid w:val="002C09F3"/>
    <w:rsid w:val="002C1504"/>
    <w:rsid w:val="002C16A9"/>
    <w:rsid w:val="002C1746"/>
    <w:rsid w:val="002C218F"/>
    <w:rsid w:val="002C2260"/>
    <w:rsid w:val="002C24E3"/>
    <w:rsid w:val="002C2B6A"/>
    <w:rsid w:val="002C2C2B"/>
    <w:rsid w:val="002C3159"/>
    <w:rsid w:val="002C3389"/>
    <w:rsid w:val="002C40DE"/>
    <w:rsid w:val="002C43F4"/>
    <w:rsid w:val="002C440C"/>
    <w:rsid w:val="002C4905"/>
    <w:rsid w:val="002C4D99"/>
    <w:rsid w:val="002C56B2"/>
    <w:rsid w:val="002C5D74"/>
    <w:rsid w:val="002C61F7"/>
    <w:rsid w:val="002C6FB6"/>
    <w:rsid w:val="002C7C6D"/>
    <w:rsid w:val="002D0186"/>
    <w:rsid w:val="002D037B"/>
    <w:rsid w:val="002D037F"/>
    <w:rsid w:val="002D051C"/>
    <w:rsid w:val="002D0625"/>
    <w:rsid w:val="002D06A3"/>
    <w:rsid w:val="002D0C52"/>
    <w:rsid w:val="002D12A3"/>
    <w:rsid w:val="002D1544"/>
    <w:rsid w:val="002D1941"/>
    <w:rsid w:val="002D1A37"/>
    <w:rsid w:val="002D1B78"/>
    <w:rsid w:val="002D2783"/>
    <w:rsid w:val="002D2A16"/>
    <w:rsid w:val="002D2C86"/>
    <w:rsid w:val="002D2D45"/>
    <w:rsid w:val="002D2ED5"/>
    <w:rsid w:val="002D316D"/>
    <w:rsid w:val="002D3610"/>
    <w:rsid w:val="002D39EC"/>
    <w:rsid w:val="002D3C7B"/>
    <w:rsid w:val="002D3E68"/>
    <w:rsid w:val="002D4EC3"/>
    <w:rsid w:val="002D5740"/>
    <w:rsid w:val="002D57E3"/>
    <w:rsid w:val="002D5893"/>
    <w:rsid w:val="002D5977"/>
    <w:rsid w:val="002D6628"/>
    <w:rsid w:val="002D6874"/>
    <w:rsid w:val="002D6C2B"/>
    <w:rsid w:val="002D6D6C"/>
    <w:rsid w:val="002D6DF3"/>
    <w:rsid w:val="002E01E2"/>
    <w:rsid w:val="002E0B09"/>
    <w:rsid w:val="002E14D7"/>
    <w:rsid w:val="002E157D"/>
    <w:rsid w:val="002E1EE5"/>
    <w:rsid w:val="002E30E1"/>
    <w:rsid w:val="002E32A9"/>
    <w:rsid w:val="002E361D"/>
    <w:rsid w:val="002E3E73"/>
    <w:rsid w:val="002E4698"/>
    <w:rsid w:val="002E5218"/>
    <w:rsid w:val="002E5496"/>
    <w:rsid w:val="002E5A7E"/>
    <w:rsid w:val="002E6065"/>
    <w:rsid w:val="002E63D4"/>
    <w:rsid w:val="002E6A19"/>
    <w:rsid w:val="002E6DF6"/>
    <w:rsid w:val="002E7151"/>
    <w:rsid w:val="002E7165"/>
    <w:rsid w:val="002E752B"/>
    <w:rsid w:val="002E77AE"/>
    <w:rsid w:val="002F04EA"/>
    <w:rsid w:val="002F052D"/>
    <w:rsid w:val="002F0797"/>
    <w:rsid w:val="002F0890"/>
    <w:rsid w:val="002F08BC"/>
    <w:rsid w:val="002F0CA5"/>
    <w:rsid w:val="002F0DC6"/>
    <w:rsid w:val="002F1024"/>
    <w:rsid w:val="002F10E9"/>
    <w:rsid w:val="002F143C"/>
    <w:rsid w:val="002F239B"/>
    <w:rsid w:val="002F24AE"/>
    <w:rsid w:val="002F27B2"/>
    <w:rsid w:val="002F298B"/>
    <w:rsid w:val="002F2B08"/>
    <w:rsid w:val="002F2B3E"/>
    <w:rsid w:val="002F3040"/>
    <w:rsid w:val="002F32FA"/>
    <w:rsid w:val="002F3713"/>
    <w:rsid w:val="002F377F"/>
    <w:rsid w:val="002F38EC"/>
    <w:rsid w:val="002F3F5D"/>
    <w:rsid w:val="002F439B"/>
    <w:rsid w:val="002F477F"/>
    <w:rsid w:val="002F47A9"/>
    <w:rsid w:val="002F50BF"/>
    <w:rsid w:val="002F5949"/>
    <w:rsid w:val="002F5CFA"/>
    <w:rsid w:val="002F6647"/>
    <w:rsid w:val="002F6B42"/>
    <w:rsid w:val="002F72CA"/>
    <w:rsid w:val="002F7963"/>
    <w:rsid w:val="002F7F2D"/>
    <w:rsid w:val="0030031B"/>
    <w:rsid w:val="00300911"/>
    <w:rsid w:val="003010E0"/>
    <w:rsid w:val="0030134B"/>
    <w:rsid w:val="003017C0"/>
    <w:rsid w:val="00301D6F"/>
    <w:rsid w:val="00301E3B"/>
    <w:rsid w:val="00301F34"/>
    <w:rsid w:val="00302159"/>
    <w:rsid w:val="00302214"/>
    <w:rsid w:val="0030251F"/>
    <w:rsid w:val="00302D30"/>
    <w:rsid w:val="00303417"/>
    <w:rsid w:val="0030416A"/>
    <w:rsid w:val="003041A0"/>
    <w:rsid w:val="00304774"/>
    <w:rsid w:val="00304D2A"/>
    <w:rsid w:val="00305061"/>
    <w:rsid w:val="0030506A"/>
    <w:rsid w:val="00305111"/>
    <w:rsid w:val="0030538C"/>
    <w:rsid w:val="003055F4"/>
    <w:rsid w:val="00305CAB"/>
    <w:rsid w:val="00306094"/>
    <w:rsid w:val="003064A3"/>
    <w:rsid w:val="00306B1B"/>
    <w:rsid w:val="00306CE2"/>
    <w:rsid w:val="00307315"/>
    <w:rsid w:val="00307413"/>
    <w:rsid w:val="00307611"/>
    <w:rsid w:val="003076C2"/>
    <w:rsid w:val="00307B90"/>
    <w:rsid w:val="003107B4"/>
    <w:rsid w:val="00310D25"/>
    <w:rsid w:val="00310D60"/>
    <w:rsid w:val="0031145E"/>
    <w:rsid w:val="003120AD"/>
    <w:rsid w:val="003122BF"/>
    <w:rsid w:val="0031286A"/>
    <w:rsid w:val="0031345A"/>
    <w:rsid w:val="003136DC"/>
    <w:rsid w:val="00313DB0"/>
    <w:rsid w:val="00313F7E"/>
    <w:rsid w:val="003144D3"/>
    <w:rsid w:val="0031450B"/>
    <w:rsid w:val="00314742"/>
    <w:rsid w:val="003151B7"/>
    <w:rsid w:val="00315645"/>
    <w:rsid w:val="00315846"/>
    <w:rsid w:val="00315B79"/>
    <w:rsid w:val="00315BA0"/>
    <w:rsid w:val="00315D23"/>
    <w:rsid w:val="00315E4E"/>
    <w:rsid w:val="00315E63"/>
    <w:rsid w:val="00316030"/>
    <w:rsid w:val="00316487"/>
    <w:rsid w:val="003164AA"/>
    <w:rsid w:val="00316D36"/>
    <w:rsid w:val="0031703D"/>
    <w:rsid w:val="00317200"/>
    <w:rsid w:val="00317285"/>
    <w:rsid w:val="003175FD"/>
    <w:rsid w:val="00317693"/>
    <w:rsid w:val="003177DA"/>
    <w:rsid w:val="00321165"/>
    <w:rsid w:val="00321810"/>
    <w:rsid w:val="00321BCE"/>
    <w:rsid w:val="00322125"/>
    <w:rsid w:val="0032254F"/>
    <w:rsid w:val="00323398"/>
    <w:rsid w:val="003237BE"/>
    <w:rsid w:val="003237D8"/>
    <w:rsid w:val="00323F43"/>
    <w:rsid w:val="003245F1"/>
    <w:rsid w:val="003246A2"/>
    <w:rsid w:val="00324EEE"/>
    <w:rsid w:val="003251DB"/>
    <w:rsid w:val="00325CFF"/>
    <w:rsid w:val="00326BF7"/>
    <w:rsid w:val="00326C8F"/>
    <w:rsid w:val="00327562"/>
    <w:rsid w:val="00327AD5"/>
    <w:rsid w:val="00331498"/>
    <w:rsid w:val="00332549"/>
    <w:rsid w:val="00332854"/>
    <w:rsid w:val="00332E75"/>
    <w:rsid w:val="00333990"/>
    <w:rsid w:val="00333FFF"/>
    <w:rsid w:val="00334055"/>
    <w:rsid w:val="00334206"/>
    <w:rsid w:val="003343A9"/>
    <w:rsid w:val="0033452E"/>
    <w:rsid w:val="003345D6"/>
    <w:rsid w:val="003346CD"/>
    <w:rsid w:val="00334D6A"/>
    <w:rsid w:val="003350BE"/>
    <w:rsid w:val="0033554A"/>
    <w:rsid w:val="003365FC"/>
    <w:rsid w:val="00336AB0"/>
    <w:rsid w:val="00336BA7"/>
    <w:rsid w:val="00336CDF"/>
    <w:rsid w:val="00336F0C"/>
    <w:rsid w:val="0034132C"/>
    <w:rsid w:val="00341B0A"/>
    <w:rsid w:val="00341CA3"/>
    <w:rsid w:val="003427D9"/>
    <w:rsid w:val="0034281A"/>
    <w:rsid w:val="0034305C"/>
    <w:rsid w:val="00343750"/>
    <w:rsid w:val="003437FA"/>
    <w:rsid w:val="00343A86"/>
    <w:rsid w:val="00343E20"/>
    <w:rsid w:val="0034406A"/>
    <w:rsid w:val="003444B5"/>
    <w:rsid w:val="003446CC"/>
    <w:rsid w:val="003448BB"/>
    <w:rsid w:val="0034490C"/>
    <w:rsid w:val="00345004"/>
    <w:rsid w:val="0034501A"/>
    <w:rsid w:val="00345271"/>
    <w:rsid w:val="00345350"/>
    <w:rsid w:val="003454BC"/>
    <w:rsid w:val="003457A3"/>
    <w:rsid w:val="00346276"/>
    <w:rsid w:val="00346583"/>
    <w:rsid w:val="003468CB"/>
    <w:rsid w:val="00347605"/>
    <w:rsid w:val="003478F6"/>
    <w:rsid w:val="00347F8D"/>
    <w:rsid w:val="00350498"/>
    <w:rsid w:val="003513C4"/>
    <w:rsid w:val="00351618"/>
    <w:rsid w:val="00351ED6"/>
    <w:rsid w:val="00352382"/>
    <w:rsid w:val="0035319F"/>
    <w:rsid w:val="003540B4"/>
    <w:rsid w:val="003545C6"/>
    <w:rsid w:val="00354AE0"/>
    <w:rsid w:val="00354FB5"/>
    <w:rsid w:val="00354FC1"/>
    <w:rsid w:val="00355A4A"/>
    <w:rsid w:val="00356341"/>
    <w:rsid w:val="003564D0"/>
    <w:rsid w:val="00356A15"/>
    <w:rsid w:val="00356EC2"/>
    <w:rsid w:val="00357169"/>
    <w:rsid w:val="003573D9"/>
    <w:rsid w:val="0035784D"/>
    <w:rsid w:val="00357B59"/>
    <w:rsid w:val="00357FCB"/>
    <w:rsid w:val="0036047C"/>
    <w:rsid w:val="003608B9"/>
    <w:rsid w:val="0036091E"/>
    <w:rsid w:val="00360C0C"/>
    <w:rsid w:val="00360D15"/>
    <w:rsid w:val="00360F16"/>
    <w:rsid w:val="00360FC4"/>
    <w:rsid w:val="003613D2"/>
    <w:rsid w:val="003615EE"/>
    <w:rsid w:val="00361C43"/>
    <w:rsid w:val="00361FAB"/>
    <w:rsid w:val="0036235D"/>
    <w:rsid w:val="00362F9D"/>
    <w:rsid w:val="003632F0"/>
    <w:rsid w:val="00363C89"/>
    <w:rsid w:val="00364087"/>
    <w:rsid w:val="00364183"/>
    <w:rsid w:val="003642B0"/>
    <w:rsid w:val="00364412"/>
    <w:rsid w:val="0036551B"/>
    <w:rsid w:val="003655F9"/>
    <w:rsid w:val="00365EEE"/>
    <w:rsid w:val="00366095"/>
    <w:rsid w:val="00366323"/>
    <w:rsid w:val="00366B36"/>
    <w:rsid w:val="00366B4B"/>
    <w:rsid w:val="003676F1"/>
    <w:rsid w:val="00367C50"/>
    <w:rsid w:val="0037007C"/>
    <w:rsid w:val="003703ED"/>
    <w:rsid w:val="003711AD"/>
    <w:rsid w:val="00371424"/>
    <w:rsid w:val="003722D6"/>
    <w:rsid w:val="00372507"/>
    <w:rsid w:val="003726C3"/>
    <w:rsid w:val="00373392"/>
    <w:rsid w:val="00373A7E"/>
    <w:rsid w:val="00373FD4"/>
    <w:rsid w:val="003740F4"/>
    <w:rsid w:val="00374643"/>
    <w:rsid w:val="00374C55"/>
    <w:rsid w:val="003757CD"/>
    <w:rsid w:val="00375B2A"/>
    <w:rsid w:val="003762E5"/>
    <w:rsid w:val="00376DF9"/>
    <w:rsid w:val="0037708E"/>
    <w:rsid w:val="003778AD"/>
    <w:rsid w:val="003802A5"/>
    <w:rsid w:val="00380837"/>
    <w:rsid w:val="003809B9"/>
    <w:rsid w:val="00380C1B"/>
    <w:rsid w:val="00380C62"/>
    <w:rsid w:val="00381337"/>
    <w:rsid w:val="003817CA"/>
    <w:rsid w:val="003818DC"/>
    <w:rsid w:val="00381CEB"/>
    <w:rsid w:val="003821F7"/>
    <w:rsid w:val="003826BC"/>
    <w:rsid w:val="00382D62"/>
    <w:rsid w:val="00382D92"/>
    <w:rsid w:val="003831F3"/>
    <w:rsid w:val="003833AC"/>
    <w:rsid w:val="00383726"/>
    <w:rsid w:val="00384423"/>
    <w:rsid w:val="00384624"/>
    <w:rsid w:val="00384AB4"/>
    <w:rsid w:val="0038524B"/>
    <w:rsid w:val="00385CE9"/>
    <w:rsid w:val="00386034"/>
    <w:rsid w:val="0038646D"/>
    <w:rsid w:val="003865D5"/>
    <w:rsid w:val="003866FC"/>
    <w:rsid w:val="00386CE3"/>
    <w:rsid w:val="00386DB9"/>
    <w:rsid w:val="0038739C"/>
    <w:rsid w:val="003873A3"/>
    <w:rsid w:val="00390B3D"/>
    <w:rsid w:val="00390D9E"/>
    <w:rsid w:val="00391191"/>
    <w:rsid w:val="00391335"/>
    <w:rsid w:val="003915C0"/>
    <w:rsid w:val="00391C0D"/>
    <w:rsid w:val="0039245D"/>
    <w:rsid w:val="00392555"/>
    <w:rsid w:val="00392825"/>
    <w:rsid w:val="00393171"/>
    <w:rsid w:val="00393974"/>
    <w:rsid w:val="00393BEC"/>
    <w:rsid w:val="00393EB4"/>
    <w:rsid w:val="003945E4"/>
    <w:rsid w:val="00394C2C"/>
    <w:rsid w:val="00394C62"/>
    <w:rsid w:val="00395D85"/>
    <w:rsid w:val="00395D8A"/>
    <w:rsid w:val="00396107"/>
    <w:rsid w:val="00396666"/>
    <w:rsid w:val="00396FFD"/>
    <w:rsid w:val="003976FC"/>
    <w:rsid w:val="00397D56"/>
    <w:rsid w:val="00397DCE"/>
    <w:rsid w:val="003A0636"/>
    <w:rsid w:val="003A080A"/>
    <w:rsid w:val="003A0BBF"/>
    <w:rsid w:val="003A15D3"/>
    <w:rsid w:val="003A1B97"/>
    <w:rsid w:val="003A1C48"/>
    <w:rsid w:val="003A2053"/>
    <w:rsid w:val="003A4A49"/>
    <w:rsid w:val="003A4D76"/>
    <w:rsid w:val="003A5168"/>
    <w:rsid w:val="003A555C"/>
    <w:rsid w:val="003A5780"/>
    <w:rsid w:val="003A59B3"/>
    <w:rsid w:val="003A5C9A"/>
    <w:rsid w:val="003A5CE8"/>
    <w:rsid w:val="003A5D1D"/>
    <w:rsid w:val="003A5D44"/>
    <w:rsid w:val="003A63AE"/>
    <w:rsid w:val="003A677B"/>
    <w:rsid w:val="003A67BA"/>
    <w:rsid w:val="003A68E1"/>
    <w:rsid w:val="003A7506"/>
    <w:rsid w:val="003A7899"/>
    <w:rsid w:val="003A7A89"/>
    <w:rsid w:val="003B0296"/>
    <w:rsid w:val="003B07C1"/>
    <w:rsid w:val="003B0881"/>
    <w:rsid w:val="003B0A52"/>
    <w:rsid w:val="003B13AB"/>
    <w:rsid w:val="003B1E65"/>
    <w:rsid w:val="003B215A"/>
    <w:rsid w:val="003B239B"/>
    <w:rsid w:val="003B2918"/>
    <w:rsid w:val="003B2FE1"/>
    <w:rsid w:val="003B3207"/>
    <w:rsid w:val="003B332F"/>
    <w:rsid w:val="003B3697"/>
    <w:rsid w:val="003B3C40"/>
    <w:rsid w:val="003B3F83"/>
    <w:rsid w:val="003B4A1D"/>
    <w:rsid w:val="003B4BC1"/>
    <w:rsid w:val="003B4D54"/>
    <w:rsid w:val="003B5447"/>
    <w:rsid w:val="003B5A62"/>
    <w:rsid w:val="003B5B36"/>
    <w:rsid w:val="003B5EE8"/>
    <w:rsid w:val="003B6A91"/>
    <w:rsid w:val="003B6B5E"/>
    <w:rsid w:val="003B7128"/>
    <w:rsid w:val="003B736E"/>
    <w:rsid w:val="003B77BE"/>
    <w:rsid w:val="003B77E3"/>
    <w:rsid w:val="003B7A95"/>
    <w:rsid w:val="003B7E01"/>
    <w:rsid w:val="003C050C"/>
    <w:rsid w:val="003C06E2"/>
    <w:rsid w:val="003C10BD"/>
    <w:rsid w:val="003C1267"/>
    <w:rsid w:val="003C1B40"/>
    <w:rsid w:val="003C1ED8"/>
    <w:rsid w:val="003C250A"/>
    <w:rsid w:val="003C3669"/>
    <w:rsid w:val="003C3730"/>
    <w:rsid w:val="003C3733"/>
    <w:rsid w:val="003C38D7"/>
    <w:rsid w:val="003C3E94"/>
    <w:rsid w:val="003C45DC"/>
    <w:rsid w:val="003C53F2"/>
    <w:rsid w:val="003C55AA"/>
    <w:rsid w:val="003C56DD"/>
    <w:rsid w:val="003C59E3"/>
    <w:rsid w:val="003C5A71"/>
    <w:rsid w:val="003C6420"/>
    <w:rsid w:val="003C6D72"/>
    <w:rsid w:val="003C735C"/>
    <w:rsid w:val="003C7429"/>
    <w:rsid w:val="003C7A26"/>
    <w:rsid w:val="003C7A83"/>
    <w:rsid w:val="003C7DB5"/>
    <w:rsid w:val="003D0671"/>
    <w:rsid w:val="003D0AF9"/>
    <w:rsid w:val="003D1053"/>
    <w:rsid w:val="003D1228"/>
    <w:rsid w:val="003D12BE"/>
    <w:rsid w:val="003D1D1B"/>
    <w:rsid w:val="003D2409"/>
    <w:rsid w:val="003D2519"/>
    <w:rsid w:val="003D2696"/>
    <w:rsid w:val="003D3A5B"/>
    <w:rsid w:val="003D40A7"/>
    <w:rsid w:val="003D42AE"/>
    <w:rsid w:val="003D4CD0"/>
    <w:rsid w:val="003D4E00"/>
    <w:rsid w:val="003D4F6D"/>
    <w:rsid w:val="003D60AD"/>
    <w:rsid w:val="003D616A"/>
    <w:rsid w:val="003D6C0C"/>
    <w:rsid w:val="003D6FDD"/>
    <w:rsid w:val="003D70BD"/>
    <w:rsid w:val="003D722D"/>
    <w:rsid w:val="003D7963"/>
    <w:rsid w:val="003D7A96"/>
    <w:rsid w:val="003D7FAD"/>
    <w:rsid w:val="003E0968"/>
    <w:rsid w:val="003E119D"/>
    <w:rsid w:val="003E1420"/>
    <w:rsid w:val="003E1458"/>
    <w:rsid w:val="003E26EA"/>
    <w:rsid w:val="003E2AC0"/>
    <w:rsid w:val="003E2F42"/>
    <w:rsid w:val="003E3394"/>
    <w:rsid w:val="003E3BF5"/>
    <w:rsid w:val="003E4324"/>
    <w:rsid w:val="003E4D33"/>
    <w:rsid w:val="003E4F8F"/>
    <w:rsid w:val="003E52ED"/>
    <w:rsid w:val="003E684B"/>
    <w:rsid w:val="003E6D6D"/>
    <w:rsid w:val="003E7070"/>
    <w:rsid w:val="003E70FB"/>
    <w:rsid w:val="003E7280"/>
    <w:rsid w:val="003E72A8"/>
    <w:rsid w:val="003E75E4"/>
    <w:rsid w:val="003E79BF"/>
    <w:rsid w:val="003F0809"/>
    <w:rsid w:val="003F14D4"/>
    <w:rsid w:val="003F1665"/>
    <w:rsid w:val="003F1A0E"/>
    <w:rsid w:val="003F1BAC"/>
    <w:rsid w:val="003F2B3B"/>
    <w:rsid w:val="003F2BED"/>
    <w:rsid w:val="003F2EC8"/>
    <w:rsid w:val="003F3177"/>
    <w:rsid w:val="003F3DE1"/>
    <w:rsid w:val="003F4352"/>
    <w:rsid w:val="003F4773"/>
    <w:rsid w:val="003F4BE9"/>
    <w:rsid w:val="003F4CFD"/>
    <w:rsid w:val="003F4E97"/>
    <w:rsid w:val="003F5683"/>
    <w:rsid w:val="003F5B4D"/>
    <w:rsid w:val="003F5B76"/>
    <w:rsid w:val="003F77A6"/>
    <w:rsid w:val="00400295"/>
    <w:rsid w:val="00400C7D"/>
    <w:rsid w:val="004011A3"/>
    <w:rsid w:val="004019FE"/>
    <w:rsid w:val="00401B9A"/>
    <w:rsid w:val="00401EA5"/>
    <w:rsid w:val="00402019"/>
    <w:rsid w:val="00402471"/>
    <w:rsid w:val="004028FB"/>
    <w:rsid w:val="00403495"/>
    <w:rsid w:val="00403832"/>
    <w:rsid w:val="00403BA8"/>
    <w:rsid w:val="00403E0C"/>
    <w:rsid w:val="004048C0"/>
    <w:rsid w:val="00404B22"/>
    <w:rsid w:val="00404C0E"/>
    <w:rsid w:val="004054C3"/>
    <w:rsid w:val="00406230"/>
    <w:rsid w:val="004064DA"/>
    <w:rsid w:val="0040744E"/>
    <w:rsid w:val="00407505"/>
    <w:rsid w:val="00407597"/>
    <w:rsid w:val="00407C5C"/>
    <w:rsid w:val="00410250"/>
    <w:rsid w:val="004102B1"/>
    <w:rsid w:val="00410B27"/>
    <w:rsid w:val="0041185E"/>
    <w:rsid w:val="004124D3"/>
    <w:rsid w:val="004132A2"/>
    <w:rsid w:val="0041341D"/>
    <w:rsid w:val="0041388E"/>
    <w:rsid w:val="00414064"/>
    <w:rsid w:val="004141F8"/>
    <w:rsid w:val="0041452F"/>
    <w:rsid w:val="004148DF"/>
    <w:rsid w:val="00414AAA"/>
    <w:rsid w:val="00415F25"/>
    <w:rsid w:val="004162EC"/>
    <w:rsid w:val="00417034"/>
    <w:rsid w:val="004172E9"/>
    <w:rsid w:val="00417A19"/>
    <w:rsid w:val="00417B69"/>
    <w:rsid w:val="004201BC"/>
    <w:rsid w:val="0042089D"/>
    <w:rsid w:val="00420985"/>
    <w:rsid w:val="00420A75"/>
    <w:rsid w:val="004211CC"/>
    <w:rsid w:val="004211FC"/>
    <w:rsid w:val="00421A82"/>
    <w:rsid w:val="00421B40"/>
    <w:rsid w:val="00421D9F"/>
    <w:rsid w:val="00421E90"/>
    <w:rsid w:val="00422038"/>
    <w:rsid w:val="004221FD"/>
    <w:rsid w:val="004225B1"/>
    <w:rsid w:val="0042293B"/>
    <w:rsid w:val="00423066"/>
    <w:rsid w:val="0042375D"/>
    <w:rsid w:val="00423FA0"/>
    <w:rsid w:val="0042446E"/>
    <w:rsid w:val="004258F1"/>
    <w:rsid w:val="00425C7F"/>
    <w:rsid w:val="00426104"/>
    <w:rsid w:val="00426460"/>
    <w:rsid w:val="00426880"/>
    <w:rsid w:val="00426BF9"/>
    <w:rsid w:val="00426DC8"/>
    <w:rsid w:val="004272D2"/>
    <w:rsid w:val="004278A3"/>
    <w:rsid w:val="00427B12"/>
    <w:rsid w:val="00430917"/>
    <w:rsid w:val="00431236"/>
    <w:rsid w:val="00431CF1"/>
    <w:rsid w:val="00431E47"/>
    <w:rsid w:val="0043348B"/>
    <w:rsid w:val="00433642"/>
    <w:rsid w:val="004338B1"/>
    <w:rsid w:val="00433B00"/>
    <w:rsid w:val="004343BF"/>
    <w:rsid w:val="004346DA"/>
    <w:rsid w:val="00434716"/>
    <w:rsid w:val="004349AB"/>
    <w:rsid w:val="00435183"/>
    <w:rsid w:val="0043551B"/>
    <w:rsid w:val="00435886"/>
    <w:rsid w:val="00435ADD"/>
    <w:rsid w:val="00435C26"/>
    <w:rsid w:val="0043633D"/>
    <w:rsid w:val="00436772"/>
    <w:rsid w:val="00436DDF"/>
    <w:rsid w:val="004371B1"/>
    <w:rsid w:val="004371D5"/>
    <w:rsid w:val="004373AE"/>
    <w:rsid w:val="004378FA"/>
    <w:rsid w:val="00437A5A"/>
    <w:rsid w:val="00437AD7"/>
    <w:rsid w:val="00437FED"/>
    <w:rsid w:val="00437FF6"/>
    <w:rsid w:val="004400E3"/>
    <w:rsid w:val="0044087E"/>
    <w:rsid w:val="0044115B"/>
    <w:rsid w:val="00441254"/>
    <w:rsid w:val="00441595"/>
    <w:rsid w:val="00442303"/>
    <w:rsid w:val="00442539"/>
    <w:rsid w:val="0044425F"/>
    <w:rsid w:val="00445191"/>
    <w:rsid w:val="00445968"/>
    <w:rsid w:val="004467A2"/>
    <w:rsid w:val="004469B2"/>
    <w:rsid w:val="004473C2"/>
    <w:rsid w:val="00447751"/>
    <w:rsid w:val="00450121"/>
    <w:rsid w:val="004502A0"/>
    <w:rsid w:val="004502F4"/>
    <w:rsid w:val="00451241"/>
    <w:rsid w:val="00452838"/>
    <w:rsid w:val="004528A7"/>
    <w:rsid w:val="00452EDB"/>
    <w:rsid w:val="004532E4"/>
    <w:rsid w:val="00453D79"/>
    <w:rsid w:val="00453E2F"/>
    <w:rsid w:val="00454013"/>
    <w:rsid w:val="00454550"/>
    <w:rsid w:val="00454994"/>
    <w:rsid w:val="004549EA"/>
    <w:rsid w:val="00454ABC"/>
    <w:rsid w:val="004555D1"/>
    <w:rsid w:val="004556B5"/>
    <w:rsid w:val="004556BD"/>
    <w:rsid w:val="00455853"/>
    <w:rsid w:val="004563C2"/>
    <w:rsid w:val="00456400"/>
    <w:rsid w:val="00456404"/>
    <w:rsid w:val="004564BA"/>
    <w:rsid w:val="004567FF"/>
    <w:rsid w:val="00456BEE"/>
    <w:rsid w:val="00456CBD"/>
    <w:rsid w:val="00456D3D"/>
    <w:rsid w:val="00456E1F"/>
    <w:rsid w:val="00456E79"/>
    <w:rsid w:val="00456EC7"/>
    <w:rsid w:val="004570F1"/>
    <w:rsid w:val="0045732E"/>
    <w:rsid w:val="00457E42"/>
    <w:rsid w:val="00460597"/>
    <w:rsid w:val="00461390"/>
    <w:rsid w:val="00461441"/>
    <w:rsid w:val="004620C4"/>
    <w:rsid w:val="0046218F"/>
    <w:rsid w:val="00462542"/>
    <w:rsid w:val="00462CB9"/>
    <w:rsid w:val="00462FCF"/>
    <w:rsid w:val="00462FEA"/>
    <w:rsid w:val="00463654"/>
    <w:rsid w:val="004636D7"/>
    <w:rsid w:val="00463B69"/>
    <w:rsid w:val="00464292"/>
    <w:rsid w:val="004644FA"/>
    <w:rsid w:val="004647C6"/>
    <w:rsid w:val="0046486C"/>
    <w:rsid w:val="00464A16"/>
    <w:rsid w:val="00464B65"/>
    <w:rsid w:val="00464C54"/>
    <w:rsid w:val="00464CA1"/>
    <w:rsid w:val="004654AF"/>
    <w:rsid w:val="0046587D"/>
    <w:rsid w:val="00465E7A"/>
    <w:rsid w:val="004661BD"/>
    <w:rsid w:val="004661D5"/>
    <w:rsid w:val="004665B4"/>
    <w:rsid w:val="00466BE7"/>
    <w:rsid w:val="00466E94"/>
    <w:rsid w:val="00466EAC"/>
    <w:rsid w:val="00466F5D"/>
    <w:rsid w:val="00467208"/>
    <w:rsid w:val="00467386"/>
    <w:rsid w:val="0046799C"/>
    <w:rsid w:val="00467B13"/>
    <w:rsid w:val="00467C4C"/>
    <w:rsid w:val="00467FC8"/>
    <w:rsid w:val="0047021A"/>
    <w:rsid w:val="004703D2"/>
    <w:rsid w:val="00470405"/>
    <w:rsid w:val="004705FD"/>
    <w:rsid w:val="00471B91"/>
    <w:rsid w:val="00471BD0"/>
    <w:rsid w:val="0047205B"/>
    <w:rsid w:val="0047212C"/>
    <w:rsid w:val="004722A6"/>
    <w:rsid w:val="00472303"/>
    <w:rsid w:val="00472F5D"/>
    <w:rsid w:val="00472FCC"/>
    <w:rsid w:val="004736D4"/>
    <w:rsid w:val="00473BC2"/>
    <w:rsid w:val="00473D2C"/>
    <w:rsid w:val="00473E02"/>
    <w:rsid w:val="004752F9"/>
    <w:rsid w:val="00475CEB"/>
    <w:rsid w:val="00475F4F"/>
    <w:rsid w:val="00475FDD"/>
    <w:rsid w:val="0047713F"/>
    <w:rsid w:val="0047717B"/>
    <w:rsid w:val="00477206"/>
    <w:rsid w:val="004778EE"/>
    <w:rsid w:val="00477981"/>
    <w:rsid w:val="00477D84"/>
    <w:rsid w:val="00480336"/>
    <w:rsid w:val="00480491"/>
    <w:rsid w:val="0048073C"/>
    <w:rsid w:val="00480857"/>
    <w:rsid w:val="00480873"/>
    <w:rsid w:val="00480B0C"/>
    <w:rsid w:val="00481AB0"/>
    <w:rsid w:val="004820DD"/>
    <w:rsid w:val="00482952"/>
    <w:rsid w:val="00482CCA"/>
    <w:rsid w:val="00482CF5"/>
    <w:rsid w:val="00483065"/>
    <w:rsid w:val="00483967"/>
    <w:rsid w:val="004845EB"/>
    <w:rsid w:val="00485566"/>
    <w:rsid w:val="004856E9"/>
    <w:rsid w:val="004859A5"/>
    <w:rsid w:val="00485BBE"/>
    <w:rsid w:val="00485E14"/>
    <w:rsid w:val="00486079"/>
    <w:rsid w:val="004869BB"/>
    <w:rsid w:val="004869C8"/>
    <w:rsid w:val="00486CC3"/>
    <w:rsid w:val="00487EBA"/>
    <w:rsid w:val="004904D2"/>
    <w:rsid w:val="004906E8"/>
    <w:rsid w:val="00490A8A"/>
    <w:rsid w:val="00491157"/>
    <w:rsid w:val="004913C9"/>
    <w:rsid w:val="0049167B"/>
    <w:rsid w:val="00491749"/>
    <w:rsid w:val="00491811"/>
    <w:rsid w:val="00491F42"/>
    <w:rsid w:val="00492B63"/>
    <w:rsid w:val="00493091"/>
    <w:rsid w:val="004932F6"/>
    <w:rsid w:val="004942F1"/>
    <w:rsid w:val="00494D7F"/>
    <w:rsid w:val="004952D8"/>
    <w:rsid w:val="00495771"/>
    <w:rsid w:val="0049624B"/>
    <w:rsid w:val="004974CF"/>
    <w:rsid w:val="00497677"/>
    <w:rsid w:val="004978C4"/>
    <w:rsid w:val="00497E98"/>
    <w:rsid w:val="004A01C6"/>
    <w:rsid w:val="004A0623"/>
    <w:rsid w:val="004A07F1"/>
    <w:rsid w:val="004A0A74"/>
    <w:rsid w:val="004A10B6"/>
    <w:rsid w:val="004A10DC"/>
    <w:rsid w:val="004A1F35"/>
    <w:rsid w:val="004A2574"/>
    <w:rsid w:val="004A2A2C"/>
    <w:rsid w:val="004A2C17"/>
    <w:rsid w:val="004A2CD9"/>
    <w:rsid w:val="004A3037"/>
    <w:rsid w:val="004A3BB4"/>
    <w:rsid w:val="004A3D38"/>
    <w:rsid w:val="004A42FB"/>
    <w:rsid w:val="004A432B"/>
    <w:rsid w:val="004A44CC"/>
    <w:rsid w:val="004A51DE"/>
    <w:rsid w:val="004A56B7"/>
    <w:rsid w:val="004A571A"/>
    <w:rsid w:val="004A6452"/>
    <w:rsid w:val="004A6791"/>
    <w:rsid w:val="004A689A"/>
    <w:rsid w:val="004A69AA"/>
    <w:rsid w:val="004A6C39"/>
    <w:rsid w:val="004A713B"/>
    <w:rsid w:val="004A75F1"/>
    <w:rsid w:val="004B0CF9"/>
    <w:rsid w:val="004B0F65"/>
    <w:rsid w:val="004B1286"/>
    <w:rsid w:val="004B1810"/>
    <w:rsid w:val="004B1F8C"/>
    <w:rsid w:val="004B2074"/>
    <w:rsid w:val="004B21FE"/>
    <w:rsid w:val="004B244B"/>
    <w:rsid w:val="004B2A01"/>
    <w:rsid w:val="004B2A27"/>
    <w:rsid w:val="004B3121"/>
    <w:rsid w:val="004B3144"/>
    <w:rsid w:val="004B363E"/>
    <w:rsid w:val="004B3983"/>
    <w:rsid w:val="004B3CC9"/>
    <w:rsid w:val="004B3E04"/>
    <w:rsid w:val="004B3F59"/>
    <w:rsid w:val="004B41C6"/>
    <w:rsid w:val="004B4252"/>
    <w:rsid w:val="004B43FB"/>
    <w:rsid w:val="004B446C"/>
    <w:rsid w:val="004B4A74"/>
    <w:rsid w:val="004B4D4F"/>
    <w:rsid w:val="004B4DCF"/>
    <w:rsid w:val="004B4E41"/>
    <w:rsid w:val="004B4EF7"/>
    <w:rsid w:val="004B51CF"/>
    <w:rsid w:val="004B605D"/>
    <w:rsid w:val="004B631E"/>
    <w:rsid w:val="004B6789"/>
    <w:rsid w:val="004B6EFE"/>
    <w:rsid w:val="004B7273"/>
    <w:rsid w:val="004B7617"/>
    <w:rsid w:val="004C0151"/>
    <w:rsid w:val="004C08F8"/>
    <w:rsid w:val="004C0A45"/>
    <w:rsid w:val="004C0E26"/>
    <w:rsid w:val="004C1620"/>
    <w:rsid w:val="004C18AA"/>
    <w:rsid w:val="004C19D9"/>
    <w:rsid w:val="004C265D"/>
    <w:rsid w:val="004C274E"/>
    <w:rsid w:val="004C282F"/>
    <w:rsid w:val="004C28B3"/>
    <w:rsid w:val="004C2A41"/>
    <w:rsid w:val="004C2A4E"/>
    <w:rsid w:val="004C2C90"/>
    <w:rsid w:val="004C2F34"/>
    <w:rsid w:val="004C2F99"/>
    <w:rsid w:val="004C36BA"/>
    <w:rsid w:val="004C38DF"/>
    <w:rsid w:val="004C428E"/>
    <w:rsid w:val="004C43A9"/>
    <w:rsid w:val="004C4D46"/>
    <w:rsid w:val="004C4F34"/>
    <w:rsid w:val="004C5405"/>
    <w:rsid w:val="004C5844"/>
    <w:rsid w:val="004C5E07"/>
    <w:rsid w:val="004C5F07"/>
    <w:rsid w:val="004C6536"/>
    <w:rsid w:val="004C6B18"/>
    <w:rsid w:val="004C6E71"/>
    <w:rsid w:val="004C7176"/>
    <w:rsid w:val="004C74AF"/>
    <w:rsid w:val="004C7716"/>
    <w:rsid w:val="004C77FA"/>
    <w:rsid w:val="004C782E"/>
    <w:rsid w:val="004C7B5D"/>
    <w:rsid w:val="004D00C8"/>
    <w:rsid w:val="004D0D3F"/>
    <w:rsid w:val="004D1015"/>
    <w:rsid w:val="004D1928"/>
    <w:rsid w:val="004D2243"/>
    <w:rsid w:val="004D3CED"/>
    <w:rsid w:val="004D40CF"/>
    <w:rsid w:val="004D4926"/>
    <w:rsid w:val="004D49D2"/>
    <w:rsid w:val="004D4B23"/>
    <w:rsid w:val="004D4BFE"/>
    <w:rsid w:val="004D4D7A"/>
    <w:rsid w:val="004D4F6C"/>
    <w:rsid w:val="004D5846"/>
    <w:rsid w:val="004D5FE6"/>
    <w:rsid w:val="004D60A2"/>
    <w:rsid w:val="004D635F"/>
    <w:rsid w:val="004D677D"/>
    <w:rsid w:val="004D7125"/>
    <w:rsid w:val="004D7356"/>
    <w:rsid w:val="004D79BF"/>
    <w:rsid w:val="004D7EA6"/>
    <w:rsid w:val="004E02BF"/>
    <w:rsid w:val="004E0641"/>
    <w:rsid w:val="004E090B"/>
    <w:rsid w:val="004E09CD"/>
    <w:rsid w:val="004E0C2C"/>
    <w:rsid w:val="004E0D72"/>
    <w:rsid w:val="004E11C9"/>
    <w:rsid w:val="004E16EE"/>
    <w:rsid w:val="004E1F19"/>
    <w:rsid w:val="004E2321"/>
    <w:rsid w:val="004E2774"/>
    <w:rsid w:val="004E29C4"/>
    <w:rsid w:val="004E2BEB"/>
    <w:rsid w:val="004E3B84"/>
    <w:rsid w:val="004E3D2A"/>
    <w:rsid w:val="004E3F7C"/>
    <w:rsid w:val="004E3FE9"/>
    <w:rsid w:val="004E451D"/>
    <w:rsid w:val="004E4BFF"/>
    <w:rsid w:val="004E50BF"/>
    <w:rsid w:val="004E550E"/>
    <w:rsid w:val="004E7021"/>
    <w:rsid w:val="004E76EC"/>
    <w:rsid w:val="004E7876"/>
    <w:rsid w:val="004E7965"/>
    <w:rsid w:val="004F08E8"/>
    <w:rsid w:val="004F0974"/>
    <w:rsid w:val="004F2015"/>
    <w:rsid w:val="004F20FC"/>
    <w:rsid w:val="004F27DC"/>
    <w:rsid w:val="004F2869"/>
    <w:rsid w:val="004F2FCC"/>
    <w:rsid w:val="004F30F9"/>
    <w:rsid w:val="004F32F5"/>
    <w:rsid w:val="004F3531"/>
    <w:rsid w:val="004F3CF0"/>
    <w:rsid w:val="004F3ED4"/>
    <w:rsid w:val="004F4525"/>
    <w:rsid w:val="004F5166"/>
    <w:rsid w:val="004F5173"/>
    <w:rsid w:val="004F58ED"/>
    <w:rsid w:val="004F6145"/>
    <w:rsid w:val="004F66CB"/>
    <w:rsid w:val="004F6B39"/>
    <w:rsid w:val="004F6E80"/>
    <w:rsid w:val="004F6FD5"/>
    <w:rsid w:val="004F75A6"/>
    <w:rsid w:val="004F7E94"/>
    <w:rsid w:val="0050084C"/>
    <w:rsid w:val="00500886"/>
    <w:rsid w:val="005008C2"/>
    <w:rsid w:val="00500BF0"/>
    <w:rsid w:val="005013AC"/>
    <w:rsid w:val="00501B04"/>
    <w:rsid w:val="00501C7D"/>
    <w:rsid w:val="0050340D"/>
    <w:rsid w:val="005037B4"/>
    <w:rsid w:val="00503925"/>
    <w:rsid w:val="00503DCA"/>
    <w:rsid w:val="00503E0A"/>
    <w:rsid w:val="005041FC"/>
    <w:rsid w:val="005046EB"/>
    <w:rsid w:val="00504D05"/>
    <w:rsid w:val="0050521F"/>
    <w:rsid w:val="005053E3"/>
    <w:rsid w:val="005058A1"/>
    <w:rsid w:val="0050613A"/>
    <w:rsid w:val="00506226"/>
    <w:rsid w:val="00506798"/>
    <w:rsid w:val="005079A8"/>
    <w:rsid w:val="005103B6"/>
    <w:rsid w:val="00510D24"/>
    <w:rsid w:val="00510D63"/>
    <w:rsid w:val="0051131F"/>
    <w:rsid w:val="00511DEE"/>
    <w:rsid w:val="005120F1"/>
    <w:rsid w:val="005129B4"/>
    <w:rsid w:val="005138F6"/>
    <w:rsid w:val="0051441F"/>
    <w:rsid w:val="00514569"/>
    <w:rsid w:val="0051475C"/>
    <w:rsid w:val="005147D9"/>
    <w:rsid w:val="00514AF4"/>
    <w:rsid w:val="00514FD6"/>
    <w:rsid w:val="00515DC7"/>
    <w:rsid w:val="005170FA"/>
    <w:rsid w:val="00517D8D"/>
    <w:rsid w:val="00517E7A"/>
    <w:rsid w:val="0052019B"/>
    <w:rsid w:val="0052055A"/>
    <w:rsid w:val="005205BF"/>
    <w:rsid w:val="005206E7"/>
    <w:rsid w:val="00520B46"/>
    <w:rsid w:val="00520C95"/>
    <w:rsid w:val="00521072"/>
    <w:rsid w:val="00521ACC"/>
    <w:rsid w:val="005220DC"/>
    <w:rsid w:val="00522555"/>
    <w:rsid w:val="00522633"/>
    <w:rsid w:val="005226E6"/>
    <w:rsid w:val="00522CA8"/>
    <w:rsid w:val="00522DC3"/>
    <w:rsid w:val="00522FE3"/>
    <w:rsid w:val="00523407"/>
    <w:rsid w:val="00523955"/>
    <w:rsid w:val="00524F74"/>
    <w:rsid w:val="005251B2"/>
    <w:rsid w:val="0052531B"/>
    <w:rsid w:val="005253D1"/>
    <w:rsid w:val="0052585A"/>
    <w:rsid w:val="00525AB7"/>
    <w:rsid w:val="00525B44"/>
    <w:rsid w:val="005276A3"/>
    <w:rsid w:val="00527D8A"/>
    <w:rsid w:val="005305FA"/>
    <w:rsid w:val="00530850"/>
    <w:rsid w:val="00530A25"/>
    <w:rsid w:val="00530A78"/>
    <w:rsid w:val="005311C2"/>
    <w:rsid w:val="0053132B"/>
    <w:rsid w:val="00531A26"/>
    <w:rsid w:val="00531E8A"/>
    <w:rsid w:val="00532283"/>
    <w:rsid w:val="0053237D"/>
    <w:rsid w:val="005326BE"/>
    <w:rsid w:val="00532DF8"/>
    <w:rsid w:val="00533236"/>
    <w:rsid w:val="005332BB"/>
    <w:rsid w:val="005334F3"/>
    <w:rsid w:val="00533D30"/>
    <w:rsid w:val="00533E5D"/>
    <w:rsid w:val="00533E88"/>
    <w:rsid w:val="005345C6"/>
    <w:rsid w:val="00534A15"/>
    <w:rsid w:val="00535921"/>
    <w:rsid w:val="005359AE"/>
    <w:rsid w:val="00536286"/>
    <w:rsid w:val="00536E12"/>
    <w:rsid w:val="00537335"/>
    <w:rsid w:val="0053734D"/>
    <w:rsid w:val="00537C10"/>
    <w:rsid w:val="00540AF6"/>
    <w:rsid w:val="00540DB6"/>
    <w:rsid w:val="00540FB9"/>
    <w:rsid w:val="0054170F"/>
    <w:rsid w:val="00541A7C"/>
    <w:rsid w:val="00541AC5"/>
    <w:rsid w:val="00541E56"/>
    <w:rsid w:val="00542067"/>
    <w:rsid w:val="005422AE"/>
    <w:rsid w:val="005428AC"/>
    <w:rsid w:val="00542D6B"/>
    <w:rsid w:val="00542F91"/>
    <w:rsid w:val="00543133"/>
    <w:rsid w:val="005433F9"/>
    <w:rsid w:val="00543B20"/>
    <w:rsid w:val="00543DCA"/>
    <w:rsid w:val="005440C2"/>
    <w:rsid w:val="005442C8"/>
    <w:rsid w:val="0054454C"/>
    <w:rsid w:val="0054491D"/>
    <w:rsid w:val="005455DE"/>
    <w:rsid w:val="00545C79"/>
    <w:rsid w:val="0054650F"/>
    <w:rsid w:val="00546957"/>
    <w:rsid w:val="00546A99"/>
    <w:rsid w:val="0054715B"/>
    <w:rsid w:val="0054718A"/>
    <w:rsid w:val="00547748"/>
    <w:rsid w:val="00547CE9"/>
    <w:rsid w:val="00547DE6"/>
    <w:rsid w:val="00547E9E"/>
    <w:rsid w:val="00550231"/>
    <w:rsid w:val="00550752"/>
    <w:rsid w:val="00550808"/>
    <w:rsid w:val="00550811"/>
    <w:rsid w:val="00550AB4"/>
    <w:rsid w:val="00550BCD"/>
    <w:rsid w:val="00550DF7"/>
    <w:rsid w:val="00551793"/>
    <w:rsid w:val="00551AA3"/>
    <w:rsid w:val="00551B56"/>
    <w:rsid w:val="0055224D"/>
    <w:rsid w:val="0055231A"/>
    <w:rsid w:val="005525FC"/>
    <w:rsid w:val="00552BA6"/>
    <w:rsid w:val="0055308F"/>
    <w:rsid w:val="00553503"/>
    <w:rsid w:val="00553767"/>
    <w:rsid w:val="00553A0C"/>
    <w:rsid w:val="00553DBA"/>
    <w:rsid w:val="00553FF0"/>
    <w:rsid w:val="005542DA"/>
    <w:rsid w:val="00554460"/>
    <w:rsid w:val="00554C3D"/>
    <w:rsid w:val="0055693F"/>
    <w:rsid w:val="00556CB3"/>
    <w:rsid w:val="00557264"/>
    <w:rsid w:val="005572C0"/>
    <w:rsid w:val="00557B13"/>
    <w:rsid w:val="00557FA4"/>
    <w:rsid w:val="00560063"/>
    <w:rsid w:val="00560161"/>
    <w:rsid w:val="00560267"/>
    <w:rsid w:val="005602C9"/>
    <w:rsid w:val="0056087D"/>
    <w:rsid w:val="00560B5A"/>
    <w:rsid w:val="00560B6A"/>
    <w:rsid w:val="00560DE6"/>
    <w:rsid w:val="0056120A"/>
    <w:rsid w:val="00561338"/>
    <w:rsid w:val="00561608"/>
    <w:rsid w:val="0056161A"/>
    <w:rsid w:val="00561636"/>
    <w:rsid w:val="00561B89"/>
    <w:rsid w:val="00561EBB"/>
    <w:rsid w:val="005620C0"/>
    <w:rsid w:val="00562245"/>
    <w:rsid w:val="005625C3"/>
    <w:rsid w:val="0056297C"/>
    <w:rsid w:val="00562C45"/>
    <w:rsid w:val="00562C50"/>
    <w:rsid w:val="00562E7E"/>
    <w:rsid w:val="00563C33"/>
    <w:rsid w:val="005649CC"/>
    <w:rsid w:val="00564F2B"/>
    <w:rsid w:val="00565794"/>
    <w:rsid w:val="005658BF"/>
    <w:rsid w:val="00565A87"/>
    <w:rsid w:val="00565AE2"/>
    <w:rsid w:val="00566237"/>
    <w:rsid w:val="00566254"/>
    <w:rsid w:val="0056655B"/>
    <w:rsid w:val="005665DE"/>
    <w:rsid w:val="00567420"/>
    <w:rsid w:val="00570A47"/>
    <w:rsid w:val="00570C4D"/>
    <w:rsid w:val="005719E5"/>
    <w:rsid w:val="00571A6E"/>
    <w:rsid w:val="00571A95"/>
    <w:rsid w:val="00572227"/>
    <w:rsid w:val="005731B3"/>
    <w:rsid w:val="00573AB0"/>
    <w:rsid w:val="00574500"/>
    <w:rsid w:val="00574FA1"/>
    <w:rsid w:val="005763EB"/>
    <w:rsid w:val="00576466"/>
    <w:rsid w:val="005764F8"/>
    <w:rsid w:val="00576AF5"/>
    <w:rsid w:val="00576B4D"/>
    <w:rsid w:val="005779A1"/>
    <w:rsid w:val="00577BB3"/>
    <w:rsid w:val="00577F9E"/>
    <w:rsid w:val="005806D3"/>
    <w:rsid w:val="00580956"/>
    <w:rsid w:val="00580A10"/>
    <w:rsid w:val="00580D30"/>
    <w:rsid w:val="00582561"/>
    <w:rsid w:val="005825D5"/>
    <w:rsid w:val="00582AEA"/>
    <w:rsid w:val="00582D08"/>
    <w:rsid w:val="00582FE8"/>
    <w:rsid w:val="00583903"/>
    <w:rsid w:val="00583ACB"/>
    <w:rsid w:val="0058446E"/>
    <w:rsid w:val="00584970"/>
    <w:rsid w:val="00584B12"/>
    <w:rsid w:val="00584BC2"/>
    <w:rsid w:val="00585447"/>
    <w:rsid w:val="005858B4"/>
    <w:rsid w:val="00586149"/>
    <w:rsid w:val="00586788"/>
    <w:rsid w:val="005867F5"/>
    <w:rsid w:val="00586EA7"/>
    <w:rsid w:val="00587406"/>
    <w:rsid w:val="005877B2"/>
    <w:rsid w:val="00587E86"/>
    <w:rsid w:val="005900B8"/>
    <w:rsid w:val="005906A5"/>
    <w:rsid w:val="00590C57"/>
    <w:rsid w:val="00590C83"/>
    <w:rsid w:val="00590E1E"/>
    <w:rsid w:val="00591923"/>
    <w:rsid w:val="00591D85"/>
    <w:rsid w:val="00591FD5"/>
    <w:rsid w:val="005926D0"/>
    <w:rsid w:val="00592D5A"/>
    <w:rsid w:val="00592ED3"/>
    <w:rsid w:val="005937CB"/>
    <w:rsid w:val="00593D1B"/>
    <w:rsid w:val="00593F66"/>
    <w:rsid w:val="00594D21"/>
    <w:rsid w:val="00594E50"/>
    <w:rsid w:val="005954F3"/>
    <w:rsid w:val="005955F7"/>
    <w:rsid w:val="00595830"/>
    <w:rsid w:val="00596427"/>
    <w:rsid w:val="00597135"/>
    <w:rsid w:val="005A0008"/>
    <w:rsid w:val="005A100F"/>
    <w:rsid w:val="005A148D"/>
    <w:rsid w:val="005A155E"/>
    <w:rsid w:val="005A1B6C"/>
    <w:rsid w:val="005A1E2D"/>
    <w:rsid w:val="005A224D"/>
    <w:rsid w:val="005A22ED"/>
    <w:rsid w:val="005A2317"/>
    <w:rsid w:val="005A2CD1"/>
    <w:rsid w:val="005A325F"/>
    <w:rsid w:val="005A3A70"/>
    <w:rsid w:val="005A3BB2"/>
    <w:rsid w:val="005A3CAD"/>
    <w:rsid w:val="005A402E"/>
    <w:rsid w:val="005A40F3"/>
    <w:rsid w:val="005A41A6"/>
    <w:rsid w:val="005A4243"/>
    <w:rsid w:val="005A4965"/>
    <w:rsid w:val="005A505B"/>
    <w:rsid w:val="005A562E"/>
    <w:rsid w:val="005A5742"/>
    <w:rsid w:val="005A5A3A"/>
    <w:rsid w:val="005A629E"/>
    <w:rsid w:val="005A63DA"/>
    <w:rsid w:val="005A6538"/>
    <w:rsid w:val="005A7280"/>
    <w:rsid w:val="005A728B"/>
    <w:rsid w:val="005A72A4"/>
    <w:rsid w:val="005A7840"/>
    <w:rsid w:val="005A7A66"/>
    <w:rsid w:val="005A7F70"/>
    <w:rsid w:val="005A7F78"/>
    <w:rsid w:val="005B00B5"/>
    <w:rsid w:val="005B07B1"/>
    <w:rsid w:val="005B11E7"/>
    <w:rsid w:val="005B12A2"/>
    <w:rsid w:val="005B138C"/>
    <w:rsid w:val="005B16D4"/>
    <w:rsid w:val="005B1E12"/>
    <w:rsid w:val="005B2AB0"/>
    <w:rsid w:val="005B2DCA"/>
    <w:rsid w:val="005B3124"/>
    <w:rsid w:val="005B3317"/>
    <w:rsid w:val="005B3992"/>
    <w:rsid w:val="005B39D2"/>
    <w:rsid w:val="005B3E6A"/>
    <w:rsid w:val="005B4289"/>
    <w:rsid w:val="005B42BF"/>
    <w:rsid w:val="005B4DBA"/>
    <w:rsid w:val="005B5369"/>
    <w:rsid w:val="005B53AC"/>
    <w:rsid w:val="005B703F"/>
    <w:rsid w:val="005B76FA"/>
    <w:rsid w:val="005B7BCE"/>
    <w:rsid w:val="005C0409"/>
    <w:rsid w:val="005C0826"/>
    <w:rsid w:val="005C0AB3"/>
    <w:rsid w:val="005C0FF7"/>
    <w:rsid w:val="005C16C2"/>
    <w:rsid w:val="005C2590"/>
    <w:rsid w:val="005C296F"/>
    <w:rsid w:val="005C2D37"/>
    <w:rsid w:val="005C2D80"/>
    <w:rsid w:val="005C3011"/>
    <w:rsid w:val="005C33B4"/>
    <w:rsid w:val="005C35B0"/>
    <w:rsid w:val="005C3C04"/>
    <w:rsid w:val="005C4623"/>
    <w:rsid w:val="005C53DB"/>
    <w:rsid w:val="005C59F0"/>
    <w:rsid w:val="005C6482"/>
    <w:rsid w:val="005C65D2"/>
    <w:rsid w:val="005C6B56"/>
    <w:rsid w:val="005C6B92"/>
    <w:rsid w:val="005C6FEA"/>
    <w:rsid w:val="005C7AF4"/>
    <w:rsid w:val="005C7FE6"/>
    <w:rsid w:val="005C7FE8"/>
    <w:rsid w:val="005D0649"/>
    <w:rsid w:val="005D099E"/>
    <w:rsid w:val="005D0A7F"/>
    <w:rsid w:val="005D0A81"/>
    <w:rsid w:val="005D0DC7"/>
    <w:rsid w:val="005D1183"/>
    <w:rsid w:val="005D15E8"/>
    <w:rsid w:val="005D1AFB"/>
    <w:rsid w:val="005D1BDD"/>
    <w:rsid w:val="005D2150"/>
    <w:rsid w:val="005D24F6"/>
    <w:rsid w:val="005D26C5"/>
    <w:rsid w:val="005D30A0"/>
    <w:rsid w:val="005D30AB"/>
    <w:rsid w:val="005D31E1"/>
    <w:rsid w:val="005D3476"/>
    <w:rsid w:val="005D3DBE"/>
    <w:rsid w:val="005D3E75"/>
    <w:rsid w:val="005D3F2D"/>
    <w:rsid w:val="005D3F4E"/>
    <w:rsid w:val="005D3F87"/>
    <w:rsid w:val="005D41DA"/>
    <w:rsid w:val="005D4D9B"/>
    <w:rsid w:val="005D4E9A"/>
    <w:rsid w:val="005D565F"/>
    <w:rsid w:val="005D589C"/>
    <w:rsid w:val="005D6074"/>
    <w:rsid w:val="005D628E"/>
    <w:rsid w:val="005D6C5C"/>
    <w:rsid w:val="005D70A7"/>
    <w:rsid w:val="005D761A"/>
    <w:rsid w:val="005D7653"/>
    <w:rsid w:val="005D7D43"/>
    <w:rsid w:val="005D7EA5"/>
    <w:rsid w:val="005D7F1D"/>
    <w:rsid w:val="005E12FC"/>
    <w:rsid w:val="005E2E9C"/>
    <w:rsid w:val="005E2F1B"/>
    <w:rsid w:val="005E335B"/>
    <w:rsid w:val="005E38AF"/>
    <w:rsid w:val="005E40BE"/>
    <w:rsid w:val="005E43CC"/>
    <w:rsid w:val="005E4DBD"/>
    <w:rsid w:val="005E6213"/>
    <w:rsid w:val="005E66D6"/>
    <w:rsid w:val="005E6AD9"/>
    <w:rsid w:val="005E6E04"/>
    <w:rsid w:val="005E71A5"/>
    <w:rsid w:val="005E7466"/>
    <w:rsid w:val="005E7754"/>
    <w:rsid w:val="005E7E67"/>
    <w:rsid w:val="005E7E7E"/>
    <w:rsid w:val="005F018D"/>
    <w:rsid w:val="005F12AC"/>
    <w:rsid w:val="005F188F"/>
    <w:rsid w:val="005F1A63"/>
    <w:rsid w:val="005F1EF0"/>
    <w:rsid w:val="005F255A"/>
    <w:rsid w:val="005F27BB"/>
    <w:rsid w:val="005F2D77"/>
    <w:rsid w:val="005F307D"/>
    <w:rsid w:val="005F343F"/>
    <w:rsid w:val="005F36F2"/>
    <w:rsid w:val="005F44AA"/>
    <w:rsid w:val="005F475F"/>
    <w:rsid w:val="005F4C6E"/>
    <w:rsid w:val="005F4DB9"/>
    <w:rsid w:val="005F50F5"/>
    <w:rsid w:val="005F52BD"/>
    <w:rsid w:val="005F587F"/>
    <w:rsid w:val="005F5D49"/>
    <w:rsid w:val="005F5DBA"/>
    <w:rsid w:val="005F5FB9"/>
    <w:rsid w:val="005F6D29"/>
    <w:rsid w:val="005F6FF1"/>
    <w:rsid w:val="005F71C2"/>
    <w:rsid w:val="005F7351"/>
    <w:rsid w:val="005F7634"/>
    <w:rsid w:val="005F781B"/>
    <w:rsid w:val="005F79E9"/>
    <w:rsid w:val="005F7E4C"/>
    <w:rsid w:val="00600A39"/>
    <w:rsid w:val="00600A9D"/>
    <w:rsid w:val="00600EA7"/>
    <w:rsid w:val="00601037"/>
    <w:rsid w:val="0060128C"/>
    <w:rsid w:val="00601415"/>
    <w:rsid w:val="006018E8"/>
    <w:rsid w:val="006021B7"/>
    <w:rsid w:val="0060223E"/>
    <w:rsid w:val="006027E9"/>
    <w:rsid w:val="00602B86"/>
    <w:rsid w:val="006031DA"/>
    <w:rsid w:val="00603AE8"/>
    <w:rsid w:val="0060409C"/>
    <w:rsid w:val="006041F2"/>
    <w:rsid w:val="006042DA"/>
    <w:rsid w:val="00604519"/>
    <w:rsid w:val="0060498F"/>
    <w:rsid w:val="00604C30"/>
    <w:rsid w:val="00604FF4"/>
    <w:rsid w:val="00605096"/>
    <w:rsid w:val="00605211"/>
    <w:rsid w:val="00605DF5"/>
    <w:rsid w:val="00606651"/>
    <w:rsid w:val="006070A1"/>
    <w:rsid w:val="006072D3"/>
    <w:rsid w:val="006072F7"/>
    <w:rsid w:val="006075CA"/>
    <w:rsid w:val="00607EEE"/>
    <w:rsid w:val="00607FDC"/>
    <w:rsid w:val="006102AF"/>
    <w:rsid w:val="006109C8"/>
    <w:rsid w:val="00610C4A"/>
    <w:rsid w:val="006114B9"/>
    <w:rsid w:val="0061195A"/>
    <w:rsid w:val="00611C5A"/>
    <w:rsid w:val="00611DF4"/>
    <w:rsid w:val="00612785"/>
    <w:rsid w:val="00612B69"/>
    <w:rsid w:val="00612CC3"/>
    <w:rsid w:val="00612CFC"/>
    <w:rsid w:val="006136D4"/>
    <w:rsid w:val="00613D92"/>
    <w:rsid w:val="00613FA7"/>
    <w:rsid w:val="00614050"/>
    <w:rsid w:val="0061438C"/>
    <w:rsid w:val="00614811"/>
    <w:rsid w:val="0061491B"/>
    <w:rsid w:val="00614E90"/>
    <w:rsid w:val="00615398"/>
    <w:rsid w:val="00615628"/>
    <w:rsid w:val="006156C4"/>
    <w:rsid w:val="00615CB3"/>
    <w:rsid w:val="00615E73"/>
    <w:rsid w:val="00616069"/>
    <w:rsid w:val="006164B6"/>
    <w:rsid w:val="0061692E"/>
    <w:rsid w:val="00616B38"/>
    <w:rsid w:val="00617346"/>
    <w:rsid w:val="006178B2"/>
    <w:rsid w:val="00617AA3"/>
    <w:rsid w:val="00617CA4"/>
    <w:rsid w:val="006200F2"/>
    <w:rsid w:val="006202BF"/>
    <w:rsid w:val="00620762"/>
    <w:rsid w:val="00620807"/>
    <w:rsid w:val="00620811"/>
    <w:rsid w:val="00620871"/>
    <w:rsid w:val="0062121D"/>
    <w:rsid w:val="00621C92"/>
    <w:rsid w:val="00621E83"/>
    <w:rsid w:val="00622144"/>
    <w:rsid w:val="0062265B"/>
    <w:rsid w:val="006226AE"/>
    <w:rsid w:val="00622833"/>
    <w:rsid w:val="00622979"/>
    <w:rsid w:val="00622A13"/>
    <w:rsid w:val="00622BF0"/>
    <w:rsid w:val="00622D60"/>
    <w:rsid w:val="006230AB"/>
    <w:rsid w:val="00624227"/>
    <w:rsid w:val="00624274"/>
    <w:rsid w:val="00624351"/>
    <w:rsid w:val="00624450"/>
    <w:rsid w:val="00624887"/>
    <w:rsid w:val="006249D3"/>
    <w:rsid w:val="00624C55"/>
    <w:rsid w:val="0062580C"/>
    <w:rsid w:val="006258F3"/>
    <w:rsid w:val="00625BF5"/>
    <w:rsid w:val="006262AD"/>
    <w:rsid w:val="00627602"/>
    <w:rsid w:val="0062776E"/>
    <w:rsid w:val="00627C5E"/>
    <w:rsid w:val="006305D0"/>
    <w:rsid w:val="006307EA"/>
    <w:rsid w:val="0063095B"/>
    <w:rsid w:val="00630B85"/>
    <w:rsid w:val="00630F20"/>
    <w:rsid w:val="00630F79"/>
    <w:rsid w:val="006311B6"/>
    <w:rsid w:val="00631BA6"/>
    <w:rsid w:val="00631BC3"/>
    <w:rsid w:val="00632353"/>
    <w:rsid w:val="006323F9"/>
    <w:rsid w:val="00633E7C"/>
    <w:rsid w:val="00633EE0"/>
    <w:rsid w:val="00634187"/>
    <w:rsid w:val="00634665"/>
    <w:rsid w:val="006348EE"/>
    <w:rsid w:val="00634BFA"/>
    <w:rsid w:val="00634C39"/>
    <w:rsid w:val="0063537E"/>
    <w:rsid w:val="006353E1"/>
    <w:rsid w:val="006365BD"/>
    <w:rsid w:val="00636CFB"/>
    <w:rsid w:val="0063700B"/>
    <w:rsid w:val="00637396"/>
    <w:rsid w:val="0063758D"/>
    <w:rsid w:val="0063777A"/>
    <w:rsid w:val="00637DD5"/>
    <w:rsid w:val="00641201"/>
    <w:rsid w:val="00641486"/>
    <w:rsid w:val="006414AE"/>
    <w:rsid w:val="006417E5"/>
    <w:rsid w:val="0064188B"/>
    <w:rsid w:val="00641A92"/>
    <w:rsid w:val="00641FDA"/>
    <w:rsid w:val="0064212C"/>
    <w:rsid w:val="00642501"/>
    <w:rsid w:val="00642B58"/>
    <w:rsid w:val="00643C1B"/>
    <w:rsid w:val="0064421C"/>
    <w:rsid w:val="006446E2"/>
    <w:rsid w:val="00644AA7"/>
    <w:rsid w:val="00644E43"/>
    <w:rsid w:val="006454C6"/>
    <w:rsid w:val="00645F7F"/>
    <w:rsid w:val="0064606A"/>
    <w:rsid w:val="00647547"/>
    <w:rsid w:val="00647C9A"/>
    <w:rsid w:val="006504D3"/>
    <w:rsid w:val="00650AFA"/>
    <w:rsid w:val="00650F78"/>
    <w:rsid w:val="00651115"/>
    <w:rsid w:val="0065144E"/>
    <w:rsid w:val="0065150A"/>
    <w:rsid w:val="00651BE3"/>
    <w:rsid w:val="00651DDE"/>
    <w:rsid w:val="006533C7"/>
    <w:rsid w:val="006536FB"/>
    <w:rsid w:val="00653C02"/>
    <w:rsid w:val="00653EDC"/>
    <w:rsid w:val="0065440C"/>
    <w:rsid w:val="00654ECE"/>
    <w:rsid w:val="00654F44"/>
    <w:rsid w:val="006553A6"/>
    <w:rsid w:val="00655D10"/>
    <w:rsid w:val="00655DBD"/>
    <w:rsid w:val="00655E0B"/>
    <w:rsid w:val="00655F1F"/>
    <w:rsid w:val="006561A0"/>
    <w:rsid w:val="006569AE"/>
    <w:rsid w:val="00656A03"/>
    <w:rsid w:val="00656C5F"/>
    <w:rsid w:val="00656FC0"/>
    <w:rsid w:val="006577C1"/>
    <w:rsid w:val="00657ADB"/>
    <w:rsid w:val="00657BA0"/>
    <w:rsid w:val="00657DDD"/>
    <w:rsid w:val="00660927"/>
    <w:rsid w:val="00660B89"/>
    <w:rsid w:val="0066114B"/>
    <w:rsid w:val="0066142C"/>
    <w:rsid w:val="0066152E"/>
    <w:rsid w:val="0066159B"/>
    <w:rsid w:val="00661AF9"/>
    <w:rsid w:val="0066256A"/>
    <w:rsid w:val="00662799"/>
    <w:rsid w:val="00662A7C"/>
    <w:rsid w:val="00662E9E"/>
    <w:rsid w:val="00662ED9"/>
    <w:rsid w:val="00663EDE"/>
    <w:rsid w:val="00663F76"/>
    <w:rsid w:val="00664C82"/>
    <w:rsid w:val="00665890"/>
    <w:rsid w:val="00665FDE"/>
    <w:rsid w:val="00667BE5"/>
    <w:rsid w:val="00667CFA"/>
    <w:rsid w:val="0067014E"/>
    <w:rsid w:val="00670C78"/>
    <w:rsid w:val="0067146F"/>
    <w:rsid w:val="00671559"/>
    <w:rsid w:val="006717CF"/>
    <w:rsid w:val="00671A1A"/>
    <w:rsid w:val="00672291"/>
    <w:rsid w:val="00672965"/>
    <w:rsid w:val="00672A32"/>
    <w:rsid w:val="006732EF"/>
    <w:rsid w:val="006735B6"/>
    <w:rsid w:val="0067505D"/>
    <w:rsid w:val="00675451"/>
    <w:rsid w:val="00675490"/>
    <w:rsid w:val="006755CF"/>
    <w:rsid w:val="00675820"/>
    <w:rsid w:val="00675C04"/>
    <w:rsid w:val="00675EDE"/>
    <w:rsid w:val="0067601C"/>
    <w:rsid w:val="006766F6"/>
    <w:rsid w:val="006769D1"/>
    <w:rsid w:val="006770E5"/>
    <w:rsid w:val="00680522"/>
    <w:rsid w:val="00680CEC"/>
    <w:rsid w:val="00680DE7"/>
    <w:rsid w:val="00681473"/>
    <w:rsid w:val="00681517"/>
    <w:rsid w:val="0068227F"/>
    <w:rsid w:val="00682285"/>
    <w:rsid w:val="00682D7C"/>
    <w:rsid w:val="006838C6"/>
    <w:rsid w:val="006839FF"/>
    <w:rsid w:val="00683F02"/>
    <w:rsid w:val="00684108"/>
    <w:rsid w:val="006841FF"/>
    <w:rsid w:val="0068464B"/>
    <w:rsid w:val="0068472A"/>
    <w:rsid w:val="0068485E"/>
    <w:rsid w:val="006849B6"/>
    <w:rsid w:val="00684ED5"/>
    <w:rsid w:val="00685412"/>
    <w:rsid w:val="0068567E"/>
    <w:rsid w:val="006859CD"/>
    <w:rsid w:val="00685A49"/>
    <w:rsid w:val="00685ECA"/>
    <w:rsid w:val="00686CFB"/>
    <w:rsid w:val="00687CA0"/>
    <w:rsid w:val="00687EAC"/>
    <w:rsid w:val="00690456"/>
    <w:rsid w:val="006904DD"/>
    <w:rsid w:val="00690BD2"/>
    <w:rsid w:val="00690D40"/>
    <w:rsid w:val="0069158D"/>
    <w:rsid w:val="00692221"/>
    <w:rsid w:val="00692480"/>
    <w:rsid w:val="006925BC"/>
    <w:rsid w:val="00692B3C"/>
    <w:rsid w:val="00693583"/>
    <w:rsid w:val="00693D0E"/>
    <w:rsid w:val="00693F19"/>
    <w:rsid w:val="006940EF"/>
    <w:rsid w:val="006942B9"/>
    <w:rsid w:val="006946FD"/>
    <w:rsid w:val="00694E51"/>
    <w:rsid w:val="00694EB7"/>
    <w:rsid w:val="006950F6"/>
    <w:rsid w:val="00695195"/>
    <w:rsid w:val="006960CB"/>
    <w:rsid w:val="0069630B"/>
    <w:rsid w:val="0069674C"/>
    <w:rsid w:val="00696C81"/>
    <w:rsid w:val="00696D8F"/>
    <w:rsid w:val="006970C4"/>
    <w:rsid w:val="006971B3"/>
    <w:rsid w:val="00697380"/>
    <w:rsid w:val="006977F0"/>
    <w:rsid w:val="006A0B3D"/>
    <w:rsid w:val="006A0E0B"/>
    <w:rsid w:val="006A0EB4"/>
    <w:rsid w:val="006A1A81"/>
    <w:rsid w:val="006A1B16"/>
    <w:rsid w:val="006A1B5C"/>
    <w:rsid w:val="006A1BB4"/>
    <w:rsid w:val="006A1C63"/>
    <w:rsid w:val="006A2574"/>
    <w:rsid w:val="006A257B"/>
    <w:rsid w:val="006A26D6"/>
    <w:rsid w:val="006A43BC"/>
    <w:rsid w:val="006A4500"/>
    <w:rsid w:val="006A48DA"/>
    <w:rsid w:val="006A4ADE"/>
    <w:rsid w:val="006A4E09"/>
    <w:rsid w:val="006A4F49"/>
    <w:rsid w:val="006A5A38"/>
    <w:rsid w:val="006A5E15"/>
    <w:rsid w:val="006A6109"/>
    <w:rsid w:val="006A62D1"/>
    <w:rsid w:val="006A7546"/>
    <w:rsid w:val="006A7651"/>
    <w:rsid w:val="006A7909"/>
    <w:rsid w:val="006A7E5E"/>
    <w:rsid w:val="006B03C2"/>
    <w:rsid w:val="006B0FC1"/>
    <w:rsid w:val="006B11EC"/>
    <w:rsid w:val="006B1A30"/>
    <w:rsid w:val="006B29A8"/>
    <w:rsid w:val="006B2A10"/>
    <w:rsid w:val="006B2D1D"/>
    <w:rsid w:val="006B2F1E"/>
    <w:rsid w:val="006B44C9"/>
    <w:rsid w:val="006B4A87"/>
    <w:rsid w:val="006B5411"/>
    <w:rsid w:val="006B544F"/>
    <w:rsid w:val="006B5E84"/>
    <w:rsid w:val="006B64EA"/>
    <w:rsid w:val="006B6F0C"/>
    <w:rsid w:val="006B719D"/>
    <w:rsid w:val="006B727C"/>
    <w:rsid w:val="006B7C48"/>
    <w:rsid w:val="006B7F39"/>
    <w:rsid w:val="006C015E"/>
    <w:rsid w:val="006C02EC"/>
    <w:rsid w:val="006C0E4B"/>
    <w:rsid w:val="006C11DF"/>
    <w:rsid w:val="006C1401"/>
    <w:rsid w:val="006C17FF"/>
    <w:rsid w:val="006C1B47"/>
    <w:rsid w:val="006C1B6C"/>
    <w:rsid w:val="006C1EC2"/>
    <w:rsid w:val="006C2572"/>
    <w:rsid w:val="006C282C"/>
    <w:rsid w:val="006C2B55"/>
    <w:rsid w:val="006C38C5"/>
    <w:rsid w:val="006C421F"/>
    <w:rsid w:val="006C4325"/>
    <w:rsid w:val="006C43F5"/>
    <w:rsid w:val="006C46BB"/>
    <w:rsid w:val="006C4931"/>
    <w:rsid w:val="006C499D"/>
    <w:rsid w:val="006C49B8"/>
    <w:rsid w:val="006C4A22"/>
    <w:rsid w:val="006C4EE8"/>
    <w:rsid w:val="006C5103"/>
    <w:rsid w:val="006C5118"/>
    <w:rsid w:val="006C545B"/>
    <w:rsid w:val="006C56A7"/>
    <w:rsid w:val="006C5BAF"/>
    <w:rsid w:val="006C60B9"/>
    <w:rsid w:val="006C7233"/>
    <w:rsid w:val="006C763B"/>
    <w:rsid w:val="006C7C73"/>
    <w:rsid w:val="006C7CAE"/>
    <w:rsid w:val="006C7CBF"/>
    <w:rsid w:val="006C7E12"/>
    <w:rsid w:val="006D039D"/>
    <w:rsid w:val="006D0B92"/>
    <w:rsid w:val="006D0C67"/>
    <w:rsid w:val="006D0C99"/>
    <w:rsid w:val="006D1371"/>
    <w:rsid w:val="006D1A7D"/>
    <w:rsid w:val="006D1CE3"/>
    <w:rsid w:val="006D1D05"/>
    <w:rsid w:val="006D24DD"/>
    <w:rsid w:val="006D31F1"/>
    <w:rsid w:val="006D3373"/>
    <w:rsid w:val="006D3A77"/>
    <w:rsid w:val="006D3C37"/>
    <w:rsid w:val="006D4076"/>
    <w:rsid w:val="006D4722"/>
    <w:rsid w:val="006D4C07"/>
    <w:rsid w:val="006D4CC4"/>
    <w:rsid w:val="006D5568"/>
    <w:rsid w:val="006D55EA"/>
    <w:rsid w:val="006D5733"/>
    <w:rsid w:val="006D5948"/>
    <w:rsid w:val="006D5F92"/>
    <w:rsid w:val="006D6AFB"/>
    <w:rsid w:val="006D6B58"/>
    <w:rsid w:val="006D70C2"/>
    <w:rsid w:val="006D7159"/>
    <w:rsid w:val="006D7DE7"/>
    <w:rsid w:val="006D7E0B"/>
    <w:rsid w:val="006E0099"/>
    <w:rsid w:val="006E01D1"/>
    <w:rsid w:val="006E04C3"/>
    <w:rsid w:val="006E0A8C"/>
    <w:rsid w:val="006E1978"/>
    <w:rsid w:val="006E1A6C"/>
    <w:rsid w:val="006E1B06"/>
    <w:rsid w:val="006E216F"/>
    <w:rsid w:val="006E21B1"/>
    <w:rsid w:val="006E234A"/>
    <w:rsid w:val="006E2C28"/>
    <w:rsid w:val="006E3336"/>
    <w:rsid w:val="006E3443"/>
    <w:rsid w:val="006E473B"/>
    <w:rsid w:val="006E4B34"/>
    <w:rsid w:val="006E5675"/>
    <w:rsid w:val="006E57F6"/>
    <w:rsid w:val="006E5873"/>
    <w:rsid w:val="006E59FC"/>
    <w:rsid w:val="006E5E60"/>
    <w:rsid w:val="006E745D"/>
    <w:rsid w:val="006E75C5"/>
    <w:rsid w:val="006F02DA"/>
    <w:rsid w:val="006F0FE0"/>
    <w:rsid w:val="006F1605"/>
    <w:rsid w:val="006F177F"/>
    <w:rsid w:val="006F24D7"/>
    <w:rsid w:val="006F2778"/>
    <w:rsid w:val="006F279F"/>
    <w:rsid w:val="006F29CF"/>
    <w:rsid w:val="006F2D8A"/>
    <w:rsid w:val="006F2F22"/>
    <w:rsid w:val="006F32A7"/>
    <w:rsid w:val="006F3534"/>
    <w:rsid w:val="006F36FD"/>
    <w:rsid w:val="006F3E3B"/>
    <w:rsid w:val="006F3EF7"/>
    <w:rsid w:val="006F472F"/>
    <w:rsid w:val="006F48FD"/>
    <w:rsid w:val="006F4CA8"/>
    <w:rsid w:val="006F4F1F"/>
    <w:rsid w:val="006F5128"/>
    <w:rsid w:val="006F5538"/>
    <w:rsid w:val="006F5829"/>
    <w:rsid w:val="006F5AA5"/>
    <w:rsid w:val="006F60B8"/>
    <w:rsid w:val="006F6263"/>
    <w:rsid w:val="006F64BD"/>
    <w:rsid w:val="006F6837"/>
    <w:rsid w:val="006F6DD4"/>
    <w:rsid w:val="006F7332"/>
    <w:rsid w:val="006F797E"/>
    <w:rsid w:val="006F7EBF"/>
    <w:rsid w:val="007001A9"/>
    <w:rsid w:val="00701190"/>
    <w:rsid w:val="007016F4"/>
    <w:rsid w:val="0070223C"/>
    <w:rsid w:val="0070238B"/>
    <w:rsid w:val="00702DAB"/>
    <w:rsid w:val="007030AA"/>
    <w:rsid w:val="00704035"/>
    <w:rsid w:val="00704333"/>
    <w:rsid w:val="00704C15"/>
    <w:rsid w:val="00704C1D"/>
    <w:rsid w:val="007052D8"/>
    <w:rsid w:val="0070533E"/>
    <w:rsid w:val="007058B5"/>
    <w:rsid w:val="00706551"/>
    <w:rsid w:val="00707168"/>
    <w:rsid w:val="007072B5"/>
    <w:rsid w:val="007076DA"/>
    <w:rsid w:val="00707759"/>
    <w:rsid w:val="007079C4"/>
    <w:rsid w:val="00707A12"/>
    <w:rsid w:val="00710688"/>
    <w:rsid w:val="00710D5B"/>
    <w:rsid w:val="00711883"/>
    <w:rsid w:val="00711B4B"/>
    <w:rsid w:val="007123EF"/>
    <w:rsid w:val="00712528"/>
    <w:rsid w:val="00712E59"/>
    <w:rsid w:val="00712F89"/>
    <w:rsid w:val="00713A17"/>
    <w:rsid w:val="00713A7B"/>
    <w:rsid w:val="00713FB5"/>
    <w:rsid w:val="007143CF"/>
    <w:rsid w:val="007153FD"/>
    <w:rsid w:val="00715689"/>
    <w:rsid w:val="00715EB0"/>
    <w:rsid w:val="00716514"/>
    <w:rsid w:val="007170C6"/>
    <w:rsid w:val="007171D6"/>
    <w:rsid w:val="007179DA"/>
    <w:rsid w:val="00717DC8"/>
    <w:rsid w:val="00720007"/>
    <w:rsid w:val="007205AC"/>
    <w:rsid w:val="0072136D"/>
    <w:rsid w:val="00721446"/>
    <w:rsid w:val="00721554"/>
    <w:rsid w:val="007223C5"/>
    <w:rsid w:val="0072247E"/>
    <w:rsid w:val="00722543"/>
    <w:rsid w:val="0072265C"/>
    <w:rsid w:val="0072271E"/>
    <w:rsid w:val="00722C2E"/>
    <w:rsid w:val="00723373"/>
    <w:rsid w:val="00723441"/>
    <w:rsid w:val="007235ED"/>
    <w:rsid w:val="00723D53"/>
    <w:rsid w:val="00723D79"/>
    <w:rsid w:val="00723D92"/>
    <w:rsid w:val="00723E35"/>
    <w:rsid w:val="00724204"/>
    <w:rsid w:val="007243DF"/>
    <w:rsid w:val="007245CE"/>
    <w:rsid w:val="00724967"/>
    <w:rsid w:val="00724DDD"/>
    <w:rsid w:val="0072507F"/>
    <w:rsid w:val="00725081"/>
    <w:rsid w:val="007254D4"/>
    <w:rsid w:val="007257D6"/>
    <w:rsid w:val="0072642A"/>
    <w:rsid w:val="0072678F"/>
    <w:rsid w:val="007268A4"/>
    <w:rsid w:val="00727219"/>
    <w:rsid w:val="00727C84"/>
    <w:rsid w:val="00730541"/>
    <w:rsid w:val="00730740"/>
    <w:rsid w:val="0073093E"/>
    <w:rsid w:val="00731954"/>
    <w:rsid w:val="00731B81"/>
    <w:rsid w:val="00732102"/>
    <w:rsid w:val="007322E7"/>
    <w:rsid w:val="0073232C"/>
    <w:rsid w:val="00732491"/>
    <w:rsid w:val="00732666"/>
    <w:rsid w:val="00733139"/>
    <w:rsid w:val="00733C0C"/>
    <w:rsid w:val="00733EC6"/>
    <w:rsid w:val="0073418C"/>
    <w:rsid w:val="00734FE7"/>
    <w:rsid w:val="00735150"/>
    <w:rsid w:val="00735A70"/>
    <w:rsid w:val="00736008"/>
    <w:rsid w:val="00736623"/>
    <w:rsid w:val="0073669D"/>
    <w:rsid w:val="0073673F"/>
    <w:rsid w:val="00736D68"/>
    <w:rsid w:val="00736FED"/>
    <w:rsid w:val="00737C45"/>
    <w:rsid w:val="00737F2A"/>
    <w:rsid w:val="00740A03"/>
    <w:rsid w:val="0074116C"/>
    <w:rsid w:val="007415F9"/>
    <w:rsid w:val="007416B1"/>
    <w:rsid w:val="00742518"/>
    <w:rsid w:val="007427E3"/>
    <w:rsid w:val="00742B0E"/>
    <w:rsid w:val="007433C4"/>
    <w:rsid w:val="00743607"/>
    <w:rsid w:val="007446FF"/>
    <w:rsid w:val="00744A9B"/>
    <w:rsid w:val="007450CF"/>
    <w:rsid w:val="007459FE"/>
    <w:rsid w:val="00745DED"/>
    <w:rsid w:val="007462DD"/>
    <w:rsid w:val="0074643E"/>
    <w:rsid w:val="00746691"/>
    <w:rsid w:val="00746BF7"/>
    <w:rsid w:val="00747E6E"/>
    <w:rsid w:val="00747F7F"/>
    <w:rsid w:val="00750067"/>
    <w:rsid w:val="00750328"/>
    <w:rsid w:val="00750577"/>
    <w:rsid w:val="007506ED"/>
    <w:rsid w:val="0075129E"/>
    <w:rsid w:val="007513E0"/>
    <w:rsid w:val="007515F0"/>
    <w:rsid w:val="00751C4B"/>
    <w:rsid w:val="00751C71"/>
    <w:rsid w:val="00751E70"/>
    <w:rsid w:val="00751EA7"/>
    <w:rsid w:val="00751ED1"/>
    <w:rsid w:val="0075215F"/>
    <w:rsid w:val="007525AE"/>
    <w:rsid w:val="00752763"/>
    <w:rsid w:val="00752921"/>
    <w:rsid w:val="007529DD"/>
    <w:rsid w:val="00752C51"/>
    <w:rsid w:val="0075324C"/>
    <w:rsid w:val="007532EE"/>
    <w:rsid w:val="00753447"/>
    <w:rsid w:val="00753CB3"/>
    <w:rsid w:val="00754057"/>
    <w:rsid w:val="00754B7E"/>
    <w:rsid w:val="0075506A"/>
    <w:rsid w:val="00755719"/>
    <w:rsid w:val="00755C78"/>
    <w:rsid w:val="00755E6B"/>
    <w:rsid w:val="00756717"/>
    <w:rsid w:val="00756CD1"/>
    <w:rsid w:val="00756D92"/>
    <w:rsid w:val="00757708"/>
    <w:rsid w:val="00757F2F"/>
    <w:rsid w:val="0076025E"/>
    <w:rsid w:val="00760307"/>
    <w:rsid w:val="00760373"/>
    <w:rsid w:val="0076068C"/>
    <w:rsid w:val="00760AB1"/>
    <w:rsid w:val="00760ED5"/>
    <w:rsid w:val="007611D2"/>
    <w:rsid w:val="0076129F"/>
    <w:rsid w:val="00761469"/>
    <w:rsid w:val="00761C33"/>
    <w:rsid w:val="00761D3D"/>
    <w:rsid w:val="0076234D"/>
    <w:rsid w:val="00762F59"/>
    <w:rsid w:val="007633BF"/>
    <w:rsid w:val="0076370B"/>
    <w:rsid w:val="00763825"/>
    <w:rsid w:val="00764262"/>
    <w:rsid w:val="00764D27"/>
    <w:rsid w:val="00764D4B"/>
    <w:rsid w:val="00765252"/>
    <w:rsid w:val="00765376"/>
    <w:rsid w:val="00765DEE"/>
    <w:rsid w:val="00765FBD"/>
    <w:rsid w:val="00766596"/>
    <w:rsid w:val="00766712"/>
    <w:rsid w:val="00766E32"/>
    <w:rsid w:val="007678FC"/>
    <w:rsid w:val="007704E8"/>
    <w:rsid w:val="0077070D"/>
    <w:rsid w:val="00770B72"/>
    <w:rsid w:val="00771431"/>
    <w:rsid w:val="007716F3"/>
    <w:rsid w:val="00771B01"/>
    <w:rsid w:val="00771D77"/>
    <w:rsid w:val="00772572"/>
    <w:rsid w:val="00772DCE"/>
    <w:rsid w:val="00772EA6"/>
    <w:rsid w:val="00773484"/>
    <w:rsid w:val="00773714"/>
    <w:rsid w:val="00773DCF"/>
    <w:rsid w:val="00773E46"/>
    <w:rsid w:val="00773EF4"/>
    <w:rsid w:val="00774331"/>
    <w:rsid w:val="00774AE9"/>
    <w:rsid w:val="007751C8"/>
    <w:rsid w:val="007754E5"/>
    <w:rsid w:val="007755D1"/>
    <w:rsid w:val="00776077"/>
    <w:rsid w:val="00776662"/>
    <w:rsid w:val="0077672F"/>
    <w:rsid w:val="007768A2"/>
    <w:rsid w:val="00776C7A"/>
    <w:rsid w:val="00777056"/>
    <w:rsid w:val="0077710D"/>
    <w:rsid w:val="00777799"/>
    <w:rsid w:val="007779B1"/>
    <w:rsid w:val="00777EA7"/>
    <w:rsid w:val="00777F51"/>
    <w:rsid w:val="00780E04"/>
    <w:rsid w:val="0078103E"/>
    <w:rsid w:val="00781386"/>
    <w:rsid w:val="0078176F"/>
    <w:rsid w:val="00781E2D"/>
    <w:rsid w:val="00782204"/>
    <w:rsid w:val="00782284"/>
    <w:rsid w:val="00782466"/>
    <w:rsid w:val="00782627"/>
    <w:rsid w:val="00783353"/>
    <w:rsid w:val="0078371D"/>
    <w:rsid w:val="00784246"/>
    <w:rsid w:val="00784326"/>
    <w:rsid w:val="0078449A"/>
    <w:rsid w:val="00784E1E"/>
    <w:rsid w:val="0078521C"/>
    <w:rsid w:val="00785561"/>
    <w:rsid w:val="00785D35"/>
    <w:rsid w:val="007864DA"/>
    <w:rsid w:val="00786B8C"/>
    <w:rsid w:val="0078709A"/>
    <w:rsid w:val="00787380"/>
    <w:rsid w:val="00790100"/>
    <w:rsid w:val="00790274"/>
    <w:rsid w:val="007911A6"/>
    <w:rsid w:val="00791266"/>
    <w:rsid w:val="00791401"/>
    <w:rsid w:val="00791872"/>
    <w:rsid w:val="00791F71"/>
    <w:rsid w:val="007922E6"/>
    <w:rsid w:val="00792CB9"/>
    <w:rsid w:val="00792DF3"/>
    <w:rsid w:val="00792F13"/>
    <w:rsid w:val="00793427"/>
    <w:rsid w:val="00793514"/>
    <w:rsid w:val="007937A4"/>
    <w:rsid w:val="007938CC"/>
    <w:rsid w:val="00794361"/>
    <w:rsid w:val="00794817"/>
    <w:rsid w:val="007952E9"/>
    <w:rsid w:val="00795776"/>
    <w:rsid w:val="00795AA7"/>
    <w:rsid w:val="00795D63"/>
    <w:rsid w:val="007960E7"/>
    <w:rsid w:val="00796122"/>
    <w:rsid w:val="007962D9"/>
    <w:rsid w:val="007964AD"/>
    <w:rsid w:val="0079660F"/>
    <w:rsid w:val="00797162"/>
    <w:rsid w:val="007973FC"/>
    <w:rsid w:val="00797B78"/>
    <w:rsid w:val="00797C30"/>
    <w:rsid w:val="00797F3E"/>
    <w:rsid w:val="007A0153"/>
    <w:rsid w:val="007A0665"/>
    <w:rsid w:val="007A0A6C"/>
    <w:rsid w:val="007A145D"/>
    <w:rsid w:val="007A17A6"/>
    <w:rsid w:val="007A1C5F"/>
    <w:rsid w:val="007A1E85"/>
    <w:rsid w:val="007A1FAA"/>
    <w:rsid w:val="007A25F0"/>
    <w:rsid w:val="007A26AC"/>
    <w:rsid w:val="007A2C50"/>
    <w:rsid w:val="007A2F1F"/>
    <w:rsid w:val="007A4093"/>
    <w:rsid w:val="007A4252"/>
    <w:rsid w:val="007A460B"/>
    <w:rsid w:val="007A47D5"/>
    <w:rsid w:val="007A5E59"/>
    <w:rsid w:val="007A677F"/>
    <w:rsid w:val="007A6C0A"/>
    <w:rsid w:val="007A70F8"/>
    <w:rsid w:val="007A721E"/>
    <w:rsid w:val="007A7271"/>
    <w:rsid w:val="007A7C49"/>
    <w:rsid w:val="007B0115"/>
    <w:rsid w:val="007B11D2"/>
    <w:rsid w:val="007B1BED"/>
    <w:rsid w:val="007B20C8"/>
    <w:rsid w:val="007B2935"/>
    <w:rsid w:val="007B29FB"/>
    <w:rsid w:val="007B3C99"/>
    <w:rsid w:val="007B3CE8"/>
    <w:rsid w:val="007B3D0D"/>
    <w:rsid w:val="007B3E48"/>
    <w:rsid w:val="007B3F45"/>
    <w:rsid w:val="007B4B84"/>
    <w:rsid w:val="007B601A"/>
    <w:rsid w:val="007B60C0"/>
    <w:rsid w:val="007B6539"/>
    <w:rsid w:val="007B674C"/>
    <w:rsid w:val="007B6A0F"/>
    <w:rsid w:val="007B6AFA"/>
    <w:rsid w:val="007B6B4D"/>
    <w:rsid w:val="007B6C6C"/>
    <w:rsid w:val="007B761D"/>
    <w:rsid w:val="007B7916"/>
    <w:rsid w:val="007B7F0D"/>
    <w:rsid w:val="007C0029"/>
    <w:rsid w:val="007C0525"/>
    <w:rsid w:val="007C07B0"/>
    <w:rsid w:val="007C2649"/>
    <w:rsid w:val="007C265E"/>
    <w:rsid w:val="007C2A13"/>
    <w:rsid w:val="007C3539"/>
    <w:rsid w:val="007C36A1"/>
    <w:rsid w:val="007C3FCA"/>
    <w:rsid w:val="007C479E"/>
    <w:rsid w:val="007C5248"/>
    <w:rsid w:val="007C550C"/>
    <w:rsid w:val="007C566A"/>
    <w:rsid w:val="007C5DBA"/>
    <w:rsid w:val="007C5F01"/>
    <w:rsid w:val="007C5F64"/>
    <w:rsid w:val="007C62E9"/>
    <w:rsid w:val="007C6387"/>
    <w:rsid w:val="007C642D"/>
    <w:rsid w:val="007C6584"/>
    <w:rsid w:val="007C67D1"/>
    <w:rsid w:val="007C6E3A"/>
    <w:rsid w:val="007C76FF"/>
    <w:rsid w:val="007C7E5E"/>
    <w:rsid w:val="007D039A"/>
    <w:rsid w:val="007D0919"/>
    <w:rsid w:val="007D0A35"/>
    <w:rsid w:val="007D1296"/>
    <w:rsid w:val="007D13AA"/>
    <w:rsid w:val="007D18BA"/>
    <w:rsid w:val="007D1C95"/>
    <w:rsid w:val="007D22E2"/>
    <w:rsid w:val="007D2629"/>
    <w:rsid w:val="007D375A"/>
    <w:rsid w:val="007D3C67"/>
    <w:rsid w:val="007D4CE5"/>
    <w:rsid w:val="007D520E"/>
    <w:rsid w:val="007D55EE"/>
    <w:rsid w:val="007D5AE4"/>
    <w:rsid w:val="007D5F41"/>
    <w:rsid w:val="007D5F61"/>
    <w:rsid w:val="007D63CD"/>
    <w:rsid w:val="007D66B2"/>
    <w:rsid w:val="007D6B54"/>
    <w:rsid w:val="007D79F2"/>
    <w:rsid w:val="007D79F3"/>
    <w:rsid w:val="007D7B42"/>
    <w:rsid w:val="007D7C13"/>
    <w:rsid w:val="007D7FD6"/>
    <w:rsid w:val="007E0ABA"/>
    <w:rsid w:val="007E0C8A"/>
    <w:rsid w:val="007E0E2C"/>
    <w:rsid w:val="007E1451"/>
    <w:rsid w:val="007E1A27"/>
    <w:rsid w:val="007E1C3B"/>
    <w:rsid w:val="007E1E63"/>
    <w:rsid w:val="007E2871"/>
    <w:rsid w:val="007E2A07"/>
    <w:rsid w:val="007E2AF2"/>
    <w:rsid w:val="007E33F8"/>
    <w:rsid w:val="007E348C"/>
    <w:rsid w:val="007E3A16"/>
    <w:rsid w:val="007E41D7"/>
    <w:rsid w:val="007E42F7"/>
    <w:rsid w:val="007E4352"/>
    <w:rsid w:val="007E48F3"/>
    <w:rsid w:val="007E4C0C"/>
    <w:rsid w:val="007E4D6A"/>
    <w:rsid w:val="007E5344"/>
    <w:rsid w:val="007E5751"/>
    <w:rsid w:val="007E57E0"/>
    <w:rsid w:val="007E6654"/>
    <w:rsid w:val="007E68D9"/>
    <w:rsid w:val="007E6931"/>
    <w:rsid w:val="007E6A81"/>
    <w:rsid w:val="007E6D65"/>
    <w:rsid w:val="007E6E5A"/>
    <w:rsid w:val="007E70CE"/>
    <w:rsid w:val="007E7314"/>
    <w:rsid w:val="007E7441"/>
    <w:rsid w:val="007E7A16"/>
    <w:rsid w:val="007E7D7A"/>
    <w:rsid w:val="007F0CDA"/>
    <w:rsid w:val="007F0DCE"/>
    <w:rsid w:val="007F0E0F"/>
    <w:rsid w:val="007F10A5"/>
    <w:rsid w:val="007F1242"/>
    <w:rsid w:val="007F13F1"/>
    <w:rsid w:val="007F18A8"/>
    <w:rsid w:val="007F1B62"/>
    <w:rsid w:val="007F1F0B"/>
    <w:rsid w:val="007F1FF8"/>
    <w:rsid w:val="007F21A7"/>
    <w:rsid w:val="007F227A"/>
    <w:rsid w:val="007F24A1"/>
    <w:rsid w:val="007F34FE"/>
    <w:rsid w:val="007F35E0"/>
    <w:rsid w:val="007F379F"/>
    <w:rsid w:val="007F3C49"/>
    <w:rsid w:val="007F3F5F"/>
    <w:rsid w:val="007F48B3"/>
    <w:rsid w:val="007F56BA"/>
    <w:rsid w:val="007F5FAD"/>
    <w:rsid w:val="007F668A"/>
    <w:rsid w:val="007F7A99"/>
    <w:rsid w:val="00800330"/>
    <w:rsid w:val="00801C07"/>
    <w:rsid w:val="00801F6C"/>
    <w:rsid w:val="008021DD"/>
    <w:rsid w:val="008025D7"/>
    <w:rsid w:val="00802D42"/>
    <w:rsid w:val="0080317A"/>
    <w:rsid w:val="00803483"/>
    <w:rsid w:val="008034A0"/>
    <w:rsid w:val="00804048"/>
    <w:rsid w:val="00804310"/>
    <w:rsid w:val="008043E5"/>
    <w:rsid w:val="008045D3"/>
    <w:rsid w:val="00804733"/>
    <w:rsid w:val="00804CC8"/>
    <w:rsid w:val="00804F49"/>
    <w:rsid w:val="00805007"/>
    <w:rsid w:val="008053D7"/>
    <w:rsid w:val="008058A2"/>
    <w:rsid w:val="00805E2C"/>
    <w:rsid w:val="0080617B"/>
    <w:rsid w:val="00806943"/>
    <w:rsid w:val="00806A04"/>
    <w:rsid w:val="00806B1B"/>
    <w:rsid w:val="008073FE"/>
    <w:rsid w:val="00807452"/>
    <w:rsid w:val="008079BF"/>
    <w:rsid w:val="00807EAB"/>
    <w:rsid w:val="00810F51"/>
    <w:rsid w:val="00811B15"/>
    <w:rsid w:val="00811B92"/>
    <w:rsid w:val="00811BEB"/>
    <w:rsid w:val="008121D6"/>
    <w:rsid w:val="0081268A"/>
    <w:rsid w:val="00812A53"/>
    <w:rsid w:val="0081312C"/>
    <w:rsid w:val="00813471"/>
    <w:rsid w:val="008134E4"/>
    <w:rsid w:val="00814083"/>
    <w:rsid w:val="0081442C"/>
    <w:rsid w:val="00814BFC"/>
    <w:rsid w:val="00814E71"/>
    <w:rsid w:val="00814FE7"/>
    <w:rsid w:val="00815672"/>
    <w:rsid w:val="0081596E"/>
    <w:rsid w:val="0081600C"/>
    <w:rsid w:val="0081633F"/>
    <w:rsid w:val="00816BC6"/>
    <w:rsid w:val="008173E9"/>
    <w:rsid w:val="00817825"/>
    <w:rsid w:val="008179EB"/>
    <w:rsid w:val="00817A4A"/>
    <w:rsid w:val="00817ADC"/>
    <w:rsid w:val="00817AE6"/>
    <w:rsid w:val="00820E23"/>
    <w:rsid w:val="008217AE"/>
    <w:rsid w:val="00821A23"/>
    <w:rsid w:val="0082226C"/>
    <w:rsid w:val="0082260F"/>
    <w:rsid w:val="0082278A"/>
    <w:rsid w:val="008238E9"/>
    <w:rsid w:val="00823B71"/>
    <w:rsid w:val="008243FB"/>
    <w:rsid w:val="00825251"/>
    <w:rsid w:val="00825632"/>
    <w:rsid w:val="00825DEC"/>
    <w:rsid w:val="008264C4"/>
    <w:rsid w:val="00826CC2"/>
    <w:rsid w:val="00827274"/>
    <w:rsid w:val="008272FD"/>
    <w:rsid w:val="0082757C"/>
    <w:rsid w:val="0082770F"/>
    <w:rsid w:val="00827916"/>
    <w:rsid w:val="00827937"/>
    <w:rsid w:val="008279A8"/>
    <w:rsid w:val="00827B62"/>
    <w:rsid w:val="00827DBC"/>
    <w:rsid w:val="008300B4"/>
    <w:rsid w:val="00830216"/>
    <w:rsid w:val="0083078C"/>
    <w:rsid w:val="008308A7"/>
    <w:rsid w:val="0083093B"/>
    <w:rsid w:val="00830C6B"/>
    <w:rsid w:val="00831154"/>
    <w:rsid w:val="00832007"/>
    <w:rsid w:val="0083318A"/>
    <w:rsid w:val="008333D7"/>
    <w:rsid w:val="00833802"/>
    <w:rsid w:val="00833FF7"/>
    <w:rsid w:val="008356F0"/>
    <w:rsid w:val="00835C28"/>
    <w:rsid w:val="008366CC"/>
    <w:rsid w:val="00836C33"/>
    <w:rsid w:val="00836C4F"/>
    <w:rsid w:val="00836F5D"/>
    <w:rsid w:val="008377D4"/>
    <w:rsid w:val="0083781A"/>
    <w:rsid w:val="00837B59"/>
    <w:rsid w:val="00837BEA"/>
    <w:rsid w:val="00840639"/>
    <w:rsid w:val="00840695"/>
    <w:rsid w:val="00840FAC"/>
    <w:rsid w:val="008416F2"/>
    <w:rsid w:val="00841868"/>
    <w:rsid w:val="00841890"/>
    <w:rsid w:val="00841F4E"/>
    <w:rsid w:val="008431AC"/>
    <w:rsid w:val="0084323D"/>
    <w:rsid w:val="00843C28"/>
    <w:rsid w:val="0084439C"/>
    <w:rsid w:val="0084489C"/>
    <w:rsid w:val="008450AE"/>
    <w:rsid w:val="008457C7"/>
    <w:rsid w:val="008459A2"/>
    <w:rsid w:val="00845AC4"/>
    <w:rsid w:val="00845CD6"/>
    <w:rsid w:val="00846AA6"/>
    <w:rsid w:val="00846B3E"/>
    <w:rsid w:val="00846D67"/>
    <w:rsid w:val="008470AE"/>
    <w:rsid w:val="0084750D"/>
    <w:rsid w:val="008475E5"/>
    <w:rsid w:val="008476EB"/>
    <w:rsid w:val="0084774B"/>
    <w:rsid w:val="008478FC"/>
    <w:rsid w:val="00847959"/>
    <w:rsid w:val="00847979"/>
    <w:rsid w:val="00847E58"/>
    <w:rsid w:val="008505B3"/>
    <w:rsid w:val="00850950"/>
    <w:rsid w:val="0085102C"/>
    <w:rsid w:val="00851095"/>
    <w:rsid w:val="00851849"/>
    <w:rsid w:val="00851B0B"/>
    <w:rsid w:val="00851CD1"/>
    <w:rsid w:val="00852148"/>
    <w:rsid w:val="00852149"/>
    <w:rsid w:val="0085226F"/>
    <w:rsid w:val="0085261B"/>
    <w:rsid w:val="00852645"/>
    <w:rsid w:val="00852E17"/>
    <w:rsid w:val="00853790"/>
    <w:rsid w:val="008538AF"/>
    <w:rsid w:val="00853ACD"/>
    <w:rsid w:val="0085438C"/>
    <w:rsid w:val="00854D31"/>
    <w:rsid w:val="00854D34"/>
    <w:rsid w:val="00854EC8"/>
    <w:rsid w:val="0085521C"/>
    <w:rsid w:val="0085544C"/>
    <w:rsid w:val="00855742"/>
    <w:rsid w:val="00855A2C"/>
    <w:rsid w:val="00855B3A"/>
    <w:rsid w:val="008561BA"/>
    <w:rsid w:val="0085635A"/>
    <w:rsid w:val="00856858"/>
    <w:rsid w:val="00857597"/>
    <w:rsid w:val="008575F7"/>
    <w:rsid w:val="00857A8F"/>
    <w:rsid w:val="00857E0D"/>
    <w:rsid w:val="00857FB4"/>
    <w:rsid w:val="00860029"/>
    <w:rsid w:val="0086036A"/>
    <w:rsid w:val="0086063D"/>
    <w:rsid w:val="00860F0C"/>
    <w:rsid w:val="0086148C"/>
    <w:rsid w:val="00861585"/>
    <w:rsid w:val="008628B4"/>
    <w:rsid w:val="00862B5F"/>
    <w:rsid w:val="00862CF9"/>
    <w:rsid w:val="00862D1A"/>
    <w:rsid w:val="00863544"/>
    <w:rsid w:val="008638CA"/>
    <w:rsid w:val="00863F41"/>
    <w:rsid w:val="00863F7B"/>
    <w:rsid w:val="008643B7"/>
    <w:rsid w:val="008652CB"/>
    <w:rsid w:val="00865657"/>
    <w:rsid w:val="008662E0"/>
    <w:rsid w:val="00866D9A"/>
    <w:rsid w:val="00867432"/>
    <w:rsid w:val="00867FFD"/>
    <w:rsid w:val="008704A7"/>
    <w:rsid w:val="00870796"/>
    <w:rsid w:val="00871373"/>
    <w:rsid w:val="008713B7"/>
    <w:rsid w:val="00871F9C"/>
    <w:rsid w:val="008722D4"/>
    <w:rsid w:val="00872BFC"/>
    <w:rsid w:val="00872DBD"/>
    <w:rsid w:val="00872E76"/>
    <w:rsid w:val="008730D4"/>
    <w:rsid w:val="00873142"/>
    <w:rsid w:val="00873CE9"/>
    <w:rsid w:val="00873F72"/>
    <w:rsid w:val="00874551"/>
    <w:rsid w:val="008745EB"/>
    <w:rsid w:val="00874B1C"/>
    <w:rsid w:val="0087518D"/>
    <w:rsid w:val="008752E8"/>
    <w:rsid w:val="00875B7F"/>
    <w:rsid w:val="00876078"/>
    <w:rsid w:val="0087640B"/>
    <w:rsid w:val="00876E01"/>
    <w:rsid w:val="00877197"/>
    <w:rsid w:val="00877418"/>
    <w:rsid w:val="00877A03"/>
    <w:rsid w:val="00877A0B"/>
    <w:rsid w:val="008801BC"/>
    <w:rsid w:val="00880437"/>
    <w:rsid w:val="008808CA"/>
    <w:rsid w:val="00880901"/>
    <w:rsid w:val="008809E8"/>
    <w:rsid w:val="00880AC0"/>
    <w:rsid w:val="00880B12"/>
    <w:rsid w:val="00880D5F"/>
    <w:rsid w:val="00880F4E"/>
    <w:rsid w:val="00881182"/>
    <w:rsid w:val="00881443"/>
    <w:rsid w:val="00881F78"/>
    <w:rsid w:val="00881FC8"/>
    <w:rsid w:val="0088209C"/>
    <w:rsid w:val="00882BFA"/>
    <w:rsid w:val="008832A3"/>
    <w:rsid w:val="008839B6"/>
    <w:rsid w:val="00884866"/>
    <w:rsid w:val="00884A1A"/>
    <w:rsid w:val="00884E2F"/>
    <w:rsid w:val="00885019"/>
    <w:rsid w:val="008850ED"/>
    <w:rsid w:val="00885344"/>
    <w:rsid w:val="00885724"/>
    <w:rsid w:val="00885C67"/>
    <w:rsid w:val="0088609E"/>
    <w:rsid w:val="008866CB"/>
    <w:rsid w:val="00886AE9"/>
    <w:rsid w:val="00890652"/>
    <w:rsid w:val="00891040"/>
    <w:rsid w:val="00891527"/>
    <w:rsid w:val="00891974"/>
    <w:rsid w:val="00891F5C"/>
    <w:rsid w:val="00892185"/>
    <w:rsid w:val="00892A29"/>
    <w:rsid w:val="00892A4F"/>
    <w:rsid w:val="00893B55"/>
    <w:rsid w:val="00893DBD"/>
    <w:rsid w:val="00893FD6"/>
    <w:rsid w:val="00893FDC"/>
    <w:rsid w:val="00894250"/>
    <w:rsid w:val="00894B61"/>
    <w:rsid w:val="00894F40"/>
    <w:rsid w:val="00895527"/>
    <w:rsid w:val="00895BDD"/>
    <w:rsid w:val="00895C60"/>
    <w:rsid w:val="00896394"/>
    <w:rsid w:val="0089642D"/>
    <w:rsid w:val="00896F83"/>
    <w:rsid w:val="00897133"/>
    <w:rsid w:val="00897592"/>
    <w:rsid w:val="00897804"/>
    <w:rsid w:val="00897C05"/>
    <w:rsid w:val="00897F95"/>
    <w:rsid w:val="008A0332"/>
    <w:rsid w:val="008A06FC"/>
    <w:rsid w:val="008A0B30"/>
    <w:rsid w:val="008A1544"/>
    <w:rsid w:val="008A1737"/>
    <w:rsid w:val="008A2862"/>
    <w:rsid w:val="008A3042"/>
    <w:rsid w:val="008A332D"/>
    <w:rsid w:val="008A3A0B"/>
    <w:rsid w:val="008A3CF1"/>
    <w:rsid w:val="008A3DEC"/>
    <w:rsid w:val="008A3E86"/>
    <w:rsid w:val="008A446F"/>
    <w:rsid w:val="008A52F2"/>
    <w:rsid w:val="008A557B"/>
    <w:rsid w:val="008A57A4"/>
    <w:rsid w:val="008A593C"/>
    <w:rsid w:val="008A5A85"/>
    <w:rsid w:val="008A5EFC"/>
    <w:rsid w:val="008A6266"/>
    <w:rsid w:val="008A62E7"/>
    <w:rsid w:val="008A64B1"/>
    <w:rsid w:val="008A688F"/>
    <w:rsid w:val="008A6B78"/>
    <w:rsid w:val="008A6DF3"/>
    <w:rsid w:val="008A7166"/>
    <w:rsid w:val="008A76C4"/>
    <w:rsid w:val="008A7955"/>
    <w:rsid w:val="008A7FDD"/>
    <w:rsid w:val="008B04E2"/>
    <w:rsid w:val="008B0915"/>
    <w:rsid w:val="008B0E6B"/>
    <w:rsid w:val="008B0F12"/>
    <w:rsid w:val="008B0F29"/>
    <w:rsid w:val="008B1587"/>
    <w:rsid w:val="008B27D1"/>
    <w:rsid w:val="008B2A37"/>
    <w:rsid w:val="008B33E9"/>
    <w:rsid w:val="008B43F7"/>
    <w:rsid w:val="008B45F5"/>
    <w:rsid w:val="008B51E6"/>
    <w:rsid w:val="008B58DB"/>
    <w:rsid w:val="008B5E3B"/>
    <w:rsid w:val="008B5FCC"/>
    <w:rsid w:val="008B6553"/>
    <w:rsid w:val="008B6B0F"/>
    <w:rsid w:val="008B6E46"/>
    <w:rsid w:val="008B7B09"/>
    <w:rsid w:val="008B7E36"/>
    <w:rsid w:val="008C00FC"/>
    <w:rsid w:val="008C0725"/>
    <w:rsid w:val="008C1495"/>
    <w:rsid w:val="008C3AA6"/>
    <w:rsid w:val="008C3E1F"/>
    <w:rsid w:val="008C4AB9"/>
    <w:rsid w:val="008C502E"/>
    <w:rsid w:val="008C50CF"/>
    <w:rsid w:val="008C5126"/>
    <w:rsid w:val="008C515E"/>
    <w:rsid w:val="008C53D1"/>
    <w:rsid w:val="008C5491"/>
    <w:rsid w:val="008C64D8"/>
    <w:rsid w:val="008C68D4"/>
    <w:rsid w:val="008C7350"/>
    <w:rsid w:val="008C7AAC"/>
    <w:rsid w:val="008C7AEA"/>
    <w:rsid w:val="008C7E65"/>
    <w:rsid w:val="008D03D0"/>
    <w:rsid w:val="008D062D"/>
    <w:rsid w:val="008D0F35"/>
    <w:rsid w:val="008D1AED"/>
    <w:rsid w:val="008D2051"/>
    <w:rsid w:val="008D223F"/>
    <w:rsid w:val="008D225E"/>
    <w:rsid w:val="008D25C6"/>
    <w:rsid w:val="008D2775"/>
    <w:rsid w:val="008D2808"/>
    <w:rsid w:val="008D2A3E"/>
    <w:rsid w:val="008D2BEA"/>
    <w:rsid w:val="008D2C01"/>
    <w:rsid w:val="008D32B5"/>
    <w:rsid w:val="008D3D78"/>
    <w:rsid w:val="008D3EFD"/>
    <w:rsid w:val="008D450B"/>
    <w:rsid w:val="008D4555"/>
    <w:rsid w:val="008D473B"/>
    <w:rsid w:val="008D4E99"/>
    <w:rsid w:val="008D556F"/>
    <w:rsid w:val="008D5882"/>
    <w:rsid w:val="008D5D05"/>
    <w:rsid w:val="008D641A"/>
    <w:rsid w:val="008D7B05"/>
    <w:rsid w:val="008E1073"/>
    <w:rsid w:val="008E1B34"/>
    <w:rsid w:val="008E1BB5"/>
    <w:rsid w:val="008E1E49"/>
    <w:rsid w:val="008E22D6"/>
    <w:rsid w:val="008E259F"/>
    <w:rsid w:val="008E2B71"/>
    <w:rsid w:val="008E2E4A"/>
    <w:rsid w:val="008E3C96"/>
    <w:rsid w:val="008E3D18"/>
    <w:rsid w:val="008E42BD"/>
    <w:rsid w:val="008E5BC3"/>
    <w:rsid w:val="008E5F50"/>
    <w:rsid w:val="008E60CD"/>
    <w:rsid w:val="008E622A"/>
    <w:rsid w:val="008E6780"/>
    <w:rsid w:val="008E6C65"/>
    <w:rsid w:val="008E6F35"/>
    <w:rsid w:val="008E76A9"/>
    <w:rsid w:val="008F0E7C"/>
    <w:rsid w:val="008F1281"/>
    <w:rsid w:val="008F15EB"/>
    <w:rsid w:val="008F1867"/>
    <w:rsid w:val="008F1A8C"/>
    <w:rsid w:val="008F1BA4"/>
    <w:rsid w:val="008F223B"/>
    <w:rsid w:val="008F245E"/>
    <w:rsid w:val="008F2613"/>
    <w:rsid w:val="008F2942"/>
    <w:rsid w:val="008F34A5"/>
    <w:rsid w:val="008F4217"/>
    <w:rsid w:val="008F4AEA"/>
    <w:rsid w:val="008F4C4E"/>
    <w:rsid w:val="008F4F80"/>
    <w:rsid w:val="008F4FA0"/>
    <w:rsid w:val="008F633A"/>
    <w:rsid w:val="008F6403"/>
    <w:rsid w:val="008F67A8"/>
    <w:rsid w:val="008F69DF"/>
    <w:rsid w:val="008F749B"/>
    <w:rsid w:val="008F7702"/>
    <w:rsid w:val="008F7B33"/>
    <w:rsid w:val="008F7B42"/>
    <w:rsid w:val="00900096"/>
    <w:rsid w:val="00900728"/>
    <w:rsid w:val="00900799"/>
    <w:rsid w:val="00900B09"/>
    <w:rsid w:val="00900B71"/>
    <w:rsid w:val="00901517"/>
    <w:rsid w:val="00901C41"/>
    <w:rsid w:val="00902512"/>
    <w:rsid w:val="0090276C"/>
    <w:rsid w:val="00902E77"/>
    <w:rsid w:val="009030D4"/>
    <w:rsid w:val="0090316C"/>
    <w:rsid w:val="009040A8"/>
    <w:rsid w:val="0090458E"/>
    <w:rsid w:val="009053BB"/>
    <w:rsid w:val="00905786"/>
    <w:rsid w:val="009058EA"/>
    <w:rsid w:val="00906247"/>
    <w:rsid w:val="009063E0"/>
    <w:rsid w:val="0090669A"/>
    <w:rsid w:val="00906F72"/>
    <w:rsid w:val="00907BBF"/>
    <w:rsid w:val="00910D9A"/>
    <w:rsid w:val="00910F75"/>
    <w:rsid w:val="00911211"/>
    <w:rsid w:val="00911684"/>
    <w:rsid w:val="009117BC"/>
    <w:rsid w:val="0091180D"/>
    <w:rsid w:val="00911857"/>
    <w:rsid w:val="0091185D"/>
    <w:rsid w:val="00911F42"/>
    <w:rsid w:val="0091200B"/>
    <w:rsid w:val="00912032"/>
    <w:rsid w:val="00912483"/>
    <w:rsid w:val="0091251F"/>
    <w:rsid w:val="00912BE2"/>
    <w:rsid w:val="00912DE9"/>
    <w:rsid w:val="00913E5C"/>
    <w:rsid w:val="009141AB"/>
    <w:rsid w:val="009142B8"/>
    <w:rsid w:val="00915000"/>
    <w:rsid w:val="0091503D"/>
    <w:rsid w:val="0091512B"/>
    <w:rsid w:val="009154D0"/>
    <w:rsid w:val="00915631"/>
    <w:rsid w:val="0091576D"/>
    <w:rsid w:val="00915E6C"/>
    <w:rsid w:val="00916037"/>
    <w:rsid w:val="009160BF"/>
    <w:rsid w:val="009168A2"/>
    <w:rsid w:val="009168B4"/>
    <w:rsid w:val="00916BED"/>
    <w:rsid w:val="00917890"/>
    <w:rsid w:val="009200D3"/>
    <w:rsid w:val="009202CF"/>
    <w:rsid w:val="009205E5"/>
    <w:rsid w:val="00920A02"/>
    <w:rsid w:val="00920E8D"/>
    <w:rsid w:val="00920EEC"/>
    <w:rsid w:val="00921159"/>
    <w:rsid w:val="00921564"/>
    <w:rsid w:val="00921810"/>
    <w:rsid w:val="00921DE2"/>
    <w:rsid w:val="00921F5B"/>
    <w:rsid w:val="0092222C"/>
    <w:rsid w:val="0092222E"/>
    <w:rsid w:val="00922BAC"/>
    <w:rsid w:val="009246BA"/>
    <w:rsid w:val="009246FC"/>
    <w:rsid w:val="009252B7"/>
    <w:rsid w:val="009261C7"/>
    <w:rsid w:val="00926927"/>
    <w:rsid w:val="00926C2D"/>
    <w:rsid w:val="009273AB"/>
    <w:rsid w:val="0092763F"/>
    <w:rsid w:val="00930368"/>
    <w:rsid w:val="00930A90"/>
    <w:rsid w:val="0093122B"/>
    <w:rsid w:val="0093138E"/>
    <w:rsid w:val="009314D0"/>
    <w:rsid w:val="0093172D"/>
    <w:rsid w:val="0093197D"/>
    <w:rsid w:val="00931B99"/>
    <w:rsid w:val="00931D48"/>
    <w:rsid w:val="00932AE2"/>
    <w:rsid w:val="009335E3"/>
    <w:rsid w:val="0093362D"/>
    <w:rsid w:val="00933790"/>
    <w:rsid w:val="00933D96"/>
    <w:rsid w:val="009343D7"/>
    <w:rsid w:val="009344ED"/>
    <w:rsid w:val="009345CE"/>
    <w:rsid w:val="00934868"/>
    <w:rsid w:val="00934F7F"/>
    <w:rsid w:val="00934FCD"/>
    <w:rsid w:val="00936675"/>
    <w:rsid w:val="0093693F"/>
    <w:rsid w:val="00936A5F"/>
    <w:rsid w:val="00936B54"/>
    <w:rsid w:val="00936F88"/>
    <w:rsid w:val="009370E8"/>
    <w:rsid w:val="0093732F"/>
    <w:rsid w:val="009378BC"/>
    <w:rsid w:val="00940099"/>
    <w:rsid w:val="009409AF"/>
    <w:rsid w:val="00940DE7"/>
    <w:rsid w:val="0094182A"/>
    <w:rsid w:val="00941A7A"/>
    <w:rsid w:val="00942637"/>
    <w:rsid w:val="00942784"/>
    <w:rsid w:val="009427F7"/>
    <w:rsid w:val="00942ED6"/>
    <w:rsid w:val="00942F80"/>
    <w:rsid w:val="0094300E"/>
    <w:rsid w:val="0094357F"/>
    <w:rsid w:val="0094393A"/>
    <w:rsid w:val="00943EBC"/>
    <w:rsid w:val="009440E4"/>
    <w:rsid w:val="0094437F"/>
    <w:rsid w:val="0094445E"/>
    <w:rsid w:val="00944FC4"/>
    <w:rsid w:val="009459AE"/>
    <w:rsid w:val="00945D62"/>
    <w:rsid w:val="00945FEB"/>
    <w:rsid w:val="00946494"/>
    <w:rsid w:val="009468A7"/>
    <w:rsid w:val="00946A17"/>
    <w:rsid w:val="00946F74"/>
    <w:rsid w:val="0094704B"/>
    <w:rsid w:val="00947951"/>
    <w:rsid w:val="0095033E"/>
    <w:rsid w:val="00951136"/>
    <w:rsid w:val="009515FA"/>
    <w:rsid w:val="00951C2E"/>
    <w:rsid w:val="00951EF6"/>
    <w:rsid w:val="0095413B"/>
    <w:rsid w:val="00954CCF"/>
    <w:rsid w:val="009558B1"/>
    <w:rsid w:val="00955C2D"/>
    <w:rsid w:val="0095629D"/>
    <w:rsid w:val="00956B84"/>
    <w:rsid w:val="00956C8F"/>
    <w:rsid w:val="00956D47"/>
    <w:rsid w:val="00957154"/>
    <w:rsid w:val="00957697"/>
    <w:rsid w:val="0096025F"/>
    <w:rsid w:val="00960B2A"/>
    <w:rsid w:val="00960B53"/>
    <w:rsid w:val="00960BE4"/>
    <w:rsid w:val="00961B03"/>
    <w:rsid w:val="00961BCE"/>
    <w:rsid w:val="009621DF"/>
    <w:rsid w:val="00962520"/>
    <w:rsid w:val="0096284E"/>
    <w:rsid w:val="00962973"/>
    <w:rsid w:val="009630C4"/>
    <w:rsid w:val="0096394C"/>
    <w:rsid w:val="009652C5"/>
    <w:rsid w:val="009655A2"/>
    <w:rsid w:val="00965A1D"/>
    <w:rsid w:val="0096638E"/>
    <w:rsid w:val="00966533"/>
    <w:rsid w:val="00966679"/>
    <w:rsid w:val="00966740"/>
    <w:rsid w:val="00966B49"/>
    <w:rsid w:val="00967910"/>
    <w:rsid w:val="00967F4A"/>
    <w:rsid w:val="009701F5"/>
    <w:rsid w:val="00970496"/>
    <w:rsid w:val="00970660"/>
    <w:rsid w:val="00970829"/>
    <w:rsid w:val="00970E93"/>
    <w:rsid w:val="00971490"/>
    <w:rsid w:val="00971583"/>
    <w:rsid w:val="009717AA"/>
    <w:rsid w:val="0097302B"/>
    <w:rsid w:val="0097328D"/>
    <w:rsid w:val="00973422"/>
    <w:rsid w:val="0097369F"/>
    <w:rsid w:val="009737F5"/>
    <w:rsid w:val="00973EDC"/>
    <w:rsid w:val="009740CA"/>
    <w:rsid w:val="00974366"/>
    <w:rsid w:val="00974D25"/>
    <w:rsid w:val="009752C5"/>
    <w:rsid w:val="00975FD7"/>
    <w:rsid w:val="0097643B"/>
    <w:rsid w:val="00976477"/>
    <w:rsid w:val="009767ED"/>
    <w:rsid w:val="009769EA"/>
    <w:rsid w:val="0097734E"/>
    <w:rsid w:val="00977367"/>
    <w:rsid w:val="00977D3B"/>
    <w:rsid w:val="009803C6"/>
    <w:rsid w:val="00981476"/>
    <w:rsid w:val="00981881"/>
    <w:rsid w:val="00981C96"/>
    <w:rsid w:val="00981E10"/>
    <w:rsid w:val="00982079"/>
    <w:rsid w:val="00982098"/>
    <w:rsid w:val="009821CC"/>
    <w:rsid w:val="00982785"/>
    <w:rsid w:val="00982A82"/>
    <w:rsid w:val="00982B66"/>
    <w:rsid w:val="00982C11"/>
    <w:rsid w:val="00984027"/>
    <w:rsid w:val="00984EA1"/>
    <w:rsid w:val="00984F05"/>
    <w:rsid w:val="00985006"/>
    <w:rsid w:val="00985751"/>
    <w:rsid w:val="00985759"/>
    <w:rsid w:val="009857CA"/>
    <w:rsid w:val="00987078"/>
    <w:rsid w:val="00987285"/>
    <w:rsid w:val="00987783"/>
    <w:rsid w:val="00987CFB"/>
    <w:rsid w:val="009909A3"/>
    <w:rsid w:val="00990C77"/>
    <w:rsid w:val="00990D67"/>
    <w:rsid w:val="009912EF"/>
    <w:rsid w:val="009918E1"/>
    <w:rsid w:val="00991DEF"/>
    <w:rsid w:val="00991FB4"/>
    <w:rsid w:val="0099238A"/>
    <w:rsid w:val="00992AD5"/>
    <w:rsid w:val="009930E0"/>
    <w:rsid w:val="0099439D"/>
    <w:rsid w:val="009944E6"/>
    <w:rsid w:val="0099496E"/>
    <w:rsid w:val="00994AB6"/>
    <w:rsid w:val="00994AD7"/>
    <w:rsid w:val="009955B2"/>
    <w:rsid w:val="009956C4"/>
    <w:rsid w:val="009961AA"/>
    <w:rsid w:val="0099645E"/>
    <w:rsid w:val="00996B9E"/>
    <w:rsid w:val="00997563"/>
    <w:rsid w:val="009975B9"/>
    <w:rsid w:val="009976E8"/>
    <w:rsid w:val="00997A4F"/>
    <w:rsid w:val="00997D86"/>
    <w:rsid w:val="009A0408"/>
    <w:rsid w:val="009A1276"/>
    <w:rsid w:val="009A1311"/>
    <w:rsid w:val="009A14F1"/>
    <w:rsid w:val="009A21B1"/>
    <w:rsid w:val="009A2EDE"/>
    <w:rsid w:val="009A2F37"/>
    <w:rsid w:val="009A3277"/>
    <w:rsid w:val="009A33C0"/>
    <w:rsid w:val="009A4090"/>
    <w:rsid w:val="009A4994"/>
    <w:rsid w:val="009A4A3C"/>
    <w:rsid w:val="009A4BD1"/>
    <w:rsid w:val="009A4D85"/>
    <w:rsid w:val="009A5114"/>
    <w:rsid w:val="009A531C"/>
    <w:rsid w:val="009A6362"/>
    <w:rsid w:val="009A642A"/>
    <w:rsid w:val="009A6765"/>
    <w:rsid w:val="009A7121"/>
    <w:rsid w:val="009A7CA4"/>
    <w:rsid w:val="009B0151"/>
    <w:rsid w:val="009B05D5"/>
    <w:rsid w:val="009B06AB"/>
    <w:rsid w:val="009B2754"/>
    <w:rsid w:val="009B283B"/>
    <w:rsid w:val="009B2E61"/>
    <w:rsid w:val="009B3062"/>
    <w:rsid w:val="009B3503"/>
    <w:rsid w:val="009B3704"/>
    <w:rsid w:val="009B48B5"/>
    <w:rsid w:val="009B4DF4"/>
    <w:rsid w:val="009B52B0"/>
    <w:rsid w:val="009B54CE"/>
    <w:rsid w:val="009B5B88"/>
    <w:rsid w:val="009B6417"/>
    <w:rsid w:val="009B662F"/>
    <w:rsid w:val="009B66C6"/>
    <w:rsid w:val="009B66EE"/>
    <w:rsid w:val="009B6997"/>
    <w:rsid w:val="009B6A0D"/>
    <w:rsid w:val="009B6C14"/>
    <w:rsid w:val="009B7361"/>
    <w:rsid w:val="009B756F"/>
    <w:rsid w:val="009B75B5"/>
    <w:rsid w:val="009B7A29"/>
    <w:rsid w:val="009B7D99"/>
    <w:rsid w:val="009C0261"/>
    <w:rsid w:val="009C06B2"/>
    <w:rsid w:val="009C0B19"/>
    <w:rsid w:val="009C0B65"/>
    <w:rsid w:val="009C1B76"/>
    <w:rsid w:val="009C20A4"/>
    <w:rsid w:val="009C2646"/>
    <w:rsid w:val="009C274F"/>
    <w:rsid w:val="009C2B21"/>
    <w:rsid w:val="009C3564"/>
    <w:rsid w:val="009C376F"/>
    <w:rsid w:val="009C3BD8"/>
    <w:rsid w:val="009C464B"/>
    <w:rsid w:val="009C4D3B"/>
    <w:rsid w:val="009C4EC9"/>
    <w:rsid w:val="009C5373"/>
    <w:rsid w:val="009C588F"/>
    <w:rsid w:val="009C5A38"/>
    <w:rsid w:val="009C5ACA"/>
    <w:rsid w:val="009C5E23"/>
    <w:rsid w:val="009C618F"/>
    <w:rsid w:val="009C711F"/>
    <w:rsid w:val="009C72AD"/>
    <w:rsid w:val="009C737A"/>
    <w:rsid w:val="009D067C"/>
    <w:rsid w:val="009D0EBA"/>
    <w:rsid w:val="009D1A0E"/>
    <w:rsid w:val="009D1A85"/>
    <w:rsid w:val="009D3A7C"/>
    <w:rsid w:val="009D4536"/>
    <w:rsid w:val="009D48CD"/>
    <w:rsid w:val="009D5669"/>
    <w:rsid w:val="009D578C"/>
    <w:rsid w:val="009D6652"/>
    <w:rsid w:val="009D6B87"/>
    <w:rsid w:val="009D7409"/>
    <w:rsid w:val="009D7513"/>
    <w:rsid w:val="009D79AA"/>
    <w:rsid w:val="009E0037"/>
    <w:rsid w:val="009E027B"/>
    <w:rsid w:val="009E06DD"/>
    <w:rsid w:val="009E08BB"/>
    <w:rsid w:val="009E0EA8"/>
    <w:rsid w:val="009E12C3"/>
    <w:rsid w:val="009E134F"/>
    <w:rsid w:val="009E16C6"/>
    <w:rsid w:val="009E1CEA"/>
    <w:rsid w:val="009E1E34"/>
    <w:rsid w:val="009E1EC5"/>
    <w:rsid w:val="009E3187"/>
    <w:rsid w:val="009E438D"/>
    <w:rsid w:val="009E43ED"/>
    <w:rsid w:val="009E45BF"/>
    <w:rsid w:val="009E4BF8"/>
    <w:rsid w:val="009E4FC1"/>
    <w:rsid w:val="009E50C3"/>
    <w:rsid w:val="009E51DF"/>
    <w:rsid w:val="009E54FB"/>
    <w:rsid w:val="009E55FF"/>
    <w:rsid w:val="009E56F3"/>
    <w:rsid w:val="009E57B2"/>
    <w:rsid w:val="009E5D66"/>
    <w:rsid w:val="009E5F0C"/>
    <w:rsid w:val="009E6475"/>
    <w:rsid w:val="009E651A"/>
    <w:rsid w:val="009E6580"/>
    <w:rsid w:val="009E6714"/>
    <w:rsid w:val="009E6C68"/>
    <w:rsid w:val="009E6D83"/>
    <w:rsid w:val="009F02BE"/>
    <w:rsid w:val="009F08B7"/>
    <w:rsid w:val="009F1408"/>
    <w:rsid w:val="009F18BB"/>
    <w:rsid w:val="009F1A83"/>
    <w:rsid w:val="009F23CE"/>
    <w:rsid w:val="009F29B9"/>
    <w:rsid w:val="009F37C6"/>
    <w:rsid w:val="009F3B4C"/>
    <w:rsid w:val="009F42E1"/>
    <w:rsid w:val="009F44BC"/>
    <w:rsid w:val="009F47AA"/>
    <w:rsid w:val="009F49EC"/>
    <w:rsid w:val="009F5586"/>
    <w:rsid w:val="009F5E94"/>
    <w:rsid w:val="009F60FB"/>
    <w:rsid w:val="009F626E"/>
    <w:rsid w:val="009F6352"/>
    <w:rsid w:val="009F63DE"/>
    <w:rsid w:val="009F65A6"/>
    <w:rsid w:val="009F670D"/>
    <w:rsid w:val="009F6B40"/>
    <w:rsid w:val="009F7107"/>
    <w:rsid w:val="009F71C1"/>
    <w:rsid w:val="009F75D0"/>
    <w:rsid w:val="009F7B5C"/>
    <w:rsid w:val="009F7B61"/>
    <w:rsid w:val="009F7C63"/>
    <w:rsid w:val="00A00144"/>
    <w:rsid w:val="00A0014D"/>
    <w:rsid w:val="00A009EC"/>
    <w:rsid w:val="00A00A6D"/>
    <w:rsid w:val="00A00AE6"/>
    <w:rsid w:val="00A00C74"/>
    <w:rsid w:val="00A0145A"/>
    <w:rsid w:val="00A01682"/>
    <w:rsid w:val="00A01A26"/>
    <w:rsid w:val="00A01D99"/>
    <w:rsid w:val="00A02379"/>
    <w:rsid w:val="00A02F71"/>
    <w:rsid w:val="00A0392E"/>
    <w:rsid w:val="00A03982"/>
    <w:rsid w:val="00A04ACC"/>
    <w:rsid w:val="00A04CA4"/>
    <w:rsid w:val="00A051D0"/>
    <w:rsid w:val="00A05309"/>
    <w:rsid w:val="00A05617"/>
    <w:rsid w:val="00A062B8"/>
    <w:rsid w:val="00A06B98"/>
    <w:rsid w:val="00A07398"/>
    <w:rsid w:val="00A07A65"/>
    <w:rsid w:val="00A07CFD"/>
    <w:rsid w:val="00A106DB"/>
    <w:rsid w:val="00A106FA"/>
    <w:rsid w:val="00A10841"/>
    <w:rsid w:val="00A11819"/>
    <w:rsid w:val="00A11EF2"/>
    <w:rsid w:val="00A122AE"/>
    <w:rsid w:val="00A124D6"/>
    <w:rsid w:val="00A1260F"/>
    <w:rsid w:val="00A12714"/>
    <w:rsid w:val="00A12E12"/>
    <w:rsid w:val="00A130C5"/>
    <w:rsid w:val="00A13476"/>
    <w:rsid w:val="00A13F8E"/>
    <w:rsid w:val="00A142E1"/>
    <w:rsid w:val="00A1434B"/>
    <w:rsid w:val="00A14722"/>
    <w:rsid w:val="00A149DD"/>
    <w:rsid w:val="00A14A00"/>
    <w:rsid w:val="00A14AFA"/>
    <w:rsid w:val="00A15D9D"/>
    <w:rsid w:val="00A160B1"/>
    <w:rsid w:val="00A16814"/>
    <w:rsid w:val="00A169AD"/>
    <w:rsid w:val="00A16BB1"/>
    <w:rsid w:val="00A171B9"/>
    <w:rsid w:val="00A17655"/>
    <w:rsid w:val="00A179EA"/>
    <w:rsid w:val="00A17BE3"/>
    <w:rsid w:val="00A17E47"/>
    <w:rsid w:val="00A2001C"/>
    <w:rsid w:val="00A20A13"/>
    <w:rsid w:val="00A20E02"/>
    <w:rsid w:val="00A21112"/>
    <w:rsid w:val="00A21144"/>
    <w:rsid w:val="00A2121A"/>
    <w:rsid w:val="00A21271"/>
    <w:rsid w:val="00A2139F"/>
    <w:rsid w:val="00A21F7A"/>
    <w:rsid w:val="00A22940"/>
    <w:rsid w:val="00A2296A"/>
    <w:rsid w:val="00A22A92"/>
    <w:rsid w:val="00A22E8A"/>
    <w:rsid w:val="00A23236"/>
    <w:rsid w:val="00A23B04"/>
    <w:rsid w:val="00A23B22"/>
    <w:rsid w:val="00A2422D"/>
    <w:rsid w:val="00A24509"/>
    <w:rsid w:val="00A248A1"/>
    <w:rsid w:val="00A24E51"/>
    <w:rsid w:val="00A25307"/>
    <w:rsid w:val="00A25C29"/>
    <w:rsid w:val="00A25D7E"/>
    <w:rsid w:val="00A25F3A"/>
    <w:rsid w:val="00A2608C"/>
    <w:rsid w:val="00A2624D"/>
    <w:rsid w:val="00A267A3"/>
    <w:rsid w:val="00A270FB"/>
    <w:rsid w:val="00A2716E"/>
    <w:rsid w:val="00A274A6"/>
    <w:rsid w:val="00A27523"/>
    <w:rsid w:val="00A276E2"/>
    <w:rsid w:val="00A3036E"/>
    <w:rsid w:val="00A3089B"/>
    <w:rsid w:val="00A308A1"/>
    <w:rsid w:val="00A31047"/>
    <w:rsid w:val="00A31155"/>
    <w:rsid w:val="00A31387"/>
    <w:rsid w:val="00A315D0"/>
    <w:rsid w:val="00A32367"/>
    <w:rsid w:val="00A3245C"/>
    <w:rsid w:val="00A32CA5"/>
    <w:rsid w:val="00A32F47"/>
    <w:rsid w:val="00A33654"/>
    <w:rsid w:val="00A33CA3"/>
    <w:rsid w:val="00A34D74"/>
    <w:rsid w:val="00A35089"/>
    <w:rsid w:val="00A35501"/>
    <w:rsid w:val="00A35E3A"/>
    <w:rsid w:val="00A35E3C"/>
    <w:rsid w:val="00A3611D"/>
    <w:rsid w:val="00A3653B"/>
    <w:rsid w:val="00A36579"/>
    <w:rsid w:val="00A366C2"/>
    <w:rsid w:val="00A366CD"/>
    <w:rsid w:val="00A36812"/>
    <w:rsid w:val="00A36907"/>
    <w:rsid w:val="00A375F0"/>
    <w:rsid w:val="00A40470"/>
    <w:rsid w:val="00A40581"/>
    <w:rsid w:val="00A414BC"/>
    <w:rsid w:val="00A418BA"/>
    <w:rsid w:val="00A41B1E"/>
    <w:rsid w:val="00A42057"/>
    <w:rsid w:val="00A42103"/>
    <w:rsid w:val="00A422C6"/>
    <w:rsid w:val="00A422D8"/>
    <w:rsid w:val="00A425D0"/>
    <w:rsid w:val="00A42B98"/>
    <w:rsid w:val="00A42C34"/>
    <w:rsid w:val="00A43377"/>
    <w:rsid w:val="00A43A4D"/>
    <w:rsid w:val="00A44151"/>
    <w:rsid w:val="00A4482D"/>
    <w:rsid w:val="00A456DD"/>
    <w:rsid w:val="00A45C2B"/>
    <w:rsid w:val="00A45CCC"/>
    <w:rsid w:val="00A45D92"/>
    <w:rsid w:val="00A45FAF"/>
    <w:rsid w:val="00A45FE0"/>
    <w:rsid w:val="00A46380"/>
    <w:rsid w:val="00A464A2"/>
    <w:rsid w:val="00A464D9"/>
    <w:rsid w:val="00A46914"/>
    <w:rsid w:val="00A46EE2"/>
    <w:rsid w:val="00A50C78"/>
    <w:rsid w:val="00A511C3"/>
    <w:rsid w:val="00A51395"/>
    <w:rsid w:val="00A519DC"/>
    <w:rsid w:val="00A529A7"/>
    <w:rsid w:val="00A52AF1"/>
    <w:rsid w:val="00A52EC7"/>
    <w:rsid w:val="00A5346E"/>
    <w:rsid w:val="00A539D9"/>
    <w:rsid w:val="00A53EAE"/>
    <w:rsid w:val="00A53FD9"/>
    <w:rsid w:val="00A5450D"/>
    <w:rsid w:val="00A54D42"/>
    <w:rsid w:val="00A54D67"/>
    <w:rsid w:val="00A55533"/>
    <w:rsid w:val="00A557F4"/>
    <w:rsid w:val="00A558B6"/>
    <w:rsid w:val="00A559BD"/>
    <w:rsid w:val="00A55CA2"/>
    <w:rsid w:val="00A56115"/>
    <w:rsid w:val="00A5647B"/>
    <w:rsid w:val="00A56EE4"/>
    <w:rsid w:val="00A5708C"/>
    <w:rsid w:val="00A572DF"/>
    <w:rsid w:val="00A5772E"/>
    <w:rsid w:val="00A6083C"/>
    <w:rsid w:val="00A61111"/>
    <w:rsid w:val="00A6131E"/>
    <w:rsid w:val="00A6213C"/>
    <w:rsid w:val="00A621A9"/>
    <w:rsid w:val="00A626FA"/>
    <w:rsid w:val="00A6350F"/>
    <w:rsid w:val="00A63980"/>
    <w:rsid w:val="00A63C7A"/>
    <w:rsid w:val="00A63CD0"/>
    <w:rsid w:val="00A63E28"/>
    <w:rsid w:val="00A6428E"/>
    <w:rsid w:val="00A64557"/>
    <w:rsid w:val="00A64991"/>
    <w:rsid w:val="00A65A3D"/>
    <w:rsid w:val="00A65CB6"/>
    <w:rsid w:val="00A66286"/>
    <w:rsid w:val="00A663F2"/>
    <w:rsid w:val="00A66AFC"/>
    <w:rsid w:val="00A66D9B"/>
    <w:rsid w:val="00A66FB7"/>
    <w:rsid w:val="00A676DB"/>
    <w:rsid w:val="00A67DB4"/>
    <w:rsid w:val="00A7011A"/>
    <w:rsid w:val="00A70215"/>
    <w:rsid w:val="00A706CB"/>
    <w:rsid w:val="00A70A64"/>
    <w:rsid w:val="00A70F6E"/>
    <w:rsid w:val="00A70F77"/>
    <w:rsid w:val="00A71472"/>
    <w:rsid w:val="00A71951"/>
    <w:rsid w:val="00A71AAB"/>
    <w:rsid w:val="00A721C0"/>
    <w:rsid w:val="00A7272A"/>
    <w:rsid w:val="00A72972"/>
    <w:rsid w:val="00A72C59"/>
    <w:rsid w:val="00A72DAA"/>
    <w:rsid w:val="00A73DC8"/>
    <w:rsid w:val="00A741D1"/>
    <w:rsid w:val="00A751F0"/>
    <w:rsid w:val="00A756A1"/>
    <w:rsid w:val="00A75780"/>
    <w:rsid w:val="00A76217"/>
    <w:rsid w:val="00A76AC1"/>
    <w:rsid w:val="00A76EDC"/>
    <w:rsid w:val="00A774DF"/>
    <w:rsid w:val="00A7755D"/>
    <w:rsid w:val="00A7766B"/>
    <w:rsid w:val="00A7770B"/>
    <w:rsid w:val="00A802FF"/>
    <w:rsid w:val="00A8122B"/>
    <w:rsid w:val="00A82193"/>
    <w:rsid w:val="00A823EF"/>
    <w:rsid w:val="00A826E4"/>
    <w:rsid w:val="00A82D10"/>
    <w:rsid w:val="00A82D86"/>
    <w:rsid w:val="00A82F83"/>
    <w:rsid w:val="00A830AF"/>
    <w:rsid w:val="00A83462"/>
    <w:rsid w:val="00A83B34"/>
    <w:rsid w:val="00A841BD"/>
    <w:rsid w:val="00A841E7"/>
    <w:rsid w:val="00A8424D"/>
    <w:rsid w:val="00A843CE"/>
    <w:rsid w:val="00A84A58"/>
    <w:rsid w:val="00A84F94"/>
    <w:rsid w:val="00A85885"/>
    <w:rsid w:val="00A85CC1"/>
    <w:rsid w:val="00A86588"/>
    <w:rsid w:val="00A869C7"/>
    <w:rsid w:val="00A86F1B"/>
    <w:rsid w:val="00A8713A"/>
    <w:rsid w:val="00A8722A"/>
    <w:rsid w:val="00A87782"/>
    <w:rsid w:val="00A87829"/>
    <w:rsid w:val="00A878D4"/>
    <w:rsid w:val="00A87E97"/>
    <w:rsid w:val="00A904BF"/>
    <w:rsid w:val="00A90D77"/>
    <w:rsid w:val="00A911AF"/>
    <w:rsid w:val="00A91A6E"/>
    <w:rsid w:val="00A91CC2"/>
    <w:rsid w:val="00A92267"/>
    <w:rsid w:val="00A92589"/>
    <w:rsid w:val="00A925EE"/>
    <w:rsid w:val="00A932BD"/>
    <w:rsid w:val="00A9433C"/>
    <w:rsid w:val="00A94469"/>
    <w:rsid w:val="00A94579"/>
    <w:rsid w:val="00A9541A"/>
    <w:rsid w:val="00A9556D"/>
    <w:rsid w:val="00A95BA3"/>
    <w:rsid w:val="00A962B0"/>
    <w:rsid w:val="00A97290"/>
    <w:rsid w:val="00A972B9"/>
    <w:rsid w:val="00A97335"/>
    <w:rsid w:val="00A97543"/>
    <w:rsid w:val="00A97559"/>
    <w:rsid w:val="00AA0252"/>
    <w:rsid w:val="00AA0CEC"/>
    <w:rsid w:val="00AA11C7"/>
    <w:rsid w:val="00AA1229"/>
    <w:rsid w:val="00AA158B"/>
    <w:rsid w:val="00AA187A"/>
    <w:rsid w:val="00AA18F1"/>
    <w:rsid w:val="00AA1B05"/>
    <w:rsid w:val="00AA30A5"/>
    <w:rsid w:val="00AA38E4"/>
    <w:rsid w:val="00AA3B6F"/>
    <w:rsid w:val="00AA3CB4"/>
    <w:rsid w:val="00AA3CBB"/>
    <w:rsid w:val="00AA41C6"/>
    <w:rsid w:val="00AA48A6"/>
    <w:rsid w:val="00AA4B35"/>
    <w:rsid w:val="00AA4BDF"/>
    <w:rsid w:val="00AA4D8D"/>
    <w:rsid w:val="00AA5051"/>
    <w:rsid w:val="00AA57D0"/>
    <w:rsid w:val="00AA5DC7"/>
    <w:rsid w:val="00AA6610"/>
    <w:rsid w:val="00AA6925"/>
    <w:rsid w:val="00AA69DC"/>
    <w:rsid w:val="00AA69F8"/>
    <w:rsid w:val="00AA6F21"/>
    <w:rsid w:val="00AA794A"/>
    <w:rsid w:val="00AB0142"/>
    <w:rsid w:val="00AB02A0"/>
    <w:rsid w:val="00AB0362"/>
    <w:rsid w:val="00AB081C"/>
    <w:rsid w:val="00AB0DFB"/>
    <w:rsid w:val="00AB10D3"/>
    <w:rsid w:val="00AB1400"/>
    <w:rsid w:val="00AB16B1"/>
    <w:rsid w:val="00AB1818"/>
    <w:rsid w:val="00AB21B7"/>
    <w:rsid w:val="00AB2A5F"/>
    <w:rsid w:val="00AB34EE"/>
    <w:rsid w:val="00AB3B13"/>
    <w:rsid w:val="00AB3F29"/>
    <w:rsid w:val="00AB4162"/>
    <w:rsid w:val="00AB42E7"/>
    <w:rsid w:val="00AB46E8"/>
    <w:rsid w:val="00AB49EA"/>
    <w:rsid w:val="00AB4BAA"/>
    <w:rsid w:val="00AB4C03"/>
    <w:rsid w:val="00AB5219"/>
    <w:rsid w:val="00AB5F69"/>
    <w:rsid w:val="00AB6058"/>
    <w:rsid w:val="00AB7046"/>
    <w:rsid w:val="00AB73B1"/>
    <w:rsid w:val="00AC154E"/>
    <w:rsid w:val="00AC1747"/>
    <w:rsid w:val="00AC1779"/>
    <w:rsid w:val="00AC24D8"/>
    <w:rsid w:val="00AC312D"/>
    <w:rsid w:val="00AC3265"/>
    <w:rsid w:val="00AC3336"/>
    <w:rsid w:val="00AC3444"/>
    <w:rsid w:val="00AC349D"/>
    <w:rsid w:val="00AC34B8"/>
    <w:rsid w:val="00AC35AC"/>
    <w:rsid w:val="00AC36B6"/>
    <w:rsid w:val="00AC3734"/>
    <w:rsid w:val="00AC3AC0"/>
    <w:rsid w:val="00AC3BEF"/>
    <w:rsid w:val="00AC3FBD"/>
    <w:rsid w:val="00AC41C7"/>
    <w:rsid w:val="00AC49D1"/>
    <w:rsid w:val="00AC5059"/>
    <w:rsid w:val="00AC572E"/>
    <w:rsid w:val="00AC595D"/>
    <w:rsid w:val="00AC59D0"/>
    <w:rsid w:val="00AC5FF6"/>
    <w:rsid w:val="00AC6DE4"/>
    <w:rsid w:val="00AC7428"/>
    <w:rsid w:val="00AC75D0"/>
    <w:rsid w:val="00AC789C"/>
    <w:rsid w:val="00AC7E96"/>
    <w:rsid w:val="00AD0121"/>
    <w:rsid w:val="00AD0172"/>
    <w:rsid w:val="00AD02EA"/>
    <w:rsid w:val="00AD0722"/>
    <w:rsid w:val="00AD0A7E"/>
    <w:rsid w:val="00AD0FAC"/>
    <w:rsid w:val="00AD1ABA"/>
    <w:rsid w:val="00AD21DD"/>
    <w:rsid w:val="00AD26FE"/>
    <w:rsid w:val="00AD28F1"/>
    <w:rsid w:val="00AD294C"/>
    <w:rsid w:val="00AD2ABF"/>
    <w:rsid w:val="00AD32C2"/>
    <w:rsid w:val="00AD364B"/>
    <w:rsid w:val="00AD397A"/>
    <w:rsid w:val="00AD3C0F"/>
    <w:rsid w:val="00AD4320"/>
    <w:rsid w:val="00AD453A"/>
    <w:rsid w:val="00AD4800"/>
    <w:rsid w:val="00AD4CDE"/>
    <w:rsid w:val="00AD4F0A"/>
    <w:rsid w:val="00AD7062"/>
    <w:rsid w:val="00AD7338"/>
    <w:rsid w:val="00AD73FA"/>
    <w:rsid w:val="00AD77A1"/>
    <w:rsid w:val="00AD7EE5"/>
    <w:rsid w:val="00AE042D"/>
    <w:rsid w:val="00AE07BD"/>
    <w:rsid w:val="00AE09EE"/>
    <w:rsid w:val="00AE0BFE"/>
    <w:rsid w:val="00AE0CEE"/>
    <w:rsid w:val="00AE0F32"/>
    <w:rsid w:val="00AE1403"/>
    <w:rsid w:val="00AE1543"/>
    <w:rsid w:val="00AE1735"/>
    <w:rsid w:val="00AE1B7B"/>
    <w:rsid w:val="00AE1DBB"/>
    <w:rsid w:val="00AE2168"/>
    <w:rsid w:val="00AE23D1"/>
    <w:rsid w:val="00AE2715"/>
    <w:rsid w:val="00AE2A17"/>
    <w:rsid w:val="00AE339F"/>
    <w:rsid w:val="00AE35F1"/>
    <w:rsid w:val="00AE369A"/>
    <w:rsid w:val="00AE37E4"/>
    <w:rsid w:val="00AE3F63"/>
    <w:rsid w:val="00AE4045"/>
    <w:rsid w:val="00AE46CF"/>
    <w:rsid w:val="00AE470F"/>
    <w:rsid w:val="00AE4A05"/>
    <w:rsid w:val="00AE5080"/>
    <w:rsid w:val="00AE5396"/>
    <w:rsid w:val="00AE571E"/>
    <w:rsid w:val="00AE5C0F"/>
    <w:rsid w:val="00AE66D0"/>
    <w:rsid w:val="00AE6984"/>
    <w:rsid w:val="00AE6D6A"/>
    <w:rsid w:val="00AE6DD7"/>
    <w:rsid w:val="00AE6DF0"/>
    <w:rsid w:val="00AE7746"/>
    <w:rsid w:val="00AE77F3"/>
    <w:rsid w:val="00AE7860"/>
    <w:rsid w:val="00AE7F83"/>
    <w:rsid w:val="00AF0048"/>
    <w:rsid w:val="00AF0252"/>
    <w:rsid w:val="00AF13CA"/>
    <w:rsid w:val="00AF1837"/>
    <w:rsid w:val="00AF2209"/>
    <w:rsid w:val="00AF2646"/>
    <w:rsid w:val="00AF27DB"/>
    <w:rsid w:val="00AF289A"/>
    <w:rsid w:val="00AF2DBF"/>
    <w:rsid w:val="00AF308E"/>
    <w:rsid w:val="00AF3B86"/>
    <w:rsid w:val="00AF3C30"/>
    <w:rsid w:val="00AF3C47"/>
    <w:rsid w:val="00AF3DB9"/>
    <w:rsid w:val="00AF3FE5"/>
    <w:rsid w:val="00AF402A"/>
    <w:rsid w:val="00AF40EF"/>
    <w:rsid w:val="00AF4A3D"/>
    <w:rsid w:val="00AF4C93"/>
    <w:rsid w:val="00AF53C9"/>
    <w:rsid w:val="00AF5878"/>
    <w:rsid w:val="00AF674E"/>
    <w:rsid w:val="00AF7618"/>
    <w:rsid w:val="00AF7642"/>
    <w:rsid w:val="00B00014"/>
    <w:rsid w:val="00B00B74"/>
    <w:rsid w:val="00B015F0"/>
    <w:rsid w:val="00B017FE"/>
    <w:rsid w:val="00B01D06"/>
    <w:rsid w:val="00B0258F"/>
    <w:rsid w:val="00B02A9D"/>
    <w:rsid w:val="00B02B02"/>
    <w:rsid w:val="00B0309F"/>
    <w:rsid w:val="00B03248"/>
    <w:rsid w:val="00B035DE"/>
    <w:rsid w:val="00B037E2"/>
    <w:rsid w:val="00B042B3"/>
    <w:rsid w:val="00B04549"/>
    <w:rsid w:val="00B04D59"/>
    <w:rsid w:val="00B0532C"/>
    <w:rsid w:val="00B05346"/>
    <w:rsid w:val="00B05723"/>
    <w:rsid w:val="00B05D5E"/>
    <w:rsid w:val="00B063E9"/>
    <w:rsid w:val="00B06742"/>
    <w:rsid w:val="00B07328"/>
    <w:rsid w:val="00B10150"/>
    <w:rsid w:val="00B1160E"/>
    <w:rsid w:val="00B117F4"/>
    <w:rsid w:val="00B11821"/>
    <w:rsid w:val="00B12E4D"/>
    <w:rsid w:val="00B1301D"/>
    <w:rsid w:val="00B1313E"/>
    <w:rsid w:val="00B133BE"/>
    <w:rsid w:val="00B13A98"/>
    <w:rsid w:val="00B13C7A"/>
    <w:rsid w:val="00B13E9A"/>
    <w:rsid w:val="00B148CE"/>
    <w:rsid w:val="00B148F2"/>
    <w:rsid w:val="00B14A46"/>
    <w:rsid w:val="00B14EAD"/>
    <w:rsid w:val="00B14FD6"/>
    <w:rsid w:val="00B157C3"/>
    <w:rsid w:val="00B15903"/>
    <w:rsid w:val="00B15DF3"/>
    <w:rsid w:val="00B163B5"/>
    <w:rsid w:val="00B167F4"/>
    <w:rsid w:val="00B1686C"/>
    <w:rsid w:val="00B16B2E"/>
    <w:rsid w:val="00B17211"/>
    <w:rsid w:val="00B1741C"/>
    <w:rsid w:val="00B178ED"/>
    <w:rsid w:val="00B17DDD"/>
    <w:rsid w:val="00B17E18"/>
    <w:rsid w:val="00B20E6A"/>
    <w:rsid w:val="00B21606"/>
    <w:rsid w:val="00B216AE"/>
    <w:rsid w:val="00B21741"/>
    <w:rsid w:val="00B217D2"/>
    <w:rsid w:val="00B21D4C"/>
    <w:rsid w:val="00B2289E"/>
    <w:rsid w:val="00B22E32"/>
    <w:rsid w:val="00B231F5"/>
    <w:rsid w:val="00B23A6A"/>
    <w:rsid w:val="00B24228"/>
    <w:rsid w:val="00B24524"/>
    <w:rsid w:val="00B247E4"/>
    <w:rsid w:val="00B248F3"/>
    <w:rsid w:val="00B24DEA"/>
    <w:rsid w:val="00B24FDF"/>
    <w:rsid w:val="00B255E8"/>
    <w:rsid w:val="00B257D6"/>
    <w:rsid w:val="00B25962"/>
    <w:rsid w:val="00B25B07"/>
    <w:rsid w:val="00B25BA0"/>
    <w:rsid w:val="00B25DAF"/>
    <w:rsid w:val="00B2669F"/>
    <w:rsid w:val="00B26967"/>
    <w:rsid w:val="00B2778E"/>
    <w:rsid w:val="00B2784E"/>
    <w:rsid w:val="00B27DE4"/>
    <w:rsid w:val="00B30BFA"/>
    <w:rsid w:val="00B30D90"/>
    <w:rsid w:val="00B30E41"/>
    <w:rsid w:val="00B30F54"/>
    <w:rsid w:val="00B31AA2"/>
    <w:rsid w:val="00B31E24"/>
    <w:rsid w:val="00B3295D"/>
    <w:rsid w:val="00B3295F"/>
    <w:rsid w:val="00B32A82"/>
    <w:rsid w:val="00B32E64"/>
    <w:rsid w:val="00B33093"/>
    <w:rsid w:val="00B3388C"/>
    <w:rsid w:val="00B33CF2"/>
    <w:rsid w:val="00B33EA0"/>
    <w:rsid w:val="00B33F82"/>
    <w:rsid w:val="00B33FA6"/>
    <w:rsid w:val="00B3404C"/>
    <w:rsid w:val="00B34C75"/>
    <w:rsid w:val="00B34ED2"/>
    <w:rsid w:val="00B34FC9"/>
    <w:rsid w:val="00B350F7"/>
    <w:rsid w:val="00B357B1"/>
    <w:rsid w:val="00B3585B"/>
    <w:rsid w:val="00B359A5"/>
    <w:rsid w:val="00B35AEE"/>
    <w:rsid w:val="00B35E62"/>
    <w:rsid w:val="00B35FE3"/>
    <w:rsid w:val="00B36089"/>
    <w:rsid w:val="00B36B64"/>
    <w:rsid w:val="00B36CF1"/>
    <w:rsid w:val="00B36DC1"/>
    <w:rsid w:val="00B403CA"/>
    <w:rsid w:val="00B40454"/>
    <w:rsid w:val="00B40AFB"/>
    <w:rsid w:val="00B40BE8"/>
    <w:rsid w:val="00B40D8D"/>
    <w:rsid w:val="00B41080"/>
    <w:rsid w:val="00B41B5F"/>
    <w:rsid w:val="00B41BE0"/>
    <w:rsid w:val="00B42084"/>
    <w:rsid w:val="00B42726"/>
    <w:rsid w:val="00B42B2B"/>
    <w:rsid w:val="00B42F9C"/>
    <w:rsid w:val="00B42FC5"/>
    <w:rsid w:val="00B439BF"/>
    <w:rsid w:val="00B43F9B"/>
    <w:rsid w:val="00B44041"/>
    <w:rsid w:val="00B44510"/>
    <w:rsid w:val="00B44D8A"/>
    <w:rsid w:val="00B45592"/>
    <w:rsid w:val="00B4563E"/>
    <w:rsid w:val="00B45D4B"/>
    <w:rsid w:val="00B45DC4"/>
    <w:rsid w:val="00B45E46"/>
    <w:rsid w:val="00B45F49"/>
    <w:rsid w:val="00B469E0"/>
    <w:rsid w:val="00B46AD3"/>
    <w:rsid w:val="00B47430"/>
    <w:rsid w:val="00B475DC"/>
    <w:rsid w:val="00B47657"/>
    <w:rsid w:val="00B502BB"/>
    <w:rsid w:val="00B50416"/>
    <w:rsid w:val="00B50479"/>
    <w:rsid w:val="00B504C7"/>
    <w:rsid w:val="00B50DF0"/>
    <w:rsid w:val="00B50ED6"/>
    <w:rsid w:val="00B5134E"/>
    <w:rsid w:val="00B51721"/>
    <w:rsid w:val="00B5191C"/>
    <w:rsid w:val="00B522BD"/>
    <w:rsid w:val="00B524D1"/>
    <w:rsid w:val="00B52507"/>
    <w:rsid w:val="00B52DEE"/>
    <w:rsid w:val="00B52E83"/>
    <w:rsid w:val="00B536F7"/>
    <w:rsid w:val="00B53A8E"/>
    <w:rsid w:val="00B54017"/>
    <w:rsid w:val="00B54176"/>
    <w:rsid w:val="00B542A2"/>
    <w:rsid w:val="00B54A65"/>
    <w:rsid w:val="00B54F3B"/>
    <w:rsid w:val="00B54F70"/>
    <w:rsid w:val="00B551BE"/>
    <w:rsid w:val="00B55408"/>
    <w:rsid w:val="00B55892"/>
    <w:rsid w:val="00B559A5"/>
    <w:rsid w:val="00B55A64"/>
    <w:rsid w:val="00B56789"/>
    <w:rsid w:val="00B56CE3"/>
    <w:rsid w:val="00B5710F"/>
    <w:rsid w:val="00B57CE5"/>
    <w:rsid w:val="00B603EB"/>
    <w:rsid w:val="00B605FF"/>
    <w:rsid w:val="00B615A5"/>
    <w:rsid w:val="00B61898"/>
    <w:rsid w:val="00B61967"/>
    <w:rsid w:val="00B62360"/>
    <w:rsid w:val="00B62785"/>
    <w:rsid w:val="00B62A86"/>
    <w:rsid w:val="00B62C95"/>
    <w:rsid w:val="00B62EA6"/>
    <w:rsid w:val="00B632F5"/>
    <w:rsid w:val="00B63A68"/>
    <w:rsid w:val="00B63B76"/>
    <w:rsid w:val="00B64A4C"/>
    <w:rsid w:val="00B65A46"/>
    <w:rsid w:val="00B65AC7"/>
    <w:rsid w:val="00B65B8D"/>
    <w:rsid w:val="00B65F5B"/>
    <w:rsid w:val="00B661E6"/>
    <w:rsid w:val="00B66933"/>
    <w:rsid w:val="00B66993"/>
    <w:rsid w:val="00B669CD"/>
    <w:rsid w:val="00B66AA1"/>
    <w:rsid w:val="00B66F0D"/>
    <w:rsid w:val="00B66FC1"/>
    <w:rsid w:val="00B671F3"/>
    <w:rsid w:val="00B67A5A"/>
    <w:rsid w:val="00B67A6A"/>
    <w:rsid w:val="00B67BD5"/>
    <w:rsid w:val="00B7004D"/>
    <w:rsid w:val="00B70F05"/>
    <w:rsid w:val="00B72224"/>
    <w:rsid w:val="00B72411"/>
    <w:rsid w:val="00B728C0"/>
    <w:rsid w:val="00B734C9"/>
    <w:rsid w:val="00B73C99"/>
    <w:rsid w:val="00B7431C"/>
    <w:rsid w:val="00B7466B"/>
    <w:rsid w:val="00B74E76"/>
    <w:rsid w:val="00B76DE0"/>
    <w:rsid w:val="00B7772E"/>
    <w:rsid w:val="00B779DA"/>
    <w:rsid w:val="00B779EC"/>
    <w:rsid w:val="00B77D9D"/>
    <w:rsid w:val="00B801DE"/>
    <w:rsid w:val="00B80364"/>
    <w:rsid w:val="00B81097"/>
    <w:rsid w:val="00B8127D"/>
    <w:rsid w:val="00B81C44"/>
    <w:rsid w:val="00B81CAA"/>
    <w:rsid w:val="00B822D8"/>
    <w:rsid w:val="00B82A51"/>
    <w:rsid w:val="00B8351D"/>
    <w:rsid w:val="00B839D4"/>
    <w:rsid w:val="00B83B6E"/>
    <w:rsid w:val="00B843FF"/>
    <w:rsid w:val="00B84438"/>
    <w:rsid w:val="00B84E1F"/>
    <w:rsid w:val="00B85824"/>
    <w:rsid w:val="00B85F0C"/>
    <w:rsid w:val="00B868C0"/>
    <w:rsid w:val="00B870B5"/>
    <w:rsid w:val="00B9078A"/>
    <w:rsid w:val="00B90A53"/>
    <w:rsid w:val="00B914CA"/>
    <w:rsid w:val="00B91716"/>
    <w:rsid w:val="00B9172F"/>
    <w:rsid w:val="00B91B16"/>
    <w:rsid w:val="00B91C07"/>
    <w:rsid w:val="00B91E55"/>
    <w:rsid w:val="00B91F67"/>
    <w:rsid w:val="00B92195"/>
    <w:rsid w:val="00B92856"/>
    <w:rsid w:val="00B92B1F"/>
    <w:rsid w:val="00B92C7F"/>
    <w:rsid w:val="00B9302F"/>
    <w:rsid w:val="00B93078"/>
    <w:rsid w:val="00B943AE"/>
    <w:rsid w:val="00B94492"/>
    <w:rsid w:val="00B947A5"/>
    <w:rsid w:val="00B94920"/>
    <w:rsid w:val="00B94D22"/>
    <w:rsid w:val="00B94E57"/>
    <w:rsid w:val="00B9550D"/>
    <w:rsid w:val="00B955EB"/>
    <w:rsid w:val="00B95742"/>
    <w:rsid w:val="00B95C42"/>
    <w:rsid w:val="00B95F9F"/>
    <w:rsid w:val="00B96855"/>
    <w:rsid w:val="00B96CB5"/>
    <w:rsid w:val="00B96E57"/>
    <w:rsid w:val="00B970F0"/>
    <w:rsid w:val="00B975CA"/>
    <w:rsid w:val="00B97818"/>
    <w:rsid w:val="00B97CC8"/>
    <w:rsid w:val="00BA0349"/>
    <w:rsid w:val="00BA0B59"/>
    <w:rsid w:val="00BA0CF1"/>
    <w:rsid w:val="00BA0F45"/>
    <w:rsid w:val="00BA1217"/>
    <w:rsid w:val="00BA122A"/>
    <w:rsid w:val="00BA123A"/>
    <w:rsid w:val="00BA19CB"/>
    <w:rsid w:val="00BA1C9E"/>
    <w:rsid w:val="00BA1CCA"/>
    <w:rsid w:val="00BA1D0C"/>
    <w:rsid w:val="00BA1E6A"/>
    <w:rsid w:val="00BA1F76"/>
    <w:rsid w:val="00BA1FFB"/>
    <w:rsid w:val="00BA238F"/>
    <w:rsid w:val="00BA2909"/>
    <w:rsid w:val="00BA2C62"/>
    <w:rsid w:val="00BA3019"/>
    <w:rsid w:val="00BA376D"/>
    <w:rsid w:val="00BA3BDE"/>
    <w:rsid w:val="00BA3E2B"/>
    <w:rsid w:val="00BA3F2C"/>
    <w:rsid w:val="00BA4363"/>
    <w:rsid w:val="00BA4559"/>
    <w:rsid w:val="00BA50AF"/>
    <w:rsid w:val="00BA518F"/>
    <w:rsid w:val="00BA5236"/>
    <w:rsid w:val="00BA53ED"/>
    <w:rsid w:val="00BA57F4"/>
    <w:rsid w:val="00BA65F4"/>
    <w:rsid w:val="00BA6F84"/>
    <w:rsid w:val="00BA7794"/>
    <w:rsid w:val="00BA7EC7"/>
    <w:rsid w:val="00BA7F24"/>
    <w:rsid w:val="00BB08FB"/>
    <w:rsid w:val="00BB10EB"/>
    <w:rsid w:val="00BB1FC5"/>
    <w:rsid w:val="00BB21AF"/>
    <w:rsid w:val="00BB21B6"/>
    <w:rsid w:val="00BB24C7"/>
    <w:rsid w:val="00BB275C"/>
    <w:rsid w:val="00BB2D98"/>
    <w:rsid w:val="00BB30F5"/>
    <w:rsid w:val="00BB3565"/>
    <w:rsid w:val="00BB3AAB"/>
    <w:rsid w:val="00BB3CEA"/>
    <w:rsid w:val="00BB40C1"/>
    <w:rsid w:val="00BB40EC"/>
    <w:rsid w:val="00BB55C3"/>
    <w:rsid w:val="00BB56DD"/>
    <w:rsid w:val="00BB5AFC"/>
    <w:rsid w:val="00BB6FB4"/>
    <w:rsid w:val="00BB7072"/>
    <w:rsid w:val="00BB717B"/>
    <w:rsid w:val="00BB773D"/>
    <w:rsid w:val="00BC07E4"/>
    <w:rsid w:val="00BC0AE9"/>
    <w:rsid w:val="00BC10FE"/>
    <w:rsid w:val="00BC1665"/>
    <w:rsid w:val="00BC1757"/>
    <w:rsid w:val="00BC22A1"/>
    <w:rsid w:val="00BC27DD"/>
    <w:rsid w:val="00BC3415"/>
    <w:rsid w:val="00BC3A8F"/>
    <w:rsid w:val="00BC3AE2"/>
    <w:rsid w:val="00BC3AFC"/>
    <w:rsid w:val="00BC4072"/>
    <w:rsid w:val="00BC52BB"/>
    <w:rsid w:val="00BC6349"/>
    <w:rsid w:val="00BC6A31"/>
    <w:rsid w:val="00BC6CE7"/>
    <w:rsid w:val="00BC752E"/>
    <w:rsid w:val="00BC75EC"/>
    <w:rsid w:val="00BD0615"/>
    <w:rsid w:val="00BD07CA"/>
    <w:rsid w:val="00BD0B98"/>
    <w:rsid w:val="00BD1495"/>
    <w:rsid w:val="00BD161F"/>
    <w:rsid w:val="00BD17D4"/>
    <w:rsid w:val="00BD1800"/>
    <w:rsid w:val="00BD1E63"/>
    <w:rsid w:val="00BD1F4B"/>
    <w:rsid w:val="00BD4094"/>
    <w:rsid w:val="00BD40EA"/>
    <w:rsid w:val="00BD562E"/>
    <w:rsid w:val="00BD635A"/>
    <w:rsid w:val="00BD6F67"/>
    <w:rsid w:val="00BD74FF"/>
    <w:rsid w:val="00BD790B"/>
    <w:rsid w:val="00BE0020"/>
    <w:rsid w:val="00BE0848"/>
    <w:rsid w:val="00BE0CA5"/>
    <w:rsid w:val="00BE1087"/>
    <w:rsid w:val="00BE14F6"/>
    <w:rsid w:val="00BE17F6"/>
    <w:rsid w:val="00BE1A21"/>
    <w:rsid w:val="00BE1B3D"/>
    <w:rsid w:val="00BE1C20"/>
    <w:rsid w:val="00BE1E8B"/>
    <w:rsid w:val="00BE2F2E"/>
    <w:rsid w:val="00BE303B"/>
    <w:rsid w:val="00BE333D"/>
    <w:rsid w:val="00BE35FD"/>
    <w:rsid w:val="00BE368A"/>
    <w:rsid w:val="00BE3EC8"/>
    <w:rsid w:val="00BE41E2"/>
    <w:rsid w:val="00BE42D2"/>
    <w:rsid w:val="00BE5206"/>
    <w:rsid w:val="00BE5932"/>
    <w:rsid w:val="00BE59DE"/>
    <w:rsid w:val="00BE5DEF"/>
    <w:rsid w:val="00BE5E7D"/>
    <w:rsid w:val="00BE6433"/>
    <w:rsid w:val="00BE6602"/>
    <w:rsid w:val="00BE6851"/>
    <w:rsid w:val="00BE6FC7"/>
    <w:rsid w:val="00BE700F"/>
    <w:rsid w:val="00BE706E"/>
    <w:rsid w:val="00BE7B13"/>
    <w:rsid w:val="00BF004F"/>
    <w:rsid w:val="00BF00E1"/>
    <w:rsid w:val="00BF0811"/>
    <w:rsid w:val="00BF0989"/>
    <w:rsid w:val="00BF13C8"/>
    <w:rsid w:val="00BF154F"/>
    <w:rsid w:val="00BF1601"/>
    <w:rsid w:val="00BF1893"/>
    <w:rsid w:val="00BF18EC"/>
    <w:rsid w:val="00BF1B31"/>
    <w:rsid w:val="00BF1E9D"/>
    <w:rsid w:val="00BF27E1"/>
    <w:rsid w:val="00BF2E0E"/>
    <w:rsid w:val="00BF32AF"/>
    <w:rsid w:val="00BF366C"/>
    <w:rsid w:val="00BF37F3"/>
    <w:rsid w:val="00BF4BC7"/>
    <w:rsid w:val="00BF4DEB"/>
    <w:rsid w:val="00BF512F"/>
    <w:rsid w:val="00BF5505"/>
    <w:rsid w:val="00BF6197"/>
    <w:rsid w:val="00BF6367"/>
    <w:rsid w:val="00BF645F"/>
    <w:rsid w:val="00BF6704"/>
    <w:rsid w:val="00BF6A53"/>
    <w:rsid w:val="00BF6B82"/>
    <w:rsid w:val="00BF6EB1"/>
    <w:rsid w:val="00BF74F0"/>
    <w:rsid w:val="00C00009"/>
    <w:rsid w:val="00C000F4"/>
    <w:rsid w:val="00C00B87"/>
    <w:rsid w:val="00C00F5C"/>
    <w:rsid w:val="00C0136F"/>
    <w:rsid w:val="00C029EF"/>
    <w:rsid w:val="00C02A28"/>
    <w:rsid w:val="00C03F42"/>
    <w:rsid w:val="00C03F44"/>
    <w:rsid w:val="00C03FC5"/>
    <w:rsid w:val="00C04210"/>
    <w:rsid w:val="00C0431F"/>
    <w:rsid w:val="00C04DBB"/>
    <w:rsid w:val="00C0500A"/>
    <w:rsid w:val="00C05741"/>
    <w:rsid w:val="00C05F21"/>
    <w:rsid w:val="00C06366"/>
    <w:rsid w:val="00C06A56"/>
    <w:rsid w:val="00C0727C"/>
    <w:rsid w:val="00C075BD"/>
    <w:rsid w:val="00C07E6B"/>
    <w:rsid w:val="00C10052"/>
    <w:rsid w:val="00C10081"/>
    <w:rsid w:val="00C107C4"/>
    <w:rsid w:val="00C107E4"/>
    <w:rsid w:val="00C10B34"/>
    <w:rsid w:val="00C10E9F"/>
    <w:rsid w:val="00C1164E"/>
    <w:rsid w:val="00C118EA"/>
    <w:rsid w:val="00C1191A"/>
    <w:rsid w:val="00C12459"/>
    <w:rsid w:val="00C12476"/>
    <w:rsid w:val="00C124BF"/>
    <w:rsid w:val="00C12598"/>
    <w:rsid w:val="00C1283F"/>
    <w:rsid w:val="00C12EBE"/>
    <w:rsid w:val="00C13478"/>
    <w:rsid w:val="00C13A66"/>
    <w:rsid w:val="00C13ADC"/>
    <w:rsid w:val="00C1407E"/>
    <w:rsid w:val="00C143C5"/>
    <w:rsid w:val="00C14555"/>
    <w:rsid w:val="00C1480E"/>
    <w:rsid w:val="00C14B2C"/>
    <w:rsid w:val="00C15604"/>
    <w:rsid w:val="00C15754"/>
    <w:rsid w:val="00C1579F"/>
    <w:rsid w:val="00C162F4"/>
    <w:rsid w:val="00C1693D"/>
    <w:rsid w:val="00C1704F"/>
    <w:rsid w:val="00C17690"/>
    <w:rsid w:val="00C1772E"/>
    <w:rsid w:val="00C17AA5"/>
    <w:rsid w:val="00C20161"/>
    <w:rsid w:val="00C201BD"/>
    <w:rsid w:val="00C203D7"/>
    <w:rsid w:val="00C208B4"/>
    <w:rsid w:val="00C20E85"/>
    <w:rsid w:val="00C2173D"/>
    <w:rsid w:val="00C21B28"/>
    <w:rsid w:val="00C22888"/>
    <w:rsid w:val="00C22A6C"/>
    <w:rsid w:val="00C23139"/>
    <w:rsid w:val="00C235BA"/>
    <w:rsid w:val="00C23D71"/>
    <w:rsid w:val="00C24F8E"/>
    <w:rsid w:val="00C25180"/>
    <w:rsid w:val="00C25276"/>
    <w:rsid w:val="00C254E9"/>
    <w:rsid w:val="00C25FCD"/>
    <w:rsid w:val="00C260FC"/>
    <w:rsid w:val="00C26A47"/>
    <w:rsid w:val="00C26E54"/>
    <w:rsid w:val="00C26F85"/>
    <w:rsid w:val="00C30288"/>
    <w:rsid w:val="00C30EFE"/>
    <w:rsid w:val="00C3143E"/>
    <w:rsid w:val="00C317F6"/>
    <w:rsid w:val="00C31EED"/>
    <w:rsid w:val="00C3203B"/>
    <w:rsid w:val="00C32111"/>
    <w:rsid w:val="00C327DB"/>
    <w:rsid w:val="00C32917"/>
    <w:rsid w:val="00C3296F"/>
    <w:rsid w:val="00C32B9E"/>
    <w:rsid w:val="00C32BC8"/>
    <w:rsid w:val="00C32D49"/>
    <w:rsid w:val="00C33571"/>
    <w:rsid w:val="00C33686"/>
    <w:rsid w:val="00C339A4"/>
    <w:rsid w:val="00C33D50"/>
    <w:rsid w:val="00C3474D"/>
    <w:rsid w:val="00C348E8"/>
    <w:rsid w:val="00C34D2A"/>
    <w:rsid w:val="00C35216"/>
    <w:rsid w:val="00C35715"/>
    <w:rsid w:val="00C35827"/>
    <w:rsid w:val="00C3587D"/>
    <w:rsid w:val="00C35C51"/>
    <w:rsid w:val="00C360F7"/>
    <w:rsid w:val="00C363C5"/>
    <w:rsid w:val="00C36D03"/>
    <w:rsid w:val="00C406F0"/>
    <w:rsid w:val="00C40925"/>
    <w:rsid w:val="00C41166"/>
    <w:rsid w:val="00C4150B"/>
    <w:rsid w:val="00C41557"/>
    <w:rsid w:val="00C420F3"/>
    <w:rsid w:val="00C42200"/>
    <w:rsid w:val="00C429ED"/>
    <w:rsid w:val="00C42E90"/>
    <w:rsid w:val="00C4325F"/>
    <w:rsid w:val="00C440B3"/>
    <w:rsid w:val="00C440F6"/>
    <w:rsid w:val="00C44298"/>
    <w:rsid w:val="00C452DC"/>
    <w:rsid w:val="00C458A4"/>
    <w:rsid w:val="00C46350"/>
    <w:rsid w:val="00C464F2"/>
    <w:rsid w:val="00C465FD"/>
    <w:rsid w:val="00C475F2"/>
    <w:rsid w:val="00C47B78"/>
    <w:rsid w:val="00C47F69"/>
    <w:rsid w:val="00C508A3"/>
    <w:rsid w:val="00C5121A"/>
    <w:rsid w:val="00C51535"/>
    <w:rsid w:val="00C5168F"/>
    <w:rsid w:val="00C51876"/>
    <w:rsid w:val="00C51A95"/>
    <w:rsid w:val="00C51BE1"/>
    <w:rsid w:val="00C5204A"/>
    <w:rsid w:val="00C52EFD"/>
    <w:rsid w:val="00C5304C"/>
    <w:rsid w:val="00C53215"/>
    <w:rsid w:val="00C532E5"/>
    <w:rsid w:val="00C539D5"/>
    <w:rsid w:val="00C53FD2"/>
    <w:rsid w:val="00C5474B"/>
    <w:rsid w:val="00C55904"/>
    <w:rsid w:val="00C55E22"/>
    <w:rsid w:val="00C55E97"/>
    <w:rsid w:val="00C55EDD"/>
    <w:rsid w:val="00C56628"/>
    <w:rsid w:val="00C56757"/>
    <w:rsid w:val="00C56B0B"/>
    <w:rsid w:val="00C5738C"/>
    <w:rsid w:val="00C579F0"/>
    <w:rsid w:val="00C57BD9"/>
    <w:rsid w:val="00C6031C"/>
    <w:rsid w:val="00C605CA"/>
    <w:rsid w:val="00C606D2"/>
    <w:rsid w:val="00C606FA"/>
    <w:rsid w:val="00C607E7"/>
    <w:rsid w:val="00C60D8D"/>
    <w:rsid w:val="00C616C3"/>
    <w:rsid w:val="00C6172D"/>
    <w:rsid w:val="00C61CC1"/>
    <w:rsid w:val="00C61CF5"/>
    <w:rsid w:val="00C61E1B"/>
    <w:rsid w:val="00C625A6"/>
    <w:rsid w:val="00C62AD0"/>
    <w:rsid w:val="00C62AED"/>
    <w:rsid w:val="00C62C80"/>
    <w:rsid w:val="00C62D79"/>
    <w:rsid w:val="00C634EF"/>
    <w:rsid w:val="00C636B1"/>
    <w:rsid w:val="00C63752"/>
    <w:rsid w:val="00C63BD7"/>
    <w:rsid w:val="00C63E02"/>
    <w:rsid w:val="00C647DA"/>
    <w:rsid w:val="00C65148"/>
    <w:rsid w:val="00C653BC"/>
    <w:rsid w:val="00C6552C"/>
    <w:rsid w:val="00C6576C"/>
    <w:rsid w:val="00C6613A"/>
    <w:rsid w:val="00C66B39"/>
    <w:rsid w:val="00C67355"/>
    <w:rsid w:val="00C678CE"/>
    <w:rsid w:val="00C67A90"/>
    <w:rsid w:val="00C67A91"/>
    <w:rsid w:val="00C702FE"/>
    <w:rsid w:val="00C70339"/>
    <w:rsid w:val="00C70F7D"/>
    <w:rsid w:val="00C71156"/>
    <w:rsid w:val="00C71768"/>
    <w:rsid w:val="00C71E46"/>
    <w:rsid w:val="00C72171"/>
    <w:rsid w:val="00C72C7C"/>
    <w:rsid w:val="00C72E61"/>
    <w:rsid w:val="00C73224"/>
    <w:rsid w:val="00C735C4"/>
    <w:rsid w:val="00C73A83"/>
    <w:rsid w:val="00C73F83"/>
    <w:rsid w:val="00C74633"/>
    <w:rsid w:val="00C74812"/>
    <w:rsid w:val="00C74823"/>
    <w:rsid w:val="00C74C24"/>
    <w:rsid w:val="00C753D9"/>
    <w:rsid w:val="00C75525"/>
    <w:rsid w:val="00C759D7"/>
    <w:rsid w:val="00C75A23"/>
    <w:rsid w:val="00C75FC3"/>
    <w:rsid w:val="00C765F6"/>
    <w:rsid w:val="00C771B3"/>
    <w:rsid w:val="00C7742E"/>
    <w:rsid w:val="00C77923"/>
    <w:rsid w:val="00C77A72"/>
    <w:rsid w:val="00C77AE8"/>
    <w:rsid w:val="00C81066"/>
    <w:rsid w:val="00C81551"/>
    <w:rsid w:val="00C821BE"/>
    <w:rsid w:val="00C82279"/>
    <w:rsid w:val="00C82283"/>
    <w:rsid w:val="00C833AF"/>
    <w:rsid w:val="00C842ED"/>
    <w:rsid w:val="00C84421"/>
    <w:rsid w:val="00C84C1B"/>
    <w:rsid w:val="00C84E50"/>
    <w:rsid w:val="00C85789"/>
    <w:rsid w:val="00C860F1"/>
    <w:rsid w:val="00C861C1"/>
    <w:rsid w:val="00C8633F"/>
    <w:rsid w:val="00C8635B"/>
    <w:rsid w:val="00C864AB"/>
    <w:rsid w:val="00C86D26"/>
    <w:rsid w:val="00C86F3B"/>
    <w:rsid w:val="00C87529"/>
    <w:rsid w:val="00C87879"/>
    <w:rsid w:val="00C903AE"/>
    <w:rsid w:val="00C90528"/>
    <w:rsid w:val="00C90779"/>
    <w:rsid w:val="00C9095F"/>
    <w:rsid w:val="00C90960"/>
    <w:rsid w:val="00C90E82"/>
    <w:rsid w:val="00C90EC2"/>
    <w:rsid w:val="00C9113B"/>
    <w:rsid w:val="00C91C2E"/>
    <w:rsid w:val="00C92003"/>
    <w:rsid w:val="00C9223A"/>
    <w:rsid w:val="00C928F5"/>
    <w:rsid w:val="00C929E1"/>
    <w:rsid w:val="00C92D27"/>
    <w:rsid w:val="00C93052"/>
    <w:rsid w:val="00C9365D"/>
    <w:rsid w:val="00C937E9"/>
    <w:rsid w:val="00C93C25"/>
    <w:rsid w:val="00C94324"/>
    <w:rsid w:val="00C944F8"/>
    <w:rsid w:val="00C94A91"/>
    <w:rsid w:val="00C94AB9"/>
    <w:rsid w:val="00C954EA"/>
    <w:rsid w:val="00C95C38"/>
    <w:rsid w:val="00C95CBF"/>
    <w:rsid w:val="00C95DD9"/>
    <w:rsid w:val="00C96233"/>
    <w:rsid w:val="00C96390"/>
    <w:rsid w:val="00C9643E"/>
    <w:rsid w:val="00C964FB"/>
    <w:rsid w:val="00C97079"/>
    <w:rsid w:val="00CA027A"/>
    <w:rsid w:val="00CA06B6"/>
    <w:rsid w:val="00CA07F7"/>
    <w:rsid w:val="00CA0BA5"/>
    <w:rsid w:val="00CA27FA"/>
    <w:rsid w:val="00CA27FB"/>
    <w:rsid w:val="00CA3301"/>
    <w:rsid w:val="00CA34E5"/>
    <w:rsid w:val="00CA34EF"/>
    <w:rsid w:val="00CA3B9E"/>
    <w:rsid w:val="00CA3E7F"/>
    <w:rsid w:val="00CA4279"/>
    <w:rsid w:val="00CA5383"/>
    <w:rsid w:val="00CA5422"/>
    <w:rsid w:val="00CA5905"/>
    <w:rsid w:val="00CA5D97"/>
    <w:rsid w:val="00CA5E2E"/>
    <w:rsid w:val="00CA6196"/>
    <w:rsid w:val="00CA659B"/>
    <w:rsid w:val="00CA6789"/>
    <w:rsid w:val="00CA69F4"/>
    <w:rsid w:val="00CA746C"/>
    <w:rsid w:val="00CA7A65"/>
    <w:rsid w:val="00CA7F6F"/>
    <w:rsid w:val="00CA7F83"/>
    <w:rsid w:val="00CB006B"/>
    <w:rsid w:val="00CB0763"/>
    <w:rsid w:val="00CB0990"/>
    <w:rsid w:val="00CB09B0"/>
    <w:rsid w:val="00CB0D2C"/>
    <w:rsid w:val="00CB16F6"/>
    <w:rsid w:val="00CB1A09"/>
    <w:rsid w:val="00CB1AE5"/>
    <w:rsid w:val="00CB1DA6"/>
    <w:rsid w:val="00CB21D2"/>
    <w:rsid w:val="00CB25DF"/>
    <w:rsid w:val="00CB2F24"/>
    <w:rsid w:val="00CB3474"/>
    <w:rsid w:val="00CB347B"/>
    <w:rsid w:val="00CB37BC"/>
    <w:rsid w:val="00CB3CDA"/>
    <w:rsid w:val="00CB3D54"/>
    <w:rsid w:val="00CB3EB7"/>
    <w:rsid w:val="00CB3F03"/>
    <w:rsid w:val="00CB4301"/>
    <w:rsid w:val="00CB4319"/>
    <w:rsid w:val="00CB4CEF"/>
    <w:rsid w:val="00CB50FB"/>
    <w:rsid w:val="00CB5480"/>
    <w:rsid w:val="00CB59B8"/>
    <w:rsid w:val="00CB6A22"/>
    <w:rsid w:val="00CB6D51"/>
    <w:rsid w:val="00CB6E71"/>
    <w:rsid w:val="00CB6F9E"/>
    <w:rsid w:val="00CB70E2"/>
    <w:rsid w:val="00CB7511"/>
    <w:rsid w:val="00CB76AF"/>
    <w:rsid w:val="00CB7C4F"/>
    <w:rsid w:val="00CB7F3D"/>
    <w:rsid w:val="00CC014C"/>
    <w:rsid w:val="00CC02E9"/>
    <w:rsid w:val="00CC09A7"/>
    <w:rsid w:val="00CC0E38"/>
    <w:rsid w:val="00CC0E58"/>
    <w:rsid w:val="00CC1AAC"/>
    <w:rsid w:val="00CC21F0"/>
    <w:rsid w:val="00CC274F"/>
    <w:rsid w:val="00CC28BC"/>
    <w:rsid w:val="00CC3124"/>
    <w:rsid w:val="00CC320E"/>
    <w:rsid w:val="00CC3245"/>
    <w:rsid w:val="00CC324B"/>
    <w:rsid w:val="00CC3691"/>
    <w:rsid w:val="00CC36E7"/>
    <w:rsid w:val="00CC3F6E"/>
    <w:rsid w:val="00CC4525"/>
    <w:rsid w:val="00CC4933"/>
    <w:rsid w:val="00CC5F41"/>
    <w:rsid w:val="00CC6A25"/>
    <w:rsid w:val="00CC6CD2"/>
    <w:rsid w:val="00CC76C2"/>
    <w:rsid w:val="00CC7B0F"/>
    <w:rsid w:val="00CC7D02"/>
    <w:rsid w:val="00CD01DB"/>
    <w:rsid w:val="00CD094C"/>
    <w:rsid w:val="00CD0B40"/>
    <w:rsid w:val="00CD0B60"/>
    <w:rsid w:val="00CD1004"/>
    <w:rsid w:val="00CD12E5"/>
    <w:rsid w:val="00CD134C"/>
    <w:rsid w:val="00CD19ED"/>
    <w:rsid w:val="00CD1B01"/>
    <w:rsid w:val="00CD1CEA"/>
    <w:rsid w:val="00CD1DE3"/>
    <w:rsid w:val="00CD1EFB"/>
    <w:rsid w:val="00CD1F8F"/>
    <w:rsid w:val="00CD2403"/>
    <w:rsid w:val="00CD2E05"/>
    <w:rsid w:val="00CD313B"/>
    <w:rsid w:val="00CD33C9"/>
    <w:rsid w:val="00CD3A32"/>
    <w:rsid w:val="00CD3A9F"/>
    <w:rsid w:val="00CD3BE7"/>
    <w:rsid w:val="00CD3F15"/>
    <w:rsid w:val="00CD445B"/>
    <w:rsid w:val="00CD4B54"/>
    <w:rsid w:val="00CD4C92"/>
    <w:rsid w:val="00CD5143"/>
    <w:rsid w:val="00CD52B5"/>
    <w:rsid w:val="00CD5DD3"/>
    <w:rsid w:val="00CD6209"/>
    <w:rsid w:val="00CD65E7"/>
    <w:rsid w:val="00CD682C"/>
    <w:rsid w:val="00CD6833"/>
    <w:rsid w:val="00CD6D00"/>
    <w:rsid w:val="00CD711D"/>
    <w:rsid w:val="00CD718B"/>
    <w:rsid w:val="00CD71E3"/>
    <w:rsid w:val="00CE030F"/>
    <w:rsid w:val="00CE0473"/>
    <w:rsid w:val="00CE0591"/>
    <w:rsid w:val="00CE05A9"/>
    <w:rsid w:val="00CE064D"/>
    <w:rsid w:val="00CE0943"/>
    <w:rsid w:val="00CE0EC7"/>
    <w:rsid w:val="00CE128F"/>
    <w:rsid w:val="00CE2FB2"/>
    <w:rsid w:val="00CE3F2A"/>
    <w:rsid w:val="00CE4A9E"/>
    <w:rsid w:val="00CE4D7C"/>
    <w:rsid w:val="00CE5010"/>
    <w:rsid w:val="00CE50D0"/>
    <w:rsid w:val="00CE5F0A"/>
    <w:rsid w:val="00CE614D"/>
    <w:rsid w:val="00CE61A3"/>
    <w:rsid w:val="00CE61D1"/>
    <w:rsid w:val="00CE66A4"/>
    <w:rsid w:val="00CE6BD5"/>
    <w:rsid w:val="00CE6BDE"/>
    <w:rsid w:val="00CE6D0D"/>
    <w:rsid w:val="00CE7416"/>
    <w:rsid w:val="00CE7471"/>
    <w:rsid w:val="00CE762B"/>
    <w:rsid w:val="00CE76B4"/>
    <w:rsid w:val="00CE79F3"/>
    <w:rsid w:val="00CE7AAA"/>
    <w:rsid w:val="00CF0CAE"/>
    <w:rsid w:val="00CF2320"/>
    <w:rsid w:val="00CF25D6"/>
    <w:rsid w:val="00CF38C2"/>
    <w:rsid w:val="00CF404B"/>
    <w:rsid w:val="00CF5074"/>
    <w:rsid w:val="00CF5CEB"/>
    <w:rsid w:val="00CF65DF"/>
    <w:rsid w:val="00CF6822"/>
    <w:rsid w:val="00CF6A32"/>
    <w:rsid w:val="00CF6EA0"/>
    <w:rsid w:val="00CF7266"/>
    <w:rsid w:val="00CF799A"/>
    <w:rsid w:val="00CF7B19"/>
    <w:rsid w:val="00CF7EB4"/>
    <w:rsid w:val="00D00533"/>
    <w:rsid w:val="00D00D80"/>
    <w:rsid w:val="00D0103C"/>
    <w:rsid w:val="00D013A5"/>
    <w:rsid w:val="00D01659"/>
    <w:rsid w:val="00D0167A"/>
    <w:rsid w:val="00D019BD"/>
    <w:rsid w:val="00D01C0A"/>
    <w:rsid w:val="00D01E95"/>
    <w:rsid w:val="00D02288"/>
    <w:rsid w:val="00D025A0"/>
    <w:rsid w:val="00D028C3"/>
    <w:rsid w:val="00D0294C"/>
    <w:rsid w:val="00D02FFE"/>
    <w:rsid w:val="00D0371E"/>
    <w:rsid w:val="00D038FF"/>
    <w:rsid w:val="00D03BA3"/>
    <w:rsid w:val="00D03CB6"/>
    <w:rsid w:val="00D03D9B"/>
    <w:rsid w:val="00D03F95"/>
    <w:rsid w:val="00D04975"/>
    <w:rsid w:val="00D050C3"/>
    <w:rsid w:val="00D05172"/>
    <w:rsid w:val="00D05359"/>
    <w:rsid w:val="00D062E5"/>
    <w:rsid w:val="00D064C3"/>
    <w:rsid w:val="00D06E01"/>
    <w:rsid w:val="00D0706F"/>
    <w:rsid w:val="00D10504"/>
    <w:rsid w:val="00D10E5C"/>
    <w:rsid w:val="00D115AD"/>
    <w:rsid w:val="00D11A00"/>
    <w:rsid w:val="00D11AC7"/>
    <w:rsid w:val="00D11BB9"/>
    <w:rsid w:val="00D1267A"/>
    <w:rsid w:val="00D12755"/>
    <w:rsid w:val="00D12B44"/>
    <w:rsid w:val="00D12DB4"/>
    <w:rsid w:val="00D1395A"/>
    <w:rsid w:val="00D13E1E"/>
    <w:rsid w:val="00D13E6F"/>
    <w:rsid w:val="00D13F92"/>
    <w:rsid w:val="00D144E7"/>
    <w:rsid w:val="00D1482F"/>
    <w:rsid w:val="00D14C82"/>
    <w:rsid w:val="00D151B0"/>
    <w:rsid w:val="00D1562D"/>
    <w:rsid w:val="00D15896"/>
    <w:rsid w:val="00D15CCB"/>
    <w:rsid w:val="00D16109"/>
    <w:rsid w:val="00D1636C"/>
    <w:rsid w:val="00D16572"/>
    <w:rsid w:val="00D169FC"/>
    <w:rsid w:val="00D16A68"/>
    <w:rsid w:val="00D16B5F"/>
    <w:rsid w:val="00D16C3A"/>
    <w:rsid w:val="00D17AFF"/>
    <w:rsid w:val="00D20318"/>
    <w:rsid w:val="00D20887"/>
    <w:rsid w:val="00D20D79"/>
    <w:rsid w:val="00D20DBD"/>
    <w:rsid w:val="00D20E1F"/>
    <w:rsid w:val="00D21085"/>
    <w:rsid w:val="00D21614"/>
    <w:rsid w:val="00D21E13"/>
    <w:rsid w:val="00D2334C"/>
    <w:rsid w:val="00D23414"/>
    <w:rsid w:val="00D23561"/>
    <w:rsid w:val="00D23B74"/>
    <w:rsid w:val="00D23C77"/>
    <w:rsid w:val="00D24409"/>
    <w:rsid w:val="00D250CB"/>
    <w:rsid w:val="00D25683"/>
    <w:rsid w:val="00D25D20"/>
    <w:rsid w:val="00D25EFE"/>
    <w:rsid w:val="00D261CC"/>
    <w:rsid w:val="00D263EB"/>
    <w:rsid w:val="00D2683B"/>
    <w:rsid w:val="00D27470"/>
    <w:rsid w:val="00D27CA8"/>
    <w:rsid w:val="00D30524"/>
    <w:rsid w:val="00D30D50"/>
    <w:rsid w:val="00D31012"/>
    <w:rsid w:val="00D31CF5"/>
    <w:rsid w:val="00D31EC4"/>
    <w:rsid w:val="00D31F4F"/>
    <w:rsid w:val="00D321A4"/>
    <w:rsid w:val="00D326BB"/>
    <w:rsid w:val="00D32CB7"/>
    <w:rsid w:val="00D33906"/>
    <w:rsid w:val="00D33944"/>
    <w:rsid w:val="00D33A50"/>
    <w:rsid w:val="00D33DB1"/>
    <w:rsid w:val="00D348E3"/>
    <w:rsid w:val="00D34925"/>
    <w:rsid w:val="00D34D7F"/>
    <w:rsid w:val="00D34F27"/>
    <w:rsid w:val="00D34FA3"/>
    <w:rsid w:val="00D35062"/>
    <w:rsid w:val="00D355C6"/>
    <w:rsid w:val="00D35E8D"/>
    <w:rsid w:val="00D36297"/>
    <w:rsid w:val="00D36504"/>
    <w:rsid w:val="00D36845"/>
    <w:rsid w:val="00D36CFC"/>
    <w:rsid w:val="00D378E4"/>
    <w:rsid w:val="00D40837"/>
    <w:rsid w:val="00D4152D"/>
    <w:rsid w:val="00D418C5"/>
    <w:rsid w:val="00D42C49"/>
    <w:rsid w:val="00D431D7"/>
    <w:rsid w:val="00D431E0"/>
    <w:rsid w:val="00D436E2"/>
    <w:rsid w:val="00D43CE4"/>
    <w:rsid w:val="00D44478"/>
    <w:rsid w:val="00D44930"/>
    <w:rsid w:val="00D44C45"/>
    <w:rsid w:val="00D44DAC"/>
    <w:rsid w:val="00D44DCA"/>
    <w:rsid w:val="00D4549F"/>
    <w:rsid w:val="00D45BF5"/>
    <w:rsid w:val="00D45FEA"/>
    <w:rsid w:val="00D467E9"/>
    <w:rsid w:val="00D47217"/>
    <w:rsid w:val="00D474B3"/>
    <w:rsid w:val="00D47E59"/>
    <w:rsid w:val="00D47F18"/>
    <w:rsid w:val="00D50379"/>
    <w:rsid w:val="00D508CF"/>
    <w:rsid w:val="00D50CAD"/>
    <w:rsid w:val="00D51367"/>
    <w:rsid w:val="00D514BE"/>
    <w:rsid w:val="00D5237D"/>
    <w:rsid w:val="00D525EF"/>
    <w:rsid w:val="00D530AE"/>
    <w:rsid w:val="00D534A8"/>
    <w:rsid w:val="00D5368B"/>
    <w:rsid w:val="00D536C2"/>
    <w:rsid w:val="00D5489A"/>
    <w:rsid w:val="00D54A38"/>
    <w:rsid w:val="00D54A6B"/>
    <w:rsid w:val="00D54DCE"/>
    <w:rsid w:val="00D55110"/>
    <w:rsid w:val="00D555CE"/>
    <w:rsid w:val="00D559DA"/>
    <w:rsid w:val="00D55A94"/>
    <w:rsid w:val="00D55ABF"/>
    <w:rsid w:val="00D5604F"/>
    <w:rsid w:val="00D5610B"/>
    <w:rsid w:val="00D562A2"/>
    <w:rsid w:val="00D56547"/>
    <w:rsid w:val="00D570E6"/>
    <w:rsid w:val="00D5722C"/>
    <w:rsid w:val="00D57276"/>
    <w:rsid w:val="00D57898"/>
    <w:rsid w:val="00D579CD"/>
    <w:rsid w:val="00D605B2"/>
    <w:rsid w:val="00D60898"/>
    <w:rsid w:val="00D60A16"/>
    <w:rsid w:val="00D60FDD"/>
    <w:rsid w:val="00D61A70"/>
    <w:rsid w:val="00D61B39"/>
    <w:rsid w:val="00D61BC4"/>
    <w:rsid w:val="00D61E76"/>
    <w:rsid w:val="00D62037"/>
    <w:rsid w:val="00D62089"/>
    <w:rsid w:val="00D6247C"/>
    <w:rsid w:val="00D62ACB"/>
    <w:rsid w:val="00D62EB6"/>
    <w:rsid w:val="00D645E1"/>
    <w:rsid w:val="00D646F8"/>
    <w:rsid w:val="00D64B8D"/>
    <w:rsid w:val="00D663B8"/>
    <w:rsid w:val="00D673E5"/>
    <w:rsid w:val="00D67506"/>
    <w:rsid w:val="00D67CFB"/>
    <w:rsid w:val="00D67F23"/>
    <w:rsid w:val="00D709B9"/>
    <w:rsid w:val="00D70A96"/>
    <w:rsid w:val="00D70B33"/>
    <w:rsid w:val="00D70BE2"/>
    <w:rsid w:val="00D712D0"/>
    <w:rsid w:val="00D716EB"/>
    <w:rsid w:val="00D71DEF"/>
    <w:rsid w:val="00D7230F"/>
    <w:rsid w:val="00D726F2"/>
    <w:rsid w:val="00D72CFE"/>
    <w:rsid w:val="00D72D66"/>
    <w:rsid w:val="00D738AD"/>
    <w:rsid w:val="00D73C93"/>
    <w:rsid w:val="00D742B8"/>
    <w:rsid w:val="00D749D7"/>
    <w:rsid w:val="00D75035"/>
    <w:rsid w:val="00D750B2"/>
    <w:rsid w:val="00D754E0"/>
    <w:rsid w:val="00D7572D"/>
    <w:rsid w:val="00D76130"/>
    <w:rsid w:val="00D76263"/>
    <w:rsid w:val="00D77B0D"/>
    <w:rsid w:val="00D77D4F"/>
    <w:rsid w:val="00D801AD"/>
    <w:rsid w:val="00D805F0"/>
    <w:rsid w:val="00D80A1A"/>
    <w:rsid w:val="00D80EA4"/>
    <w:rsid w:val="00D81063"/>
    <w:rsid w:val="00D814F3"/>
    <w:rsid w:val="00D81E7B"/>
    <w:rsid w:val="00D81EC3"/>
    <w:rsid w:val="00D82385"/>
    <w:rsid w:val="00D8248D"/>
    <w:rsid w:val="00D82780"/>
    <w:rsid w:val="00D82B6A"/>
    <w:rsid w:val="00D82D51"/>
    <w:rsid w:val="00D839A0"/>
    <w:rsid w:val="00D83FC5"/>
    <w:rsid w:val="00D849CC"/>
    <w:rsid w:val="00D84A1C"/>
    <w:rsid w:val="00D84D00"/>
    <w:rsid w:val="00D853A5"/>
    <w:rsid w:val="00D85572"/>
    <w:rsid w:val="00D8585F"/>
    <w:rsid w:val="00D8604B"/>
    <w:rsid w:val="00D86491"/>
    <w:rsid w:val="00D869B2"/>
    <w:rsid w:val="00D870A8"/>
    <w:rsid w:val="00D87234"/>
    <w:rsid w:val="00D87D9A"/>
    <w:rsid w:val="00D87E49"/>
    <w:rsid w:val="00D90118"/>
    <w:rsid w:val="00D90BB1"/>
    <w:rsid w:val="00D912AE"/>
    <w:rsid w:val="00D914F3"/>
    <w:rsid w:val="00D915F0"/>
    <w:rsid w:val="00D91823"/>
    <w:rsid w:val="00D92205"/>
    <w:rsid w:val="00D92210"/>
    <w:rsid w:val="00D927CF"/>
    <w:rsid w:val="00D92FB1"/>
    <w:rsid w:val="00D936BE"/>
    <w:rsid w:val="00D94ED0"/>
    <w:rsid w:val="00D95247"/>
    <w:rsid w:val="00D955C7"/>
    <w:rsid w:val="00D95977"/>
    <w:rsid w:val="00D95B2A"/>
    <w:rsid w:val="00D95CF2"/>
    <w:rsid w:val="00D95DDF"/>
    <w:rsid w:val="00D96541"/>
    <w:rsid w:val="00D969A4"/>
    <w:rsid w:val="00D96EBD"/>
    <w:rsid w:val="00D97E48"/>
    <w:rsid w:val="00DA00BF"/>
    <w:rsid w:val="00DA0652"/>
    <w:rsid w:val="00DA0E22"/>
    <w:rsid w:val="00DA1701"/>
    <w:rsid w:val="00DA1A44"/>
    <w:rsid w:val="00DA1A82"/>
    <w:rsid w:val="00DA1B75"/>
    <w:rsid w:val="00DA22C1"/>
    <w:rsid w:val="00DA2340"/>
    <w:rsid w:val="00DA270E"/>
    <w:rsid w:val="00DA297E"/>
    <w:rsid w:val="00DA39F5"/>
    <w:rsid w:val="00DA3AEE"/>
    <w:rsid w:val="00DA3D2D"/>
    <w:rsid w:val="00DA412E"/>
    <w:rsid w:val="00DA44FF"/>
    <w:rsid w:val="00DA47F0"/>
    <w:rsid w:val="00DA5A1A"/>
    <w:rsid w:val="00DA5A37"/>
    <w:rsid w:val="00DA5FDB"/>
    <w:rsid w:val="00DA6151"/>
    <w:rsid w:val="00DA6224"/>
    <w:rsid w:val="00DA6710"/>
    <w:rsid w:val="00DA6B0A"/>
    <w:rsid w:val="00DA6D5D"/>
    <w:rsid w:val="00DA6F8B"/>
    <w:rsid w:val="00DA70B0"/>
    <w:rsid w:val="00DA7CB8"/>
    <w:rsid w:val="00DA7D94"/>
    <w:rsid w:val="00DB0376"/>
    <w:rsid w:val="00DB04F5"/>
    <w:rsid w:val="00DB0514"/>
    <w:rsid w:val="00DB0612"/>
    <w:rsid w:val="00DB06BA"/>
    <w:rsid w:val="00DB0951"/>
    <w:rsid w:val="00DB0A49"/>
    <w:rsid w:val="00DB0D44"/>
    <w:rsid w:val="00DB0F68"/>
    <w:rsid w:val="00DB1F1B"/>
    <w:rsid w:val="00DB22D4"/>
    <w:rsid w:val="00DB253E"/>
    <w:rsid w:val="00DB2B10"/>
    <w:rsid w:val="00DB2FFF"/>
    <w:rsid w:val="00DB3378"/>
    <w:rsid w:val="00DB3FF8"/>
    <w:rsid w:val="00DB402B"/>
    <w:rsid w:val="00DB6B2C"/>
    <w:rsid w:val="00DB6FF0"/>
    <w:rsid w:val="00DB70E2"/>
    <w:rsid w:val="00DB7254"/>
    <w:rsid w:val="00DB7B4E"/>
    <w:rsid w:val="00DB7E5A"/>
    <w:rsid w:val="00DC000D"/>
    <w:rsid w:val="00DC0299"/>
    <w:rsid w:val="00DC04C2"/>
    <w:rsid w:val="00DC0763"/>
    <w:rsid w:val="00DC07E4"/>
    <w:rsid w:val="00DC09FE"/>
    <w:rsid w:val="00DC0A71"/>
    <w:rsid w:val="00DC0BC6"/>
    <w:rsid w:val="00DC1148"/>
    <w:rsid w:val="00DC1353"/>
    <w:rsid w:val="00DC1BFE"/>
    <w:rsid w:val="00DC20A5"/>
    <w:rsid w:val="00DC25B8"/>
    <w:rsid w:val="00DC272E"/>
    <w:rsid w:val="00DC27F1"/>
    <w:rsid w:val="00DC281C"/>
    <w:rsid w:val="00DC284C"/>
    <w:rsid w:val="00DC29A8"/>
    <w:rsid w:val="00DC2EA8"/>
    <w:rsid w:val="00DC2F1B"/>
    <w:rsid w:val="00DC2F6B"/>
    <w:rsid w:val="00DC3103"/>
    <w:rsid w:val="00DC33C8"/>
    <w:rsid w:val="00DC3A62"/>
    <w:rsid w:val="00DC4021"/>
    <w:rsid w:val="00DC4198"/>
    <w:rsid w:val="00DC437A"/>
    <w:rsid w:val="00DC4403"/>
    <w:rsid w:val="00DC4E8A"/>
    <w:rsid w:val="00DC4E97"/>
    <w:rsid w:val="00DC512C"/>
    <w:rsid w:val="00DC51E8"/>
    <w:rsid w:val="00DC5695"/>
    <w:rsid w:val="00DC597B"/>
    <w:rsid w:val="00DC5AEE"/>
    <w:rsid w:val="00DC5FD6"/>
    <w:rsid w:val="00DC60B5"/>
    <w:rsid w:val="00DC6523"/>
    <w:rsid w:val="00DC6548"/>
    <w:rsid w:val="00DC6CDF"/>
    <w:rsid w:val="00DC6F56"/>
    <w:rsid w:val="00DC78CB"/>
    <w:rsid w:val="00DC7BA4"/>
    <w:rsid w:val="00DC7CEA"/>
    <w:rsid w:val="00DD03EE"/>
    <w:rsid w:val="00DD04DD"/>
    <w:rsid w:val="00DD0914"/>
    <w:rsid w:val="00DD0AC0"/>
    <w:rsid w:val="00DD0F69"/>
    <w:rsid w:val="00DD107F"/>
    <w:rsid w:val="00DD1179"/>
    <w:rsid w:val="00DD158B"/>
    <w:rsid w:val="00DD1A3C"/>
    <w:rsid w:val="00DD23AE"/>
    <w:rsid w:val="00DD25E6"/>
    <w:rsid w:val="00DD2F4C"/>
    <w:rsid w:val="00DD34E2"/>
    <w:rsid w:val="00DD3923"/>
    <w:rsid w:val="00DD423C"/>
    <w:rsid w:val="00DD49E4"/>
    <w:rsid w:val="00DD4B65"/>
    <w:rsid w:val="00DD4C81"/>
    <w:rsid w:val="00DD4D6C"/>
    <w:rsid w:val="00DD59A1"/>
    <w:rsid w:val="00DD6457"/>
    <w:rsid w:val="00DD6761"/>
    <w:rsid w:val="00DD6B48"/>
    <w:rsid w:val="00DD6D62"/>
    <w:rsid w:val="00DD6FFF"/>
    <w:rsid w:val="00DD76CC"/>
    <w:rsid w:val="00DD7990"/>
    <w:rsid w:val="00DD79A6"/>
    <w:rsid w:val="00DE0960"/>
    <w:rsid w:val="00DE0FEC"/>
    <w:rsid w:val="00DE16B2"/>
    <w:rsid w:val="00DE1C88"/>
    <w:rsid w:val="00DE1FB4"/>
    <w:rsid w:val="00DE25E0"/>
    <w:rsid w:val="00DE31D7"/>
    <w:rsid w:val="00DE3242"/>
    <w:rsid w:val="00DE357C"/>
    <w:rsid w:val="00DE379F"/>
    <w:rsid w:val="00DE3F8D"/>
    <w:rsid w:val="00DE4134"/>
    <w:rsid w:val="00DE444B"/>
    <w:rsid w:val="00DE45EC"/>
    <w:rsid w:val="00DE49BE"/>
    <w:rsid w:val="00DE4BAA"/>
    <w:rsid w:val="00DE511A"/>
    <w:rsid w:val="00DE5195"/>
    <w:rsid w:val="00DE5C18"/>
    <w:rsid w:val="00DE6142"/>
    <w:rsid w:val="00DE63F8"/>
    <w:rsid w:val="00DE6B56"/>
    <w:rsid w:val="00DE7516"/>
    <w:rsid w:val="00DE76D5"/>
    <w:rsid w:val="00DE7DD9"/>
    <w:rsid w:val="00DF0690"/>
    <w:rsid w:val="00DF072C"/>
    <w:rsid w:val="00DF09F1"/>
    <w:rsid w:val="00DF0AC6"/>
    <w:rsid w:val="00DF1392"/>
    <w:rsid w:val="00DF210B"/>
    <w:rsid w:val="00DF210F"/>
    <w:rsid w:val="00DF238B"/>
    <w:rsid w:val="00DF23EE"/>
    <w:rsid w:val="00DF2943"/>
    <w:rsid w:val="00DF2F9A"/>
    <w:rsid w:val="00DF312F"/>
    <w:rsid w:val="00DF3841"/>
    <w:rsid w:val="00DF38B4"/>
    <w:rsid w:val="00DF3E29"/>
    <w:rsid w:val="00DF416F"/>
    <w:rsid w:val="00DF5802"/>
    <w:rsid w:val="00DF601C"/>
    <w:rsid w:val="00DF6182"/>
    <w:rsid w:val="00DF66BD"/>
    <w:rsid w:val="00DF68ED"/>
    <w:rsid w:val="00DF7504"/>
    <w:rsid w:val="00DF7EA8"/>
    <w:rsid w:val="00E00942"/>
    <w:rsid w:val="00E00C06"/>
    <w:rsid w:val="00E01807"/>
    <w:rsid w:val="00E019F9"/>
    <w:rsid w:val="00E01F73"/>
    <w:rsid w:val="00E020E8"/>
    <w:rsid w:val="00E0239A"/>
    <w:rsid w:val="00E02867"/>
    <w:rsid w:val="00E028A5"/>
    <w:rsid w:val="00E028AB"/>
    <w:rsid w:val="00E02918"/>
    <w:rsid w:val="00E02D74"/>
    <w:rsid w:val="00E038EF"/>
    <w:rsid w:val="00E039BE"/>
    <w:rsid w:val="00E04325"/>
    <w:rsid w:val="00E046F9"/>
    <w:rsid w:val="00E0537C"/>
    <w:rsid w:val="00E0551F"/>
    <w:rsid w:val="00E0657C"/>
    <w:rsid w:val="00E07269"/>
    <w:rsid w:val="00E0743B"/>
    <w:rsid w:val="00E076D7"/>
    <w:rsid w:val="00E10703"/>
    <w:rsid w:val="00E10965"/>
    <w:rsid w:val="00E113BC"/>
    <w:rsid w:val="00E119B3"/>
    <w:rsid w:val="00E11B3A"/>
    <w:rsid w:val="00E12BCA"/>
    <w:rsid w:val="00E12E64"/>
    <w:rsid w:val="00E12F74"/>
    <w:rsid w:val="00E1353B"/>
    <w:rsid w:val="00E140F4"/>
    <w:rsid w:val="00E141E8"/>
    <w:rsid w:val="00E148BD"/>
    <w:rsid w:val="00E15713"/>
    <w:rsid w:val="00E157C1"/>
    <w:rsid w:val="00E15AF3"/>
    <w:rsid w:val="00E15E08"/>
    <w:rsid w:val="00E15E27"/>
    <w:rsid w:val="00E163AE"/>
    <w:rsid w:val="00E16D0A"/>
    <w:rsid w:val="00E16E64"/>
    <w:rsid w:val="00E17256"/>
    <w:rsid w:val="00E17463"/>
    <w:rsid w:val="00E1783B"/>
    <w:rsid w:val="00E17F61"/>
    <w:rsid w:val="00E17FED"/>
    <w:rsid w:val="00E20556"/>
    <w:rsid w:val="00E214DF"/>
    <w:rsid w:val="00E21C8D"/>
    <w:rsid w:val="00E21CB2"/>
    <w:rsid w:val="00E21F6F"/>
    <w:rsid w:val="00E222CC"/>
    <w:rsid w:val="00E23636"/>
    <w:rsid w:val="00E23683"/>
    <w:rsid w:val="00E236C3"/>
    <w:rsid w:val="00E236F6"/>
    <w:rsid w:val="00E23828"/>
    <w:rsid w:val="00E23AEC"/>
    <w:rsid w:val="00E23EA8"/>
    <w:rsid w:val="00E243A4"/>
    <w:rsid w:val="00E245F2"/>
    <w:rsid w:val="00E24839"/>
    <w:rsid w:val="00E25DC0"/>
    <w:rsid w:val="00E26105"/>
    <w:rsid w:val="00E265A5"/>
    <w:rsid w:val="00E26862"/>
    <w:rsid w:val="00E26C9F"/>
    <w:rsid w:val="00E27941"/>
    <w:rsid w:val="00E27F58"/>
    <w:rsid w:val="00E300AB"/>
    <w:rsid w:val="00E30559"/>
    <w:rsid w:val="00E307C0"/>
    <w:rsid w:val="00E30BEA"/>
    <w:rsid w:val="00E311B9"/>
    <w:rsid w:val="00E316B1"/>
    <w:rsid w:val="00E31D8D"/>
    <w:rsid w:val="00E32050"/>
    <w:rsid w:val="00E3231D"/>
    <w:rsid w:val="00E3395F"/>
    <w:rsid w:val="00E3399D"/>
    <w:rsid w:val="00E34686"/>
    <w:rsid w:val="00E34FC4"/>
    <w:rsid w:val="00E35710"/>
    <w:rsid w:val="00E358C1"/>
    <w:rsid w:val="00E35E60"/>
    <w:rsid w:val="00E35FFD"/>
    <w:rsid w:val="00E366BE"/>
    <w:rsid w:val="00E37289"/>
    <w:rsid w:val="00E37C55"/>
    <w:rsid w:val="00E40157"/>
    <w:rsid w:val="00E4031A"/>
    <w:rsid w:val="00E40432"/>
    <w:rsid w:val="00E40F67"/>
    <w:rsid w:val="00E41117"/>
    <w:rsid w:val="00E41256"/>
    <w:rsid w:val="00E415AA"/>
    <w:rsid w:val="00E42743"/>
    <w:rsid w:val="00E4298A"/>
    <w:rsid w:val="00E429D7"/>
    <w:rsid w:val="00E429E2"/>
    <w:rsid w:val="00E42FE9"/>
    <w:rsid w:val="00E42FEF"/>
    <w:rsid w:val="00E43C00"/>
    <w:rsid w:val="00E43FA6"/>
    <w:rsid w:val="00E449AE"/>
    <w:rsid w:val="00E464B2"/>
    <w:rsid w:val="00E4685F"/>
    <w:rsid w:val="00E47521"/>
    <w:rsid w:val="00E47A48"/>
    <w:rsid w:val="00E47B5C"/>
    <w:rsid w:val="00E47E7D"/>
    <w:rsid w:val="00E5002F"/>
    <w:rsid w:val="00E50C6B"/>
    <w:rsid w:val="00E50E93"/>
    <w:rsid w:val="00E51079"/>
    <w:rsid w:val="00E51193"/>
    <w:rsid w:val="00E518CA"/>
    <w:rsid w:val="00E5194B"/>
    <w:rsid w:val="00E51D00"/>
    <w:rsid w:val="00E5264C"/>
    <w:rsid w:val="00E5371E"/>
    <w:rsid w:val="00E53F86"/>
    <w:rsid w:val="00E540B1"/>
    <w:rsid w:val="00E54114"/>
    <w:rsid w:val="00E547D1"/>
    <w:rsid w:val="00E54B47"/>
    <w:rsid w:val="00E54BB5"/>
    <w:rsid w:val="00E54E7F"/>
    <w:rsid w:val="00E55B1B"/>
    <w:rsid w:val="00E55D27"/>
    <w:rsid w:val="00E567D5"/>
    <w:rsid w:val="00E56CD2"/>
    <w:rsid w:val="00E56EEB"/>
    <w:rsid w:val="00E579DB"/>
    <w:rsid w:val="00E60962"/>
    <w:rsid w:val="00E60991"/>
    <w:rsid w:val="00E60A7E"/>
    <w:rsid w:val="00E60B0A"/>
    <w:rsid w:val="00E61406"/>
    <w:rsid w:val="00E6180E"/>
    <w:rsid w:val="00E61AA6"/>
    <w:rsid w:val="00E61CC3"/>
    <w:rsid w:val="00E626EC"/>
    <w:rsid w:val="00E633EB"/>
    <w:rsid w:val="00E6343A"/>
    <w:rsid w:val="00E63633"/>
    <w:rsid w:val="00E64220"/>
    <w:rsid w:val="00E646D1"/>
    <w:rsid w:val="00E64866"/>
    <w:rsid w:val="00E653E1"/>
    <w:rsid w:val="00E65ABB"/>
    <w:rsid w:val="00E65FEE"/>
    <w:rsid w:val="00E663CA"/>
    <w:rsid w:val="00E66799"/>
    <w:rsid w:val="00E67775"/>
    <w:rsid w:val="00E67A04"/>
    <w:rsid w:val="00E67B9C"/>
    <w:rsid w:val="00E67DC7"/>
    <w:rsid w:val="00E67FEE"/>
    <w:rsid w:val="00E702F7"/>
    <w:rsid w:val="00E704CB"/>
    <w:rsid w:val="00E7075E"/>
    <w:rsid w:val="00E70A22"/>
    <w:rsid w:val="00E70F74"/>
    <w:rsid w:val="00E710EC"/>
    <w:rsid w:val="00E71370"/>
    <w:rsid w:val="00E71E9E"/>
    <w:rsid w:val="00E72565"/>
    <w:rsid w:val="00E72A33"/>
    <w:rsid w:val="00E7325A"/>
    <w:rsid w:val="00E73C43"/>
    <w:rsid w:val="00E754F4"/>
    <w:rsid w:val="00E7696F"/>
    <w:rsid w:val="00E76B06"/>
    <w:rsid w:val="00E76D07"/>
    <w:rsid w:val="00E77252"/>
    <w:rsid w:val="00E77999"/>
    <w:rsid w:val="00E77E65"/>
    <w:rsid w:val="00E801D2"/>
    <w:rsid w:val="00E80678"/>
    <w:rsid w:val="00E809B3"/>
    <w:rsid w:val="00E818D1"/>
    <w:rsid w:val="00E81D34"/>
    <w:rsid w:val="00E81F7F"/>
    <w:rsid w:val="00E82357"/>
    <w:rsid w:val="00E83341"/>
    <w:rsid w:val="00E839D3"/>
    <w:rsid w:val="00E83C80"/>
    <w:rsid w:val="00E83E0F"/>
    <w:rsid w:val="00E83EE3"/>
    <w:rsid w:val="00E8437F"/>
    <w:rsid w:val="00E84BC4"/>
    <w:rsid w:val="00E8581E"/>
    <w:rsid w:val="00E85F84"/>
    <w:rsid w:val="00E861D1"/>
    <w:rsid w:val="00E86397"/>
    <w:rsid w:val="00E867D0"/>
    <w:rsid w:val="00E86D59"/>
    <w:rsid w:val="00E873CC"/>
    <w:rsid w:val="00E87EF5"/>
    <w:rsid w:val="00E910EB"/>
    <w:rsid w:val="00E91626"/>
    <w:rsid w:val="00E9239E"/>
    <w:rsid w:val="00E92AA0"/>
    <w:rsid w:val="00E92D03"/>
    <w:rsid w:val="00E931CD"/>
    <w:rsid w:val="00E932FB"/>
    <w:rsid w:val="00E93996"/>
    <w:rsid w:val="00E939C8"/>
    <w:rsid w:val="00E93AF7"/>
    <w:rsid w:val="00E944D5"/>
    <w:rsid w:val="00E946A6"/>
    <w:rsid w:val="00E955B8"/>
    <w:rsid w:val="00E959FE"/>
    <w:rsid w:val="00E95AF8"/>
    <w:rsid w:val="00E9656F"/>
    <w:rsid w:val="00E96599"/>
    <w:rsid w:val="00E966EB"/>
    <w:rsid w:val="00E9681F"/>
    <w:rsid w:val="00E96B08"/>
    <w:rsid w:val="00E979DE"/>
    <w:rsid w:val="00E97E56"/>
    <w:rsid w:val="00EA03FD"/>
    <w:rsid w:val="00EA058D"/>
    <w:rsid w:val="00EA093F"/>
    <w:rsid w:val="00EA0A6D"/>
    <w:rsid w:val="00EA0F4E"/>
    <w:rsid w:val="00EA0FE6"/>
    <w:rsid w:val="00EA1068"/>
    <w:rsid w:val="00EA13C6"/>
    <w:rsid w:val="00EA188F"/>
    <w:rsid w:val="00EA258C"/>
    <w:rsid w:val="00EA2746"/>
    <w:rsid w:val="00EA2A4E"/>
    <w:rsid w:val="00EA334E"/>
    <w:rsid w:val="00EA3357"/>
    <w:rsid w:val="00EA3C9F"/>
    <w:rsid w:val="00EA403E"/>
    <w:rsid w:val="00EA4E84"/>
    <w:rsid w:val="00EA5828"/>
    <w:rsid w:val="00EA5ECC"/>
    <w:rsid w:val="00EA648F"/>
    <w:rsid w:val="00EA710E"/>
    <w:rsid w:val="00EA737E"/>
    <w:rsid w:val="00EA7D31"/>
    <w:rsid w:val="00EA7F71"/>
    <w:rsid w:val="00EB0238"/>
    <w:rsid w:val="00EB023E"/>
    <w:rsid w:val="00EB0313"/>
    <w:rsid w:val="00EB04E3"/>
    <w:rsid w:val="00EB0687"/>
    <w:rsid w:val="00EB0E0A"/>
    <w:rsid w:val="00EB1255"/>
    <w:rsid w:val="00EB1300"/>
    <w:rsid w:val="00EB1373"/>
    <w:rsid w:val="00EB1821"/>
    <w:rsid w:val="00EB1F4C"/>
    <w:rsid w:val="00EB23D9"/>
    <w:rsid w:val="00EB2485"/>
    <w:rsid w:val="00EB2F2C"/>
    <w:rsid w:val="00EB2F6D"/>
    <w:rsid w:val="00EB30C9"/>
    <w:rsid w:val="00EB359E"/>
    <w:rsid w:val="00EB383C"/>
    <w:rsid w:val="00EB3C7E"/>
    <w:rsid w:val="00EB3D39"/>
    <w:rsid w:val="00EB3EB3"/>
    <w:rsid w:val="00EB41E5"/>
    <w:rsid w:val="00EB4427"/>
    <w:rsid w:val="00EB47BE"/>
    <w:rsid w:val="00EB48AB"/>
    <w:rsid w:val="00EB495E"/>
    <w:rsid w:val="00EB4FDA"/>
    <w:rsid w:val="00EB5625"/>
    <w:rsid w:val="00EB5AA3"/>
    <w:rsid w:val="00EB5C50"/>
    <w:rsid w:val="00EB5E03"/>
    <w:rsid w:val="00EB5F71"/>
    <w:rsid w:val="00EB60B2"/>
    <w:rsid w:val="00EB631E"/>
    <w:rsid w:val="00EB6943"/>
    <w:rsid w:val="00EB701B"/>
    <w:rsid w:val="00EB7CDC"/>
    <w:rsid w:val="00EB7EC2"/>
    <w:rsid w:val="00EC06EA"/>
    <w:rsid w:val="00EC0985"/>
    <w:rsid w:val="00EC0A3F"/>
    <w:rsid w:val="00EC13A3"/>
    <w:rsid w:val="00EC2351"/>
    <w:rsid w:val="00EC28C1"/>
    <w:rsid w:val="00EC2A0C"/>
    <w:rsid w:val="00EC3186"/>
    <w:rsid w:val="00EC31D9"/>
    <w:rsid w:val="00EC3573"/>
    <w:rsid w:val="00EC367A"/>
    <w:rsid w:val="00EC37EE"/>
    <w:rsid w:val="00EC3C04"/>
    <w:rsid w:val="00EC4780"/>
    <w:rsid w:val="00EC49DB"/>
    <w:rsid w:val="00EC4CBC"/>
    <w:rsid w:val="00EC4F70"/>
    <w:rsid w:val="00EC4F82"/>
    <w:rsid w:val="00EC5115"/>
    <w:rsid w:val="00EC5AB2"/>
    <w:rsid w:val="00EC5CBB"/>
    <w:rsid w:val="00EC65A2"/>
    <w:rsid w:val="00EC6C24"/>
    <w:rsid w:val="00EC6D9A"/>
    <w:rsid w:val="00EC720D"/>
    <w:rsid w:val="00EC7983"/>
    <w:rsid w:val="00EC7BE2"/>
    <w:rsid w:val="00ED0075"/>
    <w:rsid w:val="00ED020C"/>
    <w:rsid w:val="00ED111C"/>
    <w:rsid w:val="00ED1130"/>
    <w:rsid w:val="00ED1642"/>
    <w:rsid w:val="00ED1898"/>
    <w:rsid w:val="00ED1BAA"/>
    <w:rsid w:val="00ED1D28"/>
    <w:rsid w:val="00ED249E"/>
    <w:rsid w:val="00ED2B59"/>
    <w:rsid w:val="00ED31D3"/>
    <w:rsid w:val="00ED33F7"/>
    <w:rsid w:val="00ED3CB3"/>
    <w:rsid w:val="00ED3F3C"/>
    <w:rsid w:val="00ED4236"/>
    <w:rsid w:val="00ED42C9"/>
    <w:rsid w:val="00ED488A"/>
    <w:rsid w:val="00ED4D58"/>
    <w:rsid w:val="00ED4E3B"/>
    <w:rsid w:val="00ED54C1"/>
    <w:rsid w:val="00ED56E2"/>
    <w:rsid w:val="00ED5F17"/>
    <w:rsid w:val="00ED5F38"/>
    <w:rsid w:val="00ED6D43"/>
    <w:rsid w:val="00ED6D4F"/>
    <w:rsid w:val="00ED7CEA"/>
    <w:rsid w:val="00EE036E"/>
    <w:rsid w:val="00EE04F6"/>
    <w:rsid w:val="00EE0E54"/>
    <w:rsid w:val="00EE17C6"/>
    <w:rsid w:val="00EE1909"/>
    <w:rsid w:val="00EE24B1"/>
    <w:rsid w:val="00EE270D"/>
    <w:rsid w:val="00EE2A71"/>
    <w:rsid w:val="00EE2EE3"/>
    <w:rsid w:val="00EE35DC"/>
    <w:rsid w:val="00EE4835"/>
    <w:rsid w:val="00EE486B"/>
    <w:rsid w:val="00EE489C"/>
    <w:rsid w:val="00EE51E4"/>
    <w:rsid w:val="00EE530F"/>
    <w:rsid w:val="00EE5348"/>
    <w:rsid w:val="00EE5384"/>
    <w:rsid w:val="00EE53C0"/>
    <w:rsid w:val="00EE5424"/>
    <w:rsid w:val="00EE56BE"/>
    <w:rsid w:val="00EE5AA8"/>
    <w:rsid w:val="00EE5CF1"/>
    <w:rsid w:val="00EE6059"/>
    <w:rsid w:val="00EE6B5B"/>
    <w:rsid w:val="00EE6C9B"/>
    <w:rsid w:val="00EE7100"/>
    <w:rsid w:val="00EF06DA"/>
    <w:rsid w:val="00EF0B0B"/>
    <w:rsid w:val="00EF1210"/>
    <w:rsid w:val="00EF13CE"/>
    <w:rsid w:val="00EF145F"/>
    <w:rsid w:val="00EF1683"/>
    <w:rsid w:val="00EF1830"/>
    <w:rsid w:val="00EF1D59"/>
    <w:rsid w:val="00EF1E69"/>
    <w:rsid w:val="00EF1ECB"/>
    <w:rsid w:val="00EF2064"/>
    <w:rsid w:val="00EF228A"/>
    <w:rsid w:val="00EF2BA6"/>
    <w:rsid w:val="00EF3851"/>
    <w:rsid w:val="00EF4163"/>
    <w:rsid w:val="00EF41B4"/>
    <w:rsid w:val="00EF4333"/>
    <w:rsid w:val="00EF4849"/>
    <w:rsid w:val="00EF48A0"/>
    <w:rsid w:val="00EF4B6D"/>
    <w:rsid w:val="00EF506C"/>
    <w:rsid w:val="00EF5C65"/>
    <w:rsid w:val="00EF5DB6"/>
    <w:rsid w:val="00EF62E5"/>
    <w:rsid w:val="00EF68E4"/>
    <w:rsid w:val="00EF6D07"/>
    <w:rsid w:val="00EF7256"/>
    <w:rsid w:val="00EF7545"/>
    <w:rsid w:val="00EF75DD"/>
    <w:rsid w:val="00F0079B"/>
    <w:rsid w:val="00F007F6"/>
    <w:rsid w:val="00F007F7"/>
    <w:rsid w:val="00F008CA"/>
    <w:rsid w:val="00F00E16"/>
    <w:rsid w:val="00F00F90"/>
    <w:rsid w:val="00F014EA"/>
    <w:rsid w:val="00F0203D"/>
    <w:rsid w:val="00F021C9"/>
    <w:rsid w:val="00F02412"/>
    <w:rsid w:val="00F02FCF"/>
    <w:rsid w:val="00F0388D"/>
    <w:rsid w:val="00F04429"/>
    <w:rsid w:val="00F04FAB"/>
    <w:rsid w:val="00F06599"/>
    <w:rsid w:val="00F0670B"/>
    <w:rsid w:val="00F067F2"/>
    <w:rsid w:val="00F06AC0"/>
    <w:rsid w:val="00F06B94"/>
    <w:rsid w:val="00F070BE"/>
    <w:rsid w:val="00F07632"/>
    <w:rsid w:val="00F076DC"/>
    <w:rsid w:val="00F10023"/>
    <w:rsid w:val="00F10276"/>
    <w:rsid w:val="00F10B9B"/>
    <w:rsid w:val="00F10F2A"/>
    <w:rsid w:val="00F11B5B"/>
    <w:rsid w:val="00F11BA7"/>
    <w:rsid w:val="00F11C12"/>
    <w:rsid w:val="00F11F38"/>
    <w:rsid w:val="00F121B7"/>
    <w:rsid w:val="00F1238D"/>
    <w:rsid w:val="00F1266B"/>
    <w:rsid w:val="00F132C6"/>
    <w:rsid w:val="00F13520"/>
    <w:rsid w:val="00F13842"/>
    <w:rsid w:val="00F13E5B"/>
    <w:rsid w:val="00F13F65"/>
    <w:rsid w:val="00F14121"/>
    <w:rsid w:val="00F14216"/>
    <w:rsid w:val="00F145A2"/>
    <w:rsid w:val="00F145C0"/>
    <w:rsid w:val="00F1463F"/>
    <w:rsid w:val="00F14FEB"/>
    <w:rsid w:val="00F157A9"/>
    <w:rsid w:val="00F15BDB"/>
    <w:rsid w:val="00F15ED7"/>
    <w:rsid w:val="00F15FD9"/>
    <w:rsid w:val="00F1603F"/>
    <w:rsid w:val="00F16343"/>
    <w:rsid w:val="00F1663E"/>
    <w:rsid w:val="00F16986"/>
    <w:rsid w:val="00F16C7D"/>
    <w:rsid w:val="00F1715A"/>
    <w:rsid w:val="00F1750D"/>
    <w:rsid w:val="00F17535"/>
    <w:rsid w:val="00F17609"/>
    <w:rsid w:val="00F2071B"/>
    <w:rsid w:val="00F20FAE"/>
    <w:rsid w:val="00F212DB"/>
    <w:rsid w:val="00F21310"/>
    <w:rsid w:val="00F21D16"/>
    <w:rsid w:val="00F21F2E"/>
    <w:rsid w:val="00F22119"/>
    <w:rsid w:val="00F222C0"/>
    <w:rsid w:val="00F228C6"/>
    <w:rsid w:val="00F22B56"/>
    <w:rsid w:val="00F239CA"/>
    <w:rsid w:val="00F23C59"/>
    <w:rsid w:val="00F23E6D"/>
    <w:rsid w:val="00F24ABA"/>
    <w:rsid w:val="00F24B47"/>
    <w:rsid w:val="00F24B4F"/>
    <w:rsid w:val="00F24D65"/>
    <w:rsid w:val="00F25C1A"/>
    <w:rsid w:val="00F25EFF"/>
    <w:rsid w:val="00F26118"/>
    <w:rsid w:val="00F261D5"/>
    <w:rsid w:val="00F26775"/>
    <w:rsid w:val="00F268C3"/>
    <w:rsid w:val="00F27020"/>
    <w:rsid w:val="00F27677"/>
    <w:rsid w:val="00F27B57"/>
    <w:rsid w:val="00F27F34"/>
    <w:rsid w:val="00F30405"/>
    <w:rsid w:val="00F30875"/>
    <w:rsid w:val="00F31019"/>
    <w:rsid w:val="00F313C3"/>
    <w:rsid w:val="00F315E0"/>
    <w:rsid w:val="00F31BE1"/>
    <w:rsid w:val="00F32581"/>
    <w:rsid w:val="00F339DF"/>
    <w:rsid w:val="00F340CB"/>
    <w:rsid w:val="00F35373"/>
    <w:rsid w:val="00F35639"/>
    <w:rsid w:val="00F358B7"/>
    <w:rsid w:val="00F35CB5"/>
    <w:rsid w:val="00F363B1"/>
    <w:rsid w:val="00F36581"/>
    <w:rsid w:val="00F368D0"/>
    <w:rsid w:val="00F36B46"/>
    <w:rsid w:val="00F37629"/>
    <w:rsid w:val="00F37799"/>
    <w:rsid w:val="00F37CB9"/>
    <w:rsid w:val="00F40A0F"/>
    <w:rsid w:val="00F40A73"/>
    <w:rsid w:val="00F40BF6"/>
    <w:rsid w:val="00F40C9E"/>
    <w:rsid w:val="00F411B8"/>
    <w:rsid w:val="00F4167B"/>
    <w:rsid w:val="00F41964"/>
    <w:rsid w:val="00F41CE1"/>
    <w:rsid w:val="00F4263D"/>
    <w:rsid w:val="00F42DD3"/>
    <w:rsid w:val="00F42F7A"/>
    <w:rsid w:val="00F4368D"/>
    <w:rsid w:val="00F4390C"/>
    <w:rsid w:val="00F43DDD"/>
    <w:rsid w:val="00F440ED"/>
    <w:rsid w:val="00F44131"/>
    <w:rsid w:val="00F4433F"/>
    <w:rsid w:val="00F4480E"/>
    <w:rsid w:val="00F44844"/>
    <w:rsid w:val="00F44DEC"/>
    <w:rsid w:val="00F45087"/>
    <w:rsid w:val="00F4529A"/>
    <w:rsid w:val="00F453A3"/>
    <w:rsid w:val="00F45D1B"/>
    <w:rsid w:val="00F45F50"/>
    <w:rsid w:val="00F461C7"/>
    <w:rsid w:val="00F465D4"/>
    <w:rsid w:val="00F46ABD"/>
    <w:rsid w:val="00F47444"/>
    <w:rsid w:val="00F47E7E"/>
    <w:rsid w:val="00F47F69"/>
    <w:rsid w:val="00F503A4"/>
    <w:rsid w:val="00F50B07"/>
    <w:rsid w:val="00F50FEC"/>
    <w:rsid w:val="00F51131"/>
    <w:rsid w:val="00F51247"/>
    <w:rsid w:val="00F5221B"/>
    <w:rsid w:val="00F5253B"/>
    <w:rsid w:val="00F52923"/>
    <w:rsid w:val="00F53BA6"/>
    <w:rsid w:val="00F53C96"/>
    <w:rsid w:val="00F53D75"/>
    <w:rsid w:val="00F53DFA"/>
    <w:rsid w:val="00F54256"/>
    <w:rsid w:val="00F54425"/>
    <w:rsid w:val="00F54586"/>
    <w:rsid w:val="00F54963"/>
    <w:rsid w:val="00F55501"/>
    <w:rsid w:val="00F5567D"/>
    <w:rsid w:val="00F55BC1"/>
    <w:rsid w:val="00F55F80"/>
    <w:rsid w:val="00F56C26"/>
    <w:rsid w:val="00F57F46"/>
    <w:rsid w:val="00F61169"/>
    <w:rsid w:val="00F612F8"/>
    <w:rsid w:val="00F6193B"/>
    <w:rsid w:val="00F61E2A"/>
    <w:rsid w:val="00F6240C"/>
    <w:rsid w:val="00F62A4E"/>
    <w:rsid w:val="00F63FEE"/>
    <w:rsid w:val="00F640D0"/>
    <w:rsid w:val="00F6422B"/>
    <w:rsid w:val="00F64750"/>
    <w:rsid w:val="00F64C46"/>
    <w:rsid w:val="00F64F54"/>
    <w:rsid w:val="00F65095"/>
    <w:rsid w:val="00F65244"/>
    <w:rsid w:val="00F656A6"/>
    <w:rsid w:val="00F65C77"/>
    <w:rsid w:val="00F66332"/>
    <w:rsid w:val="00F664E1"/>
    <w:rsid w:val="00F66C2C"/>
    <w:rsid w:val="00F670C5"/>
    <w:rsid w:val="00F67107"/>
    <w:rsid w:val="00F67255"/>
    <w:rsid w:val="00F679AB"/>
    <w:rsid w:val="00F7042E"/>
    <w:rsid w:val="00F704F6"/>
    <w:rsid w:val="00F70527"/>
    <w:rsid w:val="00F712BD"/>
    <w:rsid w:val="00F72049"/>
    <w:rsid w:val="00F72103"/>
    <w:rsid w:val="00F7212D"/>
    <w:rsid w:val="00F7240C"/>
    <w:rsid w:val="00F726D3"/>
    <w:rsid w:val="00F727D3"/>
    <w:rsid w:val="00F7300E"/>
    <w:rsid w:val="00F7349C"/>
    <w:rsid w:val="00F73C5A"/>
    <w:rsid w:val="00F74208"/>
    <w:rsid w:val="00F743F0"/>
    <w:rsid w:val="00F74958"/>
    <w:rsid w:val="00F74A50"/>
    <w:rsid w:val="00F74A72"/>
    <w:rsid w:val="00F74BA1"/>
    <w:rsid w:val="00F74CF2"/>
    <w:rsid w:val="00F756E4"/>
    <w:rsid w:val="00F760B7"/>
    <w:rsid w:val="00F76128"/>
    <w:rsid w:val="00F769D2"/>
    <w:rsid w:val="00F772CC"/>
    <w:rsid w:val="00F776B4"/>
    <w:rsid w:val="00F77A9B"/>
    <w:rsid w:val="00F8028B"/>
    <w:rsid w:val="00F80D7C"/>
    <w:rsid w:val="00F81499"/>
    <w:rsid w:val="00F814B1"/>
    <w:rsid w:val="00F81596"/>
    <w:rsid w:val="00F81E08"/>
    <w:rsid w:val="00F8220C"/>
    <w:rsid w:val="00F8294E"/>
    <w:rsid w:val="00F8296E"/>
    <w:rsid w:val="00F82DB6"/>
    <w:rsid w:val="00F83202"/>
    <w:rsid w:val="00F83ED3"/>
    <w:rsid w:val="00F842C1"/>
    <w:rsid w:val="00F8541C"/>
    <w:rsid w:val="00F85796"/>
    <w:rsid w:val="00F86549"/>
    <w:rsid w:val="00F865E2"/>
    <w:rsid w:val="00F865E8"/>
    <w:rsid w:val="00F8703E"/>
    <w:rsid w:val="00F87C45"/>
    <w:rsid w:val="00F90111"/>
    <w:rsid w:val="00F9156A"/>
    <w:rsid w:val="00F9210F"/>
    <w:rsid w:val="00F92188"/>
    <w:rsid w:val="00F924A3"/>
    <w:rsid w:val="00F924EE"/>
    <w:rsid w:val="00F92B5C"/>
    <w:rsid w:val="00F92F43"/>
    <w:rsid w:val="00F93045"/>
    <w:rsid w:val="00F93544"/>
    <w:rsid w:val="00F935F8"/>
    <w:rsid w:val="00F93AA6"/>
    <w:rsid w:val="00F93AEC"/>
    <w:rsid w:val="00F93E1F"/>
    <w:rsid w:val="00F940D4"/>
    <w:rsid w:val="00F94373"/>
    <w:rsid w:val="00F943F1"/>
    <w:rsid w:val="00F96289"/>
    <w:rsid w:val="00F96394"/>
    <w:rsid w:val="00F96CBD"/>
    <w:rsid w:val="00F96FE5"/>
    <w:rsid w:val="00F976D0"/>
    <w:rsid w:val="00F97E72"/>
    <w:rsid w:val="00FA07C6"/>
    <w:rsid w:val="00FA0D31"/>
    <w:rsid w:val="00FA110F"/>
    <w:rsid w:val="00FA130C"/>
    <w:rsid w:val="00FA1350"/>
    <w:rsid w:val="00FA19E4"/>
    <w:rsid w:val="00FA1C0D"/>
    <w:rsid w:val="00FA1D72"/>
    <w:rsid w:val="00FA263A"/>
    <w:rsid w:val="00FA3880"/>
    <w:rsid w:val="00FA3B9D"/>
    <w:rsid w:val="00FA4604"/>
    <w:rsid w:val="00FA478A"/>
    <w:rsid w:val="00FA4903"/>
    <w:rsid w:val="00FA4F3A"/>
    <w:rsid w:val="00FA5187"/>
    <w:rsid w:val="00FA5385"/>
    <w:rsid w:val="00FA538C"/>
    <w:rsid w:val="00FA5575"/>
    <w:rsid w:val="00FA570E"/>
    <w:rsid w:val="00FA5AF0"/>
    <w:rsid w:val="00FA5CD1"/>
    <w:rsid w:val="00FA6DBB"/>
    <w:rsid w:val="00FA6E3B"/>
    <w:rsid w:val="00FA7249"/>
    <w:rsid w:val="00FA7461"/>
    <w:rsid w:val="00FA7963"/>
    <w:rsid w:val="00FB006A"/>
    <w:rsid w:val="00FB00D0"/>
    <w:rsid w:val="00FB088F"/>
    <w:rsid w:val="00FB0B6C"/>
    <w:rsid w:val="00FB0FCC"/>
    <w:rsid w:val="00FB17ED"/>
    <w:rsid w:val="00FB1829"/>
    <w:rsid w:val="00FB1A78"/>
    <w:rsid w:val="00FB1AE6"/>
    <w:rsid w:val="00FB1E0D"/>
    <w:rsid w:val="00FB1F66"/>
    <w:rsid w:val="00FB2366"/>
    <w:rsid w:val="00FB2B37"/>
    <w:rsid w:val="00FB341F"/>
    <w:rsid w:val="00FB4759"/>
    <w:rsid w:val="00FB4876"/>
    <w:rsid w:val="00FB4C97"/>
    <w:rsid w:val="00FB4E2A"/>
    <w:rsid w:val="00FB6108"/>
    <w:rsid w:val="00FB6724"/>
    <w:rsid w:val="00FB68CD"/>
    <w:rsid w:val="00FB7433"/>
    <w:rsid w:val="00FB76DE"/>
    <w:rsid w:val="00FC0276"/>
    <w:rsid w:val="00FC08C2"/>
    <w:rsid w:val="00FC1634"/>
    <w:rsid w:val="00FC1B4D"/>
    <w:rsid w:val="00FC1B62"/>
    <w:rsid w:val="00FC24DC"/>
    <w:rsid w:val="00FC2A90"/>
    <w:rsid w:val="00FC2ACE"/>
    <w:rsid w:val="00FC3107"/>
    <w:rsid w:val="00FC357D"/>
    <w:rsid w:val="00FC372A"/>
    <w:rsid w:val="00FC402B"/>
    <w:rsid w:val="00FC40C0"/>
    <w:rsid w:val="00FC4A37"/>
    <w:rsid w:val="00FC5D6B"/>
    <w:rsid w:val="00FC69E8"/>
    <w:rsid w:val="00FC6D3B"/>
    <w:rsid w:val="00FC7008"/>
    <w:rsid w:val="00FC7049"/>
    <w:rsid w:val="00FC7C24"/>
    <w:rsid w:val="00FC7F07"/>
    <w:rsid w:val="00FD07AE"/>
    <w:rsid w:val="00FD0815"/>
    <w:rsid w:val="00FD092F"/>
    <w:rsid w:val="00FD1111"/>
    <w:rsid w:val="00FD1F50"/>
    <w:rsid w:val="00FD2563"/>
    <w:rsid w:val="00FD2C3B"/>
    <w:rsid w:val="00FD3309"/>
    <w:rsid w:val="00FD3F89"/>
    <w:rsid w:val="00FD40CC"/>
    <w:rsid w:val="00FD46A8"/>
    <w:rsid w:val="00FD498A"/>
    <w:rsid w:val="00FD4A44"/>
    <w:rsid w:val="00FD4DCA"/>
    <w:rsid w:val="00FD4E6A"/>
    <w:rsid w:val="00FD5B97"/>
    <w:rsid w:val="00FD630E"/>
    <w:rsid w:val="00FD6DC8"/>
    <w:rsid w:val="00FD6DEB"/>
    <w:rsid w:val="00FD70ED"/>
    <w:rsid w:val="00FD78DF"/>
    <w:rsid w:val="00FD79DB"/>
    <w:rsid w:val="00FE068C"/>
    <w:rsid w:val="00FE084C"/>
    <w:rsid w:val="00FE092B"/>
    <w:rsid w:val="00FE0CAD"/>
    <w:rsid w:val="00FE0DEE"/>
    <w:rsid w:val="00FE1048"/>
    <w:rsid w:val="00FE122E"/>
    <w:rsid w:val="00FE12EB"/>
    <w:rsid w:val="00FE1875"/>
    <w:rsid w:val="00FE2089"/>
    <w:rsid w:val="00FE213A"/>
    <w:rsid w:val="00FE222C"/>
    <w:rsid w:val="00FE23BA"/>
    <w:rsid w:val="00FE23D4"/>
    <w:rsid w:val="00FE2661"/>
    <w:rsid w:val="00FE2746"/>
    <w:rsid w:val="00FE279D"/>
    <w:rsid w:val="00FE3033"/>
    <w:rsid w:val="00FE3050"/>
    <w:rsid w:val="00FE371A"/>
    <w:rsid w:val="00FE3A6F"/>
    <w:rsid w:val="00FE3C59"/>
    <w:rsid w:val="00FE3D02"/>
    <w:rsid w:val="00FE3FB3"/>
    <w:rsid w:val="00FE4201"/>
    <w:rsid w:val="00FE45F4"/>
    <w:rsid w:val="00FE466A"/>
    <w:rsid w:val="00FE4E77"/>
    <w:rsid w:val="00FE5265"/>
    <w:rsid w:val="00FE57B4"/>
    <w:rsid w:val="00FE59DF"/>
    <w:rsid w:val="00FE5A0E"/>
    <w:rsid w:val="00FE5F06"/>
    <w:rsid w:val="00FE65C5"/>
    <w:rsid w:val="00FE6616"/>
    <w:rsid w:val="00FE7529"/>
    <w:rsid w:val="00FE7935"/>
    <w:rsid w:val="00FE7D83"/>
    <w:rsid w:val="00FF0791"/>
    <w:rsid w:val="00FF08DF"/>
    <w:rsid w:val="00FF0B20"/>
    <w:rsid w:val="00FF0C6E"/>
    <w:rsid w:val="00FF1A08"/>
    <w:rsid w:val="00FF1B6F"/>
    <w:rsid w:val="00FF1EFE"/>
    <w:rsid w:val="00FF201F"/>
    <w:rsid w:val="00FF2EAA"/>
    <w:rsid w:val="00FF312A"/>
    <w:rsid w:val="00FF3722"/>
    <w:rsid w:val="00FF3B00"/>
    <w:rsid w:val="00FF3B8C"/>
    <w:rsid w:val="00FF3DF4"/>
    <w:rsid w:val="00FF3DFA"/>
    <w:rsid w:val="00FF4550"/>
    <w:rsid w:val="00FF4E36"/>
    <w:rsid w:val="00FF5522"/>
    <w:rsid w:val="00FF55EB"/>
    <w:rsid w:val="00FF5C96"/>
    <w:rsid w:val="00FF632F"/>
    <w:rsid w:val="00FF6FA0"/>
    <w:rsid w:val="00FF70FF"/>
    <w:rsid w:val="00FF7205"/>
    <w:rsid w:val="00FF7FE0"/>
    <w:rsid w:val="011D0A86"/>
    <w:rsid w:val="01214365"/>
    <w:rsid w:val="0123584C"/>
    <w:rsid w:val="01791910"/>
    <w:rsid w:val="01A11310"/>
    <w:rsid w:val="01AF1A9C"/>
    <w:rsid w:val="01C37798"/>
    <w:rsid w:val="01C50F7C"/>
    <w:rsid w:val="01D6466C"/>
    <w:rsid w:val="01FD3964"/>
    <w:rsid w:val="02021029"/>
    <w:rsid w:val="021F6ED0"/>
    <w:rsid w:val="023C3F2F"/>
    <w:rsid w:val="026A0669"/>
    <w:rsid w:val="02D432A2"/>
    <w:rsid w:val="02DA783B"/>
    <w:rsid w:val="030C79BF"/>
    <w:rsid w:val="032521BD"/>
    <w:rsid w:val="03305FFE"/>
    <w:rsid w:val="03311390"/>
    <w:rsid w:val="034123BB"/>
    <w:rsid w:val="03467369"/>
    <w:rsid w:val="03831373"/>
    <w:rsid w:val="03935A6A"/>
    <w:rsid w:val="039B0B09"/>
    <w:rsid w:val="03E07218"/>
    <w:rsid w:val="03F31506"/>
    <w:rsid w:val="03F83A17"/>
    <w:rsid w:val="04221A0D"/>
    <w:rsid w:val="04376843"/>
    <w:rsid w:val="04637F4D"/>
    <w:rsid w:val="046C3066"/>
    <w:rsid w:val="047B51B5"/>
    <w:rsid w:val="048030E8"/>
    <w:rsid w:val="048C54B6"/>
    <w:rsid w:val="04D712A6"/>
    <w:rsid w:val="04F16E8F"/>
    <w:rsid w:val="05227E31"/>
    <w:rsid w:val="053729A2"/>
    <w:rsid w:val="05453754"/>
    <w:rsid w:val="05605E35"/>
    <w:rsid w:val="057A02B5"/>
    <w:rsid w:val="0586370B"/>
    <w:rsid w:val="058C0616"/>
    <w:rsid w:val="05A351AD"/>
    <w:rsid w:val="05C97A35"/>
    <w:rsid w:val="06274119"/>
    <w:rsid w:val="064B43B6"/>
    <w:rsid w:val="06571077"/>
    <w:rsid w:val="06597EE2"/>
    <w:rsid w:val="067B00DB"/>
    <w:rsid w:val="068943A3"/>
    <w:rsid w:val="069845E6"/>
    <w:rsid w:val="06B53343"/>
    <w:rsid w:val="06E8731C"/>
    <w:rsid w:val="06E93A59"/>
    <w:rsid w:val="06F57B28"/>
    <w:rsid w:val="06FF4665"/>
    <w:rsid w:val="070600AB"/>
    <w:rsid w:val="070F5664"/>
    <w:rsid w:val="071D23BF"/>
    <w:rsid w:val="075443A4"/>
    <w:rsid w:val="076444C8"/>
    <w:rsid w:val="076D7821"/>
    <w:rsid w:val="077C2B80"/>
    <w:rsid w:val="07951889"/>
    <w:rsid w:val="07A2403A"/>
    <w:rsid w:val="07BA75CC"/>
    <w:rsid w:val="07C81BD2"/>
    <w:rsid w:val="07E4488E"/>
    <w:rsid w:val="081455E7"/>
    <w:rsid w:val="083C590F"/>
    <w:rsid w:val="0850658F"/>
    <w:rsid w:val="08747A4E"/>
    <w:rsid w:val="087F7D52"/>
    <w:rsid w:val="088E5CA1"/>
    <w:rsid w:val="08A74FB5"/>
    <w:rsid w:val="08CD42C3"/>
    <w:rsid w:val="08F54AD4"/>
    <w:rsid w:val="08FB79D5"/>
    <w:rsid w:val="093218B8"/>
    <w:rsid w:val="09323D1A"/>
    <w:rsid w:val="0943163C"/>
    <w:rsid w:val="09450EF5"/>
    <w:rsid w:val="094F030E"/>
    <w:rsid w:val="096B668A"/>
    <w:rsid w:val="098F2582"/>
    <w:rsid w:val="09982F06"/>
    <w:rsid w:val="09D92F4C"/>
    <w:rsid w:val="09DE3D77"/>
    <w:rsid w:val="09FC086D"/>
    <w:rsid w:val="0A043418"/>
    <w:rsid w:val="0A066AE7"/>
    <w:rsid w:val="0A1E2CD7"/>
    <w:rsid w:val="0A1E38DB"/>
    <w:rsid w:val="0A345099"/>
    <w:rsid w:val="0A3E54A5"/>
    <w:rsid w:val="0A822708"/>
    <w:rsid w:val="0AB062DE"/>
    <w:rsid w:val="0AB16AEB"/>
    <w:rsid w:val="0ADB4E00"/>
    <w:rsid w:val="0AF14BE1"/>
    <w:rsid w:val="0B035CFD"/>
    <w:rsid w:val="0B330193"/>
    <w:rsid w:val="0B367B81"/>
    <w:rsid w:val="0B4D2041"/>
    <w:rsid w:val="0B4F350C"/>
    <w:rsid w:val="0B810178"/>
    <w:rsid w:val="0B8C613C"/>
    <w:rsid w:val="0BA42DF8"/>
    <w:rsid w:val="0BC05029"/>
    <w:rsid w:val="0BE95E9A"/>
    <w:rsid w:val="0BFE1449"/>
    <w:rsid w:val="0C022D96"/>
    <w:rsid w:val="0C0B4096"/>
    <w:rsid w:val="0C330ECE"/>
    <w:rsid w:val="0C5839FC"/>
    <w:rsid w:val="0C647279"/>
    <w:rsid w:val="0C6640B0"/>
    <w:rsid w:val="0C7F7B85"/>
    <w:rsid w:val="0CA830A9"/>
    <w:rsid w:val="0CB67574"/>
    <w:rsid w:val="0CBF7400"/>
    <w:rsid w:val="0CC042C5"/>
    <w:rsid w:val="0CD17946"/>
    <w:rsid w:val="0CEB3C55"/>
    <w:rsid w:val="0D134413"/>
    <w:rsid w:val="0D192D09"/>
    <w:rsid w:val="0D34395D"/>
    <w:rsid w:val="0D39562C"/>
    <w:rsid w:val="0D4A5AE4"/>
    <w:rsid w:val="0D4A69C4"/>
    <w:rsid w:val="0D6B774E"/>
    <w:rsid w:val="0D6D759B"/>
    <w:rsid w:val="0D894552"/>
    <w:rsid w:val="0D8E0749"/>
    <w:rsid w:val="0D974A81"/>
    <w:rsid w:val="0D9A6E96"/>
    <w:rsid w:val="0DAC1464"/>
    <w:rsid w:val="0DAF34F7"/>
    <w:rsid w:val="0DD435CE"/>
    <w:rsid w:val="0DD64FD6"/>
    <w:rsid w:val="0DFF72BF"/>
    <w:rsid w:val="0E0C3FEA"/>
    <w:rsid w:val="0E1A2764"/>
    <w:rsid w:val="0E2D3511"/>
    <w:rsid w:val="0E3015A8"/>
    <w:rsid w:val="0E457DA4"/>
    <w:rsid w:val="0E8536A2"/>
    <w:rsid w:val="0EB102CC"/>
    <w:rsid w:val="0EB64271"/>
    <w:rsid w:val="0EBD639E"/>
    <w:rsid w:val="0EC06F8B"/>
    <w:rsid w:val="0ED07684"/>
    <w:rsid w:val="0ED71A24"/>
    <w:rsid w:val="0F1936C6"/>
    <w:rsid w:val="0F2F5BC8"/>
    <w:rsid w:val="0F4D46E4"/>
    <w:rsid w:val="0F586E8B"/>
    <w:rsid w:val="0F764DAA"/>
    <w:rsid w:val="0F7A0352"/>
    <w:rsid w:val="0FB21661"/>
    <w:rsid w:val="0FBA737B"/>
    <w:rsid w:val="0FBE3FDF"/>
    <w:rsid w:val="0FC13BA4"/>
    <w:rsid w:val="0FF5674C"/>
    <w:rsid w:val="100665E7"/>
    <w:rsid w:val="10234F21"/>
    <w:rsid w:val="10321608"/>
    <w:rsid w:val="10374E70"/>
    <w:rsid w:val="10BC4D9C"/>
    <w:rsid w:val="10D26947"/>
    <w:rsid w:val="10E63D07"/>
    <w:rsid w:val="10EA0B48"/>
    <w:rsid w:val="10EE7A36"/>
    <w:rsid w:val="112569BD"/>
    <w:rsid w:val="112C793F"/>
    <w:rsid w:val="112F3FEE"/>
    <w:rsid w:val="11535CDA"/>
    <w:rsid w:val="1165096A"/>
    <w:rsid w:val="117355CD"/>
    <w:rsid w:val="117B6FDE"/>
    <w:rsid w:val="11813F2D"/>
    <w:rsid w:val="11C27D8D"/>
    <w:rsid w:val="12596AAD"/>
    <w:rsid w:val="12684E18"/>
    <w:rsid w:val="12901B64"/>
    <w:rsid w:val="12940358"/>
    <w:rsid w:val="129853FE"/>
    <w:rsid w:val="12A62601"/>
    <w:rsid w:val="12BC7A08"/>
    <w:rsid w:val="12EB77BA"/>
    <w:rsid w:val="130848A2"/>
    <w:rsid w:val="1315735E"/>
    <w:rsid w:val="13175458"/>
    <w:rsid w:val="13427309"/>
    <w:rsid w:val="13451652"/>
    <w:rsid w:val="134674CA"/>
    <w:rsid w:val="13481E1B"/>
    <w:rsid w:val="134D58B5"/>
    <w:rsid w:val="13610F31"/>
    <w:rsid w:val="13814851"/>
    <w:rsid w:val="13983A06"/>
    <w:rsid w:val="13C8403A"/>
    <w:rsid w:val="14276FAA"/>
    <w:rsid w:val="1428676E"/>
    <w:rsid w:val="14942891"/>
    <w:rsid w:val="14A32AD4"/>
    <w:rsid w:val="14B81621"/>
    <w:rsid w:val="14B9438E"/>
    <w:rsid w:val="14CD67D8"/>
    <w:rsid w:val="14DE0E97"/>
    <w:rsid w:val="15010A1F"/>
    <w:rsid w:val="152E1A46"/>
    <w:rsid w:val="15310F27"/>
    <w:rsid w:val="15311B63"/>
    <w:rsid w:val="156D4E90"/>
    <w:rsid w:val="15820DF5"/>
    <w:rsid w:val="15836FE5"/>
    <w:rsid w:val="158C17BA"/>
    <w:rsid w:val="159D5775"/>
    <w:rsid w:val="159E329B"/>
    <w:rsid w:val="15AF49FD"/>
    <w:rsid w:val="15B75686"/>
    <w:rsid w:val="15D40898"/>
    <w:rsid w:val="16210154"/>
    <w:rsid w:val="162B58E5"/>
    <w:rsid w:val="164370B9"/>
    <w:rsid w:val="16437564"/>
    <w:rsid w:val="165241DD"/>
    <w:rsid w:val="165247B2"/>
    <w:rsid w:val="1669533A"/>
    <w:rsid w:val="16721235"/>
    <w:rsid w:val="168258D3"/>
    <w:rsid w:val="168406E3"/>
    <w:rsid w:val="16A0147D"/>
    <w:rsid w:val="16D619CF"/>
    <w:rsid w:val="16DF591A"/>
    <w:rsid w:val="16EB52A0"/>
    <w:rsid w:val="171E4694"/>
    <w:rsid w:val="172B37CA"/>
    <w:rsid w:val="175763E9"/>
    <w:rsid w:val="17667DE9"/>
    <w:rsid w:val="177236B1"/>
    <w:rsid w:val="177421CC"/>
    <w:rsid w:val="178D1819"/>
    <w:rsid w:val="179A3525"/>
    <w:rsid w:val="17D729AD"/>
    <w:rsid w:val="17D975F9"/>
    <w:rsid w:val="17EA2613"/>
    <w:rsid w:val="17F04282"/>
    <w:rsid w:val="180C06FF"/>
    <w:rsid w:val="18695063"/>
    <w:rsid w:val="186A5E5F"/>
    <w:rsid w:val="18D11D43"/>
    <w:rsid w:val="18DD7277"/>
    <w:rsid w:val="18E62F75"/>
    <w:rsid w:val="19052F7D"/>
    <w:rsid w:val="190F460C"/>
    <w:rsid w:val="191B572E"/>
    <w:rsid w:val="19426902"/>
    <w:rsid w:val="194955AD"/>
    <w:rsid w:val="194A350E"/>
    <w:rsid w:val="197C38F4"/>
    <w:rsid w:val="197F4E01"/>
    <w:rsid w:val="19831A11"/>
    <w:rsid w:val="19941D18"/>
    <w:rsid w:val="199F0C93"/>
    <w:rsid w:val="19ED5937"/>
    <w:rsid w:val="1A1F2B77"/>
    <w:rsid w:val="1A3420A1"/>
    <w:rsid w:val="1A4F01C3"/>
    <w:rsid w:val="1A514D80"/>
    <w:rsid w:val="1A605254"/>
    <w:rsid w:val="1A710F9A"/>
    <w:rsid w:val="1A793136"/>
    <w:rsid w:val="1A7B3BAB"/>
    <w:rsid w:val="1AAE7A56"/>
    <w:rsid w:val="1ADA4D76"/>
    <w:rsid w:val="1AF83EF2"/>
    <w:rsid w:val="1AFC3CEE"/>
    <w:rsid w:val="1B04361C"/>
    <w:rsid w:val="1B065B6B"/>
    <w:rsid w:val="1B34540E"/>
    <w:rsid w:val="1B59735D"/>
    <w:rsid w:val="1B5F6589"/>
    <w:rsid w:val="1B6B624B"/>
    <w:rsid w:val="1B867E2B"/>
    <w:rsid w:val="1B8F790E"/>
    <w:rsid w:val="1BFF71F2"/>
    <w:rsid w:val="1C2638BB"/>
    <w:rsid w:val="1C880752"/>
    <w:rsid w:val="1C9F0025"/>
    <w:rsid w:val="1CBB1806"/>
    <w:rsid w:val="1CD70A8D"/>
    <w:rsid w:val="1CE0094F"/>
    <w:rsid w:val="1CEA0B3E"/>
    <w:rsid w:val="1CFF05A2"/>
    <w:rsid w:val="1D142D0A"/>
    <w:rsid w:val="1D41732E"/>
    <w:rsid w:val="1D4C1E48"/>
    <w:rsid w:val="1D555DBB"/>
    <w:rsid w:val="1D6D08C8"/>
    <w:rsid w:val="1D943AC4"/>
    <w:rsid w:val="1DC713F1"/>
    <w:rsid w:val="1DE062F7"/>
    <w:rsid w:val="1E0B5246"/>
    <w:rsid w:val="1E2955AB"/>
    <w:rsid w:val="1E3A254E"/>
    <w:rsid w:val="1E467139"/>
    <w:rsid w:val="1E59183C"/>
    <w:rsid w:val="1E5A2DCB"/>
    <w:rsid w:val="1E6A4217"/>
    <w:rsid w:val="1EBC3475"/>
    <w:rsid w:val="1ED80E47"/>
    <w:rsid w:val="1EEA2418"/>
    <w:rsid w:val="1EF06916"/>
    <w:rsid w:val="1F291141"/>
    <w:rsid w:val="1F906557"/>
    <w:rsid w:val="1FA01FA3"/>
    <w:rsid w:val="1FB57FD9"/>
    <w:rsid w:val="1FBA5871"/>
    <w:rsid w:val="1FFA436F"/>
    <w:rsid w:val="2023605D"/>
    <w:rsid w:val="2039775F"/>
    <w:rsid w:val="205E12AA"/>
    <w:rsid w:val="206C2914"/>
    <w:rsid w:val="207259FF"/>
    <w:rsid w:val="208F03B0"/>
    <w:rsid w:val="20B322F1"/>
    <w:rsid w:val="20E912AD"/>
    <w:rsid w:val="20E97AC1"/>
    <w:rsid w:val="210743EB"/>
    <w:rsid w:val="211A2001"/>
    <w:rsid w:val="21204F6E"/>
    <w:rsid w:val="212F1E92"/>
    <w:rsid w:val="213B1D40"/>
    <w:rsid w:val="213C07FD"/>
    <w:rsid w:val="21436995"/>
    <w:rsid w:val="21511C6B"/>
    <w:rsid w:val="21570680"/>
    <w:rsid w:val="216D50BB"/>
    <w:rsid w:val="217904AE"/>
    <w:rsid w:val="21B005DE"/>
    <w:rsid w:val="21C85928"/>
    <w:rsid w:val="21CF38C1"/>
    <w:rsid w:val="21FF50C2"/>
    <w:rsid w:val="221110A3"/>
    <w:rsid w:val="22112225"/>
    <w:rsid w:val="22377D87"/>
    <w:rsid w:val="223F1EBC"/>
    <w:rsid w:val="2241472B"/>
    <w:rsid w:val="22573022"/>
    <w:rsid w:val="225752E2"/>
    <w:rsid w:val="22611985"/>
    <w:rsid w:val="227930C6"/>
    <w:rsid w:val="229E2B2D"/>
    <w:rsid w:val="22B12D55"/>
    <w:rsid w:val="22BD2FEC"/>
    <w:rsid w:val="22D754B7"/>
    <w:rsid w:val="22F556ED"/>
    <w:rsid w:val="23052768"/>
    <w:rsid w:val="230B7D43"/>
    <w:rsid w:val="23235A35"/>
    <w:rsid w:val="2342582F"/>
    <w:rsid w:val="234A0DE6"/>
    <w:rsid w:val="236A2FB3"/>
    <w:rsid w:val="239857CE"/>
    <w:rsid w:val="24300E1A"/>
    <w:rsid w:val="2432461A"/>
    <w:rsid w:val="24493596"/>
    <w:rsid w:val="24A01530"/>
    <w:rsid w:val="2508146F"/>
    <w:rsid w:val="25094DF1"/>
    <w:rsid w:val="250B47D5"/>
    <w:rsid w:val="250D1709"/>
    <w:rsid w:val="251B16DB"/>
    <w:rsid w:val="253416C3"/>
    <w:rsid w:val="256516E0"/>
    <w:rsid w:val="25775800"/>
    <w:rsid w:val="257A29E1"/>
    <w:rsid w:val="25826736"/>
    <w:rsid w:val="25B52667"/>
    <w:rsid w:val="25BE4930"/>
    <w:rsid w:val="25DC58CF"/>
    <w:rsid w:val="25DC6A54"/>
    <w:rsid w:val="25ED3C47"/>
    <w:rsid w:val="260D79C5"/>
    <w:rsid w:val="265579DE"/>
    <w:rsid w:val="26571970"/>
    <w:rsid w:val="26753E72"/>
    <w:rsid w:val="267912AC"/>
    <w:rsid w:val="26925354"/>
    <w:rsid w:val="26A64EB5"/>
    <w:rsid w:val="26B7240F"/>
    <w:rsid w:val="26BE36E4"/>
    <w:rsid w:val="26EF04C4"/>
    <w:rsid w:val="2710174D"/>
    <w:rsid w:val="271E248E"/>
    <w:rsid w:val="271E423C"/>
    <w:rsid w:val="27243473"/>
    <w:rsid w:val="273768CB"/>
    <w:rsid w:val="27545409"/>
    <w:rsid w:val="275F7D60"/>
    <w:rsid w:val="2781595E"/>
    <w:rsid w:val="27855A03"/>
    <w:rsid w:val="2787548C"/>
    <w:rsid w:val="27B6351B"/>
    <w:rsid w:val="27BA2AFC"/>
    <w:rsid w:val="27BF1E49"/>
    <w:rsid w:val="27D843EB"/>
    <w:rsid w:val="27FA6A57"/>
    <w:rsid w:val="281573ED"/>
    <w:rsid w:val="2832197B"/>
    <w:rsid w:val="28371A20"/>
    <w:rsid w:val="2858675A"/>
    <w:rsid w:val="28752806"/>
    <w:rsid w:val="28754330"/>
    <w:rsid w:val="287965F1"/>
    <w:rsid w:val="2895052E"/>
    <w:rsid w:val="28C16AFD"/>
    <w:rsid w:val="28D36E69"/>
    <w:rsid w:val="28D91000"/>
    <w:rsid w:val="28DD75F1"/>
    <w:rsid w:val="28E079FB"/>
    <w:rsid w:val="293715E5"/>
    <w:rsid w:val="294729C4"/>
    <w:rsid w:val="29475665"/>
    <w:rsid w:val="29527F41"/>
    <w:rsid w:val="29656152"/>
    <w:rsid w:val="296708AB"/>
    <w:rsid w:val="2971739F"/>
    <w:rsid w:val="29757990"/>
    <w:rsid w:val="29A34B64"/>
    <w:rsid w:val="29B82726"/>
    <w:rsid w:val="29CA20EB"/>
    <w:rsid w:val="29EF6F2B"/>
    <w:rsid w:val="29F12595"/>
    <w:rsid w:val="29F23E8A"/>
    <w:rsid w:val="29F556BC"/>
    <w:rsid w:val="2A1E641E"/>
    <w:rsid w:val="2A346998"/>
    <w:rsid w:val="2A850B83"/>
    <w:rsid w:val="2A860A4D"/>
    <w:rsid w:val="2A9B2ABC"/>
    <w:rsid w:val="2AA809EC"/>
    <w:rsid w:val="2ADA34F8"/>
    <w:rsid w:val="2ADC043E"/>
    <w:rsid w:val="2B1D4438"/>
    <w:rsid w:val="2B2636BF"/>
    <w:rsid w:val="2B6234F9"/>
    <w:rsid w:val="2B666BBA"/>
    <w:rsid w:val="2B69017C"/>
    <w:rsid w:val="2B741AE2"/>
    <w:rsid w:val="2BDF65F0"/>
    <w:rsid w:val="2BF066EE"/>
    <w:rsid w:val="2C385DA0"/>
    <w:rsid w:val="2C792640"/>
    <w:rsid w:val="2CA174A1"/>
    <w:rsid w:val="2CE675AA"/>
    <w:rsid w:val="2D202FFC"/>
    <w:rsid w:val="2D240D94"/>
    <w:rsid w:val="2D52784C"/>
    <w:rsid w:val="2D574004"/>
    <w:rsid w:val="2D7E030B"/>
    <w:rsid w:val="2D874707"/>
    <w:rsid w:val="2D9B5F5C"/>
    <w:rsid w:val="2DA67467"/>
    <w:rsid w:val="2DD41AF8"/>
    <w:rsid w:val="2E146C61"/>
    <w:rsid w:val="2E2024F4"/>
    <w:rsid w:val="2E50117F"/>
    <w:rsid w:val="2E521F8C"/>
    <w:rsid w:val="2E89343E"/>
    <w:rsid w:val="2EC07B78"/>
    <w:rsid w:val="2ED51684"/>
    <w:rsid w:val="2ED8324F"/>
    <w:rsid w:val="2EDC01DB"/>
    <w:rsid w:val="2EDC786C"/>
    <w:rsid w:val="2F651D57"/>
    <w:rsid w:val="2F8635D9"/>
    <w:rsid w:val="2F8B61E7"/>
    <w:rsid w:val="2F9B467C"/>
    <w:rsid w:val="2FA21DD2"/>
    <w:rsid w:val="2FAE47F3"/>
    <w:rsid w:val="2FB7230F"/>
    <w:rsid w:val="2FE211F5"/>
    <w:rsid w:val="301F71B6"/>
    <w:rsid w:val="30462597"/>
    <w:rsid w:val="305A4537"/>
    <w:rsid w:val="30773223"/>
    <w:rsid w:val="30A77352"/>
    <w:rsid w:val="30D31E1D"/>
    <w:rsid w:val="30D749CE"/>
    <w:rsid w:val="30E718B8"/>
    <w:rsid w:val="30FB4493"/>
    <w:rsid w:val="30FB5378"/>
    <w:rsid w:val="30FD4EC2"/>
    <w:rsid w:val="31031A98"/>
    <w:rsid w:val="310456F9"/>
    <w:rsid w:val="31065E0B"/>
    <w:rsid w:val="31146C33"/>
    <w:rsid w:val="31216A4B"/>
    <w:rsid w:val="312608BD"/>
    <w:rsid w:val="313219C7"/>
    <w:rsid w:val="315415C0"/>
    <w:rsid w:val="315F7FF4"/>
    <w:rsid w:val="317A3B38"/>
    <w:rsid w:val="317E224F"/>
    <w:rsid w:val="318C34D6"/>
    <w:rsid w:val="319465D3"/>
    <w:rsid w:val="31A84CA4"/>
    <w:rsid w:val="31D97580"/>
    <w:rsid w:val="31E50F27"/>
    <w:rsid w:val="3214172E"/>
    <w:rsid w:val="321E7D45"/>
    <w:rsid w:val="32204376"/>
    <w:rsid w:val="32524842"/>
    <w:rsid w:val="32956620"/>
    <w:rsid w:val="32B614DA"/>
    <w:rsid w:val="32FA790B"/>
    <w:rsid w:val="332442D6"/>
    <w:rsid w:val="332C406F"/>
    <w:rsid w:val="33344883"/>
    <w:rsid w:val="336A54B0"/>
    <w:rsid w:val="337B160B"/>
    <w:rsid w:val="33987D41"/>
    <w:rsid w:val="33A15FD9"/>
    <w:rsid w:val="33A202EE"/>
    <w:rsid w:val="340C492A"/>
    <w:rsid w:val="34113733"/>
    <w:rsid w:val="3421711A"/>
    <w:rsid w:val="3428494C"/>
    <w:rsid w:val="343A5AC9"/>
    <w:rsid w:val="345427A3"/>
    <w:rsid w:val="34853DA1"/>
    <w:rsid w:val="349E7719"/>
    <w:rsid w:val="34D27F17"/>
    <w:rsid w:val="34F84CA4"/>
    <w:rsid w:val="350C1B78"/>
    <w:rsid w:val="35111E45"/>
    <w:rsid w:val="35201D4B"/>
    <w:rsid w:val="355E6877"/>
    <w:rsid w:val="356E1876"/>
    <w:rsid w:val="35AB1391"/>
    <w:rsid w:val="35F566E2"/>
    <w:rsid w:val="36084F79"/>
    <w:rsid w:val="361221A9"/>
    <w:rsid w:val="362C3918"/>
    <w:rsid w:val="364B1250"/>
    <w:rsid w:val="364B2C6B"/>
    <w:rsid w:val="367E6CA2"/>
    <w:rsid w:val="368112E6"/>
    <w:rsid w:val="36892355"/>
    <w:rsid w:val="36913CE5"/>
    <w:rsid w:val="36B50719"/>
    <w:rsid w:val="36C941C4"/>
    <w:rsid w:val="36D72F9F"/>
    <w:rsid w:val="36E7464B"/>
    <w:rsid w:val="37055B53"/>
    <w:rsid w:val="370D6A0B"/>
    <w:rsid w:val="3716753C"/>
    <w:rsid w:val="37623835"/>
    <w:rsid w:val="376A110E"/>
    <w:rsid w:val="37905DDE"/>
    <w:rsid w:val="37975EEE"/>
    <w:rsid w:val="37B3452D"/>
    <w:rsid w:val="37DB647A"/>
    <w:rsid w:val="37DC3558"/>
    <w:rsid w:val="37EB016A"/>
    <w:rsid w:val="38066D52"/>
    <w:rsid w:val="380D3FB3"/>
    <w:rsid w:val="38454CBB"/>
    <w:rsid w:val="38521F98"/>
    <w:rsid w:val="38527190"/>
    <w:rsid w:val="38575800"/>
    <w:rsid w:val="387E2D8D"/>
    <w:rsid w:val="38820906"/>
    <w:rsid w:val="38A04AB1"/>
    <w:rsid w:val="38B75191"/>
    <w:rsid w:val="38C522B1"/>
    <w:rsid w:val="38CF0F38"/>
    <w:rsid w:val="38DB1144"/>
    <w:rsid w:val="38FA2AE8"/>
    <w:rsid w:val="391C382C"/>
    <w:rsid w:val="391F1AD6"/>
    <w:rsid w:val="39205BF2"/>
    <w:rsid w:val="39231DE4"/>
    <w:rsid w:val="392950DA"/>
    <w:rsid w:val="39316051"/>
    <w:rsid w:val="39413981"/>
    <w:rsid w:val="39433D7D"/>
    <w:rsid w:val="395B4E7C"/>
    <w:rsid w:val="395F68DB"/>
    <w:rsid w:val="3964595B"/>
    <w:rsid w:val="3965545D"/>
    <w:rsid w:val="397F4F63"/>
    <w:rsid w:val="398A3227"/>
    <w:rsid w:val="3991089E"/>
    <w:rsid w:val="39AD27A5"/>
    <w:rsid w:val="39AE31AA"/>
    <w:rsid w:val="39B822CE"/>
    <w:rsid w:val="39C21A0A"/>
    <w:rsid w:val="39C56CF2"/>
    <w:rsid w:val="39EF043F"/>
    <w:rsid w:val="3A2F07E2"/>
    <w:rsid w:val="3A3660E1"/>
    <w:rsid w:val="3A506899"/>
    <w:rsid w:val="3A581C40"/>
    <w:rsid w:val="3A7D7538"/>
    <w:rsid w:val="3A816B64"/>
    <w:rsid w:val="3AA91952"/>
    <w:rsid w:val="3ABC2526"/>
    <w:rsid w:val="3AE41E37"/>
    <w:rsid w:val="3AEA67E2"/>
    <w:rsid w:val="3AF772EE"/>
    <w:rsid w:val="3AF966A0"/>
    <w:rsid w:val="3B157562"/>
    <w:rsid w:val="3B1E43B3"/>
    <w:rsid w:val="3B3E35BF"/>
    <w:rsid w:val="3B413B9B"/>
    <w:rsid w:val="3B6402E9"/>
    <w:rsid w:val="3B82290E"/>
    <w:rsid w:val="3B954675"/>
    <w:rsid w:val="3BA1126C"/>
    <w:rsid w:val="3BF336F9"/>
    <w:rsid w:val="3BF37A01"/>
    <w:rsid w:val="3C126A55"/>
    <w:rsid w:val="3C261771"/>
    <w:rsid w:val="3C4B0F1D"/>
    <w:rsid w:val="3C836BC3"/>
    <w:rsid w:val="3C8C784A"/>
    <w:rsid w:val="3D1A3AF9"/>
    <w:rsid w:val="3D232155"/>
    <w:rsid w:val="3D2C65C4"/>
    <w:rsid w:val="3D317E96"/>
    <w:rsid w:val="3D3659E4"/>
    <w:rsid w:val="3D4C3459"/>
    <w:rsid w:val="3D5A7726"/>
    <w:rsid w:val="3D5B1C38"/>
    <w:rsid w:val="3D5D604E"/>
    <w:rsid w:val="3DB77095"/>
    <w:rsid w:val="3DCB32B8"/>
    <w:rsid w:val="3DD575F5"/>
    <w:rsid w:val="3E270C30"/>
    <w:rsid w:val="3E3150C4"/>
    <w:rsid w:val="3E35213F"/>
    <w:rsid w:val="3E375AC1"/>
    <w:rsid w:val="3E6D57E8"/>
    <w:rsid w:val="3E7201E0"/>
    <w:rsid w:val="3E9C50F3"/>
    <w:rsid w:val="3EB62267"/>
    <w:rsid w:val="3EC62D97"/>
    <w:rsid w:val="3EDC6612"/>
    <w:rsid w:val="3EE849A4"/>
    <w:rsid w:val="3EEE0400"/>
    <w:rsid w:val="3F16473F"/>
    <w:rsid w:val="3F174BBC"/>
    <w:rsid w:val="3FA550A3"/>
    <w:rsid w:val="3FBA2007"/>
    <w:rsid w:val="3FD1586E"/>
    <w:rsid w:val="40112738"/>
    <w:rsid w:val="40240ADB"/>
    <w:rsid w:val="402F0251"/>
    <w:rsid w:val="40436567"/>
    <w:rsid w:val="40594887"/>
    <w:rsid w:val="408C4A92"/>
    <w:rsid w:val="40AE695B"/>
    <w:rsid w:val="40AF61D9"/>
    <w:rsid w:val="41016B68"/>
    <w:rsid w:val="41052399"/>
    <w:rsid w:val="4108722C"/>
    <w:rsid w:val="41162E6C"/>
    <w:rsid w:val="411F7F8E"/>
    <w:rsid w:val="41222C0F"/>
    <w:rsid w:val="415E7BFF"/>
    <w:rsid w:val="41B75EC0"/>
    <w:rsid w:val="41BD0482"/>
    <w:rsid w:val="41D216D8"/>
    <w:rsid w:val="420C1409"/>
    <w:rsid w:val="42332B8B"/>
    <w:rsid w:val="42440B97"/>
    <w:rsid w:val="4280659A"/>
    <w:rsid w:val="4295517F"/>
    <w:rsid w:val="42A17DA3"/>
    <w:rsid w:val="42DB23BC"/>
    <w:rsid w:val="42DF267A"/>
    <w:rsid w:val="43000A22"/>
    <w:rsid w:val="4315253F"/>
    <w:rsid w:val="43367E14"/>
    <w:rsid w:val="433913A3"/>
    <w:rsid w:val="43592C8A"/>
    <w:rsid w:val="43855B75"/>
    <w:rsid w:val="43A12B25"/>
    <w:rsid w:val="43C52F58"/>
    <w:rsid w:val="43F44D65"/>
    <w:rsid w:val="440231F1"/>
    <w:rsid w:val="442C18EF"/>
    <w:rsid w:val="4431246F"/>
    <w:rsid w:val="446A761A"/>
    <w:rsid w:val="4470274E"/>
    <w:rsid w:val="4475798E"/>
    <w:rsid w:val="44816B44"/>
    <w:rsid w:val="44AD24DB"/>
    <w:rsid w:val="44AE67A8"/>
    <w:rsid w:val="45050ABD"/>
    <w:rsid w:val="45237196"/>
    <w:rsid w:val="453809C1"/>
    <w:rsid w:val="45573949"/>
    <w:rsid w:val="45693D2E"/>
    <w:rsid w:val="45897440"/>
    <w:rsid w:val="45997458"/>
    <w:rsid w:val="45C0799E"/>
    <w:rsid w:val="45D65E54"/>
    <w:rsid w:val="460C0E7F"/>
    <w:rsid w:val="4651027F"/>
    <w:rsid w:val="46991366"/>
    <w:rsid w:val="46A71F6C"/>
    <w:rsid w:val="46CC1F59"/>
    <w:rsid w:val="46EC722E"/>
    <w:rsid w:val="46EF38B3"/>
    <w:rsid w:val="46FB43C1"/>
    <w:rsid w:val="470E5446"/>
    <w:rsid w:val="47196ACD"/>
    <w:rsid w:val="47631957"/>
    <w:rsid w:val="47655843"/>
    <w:rsid w:val="476C4092"/>
    <w:rsid w:val="47923C35"/>
    <w:rsid w:val="47A838A3"/>
    <w:rsid w:val="47C31B76"/>
    <w:rsid w:val="47D47673"/>
    <w:rsid w:val="47D868BC"/>
    <w:rsid w:val="47DC027C"/>
    <w:rsid w:val="47EA5D49"/>
    <w:rsid w:val="481421FE"/>
    <w:rsid w:val="48350DC1"/>
    <w:rsid w:val="487E0D7E"/>
    <w:rsid w:val="487F599F"/>
    <w:rsid w:val="488432D6"/>
    <w:rsid w:val="48D82928"/>
    <w:rsid w:val="48DE70DB"/>
    <w:rsid w:val="49263D3E"/>
    <w:rsid w:val="4981114E"/>
    <w:rsid w:val="498D72D3"/>
    <w:rsid w:val="49903741"/>
    <w:rsid w:val="49964EBD"/>
    <w:rsid w:val="49D550FD"/>
    <w:rsid w:val="49DA1730"/>
    <w:rsid w:val="49F26FD9"/>
    <w:rsid w:val="49F34767"/>
    <w:rsid w:val="4A022010"/>
    <w:rsid w:val="4A0D21C2"/>
    <w:rsid w:val="4A0F3823"/>
    <w:rsid w:val="4A1054A1"/>
    <w:rsid w:val="4A153830"/>
    <w:rsid w:val="4A190B67"/>
    <w:rsid w:val="4A2E604D"/>
    <w:rsid w:val="4A4847FA"/>
    <w:rsid w:val="4A5D1FEF"/>
    <w:rsid w:val="4A657109"/>
    <w:rsid w:val="4A7F0183"/>
    <w:rsid w:val="4A8221E7"/>
    <w:rsid w:val="4A8E6E5F"/>
    <w:rsid w:val="4A9B332A"/>
    <w:rsid w:val="4AA51929"/>
    <w:rsid w:val="4AAD435D"/>
    <w:rsid w:val="4AAE75A3"/>
    <w:rsid w:val="4AAF0A7D"/>
    <w:rsid w:val="4ABA1BC3"/>
    <w:rsid w:val="4ABB1C1E"/>
    <w:rsid w:val="4AD45646"/>
    <w:rsid w:val="4ADA0DA6"/>
    <w:rsid w:val="4AE64923"/>
    <w:rsid w:val="4B1C6783"/>
    <w:rsid w:val="4B266FED"/>
    <w:rsid w:val="4B320132"/>
    <w:rsid w:val="4B4E7DF9"/>
    <w:rsid w:val="4BDF2047"/>
    <w:rsid w:val="4BED4059"/>
    <w:rsid w:val="4BF40341"/>
    <w:rsid w:val="4C054E48"/>
    <w:rsid w:val="4C102570"/>
    <w:rsid w:val="4C151C04"/>
    <w:rsid w:val="4C2338B2"/>
    <w:rsid w:val="4C3268E4"/>
    <w:rsid w:val="4C6640F8"/>
    <w:rsid w:val="4CB41768"/>
    <w:rsid w:val="4CD3679A"/>
    <w:rsid w:val="4CE71F81"/>
    <w:rsid w:val="4CF04E3A"/>
    <w:rsid w:val="4D3A3BC0"/>
    <w:rsid w:val="4D4D7280"/>
    <w:rsid w:val="4D5C27F9"/>
    <w:rsid w:val="4D7A5AB3"/>
    <w:rsid w:val="4D86137C"/>
    <w:rsid w:val="4D9F54AF"/>
    <w:rsid w:val="4DAE68B0"/>
    <w:rsid w:val="4DC06635"/>
    <w:rsid w:val="4DC93FA3"/>
    <w:rsid w:val="4DCE1994"/>
    <w:rsid w:val="4DD454D1"/>
    <w:rsid w:val="4DD60B09"/>
    <w:rsid w:val="4DD70B1E"/>
    <w:rsid w:val="4DDE1EAC"/>
    <w:rsid w:val="4DE35714"/>
    <w:rsid w:val="4E1753BE"/>
    <w:rsid w:val="4E1A6C5C"/>
    <w:rsid w:val="4E3B72FE"/>
    <w:rsid w:val="4E6A16E7"/>
    <w:rsid w:val="4E71191F"/>
    <w:rsid w:val="4E7E5BDD"/>
    <w:rsid w:val="4E9B2C6E"/>
    <w:rsid w:val="4E9D3807"/>
    <w:rsid w:val="4EA07161"/>
    <w:rsid w:val="4ECB20FF"/>
    <w:rsid w:val="4EE518F2"/>
    <w:rsid w:val="4EED4970"/>
    <w:rsid w:val="4EF20E6C"/>
    <w:rsid w:val="4F1E63CD"/>
    <w:rsid w:val="4F214299"/>
    <w:rsid w:val="4F3007F7"/>
    <w:rsid w:val="4F560BB4"/>
    <w:rsid w:val="4F5E7E33"/>
    <w:rsid w:val="4F9C6C66"/>
    <w:rsid w:val="4FAB400F"/>
    <w:rsid w:val="4FB44881"/>
    <w:rsid w:val="4FD42959"/>
    <w:rsid w:val="4FE85264"/>
    <w:rsid w:val="4FEA5788"/>
    <w:rsid w:val="500A7B73"/>
    <w:rsid w:val="501E1398"/>
    <w:rsid w:val="501F2099"/>
    <w:rsid w:val="502F5187"/>
    <w:rsid w:val="504C78B8"/>
    <w:rsid w:val="50593A6B"/>
    <w:rsid w:val="507D09FC"/>
    <w:rsid w:val="50940112"/>
    <w:rsid w:val="50C524F7"/>
    <w:rsid w:val="50DB0924"/>
    <w:rsid w:val="50EA68CF"/>
    <w:rsid w:val="51077FED"/>
    <w:rsid w:val="51280932"/>
    <w:rsid w:val="517010BB"/>
    <w:rsid w:val="517A05D1"/>
    <w:rsid w:val="51B02091"/>
    <w:rsid w:val="51C3718C"/>
    <w:rsid w:val="51F85506"/>
    <w:rsid w:val="5200022C"/>
    <w:rsid w:val="521560B8"/>
    <w:rsid w:val="52206824"/>
    <w:rsid w:val="52224331"/>
    <w:rsid w:val="522E2410"/>
    <w:rsid w:val="526E0CD3"/>
    <w:rsid w:val="52747CBB"/>
    <w:rsid w:val="52830462"/>
    <w:rsid w:val="52945EB6"/>
    <w:rsid w:val="52970A52"/>
    <w:rsid w:val="52AB5C1E"/>
    <w:rsid w:val="52C57EEA"/>
    <w:rsid w:val="52CB6777"/>
    <w:rsid w:val="52CE0DD3"/>
    <w:rsid w:val="52D83680"/>
    <w:rsid w:val="53016A22"/>
    <w:rsid w:val="5308541C"/>
    <w:rsid w:val="531E0F9C"/>
    <w:rsid w:val="535B7AFB"/>
    <w:rsid w:val="53807A36"/>
    <w:rsid w:val="538F3C48"/>
    <w:rsid w:val="539A65B3"/>
    <w:rsid w:val="53AE0572"/>
    <w:rsid w:val="53B62947"/>
    <w:rsid w:val="53CB2ED2"/>
    <w:rsid w:val="5411544B"/>
    <w:rsid w:val="5412470A"/>
    <w:rsid w:val="54263B36"/>
    <w:rsid w:val="543F7D97"/>
    <w:rsid w:val="54423376"/>
    <w:rsid w:val="5445475E"/>
    <w:rsid w:val="546A05FE"/>
    <w:rsid w:val="54754BEC"/>
    <w:rsid w:val="547E6196"/>
    <w:rsid w:val="548A5658"/>
    <w:rsid w:val="54A70954"/>
    <w:rsid w:val="54AF4AA2"/>
    <w:rsid w:val="54D10A01"/>
    <w:rsid w:val="54E16E72"/>
    <w:rsid w:val="54EC6BC8"/>
    <w:rsid w:val="54F63F7F"/>
    <w:rsid w:val="55087419"/>
    <w:rsid w:val="551663CF"/>
    <w:rsid w:val="552F7094"/>
    <w:rsid w:val="55423A9A"/>
    <w:rsid w:val="555F5120"/>
    <w:rsid w:val="556935BA"/>
    <w:rsid w:val="55A22BA0"/>
    <w:rsid w:val="55CA3D0E"/>
    <w:rsid w:val="56165022"/>
    <w:rsid w:val="563B3C13"/>
    <w:rsid w:val="56517FD1"/>
    <w:rsid w:val="568C72A1"/>
    <w:rsid w:val="56BB705A"/>
    <w:rsid w:val="56DF4B61"/>
    <w:rsid w:val="56E51BE2"/>
    <w:rsid w:val="56EA529E"/>
    <w:rsid w:val="56EF2E12"/>
    <w:rsid w:val="56FD4B5F"/>
    <w:rsid w:val="57447EB8"/>
    <w:rsid w:val="575D6863"/>
    <w:rsid w:val="577E64AD"/>
    <w:rsid w:val="577F2CDD"/>
    <w:rsid w:val="57956048"/>
    <w:rsid w:val="57B037D9"/>
    <w:rsid w:val="57B56460"/>
    <w:rsid w:val="57BC6C97"/>
    <w:rsid w:val="57BE36B7"/>
    <w:rsid w:val="57C054CB"/>
    <w:rsid w:val="57C8039F"/>
    <w:rsid w:val="582F1556"/>
    <w:rsid w:val="584C723F"/>
    <w:rsid w:val="58515910"/>
    <w:rsid w:val="58584120"/>
    <w:rsid w:val="58641763"/>
    <w:rsid w:val="586647F7"/>
    <w:rsid w:val="58664F09"/>
    <w:rsid w:val="58735E74"/>
    <w:rsid w:val="58892E17"/>
    <w:rsid w:val="588C4F7F"/>
    <w:rsid w:val="58A35306"/>
    <w:rsid w:val="58BF589F"/>
    <w:rsid w:val="58DB180B"/>
    <w:rsid w:val="58E92BF8"/>
    <w:rsid w:val="58FC310E"/>
    <w:rsid w:val="58FC3B2E"/>
    <w:rsid w:val="58FC79DE"/>
    <w:rsid w:val="59044881"/>
    <w:rsid w:val="591551A9"/>
    <w:rsid w:val="591E1CF4"/>
    <w:rsid w:val="592159A6"/>
    <w:rsid w:val="593C00D6"/>
    <w:rsid w:val="59665C2E"/>
    <w:rsid w:val="5976568E"/>
    <w:rsid w:val="598F6750"/>
    <w:rsid w:val="59AD3660"/>
    <w:rsid w:val="59C653D9"/>
    <w:rsid w:val="59DC0CC3"/>
    <w:rsid w:val="5A075CDA"/>
    <w:rsid w:val="5A1548B3"/>
    <w:rsid w:val="5A181E02"/>
    <w:rsid w:val="5A360C29"/>
    <w:rsid w:val="5A5752A8"/>
    <w:rsid w:val="5A5B33BB"/>
    <w:rsid w:val="5A7B3695"/>
    <w:rsid w:val="5A8854A9"/>
    <w:rsid w:val="5AE62611"/>
    <w:rsid w:val="5AF95C18"/>
    <w:rsid w:val="5B137B84"/>
    <w:rsid w:val="5B150723"/>
    <w:rsid w:val="5B2B24A8"/>
    <w:rsid w:val="5BA94F78"/>
    <w:rsid w:val="5BBB0310"/>
    <w:rsid w:val="5BE522FA"/>
    <w:rsid w:val="5BEC3853"/>
    <w:rsid w:val="5BFF0CBA"/>
    <w:rsid w:val="5C043EF3"/>
    <w:rsid w:val="5C062149"/>
    <w:rsid w:val="5C3C7568"/>
    <w:rsid w:val="5C464523"/>
    <w:rsid w:val="5C50666A"/>
    <w:rsid w:val="5C531CB7"/>
    <w:rsid w:val="5C61531C"/>
    <w:rsid w:val="5C6305A3"/>
    <w:rsid w:val="5CA036E1"/>
    <w:rsid w:val="5CA906F2"/>
    <w:rsid w:val="5CAF3653"/>
    <w:rsid w:val="5CC2673B"/>
    <w:rsid w:val="5CD96260"/>
    <w:rsid w:val="5CF14A3B"/>
    <w:rsid w:val="5D026815"/>
    <w:rsid w:val="5D4B6245"/>
    <w:rsid w:val="5D4D33BD"/>
    <w:rsid w:val="5D683540"/>
    <w:rsid w:val="5D7F70DB"/>
    <w:rsid w:val="5DA02743"/>
    <w:rsid w:val="5DC104BC"/>
    <w:rsid w:val="5DCD0F95"/>
    <w:rsid w:val="5DD638E2"/>
    <w:rsid w:val="5E083F1F"/>
    <w:rsid w:val="5E246750"/>
    <w:rsid w:val="5E5913B9"/>
    <w:rsid w:val="5E5C79A5"/>
    <w:rsid w:val="5E5E4943"/>
    <w:rsid w:val="5E710B1A"/>
    <w:rsid w:val="5E796E16"/>
    <w:rsid w:val="5E865E21"/>
    <w:rsid w:val="5E9418B3"/>
    <w:rsid w:val="5EA67D41"/>
    <w:rsid w:val="5EA909E6"/>
    <w:rsid w:val="5EB50A07"/>
    <w:rsid w:val="5EC21376"/>
    <w:rsid w:val="5ED653BF"/>
    <w:rsid w:val="5EDF3AE5"/>
    <w:rsid w:val="5EE1759A"/>
    <w:rsid w:val="5EF7245F"/>
    <w:rsid w:val="5EFB04C3"/>
    <w:rsid w:val="5EFD0826"/>
    <w:rsid w:val="5F0F151B"/>
    <w:rsid w:val="5F13572D"/>
    <w:rsid w:val="5F1F5B51"/>
    <w:rsid w:val="5F203F68"/>
    <w:rsid w:val="5F3D7E31"/>
    <w:rsid w:val="5F47044E"/>
    <w:rsid w:val="5F4C2237"/>
    <w:rsid w:val="5F4C543D"/>
    <w:rsid w:val="5F654690"/>
    <w:rsid w:val="5F754DBD"/>
    <w:rsid w:val="5F97176C"/>
    <w:rsid w:val="5FAF541F"/>
    <w:rsid w:val="5FC4147E"/>
    <w:rsid w:val="600339F4"/>
    <w:rsid w:val="6015606F"/>
    <w:rsid w:val="601F0B00"/>
    <w:rsid w:val="603F0C8E"/>
    <w:rsid w:val="605B74DF"/>
    <w:rsid w:val="605D1356"/>
    <w:rsid w:val="606B4F6D"/>
    <w:rsid w:val="608770F4"/>
    <w:rsid w:val="60922F20"/>
    <w:rsid w:val="60996106"/>
    <w:rsid w:val="60B62814"/>
    <w:rsid w:val="60C81F99"/>
    <w:rsid w:val="60F849D4"/>
    <w:rsid w:val="6112090E"/>
    <w:rsid w:val="611700C2"/>
    <w:rsid w:val="611B079E"/>
    <w:rsid w:val="613C4296"/>
    <w:rsid w:val="61AA2941"/>
    <w:rsid w:val="61C64F13"/>
    <w:rsid w:val="61C72DD0"/>
    <w:rsid w:val="61D257D4"/>
    <w:rsid w:val="61F25ACE"/>
    <w:rsid w:val="61FE790C"/>
    <w:rsid w:val="620F5454"/>
    <w:rsid w:val="62502AB3"/>
    <w:rsid w:val="62822C00"/>
    <w:rsid w:val="629C158C"/>
    <w:rsid w:val="62B9113F"/>
    <w:rsid w:val="62CF3560"/>
    <w:rsid w:val="63283A59"/>
    <w:rsid w:val="63304B00"/>
    <w:rsid w:val="633741A7"/>
    <w:rsid w:val="634467FD"/>
    <w:rsid w:val="63A67E4C"/>
    <w:rsid w:val="63B8377D"/>
    <w:rsid w:val="63C13B90"/>
    <w:rsid w:val="63E1404C"/>
    <w:rsid w:val="63EC2662"/>
    <w:rsid w:val="641D434E"/>
    <w:rsid w:val="6421739C"/>
    <w:rsid w:val="642541CA"/>
    <w:rsid w:val="64301A55"/>
    <w:rsid w:val="64333BB5"/>
    <w:rsid w:val="64414A7D"/>
    <w:rsid w:val="644F1C8C"/>
    <w:rsid w:val="645312C9"/>
    <w:rsid w:val="645B4190"/>
    <w:rsid w:val="647873B0"/>
    <w:rsid w:val="649C5009"/>
    <w:rsid w:val="64BB4816"/>
    <w:rsid w:val="6556522A"/>
    <w:rsid w:val="657C227E"/>
    <w:rsid w:val="65B17A4E"/>
    <w:rsid w:val="65BA64D5"/>
    <w:rsid w:val="65BE0617"/>
    <w:rsid w:val="66135703"/>
    <w:rsid w:val="66215F5D"/>
    <w:rsid w:val="663F18EE"/>
    <w:rsid w:val="66401F7E"/>
    <w:rsid w:val="664572DC"/>
    <w:rsid w:val="66594E7C"/>
    <w:rsid w:val="66671102"/>
    <w:rsid w:val="66A45371"/>
    <w:rsid w:val="66CE465B"/>
    <w:rsid w:val="66FF1D1F"/>
    <w:rsid w:val="67065B78"/>
    <w:rsid w:val="673A7D2E"/>
    <w:rsid w:val="67746F85"/>
    <w:rsid w:val="677B47B7"/>
    <w:rsid w:val="6784541A"/>
    <w:rsid w:val="678A67A9"/>
    <w:rsid w:val="679A69EC"/>
    <w:rsid w:val="67B86A83"/>
    <w:rsid w:val="67C521FA"/>
    <w:rsid w:val="67E660D5"/>
    <w:rsid w:val="684B0112"/>
    <w:rsid w:val="68541CA5"/>
    <w:rsid w:val="68571AE7"/>
    <w:rsid w:val="68605065"/>
    <w:rsid w:val="687471BF"/>
    <w:rsid w:val="68B5181E"/>
    <w:rsid w:val="68D20407"/>
    <w:rsid w:val="68DE6DAC"/>
    <w:rsid w:val="690F14C9"/>
    <w:rsid w:val="693D1D24"/>
    <w:rsid w:val="695D26A8"/>
    <w:rsid w:val="695D2FE6"/>
    <w:rsid w:val="695D4E2E"/>
    <w:rsid w:val="697778D2"/>
    <w:rsid w:val="69A67729"/>
    <w:rsid w:val="69E0543F"/>
    <w:rsid w:val="6A09046B"/>
    <w:rsid w:val="6A0C7394"/>
    <w:rsid w:val="6A136090"/>
    <w:rsid w:val="6A1B7B8C"/>
    <w:rsid w:val="6A333F49"/>
    <w:rsid w:val="6A3B28B7"/>
    <w:rsid w:val="6A464C09"/>
    <w:rsid w:val="6A485E46"/>
    <w:rsid w:val="6A4D243B"/>
    <w:rsid w:val="6A4D33B9"/>
    <w:rsid w:val="6A696B49"/>
    <w:rsid w:val="6A7F6C6E"/>
    <w:rsid w:val="6A896D77"/>
    <w:rsid w:val="6A8E0EAB"/>
    <w:rsid w:val="6AC91EBE"/>
    <w:rsid w:val="6AFC003E"/>
    <w:rsid w:val="6B09157D"/>
    <w:rsid w:val="6B0F5943"/>
    <w:rsid w:val="6B364C7D"/>
    <w:rsid w:val="6B59096C"/>
    <w:rsid w:val="6B5B46E4"/>
    <w:rsid w:val="6B795DC3"/>
    <w:rsid w:val="6B7F67E4"/>
    <w:rsid w:val="6BB43DF4"/>
    <w:rsid w:val="6BBD0EFB"/>
    <w:rsid w:val="6BDD159D"/>
    <w:rsid w:val="6BEF1DAD"/>
    <w:rsid w:val="6C005149"/>
    <w:rsid w:val="6C105E57"/>
    <w:rsid w:val="6C19336A"/>
    <w:rsid w:val="6C1B6E53"/>
    <w:rsid w:val="6C365542"/>
    <w:rsid w:val="6C36603C"/>
    <w:rsid w:val="6C626D37"/>
    <w:rsid w:val="6C6C4AED"/>
    <w:rsid w:val="6C766A5A"/>
    <w:rsid w:val="6C7C7502"/>
    <w:rsid w:val="6C953C26"/>
    <w:rsid w:val="6C972257"/>
    <w:rsid w:val="6C9B0852"/>
    <w:rsid w:val="6CA14324"/>
    <w:rsid w:val="6CA80604"/>
    <w:rsid w:val="6CA80759"/>
    <w:rsid w:val="6D19237D"/>
    <w:rsid w:val="6D1D702F"/>
    <w:rsid w:val="6D313A84"/>
    <w:rsid w:val="6D3B2FF6"/>
    <w:rsid w:val="6D450549"/>
    <w:rsid w:val="6D8C5655"/>
    <w:rsid w:val="6D8E1B76"/>
    <w:rsid w:val="6DD469CF"/>
    <w:rsid w:val="6DE24C37"/>
    <w:rsid w:val="6DF57803"/>
    <w:rsid w:val="6E113780"/>
    <w:rsid w:val="6E201C15"/>
    <w:rsid w:val="6E274256"/>
    <w:rsid w:val="6EAE6B68"/>
    <w:rsid w:val="6EBC16AC"/>
    <w:rsid w:val="6ED106D2"/>
    <w:rsid w:val="6F050962"/>
    <w:rsid w:val="6F09639B"/>
    <w:rsid w:val="6F196431"/>
    <w:rsid w:val="6F1F6E65"/>
    <w:rsid w:val="6F570DBD"/>
    <w:rsid w:val="6F9E7295"/>
    <w:rsid w:val="6FA85602"/>
    <w:rsid w:val="6FAF14A2"/>
    <w:rsid w:val="6FD44A65"/>
    <w:rsid w:val="6FDD4DE6"/>
    <w:rsid w:val="6FE4739E"/>
    <w:rsid w:val="700C165D"/>
    <w:rsid w:val="703E5FDE"/>
    <w:rsid w:val="703E6CF5"/>
    <w:rsid w:val="70487AF9"/>
    <w:rsid w:val="704E2A69"/>
    <w:rsid w:val="70877D29"/>
    <w:rsid w:val="70C35EB3"/>
    <w:rsid w:val="70DB7F7E"/>
    <w:rsid w:val="70DE203F"/>
    <w:rsid w:val="70E21BF9"/>
    <w:rsid w:val="70E9294B"/>
    <w:rsid w:val="70FE5F25"/>
    <w:rsid w:val="710429FA"/>
    <w:rsid w:val="710D32A0"/>
    <w:rsid w:val="71353C29"/>
    <w:rsid w:val="7148570A"/>
    <w:rsid w:val="7157594D"/>
    <w:rsid w:val="715776FB"/>
    <w:rsid w:val="715E4EF3"/>
    <w:rsid w:val="716167CC"/>
    <w:rsid w:val="716D5171"/>
    <w:rsid w:val="71995F66"/>
    <w:rsid w:val="71C42ADE"/>
    <w:rsid w:val="71D57328"/>
    <w:rsid w:val="71E50374"/>
    <w:rsid w:val="71F118FE"/>
    <w:rsid w:val="722E1923"/>
    <w:rsid w:val="72480F9D"/>
    <w:rsid w:val="72731A96"/>
    <w:rsid w:val="72AC42C5"/>
    <w:rsid w:val="72C61C9A"/>
    <w:rsid w:val="73152EDD"/>
    <w:rsid w:val="733F017D"/>
    <w:rsid w:val="735D2FC3"/>
    <w:rsid w:val="73784A7A"/>
    <w:rsid w:val="73813156"/>
    <w:rsid w:val="73A5137E"/>
    <w:rsid w:val="73A52066"/>
    <w:rsid w:val="73DF3F7C"/>
    <w:rsid w:val="74184804"/>
    <w:rsid w:val="742E6B67"/>
    <w:rsid w:val="744D3038"/>
    <w:rsid w:val="744E11F2"/>
    <w:rsid w:val="745C192B"/>
    <w:rsid w:val="74777EE8"/>
    <w:rsid w:val="749F65FA"/>
    <w:rsid w:val="74A05D67"/>
    <w:rsid w:val="74A94712"/>
    <w:rsid w:val="74AD5DBC"/>
    <w:rsid w:val="74BC0B3B"/>
    <w:rsid w:val="74C15C2B"/>
    <w:rsid w:val="74F57957"/>
    <w:rsid w:val="752718BC"/>
    <w:rsid w:val="7530013C"/>
    <w:rsid w:val="754E350B"/>
    <w:rsid w:val="757A3B9B"/>
    <w:rsid w:val="75920D9E"/>
    <w:rsid w:val="75992FD9"/>
    <w:rsid w:val="75A84C9D"/>
    <w:rsid w:val="75AC2CC8"/>
    <w:rsid w:val="75CB674E"/>
    <w:rsid w:val="75D155BD"/>
    <w:rsid w:val="760D2A7F"/>
    <w:rsid w:val="76174B94"/>
    <w:rsid w:val="76212A0B"/>
    <w:rsid w:val="76341D7D"/>
    <w:rsid w:val="763A7432"/>
    <w:rsid w:val="76426276"/>
    <w:rsid w:val="767304AD"/>
    <w:rsid w:val="76791CCF"/>
    <w:rsid w:val="768A0294"/>
    <w:rsid w:val="76B70727"/>
    <w:rsid w:val="76D101FA"/>
    <w:rsid w:val="76D56E66"/>
    <w:rsid w:val="76E51B3D"/>
    <w:rsid w:val="771C4F16"/>
    <w:rsid w:val="772E6280"/>
    <w:rsid w:val="774E3D05"/>
    <w:rsid w:val="77650BE1"/>
    <w:rsid w:val="776802BA"/>
    <w:rsid w:val="77A03423"/>
    <w:rsid w:val="77C37209"/>
    <w:rsid w:val="77DA3C60"/>
    <w:rsid w:val="77F23A58"/>
    <w:rsid w:val="77F959B0"/>
    <w:rsid w:val="77FD31EB"/>
    <w:rsid w:val="781E6993"/>
    <w:rsid w:val="782521DE"/>
    <w:rsid w:val="78296732"/>
    <w:rsid w:val="782B6736"/>
    <w:rsid w:val="78400D2A"/>
    <w:rsid w:val="784B74B9"/>
    <w:rsid w:val="78543A79"/>
    <w:rsid w:val="788563B9"/>
    <w:rsid w:val="788923CC"/>
    <w:rsid w:val="789E1DBB"/>
    <w:rsid w:val="78B07A2A"/>
    <w:rsid w:val="78C37D6C"/>
    <w:rsid w:val="78EA52F9"/>
    <w:rsid w:val="79053EE1"/>
    <w:rsid w:val="790C34C1"/>
    <w:rsid w:val="790C7ABB"/>
    <w:rsid w:val="790E49B4"/>
    <w:rsid w:val="79114CC7"/>
    <w:rsid w:val="791725BB"/>
    <w:rsid w:val="791B29B4"/>
    <w:rsid w:val="792739C2"/>
    <w:rsid w:val="7930196F"/>
    <w:rsid w:val="796F7C4B"/>
    <w:rsid w:val="797639EB"/>
    <w:rsid w:val="797B4877"/>
    <w:rsid w:val="797C5064"/>
    <w:rsid w:val="799F60E4"/>
    <w:rsid w:val="79A01735"/>
    <w:rsid w:val="79A507FC"/>
    <w:rsid w:val="79B16059"/>
    <w:rsid w:val="79C11F1C"/>
    <w:rsid w:val="79D1107F"/>
    <w:rsid w:val="79D1504B"/>
    <w:rsid w:val="79D96644"/>
    <w:rsid w:val="79E34675"/>
    <w:rsid w:val="7A020420"/>
    <w:rsid w:val="7A5B1B0A"/>
    <w:rsid w:val="7A80638A"/>
    <w:rsid w:val="7A9D0993"/>
    <w:rsid w:val="7AA962C3"/>
    <w:rsid w:val="7AAF23D1"/>
    <w:rsid w:val="7ACF4134"/>
    <w:rsid w:val="7AD1676C"/>
    <w:rsid w:val="7AD7609E"/>
    <w:rsid w:val="7AE70243"/>
    <w:rsid w:val="7B015DE4"/>
    <w:rsid w:val="7B02145B"/>
    <w:rsid w:val="7B153EB7"/>
    <w:rsid w:val="7B3B7AA1"/>
    <w:rsid w:val="7B42766E"/>
    <w:rsid w:val="7B463B65"/>
    <w:rsid w:val="7B5A78F1"/>
    <w:rsid w:val="7B602F50"/>
    <w:rsid w:val="7B70418D"/>
    <w:rsid w:val="7B73485E"/>
    <w:rsid w:val="7B761B3A"/>
    <w:rsid w:val="7B9A6520"/>
    <w:rsid w:val="7BA3799C"/>
    <w:rsid w:val="7BB83709"/>
    <w:rsid w:val="7BCF1967"/>
    <w:rsid w:val="7BEA273E"/>
    <w:rsid w:val="7C205083"/>
    <w:rsid w:val="7C4154FC"/>
    <w:rsid w:val="7C49047D"/>
    <w:rsid w:val="7C72264E"/>
    <w:rsid w:val="7C8166D6"/>
    <w:rsid w:val="7C8F5EED"/>
    <w:rsid w:val="7C905B5F"/>
    <w:rsid w:val="7CAD745E"/>
    <w:rsid w:val="7CC32428"/>
    <w:rsid w:val="7CD3540E"/>
    <w:rsid w:val="7CD561B0"/>
    <w:rsid w:val="7CEC1640"/>
    <w:rsid w:val="7CEC328F"/>
    <w:rsid w:val="7D24584E"/>
    <w:rsid w:val="7D284642"/>
    <w:rsid w:val="7D696557"/>
    <w:rsid w:val="7D871368"/>
    <w:rsid w:val="7D992BC9"/>
    <w:rsid w:val="7DB96E13"/>
    <w:rsid w:val="7DD15C5F"/>
    <w:rsid w:val="7DED1EE6"/>
    <w:rsid w:val="7DF8620B"/>
    <w:rsid w:val="7DFD28CF"/>
    <w:rsid w:val="7E2C5F0E"/>
    <w:rsid w:val="7E3C65F7"/>
    <w:rsid w:val="7E4C0D1D"/>
    <w:rsid w:val="7E6D4A02"/>
    <w:rsid w:val="7EB16548"/>
    <w:rsid w:val="7EB16AF4"/>
    <w:rsid w:val="7ECA6CA8"/>
    <w:rsid w:val="7F256EBE"/>
    <w:rsid w:val="7F2A2F61"/>
    <w:rsid w:val="7F4B3971"/>
    <w:rsid w:val="7F630CC2"/>
    <w:rsid w:val="7F822458"/>
    <w:rsid w:val="7FD812B9"/>
    <w:rsid w:val="7FE951B8"/>
    <w:rsid w:val="7FEC5DFB"/>
    <w:rsid w:val="7FF71B8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0"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uiPriority="99" w:name="HTML Typewriter"/>
    <w:lsdException w:qFormat="1"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等线 Light" w:hAnsi="Times New Roman" w:eastAsia="宋体" w:cs="Times New Roman"/>
      <w:sz w:val="24"/>
      <w:szCs w:val="24"/>
      <w:lang w:val="en-US" w:eastAsia="zh-CN" w:bidi="ar-SA"/>
    </w:rPr>
  </w:style>
  <w:style w:type="paragraph" w:styleId="4">
    <w:name w:val="heading 1"/>
    <w:basedOn w:val="1"/>
    <w:next w:val="1"/>
    <w:link w:val="74"/>
    <w:autoRedefine/>
    <w:qFormat/>
    <w:uiPriority w:val="0"/>
    <w:pPr>
      <w:outlineLvl w:val="0"/>
    </w:pPr>
    <w:rPr>
      <w:rFonts w:hAnsi="幼圆" w:eastAsia="等线 Light"/>
    </w:rPr>
  </w:style>
  <w:style w:type="paragraph" w:styleId="5">
    <w:name w:val="heading 2"/>
    <w:basedOn w:val="1"/>
    <w:next w:val="1"/>
    <w:link w:val="75"/>
    <w:autoRedefine/>
    <w:qFormat/>
    <w:uiPriority w:val="0"/>
    <w:pPr>
      <w:outlineLvl w:val="1"/>
    </w:pPr>
    <w:rPr>
      <w:rFonts w:hAnsi="幼圆" w:eastAsia="等线 Light"/>
    </w:rPr>
  </w:style>
  <w:style w:type="paragraph" w:styleId="6">
    <w:name w:val="heading 3"/>
    <w:basedOn w:val="1"/>
    <w:next w:val="1"/>
    <w:link w:val="76"/>
    <w:autoRedefine/>
    <w:qFormat/>
    <w:uiPriority w:val="0"/>
    <w:pPr>
      <w:outlineLvl w:val="2"/>
    </w:pPr>
    <w:rPr>
      <w:rFonts w:hAnsi="幼圆" w:eastAsia="等线 Light"/>
    </w:rPr>
  </w:style>
  <w:style w:type="paragraph" w:styleId="7">
    <w:name w:val="heading 4"/>
    <w:basedOn w:val="1"/>
    <w:next w:val="1"/>
    <w:link w:val="77"/>
    <w:autoRedefine/>
    <w:qFormat/>
    <w:uiPriority w:val="0"/>
    <w:pPr>
      <w:keepNext/>
      <w:keepLines/>
      <w:spacing w:before="280" w:after="290" w:line="376" w:lineRule="auto"/>
      <w:outlineLvl w:val="3"/>
    </w:pPr>
    <w:rPr>
      <w:rFonts w:ascii="楷体_GB2312" w:hAnsi="楷体_GB2312" w:eastAsia="PMingLiU"/>
      <w:b/>
      <w:bCs/>
      <w:sz w:val="28"/>
      <w:szCs w:val="28"/>
    </w:rPr>
  </w:style>
  <w:style w:type="paragraph" w:styleId="8">
    <w:name w:val="heading 5"/>
    <w:basedOn w:val="1"/>
    <w:next w:val="1"/>
    <w:link w:val="78"/>
    <w:autoRedefine/>
    <w:qFormat/>
    <w:uiPriority w:val="9"/>
    <w:pPr>
      <w:keepNext/>
      <w:keepLines/>
      <w:spacing w:before="280" w:after="290" w:line="376" w:lineRule="auto"/>
      <w:outlineLvl w:val="4"/>
    </w:pPr>
    <w:rPr>
      <w:b/>
      <w:bCs/>
      <w:sz w:val="28"/>
      <w:szCs w:val="28"/>
    </w:rPr>
  </w:style>
  <w:style w:type="paragraph" w:styleId="9">
    <w:name w:val="heading 6"/>
    <w:basedOn w:val="1"/>
    <w:next w:val="10"/>
    <w:link w:val="79"/>
    <w:autoRedefine/>
    <w:qFormat/>
    <w:uiPriority w:val="9"/>
    <w:pPr>
      <w:keepLines/>
      <w:tabs>
        <w:tab w:val="left" w:pos="1152"/>
      </w:tabs>
      <w:autoSpaceDE/>
      <w:autoSpaceDN/>
      <w:snapToGrid w:val="0"/>
      <w:spacing w:beforeLines="50" w:line="360" w:lineRule="auto"/>
      <w:ind w:left="1152" w:hanging="1152"/>
      <w:textAlignment w:val="baseline"/>
      <w:outlineLvl w:val="5"/>
    </w:pPr>
    <w:rPr>
      <w:rFonts w:ascii="Times New Roman" w:eastAsia="PMingLiU"/>
      <w:b/>
      <w:bCs/>
      <w:sz w:val="28"/>
    </w:rPr>
  </w:style>
  <w:style w:type="paragraph" w:styleId="11">
    <w:name w:val="heading 7"/>
    <w:basedOn w:val="1"/>
    <w:next w:val="10"/>
    <w:link w:val="81"/>
    <w:autoRedefine/>
    <w:qFormat/>
    <w:uiPriority w:val="0"/>
    <w:pPr>
      <w:keepNext/>
      <w:keepLines/>
      <w:tabs>
        <w:tab w:val="left" w:pos="1296"/>
      </w:tabs>
      <w:autoSpaceDE/>
      <w:autoSpaceDN/>
      <w:snapToGrid w:val="0"/>
      <w:spacing w:before="240" w:after="120"/>
      <w:ind w:left="1296" w:hanging="1296"/>
      <w:jc w:val="both"/>
      <w:textAlignment w:val="baseline"/>
      <w:outlineLvl w:val="6"/>
    </w:pPr>
    <w:rPr>
      <w:rFonts w:ascii="Times New Roman" w:eastAsia="PMingLiU"/>
      <w:b/>
      <w:bCs/>
      <w:sz w:val="28"/>
    </w:rPr>
  </w:style>
  <w:style w:type="paragraph" w:styleId="12">
    <w:name w:val="heading 8"/>
    <w:basedOn w:val="1"/>
    <w:next w:val="10"/>
    <w:link w:val="82"/>
    <w:autoRedefine/>
    <w:qFormat/>
    <w:uiPriority w:val="0"/>
    <w:pPr>
      <w:keepNext/>
      <w:keepLines/>
      <w:tabs>
        <w:tab w:val="left" w:pos="1440"/>
      </w:tabs>
      <w:autoSpaceDE/>
      <w:autoSpaceDN/>
      <w:adjustRightInd/>
      <w:snapToGrid w:val="0"/>
      <w:spacing w:before="240" w:after="120"/>
      <w:ind w:left="1440" w:hanging="1440"/>
      <w:jc w:val="both"/>
      <w:outlineLvl w:val="7"/>
    </w:pPr>
    <w:rPr>
      <w:rFonts w:ascii="Times New Roman" w:eastAsia="PMingLiU"/>
      <w:b/>
      <w:sz w:val="28"/>
    </w:rPr>
  </w:style>
  <w:style w:type="paragraph" w:styleId="13">
    <w:name w:val="heading 9"/>
    <w:basedOn w:val="1"/>
    <w:next w:val="10"/>
    <w:link w:val="83"/>
    <w:autoRedefine/>
    <w:qFormat/>
    <w:uiPriority w:val="0"/>
    <w:pPr>
      <w:keepNext/>
      <w:keepLines/>
      <w:tabs>
        <w:tab w:val="left" w:pos="1584"/>
      </w:tabs>
      <w:autoSpaceDE/>
      <w:autoSpaceDN/>
      <w:adjustRightInd/>
      <w:snapToGrid w:val="0"/>
      <w:spacing w:before="240" w:after="120"/>
      <w:ind w:left="1584" w:hanging="1584"/>
      <w:jc w:val="both"/>
      <w:outlineLvl w:val="8"/>
    </w:pPr>
    <w:rPr>
      <w:rFonts w:ascii="Times New Roman" w:eastAsia="PMingLiU"/>
      <w:b/>
      <w:sz w:val="28"/>
    </w:rPr>
  </w:style>
  <w:style w:type="character" w:default="1" w:styleId="57">
    <w:name w:val="Default Paragraph Font"/>
    <w:autoRedefine/>
    <w:unhideWhenUsed/>
    <w:qFormat/>
    <w:uiPriority w:val="1"/>
  </w:style>
  <w:style w:type="table" w:default="1" w:styleId="55">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幼圆" w:hAnsi="幼圆" w:cs="幼圆"/>
      <w:sz w:val="20"/>
      <w:szCs w:val="20"/>
    </w:rPr>
    <w:tblPr>
      <w:tblCellMar>
        <w:top w:w="0" w:type="dxa"/>
        <w:left w:w="108" w:type="dxa"/>
        <w:bottom w:w="0" w:type="dxa"/>
        <w:right w:w="108" w:type="dxa"/>
      </w:tblCellMar>
    </w:tblPr>
  </w:style>
  <w:style w:type="paragraph" w:styleId="2">
    <w:name w:val="Body Text"/>
    <w:basedOn w:val="1"/>
    <w:next w:val="3"/>
    <w:link w:val="89"/>
    <w:autoRedefine/>
    <w:qFormat/>
    <w:uiPriority w:val="1"/>
    <w:pPr>
      <w:ind w:right="-26"/>
      <w:jc w:val="center"/>
    </w:pPr>
    <w:rPr>
      <w:rFonts w:eastAsia="等线 Light"/>
      <w:b/>
      <w:bCs/>
      <w:sz w:val="84"/>
      <w:szCs w:val="84"/>
      <w:lang w:val="zh-CN"/>
    </w:rPr>
  </w:style>
  <w:style w:type="paragraph" w:styleId="3">
    <w:name w:val="Body Text First Indent"/>
    <w:basedOn w:val="2"/>
    <w:link w:val="106"/>
    <w:autoRedefine/>
    <w:unhideWhenUsed/>
    <w:qFormat/>
    <w:uiPriority w:val="99"/>
    <w:pPr>
      <w:ind w:firstLine="420" w:firstLineChars="100"/>
    </w:pPr>
    <w:rPr>
      <w:rFonts w:eastAsia="宋体"/>
    </w:rPr>
  </w:style>
  <w:style w:type="paragraph" w:customStyle="1" w:styleId="10">
    <w:name w:val="模板正文"/>
    <w:basedOn w:val="1"/>
    <w:link w:val="80"/>
    <w:autoRedefine/>
    <w:qFormat/>
    <w:uiPriority w:val="0"/>
    <w:pPr>
      <w:wordWrap w:val="0"/>
      <w:spacing w:beforeLines="50" w:line="360" w:lineRule="auto"/>
      <w:ind w:firstLine="200" w:firstLineChars="200"/>
    </w:pPr>
    <w:rPr>
      <w:rFonts w:eastAsia="font-weight : 400"/>
      <w:szCs w:val="21"/>
    </w:rPr>
  </w:style>
  <w:style w:type="paragraph" w:styleId="14">
    <w:name w:val="toc 7"/>
    <w:basedOn w:val="1"/>
    <w:next w:val="1"/>
    <w:autoRedefine/>
    <w:unhideWhenUsed/>
    <w:qFormat/>
    <w:uiPriority w:val="39"/>
    <w:pPr>
      <w:ind w:left="1440"/>
    </w:pPr>
    <w:rPr>
      <w:rFonts w:ascii="Arial Unicode MS" w:hAnsi="Arial Unicode MS" w:cs="Arial Unicode MS"/>
      <w:sz w:val="18"/>
      <w:szCs w:val="18"/>
    </w:rPr>
  </w:style>
  <w:style w:type="paragraph" w:styleId="15">
    <w:name w:val="List Bullet 4"/>
    <w:basedOn w:val="1"/>
    <w:autoRedefine/>
    <w:qFormat/>
    <w:uiPriority w:val="0"/>
    <w:pPr>
      <w:tabs>
        <w:tab w:val="left" w:pos="720"/>
      </w:tabs>
      <w:autoSpaceDE/>
      <w:autoSpaceDN/>
      <w:adjustRightInd/>
      <w:ind w:left="425" w:hanging="425"/>
      <w:jc w:val="both"/>
    </w:pPr>
    <w:rPr>
      <w:rFonts w:ascii="Arial Unicode MS" w:hAnsi="Arial Unicode MS"/>
      <w:kern w:val="2"/>
      <w:sz w:val="21"/>
      <w:szCs w:val="21"/>
    </w:rPr>
  </w:style>
  <w:style w:type="paragraph" w:styleId="16">
    <w:name w:val="Normal Indent"/>
    <w:basedOn w:val="1"/>
    <w:link w:val="84"/>
    <w:autoRedefine/>
    <w:qFormat/>
    <w:uiPriority w:val="0"/>
    <w:pPr>
      <w:widowControl/>
      <w:autoSpaceDE/>
      <w:autoSpaceDN/>
      <w:adjustRightInd/>
      <w:ind w:firstLine="420" w:firstLineChars="200"/>
    </w:pPr>
    <w:rPr>
      <w:rFonts w:ascii="幼圆"/>
      <w:sz w:val="20"/>
      <w:szCs w:val="20"/>
    </w:rPr>
  </w:style>
  <w:style w:type="paragraph" w:styleId="17">
    <w:name w:val="caption"/>
    <w:basedOn w:val="1"/>
    <w:next w:val="1"/>
    <w:link w:val="85"/>
    <w:autoRedefine/>
    <w:qFormat/>
    <w:uiPriority w:val="0"/>
    <w:pPr>
      <w:spacing w:before="152" w:after="160"/>
    </w:pPr>
    <w:rPr>
      <w:rFonts w:ascii="楷体_GB2312" w:hAnsi="楷体_GB2312" w:eastAsia="PMingLiU"/>
      <w:sz w:val="20"/>
      <w:szCs w:val="20"/>
    </w:rPr>
  </w:style>
  <w:style w:type="paragraph" w:styleId="18">
    <w:name w:val="List Bullet"/>
    <w:basedOn w:val="1"/>
    <w:autoRedefine/>
    <w:qFormat/>
    <w:uiPriority w:val="0"/>
    <w:pPr>
      <w:numPr>
        <w:ilvl w:val="0"/>
        <w:numId w:val="1"/>
      </w:numPr>
      <w:tabs>
        <w:tab w:val="left" w:pos="360"/>
      </w:tabs>
      <w:autoSpaceDE/>
      <w:autoSpaceDN/>
      <w:adjustRightInd/>
      <w:jc w:val="both"/>
    </w:pPr>
    <w:rPr>
      <w:rFonts w:ascii="Arial Unicode MS" w:hAnsi="Arial Unicode MS"/>
      <w:kern w:val="2"/>
      <w:sz w:val="21"/>
      <w:szCs w:val="21"/>
    </w:rPr>
  </w:style>
  <w:style w:type="paragraph" w:styleId="19">
    <w:name w:val="Document Map"/>
    <w:basedOn w:val="1"/>
    <w:link w:val="86"/>
    <w:autoRedefine/>
    <w:qFormat/>
    <w:uiPriority w:val="0"/>
    <w:pPr>
      <w:shd w:val="clear" w:color="auto" w:fill="000080"/>
    </w:pPr>
    <w:rPr>
      <w:rFonts w:hAnsi="幼圆" w:eastAsia="等线 Light"/>
    </w:rPr>
  </w:style>
  <w:style w:type="paragraph" w:styleId="20">
    <w:name w:val="toa heading"/>
    <w:basedOn w:val="1"/>
    <w:next w:val="1"/>
    <w:autoRedefine/>
    <w:qFormat/>
    <w:uiPriority w:val="0"/>
    <w:pPr>
      <w:snapToGrid w:val="0"/>
      <w:spacing w:before="120" w:line="360" w:lineRule="auto"/>
      <w:jc w:val="both"/>
    </w:pPr>
    <w:rPr>
      <w:rFonts w:ascii="楷体_GB2312" w:hAnsi="楷体_GB2312"/>
      <w:snapToGrid w:val="0"/>
      <w:color w:val="000000"/>
      <w:sz w:val="21"/>
      <w:szCs w:val="20"/>
    </w:rPr>
  </w:style>
  <w:style w:type="paragraph" w:styleId="21">
    <w:name w:val="annotation text"/>
    <w:basedOn w:val="1"/>
    <w:link w:val="87"/>
    <w:autoRedefine/>
    <w:unhideWhenUsed/>
    <w:qFormat/>
    <w:uiPriority w:val="0"/>
    <w:rPr>
      <w:rFonts w:hAnsi="幼圆" w:eastAsia="等线 Light"/>
    </w:rPr>
  </w:style>
  <w:style w:type="paragraph" w:styleId="22">
    <w:name w:val="Body Text 3"/>
    <w:basedOn w:val="1"/>
    <w:link w:val="88"/>
    <w:autoRedefine/>
    <w:qFormat/>
    <w:uiPriority w:val="0"/>
    <w:pPr>
      <w:ind w:right="-26"/>
      <w:jc w:val="center"/>
    </w:pPr>
    <w:rPr>
      <w:rFonts w:hAnsi="幼圆" w:eastAsia="等线 Light"/>
      <w:b/>
      <w:bCs/>
      <w:color w:val="3366FF"/>
      <w:sz w:val="52"/>
      <w:szCs w:val="52"/>
      <w:lang w:val="zh-CN"/>
    </w:rPr>
  </w:style>
  <w:style w:type="paragraph" w:styleId="23">
    <w:name w:val="List Bullet 3"/>
    <w:basedOn w:val="1"/>
    <w:autoRedefine/>
    <w:qFormat/>
    <w:uiPriority w:val="0"/>
    <w:pPr>
      <w:tabs>
        <w:tab w:val="left" w:pos="426"/>
      </w:tabs>
      <w:autoSpaceDE/>
      <w:autoSpaceDN/>
      <w:adjustRightInd/>
      <w:ind w:left="426" w:hanging="425"/>
      <w:jc w:val="both"/>
    </w:pPr>
    <w:rPr>
      <w:rFonts w:ascii="Arial Unicode MS" w:hAnsi="Arial Unicode MS"/>
      <w:kern w:val="2"/>
      <w:sz w:val="21"/>
      <w:szCs w:val="21"/>
    </w:rPr>
  </w:style>
  <w:style w:type="paragraph" w:styleId="24">
    <w:name w:val="Body Text Indent"/>
    <w:basedOn w:val="1"/>
    <w:next w:val="2"/>
    <w:link w:val="90"/>
    <w:autoRedefine/>
    <w:qFormat/>
    <w:uiPriority w:val="0"/>
    <w:pPr>
      <w:autoSpaceDE/>
      <w:autoSpaceDN/>
      <w:adjustRightInd/>
      <w:ind w:left="567" w:leftChars="270"/>
      <w:jc w:val="both"/>
    </w:pPr>
    <w:rPr>
      <w:rFonts w:ascii="幼圆" w:hAnsi="幼圆" w:eastAsia="等线 Light"/>
      <w:sz w:val="20"/>
      <w:szCs w:val="20"/>
    </w:rPr>
  </w:style>
  <w:style w:type="paragraph" w:styleId="25">
    <w:name w:val="List 2"/>
    <w:basedOn w:val="26"/>
    <w:autoRedefine/>
    <w:qFormat/>
    <w:uiPriority w:val="0"/>
    <w:pPr>
      <w:autoSpaceDE/>
      <w:autoSpaceDN/>
      <w:adjustRightInd/>
      <w:snapToGrid w:val="0"/>
      <w:spacing w:before="120" w:after="220" w:line="220" w:lineRule="atLeast"/>
      <w:ind w:left="1800" w:hanging="360" w:firstLineChars="0"/>
      <w:jc w:val="both"/>
    </w:pPr>
    <w:rPr>
      <w:rFonts w:ascii="monospace" w:hAnsi="Arial Unicode MS" w:eastAsia="monospace"/>
      <w:sz w:val="22"/>
      <w:szCs w:val="20"/>
    </w:rPr>
  </w:style>
  <w:style w:type="paragraph" w:styleId="26">
    <w:name w:val="List"/>
    <w:basedOn w:val="1"/>
    <w:autoRedefine/>
    <w:unhideWhenUsed/>
    <w:qFormat/>
    <w:uiPriority w:val="0"/>
    <w:pPr>
      <w:ind w:left="200" w:hanging="200" w:hangingChars="200"/>
      <w:contextualSpacing/>
    </w:pPr>
  </w:style>
  <w:style w:type="paragraph" w:styleId="27">
    <w:name w:val="Block Text"/>
    <w:basedOn w:val="1"/>
    <w:autoRedefine/>
    <w:qFormat/>
    <w:uiPriority w:val="0"/>
    <w:pPr>
      <w:autoSpaceDE/>
      <w:autoSpaceDN/>
      <w:adjustRightInd/>
      <w:spacing w:after="120"/>
      <w:ind w:left="1440" w:leftChars="700" w:right="1440" w:rightChars="700"/>
      <w:jc w:val="both"/>
    </w:pPr>
    <w:rPr>
      <w:rFonts w:ascii="Arial Unicode MS" w:hAnsi="Arial Unicode MS"/>
      <w:kern w:val="2"/>
      <w:sz w:val="21"/>
    </w:rPr>
  </w:style>
  <w:style w:type="paragraph" w:styleId="28">
    <w:name w:val="List Bullet 2"/>
    <w:basedOn w:val="1"/>
    <w:autoRedefine/>
    <w:qFormat/>
    <w:uiPriority w:val="0"/>
    <w:pPr>
      <w:numPr>
        <w:ilvl w:val="0"/>
        <w:numId w:val="2"/>
      </w:numPr>
      <w:tabs>
        <w:tab w:val="left" w:pos="780"/>
      </w:tabs>
      <w:autoSpaceDE/>
      <w:autoSpaceDN/>
      <w:adjustRightInd/>
      <w:ind w:left="780" w:leftChars="200"/>
      <w:jc w:val="both"/>
    </w:pPr>
    <w:rPr>
      <w:rFonts w:ascii="Arial Unicode MS" w:hAnsi="Arial Unicode MS"/>
      <w:kern w:val="2"/>
      <w:sz w:val="21"/>
      <w:szCs w:val="21"/>
    </w:rPr>
  </w:style>
  <w:style w:type="paragraph" w:styleId="29">
    <w:name w:val="index 4"/>
    <w:basedOn w:val="1"/>
    <w:next w:val="1"/>
    <w:autoRedefine/>
    <w:qFormat/>
    <w:uiPriority w:val="0"/>
    <w:pPr>
      <w:autoSpaceDE/>
      <w:autoSpaceDN/>
      <w:adjustRightInd/>
      <w:ind w:left="600" w:leftChars="600"/>
      <w:jc w:val="both"/>
    </w:pPr>
    <w:rPr>
      <w:rFonts w:ascii="Arial Unicode MS" w:hAnsi="Arial Unicode MS"/>
      <w:kern w:val="2"/>
      <w:sz w:val="21"/>
      <w:szCs w:val="20"/>
    </w:rPr>
  </w:style>
  <w:style w:type="paragraph" w:styleId="30">
    <w:name w:val="toc 5"/>
    <w:basedOn w:val="1"/>
    <w:next w:val="1"/>
    <w:autoRedefine/>
    <w:unhideWhenUsed/>
    <w:qFormat/>
    <w:uiPriority w:val="39"/>
    <w:pPr>
      <w:ind w:left="960"/>
    </w:pPr>
    <w:rPr>
      <w:rFonts w:ascii="Arial Unicode MS" w:hAnsi="Arial Unicode MS" w:cs="Arial Unicode MS"/>
      <w:sz w:val="18"/>
      <w:szCs w:val="18"/>
    </w:rPr>
  </w:style>
  <w:style w:type="paragraph" w:styleId="31">
    <w:name w:val="toc 3"/>
    <w:basedOn w:val="1"/>
    <w:next w:val="1"/>
    <w:autoRedefine/>
    <w:qFormat/>
    <w:uiPriority w:val="39"/>
    <w:pPr>
      <w:ind w:left="480"/>
    </w:pPr>
    <w:rPr>
      <w:rFonts w:ascii="Arial Unicode MS" w:hAnsi="Arial Unicode MS" w:cs="Arial Unicode MS"/>
      <w:i/>
      <w:iCs/>
      <w:sz w:val="20"/>
      <w:szCs w:val="20"/>
    </w:rPr>
  </w:style>
  <w:style w:type="paragraph" w:styleId="32">
    <w:name w:val="Plain Text"/>
    <w:basedOn w:val="1"/>
    <w:link w:val="91"/>
    <w:autoRedefine/>
    <w:qFormat/>
    <w:uiPriority w:val="0"/>
    <w:pPr>
      <w:autoSpaceDE/>
      <w:autoSpaceDN/>
      <w:adjustRightInd/>
      <w:jc w:val="both"/>
    </w:pPr>
    <w:rPr>
      <w:rFonts w:hAnsi="Helv" w:eastAsia="等线 Light"/>
      <w:sz w:val="20"/>
      <w:szCs w:val="20"/>
    </w:rPr>
  </w:style>
  <w:style w:type="paragraph" w:styleId="33">
    <w:name w:val="List Bullet 5"/>
    <w:basedOn w:val="1"/>
    <w:autoRedefine/>
    <w:qFormat/>
    <w:uiPriority w:val="0"/>
    <w:pPr>
      <w:tabs>
        <w:tab w:val="left" w:pos="840"/>
      </w:tabs>
      <w:autoSpaceDE/>
      <w:autoSpaceDN/>
      <w:adjustRightInd/>
      <w:ind w:left="840" w:hanging="420"/>
      <w:jc w:val="both"/>
    </w:pPr>
    <w:rPr>
      <w:rFonts w:ascii="Arial Unicode MS" w:hAnsi="Arial Unicode MS"/>
      <w:kern w:val="2"/>
      <w:sz w:val="21"/>
      <w:szCs w:val="21"/>
    </w:rPr>
  </w:style>
  <w:style w:type="paragraph" w:styleId="34">
    <w:name w:val="toc 8"/>
    <w:basedOn w:val="1"/>
    <w:next w:val="1"/>
    <w:autoRedefine/>
    <w:unhideWhenUsed/>
    <w:qFormat/>
    <w:uiPriority w:val="39"/>
    <w:pPr>
      <w:ind w:left="1680"/>
    </w:pPr>
    <w:rPr>
      <w:rFonts w:ascii="Arial Unicode MS" w:hAnsi="Arial Unicode MS" w:cs="Arial Unicode MS"/>
      <w:sz w:val="18"/>
      <w:szCs w:val="18"/>
    </w:rPr>
  </w:style>
  <w:style w:type="paragraph" w:styleId="35">
    <w:name w:val="Date"/>
    <w:basedOn w:val="1"/>
    <w:next w:val="1"/>
    <w:link w:val="92"/>
    <w:autoRedefine/>
    <w:qFormat/>
    <w:uiPriority w:val="0"/>
    <w:pPr>
      <w:ind w:left="100" w:leftChars="2500"/>
    </w:pPr>
    <w:rPr>
      <w:rFonts w:hAnsi="幼圆" w:eastAsia="等线 Light"/>
      <w:b/>
      <w:bCs/>
      <w:sz w:val="20"/>
      <w:szCs w:val="21"/>
      <w:lang w:val="zh-CN"/>
    </w:rPr>
  </w:style>
  <w:style w:type="paragraph" w:styleId="36">
    <w:name w:val="Body Text Indent 2"/>
    <w:basedOn w:val="1"/>
    <w:link w:val="93"/>
    <w:autoRedefine/>
    <w:qFormat/>
    <w:uiPriority w:val="0"/>
    <w:pPr>
      <w:tabs>
        <w:tab w:val="left" w:pos="8640"/>
      </w:tabs>
      <w:autoSpaceDE/>
      <w:autoSpaceDN/>
      <w:adjustRightInd/>
      <w:ind w:left="1260"/>
      <w:jc w:val="both"/>
    </w:pPr>
    <w:rPr>
      <w:rFonts w:hAnsi="幼圆" w:eastAsia="等线 Light"/>
      <w:sz w:val="20"/>
      <w:szCs w:val="20"/>
    </w:rPr>
  </w:style>
  <w:style w:type="paragraph" w:styleId="37">
    <w:name w:val="endnote text"/>
    <w:basedOn w:val="1"/>
    <w:link w:val="94"/>
    <w:autoRedefine/>
    <w:qFormat/>
    <w:uiPriority w:val="0"/>
    <w:pPr>
      <w:autoSpaceDE/>
      <w:autoSpaceDN/>
      <w:adjustRightInd/>
      <w:snapToGrid w:val="0"/>
    </w:pPr>
    <w:rPr>
      <w:rFonts w:ascii="Times New Roman"/>
      <w:kern w:val="2"/>
      <w:sz w:val="21"/>
    </w:rPr>
  </w:style>
  <w:style w:type="paragraph" w:styleId="38">
    <w:name w:val="Balloon Text"/>
    <w:basedOn w:val="1"/>
    <w:link w:val="95"/>
    <w:autoRedefine/>
    <w:qFormat/>
    <w:uiPriority w:val="0"/>
    <w:pPr>
      <w:autoSpaceDE/>
      <w:autoSpaceDN/>
      <w:adjustRightInd/>
      <w:jc w:val="both"/>
    </w:pPr>
    <w:rPr>
      <w:rFonts w:ascii="幼圆" w:hAnsi="幼圆" w:eastAsia="等线 Light"/>
      <w:sz w:val="18"/>
      <w:szCs w:val="18"/>
    </w:rPr>
  </w:style>
  <w:style w:type="paragraph" w:styleId="39">
    <w:name w:val="footer"/>
    <w:basedOn w:val="1"/>
    <w:link w:val="96"/>
    <w:autoRedefine/>
    <w:qFormat/>
    <w:uiPriority w:val="99"/>
    <w:pPr>
      <w:tabs>
        <w:tab w:val="center" w:pos="4153"/>
        <w:tab w:val="right" w:pos="8306"/>
      </w:tabs>
      <w:snapToGrid w:val="0"/>
    </w:pPr>
    <w:rPr>
      <w:rFonts w:eastAsia="等线 Light"/>
      <w:sz w:val="18"/>
      <w:szCs w:val="18"/>
    </w:rPr>
  </w:style>
  <w:style w:type="paragraph" w:styleId="40">
    <w:name w:val="header"/>
    <w:basedOn w:val="1"/>
    <w:link w:val="97"/>
    <w:autoRedefine/>
    <w:qFormat/>
    <w:uiPriority w:val="0"/>
    <w:pPr>
      <w:pBdr>
        <w:bottom w:val="single" w:color="auto" w:sz="6" w:space="1"/>
      </w:pBdr>
      <w:tabs>
        <w:tab w:val="center" w:pos="4153"/>
        <w:tab w:val="right" w:pos="8306"/>
      </w:tabs>
      <w:snapToGrid w:val="0"/>
      <w:jc w:val="center"/>
    </w:pPr>
    <w:rPr>
      <w:rFonts w:eastAsia="等线 Light"/>
      <w:sz w:val="18"/>
      <w:szCs w:val="18"/>
    </w:rPr>
  </w:style>
  <w:style w:type="paragraph" w:styleId="41">
    <w:name w:val="Signature"/>
    <w:basedOn w:val="2"/>
    <w:link w:val="98"/>
    <w:autoRedefine/>
    <w:qFormat/>
    <w:uiPriority w:val="0"/>
    <w:pPr>
      <w:keepNext/>
      <w:keepLines/>
      <w:widowControl/>
      <w:autoSpaceDE/>
      <w:autoSpaceDN/>
      <w:adjustRightInd/>
      <w:spacing w:before="660" w:line="240" w:lineRule="atLeast"/>
      <w:ind w:right="0"/>
      <w:jc w:val="both"/>
    </w:pPr>
    <w:rPr>
      <w:rFonts w:ascii="仿宋_GB2312" w:hAnsi="仿宋_GB2312" w:eastAsia="宋体"/>
      <w:b w:val="0"/>
      <w:bCs w:val="0"/>
      <w:spacing w:val="-5"/>
      <w:kern w:val="2"/>
      <w:sz w:val="24"/>
      <w:szCs w:val="24"/>
    </w:rPr>
  </w:style>
  <w:style w:type="paragraph" w:styleId="42">
    <w:name w:val="toc 1"/>
    <w:basedOn w:val="1"/>
    <w:next w:val="1"/>
    <w:autoRedefine/>
    <w:qFormat/>
    <w:uiPriority w:val="39"/>
    <w:pPr>
      <w:spacing w:before="120" w:after="120"/>
    </w:pPr>
    <w:rPr>
      <w:rFonts w:ascii="Arial Unicode MS" w:hAnsi="Arial Unicode MS" w:cs="Arial Unicode MS"/>
      <w:b/>
      <w:bCs/>
      <w:caps/>
      <w:sz w:val="20"/>
      <w:szCs w:val="20"/>
    </w:rPr>
  </w:style>
  <w:style w:type="paragraph" w:styleId="43">
    <w:name w:val="toc 4"/>
    <w:basedOn w:val="1"/>
    <w:next w:val="1"/>
    <w:autoRedefine/>
    <w:unhideWhenUsed/>
    <w:qFormat/>
    <w:uiPriority w:val="39"/>
    <w:pPr>
      <w:ind w:left="720"/>
    </w:pPr>
    <w:rPr>
      <w:rFonts w:ascii="Arial Unicode MS" w:hAnsi="Arial Unicode MS" w:cs="Arial Unicode MS"/>
      <w:sz w:val="18"/>
      <w:szCs w:val="18"/>
    </w:rPr>
  </w:style>
  <w:style w:type="paragraph" w:styleId="44">
    <w:name w:val="footnote text"/>
    <w:basedOn w:val="1"/>
    <w:link w:val="99"/>
    <w:autoRedefine/>
    <w:qFormat/>
    <w:uiPriority w:val="0"/>
    <w:pPr>
      <w:autoSpaceDE/>
      <w:autoSpaceDN/>
      <w:adjustRightInd/>
      <w:snapToGrid w:val="0"/>
    </w:pPr>
    <w:rPr>
      <w:rFonts w:ascii="Times New Roman"/>
      <w:kern w:val="2"/>
      <w:sz w:val="18"/>
      <w:szCs w:val="18"/>
    </w:rPr>
  </w:style>
  <w:style w:type="paragraph" w:styleId="45">
    <w:name w:val="toc 6"/>
    <w:basedOn w:val="1"/>
    <w:next w:val="1"/>
    <w:autoRedefine/>
    <w:unhideWhenUsed/>
    <w:qFormat/>
    <w:uiPriority w:val="39"/>
    <w:pPr>
      <w:ind w:left="1200"/>
    </w:pPr>
    <w:rPr>
      <w:rFonts w:ascii="Arial Unicode MS" w:hAnsi="Arial Unicode MS" w:cs="Arial Unicode MS"/>
      <w:sz w:val="18"/>
      <w:szCs w:val="18"/>
    </w:rPr>
  </w:style>
  <w:style w:type="paragraph" w:styleId="46">
    <w:name w:val="Body Text Indent 3"/>
    <w:basedOn w:val="1"/>
    <w:link w:val="100"/>
    <w:autoRedefine/>
    <w:qFormat/>
    <w:uiPriority w:val="0"/>
    <w:pPr>
      <w:spacing w:line="360" w:lineRule="auto"/>
      <w:ind w:firstLine="480" w:firstLineChars="200"/>
    </w:pPr>
    <w:rPr>
      <w:rFonts w:hAnsi="幼圆" w:eastAsia="等线 Light"/>
    </w:rPr>
  </w:style>
  <w:style w:type="paragraph" w:styleId="47">
    <w:name w:val="toc 2"/>
    <w:basedOn w:val="1"/>
    <w:next w:val="1"/>
    <w:autoRedefine/>
    <w:unhideWhenUsed/>
    <w:qFormat/>
    <w:uiPriority w:val="39"/>
    <w:pPr>
      <w:ind w:left="240"/>
    </w:pPr>
    <w:rPr>
      <w:rFonts w:ascii="Arial Unicode MS" w:hAnsi="Arial Unicode MS" w:cs="Arial Unicode MS"/>
      <w:smallCaps/>
      <w:sz w:val="20"/>
      <w:szCs w:val="20"/>
    </w:rPr>
  </w:style>
  <w:style w:type="paragraph" w:styleId="48">
    <w:name w:val="toc 9"/>
    <w:basedOn w:val="1"/>
    <w:next w:val="1"/>
    <w:autoRedefine/>
    <w:unhideWhenUsed/>
    <w:qFormat/>
    <w:uiPriority w:val="39"/>
    <w:pPr>
      <w:ind w:left="1920"/>
    </w:pPr>
    <w:rPr>
      <w:rFonts w:ascii="Arial Unicode MS" w:hAnsi="Arial Unicode MS" w:cs="Arial Unicode MS"/>
      <w:sz w:val="18"/>
      <w:szCs w:val="18"/>
    </w:rPr>
  </w:style>
  <w:style w:type="paragraph" w:styleId="49">
    <w:name w:val="Body Text 2"/>
    <w:basedOn w:val="1"/>
    <w:link w:val="101"/>
    <w:autoRedefine/>
    <w:qFormat/>
    <w:uiPriority w:val="0"/>
    <w:pPr>
      <w:tabs>
        <w:tab w:val="left" w:pos="0"/>
      </w:tabs>
      <w:autoSpaceDE/>
      <w:autoSpaceDN/>
      <w:adjustRightInd/>
      <w:spacing w:line="400" w:lineRule="atLeast"/>
      <w:jc w:val="both"/>
    </w:pPr>
    <w:rPr>
      <w:rFonts w:ascii="楷体_GB2312" w:hAnsi="楷体_GB2312" w:eastAsia="等线 Light"/>
      <w:color w:val="000000"/>
      <w:sz w:val="20"/>
    </w:rPr>
  </w:style>
  <w:style w:type="paragraph" w:styleId="50">
    <w:name w:val="HTML Preformatted"/>
    <w:basedOn w:val="1"/>
    <w:link w:val="10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楷体_GB2312" w:hAnsi="楷体_GB2312" w:eastAsia="等线 Light"/>
      <w:sz w:val="20"/>
      <w:szCs w:val="21"/>
    </w:rPr>
  </w:style>
  <w:style w:type="paragraph" w:styleId="51">
    <w:name w:val="Normal (Web)"/>
    <w:basedOn w:val="1"/>
    <w:link w:val="103"/>
    <w:autoRedefine/>
    <w:qFormat/>
    <w:uiPriority w:val="99"/>
    <w:pPr>
      <w:widowControl/>
      <w:autoSpaceDE/>
      <w:autoSpaceDN/>
      <w:adjustRightInd/>
      <w:spacing w:before="100" w:beforeAutospacing="1" w:after="100" w:afterAutospacing="1"/>
    </w:pPr>
    <w:rPr>
      <w:rFonts w:hAnsi="等线 Light"/>
      <w:sz w:val="15"/>
      <w:szCs w:val="15"/>
    </w:rPr>
  </w:style>
  <w:style w:type="paragraph" w:styleId="52">
    <w:name w:val="index 1"/>
    <w:basedOn w:val="1"/>
    <w:next w:val="1"/>
    <w:autoRedefine/>
    <w:qFormat/>
    <w:uiPriority w:val="99"/>
    <w:pPr>
      <w:autoSpaceDE/>
      <w:autoSpaceDN/>
      <w:adjustRightInd/>
      <w:jc w:val="center"/>
    </w:pPr>
    <w:rPr>
      <w:rFonts w:ascii="Arial Unicode MS" w:hAnsi="Arial Unicode MS"/>
      <w:kern w:val="2"/>
      <w:sz w:val="21"/>
    </w:rPr>
  </w:style>
  <w:style w:type="paragraph" w:styleId="53">
    <w:name w:val="Title"/>
    <w:basedOn w:val="1"/>
    <w:next w:val="1"/>
    <w:link w:val="104"/>
    <w:autoRedefine/>
    <w:qFormat/>
    <w:uiPriority w:val="10"/>
    <w:pPr>
      <w:spacing w:before="240" w:after="60"/>
      <w:jc w:val="center"/>
      <w:outlineLvl w:val="0"/>
    </w:pPr>
    <w:rPr>
      <w:rFonts w:ascii="Roman" w:hAnsi="Roman"/>
      <w:b/>
      <w:bCs/>
      <w:sz w:val="32"/>
      <w:szCs w:val="32"/>
    </w:rPr>
  </w:style>
  <w:style w:type="paragraph" w:styleId="54">
    <w:name w:val="annotation subject"/>
    <w:basedOn w:val="21"/>
    <w:next w:val="21"/>
    <w:link w:val="105"/>
    <w:autoRedefine/>
    <w:qFormat/>
    <w:uiPriority w:val="0"/>
    <w:rPr>
      <w:b/>
      <w:bCs/>
    </w:rPr>
  </w:style>
  <w:style w:type="table" w:styleId="56">
    <w:name w:val="Table Grid"/>
    <w:basedOn w:val="5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0"/>
    <w:rPr>
      <w:b/>
      <w:bCs/>
    </w:rPr>
  </w:style>
  <w:style w:type="character" w:styleId="59">
    <w:name w:val="endnote reference"/>
    <w:autoRedefine/>
    <w:qFormat/>
    <w:uiPriority w:val="0"/>
    <w:rPr>
      <w:vertAlign w:val="superscript"/>
    </w:rPr>
  </w:style>
  <w:style w:type="character" w:styleId="60">
    <w:name w:val="page number"/>
    <w:basedOn w:val="57"/>
    <w:autoRedefine/>
    <w:qFormat/>
    <w:uiPriority w:val="0"/>
  </w:style>
  <w:style w:type="character" w:styleId="61">
    <w:name w:val="FollowedHyperlink"/>
    <w:autoRedefine/>
    <w:qFormat/>
    <w:uiPriority w:val="99"/>
    <w:rPr>
      <w:rFonts w:ascii="楷体_GB2312" w:hAnsi="楷体_GB2312" w:cs="楷体_GB2312"/>
      <w:color w:val="000000"/>
      <w:sz w:val="20"/>
      <w:szCs w:val="20"/>
      <w:u w:val="none"/>
    </w:rPr>
  </w:style>
  <w:style w:type="character" w:styleId="62">
    <w:name w:val="Emphasis"/>
    <w:autoRedefine/>
    <w:qFormat/>
    <w:uiPriority w:val="0"/>
    <w:rPr>
      <w:i/>
      <w:iCs/>
    </w:rPr>
  </w:style>
  <w:style w:type="character" w:styleId="63">
    <w:name w:val="line number"/>
    <w:autoRedefine/>
    <w:qFormat/>
    <w:uiPriority w:val="0"/>
  </w:style>
  <w:style w:type="character" w:styleId="64">
    <w:name w:val="HTML Definition"/>
    <w:autoRedefine/>
    <w:unhideWhenUsed/>
    <w:qFormat/>
    <w:uiPriority w:val="0"/>
  </w:style>
  <w:style w:type="character" w:styleId="65">
    <w:name w:val="HTML Variable"/>
    <w:autoRedefine/>
    <w:unhideWhenUsed/>
    <w:qFormat/>
    <w:uiPriority w:val="0"/>
  </w:style>
  <w:style w:type="character" w:styleId="66">
    <w:name w:val="Hyperlink"/>
    <w:autoRedefine/>
    <w:qFormat/>
    <w:uiPriority w:val="99"/>
    <w:rPr>
      <w:rFonts w:hint="default" w:ascii="楷体_GB2312" w:hAnsi="楷体_GB2312" w:cs="楷体_GB2312"/>
      <w:color w:val="000000"/>
      <w:sz w:val="20"/>
      <w:szCs w:val="20"/>
      <w:u w:val="none"/>
    </w:rPr>
  </w:style>
  <w:style w:type="character" w:styleId="67">
    <w:name w:val="HTML Code"/>
    <w:autoRedefine/>
    <w:unhideWhenUsed/>
    <w:qFormat/>
    <w:uiPriority w:val="0"/>
    <w:rPr>
      <w:rFonts w:hint="default" w:ascii="Tahoma" w:hAnsi="Tahoma" w:eastAsia="Tahoma" w:cs="Tahoma"/>
      <w:sz w:val="21"/>
      <w:szCs w:val="21"/>
    </w:rPr>
  </w:style>
  <w:style w:type="character" w:styleId="68">
    <w:name w:val="annotation reference"/>
    <w:autoRedefine/>
    <w:qFormat/>
    <w:uiPriority w:val="99"/>
    <w:rPr>
      <w:sz w:val="21"/>
      <w:szCs w:val="21"/>
    </w:rPr>
  </w:style>
  <w:style w:type="character" w:styleId="69">
    <w:name w:val="HTML Cite"/>
    <w:autoRedefine/>
    <w:unhideWhenUsed/>
    <w:qFormat/>
    <w:uiPriority w:val="0"/>
  </w:style>
  <w:style w:type="character" w:styleId="70">
    <w:name w:val="footnote reference"/>
    <w:autoRedefine/>
    <w:qFormat/>
    <w:uiPriority w:val="0"/>
    <w:rPr>
      <w:vertAlign w:val="superscript"/>
    </w:rPr>
  </w:style>
  <w:style w:type="character" w:styleId="71">
    <w:name w:val="HTML Keyboard"/>
    <w:autoRedefine/>
    <w:unhideWhenUsed/>
    <w:qFormat/>
    <w:uiPriority w:val="0"/>
    <w:rPr>
      <w:rFonts w:ascii="Tahoma" w:hAnsi="Tahoma" w:eastAsia="Tahoma" w:cs="Tahoma"/>
      <w:sz w:val="21"/>
      <w:szCs w:val="21"/>
    </w:rPr>
  </w:style>
  <w:style w:type="character" w:styleId="72">
    <w:name w:val="HTML Sample"/>
    <w:autoRedefine/>
    <w:unhideWhenUsed/>
    <w:qFormat/>
    <w:uiPriority w:val="0"/>
    <w:rPr>
      <w:rFonts w:hint="default" w:ascii="Tahoma" w:hAnsi="Tahoma" w:eastAsia="Tahoma" w:cs="Tahoma"/>
      <w:sz w:val="21"/>
      <w:szCs w:val="21"/>
    </w:rPr>
  </w:style>
  <w:style w:type="paragraph" w:customStyle="1" w:styleId="73">
    <w:name w:val="样式 宋体 行距: 1.5 倍行距"/>
    <w:basedOn w:val="1"/>
    <w:autoRedefine/>
    <w:qFormat/>
    <w:uiPriority w:val="0"/>
    <w:pPr>
      <w:jc w:val="center"/>
    </w:pPr>
    <w:rPr>
      <w:rFonts w:ascii="Times New Roman" w:hAnsi="Times New Roman"/>
      <w:b/>
    </w:rPr>
  </w:style>
  <w:style w:type="character" w:customStyle="1" w:styleId="74">
    <w:name w:val="标题 1 字符"/>
    <w:link w:val="4"/>
    <w:autoRedefine/>
    <w:qFormat/>
    <w:uiPriority w:val="0"/>
    <w:rPr>
      <w:rFonts w:ascii="等线 Light" w:hAnsi="幼圆" w:eastAsia="等线 Light" w:cs="幼圆"/>
      <w:kern w:val="0"/>
      <w:sz w:val="24"/>
      <w:szCs w:val="24"/>
    </w:rPr>
  </w:style>
  <w:style w:type="character" w:customStyle="1" w:styleId="75">
    <w:name w:val="标题 2 字符"/>
    <w:link w:val="5"/>
    <w:autoRedefine/>
    <w:qFormat/>
    <w:uiPriority w:val="0"/>
    <w:rPr>
      <w:rFonts w:ascii="等线 Light" w:hAnsi="幼圆" w:eastAsia="等线 Light" w:cs="幼圆"/>
      <w:kern w:val="0"/>
      <w:sz w:val="24"/>
      <w:szCs w:val="24"/>
    </w:rPr>
  </w:style>
  <w:style w:type="character" w:customStyle="1" w:styleId="76">
    <w:name w:val="标题 3 字符"/>
    <w:link w:val="6"/>
    <w:autoRedefine/>
    <w:qFormat/>
    <w:uiPriority w:val="0"/>
    <w:rPr>
      <w:rFonts w:ascii="等线 Light" w:hAnsi="幼圆" w:eastAsia="等线 Light" w:cs="幼圆"/>
      <w:kern w:val="0"/>
      <w:sz w:val="24"/>
      <w:szCs w:val="24"/>
    </w:rPr>
  </w:style>
  <w:style w:type="character" w:customStyle="1" w:styleId="77">
    <w:name w:val="标题 4 字符"/>
    <w:link w:val="7"/>
    <w:autoRedefine/>
    <w:qFormat/>
    <w:uiPriority w:val="0"/>
    <w:rPr>
      <w:rFonts w:ascii="楷体_GB2312" w:hAnsi="楷体_GB2312" w:eastAsia="PMingLiU" w:cs="幼圆"/>
      <w:b/>
      <w:bCs/>
      <w:kern w:val="0"/>
      <w:sz w:val="28"/>
      <w:szCs w:val="28"/>
    </w:rPr>
  </w:style>
  <w:style w:type="character" w:customStyle="1" w:styleId="78">
    <w:name w:val="标题 5 字符1"/>
    <w:link w:val="8"/>
    <w:autoRedefine/>
    <w:qFormat/>
    <w:uiPriority w:val="9"/>
    <w:rPr>
      <w:rFonts w:ascii="等线 Light"/>
      <w:b/>
      <w:bCs/>
      <w:sz w:val="28"/>
      <w:szCs w:val="28"/>
    </w:rPr>
  </w:style>
  <w:style w:type="character" w:customStyle="1" w:styleId="79">
    <w:name w:val="标题 6 字符1"/>
    <w:link w:val="9"/>
    <w:autoRedefine/>
    <w:qFormat/>
    <w:uiPriority w:val="9"/>
    <w:rPr>
      <w:rFonts w:eastAsia="PMingLiU"/>
      <w:b/>
      <w:bCs/>
      <w:sz w:val="28"/>
      <w:szCs w:val="24"/>
    </w:rPr>
  </w:style>
  <w:style w:type="character" w:customStyle="1" w:styleId="80">
    <w:name w:val="模板正文 Char"/>
    <w:link w:val="10"/>
    <w:autoRedefine/>
    <w:qFormat/>
    <w:uiPriority w:val="0"/>
    <w:rPr>
      <w:rFonts w:ascii="等线 Light" w:eastAsia="font-weight : 400"/>
      <w:sz w:val="24"/>
      <w:szCs w:val="21"/>
    </w:rPr>
  </w:style>
  <w:style w:type="character" w:customStyle="1" w:styleId="81">
    <w:name w:val="标题 7 字符"/>
    <w:link w:val="11"/>
    <w:autoRedefine/>
    <w:qFormat/>
    <w:uiPriority w:val="0"/>
    <w:rPr>
      <w:rFonts w:eastAsia="PMingLiU"/>
      <w:b/>
      <w:bCs/>
      <w:sz w:val="28"/>
      <w:szCs w:val="24"/>
    </w:rPr>
  </w:style>
  <w:style w:type="character" w:customStyle="1" w:styleId="82">
    <w:name w:val="标题 8 字符"/>
    <w:link w:val="12"/>
    <w:autoRedefine/>
    <w:qFormat/>
    <w:uiPriority w:val="0"/>
    <w:rPr>
      <w:rFonts w:eastAsia="PMingLiU"/>
      <w:b/>
      <w:sz w:val="28"/>
      <w:szCs w:val="24"/>
    </w:rPr>
  </w:style>
  <w:style w:type="character" w:customStyle="1" w:styleId="83">
    <w:name w:val="标题 9 字符"/>
    <w:link w:val="13"/>
    <w:autoRedefine/>
    <w:qFormat/>
    <w:uiPriority w:val="0"/>
    <w:rPr>
      <w:rFonts w:eastAsia="PMingLiU"/>
      <w:b/>
      <w:sz w:val="28"/>
      <w:szCs w:val="24"/>
    </w:rPr>
  </w:style>
  <w:style w:type="character" w:customStyle="1" w:styleId="84">
    <w:name w:val="正文缩进 字符1"/>
    <w:link w:val="16"/>
    <w:autoRedefine/>
    <w:qFormat/>
    <w:uiPriority w:val="0"/>
  </w:style>
  <w:style w:type="character" w:customStyle="1" w:styleId="85">
    <w:name w:val="题注 字符1"/>
    <w:link w:val="17"/>
    <w:autoRedefine/>
    <w:qFormat/>
    <w:uiPriority w:val="0"/>
    <w:rPr>
      <w:rFonts w:ascii="楷体_GB2312" w:hAnsi="楷体_GB2312" w:eastAsia="PMingLiU" w:cs="楷体_GB2312"/>
    </w:rPr>
  </w:style>
  <w:style w:type="character" w:customStyle="1" w:styleId="86">
    <w:name w:val="文档结构图 字符"/>
    <w:link w:val="19"/>
    <w:autoRedefine/>
    <w:qFormat/>
    <w:uiPriority w:val="0"/>
    <w:rPr>
      <w:rFonts w:ascii="等线 Light" w:hAnsi="幼圆" w:eastAsia="等线 Light" w:cs="幼圆"/>
      <w:kern w:val="0"/>
      <w:sz w:val="24"/>
      <w:szCs w:val="24"/>
      <w:shd w:val="clear" w:color="auto" w:fill="000080"/>
    </w:rPr>
  </w:style>
  <w:style w:type="character" w:customStyle="1" w:styleId="87">
    <w:name w:val="批注文字 字符1"/>
    <w:link w:val="21"/>
    <w:autoRedefine/>
    <w:qFormat/>
    <w:uiPriority w:val="0"/>
    <w:rPr>
      <w:rFonts w:ascii="等线 Light" w:hAnsi="幼圆" w:eastAsia="等线 Light" w:cs="幼圆"/>
      <w:kern w:val="0"/>
      <w:sz w:val="24"/>
      <w:szCs w:val="24"/>
    </w:rPr>
  </w:style>
  <w:style w:type="character" w:customStyle="1" w:styleId="88">
    <w:name w:val="正文文本 3 字符"/>
    <w:link w:val="22"/>
    <w:autoRedefine/>
    <w:qFormat/>
    <w:uiPriority w:val="0"/>
    <w:rPr>
      <w:rFonts w:ascii="等线 Light" w:hAnsi="幼圆" w:eastAsia="等线 Light" w:cs="幼圆"/>
      <w:b/>
      <w:bCs/>
      <w:color w:val="3366FF"/>
      <w:sz w:val="52"/>
      <w:szCs w:val="52"/>
      <w:lang w:val="zh-CN"/>
    </w:rPr>
  </w:style>
  <w:style w:type="character" w:customStyle="1" w:styleId="89">
    <w:name w:val="正文文本 字符"/>
    <w:link w:val="2"/>
    <w:autoRedefine/>
    <w:qFormat/>
    <w:uiPriority w:val="1"/>
    <w:rPr>
      <w:rFonts w:ascii="等线 Light" w:eastAsia="等线 Light"/>
      <w:b/>
      <w:bCs/>
      <w:sz w:val="84"/>
      <w:szCs w:val="84"/>
      <w:lang w:val="zh-CN"/>
    </w:rPr>
  </w:style>
  <w:style w:type="character" w:customStyle="1" w:styleId="90">
    <w:name w:val="正文文本缩进 字符"/>
    <w:link w:val="24"/>
    <w:autoRedefine/>
    <w:qFormat/>
    <w:uiPriority w:val="0"/>
    <w:rPr>
      <w:rFonts w:ascii="幼圆" w:hAnsi="幼圆" w:eastAsia="等线 Light" w:cs="幼圆"/>
      <w:szCs w:val="20"/>
    </w:rPr>
  </w:style>
  <w:style w:type="character" w:customStyle="1" w:styleId="91">
    <w:name w:val="纯文本 字符"/>
    <w:link w:val="32"/>
    <w:autoRedefine/>
    <w:qFormat/>
    <w:uiPriority w:val="0"/>
    <w:rPr>
      <w:rFonts w:ascii="等线 Light" w:hAnsi="Helv" w:eastAsia="等线 Light"/>
    </w:rPr>
  </w:style>
  <w:style w:type="character" w:customStyle="1" w:styleId="92">
    <w:name w:val="日期 字符"/>
    <w:link w:val="35"/>
    <w:autoRedefine/>
    <w:qFormat/>
    <w:uiPriority w:val="0"/>
    <w:rPr>
      <w:rFonts w:ascii="等线 Light" w:hAnsi="幼圆" w:eastAsia="等线 Light" w:cs="幼圆"/>
      <w:b/>
      <w:bCs/>
      <w:szCs w:val="21"/>
      <w:lang w:val="zh-CN"/>
    </w:rPr>
  </w:style>
  <w:style w:type="character" w:customStyle="1" w:styleId="93">
    <w:name w:val="正文文本缩进 2 字符"/>
    <w:link w:val="36"/>
    <w:autoRedefine/>
    <w:qFormat/>
    <w:uiPriority w:val="0"/>
    <w:rPr>
      <w:rFonts w:ascii="等线 Light" w:hAnsi="幼圆" w:eastAsia="等线 Light" w:cs="幼圆"/>
      <w:szCs w:val="20"/>
    </w:rPr>
  </w:style>
  <w:style w:type="character" w:customStyle="1" w:styleId="94">
    <w:name w:val="尾注文本 字符1"/>
    <w:link w:val="37"/>
    <w:autoRedefine/>
    <w:qFormat/>
    <w:uiPriority w:val="0"/>
    <w:rPr>
      <w:kern w:val="2"/>
      <w:sz w:val="21"/>
      <w:szCs w:val="24"/>
    </w:rPr>
  </w:style>
  <w:style w:type="character" w:customStyle="1" w:styleId="95">
    <w:name w:val="批注框文本 字符"/>
    <w:link w:val="38"/>
    <w:autoRedefine/>
    <w:qFormat/>
    <w:uiPriority w:val="0"/>
    <w:rPr>
      <w:rFonts w:ascii="幼圆" w:hAnsi="幼圆" w:eastAsia="等线 Light" w:cs="幼圆"/>
      <w:sz w:val="18"/>
      <w:szCs w:val="18"/>
    </w:rPr>
  </w:style>
  <w:style w:type="character" w:customStyle="1" w:styleId="96">
    <w:name w:val="页脚 字符"/>
    <w:link w:val="39"/>
    <w:autoRedefine/>
    <w:qFormat/>
    <w:uiPriority w:val="99"/>
    <w:rPr>
      <w:rFonts w:ascii="等线 Light" w:eastAsia="等线 Light"/>
      <w:sz w:val="18"/>
      <w:szCs w:val="18"/>
    </w:rPr>
  </w:style>
  <w:style w:type="character" w:customStyle="1" w:styleId="97">
    <w:name w:val="页眉 字符"/>
    <w:link w:val="40"/>
    <w:autoRedefine/>
    <w:qFormat/>
    <w:uiPriority w:val="0"/>
    <w:rPr>
      <w:rFonts w:ascii="等线 Light" w:eastAsia="等线 Light"/>
      <w:sz w:val="18"/>
      <w:szCs w:val="18"/>
    </w:rPr>
  </w:style>
  <w:style w:type="character" w:customStyle="1" w:styleId="98">
    <w:name w:val="签名 字符"/>
    <w:link w:val="41"/>
    <w:autoRedefine/>
    <w:qFormat/>
    <w:uiPriority w:val="0"/>
    <w:rPr>
      <w:rFonts w:ascii="仿宋_GB2312" w:hAnsi="仿宋_GB2312"/>
      <w:spacing w:val="-5"/>
      <w:kern w:val="2"/>
      <w:sz w:val="24"/>
      <w:szCs w:val="24"/>
    </w:rPr>
  </w:style>
  <w:style w:type="character" w:customStyle="1" w:styleId="99">
    <w:name w:val="脚注文本 字符1"/>
    <w:link w:val="44"/>
    <w:autoRedefine/>
    <w:qFormat/>
    <w:uiPriority w:val="0"/>
    <w:rPr>
      <w:kern w:val="2"/>
      <w:sz w:val="18"/>
      <w:szCs w:val="18"/>
    </w:rPr>
  </w:style>
  <w:style w:type="character" w:customStyle="1" w:styleId="100">
    <w:name w:val="正文文本缩进 3 字符"/>
    <w:link w:val="46"/>
    <w:autoRedefine/>
    <w:qFormat/>
    <w:uiPriority w:val="0"/>
    <w:rPr>
      <w:rFonts w:ascii="等线 Light" w:hAnsi="幼圆" w:eastAsia="等线 Light" w:cs="幼圆"/>
      <w:kern w:val="0"/>
      <w:sz w:val="24"/>
      <w:szCs w:val="24"/>
    </w:rPr>
  </w:style>
  <w:style w:type="character" w:customStyle="1" w:styleId="101">
    <w:name w:val="正文文本 2 字符"/>
    <w:link w:val="49"/>
    <w:autoRedefine/>
    <w:qFormat/>
    <w:uiPriority w:val="0"/>
    <w:rPr>
      <w:rFonts w:ascii="楷体_GB2312" w:hAnsi="楷体_GB2312" w:eastAsia="等线 Light" w:cs="幼圆"/>
      <w:color w:val="000000"/>
      <w:szCs w:val="24"/>
    </w:rPr>
  </w:style>
  <w:style w:type="character" w:customStyle="1" w:styleId="102">
    <w:name w:val="HTML 预设格式 字符"/>
    <w:link w:val="50"/>
    <w:autoRedefine/>
    <w:qFormat/>
    <w:uiPriority w:val="0"/>
    <w:rPr>
      <w:rFonts w:ascii="楷体_GB2312" w:hAnsi="楷体_GB2312" w:eastAsia="等线 Light" w:cs="楷体_GB2312"/>
      <w:szCs w:val="21"/>
    </w:rPr>
  </w:style>
  <w:style w:type="character" w:customStyle="1" w:styleId="103">
    <w:name w:val="普通(网站) 字符"/>
    <w:link w:val="51"/>
    <w:autoRedefine/>
    <w:qFormat/>
    <w:locked/>
    <w:uiPriority w:val="99"/>
    <w:rPr>
      <w:rFonts w:ascii="等线 Light" w:hAnsi="等线 Light"/>
      <w:sz w:val="15"/>
      <w:szCs w:val="15"/>
    </w:rPr>
  </w:style>
  <w:style w:type="character" w:customStyle="1" w:styleId="104">
    <w:name w:val="标题 字符"/>
    <w:link w:val="53"/>
    <w:autoRedefine/>
    <w:qFormat/>
    <w:uiPriority w:val="10"/>
    <w:rPr>
      <w:rFonts w:ascii="Roman" w:hAnsi="Roman"/>
      <w:b/>
      <w:bCs/>
      <w:sz w:val="32"/>
      <w:szCs w:val="32"/>
    </w:rPr>
  </w:style>
  <w:style w:type="character" w:customStyle="1" w:styleId="105">
    <w:name w:val="批注主题 字符"/>
    <w:link w:val="54"/>
    <w:autoRedefine/>
    <w:qFormat/>
    <w:uiPriority w:val="0"/>
    <w:rPr>
      <w:rFonts w:ascii="等线 Light" w:hAnsi="幼圆" w:eastAsia="等线 Light" w:cs="幼圆"/>
      <w:b/>
      <w:bCs/>
      <w:kern w:val="0"/>
      <w:sz w:val="24"/>
      <w:szCs w:val="24"/>
    </w:rPr>
  </w:style>
  <w:style w:type="character" w:customStyle="1" w:styleId="106">
    <w:name w:val="正文首行缩进 字符1"/>
    <w:link w:val="3"/>
    <w:autoRedefine/>
    <w:qFormat/>
    <w:uiPriority w:val="99"/>
    <w:rPr>
      <w:rFonts w:ascii="等线 Light"/>
      <w:b/>
      <w:bCs/>
      <w:sz w:val="84"/>
      <w:szCs w:val="84"/>
      <w:lang w:val="zh-CN"/>
    </w:rPr>
  </w:style>
  <w:style w:type="paragraph" w:customStyle="1" w:styleId="107">
    <w:name w:val="文档正文"/>
    <w:basedOn w:val="1"/>
    <w:autoRedefine/>
    <w:qFormat/>
    <w:uiPriority w:val="0"/>
    <w:pPr>
      <w:spacing w:line="360" w:lineRule="auto"/>
    </w:pPr>
    <w:rPr>
      <w:rFonts w:cs="Arial"/>
      <w:bCs/>
    </w:rPr>
  </w:style>
  <w:style w:type="character" w:customStyle="1" w:styleId="108">
    <w:name w:val="themebody1"/>
    <w:autoRedefine/>
    <w:qFormat/>
    <w:uiPriority w:val="0"/>
    <w:rPr>
      <w:color w:val="FFFFFF"/>
    </w:rPr>
  </w:style>
  <w:style w:type="character" w:customStyle="1" w:styleId="109">
    <w:name w:val="小 Char"/>
    <w:autoRedefine/>
    <w:qFormat/>
    <w:uiPriority w:val="0"/>
    <w:rPr>
      <w:rFonts w:ascii="等线 Light" w:hAnsi="Helv" w:eastAsia="等线 Light"/>
      <w:kern w:val="2"/>
      <w:sz w:val="21"/>
      <w:lang w:val="en-US" w:eastAsia="zh-CN" w:bidi="ar-SA"/>
    </w:rPr>
  </w:style>
  <w:style w:type="character" w:customStyle="1" w:styleId="110">
    <w:name w:val="HTML 预设格式 Char"/>
    <w:autoRedefine/>
    <w:qFormat/>
    <w:uiPriority w:val="99"/>
    <w:rPr>
      <w:rFonts w:ascii="PMingLiU" w:hAnsi="Helv" w:eastAsia="PMingLiU" w:cs="Helv"/>
      <w:kern w:val="2"/>
      <w:sz w:val="24"/>
      <w:szCs w:val="24"/>
      <w:lang w:val="en-US" w:eastAsia="zh-CN" w:bidi="ar-SA"/>
    </w:rPr>
  </w:style>
  <w:style w:type="character" w:customStyle="1" w:styleId="111">
    <w:name w:val="批注框文本 Char1"/>
    <w:autoRedefine/>
    <w:semiHidden/>
    <w:qFormat/>
    <w:uiPriority w:val="99"/>
    <w:rPr>
      <w:rFonts w:ascii="宋体"/>
      <w:sz w:val="18"/>
      <w:szCs w:val="18"/>
    </w:rPr>
  </w:style>
  <w:style w:type="character" w:customStyle="1" w:styleId="112">
    <w:name w:val="标题 4 Char"/>
    <w:autoRedefine/>
    <w:qFormat/>
    <w:uiPriority w:val="0"/>
    <w:rPr>
      <w:rFonts w:ascii="楷体_GB2312" w:hAnsi="楷体_GB2312" w:eastAsia="PMingLiU" w:cs="幼圆"/>
      <w:b/>
      <w:bCs/>
      <w:kern w:val="2"/>
      <w:sz w:val="28"/>
      <w:szCs w:val="28"/>
      <w:lang w:val="en-US" w:eastAsia="zh-CN" w:bidi="ar-SA"/>
    </w:rPr>
  </w:style>
  <w:style w:type="character" w:customStyle="1" w:styleId="113">
    <w:name w:val="icontext12"/>
    <w:basedOn w:val="57"/>
    <w:autoRedefine/>
    <w:qFormat/>
    <w:uiPriority w:val="0"/>
  </w:style>
  <w:style w:type="character" w:customStyle="1" w:styleId="114">
    <w:name w:val="批注主题 Char"/>
    <w:autoRedefine/>
    <w:qFormat/>
    <w:uiPriority w:val="99"/>
    <w:rPr>
      <w:rFonts w:ascii="幼圆" w:hAnsi="幼圆" w:eastAsia="等线 Light" w:cs="幼圆"/>
      <w:b/>
      <w:bCs/>
      <w:kern w:val="2"/>
      <w:sz w:val="24"/>
      <w:szCs w:val="24"/>
      <w:lang w:val="en-US" w:eastAsia="zh-CN" w:bidi="ar-SA"/>
    </w:rPr>
  </w:style>
  <w:style w:type="character" w:customStyle="1" w:styleId="115">
    <w:name w:val="icon-code-weixin"/>
    <w:autoRedefine/>
    <w:qFormat/>
    <w:uiPriority w:val="0"/>
  </w:style>
  <w:style w:type="character" w:customStyle="1" w:styleId="116">
    <w:name w:val="正文文本缩进 2 Char"/>
    <w:autoRedefine/>
    <w:qFormat/>
    <w:uiPriority w:val="0"/>
    <w:rPr>
      <w:rFonts w:ascii="幼圆" w:hAnsi="幼圆" w:eastAsia="等线 Light" w:cs="幼圆"/>
      <w:kern w:val="2"/>
      <w:sz w:val="24"/>
      <w:szCs w:val="24"/>
      <w:lang w:val="en-US" w:eastAsia="zh-CN" w:bidi="ar-SA"/>
    </w:rPr>
  </w:style>
  <w:style w:type="character" w:customStyle="1" w:styleId="117">
    <w:name w:val="icontext2"/>
    <w:basedOn w:val="57"/>
    <w:autoRedefine/>
    <w:qFormat/>
    <w:uiPriority w:val="0"/>
  </w:style>
  <w:style w:type="character" w:customStyle="1" w:styleId="118">
    <w:name w:val="日期 Char"/>
    <w:autoRedefine/>
    <w:qFormat/>
    <w:uiPriority w:val="0"/>
    <w:rPr>
      <w:rFonts w:ascii="幼圆" w:hAnsi="幼圆" w:eastAsia="等线 Light" w:cs="幼圆"/>
      <w:kern w:val="2"/>
      <w:sz w:val="24"/>
      <w:szCs w:val="20"/>
      <w:lang w:val="en-US" w:eastAsia="zh-CN" w:bidi="ar-SA"/>
    </w:rPr>
  </w:style>
  <w:style w:type="character" w:customStyle="1" w:styleId="119">
    <w:name w:val="正文文本缩进 3 Char1"/>
    <w:autoRedefine/>
    <w:semiHidden/>
    <w:qFormat/>
    <w:uiPriority w:val="0"/>
    <w:rPr>
      <w:rFonts w:ascii="宋体"/>
      <w:sz w:val="16"/>
      <w:szCs w:val="16"/>
    </w:rPr>
  </w:style>
  <w:style w:type="character" w:customStyle="1" w:styleId="120">
    <w:name w:val="尾注文本 字符2"/>
    <w:autoRedefine/>
    <w:semiHidden/>
    <w:qFormat/>
    <w:uiPriority w:val="99"/>
    <w:rPr>
      <w:rFonts w:ascii="等线 Light"/>
      <w:sz w:val="24"/>
      <w:szCs w:val="24"/>
    </w:rPr>
  </w:style>
  <w:style w:type="character" w:customStyle="1" w:styleId="121">
    <w:name w:val="img8"/>
    <w:basedOn w:val="57"/>
    <w:autoRedefine/>
    <w:qFormat/>
    <w:uiPriority w:val="0"/>
  </w:style>
  <w:style w:type="character" w:customStyle="1" w:styleId="122">
    <w:name w:val="highlight1"/>
    <w:autoRedefine/>
    <w:qFormat/>
    <w:uiPriority w:val="0"/>
    <w:rPr>
      <w:sz w:val="21"/>
      <w:szCs w:val="21"/>
    </w:rPr>
  </w:style>
  <w:style w:type="character" w:customStyle="1" w:styleId="123">
    <w:name w:val="批注框文本 Char"/>
    <w:autoRedefine/>
    <w:qFormat/>
    <w:uiPriority w:val="99"/>
    <w:rPr>
      <w:rFonts w:ascii="幼圆" w:hAnsi="幼圆" w:eastAsia="等线 Light" w:cs="幼圆"/>
      <w:kern w:val="2"/>
      <w:sz w:val="18"/>
      <w:szCs w:val="18"/>
      <w:lang w:val="en-US" w:eastAsia="zh-CN" w:bidi="ar-SA"/>
    </w:rPr>
  </w:style>
  <w:style w:type="character" w:customStyle="1" w:styleId="124">
    <w:name w:val="标题 9 Char1"/>
    <w:autoRedefine/>
    <w:qFormat/>
    <w:uiPriority w:val="0"/>
    <w:rPr>
      <w:rFonts w:ascii="楷体_GB2312" w:hAnsi="楷体_GB2312" w:eastAsia="等线 Light"/>
      <w:color w:val="000000"/>
      <w:kern w:val="2"/>
      <w:sz w:val="32"/>
      <w:szCs w:val="21"/>
      <w:lang w:val="en-US" w:eastAsia="zh-CN" w:bidi="ar-SA"/>
    </w:rPr>
  </w:style>
  <w:style w:type="character" w:customStyle="1" w:styleId="125">
    <w:name w:val="正文文本 Char"/>
    <w:autoRedefine/>
    <w:qFormat/>
    <w:uiPriority w:val="99"/>
    <w:rPr>
      <w:rFonts w:ascii="等线 Light" w:eastAsia="等线 Light"/>
      <w:b/>
      <w:bCs/>
      <w:sz w:val="84"/>
      <w:szCs w:val="84"/>
      <w:lang w:val="zh-CN"/>
    </w:rPr>
  </w:style>
  <w:style w:type="character" w:customStyle="1" w:styleId="126">
    <w:name w:val="首航缩进 Char Char"/>
    <w:autoRedefine/>
    <w:qFormat/>
    <w:uiPriority w:val="0"/>
    <w:rPr>
      <w:rFonts w:eastAsia="微软雅黑"/>
      <w:color w:val="000000"/>
      <w:kern w:val="2"/>
      <w:sz w:val="24"/>
      <w:szCs w:val="24"/>
      <w:lang w:val="en-US" w:eastAsia="zh-CN" w:bidi="ar-SA"/>
    </w:rPr>
  </w:style>
  <w:style w:type="character" w:customStyle="1" w:styleId="127">
    <w:name w:val="尾注文本 Char"/>
    <w:autoRedefine/>
    <w:qFormat/>
    <w:uiPriority w:val="0"/>
    <w:rPr>
      <w:rFonts w:ascii="幼圆" w:hAnsi="幼圆" w:eastAsia="等线 Light" w:cs="幼圆"/>
      <w:kern w:val="2"/>
      <w:sz w:val="24"/>
      <w:szCs w:val="24"/>
      <w:lang w:bidi="ar-SA"/>
    </w:rPr>
  </w:style>
  <w:style w:type="character" w:customStyle="1" w:styleId="128">
    <w:name w:val="正文文本 3 Char1"/>
    <w:autoRedefine/>
    <w:semiHidden/>
    <w:qFormat/>
    <w:uiPriority w:val="0"/>
    <w:rPr>
      <w:rFonts w:ascii="宋体"/>
      <w:sz w:val="16"/>
      <w:szCs w:val="16"/>
    </w:rPr>
  </w:style>
  <w:style w:type="character" w:customStyle="1" w:styleId="129">
    <w:name w:val="文档结构图 Char3"/>
    <w:autoRedefine/>
    <w:qFormat/>
    <w:uiPriority w:val="0"/>
    <w:rPr>
      <w:rFonts w:eastAsia="等线 Light"/>
      <w:kern w:val="2"/>
      <w:sz w:val="21"/>
      <w:szCs w:val="24"/>
      <w:shd w:val="clear" w:color="auto" w:fill="000080"/>
      <w:lang w:val="en-US" w:eastAsia="zh-CN" w:bidi="ar-SA"/>
    </w:rPr>
  </w:style>
  <w:style w:type="character" w:customStyle="1" w:styleId="130">
    <w:name w:val="cy"/>
    <w:basedOn w:val="57"/>
    <w:autoRedefine/>
    <w:qFormat/>
    <w:uiPriority w:val="0"/>
  </w:style>
  <w:style w:type="character" w:customStyle="1" w:styleId="131">
    <w:name w:val="icontext3"/>
    <w:basedOn w:val="57"/>
    <w:autoRedefine/>
    <w:qFormat/>
    <w:uiPriority w:val="0"/>
  </w:style>
  <w:style w:type="character" w:customStyle="1" w:styleId="132">
    <w:name w:val="unnamed1"/>
    <w:autoRedefine/>
    <w:qFormat/>
    <w:uiPriority w:val="0"/>
    <w:rPr>
      <w:rFonts w:eastAsia="等线 Light"/>
      <w:kern w:val="2"/>
      <w:sz w:val="24"/>
      <w:szCs w:val="24"/>
      <w:lang w:val="en-US" w:eastAsia="zh-CN" w:bidi="ar-SA"/>
    </w:rPr>
  </w:style>
  <w:style w:type="character" w:customStyle="1" w:styleId="133">
    <w:name w:val="批注文字 字符"/>
    <w:autoRedefine/>
    <w:qFormat/>
    <w:uiPriority w:val="0"/>
    <w:rPr>
      <w:rFonts w:ascii="等线 Light" w:hAnsi="幼圆" w:eastAsia="等线 Light" w:cs="幼圆"/>
      <w:kern w:val="0"/>
      <w:sz w:val="24"/>
      <w:szCs w:val="24"/>
    </w:rPr>
  </w:style>
  <w:style w:type="character" w:customStyle="1" w:styleId="134">
    <w:name w:val="iconline2"/>
    <w:basedOn w:val="57"/>
    <w:autoRedefine/>
    <w:qFormat/>
    <w:uiPriority w:val="0"/>
  </w:style>
  <w:style w:type="character" w:customStyle="1" w:styleId="135">
    <w:name w:val="ca-41"/>
    <w:autoRedefine/>
    <w:qFormat/>
    <w:uiPriority w:val="0"/>
    <w:rPr>
      <w:rFonts w:hint="eastAsia" w:ascii="微软雅黑" w:eastAsia="微软雅黑"/>
      <w:color w:val="FF0000"/>
      <w:kern w:val="2"/>
      <w:sz w:val="32"/>
      <w:szCs w:val="32"/>
      <w:lang w:val="en-US" w:eastAsia="zh-CN" w:bidi="ar-SA"/>
    </w:rPr>
  </w:style>
  <w:style w:type="character" w:customStyle="1" w:styleId="136">
    <w:name w:val="表格文字 Char"/>
    <w:link w:val="137"/>
    <w:autoRedefine/>
    <w:qFormat/>
    <w:uiPriority w:val="0"/>
    <w:rPr>
      <w:rFonts w:eastAsia="微软雅黑"/>
      <w:sz w:val="28"/>
      <w:szCs w:val="24"/>
    </w:rPr>
  </w:style>
  <w:style w:type="paragraph" w:customStyle="1" w:styleId="137">
    <w:name w:val="表格文字"/>
    <w:basedOn w:val="1"/>
    <w:link w:val="136"/>
    <w:autoRedefine/>
    <w:qFormat/>
    <w:uiPriority w:val="0"/>
    <w:pPr>
      <w:autoSpaceDE/>
      <w:autoSpaceDN/>
      <w:adjustRightInd/>
      <w:jc w:val="both"/>
    </w:pPr>
    <w:rPr>
      <w:rFonts w:ascii="Times New Roman" w:eastAsia="微软雅黑"/>
      <w:sz w:val="28"/>
    </w:rPr>
  </w:style>
  <w:style w:type="character" w:customStyle="1" w:styleId="138">
    <w:name w:val="keyfeatures1"/>
    <w:autoRedefine/>
    <w:qFormat/>
    <w:uiPriority w:val="0"/>
    <w:rPr>
      <w:rFonts w:hint="default" w:ascii="楷体_GB2312" w:hAnsi="楷体_GB2312" w:cs="楷体_GB2312"/>
      <w:color w:val="003366"/>
      <w:sz w:val="17"/>
      <w:szCs w:val="17"/>
      <w:u w:val="none"/>
    </w:rPr>
  </w:style>
  <w:style w:type="character" w:customStyle="1" w:styleId="139">
    <w:name w:val="标题 6 字符"/>
    <w:autoRedefine/>
    <w:qFormat/>
    <w:uiPriority w:val="0"/>
    <w:rPr>
      <w:rFonts w:ascii="FrutigerNext LT Light" w:hAnsi="FrutigerNext LT Light" w:eastAsia="FrutigerNext LT Light" w:cs="幼圆"/>
      <w:b/>
      <w:bCs/>
      <w:sz w:val="24"/>
      <w:szCs w:val="24"/>
    </w:rPr>
  </w:style>
  <w:style w:type="character" w:customStyle="1" w:styleId="140">
    <w:name w:val="font21"/>
    <w:basedOn w:val="57"/>
    <w:autoRedefine/>
    <w:qFormat/>
    <w:uiPriority w:val="0"/>
    <w:rPr>
      <w:rFonts w:hint="eastAsia" w:ascii="等线 Light" w:hAnsi="等线 Light" w:eastAsia="等线 Light" w:cs="等线 Light"/>
      <w:color w:val="000000"/>
      <w:sz w:val="20"/>
      <w:szCs w:val="20"/>
      <w:u w:val="none"/>
    </w:rPr>
  </w:style>
  <w:style w:type="character" w:customStyle="1" w:styleId="141">
    <w:name w:val="标题 6 Char1"/>
    <w:autoRedefine/>
    <w:qFormat/>
    <w:uiPriority w:val="0"/>
    <w:rPr>
      <w:rFonts w:ascii="楷体_GB2312" w:hAnsi="楷体_GB2312" w:eastAsia="PMingLiU"/>
      <w:b/>
      <w:bCs/>
      <w:kern w:val="2"/>
      <w:sz w:val="24"/>
      <w:szCs w:val="24"/>
      <w:lang w:val="en-US" w:eastAsia="zh-CN" w:bidi="ar-SA"/>
    </w:rPr>
  </w:style>
  <w:style w:type="character" w:customStyle="1" w:styleId="142">
    <w:name w:val="批注文字 Char2"/>
    <w:autoRedefine/>
    <w:qFormat/>
    <w:uiPriority w:val="99"/>
  </w:style>
  <w:style w:type="character" w:customStyle="1" w:styleId="143">
    <w:name w:val="Char Char8"/>
    <w:autoRedefine/>
    <w:qFormat/>
    <w:uiPriority w:val="0"/>
    <w:rPr>
      <w:kern w:val="2"/>
      <w:sz w:val="18"/>
      <w:szCs w:val="18"/>
    </w:rPr>
  </w:style>
  <w:style w:type="character" w:customStyle="1" w:styleId="144">
    <w:name w:val="l-btn-text36"/>
    <w:autoRedefine/>
    <w:qFormat/>
    <w:uiPriority w:val="0"/>
  </w:style>
  <w:style w:type="character" w:customStyle="1" w:styleId="145">
    <w:name w:val="cdropleft"/>
    <w:basedOn w:val="57"/>
    <w:autoRedefine/>
    <w:qFormat/>
    <w:uiPriority w:val="0"/>
  </w:style>
  <w:style w:type="character" w:customStyle="1" w:styleId="146">
    <w:name w:val="标书正文格式 Char Char"/>
    <w:link w:val="147"/>
    <w:autoRedefine/>
    <w:qFormat/>
    <w:uiPriority w:val="0"/>
    <w:rPr>
      <w:rFonts w:eastAsia="Cambria Math"/>
      <w:kern w:val="2"/>
      <w:sz w:val="24"/>
      <w:lang w:val="en-US" w:eastAsia="zh-CN" w:bidi="ar-SA"/>
    </w:rPr>
  </w:style>
  <w:style w:type="paragraph" w:customStyle="1" w:styleId="147">
    <w:name w:val="标书正文格式"/>
    <w:link w:val="146"/>
    <w:autoRedefine/>
    <w:qFormat/>
    <w:uiPriority w:val="0"/>
    <w:pPr>
      <w:spacing w:line="360" w:lineRule="auto"/>
      <w:ind w:firstLine="200" w:firstLineChars="200"/>
    </w:pPr>
    <w:rPr>
      <w:rFonts w:ascii="Times New Roman" w:hAnsi="Times New Roman" w:eastAsia="Cambria Math" w:cs="Times New Roman"/>
      <w:kern w:val="2"/>
      <w:sz w:val="24"/>
      <w:lang w:val="en-US" w:eastAsia="zh-CN" w:bidi="ar-SA"/>
    </w:rPr>
  </w:style>
  <w:style w:type="character" w:customStyle="1" w:styleId="148">
    <w:name w:val="简述正文"/>
    <w:autoRedefine/>
    <w:qFormat/>
    <w:uiPriority w:val="0"/>
    <w:rPr>
      <w:sz w:val="23"/>
    </w:rPr>
  </w:style>
  <w:style w:type="character" w:customStyle="1" w:styleId="149">
    <w:name w:val="apple-style-span"/>
    <w:autoRedefine/>
    <w:qFormat/>
    <w:uiPriority w:val="0"/>
  </w:style>
  <w:style w:type="character" w:customStyle="1" w:styleId="150">
    <w:name w:val="font81"/>
    <w:autoRedefine/>
    <w:qFormat/>
    <w:uiPriority w:val="0"/>
    <w:rPr>
      <w:rFonts w:hint="default" w:ascii="幼圆" w:hAnsi="幼圆" w:cs="幼圆"/>
      <w:color w:val="000000"/>
      <w:sz w:val="20"/>
      <w:szCs w:val="20"/>
      <w:u w:val="none"/>
    </w:rPr>
  </w:style>
  <w:style w:type="character" w:customStyle="1" w:styleId="151">
    <w:name w:val="postbody"/>
    <w:autoRedefine/>
    <w:qFormat/>
    <w:uiPriority w:val="0"/>
  </w:style>
  <w:style w:type="character" w:customStyle="1" w:styleId="152">
    <w:name w:val="标题 4 Char1"/>
    <w:autoRedefine/>
    <w:qFormat/>
    <w:uiPriority w:val="9"/>
    <w:rPr>
      <w:rFonts w:ascii="楷体_GB2312" w:hAnsi="楷体_GB2312" w:eastAsia="等线 Light" w:cs="幼圆"/>
      <w:b/>
      <w:bCs/>
      <w:szCs w:val="28"/>
    </w:rPr>
  </w:style>
  <w:style w:type="character" w:customStyle="1" w:styleId="153">
    <w:name w:val="正文文本缩进 Char"/>
    <w:autoRedefine/>
    <w:qFormat/>
    <w:uiPriority w:val="0"/>
    <w:rPr>
      <w:rFonts w:ascii="幼圆" w:hAnsi="幼圆" w:eastAsia="等线 Light" w:cs="幼圆"/>
      <w:szCs w:val="20"/>
      <w:lang w:val="en-US" w:eastAsia="zh-CN"/>
    </w:rPr>
  </w:style>
  <w:style w:type="character" w:customStyle="1" w:styleId="154">
    <w:name w:val=" Char Char3"/>
    <w:autoRedefine/>
    <w:qFormat/>
    <w:uiPriority w:val="0"/>
    <w:rPr>
      <w:rFonts w:eastAsia="等线 Light"/>
      <w:kern w:val="2"/>
      <w:sz w:val="28"/>
      <w:szCs w:val="24"/>
      <w:lang w:val="en-US" w:eastAsia="zh-CN" w:bidi="ar-SA"/>
    </w:rPr>
  </w:style>
  <w:style w:type="character" w:customStyle="1" w:styleId="155">
    <w:name w:val="彩色列表 - 强调文字颜色 1 Char"/>
    <w:link w:val="156"/>
    <w:autoRedefine/>
    <w:qFormat/>
    <w:uiPriority w:val="0"/>
    <w:rPr>
      <w:rFonts w:ascii="等线 Light"/>
      <w:sz w:val="24"/>
      <w:szCs w:val="24"/>
    </w:rPr>
  </w:style>
  <w:style w:type="paragraph" w:customStyle="1" w:styleId="156">
    <w:name w:val="彩色列表 - 强调文字颜色 11"/>
    <w:basedOn w:val="1"/>
    <w:link w:val="155"/>
    <w:autoRedefine/>
    <w:qFormat/>
    <w:uiPriority w:val="0"/>
    <w:pPr>
      <w:ind w:firstLine="420" w:firstLineChars="200"/>
    </w:pPr>
  </w:style>
  <w:style w:type="character" w:customStyle="1" w:styleId="157">
    <w:name w:val="标题 字符1"/>
    <w:autoRedefine/>
    <w:qFormat/>
    <w:uiPriority w:val="10"/>
    <w:rPr>
      <w:rFonts w:ascii="FrutigerNext LT Light" w:hAnsi="FrutigerNext LT Light" w:eastAsia="font-weight : 400"/>
      <w:b/>
      <w:bCs/>
      <w:kern w:val="2"/>
      <w:sz w:val="28"/>
      <w:szCs w:val="32"/>
    </w:rPr>
  </w:style>
  <w:style w:type="character" w:customStyle="1" w:styleId="158">
    <w:name w:val="页脚 Char"/>
    <w:autoRedefine/>
    <w:qFormat/>
    <w:uiPriority w:val="99"/>
    <w:rPr>
      <w:rFonts w:eastAsia="Arial Unicode MS"/>
      <w:sz w:val="21"/>
    </w:rPr>
  </w:style>
  <w:style w:type="character" w:customStyle="1" w:styleId="159">
    <w:name w:val="签名 Char1"/>
    <w:autoRedefine/>
    <w:qFormat/>
    <w:uiPriority w:val="0"/>
    <w:rPr>
      <w:rFonts w:eastAsia="等线 Light"/>
      <w:kern w:val="2"/>
      <w:sz w:val="21"/>
      <w:szCs w:val="24"/>
      <w:lang w:val="en-US" w:eastAsia="zh-CN" w:bidi="ar-SA"/>
    </w:rPr>
  </w:style>
  <w:style w:type="character" w:customStyle="1" w:styleId="160">
    <w:name w:val="正文文本 2 Char1"/>
    <w:autoRedefine/>
    <w:qFormat/>
    <w:uiPriority w:val="0"/>
    <w:rPr>
      <w:rFonts w:ascii="等线 Light" w:hAnsi="等线 Light" w:eastAsia="等线 Light"/>
      <w:kern w:val="2"/>
      <w:sz w:val="24"/>
      <w:szCs w:val="24"/>
      <w:lang w:val="en-US" w:eastAsia="zh-CN" w:bidi="ar-SA"/>
    </w:rPr>
  </w:style>
  <w:style w:type="character" w:customStyle="1" w:styleId="161">
    <w:name w:val="正文文本 Char3"/>
    <w:autoRedefine/>
    <w:qFormat/>
    <w:uiPriority w:val="0"/>
    <w:rPr>
      <w:rFonts w:eastAsia="等线 Light"/>
      <w:kern w:val="2"/>
      <w:sz w:val="21"/>
      <w:szCs w:val="24"/>
      <w:lang w:val="en-US" w:eastAsia="zh-CN" w:bidi="ar-SA"/>
    </w:rPr>
  </w:style>
  <w:style w:type="character" w:customStyle="1" w:styleId="162">
    <w:name w:val="正文文本 3 Char2"/>
    <w:autoRedefine/>
    <w:qFormat/>
    <w:uiPriority w:val="0"/>
    <w:rPr>
      <w:rFonts w:ascii="等线 Light" w:hAnsi="等线 Light" w:eastAsia="等线 Light"/>
      <w:kern w:val="2"/>
      <w:sz w:val="28"/>
      <w:szCs w:val="24"/>
      <w:lang w:val="en-US" w:eastAsia="zh-CN" w:bidi="ar-SA"/>
    </w:rPr>
  </w:style>
  <w:style w:type="character" w:customStyle="1" w:styleId="163">
    <w:name w:val="ca-0"/>
    <w:autoRedefine/>
    <w:qFormat/>
    <w:uiPriority w:val="0"/>
  </w:style>
  <w:style w:type="character" w:customStyle="1" w:styleId="164">
    <w:name w:val="hilite6"/>
    <w:autoRedefine/>
    <w:qFormat/>
    <w:uiPriority w:val="0"/>
    <w:rPr>
      <w:color w:val="FFFFFF"/>
      <w:shd w:val="clear" w:color="auto" w:fill="666666"/>
    </w:rPr>
  </w:style>
  <w:style w:type="character" w:customStyle="1" w:styleId="165">
    <w:name w:val="Char Char3"/>
    <w:autoRedefine/>
    <w:qFormat/>
    <w:uiPriority w:val="0"/>
    <w:rPr>
      <w:rFonts w:ascii="Cambria Math" w:eastAsia="Cambria Math"/>
      <w:sz w:val="18"/>
      <w:szCs w:val="18"/>
    </w:rPr>
  </w:style>
  <w:style w:type="character" w:customStyle="1" w:styleId="166">
    <w:name w:val="纯文本 Char2"/>
    <w:autoRedefine/>
    <w:qFormat/>
    <w:uiPriority w:val="0"/>
    <w:rPr>
      <w:rFonts w:ascii="等线 Light" w:hAnsi="Helv" w:eastAsia="等线 Light"/>
    </w:rPr>
  </w:style>
  <w:style w:type="character" w:customStyle="1" w:styleId="167">
    <w:name w:val="签名 Char"/>
    <w:autoRedefine/>
    <w:qFormat/>
    <w:uiPriority w:val="0"/>
    <w:rPr>
      <w:rFonts w:eastAsia="等线 Light"/>
      <w:kern w:val="2"/>
      <w:sz w:val="21"/>
      <w:szCs w:val="24"/>
      <w:lang w:val="en-US" w:eastAsia="zh-CN" w:bidi="ar-SA"/>
    </w:rPr>
  </w:style>
  <w:style w:type="character" w:customStyle="1" w:styleId="168">
    <w:name w:val="正文文本 Char2"/>
    <w:autoRedefine/>
    <w:qFormat/>
    <w:uiPriority w:val="0"/>
  </w:style>
  <w:style w:type="character" w:customStyle="1" w:styleId="169">
    <w:name w:val="彩色列表 - 着色 1 字符"/>
    <w:link w:val="170"/>
    <w:autoRedefine/>
    <w:qFormat/>
    <w:uiPriority w:val="0"/>
    <w:rPr>
      <w:rFonts w:ascii="Arial Unicode MS" w:hAnsi="Arial Unicode MS"/>
      <w:kern w:val="2"/>
      <w:sz w:val="21"/>
      <w:szCs w:val="22"/>
    </w:rPr>
  </w:style>
  <w:style w:type="paragraph" w:customStyle="1" w:styleId="170">
    <w:name w:val="彩色列表 - 着色 11"/>
    <w:basedOn w:val="1"/>
    <w:link w:val="169"/>
    <w:autoRedefine/>
    <w:qFormat/>
    <w:uiPriority w:val="0"/>
    <w:pPr>
      <w:autoSpaceDE/>
      <w:autoSpaceDN/>
      <w:adjustRightInd/>
      <w:ind w:firstLine="420" w:firstLineChars="200"/>
      <w:jc w:val="both"/>
    </w:pPr>
    <w:rPr>
      <w:rFonts w:ascii="Arial Unicode MS" w:hAnsi="Arial Unicode MS"/>
      <w:kern w:val="2"/>
      <w:sz w:val="21"/>
      <w:szCs w:val="22"/>
    </w:rPr>
  </w:style>
  <w:style w:type="character" w:customStyle="1" w:styleId="171">
    <w:name w:val="正文首行缩进 Char1"/>
    <w:autoRedefine/>
    <w:qFormat/>
    <w:uiPriority w:val="99"/>
  </w:style>
  <w:style w:type="character" w:customStyle="1" w:styleId="172">
    <w:name w:val="标题 1 Char"/>
    <w:autoRedefine/>
    <w:qFormat/>
    <w:uiPriority w:val="9"/>
    <w:rPr>
      <w:rFonts w:ascii="幼圆" w:hAnsi="幼圆" w:eastAsia="等线 Light" w:cs="幼圆"/>
      <w:b/>
      <w:bCs/>
      <w:kern w:val="44"/>
      <w:sz w:val="44"/>
      <w:szCs w:val="44"/>
      <w:lang w:val="en-US" w:eastAsia="zh-CN" w:bidi="ar-SA"/>
    </w:rPr>
  </w:style>
  <w:style w:type="character" w:customStyle="1" w:styleId="173">
    <w:name w:val="尾注文本 Char2"/>
    <w:autoRedefine/>
    <w:semiHidden/>
    <w:qFormat/>
    <w:uiPriority w:val="99"/>
    <w:rPr>
      <w:rFonts w:ascii="等线 Light"/>
      <w:sz w:val="24"/>
      <w:szCs w:val="24"/>
    </w:rPr>
  </w:style>
  <w:style w:type="character" w:customStyle="1" w:styleId="174">
    <w:name w:val="访问过的超链接1"/>
    <w:autoRedefine/>
    <w:qFormat/>
    <w:uiPriority w:val="0"/>
    <w:rPr>
      <w:rFonts w:ascii="楷体_GB2312" w:hAnsi="楷体_GB2312" w:cs="楷体_GB2312"/>
      <w:color w:val="000000"/>
      <w:sz w:val="20"/>
      <w:szCs w:val="20"/>
      <w:u w:val="none"/>
    </w:rPr>
  </w:style>
  <w:style w:type="character" w:customStyle="1" w:styleId="175">
    <w:name w:val="font11"/>
    <w:autoRedefine/>
    <w:qFormat/>
    <w:uiPriority w:val="0"/>
    <w:rPr>
      <w:rFonts w:hint="eastAsia" w:ascii="等线 Light" w:hAnsi="等线 Light" w:eastAsia="等线 Light" w:cs="等线 Light"/>
      <w:color w:val="000000"/>
      <w:sz w:val="21"/>
      <w:szCs w:val="21"/>
      <w:u w:val="none"/>
    </w:rPr>
  </w:style>
  <w:style w:type="character" w:customStyle="1" w:styleId="176">
    <w:name w:val="正文首行缩进 Char3"/>
    <w:autoRedefine/>
    <w:semiHidden/>
    <w:qFormat/>
    <w:uiPriority w:val="99"/>
    <w:rPr>
      <w:rFonts w:ascii="等线 Light" w:eastAsia="等线 Light"/>
      <w:b/>
      <w:bCs/>
      <w:sz w:val="24"/>
      <w:szCs w:val="24"/>
      <w:lang w:val="zh-CN"/>
    </w:rPr>
  </w:style>
  <w:style w:type="character" w:customStyle="1" w:styleId="177">
    <w:name w:val="批注框文本 Char3"/>
    <w:autoRedefine/>
    <w:qFormat/>
    <w:uiPriority w:val="99"/>
    <w:rPr>
      <w:rFonts w:eastAsia="等线 Light"/>
      <w:kern w:val="2"/>
      <w:sz w:val="18"/>
      <w:szCs w:val="18"/>
      <w:lang w:val="en-US" w:eastAsia="zh-CN" w:bidi="ar-SA"/>
    </w:rPr>
  </w:style>
  <w:style w:type="character" w:customStyle="1" w:styleId="178">
    <w:name w:val="脚注文本 Char"/>
    <w:autoRedefine/>
    <w:qFormat/>
    <w:uiPriority w:val="99"/>
    <w:rPr>
      <w:rFonts w:ascii="幼圆" w:hAnsi="幼圆" w:eastAsia="等线 Light" w:cs="幼圆"/>
      <w:kern w:val="2"/>
      <w:sz w:val="18"/>
      <w:szCs w:val="18"/>
      <w:lang w:bidi="ar-SA"/>
    </w:rPr>
  </w:style>
  <w:style w:type="character" w:customStyle="1" w:styleId="179">
    <w:name w:val="fontstrikethrough"/>
    <w:autoRedefine/>
    <w:qFormat/>
    <w:uiPriority w:val="0"/>
    <w:rPr>
      <w:strike/>
    </w:rPr>
  </w:style>
  <w:style w:type="character" w:customStyle="1" w:styleId="180">
    <w:name w:val="font101"/>
    <w:autoRedefine/>
    <w:qFormat/>
    <w:uiPriority w:val="0"/>
    <w:rPr>
      <w:rFonts w:hint="default" w:ascii="幼圆" w:hAnsi="幼圆" w:cs="幼圆"/>
      <w:color w:val="000000"/>
      <w:sz w:val="21"/>
      <w:szCs w:val="21"/>
      <w:u w:val="none"/>
    </w:rPr>
  </w:style>
  <w:style w:type="character" w:customStyle="1" w:styleId="181">
    <w:name w:val="spantable1"/>
    <w:autoRedefine/>
    <w:qFormat/>
    <w:uiPriority w:val="0"/>
    <w:rPr>
      <w:rFonts w:hint="default" w:eastAsia="等线 Light"/>
      <w:spacing w:val="360"/>
      <w:kern w:val="2"/>
      <w:sz w:val="18"/>
      <w:szCs w:val="18"/>
      <w:lang w:val="en-US" w:eastAsia="zh-CN" w:bidi="ar-SA"/>
    </w:rPr>
  </w:style>
  <w:style w:type="character" w:customStyle="1" w:styleId="182">
    <w:name w:val="disabled"/>
    <w:autoRedefine/>
    <w:qFormat/>
    <w:uiPriority w:val="0"/>
    <w:rPr>
      <w:rFonts w:eastAsia="等线 Light"/>
      <w:color w:val="DFDFDF"/>
      <w:kern w:val="2"/>
      <w:sz w:val="24"/>
      <w:szCs w:val="24"/>
      <w:bdr w:val="single" w:color="DFDFDF" w:sz="6" w:space="0"/>
      <w:shd w:val="clear" w:color="auto" w:fill="FFFFFF"/>
      <w:lang w:val="en-US" w:eastAsia="zh-CN" w:bidi="ar-SA"/>
    </w:rPr>
  </w:style>
  <w:style w:type="character" w:customStyle="1" w:styleId="183">
    <w:name w:val="font61"/>
    <w:autoRedefine/>
    <w:qFormat/>
    <w:uiPriority w:val="0"/>
    <w:rPr>
      <w:rFonts w:hint="eastAsia" w:ascii="等线 Light" w:hAnsi="等线 Light" w:eastAsia="等线 Light" w:cs="等线 Light"/>
      <w:color w:val="000000"/>
      <w:sz w:val="21"/>
      <w:szCs w:val="21"/>
      <w:u w:val="none"/>
    </w:rPr>
  </w:style>
  <w:style w:type="character" w:customStyle="1" w:styleId="184">
    <w:name w:val=" Char Char6"/>
    <w:autoRedefine/>
    <w:qFormat/>
    <w:uiPriority w:val="0"/>
    <w:rPr>
      <w:rFonts w:ascii="等线 Light" w:hAnsi="Helv" w:eastAsia="等线 Light"/>
      <w:szCs w:val="24"/>
    </w:rPr>
  </w:style>
  <w:style w:type="character" w:customStyle="1" w:styleId="185">
    <w:name w:val="正文无缩进 Char"/>
    <w:link w:val="186"/>
    <w:autoRedefine/>
    <w:qFormat/>
    <w:locked/>
    <w:uiPriority w:val="0"/>
    <w:rPr>
      <w:rFonts w:ascii="微软雅黑" w:hAnsi="等线 Light" w:eastAsia="微软雅黑"/>
      <w:kern w:val="2"/>
      <w:sz w:val="31"/>
      <w:szCs w:val="28"/>
    </w:rPr>
  </w:style>
  <w:style w:type="paragraph" w:customStyle="1" w:styleId="186">
    <w:name w:val="正文无缩进"/>
    <w:basedOn w:val="187"/>
    <w:link w:val="185"/>
    <w:autoRedefine/>
    <w:qFormat/>
    <w:uiPriority w:val="0"/>
    <w:pPr>
      <w:ind w:firstLine="0" w:firstLineChars="0"/>
    </w:pPr>
    <w:rPr>
      <w:kern w:val="2"/>
    </w:rPr>
  </w:style>
  <w:style w:type="paragraph" w:customStyle="1" w:styleId="187">
    <w:name w:val="正文缩进2格"/>
    <w:basedOn w:val="1"/>
    <w:link w:val="188"/>
    <w:autoRedefine/>
    <w:qFormat/>
    <w:uiPriority w:val="0"/>
    <w:pPr>
      <w:autoSpaceDE/>
      <w:autoSpaceDN/>
      <w:adjustRightInd/>
      <w:spacing w:line="600" w:lineRule="exact"/>
      <w:ind w:firstLine="639" w:firstLineChars="206"/>
      <w:jc w:val="both"/>
    </w:pPr>
    <w:rPr>
      <w:rFonts w:ascii="微软雅黑" w:hAnsi="等线 Light" w:eastAsia="微软雅黑"/>
      <w:sz w:val="31"/>
      <w:szCs w:val="28"/>
    </w:rPr>
  </w:style>
  <w:style w:type="character" w:customStyle="1" w:styleId="188">
    <w:name w:val="正文缩进2格 Char"/>
    <w:link w:val="187"/>
    <w:autoRedefine/>
    <w:qFormat/>
    <w:uiPriority w:val="0"/>
    <w:rPr>
      <w:rFonts w:ascii="微软雅黑" w:hAnsi="等线 Light" w:eastAsia="微软雅黑"/>
      <w:sz w:val="31"/>
      <w:szCs w:val="28"/>
    </w:rPr>
  </w:style>
  <w:style w:type="character" w:customStyle="1" w:styleId="189">
    <w:name w:val="font91"/>
    <w:autoRedefine/>
    <w:qFormat/>
    <w:uiPriority w:val="0"/>
    <w:rPr>
      <w:rFonts w:hint="default" w:ascii="幼圆" w:hAnsi="幼圆" w:cs="幼圆"/>
      <w:color w:val="000000"/>
      <w:sz w:val="21"/>
      <w:szCs w:val="21"/>
      <w:u w:val="none"/>
      <w:vertAlign w:val="subscript"/>
    </w:rPr>
  </w:style>
  <w:style w:type="character" w:customStyle="1" w:styleId="190">
    <w:name w:val="页脚 Char1"/>
    <w:autoRedefine/>
    <w:semiHidden/>
    <w:qFormat/>
    <w:uiPriority w:val="99"/>
    <w:rPr>
      <w:rFonts w:ascii="等线 Light" w:hAnsi="幼圆" w:eastAsia="等线 Light" w:cs="幼圆"/>
      <w:kern w:val="0"/>
      <w:sz w:val="18"/>
      <w:szCs w:val="18"/>
    </w:rPr>
  </w:style>
  <w:style w:type="character" w:customStyle="1" w:styleId="191">
    <w:name w:val="+正文 Char4"/>
    <w:link w:val="192"/>
    <w:autoRedefine/>
    <w:qFormat/>
    <w:uiPriority w:val="0"/>
    <w:rPr>
      <w:kern w:val="2"/>
      <w:sz w:val="24"/>
      <w:szCs w:val="28"/>
    </w:rPr>
  </w:style>
  <w:style w:type="paragraph" w:customStyle="1" w:styleId="192">
    <w:name w:val="+正文"/>
    <w:basedOn w:val="1"/>
    <w:link w:val="191"/>
    <w:autoRedefine/>
    <w:qFormat/>
    <w:uiPriority w:val="0"/>
    <w:pPr>
      <w:autoSpaceDE/>
      <w:autoSpaceDN/>
      <w:adjustRightInd/>
      <w:spacing w:line="360" w:lineRule="auto"/>
      <w:ind w:firstLine="200" w:firstLineChars="200"/>
      <w:jc w:val="both"/>
    </w:pPr>
    <w:rPr>
      <w:rFonts w:ascii="Times New Roman"/>
      <w:kern w:val="2"/>
      <w:szCs w:val="28"/>
    </w:rPr>
  </w:style>
  <w:style w:type="character" w:customStyle="1" w:styleId="193">
    <w:name w:val="表头文字 Char"/>
    <w:link w:val="194"/>
    <w:autoRedefine/>
    <w:qFormat/>
    <w:uiPriority w:val="0"/>
    <w:rPr>
      <w:rFonts w:eastAsia="微软雅黑"/>
      <w:b/>
      <w:sz w:val="28"/>
      <w:szCs w:val="21"/>
    </w:rPr>
  </w:style>
  <w:style w:type="paragraph" w:customStyle="1" w:styleId="194">
    <w:name w:val="表头文字"/>
    <w:basedOn w:val="1"/>
    <w:link w:val="193"/>
    <w:autoRedefine/>
    <w:qFormat/>
    <w:uiPriority w:val="0"/>
    <w:pPr>
      <w:autoSpaceDE/>
      <w:autoSpaceDN/>
      <w:snapToGrid w:val="0"/>
      <w:spacing w:before="120" w:line="360" w:lineRule="auto"/>
      <w:jc w:val="center"/>
      <w:textAlignment w:val="baseline"/>
    </w:pPr>
    <w:rPr>
      <w:rFonts w:ascii="Times New Roman" w:eastAsia="微软雅黑"/>
      <w:b/>
      <w:sz w:val="28"/>
      <w:szCs w:val="21"/>
    </w:rPr>
  </w:style>
  <w:style w:type="character" w:customStyle="1" w:styleId="195">
    <w:name w:val="日期 Char1"/>
    <w:autoRedefine/>
    <w:semiHidden/>
    <w:qFormat/>
    <w:uiPriority w:val="0"/>
    <w:rPr>
      <w:rFonts w:ascii="宋体"/>
      <w:sz w:val="24"/>
      <w:szCs w:val="24"/>
    </w:rPr>
  </w:style>
  <w:style w:type="character" w:customStyle="1" w:styleId="196">
    <w:name w:val="标题 3.1 Char"/>
    <w:link w:val="197"/>
    <w:autoRedefine/>
    <w:qFormat/>
    <w:uiPriority w:val="0"/>
    <w:rPr>
      <w:rFonts w:ascii="等线 Light" w:hAnsi="等线 Light"/>
      <w:b/>
      <w:bCs/>
      <w:sz w:val="32"/>
      <w:szCs w:val="32"/>
    </w:rPr>
  </w:style>
  <w:style w:type="paragraph" w:customStyle="1" w:styleId="197">
    <w:name w:val="标题 3.1"/>
    <w:basedOn w:val="6"/>
    <w:link w:val="196"/>
    <w:autoRedefine/>
    <w:qFormat/>
    <w:uiPriority w:val="0"/>
    <w:pPr>
      <w:keepNext/>
      <w:keepLines/>
      <w:pageBreakBefore/>
      <w:tabs>
        <w:tab w:val="left" w:pos="1440"/>
        <w:tab w:val="left" w:pos="1620"/>
      </w:tabs>
      <w:autoSpaceDE/>
      <w:autoSpaceDN/>
      <w:adjustRightInd/>
      <w:spacing w:before="260" w:after="260" w:line="600" w:lineRule="exact"/>
      <w:jc w:val="both"/>
    </w:pPr>
    <w:rPr>
      <w:rFonts w:hAnsi="等线 Light" w:eastAsia="宋体"/>
      <w:b/>
      <w:bCs/>
      <w:sz w:val="32"/>
      <w:szCs w:val="32"/>
    </w:rPr>
  </w:style>
  <w:style w:type="character" w:customStyle="1" w:styleId="198">
    <w:name w:val="批注文字 Char3"/>
    <w:autoRedefine/>
    <w:qFormat/>
    <w:uiPriority w:val="0"/>
    <w:rPr>
      <w:rFonts w:eastAsia="等线 Light"/>
      <w:kern w:val="2"/>
      <w:sz w:val="24"/>
      <w:szCs w:val="24"/>
      <w:lang w:val="en-US" w:eastAsia="zh-CN" w:bidi="ar-SA"/>
    </w:rPr>
  </w:style>
  <w:style w:type="character" w:customStyle="1" w:styleId="199">
    <w:name w:val="标题 2 字符2"/>
    <w:autoRedefine/>
    <w:qFormat/>
    <w:uiPriority w:val="0"/>
    <w:rPr>
      <w:rFonts w:ascii="楷体_GB2312" w:hAnsi="楷体_GB2312" w:eastAsia="PMingLiU"/>
      <w:b/>
      <w:bCs/>
      <w:kern w:val="2"/>
      <w:sz w:val="32"/>
      <w:szCs w:val="32"/>
      <w:lang w:val="en-US" w:eastAsia="zh-CN" w:bidi="ar-SA"/>
    </w:rPr>
  </w:style>
  <w:style w:type="character" w:customStyle="1" w:styleId="200">
    <w:name w:val="img9"/>
    <w:basedOn w:val="57"/>
    <w:autoRedefine/>
    <w:qFormat/>
    <w:uiPriority w:val="0"/>
  </w:style>
  <w:style w:type="character" w:customStyle="1" w:styleId="201">
    <w:name w:val="fontborder"/>
    <w:autoRedefine/>
    <w:qFormat/>
    <w:uiPriority w:val="0"/>
    <w:rPr>
      <w:bdr w:val="single" w:color="000000" w:sz="6" w:space="0"/>
    </w:rPr>
  </w:style>
  <w:style w:type="character" w:customStyle="1" w:styleId="202">
    <w:name w:val="标题 7 Char"/>
    <w:autoRedefine/>
    <w:qFormat/>
    <w:uiPriority w:val="0"/>
    <w:rPr>
      <w:rFonts w:ascii="幼圆" w:hAnsi="幼圆" w:eastAsia="等线 Light" w:cs="幼圆"/>
      <w:bCs/>
      <w:color w:val="000000"/>
      <w:kern w:val="2"/>
      <w:sz w:val="32"/>
      <w:szCs w:val="21"/>
      <w:lang w:val="en-US" w:eastAsia="zh-CN" w:bidi="ar-SA"/>
    </w:rPr>
  </w:style>
  <w:style w:type="character" w:customStyle="1" w:styleId="203">
    <w:name w:val="active7"/>
    <w:autoRedefine/>
    <w:qFormat/>
    <w:uiPriority w:val="0"/>
    <w:rPr>
      <w:color w:val="00FF00"/>
      <w:shd w:val="clear" w:color="auto" w:fill="111111"/>
    </w:rPr>
  </w:style>
  <w:style w:type="character" w:customStyle="1" w:styleId="204">
    <w:name w:val="curr"/>
    <w:autoRedefine/>
    <w:qFormat/>
    <w:uiPriority w:val="0"/>
    <w:rPr>
      <w:rFonts w:eastAsia="等线 Light"/>
      <w:color w:val="FF6600"/>
      <w:kern w:val="2"/>
      <w:sz w:val="24"/>
      <w:szCs w:val="24"/>
      <w:bdr w:val="single" w:color="FF6600" w:sz="6" w:space="0"/>
      <w:shd w:val="clear" w:color="auto" w:fill="FFEEE5"/>
      <w:lang w:val="en-US" w:eastAsia="zh-CN" w:bidi="ar-SA"/>
    </w:rPr>
  </w:style>
  <w:style w:type="character" w:customStyle="1" w:styleId="205">
    <w:name w:val="正文缩进2格 Char Char"/>
    <w:autoRedefine/>
    <w:qFormat/>
    <w:uiPriority w:val="0"/>
    <w:rPr>
      <w:rFonts w:ascii="微软雅黑" w:hAnsi="等线 Light" w:eastAsia="微软雅黑"/>
      <w:kern w:val="2"/>
      <w:sz w:val="31"/>
      <w:szCs w:val="28"/>
      <w:lang w:val="en-US" w:eastAsia="zh-CN" w:bidi="ar-SA"/>
    </w:rPr>
  </w:style>
  <w:style w:type="character" w:customStyle="1" w:styleId="206">
    <w:name w:val="font01"/>
    <w:autoRedefine/>
    <w:qFormat/>
    <w:uiPriority w:val="0"/>
    <w:rPr>
      <w:rFonts w:hint="eastAsia" w:ascii="等线 Light" w:hAnsi="等线 Light" w:eastAsia="等线 Light" w:cs="等线 Light"/>
      <w:color w:val="000000"/>
      <w:sz w:val="28"/>
      <w:szCs w:val="28"/>
      <w:u w:val="none"/>
    </w:rPr>
  </w:style>
  <w:style w:type="character" w:customStyle="1" w:styleId="207">
    <w:name w:val="show"/>
    <w:autoRedefine/>
    <w:qFormat/>
    <w:uiPriority w:val="0"/>
  </w:style>
  <w:style w:type="character" w:customStyle="1" w:styleId="208">
    <w:name w:val="批注文字 Char"/>
    <w:autoRedefine/>
    <w:qFormat/>
    <w:uiPriority w:val="99"/>
    <w:rPr>
      <w:rFonts w:ascii="幼圆" w:hAnsi="幼圆" w:eastAsia="等线 Light" w:cs="幼圆"/>
      <w:kern w:val="2"/>
      <w:sz w:val="24"/>
      <w:szCs w:val="24"/>
      <w:lang w:val="en-US" w:eastAsia="zh-CN" w:bidi="ar-SA"/>
    </w:rPr>
  </w:style>
  <w:style w:type="character" w:customStyle="1" w:styleId="209">
    <w:name w:val="ziti"/>
    <w:autoRedefine/>
    <w:qFormat/>
    <w:uiPriority w:val="0"/>
    <w:rPr>
      <w:rFonts w:hint="default" w:ascii="楷体_GB2312" w:hAnsi="楷体_GB2312" w:cs="楷体_GB2312"/>
      <w:sz w:val="16"/>
      <w:szCs w:val="16"/>
    </w:rPr>
  </w:style>
  <w:style w:type="character" w:customStyle="1" w:styleId="210">
    <w:name w:val="脚注文本 字符2"/>
    <w:autoRedefine/>
    <w:semiHidden/>
    <w:qFormat/>
    <w:uiPriority w:val="99"/>
    <w:rPr>
      <w:rFonts w:ascii="等线 Light"/>
      <w:sz w:val="18"/>
      <w:szCs w:val="18"/>
    </w:rPr>
  </w:style>
  <w:style w:type="character" w:customStyle="1" w:styleId="211">
    <w:name w:val="标题 Char"/>
    <w:autoRedefine/>
    <w:qFormat/>
    <w:uiPriority w:val="10"/>
    <w:rPr>
      <w:rFonts w:ascii="Cambria" w:hAnsi="Cambria"/>
      <w:b/>
      <w:bCs/>
      <w:sz w:val="32"/>
      <w:szCs w:val="32"/>
    </w:rPr>
  </w:style>
  <w:style w:type="character" w:customStyle="1" w:styleId="212">
    <w:name w:val="正文缩进 Char"/>
    <w:autoRedefine/>
    <w:qFormat/>
    <w:uiPriority w:val="0"/>
    <w:rPr>
      <w:rFonts w:ascii="幼圆" w:hAnsi="幼圆" w:eastAsia="等线 Light" w:cs="幼圆"/>
      <w:kern w:val="0"/>
      <w:sz w:val="20"/>
      <w:szCs w:val="20"/>
    </w:rPr>
  </w:style>
  <w:style w:type="character" w:customStyle="1" w:styleId="213">
    <w:name w:val="hover23"/>
    <w:autoRedefine/>
    <w:qFormat/>
    <w:uiPriority w:val="0"/>
    <w:rPr>
      <w:color w:val="D52222"/>
    </w:rPr>
  </w:style>
  <w:style w:type="character" w:customStyle="1" w:styleId="214">
    <w:name w:val="标题 3 字符1"/>
    <w:autoRedefine/>
    <w:qFormat/>
    <w:uiPriority w:val="0"/>
    <w:rPr>
      <w:rFonts w:ascii="等线 Light" w:hAnsi="幼圆" w:eastAsia="等线 Light" w:cs="幼圆"/>
      <w:kern w:val="0"/>
      <w:sz w:val="24"/>
      <w:szCs w:val="24"/>
    </w:rPr>
  </w:style>
  <w:style w:type="character" w:customStyle="1" w:styleId="215">
    <w:name w:val="ico1656"/>
    <w:basedOn w:val="57"/>
    <w:autoRedefine/>
    <w:qFormat/>
    <w:uiPriority w:val="0"/>
  </w:style>
  <w:style w:type="character" w:customStyle="1" w:styleId="216">
    <w:name w:val="中等深浅网格 2 字符"/>
    <w:link w:val="217"/>
    <w:autoRedefine/>
    <w:qFormat/>
    <w:uiPriority w:val="1"/>
    <w:rPr>
      <w:kern w:val="2"/>
      <w:sz w:val="21"/>
      <w:szCs w:val="22"/>
      <w:lang w:val="en-US" w:eastAsia="zh-CN" w:bidi="ar-SA"/>
    </w:rPr>
  </w:style>
  <w:style w:type="paragraph" w:customStyle="1" w:styleId="217">
    <w:name w:val="中等深浅网格 21"/>
    <w:link w:val="216"/>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18">
    <w:name w:val="font41"/>
    <w:autoRedefine/>
    <w:qFormat/>
    <w:uiPriority w:val="0"/>
    <w:rPr>
      <w:rFonts w:hint="default" w:ascii="幼圆" w:hAnsi="幼圆" w:cs="幼圆"/>
      <w:color w:val="000000"/>
      <w:sz w:val="21"/>
      <w:szCs w:val="21"/>
      <w:u w:val="none"/>
    </w:rPr>
  </w:style>
  <w:style w:type="character" w:customStyle="1" w:styleId="219">
    <w:name w:val="正文首行缩进 字符"/>
    <w:basedOn w:val="161"/>
    <w:autoRedefine/>
    <w:qFormat/>
    <w:uiPriority w:val="0"/>
  </w:style>
  <w:style w:type="character" w:customStyle="1" w:styleId="220">
    <w:name w:val="标题 9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21">
    <w:name w:val="标书正文格式 Char"/>
    <w:autoRedefine/>
    <w:qFormat/>
    <w:uiPriority w:val="0"/>
    <w:rPr>
      <w:rFonts w:eastAsia="Cambria Math"/>
      <w:kern w:val="2"/>
      <w:sz w:val="24"/>
      <w:lang w:val="en-US" w:eastAsia="zh-CN" w:bidi="ar-SA"/>
    </w:rPr>
  </w:style>
  <w:style w:type="character" w:customStyle="1" w:styleId="222">
    <w:name w:val="layui-layer-tabnow"/>
    <w:autoRedefine/>
    <w:qFormat/>
    <w:uiPriority w:val="0"/>
    <w:rPr>
      <w:rFonts w:eastAsia="等线 Light"/>
      <w:kern w:val="2"/>
      <w:sz w:val="24"/>
      <w:szCs w:val="24"/>
      <w:bdr w:val="single" w:color="CCCCCC" w:sz="6" w:space="0"/>
      <w:shd w:val="clear" w:color="auto" w:fill="FFFFFF"/>
      <w:lang w:val="en-US" w:eastAsia="zh-CN" w:bidi="ar-SA"/>
    </w:rPr>
  </w:style>
  <w:style w:type="character" w:customStyle="1" w:styleId="223">
    <w:name w:val="Char Char6"/>
    <w:autoRedefine/>
    <w:qFormat/>
    <w:uiPriority w:val="0"/>
    <w:rPr>
      <w:rFonts w:ascii="_x001A_" w:eastAsia="_x001A_"/>
      <w:b/>
      <w:sz w:val="28"/>
    </w:rPr>
  </w:style>
  <w:style w:type="character" w:customStyle="1" w:styleId="224">
    <w:name w:val="hover64"/>
    <w:autoRedefine/>
    <w:qFormat/>
    <w:uiPriority w:val="0"/>
    <w:rPr>
      <w:rFonts w:eastAsia="等线 Light"/>
      <w:color w:val="D52222"/>
      <w:kern w:val="2"/>
      <w:sz w:val="24"/>
      <w:szCs w:val="24"/>
      <w:lang w:val="en-US" w:eastAsia="zh-CN" w:bidi="ar-SA"/>
    </w:rPr>
  </w:style>
  <w:style w:type="character" w:customStyle="1" w:styleId="225">
    <w:name w:val="正文文本缩进 Char1"/>
    <w:autoRedefine/>
    <w:semiHidden/>
    <w:qFormat/>
    <w:uiPriority w:val="99"/>
    <w:rPr>
      <w:rFonts w:ascii="宋体"/>
      <w:sz w:val="24"/>
      <w:szCs w:val="24"/>
    </w:rPr>
  </w:style>
  <w:style w:type="character" w:customStyle="1" w:styleId="226">
    <w:name w:val="标题 2 Char"/>
    <w:autoRedefine/>
    <w:qFormat/>
    <w:uiPriority w:val="0"/>
    <w:rPr>
      <w:rFonts w:ascii="楷体_GB2312" w:hAnsi="楷体_GB2312" w:eastAsia="PMingLiU" w:cs="幼圆"/>
      <w:b/>
      <w:bCs/>
      <w:kern w:val="2"/>
      <w:sz w:val="32"/>
      <w:szCs w:val="32"/>
      <w:lang w:val="en-US" w:eastAsia="zh-CN" w:bidi="ar-SA"/>
    </w:rPr>
  </w:style>
  <w:style w:type="character" w:customStyle="1" w:styleId="227">
    <w:name w:val="icon-pd-bbs"/>
    <w:autoRedefine/>
    <w:qFormat/>
    <w:uiPriority w:val="0"/>
  </w:style>
  <w:style w:type="character" w:customStyle="1" w:styleId="228">
    <w:name w:val="正文文本 3 Char"/>
    <w:autoRedefine/>
    <w:qFormat/>
    <w:uiPriority w:val="0"/>
    <w:rPr>
      <w:rFonts w:ascii="等线 Light" w:hAnsi="等线 Light" w:eastAsia="等线 Light" w:cs="幼圆"/>
      <w:kern w:val="2"/>
      <w:sz w:val="28"/>
      <w:szCs w:val="24"/>
      <w:lang w:val="en-US" w:eastAsia="zh-CN" w:bidi="ar-SA"/>
    </w:rPr>
  </w:style>
  <w:style w:type="character" w:customStyle="1" w:styleId="229">
    <w:name w:val="icontext11"/>
    <w:basedOn w:val="57"/>
    <w:autoRedefine/>
    <w:qFormat/>
    <w:uiPriority w:val="0"/>
  </w:style>
  <w:style w:type="character" w:customStyle="1" w:styleId="230">
    <w:name w:val="associateddata"/>
    <w:autoRedefine/>
    <w:qFormat/>
    <w:uiPriority w:val="0"/>
    <w:rPr>
      <w:shd w:val="clear" w:color="auto" w:fill="50A6F9"/>
    </w:rPr>
  </w:style>
  <w:style w:type="character" w:customStyle="1" w:styleId="231">
    <w:name w:val="bigfont1"/>
    <w:autoRedefine/>
    <w:qFormat/>
    <w:uiPriority w:val="0"/>
    <w:rPr>
      <w:rFonts w:hint="default" w:ascii="MS Sans Serif" w:hAnsi="MS Sans Serif"/>
      <w:color w:val="000000"/>
      <w:sz w:val="24"/>
      <w:szCs w:val="24"/>
      <w:u w:val="none"/>
    </w:rPr>
  </w:style>
  <w:style w:type="character" w:customStyle="1" w:styleId="232">
    <w:name w:val="正文文本缩进 2 Char1"/>
    <w:autoRedefine/>
    <w:qFormat/>
    <w:uiPriority w:val="0"/>
    <w:rPr>
      <w:rFonts w:eastAsia="等线 Light"/>
      <w:kern w:val="2"/>
      <w:sz w:val="21"/>
      <w:szCs w:val="24"/>
      <w:lang w:val="en-US" w:eastAsia="zh-CN" w:bidi="ar-SA"/>
    </w:rPr>
  </w:style>
  <w:style w:type="character" w:customStyle="1" w:styleId="233">
    <w:name w:val="正文文本缩进 3 Char"/>
    <w:autoRedefine/>
    <w:qFormat/>
    <w:uiPriority w:val="0"/>
    <w:rPr>
      <w:rFonts w:ascii="幼圆" w:hAnsi="幼圆" w:eastAsia="等线 Light" w:cs="幼圆"/>
      <w:kern w:val="2"/>
      <w:sz w:val="24"/>
      <w:szCs w:val="21"/>
      <w:lang w:val="en-US" w:eastAsia="zh-CN" w:bidi="ar-SA"/>
    </w:rPr>
  </w:style>
  <w:style w:type="character" w:customStyle="1" w:styleId="234">
    <w:name w:val="DAS正文 Char"/>
    <w:autoRedefine/>
    <w:qFormat/>
    <w:uiPriority w:val="0"/>
    <w:rPr>
      <w:rFonts w:ascii="Lucida Grande" w:hAnsi="Lucida Grande" w:eastAsia="等线 Light"/>
      <w:kern w:val="2"/>
      <w:sz w:val="21"/>
      <w:szCs w:val="21"/>
      <w:lang w:val="en-US" w:eastAsia="zh-CN" w:bidi="ar-SA"/>
    </w:rPr>
  </w:style>
  <w:style w:type="character" w:customStyle="1" w:styleId="235">
    <w:name w:val="iconline21"/>
    <w:basedOn w:val="57"/>
    <w:autoRedefine/>
    <w:qFormat/>
    <w:uiPriority w:val="0"/>
  </w:style>
  <w:style w:type="character" w:customStyle="1" w:styleId="236">
    <w:name w:val="cdropright"/>
    <w:basedOn w:val="57"/>
    <w:autoRedefine/>
    <w:qFormat/>
    <w:uiPriority w:val="0"/>
  </w:style>
  <w:style w:type="character" w:customStyle="1" w:styleId="237">
    <w:name w:val="drapbtn"/>
    <w:basedOn w:val="57"/>
    <w:autoRedefine/>
    <w:qFormat/>
    <w:uiPriority w:val="0"/>
  </w:style>
  <w:style w:type="character" w:customStyle="1" w:styleId="238">
    <w:name w:val="HTML Markup"/>
    <w:autoRedefine/>
    <w:qFormat/>
    <w:uiPriority w:val="0"/>
    <w:rPr>
      <w:vanish/>
      <w:color w:val="FF0000"/>
    </w:rPr>
  </w:style>
  <w:style w:type="character" w:customStyle="1" w:styleId="239">
    <w:name w:val="first-child"/>
    <w:autoRedefine/>
    <w:qFormat/>
    <w:uiPriority w:val="0"/>
  </w:style>
  <w:style w:type="character" w:customStyle="1" w:styleId="240">
    <w:name w:val="标题 1 Char1"/>
    <w:autoRedefine/>
    <w:qFormat/>
    <w:uiPriority w:val="0"/>
    <w:rPr>
      <w:rFonts w:eastAsia="等线 Light"/>
      <w:b/>
      <w:bCs/>
      <w:kern w:val="44"/>
      <w:sz w:val="44"/>
      <w:szCs w:val="44"/>
      <w:lang w:val="en-US" w:eastAsia="zh-CN" w:bidi="ar-SA"/>
    </w:rPr>
  </w:style>
  <w:style w:type="character" w:customStyle="1" w:styleId="241">
    <w:name w:val="普通(网站) Char"/>
    <w:autoRedefine/>
    <w:qFormat/>
    <w:uiPriority w:val="99"/>
    <w:rPr>
      <w:rFonts w:ascii="等线 Light" w:hAnsi="等线 Light"/>
      <w:sz w:val="15"/>
      <w:szCs w:val="15"/>
    </w:rPr>
  </w:style>
  <w:style w:type="character" w:customStyle="1" w:styleId="242">
    <w:name w:val="style61"/>
    <w:autoRedefine/>
    <w:qFormat/>
    <w:uiPriority w:val="0"/>
    <w:rPr>
      <w:b/>
      <w:bCs/>
    </w:rPr>
  </w:style>
  <w:style w:type="character" w:customStyle="1" w:styleId="243">
    <w:name w:val="font51"/>
    <w:autoRedefine/>
    <w:qFormat/>
    <w:uiPriority w:val="0"/>
    <w:rPr>
      <w:rFonts w:hint="default" w:ascii="幼圆" w:hAnsi="幼圆" w:cs="幼圆"/>
      <w:color w:val="000000"/>
      <w:sz w:val="20"/>
      <w:szCs w:val="20"/>
      <w:u w:val="none"/>
    </w:rPr>
  </w:style>
  <w:style w:type="character" w:customStyle="1" w:styleId="244">
    <w:name w:val="Char Char Char Char Char Char Char1 Char"/>
    <w:autoRedefine/>
    <w:qFormat/>
    <w:uiPriority w:val="0"/>
    <w:rPr>
      <w:rFonts w:ascii="PMingLiU" w:hAnsi="Lucida Grande" w:eastAsia="PMingLiU"/>
      <w:sz w:val="32"/>
      <w:szCs w:val="32"/>
      <w:lang w:eastAsia="en-US"/>
    </w:rPr>
  </w:style>
  <w:style w:type="character" w:customStyle="1" w:styleId="245">
    <w:name w:val="Char Char2"/>
    <w:autoRedefine/>
    <w:qFormat/>
    <w:uiPriority w:val="0"/>
    <w:rPr>
      <w:kern w:val="2"/>
      <w:sz w:val="21"/>
      <w:szCs w:val="24"/>
    </w:rPr>
  </w:style>
  <w:style w:type="character" w:customStyle="1" w:styleId="246">
    <w:name w:val="标题 8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47">
    <w:name w:val="样式 样式 标准正文 + 宋体 + 黑色 Char Char"/>
    <w:link w:val="248"/>
    <w:autoRedefine/>
    <w:qFormat/>
    <w:uiPriority w:val="0"/>
    <w:rPr>
      <w:rFonts w:ascii="等线 Light" w:hAnsi="等线 Light"/>
      <w:color w:val="000000"/>
      <w:kern w:val="2"/>
      <w:sz w:val="24"/>
    </w:rPr>
  </w:style>
  <w:style w:type="paragraph" w:customStyle="1" w:styleId="248">
    <w:name w:val="样式 样式 标准正文 + 宋体 + 黑色"/>
    <w:basedOn w:val="1"/>
    <w:link w:val="247"/>
    <w:autoRedefine/>
    <w:qFormat/>
    <w:uiPriority w:val="0"/>
    <w:pPr>
      <w:autoSpaceDE/>
      <w:autoSpaceDN/>
      <w:adjustRightInd/>
      <w:spacing w:before="60" w:after="60" w:line="360" w:lineRule="auto"/>
      <w:ind w:firstLine="482"/>
      <w:jc w:val="both"/>
    </w:pPr>
    <w:rPr>
      <w:rFonts w:hAnsi="等线 Light"/>
      <w:color w:val="000000"/>
      <w:kern w:val="2"/>
      <w:szCs w:val="20"/>
    </w:rPr>
  </w:style>
  <w:style w:type="character" w:customStyle="1" w:styleId="249">
    <w:name w:val="尾注文本 字符"/>
    <w:autoRedefine/>
    <w:qFormat/>
    <w:uiPriority w:val="0"/>
    <w:rPr>
      <w:rFonts w:ascii="幼圆" w:hAnsi="幼圆" w:eastAsia="等线 Light" w:cs="幼圆"/>
      <w:kern w:val="2"/>
      <w:sz w:val="24"/>
      <w:szCs w:val="24"/>
      <w:lang w:bidi="ar-SA"/>
    </w:rPr>
  </w:style>
  <w:style w:type="character" w:customStyle="1" w:styleId="250">
    <w:name w:val="article1"/>
    <w:autoRedefine/>
    <w:qFormat/>
    <w:uiPriority w:val="0"/>
    <w:rPr>
      <w:sz w:val="30"/>
      <w:szCs w:val="30"/>
    </w:rPr>
  </w:style>
  <w:style w:type="character" w:customStyle="1" w:styleId="251">
    <w:name w:val="apple-converted-space"/>
    <w:autoRedefine/>
    <w:qFormat/>
    <w:uiPriority w:val="0"/>
  </w:style>
  <w:style w:type="character" w:customStyle="1" w:styleId="252">
    <w:name w:val="纯文本 Char1"/>
    <w:autoRedefine/>
    <w:qFormat/>
    <w:uiPriority w:val="0"/>
    <w:rPr>
      <w:rFonts w:ascii="等线 Light" w:hAnsi="Helv" w:eastAsia="等线 Light" w:cs="Helv"/>
      <w:kern w:val="0"/>
      <w:szCs w:val="21"/>
    </w:rPr>
  </w:style>
  <w:style w:type="character" w:customStyle="1" w:styleId="253">
    <w:name w:val="文档结构图 Char1"/>
    <w:autoRedefine/>
    <w:semiHidden/>
    <w:qFormat/>
    <w:uiPriority w:val="99"/>
    <w:rPr>
      <w:rFonts w:ascii="Microsoft YaHei UI" w:eastAsia="Microsoft YaHei UI"/>
      <w:sz w:val="18"/>
      <w:szCs w:val="18"/>
    </w:rPr>
  </w:style>
  <w:style w:type="character" w:customStyle="1" w:styleId="254">
    <w:name w:val="l-btn-text35"/>
    <w:autoRedefine/>
    <w:qFormat/>
    <w:uiPriority w:val="0"/>
  </w:style>
  <w:style w:type="character" w:customStyle="1" w:styleId="255">
    <w:name w:val=" Char Char Char Char Char Char Char1 Char Char"/>
    <w:link w:val="256"/>
    <w:autoRedefine/>
    <w:qFormat/>
    <w:uiPriority w:val="0"/>
    <w:rPr>
      <w:rFonts w:ascii="PMingLiU" w:hAnsi="Lucida Grande" w:eastAsia="PMingLiU"/>
      <w:sz w:val="32"/>
      <w:szCs w:val="32"/>
      <w:lang w:eastAsia="en-US"/>
    </w:rPr>
  </w:style>
  <w:style w:type="paragraph" w:customStyle="1" w:styleId="256">
    <w:name w:val=" Char Char Char Char Char Char Char1"/>
    <w:basedOn w:val="1"/>
    <w:link w:val="255"/>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57">
    <w:name w:val="hover41"/>
    <w:autoRedefine/>
    <w:qFormat/>
    <w:uiPriority w:val="0"/>
    <w:rPr>
      <w:color w:val="2490F8"/>
    </w:rPr>
  </w:style>
  <w:style w:type="character" w:customStyle="1" w:styleId="258">
    <w:name w:val="font71"/>
    <w:autoRedefine/>
    <w:qFormat/>
    <w:uiPriority w:val="0"/>
    <w:rPr>
      <w:rFonts w:hint="eastAsia" w:ascii="等线 Light" w:hAnsi="等线 Light" w:eastAsia="等线 Light" w:cs="等线 Light"/>
      <w:color w:val="000000"/>
      <w:sz w:val="20"/>
      <w:szCs w:val="20"/>
      <w:u w:val="none"/>
    </w:rPr>
  </w:style>
  <w:style w:type="character" w:customStyle="1" w:styleId="259">
    <w:name w:val="页眉 Char2"/>
    <w:autoRedefine/>
    <w:qFormat/>
    <w:uiPriority w:val="0"/>
    <w:rPr>
      <w:rFonts w:eastAsia="等线 Light"/>
      <w:kern w:val="2"/>
      <w:sz w:val="18"/>
      <w:szCs w:val="18"/>
      <w:lang w:val="en-US" w:eastAsia="zh-CN" w:bidi="ar-SA"/>
    </w:rPr>
  </w:style>
  <w:style w:type="character" w:customStyle="1" w:styleId="260">
    <w:name w:val="首航所进 Char"/>
    <w:autoRedefine/>
    <w:qFormat/>
    <w:uiPriority w:val="0"/>
    <w:rPr>
      <w:rFonts w:eastAsia="等线 Light"/>
      <w:kern w:val="2"/>
      <w:sz w:val="24"/>
      <w:szCs w:val="24"/>
      <w:lang w:val="en-US" w:eastAsia="zh-CN" w:bidi="ar-SA"/>
    </w:rPr>
  </w:style>
  <w:style w:type="character" w:customStyle="1" w:styleId="261">
    <w:name w:val="样式 样式 标准正文 + 宋体 + 黑色 Char"/>
    <w:autoRedefine/>
    <w:qFormat/>
    <w:uiPriority w:val="0"/>
    <w:rPr>
      <w:rFonts w:ascii="等线 Light" w:hAnsi="等线 Light" w:eastAsia="等线 Light"/>
      <w:color w:val="000000"/>
      <w:kern w:val="2"/>
      <w:sz w:val="24"/>
      <w:lang w:val="en-US" w:eastAsia="zh-CN" w:bidi="ar-SA"/>
    </w:rPr>
  </w:style>
  <w:style w:type="character" w:customStyle="1" w:styleId="262">
    <w:name w:val="Char Char Char Char Char Char Char1 Char Char"/>
    <w:link w:val="263"/>
    <w:autoRedefine/>
    <w:qFormat/>
    <w:uiPriority w:val="0"/>
    <w:rPr>
      <w:rFonts w:ascii="PMingLiU" w:hAnsi="Lucida Grande" w:eastAsia="PMingLiU"/>
      <w:sz w:val="32"/>
      <w:szCs w:val="32"/>
      <w:lang w:eastAsia="en-US"/>
    </w:rPr>
  </w:style>
  <w:style w:type="paragraph" w:customStyle="1" w:styleId="263">
    <w:name w:val="Char Char Char Char Char Char Char1"/>
    <w:basedOn w:val="1"/>
    <w:link w:val="262"/>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64">
    <w:name w:val="ca-31"/>
    <w:autoRedefine/>
    <w:qFormat/>
    <w:uiPriority w:val="0"/>
    <w:rPr>
      <w:rFonts w:hint="eastAsia" w:ascii="微软雅黑" w:eastAsia="微软雅黑"/>
      <w:kern w:val="2"/>
      <w:sz w:val="32"/>
      <w:szCs w:val="32"/>
      <w:lang w:val="en-US" w:eastAsia="zh-CN" w:bidi="ar-SA"/>
    </w:rPr>
  </w:style>
  <w:style w:type="character" w:customStyle="1" w:styleId="265">
    <w:name w:val="hover63"/>
    <w:autoRedefine/>
    <w:qFormat/>
    <w:uiPriority w:val="0"/>
    <w:rPr>
      <w:rFonts w:eastAsia="等线 Light"/>
      <w:color w:val="2B84B5"/>
      <w:kern w:val="2"/>
      <w:sz w:val="24"/>
      <w:szCs w:val="24"/>
      <w:lang w:val="en-US" w:eastAsia="zh-CN" w:bidi="ar-SA"/>
    </w:rPr>
  </w:style>
  <w:style w:type="character" w:customStyle="1" w:styleId="266">
    <w:name w:val="标题 2 字符1"/>
    <w:autoRedefine/>
    <w:qFormat/>
    <w:uiPriority w:val="0"/>
    <w:rPr>
      <w:rFonts w:ascii="楷体_GB2312" w:hAnsi="楷体_GB2312" w:eastAsia="PMingLiU"/>
      <w:b/>
      <w:bCs/>
      <w:kern w:val="2"/>
      <w:sz w:val="32"/>
      <w:szCs w:val="32"/>
      <w:lang w:val="en-US" w:eastAsia="zh-CN" w:bidi="ar-SA"/>
    </w:rPr>
  </w:style>
  <w:style w:type="character" w:customStyle="1" w:styleId="267">
    <w:name w:val="页眉 Char"/>
    <w:autoRedefine/>
    <w:qFormat/>
    <w:uiPriority w:val="99"/>
    <w:rPr>
      <w:rFonts w:eastAsia="等线 Light"/>
      <w:kern w:val="2"/>
      <w:sz w:val="18"/>
      <w:szCs w:val="18"/>
      <w:lang w:val="en-US" w:eastAsia="zh-CN" w:bidi="ar-SA"/>
    </w:rPr>
  </w:style>
  <w:style w:type="character" w:customStyle="1" w:styleId="268">
    <w:name w:val="after"/>
    <w:autoRedefine/>
    <w:qFormat/>
    <w:uiPriority w:val="0"/>
    <w:rPr>
      <w:sz w:val="16"/>
      <w:szCs w:val="0"/>
    </w:rPr>
  </w:style>
  <w:style w:type="character" w:customStyle="1" w:styleId="269">
    <w:name w:val="pagechatarealistclose_box1"/>
    <w:basedOn w:val="57"/>
    <w:autoRedefine/>
    <w:qFormat/>
    <w:uiPriority w:val="0"/>
  </w:style>
  <w:style w:type="character" w:customStyle="1" w:styleId="270">
    <w:name w:val="批注主题 Char2"/>
    <w:autoRedefine/>
    <w:qFormat/>
    <w:uiPriority w:val="99"/>
    <w:rPr>
      <w:rFonts w:eastAsia="等线 Light"/>
      <w:b/>
      <w:bCs/>
      <w:kern w:val="2"/>
      <w:sz w:val="21"/>
      <w:szCs w:val="24"/>
      <w:lang w:val="en-US" w:eastAsia="zh-CN" w:bidi="ar-SA"/>
    </w:rPr>
  </w:style>
  <w:style w:type="character" w:customStyle="1" w:styleId="271">
    <w:name w:val="标题 7 Char1"/>
    <w:autoRedefine/>
    <w:qFormat/>
    <w:uiPriority w:val="0"/>
    <w:rPr>
      <w:rFonts w:eastAsia="等线 Light"/>
      <w:bCs/>
      <w:color w:val="000000"/>
      <w:kern w:val="2"/>
      <w:sz w:val="32"/>
      <w:szCs w:val="21"/>
      <w:lang w:val="en-US" w:eastAsia="zh-CN" w:bidi="ar-SA"/>
    </w:rPr>
  </w:style>
  <w:style w:type="character" w:customStyle="1" w:styleId="272">
    <w:name w:val="tmpztreemove_arrow"/>
    <w:basedOn w:val="57"/>
    <w:autoRedefine/>
    <w:qFormat/>
    <w:uiPriority w:val="0"/>
  </w:style>
  <w:style w:type="character" w:customStyle="1" w:styleId="273">
    <w:name w:val="页脚 Char2"/>
    <w:autoRedefine/>
    <w:qFormat/>
    <w:uiPriority w:val="99"/>
    <w:rPr>
      <w:rFonts w:eastAsia="等线 Light"/>
      <w:kern w:val="2"/>
      <w:sz w:val="18"/>
      <w:szCs w:val="18"/>
      <w:lang w:val="en-US" w:eastAsia="zh-CN" w:bidi="ar-SA"/>
    </w:rPr>
  </w:style>
  <w:style w:type="character" w:customStyle="1" w:styleId="274">
    <w:name w:val="button"/>
    <w:basedOn w:val="57"/>
    <w:autoRedefine/>
    <w:qFormat/>
    <w:uiPriority w:val="0"/>
  </w:style>
  <w:style w:type="character" w:customStyle="1" w:styleId="275">
    <w:name w:val="标题 5 字符"/>
    <w:autoRedefine/>
    <w:qFormat/>
    <w:uiPriority w:val="0"/>
    <w:rPr>
      <w:rFonts w:ascii="等线 Light"/>
      <w:b/>
      <w:bCs/>
      <w:sz w:val="28"/>
      <w:szCs w:val="28"/>
    </w:rPr>
  </w:style>
  <w:style w:type="character" w:customStyle="1" w:styleId="276">
    <w:name w:val="icontext1"/>
    <w:basedOn w:val="57"/>
    <w:autoRedefine/>
    <w:qFormat/>
    <w:uiPriority w:val="0"/>
  </w:style>
  <w:style w:type="character" w:customStyle="1" w:styleId="277">
    <w:name w:val="标题 Char1"/>
    <w:autoRedefine/>
    <w:qFormat/>
    <w:uiPriority w:val="10"/>
    <w:rPr>
      <w:rFonts w:ascii="Calibri Light" w:hAnsi="Calibri Light" w:cs="Times New Roman"/>
      <w:b/>
      <w:bCs/>
      <w:sz w:val="32"/>
      <w:szCs w:val="32"/>
    </w:rPr>
  </w:style>
  <w:style w:type="character" w:customStyle="1" w:styleId="278">
    <w:name w:val="吉奥正文 Char"/>
    <w:link w:val="279"/>
    <w:autoRedefine/>
    <w:qFormat/>
    <w:locked/>
    <w:uiPriority w:val="0"/>
    <w:rPr>
      <w:rFonts w:eastAsia="微软雅黑"/>
      <w:kern w:val="2"/>
      <w:sz w:val="28"/>
    </w:rPr>
  </w:style>
  <w:style w:type="paragraph" w:customStyle="1" w:styleId="279">
    <w:name w:val="吉奥正文"/>
    <w:basedOn w:val="1"/>
    <w:link w:val="278"/>
    <w:autoRedefine/>
    <w:qFormat/>
    <w:uiPriority w:val="0"/>
    <w:pPr>
      <w:autoSpaceDE/>
      <w:autoSpaceDN/>
      <w:snapToGrid w:val="0"/>
      <w:spacing w:before="120" w:line="360" w:lineRule="auto"/>
      <w:ind w:firstLine="200" w:firstLineChars="200"/>
      <w:jc w:val="both"/>
      <w:textAlignment w:val="baseline"/>
    </w:pPr>
    <w:rPr>
      <w:rFonts w:ascii="Times New Roman" w:eastAsia="微软雅黑"/>
      <w:kern w:val="2"/>
      <w:sz w:val="28"/>
      <w:szCs w:val="20"/>
    </w:rPr>
  </w:style>
  <w:style w:type="character" w:customStyle="1" w:styleId="280">
    <w:name w:val="纯文本 字符2"/>
    <w:autoRedefine/>
    <w:qFormat/>
    <w:uiPriority w:val="0"/>
    <w:rPr>
      <w:rFonts w:ascii="等线 Light" w:hAnsi="Helv" w:eastAsia="等线 Light"/>
    </w:rPr>
  </w:style>
  <w:style w:type="character" w:customStyle="1" w:styleId="281">
    <w:name w:val="ico1654"/>
    <w:basedOn w:val="57"/>
    <w:autoRedefine/>
    <w:qFormat/>
    <w:uiPriority w:val="0"/>
  </w:style>
  <w:style w:type="character" w:customStyle="1" w:styleId="282">
    <w:name w:val="批注文字 字符2"/>
    <w:autoRedefine/>
    <w:qFormat/>
    <w:uiPriority w:val="99"/>
    <w:rPr>
      <w:rFonts w:ascii="等线 Light" w:hAnsi="幼圆" w:eastAsia="等线 Light" w:cs="幼圆"/>
      <w:kern w:val="0"/>
      <w:sz w:val="24"/>
      <w:szCs w:val="24"/>
    </w:rPr>
  </w:style>
  <w:style w:type="character" w:customStyle="1" w:styleId="283">
    <w:name w:val="icon-help-center"/>
    <w:autoRedefine/>
    <w:qFormat/>
    <w:uiPriority w:val="0"/>
  </w:style>
  <w:style w:type="character" w:customStyle="1" w:styleId="284">
    <w:name w:val="批注文字 Char1"/>
    <w:autoRedefine/>
    <w:qFormat/>
    <w:uiPriority w:val="99"/>
    <w:rPr>
      <w:rFonts w:ascii="幼圆" w:hAnsi="幼圆" w:eastAsia="Cambria Math" w:cs="幼圆"/>
      <w:spacing w:val="-20"/>
      <w:sz w:val="32"/>
      <w:szCs w:val="20"/>
    </w:rPr>
  </w:style>
  <w:style w:type="character" w:customStyle="1" w:styleId="285">
    <w:name w:val="HTML 预设格式 Char1"/>
    <w:autoRedefine/>
    <w:qFormat/>
    <w:uiPriority w:val="99"/>
    <w:rPr>
      <w:rFonts w:ascii="Helv" w:hAnsi="Helv" w:eastAsia="等线 Light" w:cs="Helv"/>
      <w:kern w:val="0"/>
      <w:sz w:val="20"/>
      <w:szCs w:val="20"/>
    </w:rPr>
  </w:style>
  <w:style w:type="character" w:customStyle="1" w:styleId="286">
    <w:name w:val="标题 3 Char"/>
    <w:autoRedefine/>
    <w:qFormat/>
    <w:uiPriority w:val="0"/>
    <w:rPr>
      <w:rFonts w:ascii="幼圆" w:hAnsi="幼圆" w:eastAsia="等线 Light" w:cs="幼圆"/>
      <w:b/>
      <w:bCs/>
      <w:kern w:val="2"/>
      <w:sz w:val="32"/>
      <w:szCs w:val="32"/>
      <w:lang w:val="en-US" w:eastAsia="zh-CN" w:bidi="ar-SA"/>
    </w:rPr>
  </w:style>
  <w:style w:type="character" w:customStyle="1" w:styleId="287">
    <w:name w:val="正文文本缩进 字符1"/>
    <w:autoRedefine/>
    <w:qFormat/>
    <w:uiPriority w:val="0"/>
    <w:rPr>
      <w:rFonts w:ascii="幼圆" w:hAnsi="幼圆" w:eastAsia="等线 Light" w:cs="幼圆"/>
      <w:szCs w:val="20"/>
    </w:rPr>
  </w:style>
  <w:style w:type="character" w:customStyle="1" w:styleId="288">
    <w:name w:val=" Char Char2"/>
    <w:autoRedefine/>
    <w:qFormat/>
    <w:uiPriority w:val="0"/>
    <w:rPr>
      <w:rFonts w:ascii="等线 Light" w:hAnsi="Helv" w:eastAsia="等线 Light"/>
      <w:kern w:val="2"/>
      <w:sz w:val="21"/>
      <w:lang w:val="en-US" w:eastAsia="zh-CN" w:bidi="ar-SA"/>
    </w:rPr>
  </w:style>
  <w:style w:type="character" w:customStyle="1" w:styleId="289">
    <w:name w:val="标题 3 Char1"/>
    <w:autoRedefine/>
    <w:qFormat/>
    <w:uiPriority w:val="0"/>
    <w:rPr>
      <w:rFonts w:eastAsia="等线 Light"/>
      <w:b/>
      <w:bCs/>
      <w:kern w:val="2"/>
      <w:sz w:val="32"/>
      <w:szCs w:val="32"/>
      <w:lang w:val="en-US" w:eastAsia="zh-CN" w:bidi="ar-SA"/>
    </w:rPr>
  </w:style>
  <w:style w:type="character" w:customStyle="1" w:styleId="290">
    <w:name w:val="copytolefthover"/>
    <w:autoRedefine/>
    <w:qFormat/>
    <w:uiPriority w:val="0"/>
    <w:rPr>
      <w:vanish/>
    </w:rPr>
  </w:style>
  <w:style w:type="character" w:customStyle="1" w:styleId="291">
    <w:name w:val="w32"/>
    <w:basedOn w:val="57"/>
    <w:autoRedefine/>
    <w:qFormat/>
    <w:uiPriority w:val="0"/>
  </w:style>
  <w:style w:type="character" w:customStyle="1" w:styleId="292">
    <w:name w:val="纯文本 Char"/>
    <w:autoRedefine/>
    <w:qFormat/>
    <w:uiPriority w:val="0"/>
    <w:rPr>
      <w:rFonts w:ascii="等线 Light" w:hAnsi="Helv" w:eastAsia="等线 Light" w:cs="幼圆"/>
      <w:szCs w:val="20"/>
    </w:rPr>
  </w:style>
  <w:style w:type="character" w:customStyle="1" w:styleId="293">
    <w:name w:val="标题 2 Char2"/>
    <w:autoRedefine/>
    <w:qFormat/>
    <w:uiPriority w:val="0"/>
    <w:rPr>
      <w:rFonts w:ascii="楷体_GB2312" w:hAnsi="楷体_GB2312" w:eastAsia="PMingLiU"/>
      <w:b/>
      <w:bCs/>
      <w:kern w:val="2"/>
      <w:sz w:val="32"/>
      <w:szCs w:val="32"/>
      <w:lang w:val="en-US" w:eastAsia="zh-CN" w:bidi="ar-SA"/>
    </w:rPr>
  </w:style>
  <w:style w:type="character" w:customStyle="1" w:styleId="294">
    <w:name w:val="eschoolnr"/>
    <w:autoRedefine/>
    <w:qFormat/>
    <w:uiPriority w:val="0"/>
    <w:rPr>
      <w:sz w:val="23"/>
      <w:szCs w:val="23"/>
    </w:rPr>
  </w:style>
  <w:style w:type="character" w:customStyle="1" w:styleId="295">
    <w:name w:val="题注 字符"/>
    <w:autoRedefine/>
    <w:qFormat/>
    <w:uiPriority w:val="0"/>
    <w:rPr>
      <w:rFonts w:ascii="等线 Light" w:hAnsi="等线 Light" w:eastAsia="PMingLiU" w:cs="幼圆"/>
      <w:b/>
      <w:szCs w:val="21"/>
    </w:rPr>
  </w:style>
  <w:style w:type="character" w:customStyle="1" w:styleId="296">
    <w:name w:val="List Paragraph Char"/>
    <w:link w:val="297"/>
    <w:autoRedefine/>
    <w:qFormat/>
    <w:uiPriority w:val="34"/>
    <w:rPr>
      <w:rFonts w:ascii="Arial Unicode MS" w:hAnsi="Arial Unicode MS"/>
      <w:kern w:val="2"/>
      <w:sz w:val="21"/>
      <w:szCs w:val="22"/>
    </w:rPr>
  </w:style>
  <w:style w:type="paragraph" w:customStyle="1" w:styleId="297">
    <w:name w:val="列出段落1"/>
    <w:basedOn w:val="1"/>
    <w:link w:val="296"/>
    <w:autoRedefine/>
    <w:qFormat/>
    <w:uiPriority w:val="34"/>
    <w:pPr>
      <w:autoSpaceDE/>
      <w:autoSpaceDN/>
      <w:adjustRightInd/>
      <w:ind w:firstLine="420" w:firstLineChars="200"/>
      <w:jc w:val="both"/>
    </w:pPr>
    <w:rPr>
      <w:rFonts w:ascii="Arial Unicode MS" w:hAnsi="Arial Unicode MS"/>
      <w:kern w:val="2"/>
      <w:sz w:val="21"/>
      <w:szCs w:val="22"/>
    </w:rPr>
  </w:style>
  <w:style w:type="character" w:customStyle="1" w:styleId="298">
    <w:name w:val="网格表 1 浅色1"/>
    <w:autoRedefine/>
    <w:qFormat/>
    <w:uiPriority w:val="33"/>
    <w:rPr>
      <w:rFonts w:eastAsia="等线 Light"/>
      <w:b/>
      <w:bCs/>
      <w:smallCaps/>
      <w:spacing w:val="5"/>
      <w:kern w:val="2"/>
      <w:sz w:val="24"/>
      <w:szCs w:val="24"/>
      <w:lang w:val="en-US" w:eastAsia="zh-CN" w:bidi="ar-SA"/>
    </w:rPr>
  </w:style>
  <w:style w:type="character" w:customStyle="1" w:styleId="299">
    <w:name w:val="标题 2 Char1"/>
    <w:autoRedefine/>
    <w:qFormat/>
    <w:uiPriority w:val="0"/>
    <w:rPr>
      <w:rFonts w:ascii="楷体_GB2312" w:hAnsi="楷体_GB2312" w:eastAsia="PMingLiU" w:cs="幼圆"/>
      <w:b/>
      <w:kern w:val="0"/>
      <w:sz w:val="32"/>
      <w:szCs w:val="20"/>
    </w:rPr>
  </w:style>
  <w:style w:type="character" w:customStyle="1" w:styleId="300">
    <w:name w:val="日期 Char2"/>
    <w:autoRedefine/>
    <w:qFormat/>
    <w:uiPriority w:val="0"/>
    <w:rPr>
      <w:rFonts w:eastAsia="等线 Light"/>
      <w:kern w:val="2"/>
      <w:sz w:val="24"/>
      <w:szCs w:val="24"/>
      <w:lang w:val="en-US" w:eastAsia="zh-CN" w:bidi="ar-SA"/>
    </w:rPr>
  </w:style>
  <w:style w:type="character" w:customStyle="1" w:styleId="301">
    <w:name w:val="页眉 Char1"/>
    <w:autoRedefine/>
    <w:semiHidden/>
    <w:qFormat/>
    <w:uiPriority w:val="99"/>
    <w:rPr>
      <w:rFonts w:ascii="等线 Light" w:hAnsi="幼圆" w:eastAsia="等线 Light" w:cs="幼圆"/>
      <w:kern w:val="0"/>
      <w:sz w:val="18"/>
      <w:szCs w:val="18"/>
    </w:rPr>
  </w:style>
  <w:style w:type="character" w:customStyle="1" w:styleId="302">
    <w:name w:val="para"/>
    <w:autoRedefine/>
    <w:qFormat/>
    <w:uiPriority w:val="0"/>
    <w:rPr>
      <w:rFonts w:eastAsia="等线 Light"/>
      <w:kern w:val="2"/>
      <w:sz w:val="24"/>
      <w:szCs w:val="24"/>
      <w:lang w:val="en-US" w:eastAsia="zh-CN" w:bidi="ar-SA"/>
    </w:rPr>
  </w:style>
  <w:style w:type="character" w:customStyle="1" w:styleId="303">
    <w:name w:val="标题 4 Char2"/>
    <w:autoRedefine/>
    <w:qFormat/>
    <w:uiPriority w:val="0"/>
    <w:rPr>
      <w:rFonts w:ascii="楷体_GB2312" w:hAnsi="楷体_GB2312" w:eastAsia="PMingLiU"/>
      <w:b/>
      <w:bCs/>
      <w:kern w:val="2"/>
      <w:sz w:val="28"/>
      <w:szCs w:val="28"/>
      <w:lang w:val="en-US" w:eastAsia="zh-CN" w:bidi="ar-SA"/>
    </w:rPr>
  </w:style>
  <w:style w:type="character" w:customStyle="1" w:styleId="304">
    <w:name w:val="正文缩进 字符"/>
    <w:autoRedefine/>
    <w:qFormat/>
    <w:uiPriority w:val="0"/>
    <w:rPr>
      <w:rFonts w:ascii="幼圆" w:hAnsi="幼圆" w:eastAsia="等线 Light" w:cs="幼圆"/>
      <w:kern w:val="0"/>
      <w:sz w:val="20"/>
      <w:szCs w:val="20"/>
    </w:rPr>
  </w:style>
  <w:style w:type="character" w:customStyle="1" w:styleId="305">
    <w:name w:val="批注主题 Char1"/>
    <w:autoRedefine/>
    <w:semiHidden/>
    <w:qFormat/>
    <w:uiPriority w:val="99"/>
    <w:rPr>
      <w:rFonts w:ascii="宋体" w:hAnsi="幼圆" w:eastAsia="等线 Light" w:cs="幼圆"/>
      <w:b/>
      <w:bCs/>
      <w:kern w:val="2"/>
      <w:sz w:val="24"/>
      <w:szCs w:val="24"/>
      <w:lang w:val="en-US" w:eastAsia="zh-CN" w:bidi="ar-SA"/>
    </w:rPr>
  </w:style>
  <w:style w:type="character" w:customStyle="1" w:styleId="306">
    <w:name w:val="纯文本 字符1"/>
    <w:autoRedefine/>
    <w:qFormat/>
    <w:uiPriority w:val="0"/>
    <w:rPr>
      <w:rFonts w:ascii="等线 Light" w:hAnsi="Helv" w:eastAsia="等线 Light"/>
      <w:kern w:val="2"/>
      <w:sz w:val="21"/>
      <w:szCs w:val="24"/>
      <w:lang w:val="en-US" w:eastAsia="zh-CN" w:bidi="ar-SA"/>
    </w:rPr>
  </w:style>
  <w:style w:type="character" w:customStyle="1" w:styleId="307">
    <w:name w:val="正文文本 Char1"/>
    <w:autoRedefine/>
    <w:qFormat/>
    <w:uiPriority w:val="99"/>
    <w:rPr>
      <w:rFonts w:ascii="等线 Light" w:hAnsi="幼圆" w:eastAsia="等线 Light" w:cs="幼圆"/>
      <w:kern w:val="0"/>
      <w:sz w:val="24"/>
      <w:szCs w:val="24"/>
    </w:rPr>
  </w:style>
  <w:style w:type="character" w:customStyle="1" w:styleId="308">
    <w:name w:val="Char Char9"/>
    <w:autoRedefine/>
    <w:qFormat/>
    <w:uiPriority w:val="0"/>
    <w:rPr>
      <w:kern w:val="2"/>
      <w:sz w:val="18"/>
      <w:szCs w:val="18"/>
    </w:rPr>
  </w:style>
  <w:style w:type="character" w:customStyle="1" w:styleId="309">
    <w:name w:val="d Char"/>
    <w:autoRedefine/>
    <w:qFormat/>
    <w:uiPriority w:val="0"/>
    <w:rPr>
      <w:rFonts w:ascii="等线 Light" w:hAnsi="等线 Light" w:eastAsia="等线 Light" w:cs="楷体_GB2312"/>
      <w:snapToGrid w:val="0"/>
      <w:kern w:val="2"/>
      <w:sz w:val="21"/>
      <w:szCs w:val="21"/>
      <w:lang w:val="en-US" w:eastAsia="zh-CN" w:bidi="ar-SA"/>
    </w:rPr>
  </w:style>
  <w:style w:type="character" w:customStyle="1" w:styleId="310">
    <w:name w:val="标题 3 Char1 Char"/>
    <w:autoRedefine/>
    <w:qFormat/>
    <w:uiPriority w:val="0"/>
    <w:rPr>
      <w:rFonts w:eastAsia="等线 Light"/>
      <w:b/>
      <w:bCs/>
      <w:kern w:val="2"/>
      <w:sz w:val="32"/>
      <w:szCs w:val="32"/>
      <w:lang w:val="en-US" w:eastAsia="zh-CN" w:bidi="ar-SA"/>
    </w:rPr>
  </w:style>
  <w:style w:type="character" w:customStyle="1" w:styleId="311">
    <w:name w:val="标题 6 Char"/>
    <w:autoRedefine/>
    <w:qFormat/>
    <w:uiPriority w:val="0"/>
    <w:rPr>
      <w:rFonts w:ascii="楷体_GB2312" w:hAnsi="楷体_GB2312" w:eastAsia="PMingLiU" w:cs="幼圆"/>
      <w:b/>
      <w:bCs/>
      <w:kern w:val="2"/>
      <w:sz w:val="24"/>
      <w:szCs w:val="24"/>
      <w:lang w:val="en-US" w:eastAsia="zh-CN" w:bidi="ar-SA"/>
    </w:rPr>
  </w:style>
  <w:style w:type="character" w:customStyle="1" w:styleId="312">
    <w:name w:val="脚注文本 字符"/>
    <w:autoRedefine/>
    <w:qFormat/>
    <w:uiPriority w:val="0"/>
    <w:rPr>
      <w:rFonts w:ascii="幼圆" w:hAnsi="幼圆" w:eastAsia="等线 Light" w:cs="幼圆"/>
      <w:kern w:val="2"/>
      <w:sz w:val="18"/>
      <w:szCs w:val="18"/>
      <w:lang w:bidi="ar-SA"/>
    </w:rPr>
  </w:style>
  <w:style w:type="character" w:customStyle="1" w:styleId="313">
    <w:name w:val="正文文本缩进 Char2"/>
    <w:autoRedefine/>
    <w:qFormat/>
    <w:uiPriority w:val="0"/>
    <w:rPr>
      <w:rFonts w:eastAsia="等线 Light"/>
      <w:kern w:val="2"/>
      <w:sz w:val="28"/>
      <w:szCs w:val="24"/>
      <w:lang w:val="en-US" w:eastAsia="zh-CN" w:bidi="ar-SA"/>
    </w:rPr>
  </w:style>
  <w:style w:type="character" w:customStyle="1" w:styleId="314">
    <w:name w:val="标题 5 Char"/>
    <w:autoRedefine/>
    <w:qFormat/>
    <w:uiPriority w:val="0"/>
    <w:rPr>
      <w:rFonts w:ascii="幼圆" w:hAnsi="幼圆" w:eastAsia="等线 Light" w:cs="幼圆"/>
      <w:b/>
      <w:bCs/>
      <w:kern w:val="2"/>
      <w:sz w:val="28"/>
      <w:szCs w:val="28"/>
      <w:lang w:val="en-US" w:eastAsia="zh-CN" w:bidi="ar-SA"/>
    </w:rPr>
  </w:style>
  <w:style w:type="character" w:customStyle="1" w:styleId="315">
    <w:name w:val="正文首行缩进 Char"/>
    <w:autoRedefine/>
    <w:qFormat/>
    <w:uiPriority w:val="0"/>
    <w:rPr>
      <w:rFonts w:eastAsia="等线 Light"/>
      <w:kern w:val="2"/>
      <w:sz w:val="21"/>
      <w:szCs w:val="24"/>
      <w:lang w:val="en-US" w:eastAsia="zh-CN" w:bidi="ar-SA"/>
    </w:rPr>
  </w:style>
  <w:style w:type="character" w:customStyle="1" w:styleId="316">
    <w:name w:val="black11"/>
    <w:autoRedefine/>
    <w:qFormat/>
    <w:uiPriority w:val="0"/>
    <w:rPr>
      <w:color w:val="000000"/>
      <w:sz w:val="18"/>
      <w:szCs w:val="18"/>
    </w:rPr>
  </w:style>
  <w:style w:type="character" w:customStyle="1" w:styleId="317">
    <w:name w:val="hover22"/>
    <w:autoRedefine/>
    <w:qFormat/>
    <w:uiPriority w:val="0"/>
    <w:rPr>
      <w:color w:val="2B84B5"/>
    </w:rPr>
  </w:style>
  <w:style w:type="character" w:customStyle="1" w:styleId="318">
    <w:name w:val="正文文本缩进 3 Char2"/>
    <w:autoRedefine/>
    <w:qFormat/>
    <w:uiPriority w:val="0"/>
    <w:rPr>
      <w:rFonts w:eastAsia="等线 Light"/>
      <w:kern w:val="2"/>
      <w:sz w:val="21"/>
      <w:szCs w:val="21"/>
      <w:lang w:val="en-US" w:eastAsia="zh-CN" w:bidi="ar-SA"/>
    </w:rPr>
  </w:style>
  <w:style w:type="character" w:customStyle="1" w:styleId="319">
    <w:name w:val="脚注文本 Char2"/>
    <w:autoRedefine/>
    <w:semiHidden/>
    <w:qFormat/>
    <w:uiPriority w:val="99"/>
    <w:rPr>
      <w:rFonts w:ascii="等线 Light"/>
      <w:sz w:val="18"/>
      <w:szCs w:val="18"/>
    </w:rPr>
  </w:style>
  <w:style w:type="character" w:customStyle="1" w:styleId="320">
    <w:name w:val="ico1655"/>
    <w:basedOn w:val="57"/>
    <w:autoRedefine/>
    <w:qFormat/>
    <w:uiPriority w:val="0"/>
  </w:style>
  <w:style w:type="character" w:customStyle="1" w:styleId="321">
    <w:name w:val="huei12b1"/>
    <w:autoRedefine/>
    <w:qFormat/>
    <w:uiPriority w:val="0"/>
    <w:rPr>
      <w:b/>
      <w:bCs/>
      <w:color w:val="333333"/>
      <w:sz w:val="18"/>
      <w:szCs w:val="18"/>
    </w:rPr>
  </w:style>
  <w:style w:type="character" w:customStyle="1" w:styleId="322">
    <w:name w:val="普通(网站) 字符1"/>
    <w:autoRedefine/>
    <w:qFormat/>
    <w:locked/>
    <w:uiPriority w:val="0"/>
    <w:rPr>
      <w:rFonts w:ascii="等线 Light" w:hAnsi="等线 Light"/>
      <w:sz w:val="15"/>
      <w:szCs w:val="15"/>
    </w:rPr>
  </w:style>
  <w:style w:type="character" w:customStyle="1" w:styleId="323">
    <w:name w:val="ca-51"/>
    <w:autoRedefine/>
    <w:qFormat/>
    <w:uiPriority w:val="0"/>
    <w:rPr>
      <w:rFonts w:hint="eastAsia" w:ascii="微软雅黑" w:eastAsia="微软雅黑"/>
      <w:color w:val="FF00FF"/>
      <w:kern w:val="2"/>
      <w:sz w:val="32"/>
      <w:szCs w:val="32"/>
      <w:lang w:val="en-US" w:eastAsia="zh-CN" w:bidi="ar-SA"/>
    </w:rPr>
  </w:style>
  <w:style w:type="character" w:customStyle="1" w:styleId="324">
    <w:name w:val="_Style 323"/>
    <w:autoRedefine/>
    <w:qFormat/>
    <w:uiPriority w:val="33"/>
    <w:rPr>
      <w:rFonts w:eastAsia="等线 Light"/>
      <w:b/>
      <w:bCs/>
      <w:smallCaps/>
      <w:spacing w:val="5"/>
      <w:kern w:val="2"/>
      <w:sz w:val="24"/>
      <w:szCs w:val="24"/>
      <w:lang w:val="en-US" w:eastAsia="zh-CN" w:bidi="ar-SA"/>
    </w:rPr>
  </w:style>
  <w:style w:type="character" w:customStyle="1" w:styleId="325">
    <w:name w:val="font31"/>
    <w:basedOn w:val="57"/>
    <w:autoRedefine/>
    <w:qFormat/>
    <w:uiPriority w:val="0"/>
    <w:rPr>
      <w:rFonts w:ascii="黑体" w:hAnsi="黑体" w:eastAsia="黑体" w:cs="黑体"/>
      <w:color w:val="000000"/>
      <w:sz w:val="22"/>
      <w:szCs w:val="22"/>
      <w:u w:val="none"/>
    </w:rPr>
  </w:style>
  <w:style w:type="character" w:customStyle="1" w:styleId="326">
    <w:name w:val="ca-1"/>
    <w:autoRedefine/>
    <w:qFormat/>
    <w:uiPriority w:val="0"/>
  </w:style>
  <w:style w:type="character" w:customStyle="1" w:styleId="327">
    <w:name w:val="签名 Char3"/>
    <w:autoRedefine/>
    <w:semiHidden/>
    <w:qFormat/>
    <w:uiPriority w:val="99"/>
    <w:rPr>
      <w:rFonts w:ascii="等线 Light"/>
      <w:sz w:val="24"/>
      <w:szCs w:val="24"/>
    </w:rPr>
  </w:style>
  <w:style w:type="character" w:customStyle="1" w:styleId="328">
    <w:name w:val="pt9-hui-line201"/>
    <w:autoRedefine/>
    <w:qFormat/>
    <w:uiPriority w:val="0"/>
    <w:rPr>
      <w:color w:val="333333"/>
      <w:sz w:val="18"/>
      <w:szCs w:val="18"/>
      <w:u w:val="none"/>
    </w:rPr>
  </w:style>
  <w:style w:type="character" w:customStyle="1" w:styleId="329">
    <w:name w:val="纯文本 Char3"/>
    <w:autoRedefine/>
    <w:qFormat/>
    <w:uiPriority w:val="0"/>
    <w:rPr>
      <w:rFonts w:ascii="等线 Light" w:hAnsi="Helv" w:eastAsia="等线 Light"/>
      <w:kern w:val="2"/>
      <w:sz w:val="21"/>
      <w:szCs w:val="24"/>
      <w:lang w:val="en-US" w:eastAsia="zh-CN" w:bidi="ar-SA"/>
    </w:rPr>
  </w:style>
  <w:style w:type="character" w:customStyle="1" w:styleId="330">
    <w:name w:val="文档结构图 Char"/>
    <w:autoRedefine/>
    <w:qFormat/>
    <w:uiPriority w:val="99"/>
    <w:rPr>
      <w:rFonts w:ascii="幼圆" w:hAnsi="幼圆" w:eastAsia="等线 Light" w:cs="幼圆"/>
      <w:kern w:val="2"/>
      <w:sz w:val="24"/>
      <w:szCs w:val="24"/>
      <w:shd w:val="clear" w:color="auto" w:fill="000080"/>
      <w:lang w:val="en-US" w:eastAsia="zh-CN" w:bidi="ar-SA"/>
    </w:rPr>
  </w:style>
  <w:style w:type="character" w:customStyle="1" w:styleId="331">
    <w:name w:val="标书正文 字符"/>
    <w:link w:val="332"/>
    <w:autoRedefine/>
    <w:qFormat/>
    <w:uiPriority w:val="0"/>
    <w:rPr>
      <w:rFonts w:ascii="Arial Unicode MS" w:hAnsi="Arial Unicode MS" w:eastAsia="font-weight : 400"/>
      <w:kern w:val="2"/>
      <w:sz w:val="24"/>
      <w:szCs w:val="21"/>
    </w:rPr>
  </w:style>
  <w:style w:type="paragraph" w:customStyle="1" w:styleId="332">
    <w:name w:val="标书正文"/>
    <w:basedOn w:val="1"/>
    <w:link w:val="331"/>
    <w:autoRedefine/>
    <w:qFormat/>
    <w:uiPriority w:val="0"/>
    <w:pPr>
      <w:autoSpaceDE/>
      <w:autoSpaceDN/>
      <w:snapToGrid w:val="0"/>
      <w:spacing w:beforeLines="50" w:line="360" w:lineRule="auto"/>
      <w:ind w:firstLine="200" w:firstLineChars="200"/>
      <w:jc w:val="both"/>
    </w:pPr>
    <w:rPr>
      <w:rFonts w:ascii="Arial Unicode MS" w:hAnsi="Arial Unicode MS" w:eastAsia="font-weight : 400"/>
      <w:kern w:val="2"/>
      <w:szCs w:val="21"/>
    </w:rPr>
  </w:style>
  <w:style w:type="character" w:customStyle="1" w:styleId="333">
    <w:name w:val="正文文本 2 Char"/>
    <w:autoRedefine/>
    <w:qFormat/>
    <w:uiPriority w:val="0"/>
    <w:rPr>
      <w:rFonts w:ascii="等线 Light" w:hAnsi="等线 Light" w:eastAsia="等线 Light" w:cs="幼圆"/>
      <w:kern w:val="2"/>
      <w:sz w:val="24"/>
      <w:szCs w:val="24"/>
      <w:lang w:val="en-US" w:eastAsia="zh-CN" w:bidi="ar-SA"/>
    </w:rPr>
  </w:style>
  <w:style w:type="character" w:customStyle="1" w:styleId="334">
    <w:name w:val="t31"/>
    <w:autoRedefine/>
    <w:qFormat/>
    <w:uiPriority w:val="0"/>
    <w:rPr>
      <w:rFonts w:hint="eastAsia" w:ascii="等线 Light" w:hAnsi="等线 Light" w:eastAsia="等线 Light"/>
      <w:color w:val="000060"/>
      <w:sz w:val="28"/>
      <w:szCs w:val="28"/>
    </w:rPr>
  </w:style>
  <w:style w:type="character" w:customStyle="1" w:styleId="335">
    <w:name w:val="正文文本 字符1"/>
    <w:autoRedefine/>
    <w:qFormat/>
    <w:uiPriority w:val="0"/>
    <w:rPr>
      <w:rFonts w:ascii="等线 Light" w:eastAsia="等线 Light"/>
      <w:b/>
      <w:bCs/>
      <w:sz w:val="84"/>
      <w:szCs w:val="84"/>
      <w:lang w:val="zh-CN"/>
    </w:rPr>
  </w:style>
  <w:style w:type="character" w:customStyle="1" w:styleId="336">
    <w:name w:val="pagechatarealistclose_box"/>
    <w:basedOn w:val="57"/>
    <w:autoRedefine/>
    <w:qFormat/>
    <w:uiPriority w:val="0"/>
  </w:style>
  <w:style w:type="character" w:customStyle="1" w:styleId="337">
    <w:name w:val="签名 字符1"/>
    <w:autoRedefine/>
    <w:semiHidden/>
    <w:qFormat/>
    <w:uiPriority w:val="99"/>
    <w:rPr>
      <w:rFonts w:ascii="等线 Light"/>
      <w:sz w:val="24"/>
      <w:szCs w:val="24"/>
    </w:rPr>
  </w:style>
  <w:style w:type="character" w:customStyle="1" w:styleId="338">
    <w:name w:val="neir1"/>
    <w:autoRedefine/>
    <w:qFormat/>
    <w:uiPriority w:val="0"/>
    <w:rPr>
      <w:rFonts w:hint="default" w:ascii="等线" w:hAnsi="等线"/>
      <w:color w:val="333333"/>
      <w:sz w:val="21"/>
      <w:szCs w:val="21"/>
      <w:u w:val="none"/>
    </w:rPr>
  </w:style>
  <w:style w:type="character" w:customStyle="1" w:styleId="339">
    <w:name w:val="icon-weibo"/>
    <w:autoRedefine/>
    <w:qFormat/>
    <w:uiPriority w:val="0"/>
  </w:style>
  <w:style w:type="character" w:customStyle="1" w:styleId="340">
    <w:name w:val="标题 8 Char1"/>
    <w:autoRedefine/>
    <w:qFormat/>
    <w:uiPriority w:val="0"/>
    <w:rPr>
      <w:rFonts w:ascii="楷体_GB2312" w:hAnsi="楷体_GB2312" w:eastAsia="等线 Light"/>
      <w:color w:val="000000"/>
      <w:kern w:val="2"/>
      <w:sz w:val="32"/>
      <w:szCs w:val="21"/>
      <w:lang w:val="en-US" w:eastAsia="zh-CN" w:bidi="ar-SA"/>
    </w:rPr>
  </w:style>
  <w:style w:type="character" w:customStyle="1" w:styleId="341">
    <w:name w:val=" Char Char Char Char Char Char Char1 Char"/>
    <w:autoRedefine/>
    <w:qFormat/>
    <w:uiPriority w:val="0"/>
    <w:rPr>
      <w:rFonts w:ascii="PMingLiU" w:hAnsi="Lucida Grande" w:eastAsia="PMingLiU"/>
      <w:sz w:val="32"/>
      <w:szCs w:val="32"/>
      <w:lang w:val="en-US" w:eastAsia="en-US" w:bidi="ar-SA"/>
    </w:rPr>
  </w:style>
  <w:style w:type="character" w:customStyle="1" w:styleId="342">
    <w:name w:val="标题 31"/>
    <w:autoRedefine/>
    <w:qFormat/>
    <w:uiPriority w:val="0"/>
    <w:rPr>
      <w:rFonts w:eastAsia="等线 Light"/>
      <w:b/>
      <w:bCs/>
      <w:kern w:val="2"/>
      <w:sz w:val="32"/>
      <w:szCs w:val="32"/>
      <w:lang w:val="en-US" w:eastAsia="zh-CN" w:bidi="ar-SA"/>
    </w:rPr>
  </w:style>
  <w:style w:type="character" w:customStyle="1" w:styleId="343">
    <w:name w:val="标题 5 Char1"/>
    <w:autoRedefine/>
    <w:qFormat/>
    <w:uiPriority w:val="0"/>
    <w:rPr>
      <w:rFonts w:eastAsia="等线 Light"/>
      <w:b/>
      <w:bCs/>
      <w:kern w:val="2"/>
      <w:sz w:val="28"/>
      <w:szCs w:val="28"/>
      <w:lang w:val="en-US" w:eastAsia="zh-CN" w:bidi="ar-SA"/>
    </w:rPr>
  </w:style>
  <w:style w:type="paragraph" w:customStyle="1" w:styleId="344">
    <w:name w:val="xl3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345">
    <w:name w:val="sma."/>
    <w:basedOn w:val="1"/>
    <w:autoRedefine/>
    <w:qFormat/>
    <w:uiPriority w:val="0"/>
    <w:pPr>
      <w:widowControl/>
      <w:tabs>
        <w:tab w:val="left" w:pos="1588"/>
      </w:tabs>
      <w:autoSpaceDE/>
      <w:autoSpaceDN/>
      <w:adjustRightInd/>
      <w:spacing w:before="240" w:line="240" w:lineRule="atLeast"/>
      <w:ind w:left="1588" w:hanging="454"/>
      <w:jc w:val="both"/>
    </w:pPr>
    <w:rPr>
      <w:rFonts w:ascii="Arial Unicode MS" w:hAnsi="Arial Unicode MS"/>
      <w:kern w:val="2"/>
    </w:rPr>
  </w:style>
  <w:style w:type="paragraph" w:customStyle="1" w:styleId="346">
    <w:name w:val="CM16"/>
    <w:basedOn w:val="347"/>
    <w:next w:val="347"/>
    <w:autoRedefine/>
    <w:qFormat/>
    <w:uiPriority w:val="99"/>
    <w:rPr>
      <w:rFonts w:ascii="等线 Light" w:hAnsi="Arial Unicode MS" w:eastAsia="等线 Light" w:cs="幼圆"/>
      <w:color w:val="auto"/>
    </w:rPr>
  </w:style>
  <w:style w:type="paragraph" w:customStyle="1" w:styleId="347">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48">
    <w:name w:val="块引用"/>
    <w:basedOn w:val="1"/>
    <w:autoRedefine/>
    <w:qFormat/>
    <w:uiPriority w:val="0"/>
    <w:pPr>
      <w:keepLines/>
      <w:autoSpaceDE/>
      <w:autoSpaceDN/>
      <w:adjustRightInd/>
      <w:ind w:left="360" w:right="360"/>
      <w:jc w:val="center"/>
    </w:pPr>
    <w:rPr>
      <w:rFonts w:ascii="Arial Unicode MS" w:hAnsi="Arial Unicode MS"/>
      <w:i/>
      <w:kern w:val="2"/>
      <w:sz w:val="21"/>
    </w:rPr>
  </w:style>
  <w:style w:type="paragraph" w:customStyle="1" w:styleId="349">
    <w:name w:val="样式 加粗 段前: 7.8 磅 段后: 7.8 磅 行距: 固定值 20 磅"/>
    <w:basedOn w:val="1"/>
    <w:autoRedefine/>
    <w:qFormat/>
    <w:uiPriority w:val="0"/>
    <w:pPr>
      <w:autoSpaceDE/>
      <w:autoSpaceDN/>
      <w:adjustRightInd/>
      <w:spacing w:before="60" w:after="60" w:line="360" w:lineRule="exact"/>
      <w:jc w:val="both"/>
    </w:pPr>
    <w:rPr>
      <w:rFonts w:ascii="Arial Unicode MS" w:hAnsi="Arial Unicode MS" w:cs="等线 Light"/>
      <w:b/>
      <w:bCs/>
      <w:spacing w:val="-2"/>
      <w:kern w:val="2"/>
      <w:szCs w:val="20"/>
    </w:rPr>
  </w:style>
  <w:style w:type="paragraph" w:customStyle="1" w:styleId="350">
    <w:name w:val="14"/>
    <w:basedOn w:val="1"/>
    <w:autoRedefine/>
    <w:qFormat/>
    <w:uiPriority w:val="0"/>
    <w:pPr>
      <w:widowControl/>
      <w:autoSpaceDE/>
      <w:autoSpaceDN/>
      <w:adjustRightInd/>
      <w:spacing w:after="160" w:line="240" w:lineRule="exact"/>
    </w:pPr>
    <w:rPr>
      <w:rFonts w:ascii="Arial Unicode MS" w:hAnsi="Arial Unicode MS"/>
      <w:kern w:val="2"/>
      <w:sz w:val="21"/>
      <w:szCs w:val="20"/>
    </w:rPr>
  </w:style>
  <w:style w:type="paragraph" w:customStyle="1" w:styleId="351">
    <w:name w:val="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52">
    <w:name w:val="space"/>
    <w:autoRedefine/>
    <w:qFormat/>
    <w:uiPriority w:val="0"/>
    <w:rPr>
      <w:rFonts w:ascii="Arial Unicode MS" w:hAnsi="Arial Unicode MS" w:eastAsia="宋体" w:cs="Times New Roman"/>
      <w:caps/>
      <w:lang w:val="en-US" w:eastAsia="zh-CN" w:bidi="ar-SA"/>
    </w:rPr>
  </w:style>
  <w:style w:type="paragraph" w:customStyle="1" w:styleId="353">
    <w:name w:val="Pa8"/>
    <w:basedOn w:val="1"/>
    <w:next w:val="1"/>
    <w:autoRedefine/>
    <w:qFormat/>
    <w:uiPriority w:val="99"/>
    <w:pPr>
      <w:spacing w:line="181" w:lineRule="atLeast"/>
    </w:pPr>
    <w:rPr>
      <w:rFonts w:ascii="font-weight : 400" w:hAnsi="Arial Unicode MS" w:eastAsia="font-weight : 400"/>
    </w:rPr>
  </w:style>
  <w:style w:type="paragraph" w:customStyle="1" w:styleId="354">
    <w:name w:val=" Char"/>
    <w:basedOn w:val="19"/>
    <w:autoRedefine/>
    <w:qFormat/>
    <w:uiPriority w:val="0"/>
    <w:pPr>
      <w:autoSpaceDE/>
      <w:autoSpaceDN/>
      <w:spacing w:line="436" w:lineRule="exact"/>
      <w:ind w:left="357"/>
      <w:outlineLvl w:val="3"/>
    </w:pPr>
    <w:rPr>
      <w:rFonts w:ascii="Calibri" w:hAnsi="Calibri"/>
      <w:b/>
      <w:kern w:val="2"/>
    </w:rPr>
  </w:style>
  <w:style w:type="paragraph" w:customStyle="1" w:styleId="355">
    <w:name w:val="xl39"/>
    <w:basedOn w:val="1"/>
    <w:autoRedefine/>
    <w:qFormat/>
    <w:uiPriority w:val="0"/>
    <w:pPr>
      <w:widowControl/>
      <w:autoSpaceDE/>
      <w:autoSpaceDN/>
      <w:adjustRightInd/>
      <w:spacing w:before="100" w:beforeAutospacing="1" w:after="100" w:afterAutospacing="1"/>
      <w:jc w:val="center"/>
    </w:pPr>
    <w:rPr>
      <w:rFonts w:hAnsi="等线 Light"/>
    </w:rPr>
  </w:style>
  <w:style w:type="paragraph" w:customStyle="1" w:styleId="356">
    <w:name w:val="font9"/>
    <w:basedOn w:val="1"/>
    <w:autoRedefine/>
    <w:qFormat/>
    <w:uiPriority w:val="0"/>
    <w:pPr>
      <w:widowControl/>
      <w:autoSpaceDE/>
      <w:autoSpaceDN/>
      <w:adjustRightInd/>
      <w:spacing w:before="100" w:beforeAutospacing="1" w:after="100" w:afterAutospacing="1"/>
    </w:pPr>
    <w:rPr>
      <w:rFonts w:ascii="Arial Unicode MS" w:hAnsi="Arial Unicode MS"/>
    </w:rPr>
  </w:style>
  <w:style w:type="paragraph" w:customStyle="1" w:styleId="357">
    <w:name w:val="xl49"/>
    <w:basedOn w:val="1"/>
    <w:autoRedefine/>
    <w:qFormat/>
    <w:uiPriority w:val="0"/>
    <w:pPr>
      <w:widowControl/>
      <w:pBdr>
        <w:bottom w:val="single" w:color="auto" w:sz="4" w:space="0"/>
      </w:pBdr>
      <w:autoSpaceDE/>
      <w:autoSpaceDN/>
      <w:adjustRightInd/>
      <w:spacing w:before="100" w:beforeAutospacing="1" w:after="100" w:afterAutospacing="1"/>
    </w:pPr>
    <w:rPr>
      <w:rFonts w:hAnsi="等线 Light" w:cs="等线 Light"/>
    </w:rPr>
  </w:style>
  <w:style w:type="paragraph" w:customStyle="1" w:styleId="358">
    <w:name w:val="YB表格五号宋体"/>
    <w:basedOn w:val="1"/>
    <w:autoRedefine/>
    <w:qFormat/>
    <w:uiPriority w:val="0"/>
    <w:pPr>
      <w:autoSpaceDE/>
      <w:autoSpaceDN/>
      <w:snapToGrid w:val="0"/>
      <w:jc w:val="center"/>
    </w:pPr>
    <w:rPr>
      <w:rFonts w:ascii="Times New Roman" w:hAnsi="Times New Roman" w:eastAsia="宋体" w:cs="Times New Roman"/>
      <w:sz w:val="21"/>
      <w:szCs w:val="20"/>
    </w:rPr>
  </w:style>
  <w:style w:type="paragraph" w:customStyle="1" w:styleId="359">
    <w:name w:val="二级条标题"/>
    <w:basedOn w:val="360"/>
    <w:next w:val="362"/>
    <w:autoRedefine/>
    <w:qFormat/>
    <w:uiPriority w:val="0"/>
    <w:pPr>
      <w:numPr>
        <w:ilvl w:val="3"/>
        <w:numId w:val="3"/>
      </w:numPr>
      <w:tabs>
        <w:tab w:val="left" w:pos="360"/>
        <w:tab w:val="left" w:pos="840"/>
        <w:tab w:val="left" w:pos="1260"/>
        <w:tab w:val="left" w:pos="1680"/>
      </w:tabs>
      <w:outlineLvl w:val="3"/>
    </w:pPr>
  </w:style>
  <w:style w:type="paragraph" w:customStyle="1" w:styleId="360">
    <w:name w:val="一级条标题"/>
    <w:basedOn w:val="361"/>
    <w:next w:val="362"/>
    <w:autoRedefine/>
    <w:qFormat/>
    <w:uiPriority w:val="0"/>
    <w:pPr>
      <w:numPr>
        <w:ilvl w:val="2"/>
        <w:numId w:val="3"/>
      </w:numPr>
      <w:tabs>
        <w:tab w:val="left" w:pos="360"/>
        <w:tab w:val="left" w:pos="840"/>
        <w:tab w:val="left" w:pos="1260"/>
      </w:tabs>
      <w:spacing w:beforeLines="0" w:afterLines="0"/>
      <w:outlineLvl w:val="2"/>
    </w:pPr>
  </w:style>
  <w:style w:type="paragraph" w:customStyle="1" w:styleId="361">
    <w:name w:val="章标题"/>
    <w:next w:val="362"/>
    <w:autoRedefine/>
    <w:qFormat/>
    <w:uiPriority w:val="0"/>
    <w:pPr>
      <w:numPr>
        <w:ilvl w:val="1"/>
        <w:numId w:val="3"/>
      </w:numPr>
      <w:tabs>
        <w:tab w:val="left" w:pos="840"/>
      </w:tabs>
      <w:spacing w:beforeLines="50" w:afterLines="50"/>
      <w:jc w:val="both"/>
      <w:outlineLvl w:val="1"/>
    </w:pPr>
    <w:rPr>
      <w:rFonts w:ascii="PMingLiU" w:hAnsi="Arial Unicode MS" w:eastAsia="PMingLiU" w:cs="Times New Roman"/>
      <w:sz w:val="21"/>
      <w:lang w:val="en-US" w:eastAsia="zh-CN" w:bidi="ar-SA"/>
    </w:rPr>
  </w:style>
  <w:style w:type="paragraph" w:customStyle="1" w:styleId="362">
    <w:name w:val="段"/>
    <w:autoRedefine/>
    <w:qFormat/>
    <w:uiPriority w:val="0"/>
    <w:pPr>
      <w:autoSpaceDE w:val="0"/>
      <w:autoSpaceDN w:val="0"/>
      <w:ind w:firstLine="200" w:firstLineChars="200"/>
      <w:jc w:val="both"/>
    </w:pPr>
    <w:rPr>
      <w:rFonts w:ascii="等线 Light" w:hAnsi="Arial Unicode MS" w:eastAsia="宋体" w:cs="Times New Roman"/>
      <w:sz w:val="21"/>
      <w:lang w:val="en-US" w:eastAsia="zh-CN" w:bidi="ar-SA"/>
    </w:rPr>
  </w:style>
  <w:style w:type="paragraph" w:customStyle="1" w:styleId="363">
    <w:name w:val="List Paragraph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364">
    <w:name w:val="d"/>
    <w:basedOn w:val="1"/>
    <w:autoRedefine/>
    <w:qFormat/>
    <w:uiPriority w:val="0"/>
    <w:pPr>
      <w:overflowPunct w:val="0"/>
      <w:snapToGrid w:val="0"/>
      <w:spacing w:line="360" w:lineRule="auto"/>
      <w:ind w:left="709"/>
      <w:jc w:val="both"/>
    </w:pPr>
    <w:rPr>
      <w:rFonts w:ascii="Arial Unicode MS" w:hAnsi="Arial Unicode MS"/>
      <w:b/>
      <w:snapToGrid w:val="0"/>
      <w:sz w:val="21"/>
      <w:szCs w:val="21"/>
    </w:rPr>
  </w:style>
  <w:style w:type="paragraph" w:customStyle="1" w:styleId="36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66">
    <w:name w:val="三级条标题"/>
    <w:basedOn w:val="359"/>
    <w:next w:val="362"/>
    <w:autoRedefine/>
    <w:qFormat/>
    <w:uiPriority w:val="0"/>
    <w:pPr>
      <w:numPr>
        <w:ilvl w:val="4"/>
        <w:numId w:val="3"/>
      </w:numPr>
      <w:tabs>
        <w:tab w:val="left" w:pos="2100"/>
      </w:tabs>
      <w:outlineLvl w:val="4"/>
    </w:pPr>
  </w:style>
  <w:style w:type="paragraph" w:customStyle="1" w:styleId="367">
    <w:name w:val="样式 四号 行距: 1.5 倍行距"/>
    <w:basedOn w:val="1"/>
    <w:autoRedefine/>
    <w:qFormat/>
    <w:uiPriority w:val="0"/>
    <w:pPr>
      <w:autoSpaceDE/>
      <w:autoSpaceDN/>
      <w:snapToGrid w:val="0"/>
      <w:ind w:firstLine="420" w:firstLineChars="200"/>
      <w:jc w:val="both"/>
    </w:pPr>
    <w:rPr>
      <w:rFonts w:ascii="Arial Unicode MS" w:hAnsi="Arial Unicode MS" w:cs="等线 Light"/>
      <w:kern w:val="2"/>
      <w:sz w:val="21"/>
      <w:szCs w:val="21"/>
    </w:rPr>
  </w:style>
  <w:style w:type="paragraph" w:customStyle="1" w:styleId="368">
    <w:name w:val="xl4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PMingLiU" w:hAnsi="等线 Light" w:eastAsia="PMingLiU"/>
      <w:sz w:val="26"/>
      <w:szCs w:val="26"/>
    </w:rPr>
  </w:style>
  <w:style w:type="paragraph" w:customStyle="1" w:styleId="369">
    <w:name w:val="表头"/>
    <w:basedOn w:val="17"/>
    <w:autoRedefine/>
    <w:qFormat/>
    <w:uiPriority w:val="0"/>
    <w:pPr>
      <w:keepNext/>
      <w:keepLines/>
      <w:widowControl/>
      <w:autoSpaceDE/>
      <w:autoSpaceDN/>
      <w:adjustRightInd/>
      <w:spacing w:before="120" w:after="120" w:line="300" w:lineRule="auto"/>
      <w:jc w:val="center"/>
      <w:textAlignment w:val="baseline"/>
    </w:pPr>
    <w:rPr>
      <w:rFonts w:cs="幼圆"/>
      <w:sz w:val="21"/>
    </w:rPr>
  </w:style>
  <w:style w:type="paragraph" w:customStyle="1" w:styleId="370">
    <w:name w:val="head"/>
    <w:basedOn w:val="1"/>
    <w:autoRedefine/>
    <w:qFormat/>
    <w:uiPriority w:val="0"/>
    <w:pPr>
      <w:widowControl/>
      <w:autoSpaceDE/>
      <w:autoSpaceDN/>
      <w:adjustRightInd/>
      <w:spacing w:before="100" w:beforeAutospacing="1" w:after="100" w:afterAutospacing="1"/>
      <w:jc w:val="center"/>
    </w:pPr>
    <w:rPr>
      <w:rFonts w:hint="eastAsia" w:ascii="PMingLiU" w:hAnsi="等线 Light" w:eastAsia="PMingLiU"/>
      <w:b/>
      <w:bCs/>
      <w:sz w:val="28"/>
      <w:szCs w:val="28"/>
    </w:rPr>
  </w:style>
  <w:style w:type="paragraph" w:customStyle="1" w:styleId="371">
    <w:name w:val="网格表 31"/>
    <w:basedOn w:val="4"/>
    <w:next w:val="1"/>
    <w:autoRedefine/>
    <w:unhideWhenUsed/>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372">
    <w:name w:val="xl2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73">
    <w:name w:val="默认段落字体 Para Char Char Char Char Char Char Char"/>
    <w:basedOn w:val="1"/>
    <w:autoRedefine/>
    <w:qFormat/>
    <w:uiPriority w:val="0"/>
    <w:pPr>
      <w:autoSpaceDE/>
      <w:autoSpaceDN/>
      <w:adjustRightInd/>
      <w:jc w:val="both"/>
    </w:pPr>
    <w:rPr>
      <w:rFonts w:ascii="Arial Unicode MS" w:hAnsi="Arial Unicode MS"/>
      <w:kern w:val="2"/>
      <w:sz w:val="21"/>
      <w:szCs w:val="20"/>
    </w:rPr>
  </w:style>
  <w:style w:type="paragraph" w:customStyle="1" w:styleId="374">
    <w:name w:val="1册标题3"/>
    <w:basedOn w:val="1"/>
    <w:next w:val="1"/>
    <w:autoRedefine/>
    <w:qFormat/>
    <w:uiPriority w:val="0"/>
    <w:pPr>
      <w:keepNext/>
      <w:keepLines/>
      <w:autoSpaceDE/>
      <w:autoSpaceDN/>
      <w:spacing w:before="156" w:beforeLines="50" w:after="156" w:afterLines="50"/>
      <w:jc w:val="both"/>
      <w:textAlignment w:val="baseline"/>
      <w:outlineLvl w:val="2"/>
    </w:pPr>
    <w:rPr>
      <w:rFonts w:ascii="楷体_GB2312" w:hAnsi="楷体_GB2312" w:eastAsia="PMingLiU"/>
      <w:szCs w:val="20"/>
    </w:rPr>
  </w:style>
  <w:style w:type="paragraph" w:customStyle="1" w:styleId="375">
    <w:name w:val="12册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376">
    <w:name w:val="规正文"/>
    <w:basedOn w:val="1"/>
    <w:autoRedefine/>
    <w:qFormat/>
    <w:uiPriority w:val="0"/>
    <w:pPr>
      <w:autoSpaceDE/>
      <w:autoSpaceDN/>
      <w:adjustRightInd/>
      <w:ind w:firstLine="560" w:firstLineChars="200"/>
      <w:jc w:val="both"/>
    </w:pPr>
    <w:rPr>
      <w:rFonts w:ascii="Arial Unicode MS" w:hAnsi="Arial Unicode MS" w:eastAsia="等线 Light" w:cs="幼圆"/>
      <w:kern w:val="2"/>
      <w:sz w:val="28"/>
      <w:szCs w:val="28"/>
    </w:rPr>
  </w:style>
  <w:style w:type="paragraph" w:customStyle="1" w:styleId="377">
    <w:name w:val=" 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78">
    <w:name w:val="A."/>
    <w:basedOn w:val="1"/>
    <w:autoRedefine/>
    <w:qFormat/>
    <w:uiPriority w:val="0"/>
    <w:pPr>
      <w:widowControl/>
      <w:tabs>
        <w:tab w:val="left" w:pos="859"/>
        <w:tab w:val="left" w:pos="1200"/>
      </w:tabs>
      <w:autoSpaceDE/>
      <w:autoSpaceDN/>
      <w:adjustRightInd/>
      <w:spacing w:before="240" w:line="240" w:lineRule="atLeast"/>
      <w:ind w:left="859" w:hanging="453"/>
      <w:jc w:val="both"/>
    </w:pPr>
    <w:rPr>
      <w:rFonts w:ascii="Arial Unicode MS" w:hAnsi="Arial Unicode MS"/>
      <w:kern w:val="2"/>
    </w:rPr>
  </w:style>
  <w:style w:type="paragraph" w:customStyle="1" w:styleId="379">
    <w:name w:val="图"/>
    <w:basedOn w:val="1"/>
    <w:autoRedefine/>
    <w:qFormat/>
    <w:uiPriority w:val="0"/>
    <w:pPr>
      <w:keepNext/>
      <w:autoSpaceDE/>
      <w:autoSpaceDN/>
      <w:spacing w:before="60" w:after="60" w:line="300" w:lineRule="auto"/>
      <w:jc w:val="center"/>
      <w:textAlignment w:val="center"/>
    </w:pPr>
    <w:rPr>
      <w:rFonts w:ascii="幼圆"/>
      <w:snapToGrid w:val="0"/>
      <w:spacing w:val="20"/>
      <w:szCs w:val="20"/>
    </w:rPr>
  </w:style>
  <w:style w:type="paragraph" w:customStyle="1" w:styleId="380">
    <w:name w:val="正文[858D7CFB-ED40-4347-BF05-701D383B685F][858D7CFB-ED40-4347-BF05-701D383B685F]"/>
    <w:autoRedefine/>
    <w:qFormat/>
    <w:uiPriority w:val="0"/>
    <w:pPr>
      <w:widowControl w:val="0"/>
      <w:spacing w:line="360" w:lineRule="auto"/>
      <w:ind w:firstLine="200"/>
      <w:jc w:val="both"/>
    </w:pPr>
    <w:rPr>
      <w:rFonts w:ascii="_x001A_" w:hAnsi="_x001A_" w:eastAsia="宋体" w:cs="Times New Roman"/>
      <w:color w:val="000000"/>
      <w:kern w:val="2"/>
      <w:sz w:val="24"/>
      <w:lang w:val="en-US" w:eastAsia="zh-CN" w:bidi="ar-SA"/>
    </w:rPr>
  </w:style>
  <w:style w:type="paragraph" w:customStyle="1" w:styleId="381">
    <w:name w:val="Char Char1 Char Char Char Char Char Char Char Char Char Char Char Char Char"/>
    <w:basedOn w:val="1"/>
    <w:autoRedefine/>
    <w:qFormat/>
    <w:uiPriority w:val="0"/>
    <w:pPr>
      <w:widowControl/>
      <w:autoSpaceDE/>
      <w:autoSpaceDN/>
      <w:adjustRightInd/>
      <w:spacing w:after="160" w:line="360" w:lineRule="auto"/>
    </w:pPr>
    <w:rPr>
      <w:rFonts w:ascii="Lucida Grande" w:hAnsi="Lucida Grande"/>
      <w:sz w:val="21"/>
      <w:szCs w:val="20"/>
      <w:lang w:eastAsia="en-US"/>
    </w:rPr>
  </w:style>
  <w:style w:type="paragraph" w:customStyle="1" w:styleId="382">
    <w:name w:val="日期1"/>
    <w:basedOn w:val="1"/>
    <w:next w:val="1"/>
    <w:autoRedefine/>
    <w:qFormat/>
    <w:uiPriority w:val="0"/>
    <w:pPr>
      <w:autoSpaceDE/>
      <w:autoSpaceDN/>
      <w:adjustRightInd/>
      <w:ind w:left="100" w:leftChars="2500"/>
      <w:jc w:val="both"/>
    </w:pPr>
    <w:rPr>
      <w:rFonts w:ascii="Arial Unicode MS" w:hAnsi="Arial Unicode MS" w:eastAsia="ˎ̥"/>
      <w:kern w:val="2"/>
      <w:sz w:val="21"/>
    </w:rPr>
  </w:style>
  <w:style w:type="paragraph" w:customStyle="1" w:styleId="383">
    <w:name w:val="样式 标题 2H2Heading 2 HiddenHeading 2 CCBSh22nd levell2Titre...5"/>
    <w:basedOn w:val="6"/>
    <w:autoRedefine/>
    <w:qFormat/>
    <w:uiPriority w:val="0"/>
    <w:pPr>
      <w:keepLines/>
      <w:widowControl/>
      <w:autoSpaceDE/>
      <w:autoSpaceDN/>
      <w:spacing w:before="260" w:after="260" w:line="416" w:lineRule="auto"/>
      <w:jc w:val="both"/>
    </w:pPr>
    <w:rPr>
      <w:rFonts w:ascii="楷体_GB2312" w:hAnsi="楷体_GB2312" w:cs="等线 Light"/>
      <w:b/>
      <w:bCs/>
      <w:kern w:val="2"/>
      <w:sz w:val="32"/>
      <w:szCs w:val="20"/>
    </w:rPr>
  </w:style>
  <w:style w:type="paragraph" w:customStyle="1" w:styleId="384">
    <w:name w:val="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385">
    <w:name w:val="xl2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386">
    <w:name w:val="Char Char Char Char Char Char Char"/>
    <w:basedOn w:val="1"/>
    <w:autoRedefine/>
    <w:qFormat/>
    <w:uiPriority w:val="0"/>
    <w:pPr>
      <w:autoSpaceDE/>
      <w:autoSpaceDN/>
      <w:adjustRightInd/>
      <w:spacing w:line="360" w:lineRule="auto"/>
      <w:ind w:left="420" w:firstLine="420"/>
      <w:jc w:val="both"/>
    </w:pPr>
    <w:rPr>
      <w:rFonts w:ascii="Arial Unicode MS" w:hAnsi="Arial Unicode MS"/>
      <w:szCs w:val="21"/>
    </w:rPr>
  </w:style>
  <w:style w:type="paragraph" w:customStyle="1" w:styleId="387">
    <w:name w:val="修订2"/>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388">
    <w:name w:val="zhang"/>
    <w:basedOn w:val="1"/>
    <w:autoRedefine/>
    <w:qFormat/>
    <w:uiPriority w:val="0"/>
    <w:pPr>
      <w:autoSpaceDE/>
      <w:autoSpaceDN/>
      <w:adjustRightInd/>
      <w:ind w:firstLine="200" w:firstLineChars="200"/>
      <w:jc w:val="both"/>
    </w:pPr>
    <w:rPr>
      <w:rFonts w:ascii="Arial Unicode MS" w:hAnsi="Arial Unicode MS" w:eastAsia="微软雅黑"/>
      <w:bCs/>
      <w:kern w:val="2"/>
      <w:sz w:val="28"/>
      <w:szCs w:val="20"/>
    </w:rPr>
  </w:style>
  <w:style w:type="paragraph" w:customStyle="1" w:styleId="389">
    <w:name w:val="样式 标题 3头小节标题Heading 3 - oldh33rd levelH3l3CTLevel 3 Hea..."/>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390">
    <w:name w:val="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91">
    <w:name w:val="Char2"/>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392">
    <w:name w:val=" Char1"/>
    <w:basedOn w:val="1"/>
    <w:autoRedefine/>
    <w:qFormat/>
    <w:uiPriority w:val="0"/>
    <w:pPr>
      <w:tabs>
        <w:tab w:val="left" w:pos="360"/>
      </w:tabs>
      <w:autoSpaceDE/>
      <w:autoSpaceDN/>
      <w:adjustRightInd/>
      <w:jc w:val="both"/>
    </w:pPr>
    <w:rPr>
      <w:rFonts w:ascii="Arial Unicode MS" w:hAnsi="Arial Unicode MS"/>
      <w:kern w:val="2"/>
    </w:rPr>
  </w:style>
  <w:style w:type="paragraph" w:customStyle="1" w:styleId="393">
    <w:name w:val="Char1 Char Char Char1 Char Char Char"/>
    <w:basedOn w:val="1"/>
    <w:autoRedefine/>
    <w:qFormat/>
    <w:uiPriority w:val="0"/>
    <w:pPr>
      <w:autoSpaceDE/>
      <w:autoSpaceDN/>
      <w:adjustRightInd/>
      <w:spacing w:line="360" w:lineRule="auto"/>
    </w:pPr>
    <w:rPr>
      <w:rFonts w:ascii="Arial Unicode MS" w:hAnsi="Arial Unicode MS"/>
      <w:kern w:val="2"/>
      <w:sz w:val="21"/>
    </w:rPr>
  </w:style>
  <w:style w:type="paragraph" w:customStyle="1" w:styleId="394">
    <w:name w:val="样式 样式 小四 首行缩进:  0.85 厘米 + 首行缩进:  2 字符"/>
    <w:basedOn w:val="1"/>
    <w:autoRedefine/>
    <w:qFormat/>
    <w:uiPriority w:val="0"/>
    <w:pPr>
      <w:autoSpaceDE/>
      <w:autoSpaceDN/>
      <w:snapToGrid w:val="0"/>
      <w:spacing w:line="360" w:lineRule="auto"/>
      <w:ind w:firstLine="584" w:firstLineChars="200"/>
      <w:jc w:val="both"/>
    </w:pPr>
    <w:rPr>
      <w:rFonts w:ascii="Arial Unicode MS" w:hAnsi="Arial Unicode MS" w:cs="等线 Light"/>
      <w:snapToGrid w:val="0"/>
      <w:sz w:val="28"/>
      <w:szCs w:val="28"/>
    </w:rPr>
  </w:style>
  <w:style w:type="paragraph" w:customStyle="1" w:styleId="395">
    <w:name w:val="xl40"/>
    <w:basedOn w:val="1"/>
    <w:autoRedefine/>
    <w:qFormat/>
    <w:uiPriority w:val="0"/>
    <w:pPr>
      <w:widowControl/>
      <w:autoSpaceDE/>
      <w:autoSpaceDN/>
      <w:adjustRightInd/>
      <w:spacing w:before="100" w:beforeAutospacing="1" w:after="100" w:afterAutospacing="1"/>
      <w:jc w:val="both"/>
    </w:pPr>
    <w:rPr>
      <w:rFonts w:hAnsi="等线 Light"/>
      <w:b/>
      <w:bCs/>
    </w:rPr>
  </w:style>
  <w:style w:type="paragraph" w:customStyle="1" w:styleId="396">
    <w:name w:val="表格"/>
    <w:basedOn w:val="1"/>
    <w:autoRedefine/>
    <w:qFormat/>
    <w:uiPriority w:val="0"/>
    <w:pPr>
      <w:autoSpaceDE/>
      <w:autoSpaceDN/>
      <w:adjustRightInd/>
      <w:spacing w:line="400" w:lineRule="atLeast"/>
      <w:jc w:val="both"/>
    </w:pPr>
    <w:rPr>
      <w:rFonts w:ascii="Arial Unicode MS" w:hAnsi="Arial Unicode MS"/>
      <w:b/>
      <w:bCs/>
      <w:color w:val="FF00FF"/>
      <w:kern w:val="2"/>
    </w:rPr>
  </w:style>
  <w:style w:type="paragraph" w:customStyle="1" w:styleId="397">
    <w:name w:val="xl31"/>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98">
    <w:name w:val="Char3"/>
    <w:basedOn w:val="1"/>
    <w:autoRedefine/>
    <w:qFormat/>
    <w:uiPriority w:val="99"/>
    <w:pPr>
      <w:widowControl/>
      <w:autoSpaceDE/>
      <w:autoSpaceDN/>
      <w:adjustRightInd/>
      <w:spacing w:line="400" w:lineRule="exact"/>
      <w:jc w:val="center"/>
    </w:pPr>
    <w:rPr>
      <w:rFonts w:ascii="Lucida Grande" w:hAnsi="Lucida Grande"/>
      <w:sz w:val="21"/>
      <w:szCs w:val="20"/>
      <w:lang w:eastAsia="en-US"/>
    </w:rPr>
  </w:style>
  <w:style w:type="paragraph" w:customStyle="1" w:styleId="399">
    <w:name w:val="p0"/>
    <w:basedOn w:val="1"/>
    <w:autoRedefine/>
    <w:qFormat/>
    <w:uiPriority w:val="0"/>
    <w:pPr>
      <w:widowControl/>
      <w:autoSpaceDE/>
      <w:autoSpaceDN/>
      <w:adjustRightInd/>
      <w:jc w:val="both"/>
    </w:pPr>
    <w:rPr>
      <w:rFonts w:ascii="Arial Unicode MS" w:hAnsi="Arial Unicode MS"/>
      <w:sz w:val="21"/>
      <w:szCs w:val="20"/>
    </w:rPr>
  </w:style>
  <w:style w:type="paragraph" w:customStyle="1" w:styleId="400">
    <w:name w:val="1)"/>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401">
    <w:name w:val="样式 标题 5五 + 首行缩进:  2 字符"/>
    <w:basedOn w:val="8"/>
    <w:autoRedefine/>
    <w:qFormat/>
    <w:uiPriority w:val="0"/>
    <w:pPr>
      <w:autoSpaceDE/>
      <w:autoSpaceDN/>
      <w:adjustRightInd/>
      <w:snapToGrid w:val="0"/>
      <w:spacing w:before="0" w:after="0" w:line="360" w:lineRule="auto"/>
      <w:ind w:firstLine="500" w:firstLineChars="200"/>
      <w:jc w:val="both"/>
    </w:pPr>
    <w:rPr>
      <w:rFonts w:ascii="Arial Unicode MS" w:hAnsi="Arial Unicode MS" w:cs="等线 Light"/>
      <w:b w:val="0"/>
      <w:bCs w:val="0"/>
      <w:spacing w:val="20"/>
      <w:kern w:val="2"/>
      <w:sz w:val="24"/>
      <w:szCs w:val="20"/>
    </w:rPr>
  </w:style>
  <w:style w:type="paragraph" w:customStyle="1" w:styleId="402">
    <w:name w:val="1册标题2"/>
    <w:basedOn w:val="5"/>
    <w:next w:val="1"/>
    <w:autoRedefine/>
    <w:qFormat/>
    <w:uiPriority w:val="0"/>
    <w:pPr>
      <w:autoSpaceDE/>
      <w:autoSpaceDN/>
      <w:adjustRightInd/>
      <w:jc w:val="both"/>
      <w:outlineLvl w:val="9"/>
    </w:pPr>
    <w:rPr>
      <w:rFonts w:hAnsi="等线 Light"/>
      <w:color w:val="008000"/>
      <w:kern w:val="2"/>
      <w:sz w:val="21"/>
      <w:szCs w:val="21"/>
    </w:rPr>
  </w:style>
  <w:style w:type="paragraph" w:customStyle="1" w:styleId="403">
    <w:name w:val="xl5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404">
    <w:name w:val="首航所进"/>
    <w:basedOn w:val="1"/>
    <w:autoRedefine/>
    <w:qFormat/>
    <w:uiPriority w:val="0"/>
    <w:pPr>
      <w:autoSpaceDE/>
      <w:autoSpaceDN/>
      <w:adjustRightInd/>
      <w:spacing w:line="300" w:lineRule="auto"/>
      <w:ind w:firstLine="480" w:firstLineChars="200"/>
      <w:jc w:val="both"/>
    </w:pPr>
    <w:rPr>
      <w:rFonts w:ascii="Arial Unicode MS" w:hAnsi="Arial Unicode MS"/>
      <w:kern w:val="2"/>
    </w:rPr>
  </w:style>
  <w:style w:type="paragraph" w:customStyle="1" w:styleId="405">
    <w:name w:val="xl47"/>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pPr>
    <w:rPr>
      <w:rFonts w:hAnsi="等线 Light" w:cs="等线 Light"/>
    </w:rPr>
  </w:style>
  <w:style w:type="paragraph" w:customStyle="1" w:styleId="406">
    <w:name w:val="图/图注"/>
    <w:basedOn w:val="10"/>
    <w:autoRedefine/>
    <w:qFormat/>
    <w:uiPriority w:val="0"/>
    <w:pPr>
      <w:wordWrap/>
      <w:autoSpaceDE/>
      <w:autoSpaceDN/>
      <w:adjustRightInd/>
      <w:spacing w:before="50"/>
      <w:ind w:firstLine="0" w:firstLineChars="0"/>
      <w:jc w:val="center"/>
    </w:pPr>
    <w:rPr>
      <w:rFonts w:ascii="幼圆" w:eastAsia="PMingLiU"/>
      <w:b/>
      <w:kern w:val="2"/>
      <w:sz w:val="21"/>
      <w:szCs w:val="22"/>
    </w:rPr>
  </w:style>
  <w:style w:type="paragraph" w:customStyle="1" w:styleId="407">
    <w:name w:val="_Style 1"/>
    <w:basedOn w:val="1"/>
    <w:autoRedefine/>
    <w:qFormat/>
    <w:uiPriority w:val="34"/>
    <w:pPr>
      <w:autoSpaceDE/>
      <w:autoSpaceDN/>
      <w:adjustRightInd/>
      <w:ind w:firstLine="420" w:firstLineChars="200"/>
      <w:jc w:val="both"/>
    </w:pPr>
    <w:rPr>
      <w:rFonts w:ascii="Arial Unicode MS" w:hAnsi="Arial Unicode MS"/>
      <w:kern w:val="2"/>
      <w:sz w:val="21"/>
      <w:szCs w:val="20"/>
    </w:rPr>
  </w:style>
  <w:style w:type="paragraph" w:customStyle="1" w:styleId="408">
    <w:name w:val="font8"/>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rPr>
  </w:style>
  <w:style w:type="paragraph" w:customStyle="1" w:styleId="409">
    <w:name w:val="列出段落2"/>
    <w:basedOn w:val="1"/>
    <w:autoRedefine/>
    <w:unhideWhenUsed/>
    <w:qFormat/>
    <w:uiPriority w:val="34"/>
    <w:pPr>
      <w:ind w:firstLine="420" w:firstLineChars="200"/>
    </w:pPr>
  </w:style>
  <w:style w:type="paragraph" w:customStyle="1" w:styleId="410">
    <w:name w:val="_Style 26"/>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11">
    <w:name w:val="head3"/>
    <w:autoRedefine/>
    <w:qFormat/>
    <w:uiPriority w:val="0"/>
    <w:pPr>
      <w:spacing w:before="120" w:after="120"/>
    </w:pPr>
    <w:rPr>
      <w:rFonts w:ascii="等线 Light" w:hAnsi="Arial Unicode MS" w:eastAsia="宋体" w:cs="Times New Roman"/>
      <w:b/>
      <w:sz w:val="24"/>
      <w:lang w:val="en-US" w:eastAsia="zh-CN" w:bidi="ar-SA"/>
    </w:rPr>
  </w:style>
  <w:style w:type="paragraph" w:customStyle="1" w:styleId="412">
    <w:name w:val="_Style 142"/>
    <w:basedOn w:val="19"/>
    <w:autoRedefine/>
    <w:qFormat/>
    <w:uiPriority w:val="0"/>
    <w:pPr>
      <w:autoSpaceDE/>
      <w:autoSpaceDN/>
      <w:adjustRightInd/>
      <w:jc w:val="both"/>
    </w:pPr>
    <w:rPr>
      <w:rFonts w:ascii="Arial Unicode MS" w:hAnsi="Arial Unicode MS"/>
      <w:kern w:val="2"/>
      <w:sz w:val="21"/>
    </w:rPr>
  </w:style>
  <w:style w:type="paragraph" w:customStyle="1" w:styleId="413">
    <w:name w:val="批注框文本1"/>
    <w:basedOn w:val="1"/>
    <w:next w:val="38"/>
    <w:autoRedefine/>
    <w:qFormat/>
    <w:uiPriority w:val="0"/>
    <w:pPr>
      <w:autoSpaceDE/>
      <w:autoSpaceDN/>
      <w:adjustRightInd/>
      <w:jc w:val="both"/>
    </w:pPr>
    <w:rPr>
      <w:rFonts w:ascii="Arial Unicode MS" w:hAnsi="Arial Unicode MS" w:eastAsia="ˎ̥"/>
      <w:kern w:val="2"/>
      <w:sz w:val="18"/>
      <w:szCs w:val="18"/>
    </w:rPr>
  </w:style>
  <w:style w:type="paragraph" w:customStyle="1" w:styleId="414">
    <w:name w:val="无间隔1"/>
    <w:autoRedefine/>
    <w:qFormat/>
    <w:uiPriority w:val="1"/>
    <w:pPr>
      <w:widowControl w:val="0"/>
      <w:ind w:left="198" w:hanging="198"/>
      <w:jc w:val="center"/>
    </w:pPr>
    <w:rPr>
      <w:rFonts w:ascii="Arial Unicode MS" w:hAnsi="Arial Unicode MS" w:eastAsia="宋体" w:cs="Times New Roman"/>
      <w:kern w:val="2"/>
      <w:sz w:val="24"/>
      <w:szCs w:val="22"/>
      <w:lang w:val="en-US" w:eastAsia="zh-CN" w:bidi="ar-SA"/>
    </w:rPr>
  </w:style>
  <w:style w:type="paragraph" w:customStyle="1" w:styleId="415">
    <w:name w:val="Char Char1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sz w:val="20"/>
      <w:szCs w:val="20"/>
      <w:lang w:eastAsia="en-US"/>
    </w:rPr>
  </w:style>
  <w:style w:type="paragraph" w:customStyle="1" w:styleId="416">
    <w:name w:val="Char Char Char Char Char Char Char Char Char Char Char Char Char Char Char Char"/>
    <w:basedOn w:val="1"/>
    <w:autoRedefine/>
    <w:qFormat/>
    <w:uiPriority w:val="0"/>
    <w:pPr>
      <w:autoSpaceDE/>
      <w:autoSpaceDN/>
      <w:adjustRightInd/>
      <w:spacing w:line="330" w:lineRule="atLeast"/>
      <w:ind w:left="360" w:firstLine="360" w:firstLineChars="150"/>
    </w:pPr>
    <w:rPr>
      <w:rFonts w:ascii="等线" w:hAnsi="等线" w:cs="等线 Light"/>
      <w:color w:val="51585D"/>
      <w:szCs w:val="18"/>
    </w:rPr>
  </w:style>
  <w:style w:type="paragraph" w:customStyle="1" w:styleId="417">
    <w:name w:val="目录文字"/>
    <w:basedOn w:val="1"/>
    <w:autoRedefine/>
    <w:qFormat/>
    <w:uiPriority w:val="0"/>
    <w:pPr>
      <w:widowControl/>
      <w:autoSpaceDE/>
      <w:autoSpaceDN/>
      <w:adjustRightInd/>
      <w:spacing w:line="480" w:lineRule="auto"/>
    </w:pPr>
    <w:rPr>
      <w:rFonts w:hAnsi="等线 Light"/>
      <w:szCs w:val="20"/>
    </w:rPr>
  </w:style>
  <w:style w:type="paragraph" w:customStyle="1" w:styleId="418">
    <w:name w:val="默认段落字体 Para Char Char Char Char Char Char Char Char Char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419">
    <w:name w:val=" Char Char"/>
    <w:basedOn w:val="1"/>
    <w:autoRedefine/>
    <w:qFormat/>
    <w:uiPriority w:val="0"/>
    <w:pPr>
      <w:autoSpaceDE/>
      <w:autoSpaceDN/>
      <w:adjustRightInd/>
      <w:jc w:val="both"/>
    </w:pPr>
    <w:rPr>
      <w:rFonts w:ascii="Calibri" w:hAnsi="Calibri"/>
      <w:kern w:val="2"/>
      <w:szCs w:val="20"/>
    </w:rPr>
  </w:style>
  <w:style w:type="paragraph" w:customStyle="1" w:styleId="420">
    <w:name w:val="xl53"/>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21">
    <w:name w:val="Char Char Char Char"/>
    <w:basedOn w:val="19"/>
    <w:autoRedefine/>
    <w:qFormat/>
    <w:uiPriority w:val="0"/>
    <w:pPr>
      <w:autoSpaceDE/>
      <w:autoSpaceDN/>
      <w:adjustRightInd/>
      <w:jc w:val="both"/>
    </w:pPr>
    <w:rPr>
      <w:rFonts w:ascii="Arial Unicode MS" w:hAnsi="Arial Unicode MS"/>
      <w:kern w:val="2"/>
    </w:rPr>
  </w:style>
  <w:style w:type="paragraph" w:customStyle="1" w:styleId="422">
    <w:name w:val="xl57"/>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3">
    <w:name w:val="样式 四号 左 行距: 1.5 倍行距 首行缩进:  2 字符"/>
    <w:basedOn w:val="1"/>
    <w:autoRedefine/>
    <w:qFormat/>
    <w:uiPriority w:val="0"/>
    <w:pPr>
      <w:autoSpaceDE/>
      <w:autoSpaceDN/>
      <w:adjustRightInd/>
      <w:spacing w:line="360" w:lineRule="auto"/>
      <w:ind w:firstLine="560" w:firstLineChars="200"/>
    </w:pPr>
    <w:rPr>
      <w:rFonts w:ascii="Arial Unicode MS" w:hAnsi="Arial Unicode MS" w:cs="等线 Light"/>
      <w:kern w:val="2"/>
      <w:szCs w:val="20"/>
    </w:rPr>
  </w:style>
  <w:style w:type="paragraph" w:customStyle="1" w:styleId="424">
    <w:name w:val="保留正文"/>
    <w:basedOn w:val="2"/>
    <w:autoRedefine/>
    <w:qFormat/>
    <w:uiPriority w:val="0"/>
    <w:pPr>
      <w:keepNext/>
      <w:autoSpaceDE/>
      <w:autoSpaceDN/>
      <w:adjustRightInd/>
      <w:spacing w:after="160"/>
      <w:ind w:right="0"/>
      <w:jc w:val="both"/>
    </w:pPr>
    <w:rPr>
      <w:rFonts w:ascii="幼圆" w:hAnsi="幼圆"/>
      <w:b w:val="0"/>
      <w:bCs w:val="0"/>
      <w:kern w:val="2"/>
      <w:sz w:val="21"/>
      <w:szCs w:val="24"/>
      <w:lang w:val="en-US" w:eastAsia="zh-CN"/>
    </w:rPr>
  </w:style>
  <w:style w:type="paragraph" w:customStyle="1" w:styleId="425">
    <w:name w:val="表格内文字"/>
    <w:basedOn w:val="1"/>
    <w:autoRedefine/>
    <w:qFormat/>
    <w:uiPriority w:val="0"/>
    <w:pPr>
      <w:widowControl/>
      <w:autoSpaceDE/>
      <w:autoSpaceDN/>
      <w:snapToGrid w:val="0"/>
      <w:ind w:left="13" w:hanging="13" w:hangingChars="6"/>
      <w:jc w:val="center"/>
    </w:pPr>
    <w:rPr>
      <w:rFonts w:ascii="Arial Unicode MS" w:hAnsi="等线" w:eastAsia="微软雅黑"/>
      <w:snapToGrid w:val="0"/>
      <w:color w:val="333333"/>
      <w:sz w:val="21"/>
      <w:szCs w:val="21"/>
    </w:rPr>
  </w:style>
  <w:style w:type="paragraph" w:customStyle="1" w:styleId="426">
    <w:name w:val="标题5"/>
    <w:autoRedefine/>
    <w:qFormat/>
    <w:uiPriority w:val="0"/>
    <w:pPr>
      <w:adjustRightInd w:val="0"/>
      <w:spacing w:line="400" w:lineRule="exact"/>
      <w:textAlignment w:val="baseline"/>
    </w:pPr>
    <w:rPr>
      <w:rFonts w:ascii="Arial Unicode MS" w:hAnsi="Arial Unicode MS" w:eastAsia="微软雅黑" w:cs="Times New Roman"/>
      <w:b/>
      <w:sz w:val="24"/>
      <w:lang w:val="en-US" w:eastAsia="zh-CN" w:bidi="ar-SA"/>
    </w:rPr>
  </w:style>
  <w:style w:type="paragraph" w:customStyle="1" w:styleId="427">
    <w:name w:val="xl59"/>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8">
    <w:name w:val=" Char Char Char Char Char Char Char"/>
    <w:basedOn w:val="19"/>
    <w:autoRedefine/>
    <w:qFormat/>
    <w:uiPriority w:val="0"/>
    <w:pPr>
      <w:autoSpaceDE/>
      <w:autoSpaceDN/>
      <w:adjustRightInd/>
      <w:jc w:val="both"/>
    </w:pPr>
    <w:rPr>
      <w:rFonts w:ascii="Calibri" w:hAnsi="Calibri"/>
      <w:kern w:val="2"/>
      <w:szCs w:val="20"/>
    </w:rPr>
  </w:style>
  <w:style w:type="paragraph" w:customStyle="1" w:styleId="429">
    <w:name w:val="reader-word-layer"/>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30">
    <w:name w:val="正文缩进6格"/>
    <w:basedOn w:val="431"/>
    <w:autoRedefine/>
    <w:qFormat/>
    <w:uiPriority w:val="0"/>
    <w:pPr>
      <w:spacing w:line="600" w:lineRule="exact"/>
      <w:ind w:left="1758" w:leftChars="854" w:firstLine="403" w:firstLineChars="192"/>
      <w:jc w:val="left"/>
    </w:pPr>
    <w:rPr>
      <w:rFonts w:ascii="微软雅黑" w:eastAsia="微软雅黑"/>
      <w:kern w:val="2"/>
      <w:lang w:val="en-US" w:eastAsia="zh-CN"/>
    </w:rPr>
  </w:style>
  <w:style w:type="paragraph" w:customStyle="1" w:styleId="431">
    <w:name w:val="正文缩进4格"/>
    <w:basedOn w:val="187"/>
    <w:autoRedefine/>
    <w:qFormat/>
    <w:uiPriority w:val="0"/>
    <w:pPr>
      <w:spacing w:line="360" w:lineRule="auto"/>
      <w:ind w:left="964" w:leftChars="314" w:hanging="210" w:hangingChars="100"/>
    </w:pPr>
    <w:rPr>
      <w:rFonts w:ascii="等线 Light" w:eastAsia="等线 Light"/>
      <w:sz w:val="21"/>
      <w:szCs w:val="21"/>
      <w:lang w:val="zh-CN"/>
    </w:rPr>
  </w:style>
  <w:style w:type="paragraph" w:customStyle="1" w:styleId="432">
    <w:name w:val="样式 标题 3头小节标题Heading 3 - oldh33rd levelH3l3CTLevel 3 Hea...6"/>
    <w:basedOn w:val="6"/>
    <w:autoRedefine/>
    <w:qFormat/>
    <w:uiPriority w:val="0"/>
    <w:pPr>
      <w:keepNext/>
      <w:keepLines/>
      <w:tabs>
        <w:tab w:val="left" w:pos="964"/>
      </w:tabs>
      <w:autoSpaceDE/>
      <w:autoSpaceDN/>
      <w:adjustRightInd/>
      <w:spacing w:line="360" w:lineRule="auto"/>
      <w:jc w:val="both"/>
    </w:pPr>
    <w:rPr>
      <w:rFonts w:hAnsi="等线 Light"/>
      <w:bCs/>
      <w:szCs w:val="32"/>
    </w:rPr>
  </w:style>
  <w:style w:type="paragraph" w:customStyle="1" w:styleId="433">
    <w:name w:val="_Style 218"/>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34">
    <w:name w:val="af3-TBL-BR-1"/>
    <w:autoRedefine/>
    <w:qFormat/>
    <w:uiPriority w:val="0"/>
    <w:pPr>
      <w:widowControl w:val="0"/>
      <w:ind w:left="100" w:leftChars="2500"/>
      <w:jc w:val="both"/>
    </w:pPr>
    <w:rPr>
      <w:rFonts w:ascii="Arial Unicode MS" w:hAnsi="Arial Unicode MS" w:eastAsia="宋体" w:cs="Times New Roman"/>
      <w:kern w:val="2"/>
      <w:sz w:val="21"/>
      <w:szCs w:val="24"/>
      <w:lang w:val="en-US" w:eastAsia="zh-CN" w:bidi="ar-SA"/>
    </w:rPr>
  </w:style>
  <w:style w:type="paragraph" w:customStyle="1" w:styleId="435">
    <w:name w:val="Char1 Char Char Char"/>
    <w:basedOn w:val="1"/>
    <w:autoRedefine/>
    <w:qFormat/>
    <w:uiPriority w:val="0"/>
    <w:pPr>
      <w:tabs>
        <w:tab w:val="left" w:pos="4301"/>
      </w:tabs>
      <w:autoSpaceDE/>
      <w:autoSpaceDN/>
      <w:adjustRightInd/>
      <w:ind w:left="4301" w:hanging="420"/>
      <w:jc w:val="both"/>
    </w:pPr>
    <w:rPr>
      <w:rFonts w:ascii="Arial Unicode MS" w:hAnsi="Arial Unicode MS"/>
      <w:kern w:val="2"/>
    </w:rPr>
  </w:style>
  <w:style w:type="paragraph" w:customStyle="1" w:styleId="436">
    <w:name w:val="编号列项（三级）"/>
    <w:autoRedefine/>
    <w:qFormat/>
    <w:uiPriority w:val="0"/>
    <w:pPr>
      <w:ind w:left="800" w:leftChars="600" w:hanging="200" w:hangingChars="200"/>
    </w:pPr>
    <w:rPr>
      <w:rFonts w:ascii="等线 Light" w:hAnsi="Arial Unicode MS" w:eastAsia="宋体" w:cs="Times New Roman"/>
      <w:sz w:val="21"/>
      <w:lang w:val="en-US" w:eastAsia="zh-CN" w:bidi="ar-SA"/>
    </w:rPr>
  </w:style>
  <w:style w:type="paragraph" w:customStyle="1" w:styleId="437">
    <w:name w:val="pa-4"/>
    <w:basedOn w:val="1"/>
    <w:autoRedefine/>
    <w:qFormat/>
    <w:uiPriority w:val="0"/>
    <w:pPr>
      <w:widowControl/>
      <w:autoSpaceDE/>
      <w:autoSpaceDN/>
      <w:adjustRightInd/>
      <w:spacing w:line="360" w:lineRule="atLeast"/>
      <w:jc w:val="both"/>
    </w:pPr>
    <w:rPr>
      <w:rFonts w:hAnsi="等线 Light" w:cs="等线 Light"/>
    </w:rPr>
  </w:style>
  <w:style w:type="paragraph" w:customStyle="1" w:styleId="438">
    <w:name w:val="样式 标题 3 + (中文) 黑体 小四 非加粗 段前: 7.8 磅 段后: 0 磅 行距: 固定值 20 磅"/>
    <w:basedOn w:val="6"/>
    <w:autoRedefine/>
    <w:qFormat/>
    <w:uiPriority w:val="0"/>
    <w:pPr>
      <w:keepNext/>
      <w:keepLines/>
      <w:autoSpaceDE/>
      <w:autoSpaceDN/>
      <w:adjustRightInd/>
      <w:spacing w:line="400" w:lineRule="exact"/>
      <w:jc w:val="both"/>
    </w:pPr>
    <w:rPr>
      <w:rFonts w:ascii="Arial Unicode MS" w:hAnsi="Arial Unicode MS" w:eastAsia="PMingLiU" w:cs="等线 Light"/>
      <w:kern w:val="2"/>
      <w:szCs w:val="20"/>
    </w:rPr>
  </w:style>
  <w:style w:type="paragraph" w:customStyle="1" w:styleId="439">
    <w:name w:val="afff0-TBL-BR-1"/>
    <w:autoRedefine/>
    <w:qFormat/>
    <w:uiPriority w:val="0"/>
    <w:pPr>
      <w:spacing w:line="480" w:lineRule="auto"/>
    </w:pPr>
    <w:rPr>
      <w:rFonts w:ascii="等线 Light" w:hAnsi="等线 Light" w:eastAsia="宋体" w:cs="Times New Roman"/>
      <w:sz w:val="24"/>
      <w:lang w:val="en-US" w:eastAsia="zh-CN" w:bidi="ar-SA"/>
    </w:rPr>
  </w:style>
  <w:style w:type="paragraph" w:customStyle="1" w:styleId="440">
    <w:name w:val="0"/>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41">
    <w:name w:val="修订3"/>
    <w:autoRedefine/>
    <w:qFormat/>
    <w:uiPriority w:val="99"/>
    <w:pPr>
      <w:tabs>
        <w:tab w:val="left" w:pos="840"/>
      </w:tabs>
    </w:pPr>
    <w:rPr>
      <w:rFonts w:ascii="Arial Unicode MS" w:hAnsi="Arial Unicode MS" w:eastAsia="宋体" w:cs="Times New Roman"/>
      <w:kern w:val="2"/>
      <w:sz w:val="21"/>
      <w:lang w:val="en-US" w:eastAsia="zh-CN" w:bidi="ar-SA"/>
    </w:rPr>
  </w:style>
  <w:style w:type="paragraph" w:customStyle="1" w:styleId="442">
    <w:name w:val="样式 标题 3头小节标题Heading 3 - oldh33rd levelH3l3CTLevel 3 Hea...4"/>
    <w:basedOn w:val="6"/>
    <w:autoRedefine/>
    <w:qFormat/>
    <w:uiPriority w:val="0"/>
    <w:pPr>
      <w:keepNext/>
      <w:keepLines/>
      <w:tabs>
        <w:tab w:val="left" w:pos="964"/>
      </w:tabs>
      <w:autoSpaceDE/>
      <w:autoSpaceDN/>
      <w:adjustRightInd/>
      <w:spacing w:line="360" w:lineRule="auto"/>
      <w:ind w:firstLine="200" w:firstLineChars="200"/>
      <w:jc w:val="both"/>
    </w:pPr>
    <w:rPr>
      <w:rFonts w:hAnsi="等线 Light" w:cs="等线 Light"/>
      <w:kern w:val="2"/>
      <w:szCs w:val="20"/>
    </w:rPr>
  </w:style>
  <w:style w:type="paragraph" w:customStyle="1" w:styleId="443">
    <w:name w:val="xl101"/>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444">
    <w:name w:val="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5">
    <w:name w:val="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6">
    <w:name w:val="2册标题5"/>
    <w:basedOn w:val="447"/>
    <w:next w:val="1"/>
    <w:autoRedefine/>
    <w:qFormat/>
    <w:uiPriority w:val="0"/>
    <w:pPr>
      <w:ind w:left="720" w:leftChars="300"/>
      <w:outlineLvl w:val="4"/>
    </w:pPr>
    <w:rPr>
      <w:rFonts w:eastAsia="Cambria Math" w:cs="楷体_GB2312"/>
      <w:b/>
    </w:rPr>
  </w:style>
  <w:style w:type="paragraph" w:customStyle="1" w:styleId="447">
    <w:name w:val="2册标题4"/>
    <w:basedOn w:val="1"/>
    <w:next w:val="1"/>
    <w:autoRedefine/>
    <w:qFormat/>
    <w:uiPriority w:val="0"/>
    <w:pPr>
      <w:autoSpaceDE/>
      <w:autoSpaceDN/>
      <w:adjustRightInd/>
      <w:spacing w:before="156" w:beforeLines="50" w:after="156" w:afterLines="50"/>
      <w:ind w:left="480" w:leftChars="200"/>
      <w:jc w:val="both"/>
      <w:outlineLvl w:val="3"/>
    </w:pPr>
    <w:rPr>
      <w:rFonts w:ascii="楷体_GB2312" w:hAnsi="楷体_GB2312" w:eastAsia="PMingLiU"/>
      <w:kern w:val="2"/>
    </w:rPr>
  </w:style>
  <w:style w:type="paragraph" w:customStyle="1" w:styleId="448">
    <w:name w:val="È±Ê¡ÎÄ±¾"/>
    <w:basedOn w:val="1"/>
    <w:autoRedefine/>
    <w:qFormat/>
    <w:uiPriority w:val="0"/>
    <w:pPr>
      <w:widowControl/>
      <w:overflowPunct w:val="0"/>
      <w:textAlignment w:val="baseline"/>
    </w:pPr>
    <w:rPr>
      <w:rFonts w:ascii="Arial Unicode MS" w:hAnsi="Arial Unicode MS"/>
      <w:szCs w:val="20"/>
    </w:rPr>
  </w:style>
  <w:style w:type="paragraph" w:customStyle="1" w:styleId="449">
    <w:name w:val="1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b/>
      <w:bCs/>
      <w:kern w:val="2"/>
      <w:sz w:val="48"/>
      <w:szCs w:val="20"/>
    </w:rPr>
  </w:style>
  <w:style w:type="paragraph" w:customStyle="1" w:styleId="450">
    <w:name w:val="xl28"/>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51">
    <w:name w:val="i."/>
    <w:basedOn w:val="1"/>
    <w:autoRedefine/>
    <w:qFormat/>
    <w:uiPriority w:val="0"/>
    <w:pPr>
      <w:tabs>
        <w:tab w:val="left" w:pos="2041"/>
        <w:tab w:val="left" w:pos="2308"/>
      </w:tabs>
      <w:autoSpaceDE/>
      <w:autoSpaceDN/>
      <w:adjustRightInd/>
      <w:spacing w:before="60" w:after="60" w:line="264" w:lineRule="auto"/>
      <w:ind w:left="2041" w:hanging="453"/>
      <w:jc w:val="both"/>
    </w:pPr>
    <w:rPr>
      <w:rFonts w:ascii="Arial Unicode MS" w:hAnsi="Arial Unicode MS"/>
      <w:kern w:val="2"/>
      <w:sz w:val="22"/>
      <w:szCs w:val="22"/>
    </w:rPr>
  </w:style>
  <w:style w:type="paragraph" w:customStyle="1" w:styleId="452">
    <w:name w:val="Body Text(ch)1"/>
    <w:basedOn w:val="1"/>
    <w:next w:val="2"/>
    <w:autoRedefine/>
    <w:qFormat/>
    <w:uiPriority w:val="0"/>
    <w:pPr>
      <w:tabs>
        <w:tab w:val="left" w:pos="562"/>
        <w:tab w:val="left" w:pos="3372"/>
        <w:tab w:val="left" w:pos="3653"/>
      </w:tabs>
      <w:autoSpaceDE/>
      <w:autoSpaceDN/>
      <w:adjustRightInd/>
      <w:jc w:val="both"/>
    </w:pPr>
    <w:rPr>
      <w:rFonts w:ascii="Arial Unicode MS" w:hAnsi="Arial Unicode MS"/>
    </w:rPr>
  </w:style>
  <w:style w:type="paragraph" w:customStyle="1" w:styleId="453">
    <w:name w:val="样式 目录 4 + 首行缩进:  2 字符"/>
    <w:basedOn w:val="43"/>
    <w:autoRedefine/>
    <w:qFormat/>
    <w:uiPriority w:val="0"/>
    <w:pPr>
      <w:autoSpaceDE/>
      <w:autoSpaceDN/>
      <w:snapToGrid w:val="0"/>
      <w:ind w:firstLine="360" w:firstLineChars="400"/>
    </w:pPr>
    <w:rPr>
      <w:rFonts w:cs="等线 Light"/>
      <w:kern w:val="2"/>
      <w:szCs w:val="20"/>
    </w:rPr>
  </w:style>
  <w:style w:type="paragraph" w:customStyle="1" w:styleId="454">
    <w:name w:val="xl2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455">
    <w:name w:val="Char Char Char Char Char Char Char Char Char Char Char Char Char"/>
    <w:basedOn w:val="19"/>
    <w:autoRedefine/>
    <w:qFormat/>
    <w:uiPriority w:val="0"/>
    <w:pPr>
      <w:autoSpaceDE/>
      <w:autoSpaceDN/>
      <w:adjustRightInd/>
      <w:jc w:val="both"/>
    </w:pPr>
    <w:rPr>
      <w:rFonts w:ascii="Arial Unicode MS" w:hAnsi="Arial Unicode MS"/>
      <w:kern w:val="2"/>
      <w:sz w:val="21"/>
      <w:szCs w:val="20"/>
    </w:rPr>
  </w:style>
  <w:style w:type="paragraph" w:customStyle="1" w:styleId="456">
    <w:name w:val="样式3"/>
    <w:basedOn w:val="26"/>
    <w:autoRedefine/>
    <w:qFormat/>
    <w:uiPriority w:val="0"/>
    <w:pPr>
      <w:autoSpaceDE/>
      <w:autoSpaceDN/>
      <w:adjustRightInd/>
      <w:spacing w:before="240" w:after="60" w:line="360" w:lineRule="auto"/>
      <w:ind w:left="0" w:firstLine="0" w:firstLineChars="0"/>
      <w:jc w:val="center"/>
    </w:pPr>
    <w:rPr>
      <w:rFonts w:ascii="幼圆" w:hAnsi="Arial Unicode MS" w:eastAsia="PMingLiU"/>
      <w:kern w:val="2"/>
      <w:szCs w:val="20"/>
    </w:rPr>
  </w:style>
  <w:style w:type="paragraph" w:customStyle="1" w:styleId="457">
    <w:name w:val="缺省文本"/>
    <w:basedOn w:val="1"/>
    <w:autoRedefine/>
    <w:qFormat/>
    <w:uiPriority w:val="0"/>
    <w:rPr>
      <w:rFonts w:ascii="Arial Unicode MS" w:hAnsi="Arial Unicode MS"/>
    </w:rPr>
  </w:style>
  <w:style w:type="paragraph" w:customStyle="1" w:styleId="458">
    <w:name w:val="6.3.5.5"/>
    <w:basedOn w:val="1"/>
    <w:autoRedefine/>
    <w:qFormat/>
    <w:uiPriority w:val="0"/>
    <w:pPr>
      <w:tabs>
        <w:tab w:val="left" w:pos="851"/>
      </w:tabs>
      <w:autoSpaceDE/>
      <w:autoSpaceDN/>
      <w:adjustRightInd/>
      <w:spacing w:before="120" w:after="120"/>
      <w:jc w:val="both"/>
    </w:pPr>
    <w:rPr>
      <w:rFonts w:ascii="Arial Unicode MS" w:hAnsi="Arial Unicode MS"/>
      <w:kern w:val="2"/>
      <w:szCs w:val="20"/>
    </w:rPr>
  </w:style>
  <w:style w:type="paragraph" w:customStyle="1" w:styleId="459">
    <w:name w:val="LED标题1"/>
    <w:basedOn w:val="1"/>
    <w:next w:val="1"/>
    <w:autoRedefine/>
    <w:qFormat/>
    <w:uiPriority w:val="0"/>
    <w:pPr>
      <w:autoSpaceDE/>
      <w:autoSpaceDN/>
      <w:adjustRightInd/>
      <w:spacing w:before="156" w:beforeLines="50" w:after="156" w:afterLines="50"/>
      <w:ind w:firstLine="320" w:firstLineChars="100"/>
      <w:jc w:val="center"/>
      <w:outlineLvl w:val="0"/>
    </w:pPr>
    <w:rPr>
      <w:rFonts w:ascii="楷体_GB2312" w:hAnsi="楷体_GB2312" w:eastAsia="PMingLiU"/>
      <w:color w:val="FF0000"/>
      <w:kern w:val="2"/>
      <w:sz w:val="32"/>
      <w:szCs w:val="32"/>
    </w:rPr>
  </w:style>
  <w:style w:type="paragraph" w:customStyle="1" w:styleId="460">
    <w:name w:val="修订1"/>
    <w:autoRedefine/>
    <w:unhideWhenUsed/>
    <w:qFormat/>
    <w:uiPriority w:val="0"/>
    <w:rPr>
      <w:rFonts w:ascii="Times New Roman" w:hAnsi="Times New Roman" w:eastAsia="宋体" w:cs="Times New Roman"/>
      <w:kern w:val="2"/>
      <w:sz w:val="21"/>
      <w:szCs w:val="22"/>
      <w:lang w:val="en-US" w:eastAsia="zh-CN" w:bidi="ar-SA"/>
    </w:rPr>
  </w:style>
  <w:style w:type="paragraph" w:customStyle="1" w:styleId="461">
    <w:name w:val=" Char Char Char Char Char Char Char Char Char Char Char Char Char"/>
    <w:basedOn w:val="19"/>
    <w:autoRedefine/>
    <w:qFormat/>
    <w:uiPriority w:val="0"/>
    <w:pPr>
      <w:autoSpaceDE/>
      <w:autoSpaceDN/>
      <w:adjustRightInd/>
      <w:jc w:val="both"/>
    </w:pPr>
    <w:rPr>
      <w:rFonts w:ascii="Arial Unicode MS" w:hAnsi="Arial Unicode MS"/>
      <w:kern w:val="2"/>
      <w:sz w:val="21"/>
      <w:szCs w:val="20"/>
    </w:rPr>
  </w:style>
  <w:style w:type="paragraph" w:customStyle="1" w:styleId="462">
    <w:name w:val="Graphics"/>
    <w:basedOn w:val="1"/>
    <w:autoRedefine/>
    <w:qFormat/>
    <w:uiPriority w:val="0"/>
    <w:pPr>
      <w:widowControl/>
      <w:autoSpaceDE/>
      <w:autoSpaceDN/>
      <w:adjustRightInd/>
      <w:spacing w:before="120"/>
    </w:pPr>
    <w:rPr>
      <w:rFonts w:ascii="Arial Unicode MS" w:hAnsi="Arial Unicode MS"/>
      <w:color w:val="000000"/>
      <w:sz w:val="20"/>
      <w:szCs w:val="20"/>
      <w:lang w:eastAsia="en-US"/>
    </w:rPr>
  </w:style>
  <w:style w:type="paragraph" w:customStyle="1" w:styleId="463">
    <w:name w:val="xl33"/>
    <w:basedOn w:val="1"/>
    <w:autoRedefine/>
    <w:qFormat/>
    <w:uiPriority w:val="0"/>
    <w:pPr>
      <w:widowControl/>
      <w:autoSpaceDE/>
      <w:autoSpaceDN/>
      <w:adjustRightInd/>
      <w:spacing w:before="100" w:beforeAutospacing="1" w:after="100" w:afterAutospacing="1"/>
    </w:pPr>
    <w:rPr>
      <w:rFonts w:hint="eastAsia" w:hAnsi="等线 Light"/>
      <w:sz w:val="20"/>
      <w:szCs w:val="20"/>
    </w:rPr>
  </w:style>
  <w:style w:type="paragraph" w:customStyle="1" w:styleId="464">
    <w:name w:val="Char Char Char Char Char Char Char Char Char Char Char Char1 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65">
    <w:name w:val="表内文"/>
    <w:autoRedefine/>
    <w:qFormat/>
    <w:uiPriority w:val="0"/>
    <w:rPr>
      <w:rFonts w:ascii="Arial Unicode MS" w:hAnsi="Arial Unicode MS" w:eastAsia="宋体" w:cs="Times New Roman"/>
      <w:kern w:val="2"/>
      <w:sz w:val="21"/>
      <w:szCs w:val="22"/>
      <w:lang w:val="en-US" w:eastAsia="zh-CN" w:bidi="ar-SA"/>
    </w:rPr>
  </w:style>
  <w:style w:type="paragraph" w:customStyle="1" w:styleId="466">
    <w:name w:val="编号1"/>
    <w:basedOn w:val="1"/>
    <w:autoRedefine/>
    <w:qFormat/>
    <w:uiPriority w:val="0"/>
    <w:pPr>
      <w:tabs>
        <w:tab w:val="left" w:pos="425"/>
        <w:tab w:val="left" w:pos="851"/>
      </w:tabs>
      <w:autoSpaceDE/>
      <w:autoSpaceDN/>
      <w:adjustRightInd/>
      <w:spacing w:line="360" w:lineRule="auto"/>
      <w:ind w:left="425" w:hanging="425"/>
    </w:pPr>
    <w:rPr>
      <w:rFonts w:hAnsi="等线 Light"/>
      <w:bCs/>
      <w:kern w:val="2"/>
      <w:szCs w:val="20"/>
    </w:rPr>
  </w:style>
  <w:style w:type="paragraph" w:customStyle="1" w:styleId="467">
    <w:name w:val="彩色底纹 - 着色 11"/>
    <w:autoRedefine/>
    <w:qFormat/>
    <w:uiPriority w:val="0"/>
    <w:rPr>
      <w:rFonts w:ascii="等线 Light" w:hAnsi="Times New Roman" w:eastAsia="宋体" w:cs="Times New Roman"/>
      <w:sz w:val="24"/>
      <w:szCs w:val="24"/>
      <w:lang w:val="en-US" w:eastAsia="zh-CN" w:bidi="ar-SA"/>
    </w:rPr>
  </w:style>
  <w:style w:type="paragraph" w:customStyle="1" w:styleId="468">
    <w:name w:val="默认段落字体 Para Char Char Char Char Char Char Char Char Char1 Char Char Char Char Char Char Char"/>
    <w:basedOn w:val="19"/>
    <w:autoRedefine/>
    <w:qFormat/>
    <w:uiPriority w:val="0"/>
    <w:pPr>
      <w:autoSpaceDE/>
      <w:autoSpaceDN/>
      <w:adjustRightInd/>
      <w:jc w:val="both"/>
    </w:pPr>
    <w:rPr>
      <w:rFonts w:ascii="Calibri" w:hAnsi="Calibri"/>
      <w:kern w:val="2"/>
    </w:rPr>
  </w:style>
  <w:style w:type="paragraph" w:customStyle="1" w:styleId="469">
    <w:name w:val="Char Char Char"/>
    <w:basedOn w:val="1"/>
    <w:autoRedefine/>
    <w:qFormat/>
    <w:uiPriority w:val="0"/>
    <w:pPr>
      <w:autoSpaceDE/>
      <w:autoSpaceDN/>
      <w:adjustRightInd/>
      <w:jc w:val="both"/>
    </w:pPr>
    <w:rPr>
      <w:rFonts w:ascii="Calibri" w:hAnsi="Calibri"/>
      <w:kern w:val="2"/>
      <w:szCs w:val="20"/>
    </w:rPr>
  </w:style>
  <w:style w:type="paragraph" w:customStyle="1" w:styleId="470">
    <w:name w:val="Blockquote"/>
    <w:basedOn w:val="1"/>
    <w:autoRedefine/>
    <w:qFormat/>
    <w:uiPriority w:val="0"/>
    <w:pPr>
      <w:spacing w:before="100" w:after="100"/>
      <w:ind w:left="360" w:right="360"/>
    </w:pPr>
    <w:rPr>
      <w:rFonts w:ascii="Arial Unicode MS" w:hAnsi="Arial Unicode MS"/>
      <w:szCs w:val="20"/>
    </w:rPr>
  </w:style>
  <w:style w:type="paragraph" w:customStyle="1" w:styleId="471">
    <w:name w:val="TOC 标题1"/>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72">
    <w:name w:val="xl58"/>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等线 Light"/>
    </w:rPr>
  </w:style>
  <w:style w:type="paragraph" w:customStyle="1" w:styleId="473">
    <w:name w:val="_Style 3"/>
    <w:basedOn w:val="1"/>
    <w:autoRedefine/>
    <w:qFormat/>
    <w:uiPriority w:val="34"/>
    <w:pPr>
      <w:ind w:firstLine="420" w:firstLineChars="200"/>
    </w:pPr>
    <w:rPr>
      <w:kern w:val="2"/>
      <w:sz w:val="21"/>
      <w:szCs w:val="24"/>
    </w:rPr>
  </w:style>
  <w:style w:type="paragraph" w:customStyle="1" w:styleId="474">
    <w:name w:val="xl22"/>
    <w:basedOn w:val="1"/>
    <w:autoRedefine/>
    <w:qFormat/>
    <w:uiPriority w:val="0"/>
    <w:pPr>
      <w:widowControl/>
      <w:autoSpaceDE/>
      <w:autoSpaceDN/>
      <w:adjustRightInd/>
      <w:spacing w:before="100" w:beforeAutospacing="1" w:after="100" w:afterAutospacing="1"/>
    </w:pPr>
    <w:rPr>
      <w:rFonts w:ascii="微软雅黑" w:hAnsi="等线 Light" w:eastAsia="微软雅黑" w:cs="等线 Light"/>
    </w:rPr>
  </w:style>
  <w:style w:type="paragraph" w:customStyle="1" w:styleId="475">
    <w:name w:val="附录章标题"/>
    <w:next w:val="362"/>
    <w:autoRedefine/>
    <w:qFormat/>
    <w:uiPriority w:val="0"/>
    <w:pPr>
      <w:numPr>
        <w:ilvl w:val="1"/>
        <w:numId w:val="4"/>
      </w:numPr>
      <w:tabs>
        <w:tab w:val="left" w:pos="1440"/>
      </w:tabs>
      <w:wordWrap w:val="0"/>
      <w:overflowPunct w:val="0"/>
      <w:autoSpaceDE w:val="0"/>
      <w:spacing w:beforeLines="50" w:afterLines="50"/>
      <w:jc w:val="both"/>
      <w:textAlignment w:val="baseline"/>
      <w:outlineLvl w:val="1"/>
    </w:pPr>
    <w:rPr>
      <w:rFonts w:ascii="PMingLiU" w:hAnsi="Arial Unicode MS" w:eastAsia="PMingLiU" w:cs="Times New Roman"/>
      <w:kern w:val="21"/>
      <w:sz w:val="21"/>
      <w:lang w:val="en-US" w:eastAsia="zh-CN" w:bidi="ar-SA"/>
    </w:rPr>
  </w:style>
  <w:style w:type="paragraph" w:customStyle="1" w:styleId="476">
    <w:name w:val=" 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77">
    <w:name w:val="注×："/>
    <w:autoRedefine/>
    <w:qFormat/>
    <w:uiPriority w:val="0"/>
    <w:pPr>
      <w:widowControl w:val="0"/>
      <w:numPr>
        <w:ilvl w:val="0"/>
        <w:numId w:val="5"/>
      </w:numPr>
      <w:tabs>
        <w:tab w:val="left" w:pos="630"/>
        <w:tab w:val="left" w:pos="3444"/>
      </w:tabs>
      <w:autoSpaceDE w:val="0"/>
      <w:autoSpaceDN w:val="0"/>
      <w:jc w:val="both"/>
    </w:pPr>
    <w:rPr>
      <w:rFonts w:ascii="等线 Light" w:hAnsi="Arial Unicode MS" w:eastAsia="宋体" w:cs="Times New Roman"/>
      <w:sz w:val="18"/>
      <w:lang w:val="en-US" w:eastAsia="zh-CN" w:bidi="ar-SA"/>
    </w:rPr>
  </w:style>
  <w:style w:type="paragraph" w:customStyle="1" w:styleId="478">
    <w:name w:val="Level2Bullet"/>
    <w:basedOn w:val="1"/>
    <w:autoRedefine/>
    <w:qFormat/>
    <w:uiPriority w:val="0"/>
    <w:pPr>
      <w:widowControl/>
      <w:numPr>
        <w:ilvl w:val="8"/>
        <w:numId w:val="6"/>
      </w:numPr>
      <w:tabs>
        <w:tab w:val="left" w:pos="3969"/>
        <w:tab w:val="left" w:pos="5954"/>
        <w:tab w:val="left" w:pos="7938"/>
      </w:tabs>
      <w:autoSpaceDE/>
      <w:autoSpaceDN/>
      <w:adjustRightInd/>
      <w:ind w:left="2268" w:hanging="283"/>
    </w:pPr>
    <w:rPr>
      <w:rFonts w:ascii="Cambria" w:hAnsi="Cambria"/>
      <w:sz w:val="20"/>
      <w:szCs w:val="20"/>
      <w:lang w:val="en-GB"/>
    </w:rPr>
  </w:style>
  <w:style w:type="paragraph" w:customStyle="1" w:styleId="479">
    <w:name w:val="2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32"/>
      <w:szCs w:val="32"/>
    </w:rPr>
  </w:style>
  <w:style w:type="paragraph" w:customStyle="1" w:styleId="480">
    <w:name w:val="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Arial Unicode MS" w:hAnsi="Arial Unicode MS"/>
      <w:kern w:val="2"/>
    </w:rPr>
  </w:style>
  <w:style w:type="paragraph" w:customStyle="1" w:styleId="481">
    <w:name w:val="批注文字1"/>
    <w:basedOn w:val="1"/>
    <w:next w:val="21"/>
    <w:autoRedefine/>
    <w:qFormat/>
    <w:uiPriority w:val="0"/>
    <w:pPr>
      <w:autoSpaceDE/>
      <w:autoSpaceDN/>
      <w:spacing w:line="360" w:lineRule="atLeast"/>
      <w:ind w:firstLine="480" w:firstLineChars="200"/>
      <w:textAlignment w:val="baseline"/>
    </w:pPr>
    <w:rPr>
      <w:rFonts w:ascii="Arial Unicode MS" w:hAnsi="Arial Unicode MS"/>
      <w:kern w:val="2"/>
      <w:szCs w:val="22"/>
    </w:rPr>
  </w:style>
  <w:style w:type="paragraph" w:customStyle="1" w:styleId="482">
    <w:name w:val="Table Text"/>
    <w:autoRedefine/>
    <w:qFormat/>
    <w:uiPriority w:val="0"/>
    <w:pPr>
      <w:snapToGrid w:val="0"/>
      <w:spacing w:before="80" w:after="80"/>
      <w:ind w:left="51"/>
    </w:pPr>
    <w:rPr>
      <w:rFonts w:ascii="楷体_GB2312" w:hAnsi="楷体_GB2312" w:eastAsia="宋体" w:cs="Times New Roman"/>
      <w:sz w:val="21"/>
      <w:lang w:val="en-US" w:eastAsia="zh-CN" w:bidi="ar-SA"/>
    </w:rPr>
  </w:style>
  <w:style w:type="paragraph" w:customStyle="1" w:styleId="483">
    <w:name w:val="样式 标题 3头小节标题Heading 3 - oldh33rd levelH3l3CTLevel 3 Hea...1"/>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484">
    <w:name w:val="表格文字居中"/>
    <w:basedOn w:val="137"/>
    <w:autoRedefine/>
    <w:qFormat/>
    <w:uiPriority w:val="0"/>
    <w:pPr>
      <w:jc w:val="center"/>
    </w:pPr>
    <w:rPr>
      <w:rFonts w:cs="等线 Light"/>
      <w:szCs w:val="20"/>
    </w:rPr>
  </w:style>
  <w:style w:type="paragraph" w:customStyle="1" w:styleId="485">
    <w:name w:val="xl6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486">
    <w:name w:val="TOC 标题2"/>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87">
    <w:name w:val="xl35"/>
    <w:basedOn w:val="1"/>
    <w:autoRedefine/>
    <w:qFormat/>
    <w:uiPriority w:val="0"/>
    <w:pPr>
      <w:widowControl/>
      <w:pBdr>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88">
    <w:name w:val="af0-TBL-BR-1-TBL-BR-1"/>
    <w:autoRedefine/>
    <w:qFormat/>
    <w:uiPriority w:val="0"/>
    <w:pPr>
      <w:widowControl w:val="0"/>
      <w:ind w:left="100" w:leftChars="2500"/>
      <w:jc w:val="both"/>
    </w:pPr>
    <w:rPr>
      <w:rFonts w:ascii="Arial Unicode MS" w:hAnsi="Arial Unicode MS" w:eastAsia="Verdana" w:cs="Times New Roman"/>
      <w:kern w:val="2"/>
      <w:sz w:val="21"/>
      <w:szCs w:val="24"/>
      <w:lang w:val="en-US" w:eastAsia="zh-CN" w:bidi="ar-SA"/>
    </w:rPr>
  </w:style>
  <w:style w:type="paragraph" w:customStyle="1" w:styleId="489">
    <w:name w:val="Default Paragraph Font Para Char"/>
    <w:basedOn w:val="1"/>
    <w:autoRedefine/>
    <w:qFormat/>
    <w:uiPriority w:val="0"/>
    <w:pPr>
      <w:widowControl/>
      <w:autoSpaceDE/>
      <w:autoSpaceDN/>
      <w:adjustRightInd/>
      <w:spacing w:after="160" w:line="240" w:lineRule="exact"/>
    </w:pPr>
    <w:rPr>
      <w:rFonts w:ascii="Arial Unicode MS" w:hAnsi="Arial Unicode MS"/>
      <w:kern w:val="2"/>
      <w:sz w:val="21"/>
    </w:rPr>
  </w:style>
  <w:style w:type="paragraph" w:customStyle="1" w:styleId="490">
    <w:name w:val="pa-3"/>
    <w:basedOn w:val="1"/>
    <w:autoRedefine/>
    <w:qFormat/>
    <w:uiPriority w:val="0"/>
    <w:pPr>
      <w:widowControl/>
      <w:autoSpaceDE/>
      <w:autoSpaceDN/>
      <w:adjustRightInd/>
      <w:spacing w:line="360" w:lineRule="atLeast"/>
      <w:ind w:firstLine="640"/>
      <w:jc w:val="both"/>
    </w:pPr>
    <w:rPr>
      <w:rFonts w:hAnsi="等线 Light" w:cs="等线 Light"/>
    </w:rPr>
  </w:style>
  <w:style w:type="paragraph" w:customStyle="1" w:styleId="491">
    <w:name w:val="样式 左侧:  0 厘米 悬挂缩进: 2.5 字符"/>
    <w:basedOn w:val="1"/>
    <w:autoRedefine/>
    <w:qFormat/>
    <w:uiPriority w:val="0"/>
    <w:pPr>
      <w:autoSpaceDE/>
      <w:autoSpaceDN/>
      <w:adjustRightInd/>
      <w:ind w:left="525" w:hanging="525" w:hangingChars="250"/>
      <w:jc w:val="both"/>
    </w:pPr>
    <w:rPr>
      <w:rFonts w:ascii="Arial Unicode MS" w:hAnsi="Arial Unicode MS"/>
      <w:kern w:val="2"/>
      <w:sz w:val="21"/>
      <w:szCs w:val="20"/>
    </w:rPr>
  </w:style>
  <w:style w:type="paragraph" w:customStyle="1" w:styleId="492">
    <w:name w:val="正文 + 仿宋_GB2312"/>
    <w:basedOn w:val="1"/>
    <w:autoRedefine/>
    <w:qFormat/>
    <w:uiPriority w:val="99"/>
    <w:pPr>
      <w:tabs>
        <w:tab w:val="left" w:pos="-720"/>
      </w:tabs>
      <w:spacing w:line="360" w:lineRule="auto"/>
      <w:ind w:firstLine="620"/>
    </w:pPr>
    <w:rPr>
      <w:rFonts w:ascii="微软雅黑" w:hAnsi="等线 Light" w:cs="等线 Light"/>
      <w:bCs/>
      <w:sz w:val="31"/>
      <w:szCs w:val="31"/>
    </w:rPr>
  </w:style>
  <w:style w:type="paragraph" w:customStyle="1" w:styleId="493">
    <w:name w:val="默认段落字体 Para Char Char Char Char"/>
    <w:basedOn w:val="1"/>
    <w:autoRedefine/>
    <w:qFormat/>
    <w:uiPriority w:val="0"/>
    <w:pPr>
      <w:keepNext/>
      <w:tabs>
        <w:tab w:val="left" w:pos="2940"/>
      </w:tabs>
      <w:ind w:hanging="420"/>
    </w:pPr>
    <w:rPr>
      <w:rFonts w:ascii="Arial Unicode MS" w:hAnsi="Arial Unicode MS"/>
      <w:sz w:val="20"/>
      <w:szCs w:val="20"/>
    </w:rPr>
  </w:style>
  <w:style w:type="paragraph" w:customStyle="1" w:styleId="494">
    <w:name w:val="xl56"/>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95">
    <w:name w:val="样式 标题 5 + 非加粗 自动设置"/>
    <w:basedOn w:val="8"/>
    <w:autoRedefine/>
    <w:qFormat/>
    <w:uiPriority w:val="0"/>
    <w:pPr>
      <w:numPr>
        <w:ilvl w:val="4"/>
        <w:numId w:val="3"/>
      </w:numPr>
      <w:tabs>
        <w:tab w:val="left" w:pos="2100"/>
        <w:tab w:val="left" w:pos="2551"/>
      </w:tabs>
      <w:autoSpaceDE/>
      <w:autoSpaceDN/>
      <w:snapToGrid w:val="0"/>
      <w:spacing w:before="0" w:after="0" w:line="360" w:lineRule="auto"/>
      <w:jc w:val="both"/>
      <w:textAlignment w:val="baseline"/>
    </w:pPr>
    <w:rPr>
      <w:rFonts w:hAnsi="Arial Unicode MS"/>
      <w:b w:val="0"/>
      <w:bCs w:val="0"/>
      <w:kern w:val="2"/>
      <w:sz w:val="21"/>
      <w:szCs w:val="21"/>
    </w:rPr>
  </w:style>
  <w:style w:type="paragraph" w:customStyle="1" w:styleId="496">
    <w:name w:val="xl4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Arial Unicode MS" w:hAnsi="Arial Unicode MS"/>
    </w:rPr>
  </w:style>
  <w:style w:type="paragraph" w:customStyle="1" w:styleId="497">
    <w:name w:val="xl46"/>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top"/>
    </w:pPr>
    <w:rPr>
      <w:rFonts w:ascii="等线 Light" w:hAnsi="等线 Light" w:eastAsia="等线 Light" w:cs="等线 Light"/>
      <w:sz w:val="20"/>
      <w:szCs w:val="20"/>
    </w:rPr>
  </w:style>
  <w:style w:type="paragraph" w:customStyle="1" w:styleId="498">
    <w:name w:val="方案标题3"/>
    <w:basedOn w:val="1"/>
    <w:next w:val="1"/>
    <w:autoRedefine/>
    <w:qFormat/>
    <w:uiPriority w:val="0"/>
    <w:pPr>
      <w:keepLines/>
      <w:numPr>
        <w:ilvl w:val="2"/>
        <w:numId w:val="7"/>
      </w:numPr>
      <w:tabs>
        <w:tab w:val="left" w:pos="360"/>
        <w:tab w:val="left" w:pos="1200"/>
        <w:tab w:val="left" w:pos="2160"/>
        <w:tab w:val="left" w:pos="3300"/>
      </w:tabs>
      <w:autoSpaceDE/>
      <w:autoSpaceDN/>
      <w:spacing w:before="200" w:after="40"/>
      <w:jc w:val="both"/>
      <w:outlineLvl w:val="2"/>
    </w:pPr>
    <w:rPr>
      <w:rFonts w:ascii="楷体_GB2312" w:hAnsi="楷体_GB2312" w:eastAsia="PMingLiU"/>
      <w:spacing w:val="14"/>
      <w:sz w:val="28"/>
      <w:szCs w:val="20"/>
    </w:rPr>
  </w:style>
  <w:style w:type="paragraph" w:customStyle="1" w:styleId="499">
    <w:name w:val="3"/>
    <w:basedOn w:val="1"/>
    <w:next w:val="500"/>
    <w:autoRedefine/>
    <w:qFormat/>
    <w:uiPriority w:val="34"/>
    <w:pPr>
      <w:autoSpaceDE/>
      <w:autoSpaceDN/>
      <w:adjustRightInd/>
      <w:ind w:firstLine="420" w:firstLineChars="200"/>
      <w:jc w:val="both"/>
    </w:pPr>
    <w:rPr>
      <w:rFonts w:ascii="Arial Unicode MS" w:hAnsi="Arial Unicode MS"/>
      <w:kern w:val="2"/>
      <w:sz w:val="21"/>
      <w:szCs w:val="22"/>
    </w:rPr>
  </w:style>
  <w:style w:type="paragraph" w:styleId="500">
    <w:name w:val="List Paragraph"/>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01">
    <w:name w:val="Char Char Char Char Char Char1 Char 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2">
    <w:name w:val="affa-TBL-BR-1"/>
    <w:autoRedefine/>
    <w:qFormat/>
    <w:uiPriority w:val="0"/>
    <w:pPr>
      <w:spacing w:line="480" w:lineRule="auto"/>
    </w:pPr>
    <w:rPr>
      <w:rFonts w:ascii="等线 Light" w:hAnsi="等线 Light" w:eastAsia="Courier New" w:cs="Times New Roman"/>
      <w:sz w:val="24"/>
      <w:lang w:val="en-US" w:eastAsia="zh-CN" w:bidi="ar-SA"/>
    </w:rPr>
  </w:style>
  <w:style w:type="paragraph" w:customStyle="1" w:styleId="503">
    <w:name w:val="样式 四号 红色 行距: 1.5 倍行距"/>
    <w:basedOn w:val="1"/>
    <w:autoRedefine/>
    <w:qFormat/>
    <w:uiPriority w:val="0"/>
    <w:pPr>
      <w:autoSpaceDE/>
      <w:autoSpaceDN/>
      <w:snapToGrid w:val="0"/>
      <w:spacing w:line="360" w:lineRule="auto"/>
      <w:jc w:val="both"/>
    </w:pPr>
    <w:rPr>
      <w:rFonts w:ascii="Arial Unicode MS" w:hAnsi="Arial Unicode MS" w:cs="等线 Light"/>
      <w:color w:val="FF0000"/>
      <w:kern w:val="2"/>
      <w:sz w:val="28"/>
      <w:szCs w:val="20"/>
    </w:rPr>
  </w:style>
  <w:style w:type="paragraph" w:customStyle="1" w:styleId="504">
    <w:name w:val="样式 标题 2节H2Heading 2 HiddenHeading 2 CCBSheading 2h2节名正文二...1"/>
    <w:basedOn w:val="5"/>
    <w:autoRedefine/>
    <w:qFormat/>
    <w:uiPriority w:val="0"/>
    <w:pPr>
      <w:keepNext/>
      <w:keepLines/>
      <w:autoSpaceDE/>
      <w:autoSpaceDN/>
      <w:adjustRightInd/>
      <w:spacing w:line="360" w:lineRule="auto"/>
      <w:jc w:val="both"/>
    </w:pPr>
    <w:rPr>
      <w:rFonts w:hAnsi="等线 Light"/>
      <w:bCs/>
      <w:caps/>
      <w:kern w:val="2"/>
      <w:szCs w:val="32"/>
    </w:rPr>
  </w:style>
  <w:style w:type="paragraph" w:customStyle="1" w:styleId="505">
    <w:name w:val="样式 目录 2 + 首行缩进:  2 字符"/>
    <w:basedOn w:val="47"/>
    <w:autoRedefine/>
    <w:qFormat/>
    <w:uiPriority w:val="0"/>
    <w:pPr>
      <w:tabs>
        <w:tab w:val="right" w:leader="dot" w:pos="9072"/>
      </w:tabs>
      <w:autoSpaceDE/>
      <w:autoSpaceDN/>
      <w:snapToGrid w:val="0"/>
      <w:spacing w:line="360" w:lineRule="auto"/>
      <w:ind w:left="238" w:right="281" w:rightChars="134" w:firstLine="200" w:firstLineChars="200"/>
    </w:pPr>
    <w:rPr>
      <w:rFonts w:cs="等线 Light"/>
      <w:kern w:val="2"/>
    </w:rPr>
  </w:style>
  <w:style w:type="paragraph" w:customStyle="1" w:styleId="506">
    <w:name w:val="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7">
    <w:name w:val="xl4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微软雅黑" w:hAnsi="等线 Light" w:eastAsia="微软雅黑"/>
      <w:sz w:val="32"/>
      <w:szCs w:val="32"/>
    </w:rPr>
  </w:style>
  <w:style w:type="paragraph" w:customStyle="1" w:styleId="508">
    <w:name w:val="基准标题"/>
    <w:basedOn w:val="2"/>
    <w:next w:val="2"/>
    <w:autoRedefine/>
    <w:qFormat/>
    <w:uiPriority w:val="0"/>
    <w:pPr>
      <w:keepNext/>
      <w:keepLines/>
      <w:widowControl/>
      <w:autoSpaceDE/>
      <w:autoSpaceDN/>
      <w:adjustRightInd/>
      <w:spacing w:line="240" w:lineRule="atLeast"/>
      <w:ind w:right="0"/>
      <w:jc w:val="left"/>
    </w:pPr>
    <w:rPr>
      <w:rFonts w:ascii="仿宋_GB2312" w:hAnsi="仿宋_GB2312"/>
      <w:b w:val="0"/>
      <w:bCs w:val="0"/>
      <w:spacing w:val="-5"/>
      <w:kern w:val="20"/>
      <w:sz w:val="24"/>
      <w:szCs w:val="20"/>
      <w:lang w:val="en-US"/>
    </w:rPr>
  </w:style>
  <w:style w:type="paragraph" w:customStyle="1" w:styleId="509">
    <w:name w:val="a)"/>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510">
    <w:name w:val="版本说明标题"/>
    <w:basedOn w:val="1"/>
    <w:autoRedefine/>
    <w:qFormat/>
    <w:uiPriority w:val="0"/>
    <w:pPr>
      <w:autoSpaceDE/>
      <w:autoSpaceDN/>
      <w:snapToGrid w:val="0"/>
      <w:spacing w:beforeLines="50" w:afterLines="50"/>
      <w:ind w:firstLine="560"/>
      <w:jc w:val="center"/>
      <w:textAlignment w:val="baseline"/>
    </w:pPr>
    <w:rPr>
      <w:rFonts w:ascii="幼圆" w:eastAsia="微软雅黑"/>
      <w:b/>
      <w:color w:val="000000"/>
      <w:kern w:val="2"/>
      <w:sz w:val="28"/>
      <w:szCs w:val="28"/>
    </w:rPr>
  </w:style>
  <w:style w:type="paragraph" w:customStyle="1" w:styleId="511">
    <w:name w:val="1."/>
    <w:basedOn w:val="1"/>
    <w:autoRedefine/>
    <w:qFormat/>
    <w:uiPriority w:val="0"/>
    <w:pPr>
      <w:widowControl/>
      <w:tabs>
        <w:tab w:val="left" w:pos="1134"/>
      </w:tabs>
      <w:autoSpaceDE/>
      <w:autoSpaceDN/>
      <w:adjustRightInd/>
      <w:spacing w:before="240" w:line="240" w:lineRule="atLeast"/>
      <w:ind w:left="1134" w:hanging="454"/>
      <w:jc w:val="both"/>
    </w:pPr>
    <w:rPr>
      <w:rFonts w:ascii="Arial Unicode MS" w:hAnsi="Arial Unicode MS"/>
      <w:kern w:val="2"/>
    </w:rPr>
  </w:style>
  <w:style w:type="paragraph" w:customStyle="1" w:styleId="512">
    <w:name w:val="样式 标题 2节H2Heading 2 HiddenHeading 2 CCBSheading 2h2节名正文二..."/>
    <w:basedOn w:val="5"/>
    <w:autoRedefine/>
    <w:qFormat/>
    <w:uiPriority w:val="0"/>
    <w:pPr>
      <w:keepNext/>
      <w:keepLines/>
      <w:autoSpaceDE/>
      <w:autoSpaceDN/>
      <w:adjustRightInd/>
      <w:spacing w:line="360" w:lineRule="auto"/>
      <w:ind w:firstLine="200" w:firstLineChars="200"/>
      <w:jc w:val="both"/>
    </w:pPr>
    <w:rPr>
      <w:rFonts w:ascii="幼圆" w:cs="等线 Light"/>
      <w:bCs/>
      <w:caps/>
      <w:kern w:val="2"/>
      <w:sz w:val="28"/>
      <w:szCs w:val="20"/>
    </w:rPr>
  </w:style>
  <w:style w:type="paragraph" w:customStyle="1" w:styleId="513">
    <w:name w:val="xl51"/>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both"/>
      <w:textAlignment w:val="center"/>
    </w:pPr>
    <w:rPr>
      <w:rFonts w:ascii="楷体_GB2312" w:hAnsi="楷体_GB2312" w:eastAsia="等线 Light" w:cs="楷体_GB2312"/>
      <w:sz w:val="21"/>
      <w:szCs w:val="21"/>
    </w:rPr>
  </w:style>
  <w:style w:type="paragraph" w:customStyle="1" w:styleId="514">
    <w:name w:val="样式 标题 3H3l3CTh33rd levelLevel 3 HeadHeading 3 - oldISO2..."/>
    <w:basedOn w:val="6"/>
    <w:autoRedefine/>
    <w:qFormat/>
    <w:uiPriority w:val="0"/>
    <w:pPr>
      <w:autoSpaceDE/>
      <w:autoSpaceDN/>
      <w:adjustRightInd/>
      <w:spacing w:line="360" w:lineRule="auto"/>
      <w:ind w:left="737" w:hanging="539"/>
      <w:jc w:val="both"/>
    </w:pPr>
    <w:rPr>
      <w:rFonts w:hAnsi="等线 Light"/>
      <w:b/>
      <w:kern w:val="2"/>
      <w:szCs w:val="20"/>
    </w:rPr>
  </w:style>
  <w:style w:type="paragraph" w:customStyle="1" w:styleId="515">
    <w:name w:val="需求书2"/>
    <w:basedOn w:val="1"/>
    <w:autoRedefine/>
    <w:qFormat/>
    <w:uiPriority w:val="0"/>
    <w:pPr>
      <w:tabs>
        <w:tab w:val="left" w:pos="630"/>
      </w:tabs>
      <w:autoSpaceDE/>
      <w:autoSpaceDN/>
      <w:adjustRightInd/>
      <w:spacing w:line="360" w:lineRule="auto"/>
      <w:jc w:val="both"/>
    </w:pPr>
    <w:rPr>
      <w:rFonts w:hAnsi="Arial Unicode MS"/>
      <w:b/>
      <w:kern w:val="2"/>
    </w:rPr>
  </w:style>
  <w:style w:type="paragraph" w:customStyle="1" w:styleId="516">
    <w:name w:val="r3"/>
    <w:basedOn w:val="1"/>
    <w:autoRedefine/>
    <w:qFormat/>
    <w:uiPriority w:val="0"/>
    <w:pPr>
      <w:autoSpaceDE/>
      <w:autoSpaceDN/>
      <w:spacing w:line="360" w:lineRule="atLeast"/>
      <w:jc w:val="both"/>
      <w:textAlignment w:val="baseline"/>
    </w:pPr>
    <w:rPr>
      <w:rFonts w:hAnsi="楷体_GB2312"/>
      <w:sz w:val="28"/>
      <w:szCs w:val="20"/>
    </w:rPr>
  </w:style>
  <w:style w:type="paragraph" w:customStyle="1" w:styleId="517">
    <w:name w:val="ÆÕÍ¨"/>
    <w:basedOn w:val="1"/>
    <w:autoRedefine/>
    <w:qFormat/>
    <w:uiPriority w:val="0"/>
    <w:pPr>
      <w:widowControl/>
      <w:tabs>
        <w:tab w:val="left" w:pos="1276"/>
      </w:tabs>
      <w:overflowPunct w:val="0"/>
      <w:ind w:left="851"/>
      <w:textAlignment w:val="baseline"/>
    </w:pPr>
    <w:rPr>
      <w:rFonts w:ascii="楷体_GB2312" w:hAnsi="楷体_GB2312"/>
      <w:b/>
      <w:kern w:val="16"/>
      <w:sz w:val="20"/>
      <w:szCs w:val="20"/>
      <w:lang w:val="fr-FR"/>
    </w:rPr>
  </w:style>
  <w:style w:type="paragraph" w:customStyle="1" w:styleId="518">
    <w:name w:val="Normal1"/>
    <w:autoRedefine/>
    <w:qFormat/>
    <w:uiPriority w:val="0"/>
    <w:pPr>
      <w:widowControl w:val="0"/>
      <w:adjustRightInd w:val="0"/>
      <w:spacing w:line="315" w:lineRule="atLeast"/>
      <w:jc w:val="both"/>
      <w:textAlignment w:val="baseline"/>
    </w:pPr>
    <w:rPr>
      <w:rFonts w:ascii="等线 Light" w:hAnsi="Arial Unicode MS" w:eastAsia="宋体" w:cs="Times New Roman"/>
      <w:sz w:val="21"/>
      <w:lang w:val="en-US" w:eastAsia="zh-CN" w:bidi="ar-SA"/>
    </w:rPr>
  </w:style>
  <w:style w:type="paragraph" w:customStyle="1" w:styleId="519">
    <w:name w:val="样式 首行缩进:  1.02 厘米"/>
    <w:basedOn w:val="1"/>
    <w:autoRedefine/>
    <w:qFormat/>
    <w:uiPriority w:val="0"/>
    <w:pPr>
      <w:autoSpaceDE/>
      <w:autoSpaceDN/>
      <w:snapToGrid w:val="0"/>
      <w:spacing w:line="360" w:lineRule="auto"/>
      <w:ind w:firstLine="576"/>
    </w:pPr>
    <w:rPr>
      <w:rFonts w:ascii="Arial Unicode MS" w:hAnsi="Arial Unicode MS" w:cs="等线 Light"/>
      <w:szCs w:val="20"/>
    </w:rPr>
  </w:style>
  <w:style w:type="paragraph" w:customStyle="1" w:styleId="520">
    <w:name w:val="m1"/>
    <w:basedOn w:val="1"/>
    <w:autoRedefine/>
    <w:qFormat/>
    <w:uiPriority w:val="0"/>
    <w:pPr>
      <w:autoSpaceDE/>
      <w:autoSpaceDN/>
      <w:snapToGrid w:val="0"/>
      <w:spacing w:line="320" w:lineRule="atLeast"/>
      <w:textAlignment w:val="bottom"/>
    </w:pPr>
    <w:rPr>
      <w:rFonts w:ascii="Arial Unicode MS" w:hAnsi="Arial Unicode MS" w:eastAsia="_x001A_"/>
      <w:sz w:val="28"/>
      <w:szCs w:val="20"/>
    </w:rPr>
  </w:style>
  <w:style w:type="paragraph" w:customStyle="1" w:styleId="521">
    <w:name w:val="xl61"/>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522">
    <w:name w:val="正文(一卡通)"/>
    <w:autoRedefine/>
    <w:qFormat/>
    <w:uiPriority w:val="0"/>
    <w:pPr>
      <w:spacing w:line="360" w:lineRule="auto"/>
      <w:ind w:left="108" w:firstLine="482"/>
      <w:jc w:val="both"/>
    </w:pPr>
    <w:rPr>
      <w:rFonts w:ascii="Arial Unicode MS" w:hAnsi="Arial Unicode MS" w:eastAsia="宋体" w:cs="Times New Roman"/>
      <w:kern w:val="2"/>
      <w:sz w:val="24"/>
      <w:lang w:val="en-US" w:eastAsia="zh-CN" w:bidi="ar-SA"/>
    </w:rPr>
  </w:style>
  <w:style w:type="paragraph" w:customStyle="1" w:styleId="523">
    <w:name w:val="规2"/>
    <w:basedOn w:val="1"/>
    <w:autoRedefine/>
    <w:qFormat/>
    <w:uiPriority w:val="0"/>
    <w:pPr>
      <w:autoSpaceDE/>
      <w:autoSpaceDN/>
      <w:adjustRightInd/>
      <w:jc w:val="both"/>
      <w:outlineLvl w:val="1"/>
    </w:pPr>
    <w:rPr>
      <w:rFonts w:ascii="Arial Unicode MS" w:hAnsi="Arial Unicode MS" w:eastAsia="PMingLiU" w:cs="幼圆"/>
      <w:kern w:val="2"/>
      <w:sz w:val="28"/>
      <w:szCs w:val="28"/>
    </w:rPr>
  </w:style>
  <w:style w:type="paragraph" w:customStyle="1" w:styleId="524">
    <w:name w:val="招标文件－表格用正文"/>
    <w:basedOn w:val="1"/>
    <w:autoRedefine/>
    <w:qFormat/>
    <w:uiPriority w:val="0"/>
    <w:pPr>
      <w:autoSpaceDE/>
      <w:autoSpaceDN/>
      <w:adjustRightInd/>
      <w:spacing w:before="156" w:beforeLines="50" w:after="156" w:afterLines="50"/>
      <w:jc w:val="both"/>
    </w:pPr>
    <w:rPr>
      <w:rFonts w:hAnsi="Helv"/>
      <w:snapToGrid w:val="0"/>
      <w:color w:val="000000"/>
      <w:kern w:val="2"/>
      <w:szCs w:val="20"/>
    </w:rPr>
  </w:style>
  <w:style w:type="paragraph" w:customStyle="1" w:styleId="525">
    <w:name w:val="项目编号1"/>
    <w:basedOn w:val="16"/>
    <w:autoRedefine/>
    <w:qFormat/>
    <w:uiPriority w:val="0"/>
    <w:pPr>
      <w:widowControl w:val="0"/>
      <w:numPr>
        <w:ilvl w:val="0"/>
        <w:numId w:val="8"/>
      </w:numPr>
      <w:tabs>
        <w:tab w:val="left" w:pos="851"/>
        <w:tab w:val="left" w:pos="964"/>
      </w:tabs>
      <w:spacing w:line="360" w:lineRule="auto"/>
      <w:ind w:firstLine="0" w:firstLineChars="0"/>
    </w:pPr>
    <w:rPr>
      <w:rFonts w:ascii="Arial Unicode MS" w:hAnsi="Arial Unicode MS"/>
      <w:snapToGrid w:val="0"/>
      <w:kern w:val="21"/>
      <w:sz w:val="21"/>
      <w:szCs w:val="21"/>
    </w:rPr>
  </w:style>
  <w:style w:type="paragraph" w:customStyle="1" w:styleId="526">
    <w:name w:val="偶数页篇眉"/>
    <w:basedOn w:val="40"/>
    <w:autoRedefine/>
    <w:qFormat/>
    <w:uiPriority w:val="0"/>
    <w:pPr>
      <w:keepLines/>
      <w:pBdr>
        <w:bottom w:val="none" w:color="auto" w:sz="0" w:space="0"/>
      </w:pBdr>
      <w:tabs>
        <w:tab w:val="right" w:pos="0"/>
        <w:tab w:val="center" w:pos="7200"/>
        <w:tab w:val="right" w:pos="14400"/>
        <w:tab w:val="clear" w:pos="4153"/>
        <w:tab w:val="clear" w:pos="8306"/>
      </w:tabs>
      <w:autoSpaceDE/>
      <w:autoSpaceDN/>
      <w:adjustRightInd/>
      <w:snapToGrid/>
      <w:jc w:val="right"/>
    </w:pPr>
    <w:rPr>
      <w:rFonts w:ascii="Arial Unicode MS" w:hAnsi="Arial Unicode MS"/>
      <w:spacing w:val="80"/>
      <w:kern w:val="2"/>
      <w:sz w:val="21"/>
      <w:szCs w:val="24"/>
    </w:rPr>
  </w:style>
  <w:style w:type="paragraph" w:customStyle="1" w:styleId="527">
    <w:name w:val="样式 正文缩进 + 首行缩进:  2 字符"/>
    <w:basedOn w:val="16"/>
    <w:autoRedefine/>
    <w:qFormat/>
    <w:uiPriority w:val="0"/>
    <w:pPr>
      <w:widowControl w:val="0"/>
      <w:spacing w:line="360" w:lineRule="auto"/>
      <w:ind w:firstLine="480"/>
      <w:jc w:val="both"/>
    </w:pPr>
    <w:rPr>
      <w:rFonts w:ascii="Arial Unicode MS" w:hAnsi="Arial Unicode MS"/>
      <w:kern w:val="2"/>
      <w:sz w:val="24"/>
    </w:rPr>
  </w:style>
  <w:style w:type="paragraph" w:customStyle="1" w:styleId="528">
    <w:name w:val="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29">
    <w:name w:val="普通(Web)111"/>
    <w:basedOn w:val="1"/>
    <w:next w:val="51"/>
    <w:autoRedefine/>
    <w:qFormat/>
    <w:uiPriority w:val="0"/>
    <w:pPr>
      <w:autoSpaceDE/>
      <w:autoSpaceDN/>
      <w:adjustRightInd/>
      <w:jc w:val="both"/>
    </w:pPr>
    <w:rPr>
      <w:rFonts w:ascii="Arial Unicode MS" w:hAnsi="Arial Unicode MS"/>
      <w:kern w:val="2"/>
    </w:rPr>
  </w:style>
  <w:style w:type="paragraph" w:customStyle="1" w:styleId="530">
    <w:name w:val="A- Arial.9 Normal"/>
    <w:autoRedefine/>
    <w:qFormat/>
    <w:uiPriority w:val="0"/>
    <w:pPr>
      <w:widowControl w:val="0"/>
      <w:spacing w:line="220" w:lineRule="exact"/>
      <w:ind w:left="3572"/>
    </w:pPr>
    <w:rPr>
      <w:rFonts w:ascii="楷体_GB2312" w:hAnsi="楷体_GB2312" w:eastAsia="宋体" w:cs="Times New Roman"/>
      <w:color w:val="000000"/>
      <w:sz w:val="18"/>
      <w:lang w:val="fr-FR" w:eastAsia="zh-CN" w:bidi="ar-SA"/>
    </w:rPr>
  </w:style>
  <w:style w:type="paragraph" w:customStyle="1" w:styleId="531">
    <w:name w:val="Char Char"/>
    <w:basedOn w:val="1"/>
    <w:autoRedefine/>
    <w:qFormat/>
    <w:uiPriority w:val="0"/>
    <w:pPr>
      <w:autoSpaceDE/>
      <w:autoSpaceDN/>
      <w:adjustRightInd/>
      <w:jc w:val="both"/>
    </w:pPr>
    <w:rPr>
      <w:rFonts w:ascii="Calibri" w:hAnsi="Calibri"/>
      <w:kern w:val="2"/>
      <w:szCs w:val="20"/>
    </w:rPr>
  </w:style>
  <w:style w:type="paragraph" w:customStyle="1" w:styleId="532">
    <w:name w:val="(1)"/>
    <w:basedOn w:val="1"/>
    <w:autoRedefine/>
    <w:qFormat/>
    <w:uiPriority w:val="0"/>
    <w:pPr>
      <w:widowControl/>
      <w:tabs>
        <w:tab w:val="left" w:pos="2608"/>
      </w:tabs>
      <w:overflowPunct w:val="0"/>
      <w:spacing w:before="120" w:after="120" w:line="264" w:lineRule="auto"/>
      <w:ind w:left="2608" w:hanging="567"/>
      <w:jc w:val="both"/>
      <w:textAlignment w:val="baseline"/>
    </w:pPr>
    <w:rPr>
      <w:rFonts w:ascii="Arial Unicode MS" w:hAnsi="Arial Unicode MS"/>
      <w:sz w:val="22"/>
      <w:szCs w:val="22"/>
    </w:rPr>
  </w:style>
  <w:style w:type="paragraph" w:customStyle="1" w:styleId="533">
    <w:name w:val="2册标题2"/>
    <w:basedOn w:val="1"/>
    <w:next w:val="1"/>
    <w:autoRedefine/>
    <w:qFormat/>
    <w:uiPriority w:val="0"/>
    <w:pPr>
      <w:tabs>
        <w:tab w:val="left" w:pos="900"/>
        <w:tab w:val="left" w:pos="1410"/>
      </w:tabs>
      <w:autoSpaceDE/>
      <w:autoSpaceDN/>
      <w:adjustRightInd/>
      <w:spacing w:before="156" w:beforeLines="50" w:after="156" w:afterLines="50"/>
      <w:ind w:left="1410" w:hanging="510"/>
      <w:jc w:val="both"/>
      <w:outlineLvl w:val="1"/>
    </w:pPr>
    <w:rPr>
      <w:rFonts w:ascii="楷体_GB2312" w:hAnsi="楷体_GB2312" w:eastAsia="PMingLiU"/>
      <w:kern w:val="2"/>
      <w:sz w:val="30"/>
      <w:szCs w:val="30"/>
    </w:rPr>
  </w:style>
  <w:style w:type="paragraph" w:customStyle="1" w:styleId="534">
    <w:name w:val="WPSOffice手动目录 1"/>
    <w:autoRedefine/>
    <w:qFormat/>
    <w:uiPriority w:val="0"/>
    <w:rPr>
      <w:rFonts w:ascii="Times New Roman" w:hAnsi="Times New Roman" w:eastAsia="宋体" w:cs="Times New Roman"/>
      <w:lang w:val="en-US" w:eastAsia="zh-CN" w:bidi="ar-SA"/>
    </w:rPr>
  </w:style>
  <w:style w:type="paragraph" w:customStyle="1" w:styleId="535">
    <w:name w:val="_Style 349"/>
    <w:next w:val="1"/>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536">
    <w:name w:val="F00"/>
    <w:basedOn w:val="1"/>
    <w:autoRedefine/>
    <w:qFormat/>
    <w:uiPriority w:val="0"/>
    <w:pPr>
      <w:autoSpaceDE/>
      <w:autoSpaceDN/>
      <w:adjustRightInd/>
      <w:spacing w:before="50" w:after="50" w:line="0" w:lineRule="atLeast"/>
      <w:ind w:firstLine="200"/>
      <w:jc w:val="both"/>
    </w:pPr>
    <w:rPr>
      <w:rFonts w:ascii="Arial Unicode MS" w:hAnsi="Arial Unicode MS" w:eastAsia="微软雅黑"/>
      <w:kern w:val="24"/>
      <w:sz w:val="28"/>
    </w:rPr>
  </w:style>
  <w:style w:type="paragraph" w:customStyle="1" w:styleId="537">
    <w:name w:val="默认段落字体 Para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538">
    <w:name w:val="font5"/>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539">
    <w:name w:val="xl3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40">
    <w:name w:val="font0"/>
    <w:basedOn w:val="1"/>
    <w:autoRedefine/>
    <w:qFormat/>
    <w:uiPriority w:val="0"/>
    <w:pPr>
      <w:widowControl/>
      <w:autoSpaceDE/>
      <w:autoSpaceDN/>
      <w:adjustRightInd/>
      <w:spacing w:before="100" w:beforeAutospacing="1" w:after="100" w:afterAutospacing="1"/>
    </w:pPr>
    <w:rPr>
      <w:rFonts w:hint="eastAsia" w:hAnsi="等线 Light"/>
    </w:rPr>
  </w:style>
  <w:style w:type="paragraph" w:customStyle="1" w:styleId="541">
    <w:name w:val="l_text"/>
    <w:basedOn w:val="1"/>
    <w:autoRedefine/>
    <w:qFormat/>
    <w:uiPriority w:val="0"/>
    <w:pPr>
      <w:widowControl/>
      <w:overflowPunct w:val="0"/>
      <w:spacing w:before="120" w:after="120" w:line="360" w:lineRule="auto"/>
      <w:ind w:firstLine="561"/>
      <w:jc w:val="both"/>
      <w:textAlignment w:val="baseline"/>
    </w:pPr>
    <w:rPr>
      <w:rFonts w:ascii="Arial Unicode MS" w:hAnsi="Arial Unicode MS"/>
      <w:kern w:val="28"/>
      <w:sz w:val="28"/>
    </w:rPr>
  </w:style>
  <w:style w:type="paragraph" w:customStyle="1" w:styleId="542">
    <w:name w:val="xl44"/>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hint="eastAsia" w:ascii="等线 Light" w:hAnsi="等线 Light"/>
      <w:kern w:val="0"/>
      <w:sz w:val="24"/>
    </w:rPr>
  </w:style>
  <w:style w:type="paragraph" w:customStyle="1" w:styleId="543">
    <w:name w:val="af0-TBL-BR-1"/>
    <w:autoRedefine/>
    <w:qFormat/>
    <w:uiPriority w:val="0"/>
    <w:pPr>
      <w:widowControl w:val="0"/>
      <w:ind w:left="100" w:leftChars="2500"/>
      <w:jc w:val="both"/>
    </w:pPr>
    <w:rPr>
      <w:rFonts w:ascii="Arial Unicode MS" w:hAnsi="Arial Unicode MS" w:eastAsia="Courier New" w:cs="Times New Roman"/>
      <w:kern w:val="2"/>
      <w:sz w:val="21"/>
      <w:szCs w:val="24"/>
      <w:lang w:val="en-US" w:eastAsia="zh-CN" w:bidi="ar-SA"/>
    </w:rPr>
  </w:style>
  <w:style w:type="paragraph" w:customStyle="1" w:styleId="544">
    <w:name w:val="首航缩进 Char"/>
    <w:basedOn w:val="1"/>
    <w:autoRedefine/>
    <w:qFormat/>
    <w:uiPriority w:val="0"/>
    <w:pPr>
      <w:autoSpaceDE/>
      <w:autoSpaceDN/>
      <w:adjustRightInd/>
      <w:spacing w:line="300" w:lineRule="auto"/>
      <w:ind w:firstLine="480" w:firstLineChars="200"/>
      <w:jc w:val="both"/>
    </w:pPr>
    <w:rPr>
      <w:rFonts w:ascii="Arial Unicode MS" w:hAnsi="Arial Unicode MS" w:eastAsia="微软雅黑"/>
      <w:color w:val="000000"/>
      <w:kern w:val="2"/>
    </w:rPr>
  </w:style>
  <w:style w:type="paragraph" w:customStyle="1" w:styleId="545">
    <w:name w:val="xl102"/>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546">
    <w:name w:val="正文文本缩进1"/>
    <w:basedOn w:val="1"/>
    <w:next w:val="24"/>
    <w:autoRedefine/>
    <w:qFormat/>
    <w:uiPriority w:val="0"/>
    <w:pPr>
      <w:autoSpaceDE/>
      <w:autoSpaceDN/>
      <w:adjustRightInd/>
      <w:spacing w:line="400" w:lineRule="atLeast"/>
      <w:ind w:firstLine="432"/>
      <w:jc w:val="both"/>
    </w:pPr>
    <w:rPr>
      <w:rFonts w:ascii="Arial Unicode MS" w:hAnsi="Arial Unicode MS" w:eastAsia="ˎ̥"/>
      <w:kern w:val="2"/>
    </w:rPr>
  </w:style>
  <w:style w:type="paragraph" w:styleId="547">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8">
    <w:name w:val="通用2"/>
    <w:basedOn w:val="1"/>
    <w:autoRedefine/>
    <w:qFormat/>
    <w:uiPriority w:val="0"/>
    <w:pPr>
      <w:tabs>
        <w:tab w:val="left" w:pos="1391"/>
      </w:tabs>
      <w:autoSpaceDE/>
      <w:autoSpaceDN/>
      <w:adjustRightInd/>
      <w:spacing w:beforeLines="50" w:line="360" w:lineRule="auto"/>
      <w:ind w:left="1391" w:hanging="851"/>
      <w:jc w:val="both"/>
    </w:pPr>
    <w:rPr>
      <w:rFonts w:hAnsi="Arial Unicode MS"/>
      <w:kern w:val="2"/>
      <w:sz w:val="21"/>
      <w:szCs w:val="20"/>
    </w:rPr>
  </w:style>
  <w:style w:type="paragraph" w:customStyle="1" w:styleId="549">
    <w:name w:val="xl37"/>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50">
    <w:name w:val="列表段落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551">
    <w:name w:val="样式1"/>
    <w:basedOn w:val="1"/>
    <w:autoRedefine/>
    <w:qFormat/>
    <w:uiPriority w:val="0"/>
    <w:pPr>
      <w:autoSpaceDE/>
      <w:autoSpaceDN/>
      <w:adjustRightInd/>
      <w:spacing w:before="120" w:after="120" w:line="300" w:lineRule="auto"/>
      <w:jc w:val="both"/>
    </w:pPr>
    <w:rPr>
      <w:rFonts w:hAnsi="等线 Light"/>
      <w:b/>
      <w:kern w:val="2"/>
      <w:szCs w:val="20"/>
    </w:rPr>
  </w:style>
  <w:style w:type="paragraph" w:customStyle="1" w:styleId="552">
    <w:name w:val="a0-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53">
    <w:name w:val="6.4.2"/>
    <w:basedOn w:val="6"/>
    <w:autoRedefine/>
    <w:qFormat/>
    <w:uiPriority w:val="0"/>
    <w:pPr>
      <w:tabs>
        <w:tab w:val="left" w:pos="425"/>
        <w:tab w:val="left" w:pos="960"/>
        <w:tab w:val="left" w:pos="1440"/>
        <w:tab w:val="left" w:leader="dot" w:pos="8160"/>
      </w:tabs>
      <w:overflowPunct w:val="0"/>
      <w:adjustRightInd/>
      <w:spacing w:before="260" w:beforeLines="60"/>
      <w:ind w:left="425" w:hanging="425" w:firstLineChars="196"/>
      <w:jc w:val="both"/>
      <w:outlineLvl w:val="9"/>
    </w:pPr>
    <w:rPr>
      <w:rFonts w:hAnsi="等线 Light"/>
      <w:bCs/>
      <w:snapToGrid w:val="0"/>
      <w:sz w:val="28"/>
      <w:szCs w:val="28"/>
    </w:rPr>
  </w:style>
  <w:style w:type="paragraph" w:customStyle="1" w:styleId="554">
    <w:name w:val="SINOPEC-0"/>
    <w:basedOn w:val="1"/>
    <w:autoRedefine/>
    <w:qFormat/>
    <w:uiPriority w:val="0"/>
    <w:pPr>
      <w:autoSpaceDE/>
      <w:autoSpaceDN/>
      <w:adjustRightInd/>
      <w:spacing w:line="360" w:lineRule="auto"/>
      <w:ind w:firstLine="480" w:firstLineChars="200"/>
      <w:jc w:val="both"/>
    </w:pPr>
    <w:rPr>
      <w:rFonts w:ascii="楷体_GB2312" w:hAnsi="楷体_GB2312"/>
      <w:color w:val="0000FF"/>
      <w:kern w:val="2"/>
      <w:szCs w:val="20"/>
    </w:rPr>
  </w:style>
  <w:style w:type="paragraph" w:customStyle="1" w:styleId="555">
    <w:name w:val="xl54"/>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556">
    <w:name w:val="yyn"/>
    <w:basedOn w:val="1"/>
    <w:autoRedefine/>
    <w:qFormat/>
    <w:uiPriority w:val="0"/>
    <w:pPr>
      <w:keepNext/>
      <w:widowControl/>
      <w:overflowPunct w:val="0"/>
      <w:spacing w:line="360" w:lineRule="auto"/>
      <w:ind w:right="562" w:firstLine="576"/>
      <w:jc w:val="both"/>
      <w:textAlignment w:val="baseline"/>
    </w:pPr>
    <w:rPr>
      <w:rFonts w:hAnsi="Arial Unicode MS"/>
      <w:kern w:val="16"/>
      <w:sz w:val="28"/>
      <w:szCs w:val="20"/>
    </w:rPr>
  </w:style>
  <w:style w:type="paragraph" w:customStyle="1" w:styleId="557">
    <w:name w:val="_Style 6"/>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58">
    <w:name w:val="正文2"/>
    <w:basedOn w:val="1"/>
    <w:autoRedefine/>
    <w:qFormat/>
    <w:uiPriority w:val="0"/>
    <w:pPr>
      <w:widowControl/>
      <w:autoSpaceDE/>
      <w:autoSpaceDN/>
      <w:adjustRightInd/>
      <w:spacing w:after="160"/>
      <w:ind w:left="-85" w:firstLine="420" w:firstLineChars="200"/>
      <w:jc w:val="center"/>
    </w:pPr>
    <w:rPr>
      <w:rFonts w:ascii="Lucida Grande" w:hAnsi="Lucida Grande" w:eastAsia="PMingLiU"/>
      <w:sz w:val="21"/>
      <w:szCs w:val="21"/>
    </w:rPr>
  </w:style>
  <w:style w:type="paragraph" w:customStyle="1" w:styleId="55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60">
    <w:name w:val="xl60"/>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561">
    <w:name w:val="样式 标题 3头小节标题Heading 3 - oldh33rd levelH3l3CTLevel 3 Hea...2"/>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kern w:val="2"/>
      <w:szCs w:val="20"/>
    </w:rPr>
  </w:style>
  <w:style w:type="paragraph" w:customStyle="1" w:styleId="562">
    <w:name w:val="xl30"/>
    <w:basedOn w:val="1"/>
    <w:autoRedefine/>
    <w:qFormat/>
    <w:uiPriority w:val="0"/>
    <w:pPr>
      <w:widowControl/>
      <w:pBdr>
        <w:lef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63">
    <w:name w:val="表内容"/>
    <w:basedOn w:val="1"/>
    <w:autoRedefine/>
    <w:qFormat/>
    <w:uiPriority w:val="0"/>
    <w:pPr>
      <w:spacing w:before="60" w:after="60" w:line="288" w:lineRule="auto"/>
      <w:jc w:val="center"/>
      <w:textAlignment w:val="baseline"/>
    </w:pPr>
    <w:rPr>
      <w:rFonts w:ascii="楷体_GB2312" w:hAnsi="楷体_GB2312"/>
      <w:sz w:val="21"/>
      <w:szCs w:val="20"/>
    </w:rPr>
  </w:style>
  <w:style w:type="paragraph" w:customStyle="1" w:styleId="564">
    <w:name w:val="xl23"/>
    <w:basedOn w:val="1"/>
    <w:autoRedefine/>
    <w:qFormat/>
    <w:uiPriority w:val="0"/>
    <w:pPr>
      <w:widowControl/>
      <w:autoSpaceDE/>
      <w:autoSpaceDN/>
      <w:adjustRightInd/>
      <w:spacing w:before="100" w:beforeAutospacing="1" w:after="100" w:afterAutospacing="1"/>
      <w:jc w:val="center"/>
    </w:pPr>
    <w:rPr>
      <w:rFonts w:ascii="微软雅黑" w:hAnsi="等线 Light" w:eastAsia="微软雅黑" w:cs="等线 Light"/>
    </w:rPr>
  </w:style>
  <w:style w:type="paragraph" w:customStyle="1" w:styleId="565">
    <w:name w:val="样式2"/>
    <w:basedOn w:val="8"/>
    <w:autoRedefine/>
    <w:qFormat/>
    <w:uiPriority w:val="0"/>
    <w:pPr>
      <w:tabs>
        <w:tab w:val="left" w:pos="360"/>
        <w:tab w:val="left" w:pos="1931"/>
      </w:tabs>
      <w:autoSpaceDE/>
      <w:autoSpaceDN/>
      <w:snapToGrid w:val="0"/>
      <w:spacing w:before="240" w:after="120" w:line="300" w:lineRule="auto"/>
      <w:ind w:left="360" w:hanging="360" w:hangingChars="200"/>
      <w:jc w:val="both"/>
    </w:pPr>
    <w:rPr>
      <w:rFonts w:ascii="楷体_GB2312" w:hAnsi="楷体_GB2312"/>
      <w:bCs w:val="0"/>
      <w:kern w:val="2"/>
      <w:sz w:val="24"/>
      <w:szCs w:val="20"/>
    </w:rPr>
  </w:style>
  <w:style w:type="paragraph" w:customStyle="1" w:styleId="566">
    <w:name w:val="第12册用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567">
    <w:name w:val="正文段"/>
    <w:basedOn w:val="1"/>
    <w:autoRedefine/>
    <w:qFormat/>
    <w:uiPriority w:val="0"/>
    <w:pPr>
      <w:widowControl/>
      <w:autoSpaceDE/>
      <w:autoSpaceDN/>
      <w:spacing w:after="240" w:line="360" w:lineRule="atLeast"/>
      <w:ind w:firstLine="454"/>
      <w:jc w:val="both"/>
      <w:textAlignment w:val="bottom"/>
    </w:pPr>
    <w:rPr>
      <w:rFonts w:hAnsi="Arial Unicode MS"/>
      <w:szCs w:val="20"/>
    </w:rPr>
  </w:style>
  <w:style w:type="paragraph" w:customStyle="1" w:styleId="568">
    <w:name w:val="xl36"/>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69">
    <w:name w:val="_Style 568"/>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70">
    <w:name w:val="black1"/>
    <w:basedOn w:val="1"/>
    <w:autoRedefine/>
    <w:qFormat/>
    <w:uiPriority w:val="0"/>
    <w:pPr>
      <w:widowControl/>
      <w:autoSpaceDE/>
      <w:autoSpaceDN/>
      <w:adjustRightInd/>
      <w:spacing w:before="100" w:beforeAutospacing="1" w:after="100" w:afterAutospacing="1" w:line="280" w:lineRule="atLeast"/>
    </w:pPr>
    <w:rPr>
      <w:rFonts w:ascii="Arial Unicode MS" w:hAnsi="Arial Unicode MS"/>
      <w:color w:val="000000"/>
      <w:sz w:val="18"/>
      <w:szCs w:val="18"/>
    </w:rPr>
  </w:style>
  <w:style w:type="paragraph" w:customStyle="1" w:styleId="571">
    <w:name w:val="_Style 2"/>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72">
    <w:name w:val="+标题1"/>
    <w:basedOn w:val="4"/>
    <w:autoRedefine/>
    <w:qFormat/>
    <w:uiPriority w:val="0"/>
    <w:pPr>
      <w:keepNext/>
      <w:keepLines/>
      <w:pageBreakBefore/>
      <w:numPr>
        <w:ilvl w:val="0"/>
        <w:numId w:val="9"/>
      </w:numPr>
      <w:autoSpaceDE/>
      <w:autoSpaceDN/>
      <w:adjustRightInd/>
      <w:spacing w:before="240" w:after="240" w:line="360" w:lineRule="auto"/>
      <w:jc w:val="both"/>
    </w:pPr>
    <w:rPr>
      <w:rFonts w:ascii="Arial Unicode MS" w:hAnsi="Arial Unicode MS" w:eastAsia="PMingLiU"/>
      <w:b/>
      <w:bCs/>
      <w:kern w:val="32"/>
      <w:sz w:val="28"/>
      <w:szCs w:val="28"/>
    </w:rPr>
  </w:style>
  <w:style w:type="paragraph" w:customStyle="1" w:styleId="573">
    <w:name w:val="目录"/>
    <w:basedOn w:val="1"/>
    <w:autoRedefine/>
    <w:qFormat/>
    <w:uiPriority w:val="0"/>
    <w:pPr>
      <w:widowControl/>
      <w:autoSpaceDE/>
      <w:autoSpaceDN/>
      <w:adjustRightInd/>
      <w:jc w:val="center"/>
    </w:pPr>
    <w:rPr>
      <w:rFonts w:hAnsi="Arial Unicode MS"/>
      <w:b/>
      <w:sz w:val="36"/>
      <w:szCs w:val="20"/>
    </w:rPr>
  </w:style>
  <w:style w:type="paragraph" w:customStyle="1" w:styleId="574">
    <w:name w:val="纯文本1"/>
    <w:basedOn w:val="1"/>
    <w:autoRedefine/>
    <w:qFormat/>
    <w:uiPriority w:val="0"/>
    <w:pPr>
      <w:autoSpaceDE/>
      <w:autoSpaceDN/>
      <w:jc w:val="both"/>
      <w:textAlignment w:val="baseline"/>
    </w:pPr>
    <w:rPr>
      <w:rFonts w:hAnsi="Helv" w:eastAsia="Cambria Math"/>
      <w:kern w:val="2"/>
      <w:sz w:val="26"/>
      <w:szCs w:val="20"/>
    </w:rPr>
  </w:style>
  <w:style w:type="paragraph" w:customStyle="1" w:styleId="575">
    <w:name w:val="彩色底纹 - 强调文字颜色 11"/>
    <w:autoRedefine/>
    <w:semiHidden/>
    <w:qFormat/>
    <w:uiPriority w:val="99"/>
    <w:rPr>
      <w:rFonts w:ascii="等线 Light" w:hAnsi="Times New Roman" w:eastAsia="宋体" w:cs="Times New Roman"/>
      <w:sz w:val="24"/>
      <w:szCs w:val="24"/>
      <w:lang w:val="en-US" w:eastAsia="zh-CN" w:bidi="ar-SA"/>
    </w:rPr>
  </w:style>
  <w:style w:type="paragraph" w:customStyle="1" w:styleId="576">
    <w:name w:val="列出段落11"/>
    <w:basedOn w:val="1"/>
    <w:autoRedefine/>
    <w:qFormat/>
    <w:uiPriority w:val="34"/>
    <w:pPr>
      <w:ind w:firstLine="420" w:firstLineChars="200"/>
    </w:pPr>
  </w:style>
  <w:style w:type="paragraph" w:customStyle="1" w:styleId="577">
    <w:name w:val="_Style 166"/>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57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Helv" w:hAnsi="Helv"/>
      <w:sz w:val="20"/>
      <w:szCs w:val="20"/>
    </w:rPr>
  </w:style>
  <w:style w:type="paragraph" w:customStyle="1" w:styleId="579">
    <w:name w:val="网格表 32"/>
    <w:basedOn w:val="4"/>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80">
    <w:name w:val=" Char1 Char Char Char"/>
    <w:basedOn w:val="1"/>
    <w:autoRedefine/>
    <w:qFormat/>
    <w:uiPriority w:val="0"/>
    <w:pPr>
      <w:autoSpaceDE/>
      <w:autoSpaceDN/>
      <w:adjustRightInd/>
      <w:jc w:val="both"/>
    </w:pPr>
    <w:rPr>
      <w:rFonts w:ascii="Arial Unicode MS" w:hAnsi="Arial Unicode MS"/>
      <w:kern w:val="2"/>
      <w:sz w:val="21"/>
    </w:rPr>
  </w:style>
  <w:style w:type="paragraph" w:customStyle="1" w:styleId="581">
    <w:name w:val="+标题3"/>
    <w:basedOn w:val="6"/>
    <w:autoRedefine/>
    <w:qFormat/>
    <w:uiPriority w:val="0"/>
    <w:pPr>
      <w:autoSpaceDE/>
      <w:autoSpaceDN/>
      <w:snapToGrid w:val="0"/>
      <w:spacing w:line="360" w:lineRule="auto"/>
      <w:ind w:left="-2" w:leftChars="-1" w:firstLine="420"/>
      <w:jc w:val="both"/>
    </w:pPr>
    <w:rPr>
      <w:rFonts w:hAnsi="等线 Light"/>
      <w:b/>
      <w:sz w:val="32"/>
      <w:szCs w:val="21"/>
    </w:rPr>
  </w:style>
  <w:style w:type="paragraph" w:customStyle="1" w:styleId="582">
    <w:name w:val="2"/>
    <w:basedOn w:val="1"/>
    <w:next w:val="32"/>
    <w:autoRedefine/>
    <w:qFormat/>
    <w:uiPriority w:val="0"/>
    <w:pPr>
      <w:autoSpaceDE/>
      <w:autoSpaceDN/>
      <w:adjustRightInd/>
      <w:jc w:val="both"/>
    </w:pPr>
    <w:rPr>
      <w:rFonts w:hAnsi="Helv"/>
      <w:kern w:val="2"/>
      <w:sz w:val="21"/>
      <w:szCs w:val="20"/>
    </w:rPr>
  </w:style>
  <w:style w:type="paragraph" w:customStyle="1" w:styleId="583">
    <w:name w:val="_Style 582"/>
    <w:autoRedefine/>
    <w:qFormat/>
    <w:uiPriority w:val="99"/>
    <w:rPr>
      <w:rFonts w:ascii="等线 Light" w:hAnsi="Times New Roman" w:eastAsia="宋体" w:cs="Times New Roman"/>
      <w:sz w:val="24"/>
      <w:szCs w:val="24"/>
      <w:lang w:val="en-US" w:eastAsia="zh-CN" w:bidi="ar-SA"/>
    </w:rPr>
  </w:style>
  <w:style w:type="paragraph" w:customStyle="1" w:styleId="584">
    <w:name w:val="编号"/>
    <w:basedOn w:val="1"/>
    <w:autoRedefine/>
    <w:qFormat/>
    <w:uiPriority w:val="0"/>
    <w:pPr>
      <w:numPr>
        <w:ilvl w:val="0"/>
        <w:numId w:val="10"/>
      </w:numPr>
      <w:autoSpaceDE/>
      <w:autoSpaceDN/>
      <w:adjustRightInd/>
      <w:snapToGrid w:val="0"/>
      <w:spacing w:line="300" w:lineRule="auto"/>
      <w:jc w:val="both"/>
    </w:pPr>
    <w:rPr>
      <w:rFonts w:hAnsi="等线 Light"/>
      <w:color w:val="000000"/>
      <w:kern w:val="2"/>
    </w:rPr>
  </w:style>
  <w:style w:type="paragraph" w:customStyle="1" w:styleId="585">
    <w:name w:val="a0-TBL-BR-1-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86">
    <w:name w:val="head4"/>
    <w:basedOn w:val="411"/>
    <w:autoRedefine/>
    <w:qFormat/>
    <w:uiPriority w:val="0"/>
    <w:pPr>
      <w:jc w:val="both"/>
    </w:pPr>
    <w:rPr>
      <w:b w:val="0"/>
    </w:rPr>
  </w:style>
  <w:style w:type="paragraph" w:customStyle="1" w:styleId="587">
    <w:name w:val="xl34"/>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88">
    <w:name w:val="xl48"/>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Ansi="等线 Light" w:cs="等线 Light"/>
    </w:rPr>
  </w:style>
  <w:style w:type="paragraph" w:customStyle="1" w:styleId="589">
    <w:name w:val="_Style 66"/>
    <w:next w:val="1"/>
    <w:autoRedefine/>
    <w:qFormat/>
    <w:uiPriority w:val="99"/>
    <w:pPr>
      <w:widowControl w:val="0"/>
      <w:autoSpaceDE w:val="0"/>
      <w:autoSpaceDN w:val="0"/>
      <w:adjustRightInd w:val="0"/>
    </w:pPr>
    <w:rPr>
      <w:rFonts w:ascii="等线 Light" w:hAnsi="Times New Roman" w:eastAsia="宋体" w:cs="Times New Roman"/>
      <w:sz w:val="24"/>
      <w:szCs w:val="24"/>
      <w:lang w:val="en-US" w:eastAsia="zh-CN" w:bidi="ar-SA"/>
    </w:rPr>
  </w:style>
  <w:style w:type="paragraph" w:customStyle="1" w:styleId="590">
    <w:name w:val=" 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591">
    <w:name w:val="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2">
    <w:name w:val="样式 宋体 行距: 固定值 18 磅"/>
    <w:basedOn w:val="1"/>
    <w:autoRedefine/>
    <w:qFormat/>
    <w:uiPriority w:val="0"/>
    <w:pPr>
      <w:autoSpaceDE/>
      <w:autoSpaceDN/>
      <w:adjustRightInd/>
      <w:spacing w:before="30" w:beforeLines="30" w:line="360" w:lineRule="exact"/>
      <w:jc w:val="both"/>
    </w:pPr>
    <w:rPr>
      <w:rFonts w:hAnsi="等线 Light"/>
      <w:kern w:val="2"/>
      <w:sz w:val="21"/>
      <w:szCs w:val="20"/>
    </w:rPr>
  </w:style>
  <w:style w:type="paragraph" w:customStyle="1" w:styleId="593">
    <w:name w:val="Default Text"/>
    <w:basedOn w:val="1"/>
    <w:autoRedefine/>
    <w:qFormat/>
    <w:uiPriority w:val="0"/>
    <w:rPr>
      <w:rFonts w:ascii="Arial Unicode MS" w:hAnsi="Arial Unicode MS"/>
    </w:rPr>
  </w:style>
  <w:style w:type="paragraph" w:customStyle="1" w:styleId="594">
    <w:name w:val="项目"/>
    <w:basedOn w:val="1"/>
    <w:autoRedefine/>
    <w:qFormat/>
    <w:uiPriority w:val="0"/>
    <w:pPr>
      <w:widowControl/>
      <w:tabs>
        <w:tab w:val="left" w:pos="300"/>
        <w:tab w:val="left" w:pos="840"/>
        <w:tab w:val="left" w:pos="993"/>
      </w:tabs>
      <w:overflowPunct w:val="0"/>
      <w:autoSpaceDE/>
      <w:autoSpaceDN/>
      <w:spacing w:line="336" w:lineRule="auto"/>
      <w:ind w:left="840" w:hanging="420"/>
      <w:jc w:val="both"/>
    </w:pPr>
    <w:rPr>
      <w:rFonts w:ascii="楷体_GB2312" w:hAnsi="Arial Unicode MS"/>
      <w:kern w:val="24"/>
      <w:szCs w:val="20"/>
    </w:rPr>
  </w:style>
  <w:style w:type="paragraph" w:customStyle="1" w:styleId="595">
    <w:name w:val="xl43"/>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96">
    <w:name w:val="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7">
    <w:name w:val="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8">
    <w:name w:val="样式 标题 3头小节标题Heading 3 - oldh33rd levelH3l3CTLevel 3 Hea...3"/>
    <w:basedOn w:val="6"/>
    <w:autoRedefine/>
    <w:qFormat/>
    <w:uiPriority w:val="0"/>
    <w:pPr>
      <w:keepNext/>
      <w:keepLines/>
      <w:tabs>
        <w:tab w:val="left" w:pos="964"/>
      </w:tabs>
      <w:autoSpaceDE/>
      <w:autoSpaceDN/>
      <w:adjustRightInd/>
      <w:spacing w:line="360" w:lineRule="auto"/>
      <w:jc w:val="both"/>
    </w:pPr>
    <w:rPr>
      <w:rFonts w:hAnsi="等线 Light"/>
      <w:kern w:val="2"/>
      <w:szCs w:val="32"/>
    </w:rPr>
  </w:style>
  <w:style w:type="paragraph" w:customStyle="1" w:styleId="599">
    <w:name w:val="Char Char Char Char Char Char Char Char Char Char"/>
    <w:basedOn w:val="1"/>
    <w:autoRedefine/>
    <w:qFormat/>
    <w:uiPriority w:val="0"/>
    <w:pPr>
      <w:widowControl/>
      <w:autoSpaceDE/>
      <w:autoSpaceDN/>
      <w:adjustRightInd/>
      <w:spacing w:after="160" w:line="240" w:lineRule="exact"/>
    </w:pPr>
    <w:rPr>
      <w:rFonts w:ascii="Lucida Grande" w:hAnsi="Lucida Grande" w:cs="Lucida Grande"/>
      <w:sz w:val="20"/>
      <w:szCs w:val="20"/>
      <w:lang w:eastAsia="en-US"/>
    </w:rPr>
  </w:style>
  <w:style w:type="paragraph" w:customStyle="1" w:styleId="600">
    <w:name w:val="affa-TBL-BR-1-TBL-BR-1"/>
    <w:autoRedefine/>
    <w:qFormat/>
    <w:uiPriority w:val="0"/>
    <w:pPr>
      <w:spacing w:line="480" w:lineRule="auto"/>
    </w:pPr>
    <w:rPr>
      <w:rFonts w:ascii="等线 Light" w:hAnsi="等线 Light" w:eastAsia="Verdana" w:cs="Times New Roman"/>
      <w:sz w:val="24"/>
      <w:lang w:val="en-US" w:eastAsia="zh-CN" w:bidi="ar-SA"/>
    </w:rPr>
  </w:style>
  <w:style w:type="paragraph" w:customStyle="1" w:styleId="601">
    <w:name w:val="样式 标题 3头小节标题Heading 3 - oldh33rd levelH3l3CTLevel 3 Hea...5"/>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2">
    <w:name w:val="样式 标题 3头小节标题Heading 3 - oldh33rd levelH3l3CTLevel 3 Hea...7"/>
    <w:basedOn w:val="6"/>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603">
    <w:name w:val="正文首缩"/>
    <w:basedOn w:val="1"/>
    <w:next w:val="7"/>
    <w:autoRedefine/>
    <w:qFormat/>
    <w:uiPriority w:val="0"/>
    <w:pPr>
      <w:autoSpaceDE/>
      <w:autoSpaceDN/>
      <w:spacing w:line="324" w:lineRule="auto"/>
      <w:ind w:firstLine="425"/>
      <w:jc w:val="both"/>
      <w:textAlignment w:val="baseline"/>
    </w:pPr>
    <w:rPr>
      <w:rFonts w:ascii="Arial Unicode MS" w:hAnsi="Arial Unicode MS"/>
      <w:sz w:val="28"/>
      <w:szCs w:val="20"/>
    </w:rPr>
  </w:style>
  <w:style w:type="paragraph" w:customStyle="1" w:styleId="604">
    <w:name w:val="默认段落字体 Para Char"/>
    <w:basedOn w:val="1"/>
    <w:autoRedefine/>
    <w:qFormat/>
    <w:uiPriority w:val="0"/>
    <w:pPr>
      <w:autoSpaceDE/>
      <w:autoSpaceDN/>
      <w:spacing w:line="360" w:lineRule="auto"/>
      <w:jc w:val="both"/>
    </w:pPr>
    <w:rPr>
      <w:rFonts w:ascii="Arial Unicode MS" w:hAnsi="Arial Unicode MS"/>
      <w:szCs w:val="20"/>
    </w:rPr>
  </w:style>
  <w:style w:type="paragraph" w:customStyle="1" w:styleId="605">
    <w:name w:val="xl50"/>
    <w:basedOn w:val="1"/>
    <w:autoRedefine/>
    <w:qFormat/>
    <w:uiPriority w:val="0"/>
    <w:pPr>
      <w:widowControl/>
      <w:autoSpaceDE/>
      <w:autoSpaceDN/>
      <w:adjustRightInd/>
      <w:spacing w:before="100" w:beforeAutospacing="1" w:after="100" w:afterAutospacing="1"/>
      <w:jc w:val="center"/>
    </w:pPr>
    <w:rPr>
      <w:rFonts w:hint="eastAsia" w:hAnsi="等线 Light"/>
    </w:rPr>
  </w:style>
  <w:style w:type="paragraph" w:customStyle="1" w:styleId="606">
    <w:name w:val="样式 标题 3头小节标题Heading 3 - oldh33rd levelH3l3CTLevel 3 Hea...8"/>
    <w:basedOn w:val="6"/>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7">
    <w:name w:val="正文表标题"/>
    <w:next w:val="1"/>
    <w:autoRedefine/>
    <w:qFormat/>
    <w:uiPriority w:val="0"/>
    <w:pPr>
      <w:numPr>
        <w:ilvl w:val="0"/>
        <w:numId w:val="11"/>
      </w:numPr>
      <w:jc w:val="center"/>
    </w:pPr>
    <w:rPr>
      <w:rFonts w:ascii="PMingLiU" w:hAnsi="Arial Unicode MS" w:eastAsia="PMingLiU" w:cs="Times New Roman"/>
      <w:sz w:val="21"/>
      <w:lang w:val="en-US" w:eastAsia="zh-CN" w:bidi="ar-SA"/>
    </w:rPr>
  </w:style>
  <w:style w:type="paragraph" w:customStyle="1" w:styleId="608">
    <w:name w:val="font7"/>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sz w:val="32"/>
      <w:szCs w:val="32"/>
    </w:rPr>
  </w:style>
  <w:style w:type="paragraph" w:customStyle="1" w:styleId="609">
    <w:name w:val="xl10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10">
    <w:name w:val="1"/>
    <w:basedOn w:val="1"/>
    <w:next w:val="27"/>
    <w:autoRedefine/>
    <w:qFormat/>
    <w:uiPriority w:val="0"/>
    <w:pPr>
      <w:autoSpaceDE/>
      <w:autoSpaceDN/>
      <w:ind w:left="420" w:right="33"/>
      <w:textAlignment w:val="baseline"/>
    </w:pPr>
    <w:rPr>
      <w:rFonts w:ascii="Arial Unicode MS" w:hAnsi="Arial Unicode MS"/>
      <w:szCs w:val="20"/>
    </w:rPr>
  </w:style>
  <w:style w:type="paragraph" w:customStyle="1" w:styleId="611">
    <w:name w:val="文字"/>
    <w:basedOn w:val="1"/>
    <w:autoRedefine/>
    <w:qFormat/>
    <w:uiPriority w:val="0"/>
    <w:pPr>
      <w:tabs>
        <w:tab w:val="left" w:pos="8520"/>
      </w:tabs>
      <w:autoSpaceDE/>
      <w:autoSpaceDN/>
      <w:adjustRightInd/>
      <w:spacing w:line="312" w:lineRule="auto"/>
      <w:ind w:right="-210" w:firstLine="556"/>
      <w:jc w:val="both"/>
    </w:pPr>
    <w:rPr>
      <w:rFonts w:ascii="Cambria Math" w:hAnsi="Arial Unicode MS" w:eastAsia="Cambria Math"/>
      <w:kern w:val="2"/>
      <w:sz w:val="28"/>
      <w:szCs w:val="20"/>
    </w:rPr>
  </w:style>
  <w:style w:type="paragraph" w:customStyle="1" w:styleId="612">
    <w:name w:val="font6"/>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613">
    <w:name w:val="默认段落字体 Para Char Char Char Char Char Char Char Char Char1 Char Char Char Char Char Char Char Char Char Char"/>
    <w:basedOn w:val="19"/>
    <w:autoRedefine/>
    <w:qFormat/>
    <w:uiPriority w:val="0"/>
    <w:pPr>
      <w:autoSpaceDE/>
      <w:autoSpaceDN/>
      <w:adjustRightInd/>
      <w:ind w:firstLine="540" w:firstLineChars="225"/>
      <w:jc w:val="both"/>
    </w:pPr>
    <w:rPr>
      <w:rFonts w:ascii="Calibri" w:hAnsi="Calibri"/>
      <w:kern w:val="2"/>
      <w:szCs w:val="20"/>
    </w:rPr>
  </w:style>
  <w:style w:type="paragraph" w:customStyle="1" w:styleId="614">
    <w:name w:val="2册标题3"/>
    <w:basedOn w:val="1"/>
    <w:next w:val="1"/>
    <w:autoRedefine/>
    <w:qFormat/>
    <w:uiPriority w:val="0"/>
    <w:pPr>
      <w:autoSpaceDE/>
      <w:autoSpaceDN/>
      <w:adjustRightInd/>
      <w:spacing w:before="156" w:beforeLines="50" w:after="156" w:afterLines="50"/>
      <w:ind w:left="100" w:leftChars="100"/>
      <w:jc w:val="both"/>
      <w:outlineLvl w:val="2"/>
    </w:pPr>
    <w:rPr>
      <w:rFonts w:ascii="楷体_GB2312" w:hAnsi="楷体_GB2312" w:eastAsia="PMingLiU"/>
      <w:kern w:val="2"/>
      <w:sz w:val="28"/>
      <w:szCs w:val="28"/>
    </w:rPr>
  </w:style>
  <w:style w:type="paragraph" w:customStyle="1" w:styleId="615">
    <w:name w:val="样式4"/>
    <w:basedOn w:val="42"/>
    <w:autoRedefine/>
    <w:qFormat/>
    <w:uiPriority w:val="0"/>
    <w:pPr>
      <w:tabs>
        <w:tab w:val="right" w:leader="dot" w:pos="9458"/>
      </w:tabs>
      <w:autoSpaceDE/>
      <w:autoSpaceDN/>
      <w:adjustRightInd/>
    </w:pPr>
    <w:rPr>
      <w:rFonts w:cs="幼圆"/>
      <w:b w:val="0"/>
      <w:kern w:val="2"/>
      <w:sz w:val="21"/>
      <w:szCs w:val="24"/>
    </w:rPr>
  </w:style>
  <w:style w:type="paragraph" w:customStyle="1" w:styleId="616">
    <w:name w:val="xl52"/>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617">
    <w:name w:val="标题44"/>
    <w:basedOn w:val="7"/>
    <w:autoRedefine/>
    <w:qFormat/>
    <w:uiPriority w:val="0"/>
    <w:pPr>
      <w:autoSpaceDE/>
      <w:autoSpaceDN/>
      <w:adjustRightInd/>
      <w:spacing w:before="0" w:after="0" w:line="300" w:lineRule="auto"/>
      <w:jc w:val="both"/>
    </w:pPr>
    <w:rPr>
      <w:rFonts w:ascii="幼圆" w:hAnsi="幼圆"/>
      <w:b w:val="0"/>
      <w:kern w:val="2"/>
      <w:sz w:val="24"/>
      <w:szCs w:val="24"/>
    </w:rPr>
  </w:style>
  <w:style w:type="paragraph" w:customStyle="1" w:styleId="618">
    <w:name w:val="xl29"/>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619">
    <w:name w:val="首行缩进"/>
    <w:basedOn w:val="1"/>
    <w:autoRedefine/>
    <w:qFormat/>
    <w:uiPriority w:val="0"/>
    <w:pPr>
      <w:ind w:firstLine="480" w:firstLineChars="200"/>
    </w:pPr>
    <w:rPr>
      <w:lang w:val="zh-CN"/>
    </w:rPr>
  </w:style>
  <w:style w:type="paragraph" w:customStyle="1" w:styleId="620">
    <w:name w:val="xl9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21">
    <w:name w:val=" Char Char Char"/>
    <w:basedOn w:val="1"/>
    <w:autoRedefine/>
    <w:qFormat/>
    <w:uiPriority w:val="0"/>
    <w:pPr>
      <w:autoSpaceDE/>
      <w:autoSpaceDN/>
      <w:adjustRightInd/>
      <w:jc w:val="both"/>
    </w:pPr>
    <w:rPr>
      <w:rFonts w:ascii="Calibri" w:hAnsi="Calibri"/>
      <w:kern w:val="2"/>
      <w:szCs w:val="20"/>
    </w:rPr>
  </w:style>
  <w:style w:type="paragraph" w:customStyle="1" w:styleId="622">
    <w:name w:val="font10"/>
    <w:basedOn w:val="1"/>
    <w:autoRedefine/>
    <w:qFormat/>
    <w:uiPriority w:val="0"/>
    <w:pPr>
      <w:widowControl/>
      <w:autoSpaceDE/>
      <w:autoSpaceDN/>
      <w:adjustRightInd/>
      <w:spacing w:before="100" w:beforeAutospacing="1" w:after="100" w:afterAutospacing="1"/>
    </w:pPr>
    <w:rPr>
      <w:rFonts w:ascii="Arial Unicode MS" w:hAnsi="Arial Unicode MS"/>
      <w:sz w:val="20"/>
      <w:szCs w:val="20"/>
    </w:rPr>
  </w:style>
  <w:style w:type="paragraph" w:customStyle="1" w:styleId="623">
    <w:name w:val="6.3.5.4"/>
    <w:basedOn w:val="1"/>
    <w:autoRedefine/>
    <w:qFormat/>
    <w:uiPriority w:val="0"/>
    <w:pPr>
      <w:tabs>
        <w:tab w:val="left" w:pos="360"/>
        <w:tab w:val="left" w:pos="851"/>
      </w:tabs>
      <w:autoSpaceDE/>
      <w:autoSpaceDN/>
      <w:adjustRightInd/>
      <w:spacing w:before="120" w:after="120"/>
      <w:ind w:left="288" w:hanging="288"/>
      <w:jc w:val="both"/>
    </w:pPr>
    <w:rPr>
      <w:rFonts w:ascii="Arial Unicode MS" w:hAnsi="Arial Unicode MS"/>
      <w:kern w:val="2"/>
      <w:szCs w:val="20"/>
    </w:rPr>
  </w:style>
  <w:style w:type="paragraph" w:customStyle="1" w:styleId="624">
    <w:name w:val="样式 SINOPEC-0"/>
    <w:basedOn w:val="1"/>
    <w:autoRedefine/>
    <w:qFormat/>
    <w:uiPriority w:val="0"/>
    <w:pPr>
      <w:autoSpaceDE/>
      <w:autoSpaceDN/>
      <w:adjustRightInd/>
      <w:spacing w:line="360" w:lineRule="auto"/>
      <w:ind w:firstLine="200" w:firstLineChars="200"/>
      <w:jc w:val="both"/>
    </w:pPr>
    <w:rPr>
      <w:rFonts w:ascii="楷体_GB2312" w:hAnsi="楷体_GB2312"/>
      <w:kern w:val="2"/>
      <w:szCs w:val="20"/>
    </w:rPr>
  </w:style>
  <w:style w:type="paragraph" w:customStyle="1" w:styleId="625">
    <w:name w:val="xl27"/>
    <w:basedOn w:val="1"/>
    <w:autoRedefine/>
    <w:qFormat/>
    <w:uiPriority w:val="0"/>
    <w:pPr>
      <w:widowControl/>
      <w:pBdr>
        <w:top w:val="single" w:color="auto" w:sz="4" w:space="0"/>
        <w:left w:val="single" w:color="auto" w:sz="4" w:space="0"/>
      </w:pBdr>
      <w:autoSpaceDE/>
      <w:autoSpaceDN/>
      <w:adjustRightInd/>
      <w:spacing w:before="100" w:beforeAutospacing="1" w:after="100" w:afterAutospacing="1"/>
    </w:pPr>
    <w:rPr>
      <w:rFonts w:hint="eastAsia" w:hAnsi="等线 Light"/>
      <w:sz w:val="20"/>
      <w:szCs w:val="20"/>
    </w:rPr>
  </w:style>
  <w:style w:type="table" w:customStyle="1" w:styleId="626">
    <w:name w:val="网格型2"/>
    <w:basedOn w:val="55"/>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网格型1"/>
    <w:basedOn w:val="55"/>
    <w:autoRedefine/>
    <w:qFormat/>
    <w:uiPriority w:val="59"/>
    <w:rPr>
      <w:rFonts w:ascii="Arial Unicode MS" w:hAnsi="Arial Unicode MS" w:eastAsia="等线 Light" w:cs="幼圆"/>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8">
    <w:name w:val="正文_0"/>
    <w:autoRedefine/>
    <w:qFormat/>
    <w:uiPriority w:val="0"/>
    <w:pPr>
      <w:adjustRightInd w:val="0"/>
      <w:snapToGrid w:val="0"/>
      <w:spacing w:after="200"/>
    </w:pPr>
    <w:rPr>
      <w:rFonts w:ascii="Tahoma" w:hAnsi="Tahoma" w:eastAsia="宋体" w:cs="Times New Roman"/>
      <w:sz w:val="22"/>
      <w:szCs w:val="22"/>
      <w:lang w:val="en-US" w:eastAsia="zh-CN" w:bidi="ar-SA"/>
    </w:rPr>
  </w:style>
  <w:style w:type="character" w:customStyle="1" w:styleId="629">
    <w:name w:val="cf01"/>
    <w:autoRedefine/>
    <w:qFormat/>
    <w:uiPriority w:val="0"/>
    <w:rPr>
      <w:rFonts w:hint="eastAsia" w:ascii="Microsoft YaHei UI" w:hAnsi="Microsoft YaHei UI" w:eastAsia="Microsoft YaHei UI"/>
      <w:sz w:val="18"/>
      <w:szCs w:val="18"/>
    </w:rPr>
  </w:style>
  <w:style w:type="paragraph" w:customStyle="1" w:styleId="630">
    <w:name w:val="Table Paragraph"/>
    <w:basedOn w:val="1"/>
    <w:autoRedefine/>
    <w:qFormat/>
    <w:uiPriority w:val="1"/>
    <w:pPr>
      <w:autoSpaceDE w:val="0"/>
      <w:autoSpaceDN w:val="0"/>
      <w:ind w:firstLine="0" w:firstLineChars="0"/>
      <w:jc w:val="left"/>
    </w:pPr>
    <w:rPr>
      <w:rFonts w:cs="宋体"/>
      <w:snapToGrid/>
      <w:sz w:val="22"/>
      <w:szCs w:val="22"/>
      <w:lang w:eastAsia="en-US"/>
    </w:rPr>
  </w:style>
  <w:style w:type="paragraph" w:customStyle="1" w:styleId="631">
    <w:name w:val="图表内容格式"/>
    <w:basedOn w:val="1"/>
    <w:autoRedefine/>
    <w:qFormat/>
    <w:uiPriority w:val="0"/>
    <w:pPr>
      <w:ind w:firstLine="0" w:firstLineChars="0"/>
      <w:jc w:val="center"/>
    </w:pPr>
    <w:rPr>
      <w:rFonts w:eastAsia="等线"/>
    </w:rPr>
  </w:style>
  <w:style w:type="paragraph" w:customStyle="1" w:styleId="632">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34218</Words>
  <Characters>35896</Characters>
  <Lines>383</Lines>
  <Paragraphs>107</Paragraphs>
  <TotalTime>1</TotalTime>
  <ScaleCrop>false</ScaleCrop>
  <LinksUpToDate>false</LinksUpToDate>
  <CharactersWithSpaces>39060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2021-07-26T01:01:00Z</dcterms:created>
  <dc:creator>采联（燕）</dc:creator>
  <cp:lastModifiedBy>和盛-刘晓健</cp:lastModifiedBy>
  <cp:lastPrinted>2021-11-10T02:05:00Z</cp:lastPrinted>
  <dcterms:modified xsi:type="dcterms:W3CDTF">2024-04-15T00:29:38Z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11412423B689407B8DF4B6BF2B5BEF19_13</vt:lpwstr>
  </property>
</Properties>
</file>