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jc w:val="center"/>
        <w:outlineLvl w:val="0"/>
        <w:rPr>
          <w:color w:val="auto"/>
          <w:highlight w:val="none"/>
        </w:rPr>
      </w:pPr>
      <w:bookmarkStart w:id="0" w:name="_Toc20234"/>
      <w:bookmarkStart w:id="1" w:name="_Toc10345"/>
      <w:r>
        <w:rPr>
          <w:rFonts w:hint="eastAsia"/>
          <w:b/>
          <w:color w:val="auto"/>
          <w:sz w:val="44"/>
          <w:szCs w:val="44"/>
          <w:highlight w:val="none"/>
          <w:lang w:eastAsia="zh-CN"/>
        </w:rPr>
        <w:t>东莞市智汇水务科技有限公司</w:t>
      </w:r>
      <w:bookmarkEnd w:id="0"/>
      <w:bookmarkEnd w:id="1"/>
      <w:bookmarkStart w:id="2" w:name="_Toc666"/>
      <w:bookmarkStart w:id="3" w:name="_Toc6153"/>
      <w:r>
        <w:rPr>
          <w:rFonts w:hint="eastAsia"/>
          <w:b/>
          <w:color w:val="auto"/>
          <w:sz w:val="44"/>
          <w:szCs w:val="44"/>
          <w:highlight w:val="none"/>
          <w:lang w:val="en-US" w:eastAsia="zh-CN"/>
        </w:rPr>
        <w:t>2024年</w:t>
      </w:r>
      <w:r>
        <w:rPr>
          <w:rFonts w:hint="eastAsia"/>
          <w:b/>
          <w:color w:val="auto"/>
          <w:sz w:val="44"/>
          <w:szCs w:val="44"/>
          <w:highlight w:val="none"/>
          <w:lang w:eastAsia="zh-CN"/>
        </w:rPr>
        <w:t>股权、设备资产</w:t>
      </w:r>
      <w:r>
        <w:rPr>
          <w:rFonts w:hint="eastAsia"/>
          <w:b/>
          <w:color w:val="auto"/>
          <w:sz w:val="44"/>
          <w:szCs w:val="44"/>
          <w:highlight w:val="none"/>
          <w:lang w:val="en-US" w:eastAsia="zh-CN"/>
        </w:rPr>
        <w:t>价值</w:t>
      </w:r>
      <w:r>
        <w:rPr>
          <w:rFonts w:hint="eastAsia"/>
          <w:b/>
          <w:color w:val="auto"/>
          <w:sz w:val="44"/>
          <w:szCs w:val="44"/>
          <w:highlight w:val="none"/>
          <w:lang w:eastAsia="zh-CN"/>
        </w:rPr>
        <w:t>评估单位采购项目</w:t>
      </w:r>
      <w:bookmarkEnd w:id="2"/>
      <w:bookmarkEnd w:id="3"/>
    </w:p>
    <w:p>
      <w:pPr>
        <w:rPr>
          <w:color w:val="auto"/>
          <w:highlight w:val="none"/>
        </w:rPr>
      </w:pPr>
    </w:p>
    <w:p>
      <w:pPr>
        <w:rPr>
          <w:color w:val="auto"/>
          <w:highlight w:val="none"/>
        </w:rPr>
      </w:pPr>
    </w:p>
    <w:p>
      <w:pPr>
        <w:rPr>
          <w:color w:val="auto"/>
          <w:highlight w:val="none"/>
        </w:rPr>
      </w:pPr>
    </w:p>
    <w:p>
      <w:pPr>
        <w:rPr>
          <w:color w:val="auto"/>
          <w:highlight w:val="none"/>
        </w:rPr>
      </w:pPr>
    </w:p>
    <w:p>
      <w:pPr>
        <w:pStyle w:val="2"/>
        <w:rPr>
          <w:color w:val="auto"/>
          <w:highlight w:val="none"/>
        </w:rPr>
      </w:pPr>
    </w:p>
    <w:p>
      <w:pPr>
        <w:rPr>
          <w:color w:val="auto"/>
          <w:highlight w:val="none"/>
        </w:rPr>
      </w:pPr>
    </w:p>
    <w:p>
      <w:pPr>
        <w:jc w:val="center"/>
        <w:rPr>
          <w:b/>
          <w:color w:val="auto"/>
          <w:sz w:val="72"/>
          <w:szCs w:val="72"/>
          <w:highlight w:val="none"/>
        </w:rPr>
      </w:pPr>
      <w:r>
        <w:rPr>
          <w:b/>
          <w:color w:val="auto"/>
          <w:sz w:val="72"/>
          <w:szCs w:val="72"/>
          <w:highlight w:val="none"/>
        </w:rPr>
        <w:t>询价文件</w:t>
      </w:r>
    </w:p>
    <w:p>
      <w:pPr>
        <w:spacing w:line="700" w:lineRule="exact"/>
        <w:ind w:right="-28" w:hanging="482"/>
        <w:jc w:val="center"/>
        <w:rPr>
          <w:b/>
          <w:bCs/>
          <w:color w:val="auto"/>
          <w:sz w:val="32"/>
          <w:szCs w:val="32"/>
          <w:highlight w:val="none"/>
          <w:lang w:val="zh-CN"/>
        </w:rPr>
      </w:pPr>
      <w:r>
        <w:rPr>
          <w:b/>
          <w:bCs/>
          <w:color w:val="auto"/>
          <w:sz w:val="32"/>
          <w:szCs w:val="32"/>
          <w:highlight w:val="none"/>
          <w:lang w:val="zh-CN"/>
        </w:rPr>
        <w:t>（</w:t>
      </w:r>
      <w:r>
        <w:rPr>
          <w:rFonts w:hint="eastAsia"/>
          <w:b/>
          <w:bCs/>
          <w:color w:val="auto"/>
          <w:sz w:val="32"/>
          <w:szCs w:val="32"/>
          <w:highlight w:val="none"/>
          <w:lang w:val="en-US" w:eastAsia="zh-CN"/>
        </w:rPr>
        <w:t>自行</w:t>
      </w:r>
      <w:r>
        <w:rPr>
          <w:b/>
          <w:bCs/>
          <w:color w:val="auto"/>
          <w:sz w:val="32"/>
          <w:szCs w:val="32"/>
          <w:highlight w:val="none"/>
          <w:lang w:val="zh-CN"/>
        </w:rPr>
        <w:t>采购）</w:t>
      </w:r>
    </w:p>
    <w:p>
      <w:pPr>
        <w:rPr>
          <w:color w:val="auto"/>
          <w:sz w:val="52"/>
          <w:highlight w:val="none"/>
        </w:rPr>
      </w:pPr>
    </w:p>
    <w:p>
      <w:pPr>
        <w:rPr>
          <w:color w:val="auto"/>
          <w:sz w:val="52"/>
          <w:highlight w:val="none"/>
        </w:rPr>
      </w:pPr>
    </w:p>
    <w:p>
      <w:pPr>
        <w:tabs>
          <w:tab w:val="left" w:pos="1620"/>
          <w:tab w:val="left" w:pos="1800"/>
        </w:tabs>
        <w:spacing w:line="740" w:lineRule="exact"/>
        <w:rPr>
          <w:b/>
          <w:bCs/>
          <w:color w:val="auto"/>
          <w:sz w:val="32"/>
          <w:szCs w:val="32"/>
          <w:highlight w:val="none"/>
        </w:rPr>
      </w:pPr>
    </w:p>
    <w:p>
      <w:pPr>
        <w:tabs>
          <w:tab w:val="left" w:pos="1620"/>
          <w:tab w:val="left" w:pos="1800"/>
        </w:tabs>
        <w:spacing w:line="740" w:lineRule="exact"/>
        <w:rPr>
          <w:b/>
          <w:bCs/>
          <w:color w:val="auto"/>
          <w:sz w:val="32"/>
          <w:szCs w:val="32"/>
          <w:highlight w:val="none"/>
        </w:rPr>
      </w:pPr>
    </w:p>
    <w:p>
      <w:pPr>
        <w:tabs>
          <w:tab w:val="left" w:pos="1620"/>
          <w:tab w:val="left" w:pos="1800"/>
          <w:tab w:val="left" w:pos="8460"/>
        </w:tabs>
        <w:spacing w:line="740" w:lineRule="exact"/>
        <w:rPr>
          <w:b/>
          <w:bCs/>
          <w:color w:val="auto"/>
          <w:sz w:val="32"/>
          <w:szCs w:val="32"/>
          <w:highlight w:val="none"/>
        </w:rPr>
      </w:pPr>
    </w:p>
    <w:p>
      <w:pPr>
        <w:tabs>
          <w:tab w:val="left" w:pos="1620"/>
          <w:tab w:val="left" w:pos="1800"/>
          <w:tab w:val="left" w:pos="8460"/>
        </w:tabs>
        <w:spacing w:line="740" w:lineRule="exact"/>
        <w:rPr>
          <w:b/>
          <w:bCs/>
          <w:color w:val="auto"/>
          <w:sz w:val="32"/>
          <w:szCs w:val="32"/>
          <w:highlight w:val="none"/>
        </w:rPr>
      </w:pPr>
    </w:p>
    <w:p>
      <w:pPr>
        <w:tabs>
          <w:tab w:val="left" w:pos="1620"/>
          <w:tab w:val="left" w:pos="1800"/>
          <w:tab w:val="left" w:pos="8460"/>
        </w:tabs>
        <w:spacing w:line="740" w:lineRule="exact"/>
        <w:ind w:firstLine="1285" w:firstLineChars="400"/>
        <w:rPr>
          <w:rFonts w:hint="default" w:eastAsia="宋体"/>
          <w:b/>
          <w:bCs/>
          <w:color w:val="auto"/>
          <w:sz w:val="32"/>
          <w:szCs w:val="32"/>
          <w:highlight w:val="none"/>
          <w:u w:val="single"/>
          <w:lang w:val="en-US" w:eastAsia="zh-CN"/>
        </w:rPr>
      </w:pPr>
      <w:r>
        <w:rPr>
          <w:b/>
          <w:bCs/>
          <w:color w:val="auto"/>
          <w:sz w:val="32"/>
          <w:szCs w:val="32"/>
          <w:highlight w:val="none"/>
        </w:rPr>
        <w:t>项目编号：</w:t>
      </w:r>
      <w:r>
        <w:rPr>
          <w:b/>
          <w:bCs/>
          <w:color w:val="auto"/>
          <w:sz w:val="32"/>
          <w:szCs w:val="32"/>
          <w:highlight w:val="none"/>
          <w:u w:val="single"/>
        </w:rPr>
        <w:t xml:space="preserve">       </w:t>
      </w:r>
      <w:r>
        <w:rPr>
          <w:rFonts w:hint="eastAsia"/>
          <w:b/>
          <w:bCs/>
          <w:color w:val="auto"/>
          <w:sz w:val="32"/>
          <w:szCs w:val="32"/>
          <w:highlight w:val="none"/>
          <w:u w:val="single"/>
          <w:lang w:val="en-US" w:eastAsia="zh-CN"/>
        </w:rPr>
        <w:t xml:space="preserve"> </w:t>
      </w:r>
      <w:r>
        <w:rPr>
          <w:rFonts w:hint="eastAsia"/>
          <w:b/>
          <w:bCs/>
          <w:color w:val="auto"/>
          <w:sz w:val="32"/>
          <w:szCs w:val="32"/>
          <w:highlight w:val="none"/>
          <w:u w:val="single"/>
          <w:lang w:eastAsia="zh-CN"/>
        </w:rPr>
        <w:t>2024-007</w:t>
      </w:r>
      <w:r>
        <w:rPr>
          <w:b/>
          <w:bCs/>
          <w:color w:val="auto"/>
          <w:sz w:val="32"/>
          <w:szCs w:val="32"/>
          <w:highlight w:val="none"/>
          <w:u w:val="single"/>
        </w:rPr>
        <w:t xml:space="preserve">    </w:t>
      </w:r>
      <w:r>
        <w:rPr>
          <w:rFonts w:hint="eastAsia"/>
          <w:b/>
          <w:bCs/>
          <w:color w:val="auto"/>
          <w:sz w:val="32"/>
          <w:szCs w:val="32"/>
          <w:highlight w:val="none"/>
          <w:u w:val="single"/>
          <w:lang w:val="en-US" w:eastAsia="zh-CN"/>
        </w:rPr>
        <w:t xml:space="preserve">  </w:t>
      </w:r>
      <w:r>
        <w:rPr>
          <w:b/>
          <w:bCs/>
          <w:color w:val="auto"/>
          <w:sz w:val="32"/>
          <w:szCs w:val="32"/>
          <w:highlight w:val="none"/>
          <w:u w:val="single"/>
        </w:rPr>
        <w:t xml:space="preserve">  </w:t>
      </w:r>
      <w:r>
        <w:rPr>
          <w:rFonts w:hint="eastAsia"/>
          <w:b/>
          <w:bCs/>
          <w:color w:val="auto"/>
          <w:sz w:val="32"/>
          <w:szCs w:val="32"/>
          <w:highlight w:val="none"/>
          <w:u w:val="single"/>
          <w:lang w:val="en-US" w:eastAsia="zh-CN"/>
        </w:rPr>
        <w:t xml:space="preserve">  </w:t>
      </w:r>
    </w:p>
    <w:p>
      <w:pPr>
        <w:spacing w:line="740" w:lineRule="exact"/>
        <w:ind w:firstLine="1285" w:firstLineChars="400"/>
        <w:outlineLvl w:val="0"/>
        <w:rPr>
          <w:b/>
          <w:bCs/>
          <w:color w:val="auto"/>
          <w:sz w:val="32"/>
          <w:szCs w:val="32"/>
          <w:highlight w:val="none"/>
          <w:u w:val="single"/>
        </w:rPr>
      </w:pPr>
      <w:bookmarkStart w:id="4" w:name="_Toc26860"/>
      <w:bookmarkStart w:id="5" w:name="_Toc23702"/>
      <w:r>
        <w:rPr>
          <w:b/>
          <w:bCs/>
          <w:color w:val="auto"/>
          <w:sz w:val="32"/>
          <w:szCs w:val="32"/>
          <w:highlight w:val="none"/>
        </w:rPr>
        <w:t>采</w:t>
      </w:r>
      <w:r>
        <w:rPr>
          <w:rFonts w:hint="eastAsia"/>
          <w:b/>
          <w:bCs/>
          <w:color w:val="auto"/>
          <w:sz w:val="32"/>
          <w:szCs w:val="32"/>
          <w:highlight w:val="none"/>
        </w:rPr>
        <w:t xml:space="preserve"> </w:t>
      </w:r>
      <w:r>
        <w:rPr>
          <w:b/>
          <w:bCs/>
          <w:color w:val="auto"/>
          <w:sz w:val="32"/>
          <w:szCs w:val="32"/>
          <w:highlight w:val="none"/>
        </w:rPr>
        <w:t>购</w:t>
      </w:r>
      <w:r>
        <w:rPr>
          <w:rFonts w:hint="eastAsia"/>
          <w:b/>
          <w:bCs/>
          <w:color w:val="auto"/>
          <w:sz w:val="32"/>
          <w:szCs w:val="32"/>
          <w:highlight w:val="none"/>
        </w:rPr>
        <w:t xml:space="preserve"> </w:t>
      </w:r>
      <w:r>
        <w:rPr>
          <w:b/>
          <w:bCs/>
          <w:color w:val="auto"/>
          <w:sz w:val="32"/>
          <w:szCs w:val="32"/>
          <w:highlight w:val="none"/>
        </w:rPr>
        <w:t>人：</w:t>
      </w:r>
      <w:r>
        <w:rPr>
          <w:rFonts w:hint="eastAsia"/>
          <w:b/>
          <w:bCs/>
          <w:color w:val="auto"/>
          <w:sz w:val="32"/>
          <w:szCs w:val="32"/>
          <w:highlight w:val="none"/>
          <w:u w:val="single"/>
          <w:lang w:eastAsia="zh-CN"/>
        </w:rPr>
        <w:t>东莞市智汇水务科技有限公司</w:t>
      </w:r>
      <w:bookmarkEnd w:id="4"/>
      <w:bookmarkEnd w:id="5"/>
    </w:p>
    <w:p>
      <w:pPr>
        <w:spacing w:line="700" w:lineRule="exact"/>
        <w:ind w:right="-28" w:hanging="482"/>
        <w:jc w:val="center"/>
        <w:rPr>
          <w:b/>
          <w:bCs/>
          <w:color w:val="auto"/>
          <w:sz w:val="32"/>
          <w:szCs w:val="32"/>
          <w:highlight w:val="none"/>
          <w:lang w:val="zh-CN"/>
        </w:rPr>
      </w:pPr>
    </w:p>
    <w:p>
      <w:pPr>
        <w:spacing w:line="700" w:lineRule="exact"/>
        <w:ind w:right="-28" w:hanging="482"/>
        <w:jc w:val="center"/>
        <w:rPr>
          <w:b/>
          <w:color w:val="auto"/>
          <w:sz w:val="32"/>
          <w:szCs w:val="32"/>
          <w:highlight w:val="none"/>
        </w:rPr>
      </w:pPr>
      <w:r>
        <w:rPr>
          <w:rFonts w:hint="eastAsia"/>
          <w:b/>
          <w:bCs/>
          <w:color w:val="auto"/>
          <w:sz w:val="32"/>
          <w:szCs w:val="32"/>
          <w:highlight w:val="none"/>
          <w:lang w:val="en-US" w:eastAsia="zh-CN"/>
        </w:rPr>
        <w:t>2024</w:t>
      </w:r>
      <w:r>
        <w:rPr>
          <w:b/>
          <w:bCs/>
          <w:color w:val="auto"/>
          <w:sz w:val="32"/>
          <w:szCs w:val="32"/>
          <w:highlight w:val="none"/>
          <w:lang w:val="zh-CN"/>
        </w:rPr>
        <w:t>年</w:t>
      </w:r>
      <w:r>
        <w:rPr>
          <w:rFonts w:hint="eastAsia"/>
          <w:b/>
          <w:bCs/>
          <w:color w:val="auto"/>
          <w:sz w:val="32"/>
          <w:szCs w:val="32"/>
          <w:highlight w:val="none"/>
          <w:lang w:val="en-US" w:eastAsia="zh-CN"/>
        </w:rPr>
        <w:t>4</w:t>
      </w:r>
      <w:r>
        <w:rPr>
          <w:b/>
          <w:bCs/>
          <w:color w:val="auto"/>
          <w:sz w:val="32"/>
          <w:szCs w:val="32"/>
          <w:highlight w:val="none"/>
          <w:lang w:val="zh-CN"/>
        </w:rPr>
        <w:t>月</w:t>
      </w:r>
      <w:r>
        <w:rPr>
          <w:rFonts w:hint="eastAsia"/>
          <w:b/>
          <w:bCs/>
          <w:color w:val="auto"/>
          <w:sz w:val="32"/>
          <w:szCs w:val="32"/>
          <w:highlight w:val="none"/>
          <w:lang w:val="en-US" w:eastAsia="zh-CN"/>
        </w:rPr>
        <w:t>7</w:t>
      </w:r>
      <w:r>
        <w:rPr>
          <w:b/>
          <w:bCs/>
          <w:color w:val="auto"/>
          <w:sz w:val="32"/>
          <w:szCs w:val="32"/>
          <w:highlight w:val="none"/>
          <w:lang w:val="zh-CN"/>
        </w:rPr>
        <w:t>日</w:t>
      </w:r>
    </w:p>
    <w:p>
      <w:pPr>
        <w:pStyle w:val="31"/>
        <w:jc w:val="center"/>
        <w:rPr>
          <w:rFonts w:ascii="Times New Roman" w:hAnsi="Times New Roman" w:eastAsia="宋体"/>
          <w:b/>
          <w:color w:val="auto"/>
          <w:sz w:val="30"/>
          <w:szCs w:val="30"/>
          <w:highlight w:val="none"/>
          <w:lang w:val="zh-CN"/>
        </w:rPr>
        <w:sectPr>
          <w:headerReference r:id="rId4" w:type="first"/>
          <w:headerReference r:id="rId3" w:type="default"/>
          <w:footerReference r:id="rId5" w:type="default"/>
          <w:pgSz w:w="11906" w:h="16838"/>
          <w:pgMar w:top="1440" w:right="1800" w:bottom="1440" w:left="1800" w:header="851" w:footer="992" w:gutter="0"/>
          <w:pgNumType w:fmt="decimal"/>
          <w:cols w:space="425" w:num="1"/>
          <w:titlePg/>
          <w:docGrid w:type="lines" w:linePitch="312" w:charSpace="0"/>
        </w:sectPr>
      </w:pPr>
    </w:p>
    <w:p>
      <w:pPr>
        <w:pStyle w:val="31"/>
        <w:pageBreakBefore w:val="0"/>
        <w:kinsoku/>
        <w:wordWrap/>
        <w:overflowPunct/>
        <w:topLinePunct w:val="0"/>
        <w:autoSpaceDE/>
        <w:autoSpaceDN/>
        <w:bidi w:val="0"/>
        <w:snapToGrid w:val="0"/>
        <w:spacing w:before="0" w:after="0" w:line="312" w:lineRule="auto"/>
        <w:jc w:val="center"/>
        <w:rPr>
          <w:rFonts w:ascii="Times New Roman" w:hAnsi="Times New Roman" w:eastAsia="宋体"/>
          <w:b/>
          <w:color w:val="auto"/>
          <w:sz w:val="30"/>
          <w:szCs w:val="30"/>
          <w:highlight w:val="none"/>
        </w:rPr>
      </w:pPr>
      <w:r>
        <w:rPr>
          <w:rFonts w:ascii="Times New Roman" w:hAnsi="Times New Roman" w:eastAsia="宋体"/>
          <w:b/>
          <w:color w:val="auto"/>
          <w:sz w:val="30"/>
          <w:szCs w:val="30"/>
          <w:highlight w:val="none"/>
          <w:lang w:val="zh-CN"/>
        </w:rPr>
        <w:t>目录</w:t>
      </w:r>
    </w:p>
    <w:p>
      <w:pPr>
        <w:pStyle w:val="11"/>
        <w:pageBreakBefore w:val="0"/>
        <w:tabs>
          <w:tab w:val="right" w:leader="dot" w:pos="8306"/>
          <w:tab w:val="clear" w:pos="1260"/>
          <w:tab w:val="clear" w:pos="8722"/>
        </w:tabs>
        <w:kinsoku/>
        <w:wordWrap/>
        <w:overflowPunct/>
        <w:topLinePunct w:val="0"/>
        <w:bidi w:val="0"/>
        <w:snapToGrid w:val="0"/>
        <w:spacing w:line="312" w:lineRule="auto"/>
        <w:rPr>
          <w:color w:val="auto"/>
        </w:rPr>
      </w:pPr>
      <w:r>
        <w:rPr>
          <w:rFonts w:eastAsiaTheme="minorEastAsia"/>
          <w:color w:val="auto"/>
          <w:sz w:val="21"/>
          <w:szCs w:val="21"/>
          <w:highlight w:val="none"/>
        </w:rPr>
        <w:fldChar w:fldCharType="begin"/>
      </w:r>
      <w:r>
        <w:rPr>
          <w:rFonts w:eastAsiaTheme="minorEastAsia"/>
          <w:color w:val="auto"/>
          <w:sz w:val="21"/>
          <w:szCs w:val="21"/>
          <w:highlight w:val="none"/>
        </w:rPr>
        <w:instrText xml:space="preserve"> TOC \o "1-3" \h \z \u </w:instrText>
      </w:r>
      <w:r>
        <w:rPr>
          <w:rFonts w:eastAsiaTheme="minorEastAsia"/>
          <w:color w:val="auto"/>
          <w:sz w:val="21"/>
          <w:szCs w:val="21"/>
          <w:highlight w:val="none"/>
        </w:rPr>
        <w:fldChar w:fldCharType="separate"/>
      </w:r>
      <w:r>
        <w:rPr>
          <w:rFonts w:eastAsiaTheme="minorEastAsia"/>
          <w:bCs/>
          <w:color w:val="auto"/>
          <w:szCs w:val="21"/>
          <w:highlight w:val="none"/>
          <w:lang w:val="zh-CN"/>
        </w:rPr>
        <w:fldChar w:fldCharType="begin"/>
      </w:r>
      <w:r>
        <w:rPr>
          <w:rFonts w:eastAsiaTheme="minorEastAsia"/>
          <w:bCs/>
          <w:color w:val="auto"/>
          <w:szCs w:val="21"/>
          <w:highlight w:val="none"/>
          <w:lang w:val="zh-CN"/>
        </w:rPr>
        <w:instrText xml:space="preserve"> HYPERLINK \l _Toc17924 </w:instrText>
      </w:r>
      <w:r>
        <w:rPr>
          <w:rFonts w:eastAsiaTheme="minorEastAsia"/>
          <w:bCs/>
          <w:color w:val="auto"/>
          <w:szCs w:val="21"/>
          <w:highlight w:val="none"/>
          <w:lang w:val="zh-CN"/>
        </w:rPr>
        <w:fldChar w:fldCharType="separate"/>
      </w:r>
      <w:r>
        <w:rPr>
          <w:rFonts w:ascii="Times New Roman" w:hAnsi="Times New Roman"/>
          <w:bCs/>
          <w:color w:val="auto"/>
          <w:szCs w:val="30"/>
          <w:highlight w:val="none"/>
          <w:lang w:val="zh-CN"/>
        </w:rPr>
        <w:t>第一篇</w:t>
      </w:r>
      <w:r>
        <w:rPr>
          <w:rFonts w:hint="eastAsia" w:ascii="Times New Roman" w:hAnsi="Times New Roman"/>
          <w:bCs/>
          <w:color w:val="auto"/>
          <w:szCs w:val="30"/>
          <w:highlight w:val="none"/>
          <w:lang w:val="en-US" w:eastAsia="zh-CN"/>
        </w:rPr>
        <w:t xml:space="preserve"> </w:t>
      </w:r>
      <w:r>
        <w:rPr>
          <w:rFonts w:hint="eastAsia"/>
          <w:bCs/>
          <w:color w:val="auto"/>
          <w:szCs w:val="30"/>
          <w:highlight w:val="none"/>
          <w:lang w:val="en-US" w:eastAsia="zh-CN"/>
        </w:rPr>
        <w:t>询价公告</w:t>
      </w:r>
      <w:r>
        <w:rPr>
          <w:color w:val="auto"/>
        </w:rPr>
        <w:tab/>
      </w:r>
      <w:r>
        <w:rPr>
          <w:color w:val="auto"/>
        </w:rPr>
        <w:fldChar w:fldCharType="begin"/>
      </w:r>
      <w:r>
        <w:rPr>
          <w:color w:val="auto"/>
        </w:rPr>
        <w:instrText xml:space="preserve"> PAGEREF _Toc17924 \h </w:instrText>
      </w:r>
      <w:r>
        <w:rPr>
          <w:color w:val="auto"/>
        </w:rPr>
        <w:fldChar w:fldCharType="separate"/>
      </w:r>
      <w:r>
        <w:rPr>
          <w:color w:val="auto"/>
        </w:rPr>
        <w:t>3</w:t>
      </w:r>
      <w:r>
        <w:rPr>
          <w:color w:val="auto"/>
        </w:rPr>
        <w:fldChar w:fldCharType="end"/>
      </w:r>
      <w:r>
        <w:rPr>
          <w:rFonts w:eastAsiaTheme="minorEastAsia"/>
          <w:bCs/>
          <w:color w:val="auto"/>
          <w:szCs w:val="21"/>
          <w:highlight w:val="none"/>
          <w:lang w:val="zh-CN"/>
        </w:rPr>
        <w:fldChar w:fldCharType="end"/>
      </w:r>
    </w:p>
    <w:p>
      <w:pPr>
        <w:pStyle w:val="11"/>
        <w:pageBreakBefore w:val="0"/>
        <w:tabs>
          <w:tab w:val="right" w:leader="dot" w:pos="8306"/>
          <w:tab w:val="clear" w:pos="1260"/>
          <w:tab w:val="clear" w:pos="8722"/>
        </w:tabs>
        <w:kinsoku/>
        <w:wordWrap/>
        <w:overflowPunct/>
        <w:topLinePunct w:val="0"/>
        <w:bidi w:val="0"/>
        <w:snapToGrid w:val="0"/>
        <w:spacing w:line="312" w:lineRule="auto"/>
        <w:rPr>
          <w:color w:val="auto"/>
        </w:rPr>
      </w:pPr>
      <w:r>
        <w:rPr>
          <w:rFonts w:eastAsiaTheme="minorEastAsia"/>
          <w:bCs/>
          <w:color w:val="auto"/>
          <w:szCs w:val="21"/>
          <w:highlight w:val="none"/>
          <w:lang w:val="zh-CN"/>
        </w:rPr>
        <w:fldChar w:fldCharType="begin"/>
      </w:r>
      <w:r>
        <w:rPr>
          <w:rFonts w:eastAsiaTheme="minorEastAsia"/>
          <w:bCs/>
          <w:color w:val="auto"/>
          <w:szCs w:val="21"/>
          <w:highlight w:val="none"/>
          <w:lang w:val="zh-CN"/>
        </w:rPr>
        <w:instrText xml:space="preserve"> HYPERLINK \l _Toc20918 </w:instrText>
      </w:r>
      <w:r>
        <w:rPr>
          <w:rFonts w:eastAsiaTheme="minorEastAsia"/>
          <w:bCs/>
          <w:color w:val="auto"/>
          <w:szCs w:val="21"/>
          <w:highlight w:val="none"/>
          <w:lang w:val="zh-CN"/>
        </w:rPr>
        <w:fldChar w:fldCharType="separate"/>
      </w:r>
      <w:r>
        <w:rPr>
          <w:rFonts w:hint="eastAsia" w:ascii="宋体" w:hAnsi="宋体" w:eastAsia="宋体" w:cs="宋体"/>
          <w:color w:val="auto"/>
          <w:szCs w:val="30"/>
          <w:highlight w:val="none"/>
          <w:lang w:val="zh-CN"/>
        </w:rPr>
        <w:t>第二篇</w:t>
      </w:r>
      <w:r>
        <w:rPr>
          <w:rFonts w:hint="eastAsia" w:ascii="宋体" w:hAnsi="宋体" w:eastAsia="宋体" w:cs="宋体"/>
          <w:color w:val="auto"/>
          <w:szCs w:val="30"/>
          <w:highlight w:val="none"/>
          <w:lang w:val="en-US" w:eastAsia="zh-CN"/>
        </w:rPr>
        <w:t xml:space="preserve"> </w:t>
      </w:r>
      <w:r>
        <w:rPr>
          <w:rFonts w:hint="eastAsia" w:ascii="宋体" w:hAnsi="宋体" w:eastAsia="宋体" w:cs="宋体"/>
          <w:color w:val="auto"/>
          <w:szCs w:val="30"/>
          <w:highlight w:val="none"/>
          <w:lang w:val="zh-CN"/>
        </w:rPr>
        <w:t>报价人须知</w:t>
      </w:r>
      <w:r>
        <w:rPr>
          <w:color w:val="auto"/>
        </w:rPr>
        <w:tab/>
      </w:r>
      <w:r>
        <w:rPr>
          <w:color w:val="auto"/>
        </w:rPr>
        <w:fldChar w:fldCharType="begin"/>
      </w:r>
      <w:r>
        <w:rPr>
          <w:color w:val="auto"/>
        </w:rPr>
        <w:instrText xml:space="preserve"> PAGEREF _Toc20918 \h </w:instrText>
      </w:r>
      <w:r>
        <w:rPr>
          <w:color w:val="auto"/>
        </w:rPr>
        <w:fldChar w:fldCharType="separate"/>
      </w:r>
      <w:r>
        <w:rPr>
          <w:color w:val="auto"/>
        </w:rPr>
        <w:t>6</w:t>
      </w:r>
      <w:r>
        <w:rPr>
          <w:color w:val="auto"/>
        </w:rPr>
        <w:fldChar w:fldCharType="end"/>
      </w:r>
      <w:r>
        <w:rPr>
          <w:rFonts w:eastAsiaTheme="minorEastAsia"/>
          <w:bCs/>
          <w:color w:val="auto"/>
          <w:szCs w:val="21"/>
          <w:highlight w:val="none"/>
          <w:lang w:val="zh-CN"/>
        </w:rPr>
        <w:fldChar w:fldCharType="end"/>
      </w:r>
    </w:p>
    <w:p>
      <w:pPr>
        <w:pStyle w:val="12"/>
        <w:pageBreakBefore w:val="0"/>
        <w:tabs>
          <w:tab w:val="right" w:leader="dot" w:pos="8306"/>
          <w:tab w:val="clear" w:pos="8722"/>
        </w:tabs>
        <w:kinsoku/>
        <w:wordWrap/>
        <w:overflowPunct/>
        <w:topLinePunct w:val="0"/>
        <w:bidi w:val="0"/>
        <w:snapToGrid w:val="0"/>
        <w:spacing w:before="0" w:after="0" w:line="312" w:lineRule="auto"/>
        <w:rPr>
          <w:color w:val="auto"/>
        </w:rPr>
      </w:pPr>
      <w:r>
        <w:rPr>
          <w:rFonts w:eastAsiaTheme="minorEastAsia"/>
          <w:bCs/>
          <w:color w:val="auto"/>
          <w:szCs w:val="21"/>
          <w:highlight w:val="none"/>
          <w:lang w:val="zh-CN"/>
        </w:rPr>
        <w:fldChar w:fldCharType="begin"/>
      </w:r>
      <w:r>
        <w:rPr>
          <w:rFonts w:eastAsiaTheme="minorEastAsia"/>
          <w:bCs/>
          <w:color w:val="auto"/>
          <w:szCs w:val="21"/>
          <w:highlight w:val="none"/>
          <w:lang w:val="zh-CN"/>
        </w:rPr>
        <w:instrText xml:space="preserve"> HYPERLINK \l _Toc14808 </w:instrText>
      </w:r>
      <w:r>
        <w:rPr>
          <w:rFonts w:eastAsiaTheme="minorEastAsia"/>
          <w:bCs/>
          <w:color w:val="auto"/>
          <w:szCs w:val="21"/>
          <w:highlight w:val="none"/>
          <w:lang w:val="zh-CN"/>
        </w:rPr>
        <w:fldChar w:fldCharType="separate"/>
      </w:r>
      <w:r>
        <w:rPr>
          <w:rFonts w:hint="eastAsia" w:asciiTheme="minorEastAsia" w:hAnsiTheme="minorEastAsia" w:eastAsiaTheme="minorEastAsia"/>
          <w:color w:val="auto"/>
          <w:szCs w:val="21"/>
          <w:highlight w:val="none"/>
          <w:lang w:val="en-US" w:eastAsia="zh-CN"/>
        </w:rPr>
        <w:t xml:space="preserve">1   </w:t>
      </w:r>
      <w:r>
        <w:rPr>
          <w:rFonts w:hint="eastAsia" w:asciiTheme="minorEastAsia" w:hAnsiTheme="minorEastAsia" w:eastAsiaTheme="minorEastAsia"/>
          <w:color w:val="auto"/>
          <w:szCs w:val="21"/>
          <w:highlight w:val="none"/>
          <w:lang w:val="zh-CN"/>
        </w:rPr>
        <w:t>资金来源：企业自筹资金。</w:t>
      </w:r>
      <w:r>
        <w:rPr>
          <w:color w:val="auto"/>
        </w:rPr>
        <w:tab/>
      </w:r>
      <w:r>
        <w:rPr>
          <w:color w:val="auto"/>
        </w:rPr>
        <w:fldChar w:fldCharType="begin"/>
      </w:r>
      <w:r>
        <w:rPr>
          <w:color w:val="auto"/>
        </w:rPr>
        <w:instrText xml:space="preserve"> PAGEREF _Toc14808 \h </w:instrText>
      </w:r>
      <w:r>
        <w:rPr>
          <w:color w:val="auto"/>
        </w:rPr>
        <w:fldChar w:fldCharType="separate"/>
      </w:r>
      <w:r>
        <w:rPr>
          <w:color w:val="auto"/>
        </w:rPr>
        <w:t>6</w:t>
      </w:r>
      <w:r>
        <w:rPr>
          <w:color w:val="auto"/>
        </w:rPr>
        <w:fldChar w:fldCharType="end"/>
      </w:r>
      <w:r>
        <w:rPr>
          <w:rFonts w:eastAsiaTheme="minorEastAsia"/>
          <w:bCs/>
          <w:color w:val="auto"/>
          <w:szCs w:val="21"/>
          <w:highlight w:val="none"/>
          <w:lang w:val="zh-CN"/>
        </w:rPr>
        <w:fldChar w:fldCharType="end"/>
      </w:r>
    </w:p>
    <w:p>
      <w:pPr>
        <w:pStyle w:val="12"/>
        <w:pageBreakBefore w:val="0"/>
        <w:tabs>
          <w:tab w:val="right" w:leader="dot" w:pos="8306"/>
          <w:tab w:val="clear" w:pos="8722"/>
        </w:tabs>
        <w:kinsoku/>
        <w:wordWrap/>
        <w:overflowPunct/>
        <w:topLinePunct w:val="0"/>
        <w:bidi w:val="0"/>
        <w:snapToGrid w:val="0"/>
        <w:spacing w:before="0" w:after="0" w:line="312" w:lineRule="auto"/>
        <w:rPr>
          <w:color w:val="auto"/>
        </w:rPr>
      </w:pPr>
      <w:r>
        <w:rPr>
          <w:rFonts w:eastAsiaTheme="minorEastAsia"/>
          <w:bCs/>
          <w:color w:val="auto"/>
          <w:szCs w:val="21"/>
          <w:highlight w:val="none"/>
          <w:lang w:val="zh-CN"/>
        </w:rPr>
        <w:fldChar w:fldCharType="begin"/>
      </w:r>
      <w:r>
        <w:rPr>
          <w:rFonts w:eastAsiaTheme="minorEastAsia"/>
          <w:bCs/>
          <w:color w:val="auto"/>
          <w:szCs w:val="21"/>
          <w:highlight w:val="none"/>
          <w:lang w:val="zh-CN"/>
        </w:rPr>
        <w:instrText xml:space="preserve"> HYPERLINK \l _Toc31525 </w:instrText>
      </w:r>
      <w:r>
        <w:rPr>
          <w:rFonts w:eastAsiaTheme="minorEastAsia"/>
          <w:bCs/>
          <w:color w:val="auto"/>
          <w:szCs w:val="21"/>
          <w:highlight w:val="none"/>
          <w:lang w:val="zh-CN"/>
        </w:rPr>
        <w:fldChar w:fldCharType="separate"/>
      </w:r>
      <w:r>
        <w:rPr>
          <w:rFonts w:hint="eastAsia" w:ascii="宋体" w:hAnsi="宋体" w:eastAsia="宋体" w:cs="宋体"/>
          <w:color w:val="auto"/>
          <w:szCs w:val="21"/>
          <w:highlight w:val="none"/>
          <w:lang w:val="zh-CN" w:eastAsia="zh-CN"/>
        </w:rPr>
        <w:t>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eastAsia="zh-CN"/>
        </w:rPr>
        <w:t>合格的报价人</w:t>
      </w:r>
      <w:r>
        <w:rPr>
          <w:color w:val="auto"/>
        </w:rPr>
        <w:tab/>
      </w:r>
      <w:r>
        <w:rPr>
          <w:color w:val="auto"/>
        </w:rPr>
        <w:fldChar w:fldCharType="begin"/>
      </w:r>
      <w:r>
        <w:rPr>
          <w:color w:val="auto"/>
        </w:rPr>
        <w:instrText xml:space="preserve"> PAGEREF _Toc31525 \h </w:instrText>
      </w:r>
      <w:r>
        <w:rPr>
          <w:color w:val="auto"/>
        </w:rPr>
        <w:fldChar w:fldCharType="separate"/>
      </w:r>
      <w:r>
        <w:rPr>
          <w:color w:val="auto"/>
        </w:rPr>
        <w:t>6</w:t>
      </w:r>
      <w:r>
        <w:rPr>
          <w:color w:val="auto"/>
        </w:rPr>
        <w:fldChar w:fldCharType="end"/>
      </w:r>
      <w:r>
        <w:rPr>
          <w:rFonts w:eastAsiaTheme="minorEastAsia"/>
          <w:bCs/>
          <w:color w:val="auto"/>
          <w:szCs w:val="21"/>
          <w:highlight w:val="none"/>
          <w:lang w:val="zh-CN"/>
        </w:rPr>
        <w:fldChar w:fldCharType="end"/>
      </w:r>
    </w:p>
    <w:p>
      <w:pPr>
        <w:pStyle w:val="12"/>
        <w:pageBreakBefore w:val="0"/>
        <w:tabs>
          <w:tab w:val="right" w:leader="dot" w:pos="8306"/>
          <w:tab w:val="clear" w:pos="8722"/>
        </w:tabs>
        <w:kinsoku/>
        <w:wordWrap/>
        <w:overflowPunct/>
        <w:topLinePunct w:val="0"/>
        <w:bidi w:val="0"/>
        <w:snapToGrid w:val="0"/>
        <w:spacing w:before="0" w:after="0" w:line="312" w:lineRule="auto"/>
        <w:rPr>
          <w:color w:val="auto"/>
        </w:rPr>
      </w:pPr>
      <w:r>
        <w:rPr>
          <w:rFonts w:eastAsiaTheme="minorEastAsia"/>
          <w:bCs/>
          <w:color w:val="auto"/>
          <w:szCs w:val="21"/>
          <w:highlight w:val="none"/>
          <w:lang w:val="zh-CN"/>
        </w:rPr>
        <w:fldChar w:fldCharType="begin"/>
      </w:r>
      <w:r>
        <w:rPr>
          <w:rFonts w:eastAsiaTheme="minorEastAsia"/>
          <w:bCs/>
          <w:color w:val="auto"/>
          <w:szCs w:val="21"/>
          <w:highlight w:val="none"/>
          <w:lang w:val="zh-CN"/>
        </w:rPr>
        <w:instrText xml:space="preserve"> HYPERLINK \l _Toc6675 </w:instrText>
      </w:r>
      <w:r>
        <w:rPr>
          <w:rFonts w:eastAsiaTheme="minorEastAsia"/>
          <w:bCs/>
          <w:color w:val="auto"/>
          <w:szCs w:val="21"/>
          <w:highlight w:val="none"/>
          <w:lang w:val="zh-CN"/>
        </w:rPr>
        <w:fldChar w:fldCharType="separate"/>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lang w:val="zh-CN"/>
        </w:rPr>
        <w:t>合格的货物、服务或工程</w:t>
      </w:r>
      <w:r>
        <w:rPr>
          <w:color w:val="auto"/>
        </w:rPr>
        <w:tab/>
      </w:r>
      <w:r>
        <w:rPr>
          <w:color w:val="auto"/>
        </w:rPr>
        <w:fldChar w:fldCharType="begin"/>
      </w:r>
      <w:r>
        <w:rPr>
          <w:color w:val="auto"/>
        </w:rPr>
        <w:instrText xml:space="preserve"> PAGEREF _Toc6675 \h </w:instrText>
      </w:r>
      <w:r>
        <w:rPr>
          <w:color w:val="auto"/>
        </w:rPr>
        <w:fldChar w:fldCharType="separate"/>
      </w:r>
      <w:r>
        <w:rPr>
          <w:color w:val="auto"/>
        </w:rPr>
        <w:t>6</w:t>
      </w:r>
      <w:r>
        <w:rPr>
          <w:color w:val="auto"/>
        </w:rPr>
        <w:fldChar w:fldCharType="end"/>
      </w:r>
      <w:r>
        <w:rPr>
          <w:rFonts w:eastAsiaTheme="minorEastAsia"/>
          <w:bCs/>
          <w:color w:val="auto"/>
          <w:szCs w:val="21"/>
          <w:highlight w:val="none"/>
          <w:lang w:val="zh-CN"/>
        </w:rPr>
        <w:fldChar w:fldCharType="end"/>
      </w:r>
    </w:p>
    <w:p>
      <w:pPr>
        <w:pStyle w:val="12"/>
        <w:pageBreakBefore w:val="0"/>
        <w:tabs>
          <w:tab w:val="right" w:leader="dot" w:pos="8306"/>
          <w:tab w:val="clear" w:pos="8722"/>
        </w:tabs>
        <w:kinsoku/>
        <w:wordWrap/>
        <w:overflowPunct/>
        <w:topLinePunct w:val="0"/>
        <w:bidi w:val="0"/>
        <w:snapToGrid w:val="0"/>
        <w:spacing w:before="0" w:after="0" w:line="312" w:lineRule="auto"/>
        <w:rPr>
          <w:color w:val="auto"/>
        </w:rPr>
      </w:pPr>
      <w:r>
        <w:rPr>
          <w:rFonts w:eastAsiaTheme="minorEastAsia"/>
          <w:bCs/>
          <w:color w:val="auto"/>
          <w:szCs w:val="21"/>
          <w:highlight w:val="none"/>
          <w:lang w:val="zh-CN"/>
        </w:rPr>
        <w:fldChar w:fldCharType="begin"/>
      </w:r>
      <w:r>
        <w:rPr>
          <w:rFonts w:eastAsiaTheme="minorEastAsia"/>
          <w:bCs/>
          <w:color w:val="auto"/>
          <w:szCs w:val="21"/>
          <w:highlight w:val="none"/>
          <w:lang w:val="zh-CN"/>
        </w:rPr>
        <w:instrText xml:space="preserve"> HYPERLINK \l _Toc25845 </w:instrText>
      </w:r>
      <w:r>
        <w:rPr>
          <w:rFonts w:eastAsiaTheme="minorEastAsia"/>
          <w:bCs/>
          <w:color w:val="auto"/>
          <w:szCs w:val="21"/>
          <w:highlight w:val="none"/>
          <w:lang w:val="zh-CN"/>
        </w:rPr>
        <w:fldChar w:fldCharType="separate"/>
      </w:r>
      <w:r>
        <w:rPr>
          <w:rFonts w:hint="eastAsia" w:ascii="宋体" w:hAnsi="宋体" w:eastAsia="宋体" w:cs="宋体"/>
          <w:color w:val="auto"/>
          <w:szCs w:val="21"/>
          <w:highlight w:val="none"/>
          <w:lang w:val="en-US" w:eastAsia="zh-CN"/>
        </w:rPr>
        <w:t xml:space="preserve">4   </w:t>
      </w:r>
      <w:r>
        <w:rPr>
          <w:rFonts w:hint="eastAsia" w:ascii="宋体" w:hAnsi="宋体" w:eastAsia="宋体" w:cs="宋体"/>
          <w:color w:val="auto"/>
          <w:szCs w:val="21"/>
          <w:highlight w:val="none"/>
          <w:lang w:val="zh-CN"/>
        </w:rPr>
        <w:t>纪律与保密事项</w:t>
      </w:r>
      <w:r>
        <w:rPr>
          <w:color w:val="auto"/>
        </w:rPr>
        <w:tab/>
      </w:r>
      <w:r>
        <w:rPr>
          <w:color w:val="auto"/>
        </w:rPr>
        <w:fldChar w:fldCharType="begin"/>
      </w:r>
      <w:r>
        <w:rPr>
          <w:color w:val="auto"/>
        </w:rPr>
        <w:instrText xml:space="preserve"> PAGEREF _Toc25845 \h </w:instrText>
      </w:r>
      <w:r>
        <w:rPr>
          <w:color w:val="auto"/>
        </w:rPr>
        <w:fldChar w:fldCharType="separate"/>
      </w:r>
      <w:r>
        <w:rPr>
          <w:color w:val="auto"/>
        </w:rPr>
        <w:t>7</w:t>
      </w:r>
      <w:r>
        <w:rPr>
          <w:color w:val="auto"/>
        </w:rPr>
        <w:fldChar w:fldCharType="end"/>
      </w:r>
      <w:r>
        <w:rPr>
          <w:rFonts w:eastAsiaTheme="minorEastAsia"/>
          <w:bCs/>
          <w:color w:val="auto"/>
          <w:szCs w:val="21"/>
          <w:highlight w:val="none"/>
          <w:lang w:val="zh-CN"/>
        </w:rPr>
        <w:fldChar w:fldCharType="end"/>
      </w:r>
    </w:p>
    <w:p>
      <w:pPr>
        <w:pStyle w:val="12"/>
        <w:pageBreakBefore w:val="0"/>
        <w:tabs>
          <w:tab w:val="right" w:leader="dot" w:pos="8306"/>
          <w:tab w:val="clear" w:pos="8722"/>
        </w:tabs>
        <w:kinsoku/>
        <w:wordWrap/>
        <w:overflowPunct/>
        <w:topLinePunct w:val="0"/>
        <w:bidi w:val="0"/>
        <w:snapToGrid w:val="0"/>
        <w:spacing w:before="0" w:after="0" w:line="312" w:lineRule="auto"/>
        <w:rPr>
          <w:color w:val="auto"/>
        </w:rPr>
      </w:pPr>
      <w:r>
        <w:rPr>
          <w:rFonts w:eastAsiaTheme="minorEastAsia"/>
          <w:bCs/>
          <w:color w:val="auto"/>
          <w:szCs w:val="21"/>
          <w:highlight w:val="none"/>
          <w:lang w:val="zh-CN"/>
        </w:rPr>
        <w:fldChar w:fldCharType="begin"/>
      </w:r>
      <w:r>
        <w:rPr>
          <w:rFonts w:eastAsiaTheme="minorEastAsia"/>
          <w:bCs/>
          <w:color w:val="auto"/>
          <w:szCs w:val="21"/>
          <w:highlight w:val="none"/>
          <w:lang w:val="zh-CN"/>
        </w:rPr>
        <w:instrText xml:space="preserve"> HYPERLINK \l _Toc23737 </w:instrText>
      </w:r>
      <w:r>
        <w:rPr>
          <w:rFonts w:eastAsiaTheme="minorEastAsia"/>
          <w:bCs/>
          <w:color w:val="auto"/>
          <w:szCs w:val="21"/>
          <w:highlight w:val="none"/>
          <w:lang w:val="zh-CN"/>
        </w:rPr>
        <w:fldChar w:fldCharType="separate"/>
      </w:r>
      <w:r>
        <w:rPr>
          <w:rFonts w:hint="eastAsia" w:ascii="宋体" w:hAnsi="宋体" w:eastAsia="宋体" w:cs="宋体"/>
          <w:color w:val="auto"/>
          <w:szCs w:val="21"/>
          <w:highlight w:val="none"/>
          <w:lang w:val="en-US" w:eastAsia="zh-CN"/>
        </w:rPr>
        <w:t xml:space="preserve">5   </w:t>
      </w:r>
      <w:r>
        <w:rPr>
          <w:rFonts w:hint="eastAsia" w:ascii="宋体" w:hAnsi="宋体" w:eastAsia="宋体" w:cs="宋体"/>
          <w:color w:val="auto"/>
          <w:szCs w:val="21"/>
          <w:highlight w:val="none"/>
          <w:lang w:val="zh-CN"/>
        </w:rPr>
        <w:t>询价文件</w:t>
      </w:r>
      <w:r>
        <w:rPr>
          <w:color w:val="auto"/>
        </w:rPr>
        <w:tab/>
      </w:r>
      <w:r>
        <w:rPr>
          <w:color w:val="auto"/>
        </w:rPr>
        <w:fldChar w:fldCharType="begin"/>
      </w:r>
      <w:r>
        <w:rPr>
          <w:color w:val="auto"/>
        </w:rPr>
        <w:instrText xml:space="preserve"> PAGEREF _Toc23737 \h </w:instrText>
      </w:r>
      <w:r>
        <w:rPr>
          <w:color w:val="auto"/>
        </w:rPr>
        <w:fldChar w:fldCharType="separate"/>
      </w:r>
      <w:r>
        <w:rPr>
          <w:color w:val="auto"/>
        </w:rPr>
        <w:t>7</w:t>
      </w:r>
      <w:r>
        <w:rPr>
          <w:color w:val="auto"/>
        </w:rPr>
        <w:fldChar w:fldCharType="end"/>
      </w:r>
      <w:r>
        <w:rPr>
          <w:rFonts w:eastAsiaTheme="minorEastAsia"/>
          <w:bCs/>
          <w:color w:val="auto"/>
          <w:szCs w:val="21"/>
          <w:highlight w:val="none"/>
          <w:lang w:val="zh-CN"/>
        </w:rPr>
        <w:fldChar w:fldCharType="end"/>
      </w:r>
    </w:p>
    <w:p>
      <w:pPr>
        <w:pStyle w:val="12"/>
        <w:pageBreakBefore w:val="0"/>
        <w:tabs>
          <w:tab w:val="right" w:leader="dot" w:pos="8306"/>
          <w:tab w:val="clear" w:pos="8722"/>
        </w:tabs>
        <w:kinsoku/>
        <w:wordWrap/>
        <w:overflowPunct/>
        <w:topLinePunct w:val="0"/>
        <w:bidi w:val="0"/>
        <w:snapToGrid w:val="0"/>
        <w:spacing w:before="0" w:after="0" w:line="312" w:lineRule="auto"/>
        <w:rPr>
          <w:color w:val="auto"/>
        </w:rPr>
      </w:pPr>
      <w:r>
        <w:rPr>
          <w:rFonts w:eastAsiaTheme="minorEastAsia"/>
          <w:bCs/>
          <w:color w:val="auto"/>
          <w:szCs w:val="21"/>
          <w:highlight w:val="none"/>
          <w:lang w:val="zh-CN"/>
        </w:rPr>
        <w:fldChar w:fldCharType="begin"/>
      </w:r>
      <w:r>
        <w:rPr>
          <w:rFonts w:eastAsiaTheme="minorEastAsia"/>
          <w:bCs/>
          <w:color w:val="auto"/>
          <w:szCs w:val="21"/>
          <w:highlight w:val="none"/>
          <w:lang w:val="zh-CN"/>
        </w:rPr>
        <w:instrText xml:space="preserve"> HYPERLINK \l _Toc3054 </w:instrText>
      </w:r>
      <w:r>
        <w:rPr>
          <w:rFonts w:eastAsiaTheme="minorEastAsia"/>
          <w:bCs/>
          <w:color w:val="auto"/>
          <w:szCs w:val="21"/>
          <w:highlight w:val="none"/>
          <w:lang w:val="zh-CN"/>
        </w:rPr>
        <w:fldChar w:fldCharType="separate"/>
      </w:r>
      <w:r>
        <w:rPr>
          <w:rFonts w:hint="eastAsia" w:ascii="宋体" w:hAnsi="宋体" w:eastAsia="宋体" w:cs="宋体"/>
          <w:color w:val="auto"/>
          <w:szCs w:val="21"/>
          <w:highlight w:val="none"/>
          <w:lang w:val="en-US" w:eastAsia="zh-CN"/>
        </w:rPr>
        <w:t xml:space="preserve">6   </w:t>
      </w:r>
      <w:r>
        <w:rPr>
          <w:rFonts w:hint="eastAsia" w:ascii="宋体" w:hAnsi="宋体" w:eastAsia="宋体" w:cs="宋体"/>
          <w:color w:val="auto"/>
          <w:szCs w:val="21"/>
          <w:highlight w:val="none"/>
          <w:lang w:val="zh-CN"/>
        </w:rPr>
        <w:t>报价文件</w:t>
      </w:r>
      <w:r>
        <w:rPr>
          <w:color w:val="auto"/>
        </w:rPr>
        <w:tab/>
      </w:r>
      <w:r>
        <w:rPr>
          <w:color w:val="auto"/>
        </w:rPr>
        <w:fldChar w:fldCharType="begin"/>
      </w:r>
      <w:r>
        <w:rPr>
          <w:color w:val="auto"/>
        </w:rPr>
        <w:instrText xml:space="preserve"> PAGEREF _Toc3054 \h </w:instrText>
      </w:r>
      <w:r>
        <w:rPr>
          <w:color w:val="auto"/>
        </w:rPr>
        <w:fldChar w:fldCharType="separate"/>
      </w:r>
      <w:r>
        <w:rPr>
          <w:color w:val="auto"/>
        </w:rPr>
        <w:t>8</w:t>
      </w:r>
      <w:r>
        <w:rPr>
          <w:color w:val="auto"/>
        </w:rPr>
        <w:fldChar w:fldCharType="end"/>
      </w:r>
      <w:r>
        <w:rPr>
          <w:rFonts w:eastAsiaTheme="minorEastAsia"/>
          <w:bCs/>
          <w:color w:val="auto"/>
          <w:szCs w:val="21"/>
          <w:highlight w:val="none"/>
          <w:lang w:val="zh-CN"/>
        </w:rPr>
        <w:fldChar w:fldCharType="end"/>
      </w:r>
    </w:p>
    <w:p>
      <w:pPr>
        <w:pStyle w:val="12"/>
        <w:pageBreakBefore w:val="0"/>
        <w:tabs>
          <w:tab w:val="right" w:leader="dot" w:pos="8306"/>
          <w:tab w:val="clear" w:pos="8722"/>
        </w:tabs>
        <w:kinsoku/>
        <w:wordWrap/>
        <w:overflowPunct/>
        <w:topLinePunct w:val="0"/>
        <w:bidi w:val="0"/>
        <w:snapToGrid w:val="0"/>
        <w:spacing w:before="0" w:after="0" w:line="312" w:lineRule="auto"/>
        <w:rPr>
          <w:color w:val="auto"/>
        </w:rPr>
      </w:pPr>
      <w:r>
        <w:rPr>
          <w:rFonts w:eastAsiaTheme="minorEastAsia"/>
          <w:bCs/>
          <w:color w:val="auto"/>
          <w:szCs w:val="21"/>
          <w:highlight w:val="none"/>
          <w:lang w:val="zh-CN"/>
        </w:rPr>
        <w:fldChar w:fldCharType="begin"/>
      </w:r>
      <w:r>
        <w:rPr>
          <w:rFonts w:eastAsiaTheme="minorEastAsia"/>
          <w:bCs/>
          <w:color w:val="auto"/>
          <w:szCs w:val="21"/>
          <w:highlight w:val="none"/>
          <w:lang w:val="zh-CN"/>
        </w:rPr>
        <w:instrText xml:space="preserve"> HYPERLINK \l _Toc11351 </w:instrText>
      </w:r>
      <w:r>
        <w:rPr>
          <w:rFonts w:eastAsiaTheme="minorEastAsia"/>
          <w:bCs/>
          <w:color w:val="auto"/>
          <w:szCs w:val="21"/>
          <w:highlight w:val="none"/>
          <w:lang w:val="zh-CN"/>
        </w:rPr>
        <w:fldChar w:fldCharType="separate"/>
      </w:r>
      <w:r>
        <w:rPr>
          <w:rFonts w:hint="eastAsia" w:ascii="宋体" w:hAnsi="宋体" w:eastAsia="宋体" w:cs="宋体"/>
          <w:color w:val="auto"/>
          <w:szCs w:val="21"/>
          <w:highlight w:val="none"/>
          <w:lang w:val="zh-CN"/>
        </w:rPr>
        <w:t>7   开封公开报价</w:t>
      </w:r>
      <w:r>
        <w:rPr>
          <w:color w:val="auto"/>
        </w:rPr>
        <w:tab/>
      </w:r>
      <w:r>
        <w:rPr>
          <w:color w:val="auto"/>
        </w:rPr>
        <w:fldChar w:fldCharType="begin"/>
      </w:r>
      <w:r>
        <w:rPr>
          <w:color w:val="auto"/>
        </w:rPr>
        <w:instrText xml:space="preserve"> PAGEREF _Toc11351 \h </w:instrText>
      </w:r>
      <w:r>
        <w:rPr>
          <w:color w:val="auto"/>
        </w:rPr>
        <w:fldChar w:fldCharType="separate"/>
      </w:r>
      <w:r>
        <w:rPr>
          <w:color w:val="auto"/>
        </w:rPr>
        <w:t>10</w:t>
      </w:r>
      <w:r>
        <w:rPr>
          <w:color w:val="auto"/>
        </w:rPr>
        <w:fldChar w:fldCharType="end"/>
      </w:r>
      <w:r>
        <w:rPr>
          <w:rFonts w:eastAsiaTheme="minorEastAsia"/>
          <w:bCs/>
          <w:color w:val="auto"/>
          <w:szCs w:val="21"/>
          <w:highlight w:val="none"/>
          <w:lang w:val="zh-CN"/>
        </w:rPr>
        <w:fldChar w:fldCharType="end"/>
      </w:r>
    </w:p>
    <w:p>
      <w:pPr>
        <w:pStyle w:val="12"/>
        <w:pageBreakBefore w:val="0"/>
        <w:tabs>
          <w:tab w:val="right" w:leader="dot" w:pos="8306"/>
          <w:tab w:val="clear" w:pos="8722"/>
        </w:tabs>
        <w:kinsoku/>
        <w:wordWrap/>
        <w:overflowPunct/>
        <w:topLinePunct w:val="0"/>
        <w:bidi w:val="0"/>
        <w:snapToGrid w:val="0"/>
        <w:spacing w:before="0" w:after="0" w:line="312" w:lineRule="auto"/>
        <w:rPr>
          <w:color w:val="auto"/>
        </w:rPr>
      </w:pPr>
      <w:r>
        <w:rPr>
          <w:rFonts w:eastAsiaTheme="minorEastAsia"/>
          <w:bCs/>
          <w:color w:val="auto"/>
          <w:szCs w:val="21"/>
          <w:highlight w:val="none"/>
          <w:lang w:val="zh-CN"/>
        </w:rPr>
        <w:fldChar w:fldCharType="begin"/>
      </w:r>
      <w:r>
        <w:rPr>
          <w:rFonts w:eastAsiaTheme="minorEastAsia"/>
          <w:bCs/>
          <w:color w:val="auto"/>
          <w:szCs w:val="21"/>
          <w:highlight w:val="none"/>
          <w:lang w:val="zh-CN"/>
        </w:rPr>
        <w:instrText xml:space="preserve"> HYPERLINK \l _Toc19964 </w:instrText>
      </w:r>
      <w:r>
        <w:rPr>
          <w:rFonts w:eastAsiaTheme="minorEastAsia"/>
          <w:bCs/>
          <w:color w:val="auto"/>
          <w:szCs w:val="21"/>
          <w:highlight w:val="none"/>
          <w:lang w:val="zh-CN"/>
        </w:rPr>
        <w:fldChar w:fldCharType="separate"/>
      </w:r>
      <w:r>
        <w:rPr>
          <w:rFonts w:hint="eastAsia" w:ascii="宋体" w:hAnsi="宋体" w:eastAsia="宋体" w:cs="宋体"/>
          <w:color w:val="auto"/>
          <w:szCs w:val="21"/>
          <w:highlight w:val="none"/>
          <w:lang w:val="zh-CN"/>
        </w:rPr>
        <w:t>8   询价小组</w:t>
      </w:r>
      <w:r>
        <w:rPr>
          <w:color w:val="auto"/>
        </w:rPr>
        <w:tab/>
      </w:r>
      <w:r>
        <w:rPr>
          <w:color w:val="auto"/>
        </w:rPr>
        <w:fldChar w:fldCharType="begin"/>
      </w:r>
      <w:r>
        <w:rPr>
          <w:color w:val="auto"/>
        </w:rPr>
        <w:instrText xml:space="preserve"> PAGEREF _Toc19964 \h </w:instrText>
      </w:r>
      <w:r>
        <w:rPr>
          <w:color w:val="auto"/>
        </w:rPr>
        <w:fldChar w:fldCharType="separate"/>
      </w:r>
      <w:r>
        <w:rPr>
          <w:color w:val="auto"/>
        </w:rPr>
        <w:t>10</w:t>
      </w:r>
      <w:r>
        <w:rPr>
          <w:color w:val="auto"/>
        </w:rPr>
        <w:fldChar w:fldCharType="end"/>
      </w:r>
      <w:r>
        <w:rPr>
          <w:rFonts w:eastAsiaTheme="minorEastAsia"/>
          <w:bCs/>
          <w:color w:val="auto"/>
          <w:szCs w:val="21"/>
          <w:highlight w:val="none"/>
          <w:lang w:val="zh-CN"/>
        </w:rPr>
        <w:fldChar w:fldCharType="end"/>
      </w:r>
    </w:p>
    <w:p>
      <w:pPr>
        <w:pStyle w:val="12"/>
        <w:pageBreakBefore w:val="0"/>
        <w:tabs>
          <w:tab w:val="right" w:leader="dot" w:pos="8306"/>
          <w:tab w:val="clear" w:pos="8722"/>
        </w:tabs>
        <w:kinsoku/>
        <w:wordWrap/>
        <w:overflowPunct/>
        <w:topLinePunct w:val="0"/>
        <w:bidi w:val="0"/>
        <w:snapToGrid w:val="0"/>
        <w:spacing w:before="0" w:after="0" w:line="312" w:lineRule="auto"/>
        <w:rPr>
          <w:color w:val="auto"/>
        </w:rPr>
      </w:pPr>
      <w:r>
        <w:rPr>
          <w:rFonts w:eastAsiaTheme="minorEastAsia"/>
          <w:bCs/>
          <w:color w:val="auto"/>
          <w:szCs w:val="21"/>
          <w:highlight w:val="none"/>
          <w:lang w:val="zh-CN"/>
        </w:rPr>
        <w:fldChar w:fldCharType="begin"/>
      </w:r>
      <w:r>
        <w:rPr>
          <w:rFonts w:eastAsiaTheme="minorEastAsia"/>
          <w:bCs/>
          <w:color w:val="auto"/>
          <w:szCs w:val="21"/>
          <w:highlight w:val="none"/>
          <w:lang w:val="zh-CN"/>
        </w:rPr>
        <w:instrText xml:space="preserve"> HYPERLINK \l _Toc14625 </w:instrText>
      </w:r>
      <w:r>
        <w:rPr>
          <w:rFonts w:eastAsiaTheme="minorEastAsia"/>
          <w:bCs/>
          <w:color w:val="auto"/>
          <w:szCs w:val="21"/>
          <w:highlight w:val="none"/>
          <w:lang w:val="zh-CN"/>
        </w:rPr>
        <w:fldChar w:fldCharType="separate"/>
      </w:r>
      <w:r>
        <w:rPr>
          <w:rFonts w:hint="eastAsia" w:ascii="宋体" w:hAnsi="宋体" w:eastAsia="宋体" w:cs="宋体"/>
          <w:color w:val="auto"/>
          <w:szCs w:val="21"/>
          <w:highlight w:val="none"/>
          <w:lang w:val="zh-CN"/>
        </w:rPr>
        <w:t>9   评审程序</w:t>
      </w:r>
      <w:r>
        <w:rPr>
          <w:color w:val="auto"/>
        </w:rPr>
        <w:tab/>
      </w:r>
      <w:r>
        <w:rPr>
          <w:color w:val="auto"/>
        </w:rPr>
        <w:fldChar w:fldCharType="begin"/>
      </w:r>
      <w:r>
        <w:rPr>
          <w:color w:val="auto"/>
        </w:rPr>
        <w:instrText xml:space="preserve"> PAGEREF _Toc14625 \h </w:instrText>
      </w:r>
      <w:r>
        <w:rPr>
          <w:color w:val="auto"/>
        </w:rPr>
        <w:fldChar w:fldCharType="separate"/>
      </w:r>
      <w:r>
        <w:rPr>
          <w:color w:val="auto"/>
        </w:rPr>
        <w:t>10</w:t>
      </w:r>
      <w:r>
        <w:rPr>
          <w:color w:val="auto"/>
        </w:rPr>
        <w:fldChar w:fldCharType="end"/>
      </w:r>
      <w:r>
        <w:rPr>
          <w:rFonts w:eastAsiaTheme="minorEastAsia"/>
          <w:bCs/>
          <w:color w:val="auto"/>
          <w:szCs w:val="21"/>
          <w:highlight w:val="none"/>
          <w:lang w:val="zh-CN"/>
        </w:rPr>
        <w:fldChar w:fldCharType="end"/>
      </w:r>
    </w:p>
    <w:p>
      <w:pPr>
        <w:pStyle w:val="12"/>
        <w:pageBreakBefore w:val="0"/>
        <w:tabs>
          <w:tab w:val="right" w:leader="dot" w:pos="8306"/>
          <w:tab w:val="clear" w:pos="8722"/>
        </w:tabs>
        <w:kinsoku/>
        <w:wordWrap/>
        <w:overflowPunct/>
        <w:topLinePunct w:val="0"/>
        <w:bidi w:val="0"/>
        <w:snapToGrid w:val="0"/>
        <w:spacing w:before="0" w:after="0" w:line="312" w:lineRule="auto"/>
        <w:rPr>
          <w:color w:val="auto"/>
        </w:rPr>
      </w:pPr>
      <w:r>
        <w:rPr>
          <w:rFonts w:eastAsiaTheme="minorEastAsia"/>
          <w:bCs/>
          <w:color w:val="auto"/>
          <w:szCs w:val="21"/>
          <w:highlight w:val="none"/>
          <w:lang w:val="zh-CN"/>
        </w:rPr>
        <w:fldChar w:fldCharType="begin"/>
      </w:r>
      <w:r>
        <w:rPr>
          <w:rFonts w:eastAsiaTheme="minorEastAsia"/>
          <w:bCs/>
          <w:color w:val="auto"/>
          <w:szCs w:val="21"/>
          <w:highlight w:val="none"/>
          <w:lang w:val="zh-CN"/>
        </w:rPr>
        <w:instrText xml:space="preserve"> HYPERLINK \l _Toc32184 </w:instrText>
      </w:r>
      <w:r>
        <w:rPr>
          <w:rFonts w:eastAsiaTheme="minorEastAsia"/>
          <w:bCs/>
          <w:color w:val="auto"/>
          <w:szCs w:val="21"/>
          <w:highlight w:val="none"/>
          <w:lang w:val="zh-CN"/>
        </w:rPr>
        <w:fldChar w:fldCharType="separate"/>
      </w:r>
      <w:r>
        <w:rPr>
          <w:rFonts w:hint="eastAsia" w:ascii="宋体" w:hAnsi="宋体" w:eastAsia="宋体" w:cs="宋体"/>
          <w:color w:val="auto"/>
          <w:szCs w:val="21"/>
          <w:highlight w:val="none"/>
          <w:lang w:val="zh-CN"/>
        </w:rPr>
        <w:t>10   评定成交的标准</w:t>
      </w:r>
      <w:r>
        <w:rPr>
          <w:color w:val="auto"/>
        </w:rPr>
        <w:tab/>
      </w:r>
      <w:r>
        <w:rPr>
          <w:color w:val="auto"/>
        </w:rPr>
        <w:fldChar w:fldCharType="begin"/>
      </w:r>
      <w:r>
        <w:rPr>
          <w:color w:val="auto"/>
        </w:rPr>
        <w:instrText xml:space="preserve"> PAGEREF _Toc32184 \h </w:instrText>
      </w:r>
      <w:r>
        <w:rPr>
          <w:color w:val="auto"/>
        </w:rPr>
        <w:fldChar w:fldCharType="separate"/>
      </w:r>
      <w:r>
        <w:rPr>
          <w:color w:val="auto"/>
        </w:rPr>
        <w:t>12</w:t>
      </w:r>
      <w:r>
        <w:rPr>
          <w:color w:val="auto"/>
        </w:rPr>
        <w:fldChar w:fldCharType="end"/>
      </w:r>
      <w:r>
        <w:rPr>
          <w:rFonts w:eastAsiaTheme="minorEastAsia"/>
          <w:bCs/>
          <w:color w:val="auto"/>
          <w:szCs w:val="21"/>
          <w:highlight w:val="none"/>
          <w:lang w:val="zh-CN"/>
        </w:rPr>
        <w:fldChar w:fldCharType="end"/>
      </w:r>
    </w:p>
    <w:p>
      <w:pPr>
        <w:pStyle w:val="12"/>
        <w:pageBreakBefore w:val="0"/>
        <w:tabs>
          <w:tab w:val="right" w:leader="dot" w:pos="8306"/>
          <w:tab w:val="clear" w:pos="8722"/>
        </w:tabs>
        <w:kinsoku/>
        <w:wordWrap/>
        <w:overflowPunct/>
        <w:topLinePunct w:val="0"/>
        <w:bidi w:val="0"/>
        <w:snapToGrid w:val="0"/>
        <w:spacing w:before="0" w:after="0" w:line="312" w:lineRule="auto"/>
        <w:rPr>
          <w:color w:val="auto"/>
        </w:rPr>
      </w:pPr>
      <w:r>
        <w:rPr>
          <w:rFonts w:eastAsiaTheme="minorEastAsia"/>
          <w:bCs/>
          <w:color w:val="auto"/>
          <w:szCs w:val="21"/>
          <w:highlight w:val="none"/>
          <w:lang w:val="zh-CN"/>
        </w:rPr>
        <w:fldChar w:fldCharType="begin"/>
      </w:r>
      <w:r>
        <w:rPr>
          <w:rFonts w:eastAsiaTheme="minorEastAsia"/>
          <w:bCs/>
          <w:color w:val="auto"/>
          <w:szCs w:val="21"/>
          <w:highlight w:val="none"/>
          <w:lang w:val="zh-CN"/>
        </w:rPr>
        <w:instrText xml:space="preserve"> HYPERLINK \l _Toc15066 </w:instrText>
      </w:r>
      <w:r>
        <w:rPr>
          <w:rFonts w:eastAsiaTheme="minorEastAsia"/>
          <w:bCs/>
          <w:color w:val="auto"/>
          <w:szCs w:val="21"/>
          <w:highlight w:val="none"/>
          <w:lang w:val="zh-CN"/>
        </w:rPr>
        <w:fldChar w:fldCharType="separate"/>
      </w:r>
      <w:r>
        <w:rPr>
          <w:rFonts w:hint="eastAsia" w:ascii="宋体" w:hAnsi="宋体" w:eastAsia="宋体" w:cs="宋体"/>
          <w:color w:val="auto"/>
          <w:szCs w:val="21"/>
          <w:highlight w:val="none"/>
          <w:lang w:val="zh-CN"/>
        </w:rPr>
        <w:t>11   采购结果通知及异议、投诉</w:t>
      </w:r>
      <w:r>
        <w:rPr>
          <w:color w:val="auto"/>
        </w:rPr>
        <w:tab/>
      </w:r>
      <w:r>
        <w:rPr>
          <w:color w:val="auto"/>
        </w:rPr>
        <w:fldChar w:fldCharType="begin"/>
      </w:r>
      <w:r>
        <w:rPr>
          <w:color w:val="auto"/>
        </w:rPr>
        <w:instrText xml:space="preserve"> PAGEREF _Toc15066 \h </w:instrText>
      </w:r>
      <w:r>
        <w:rPr>
          <w:color w:val="auto"/>
        </w:rPr>
        <w:fldChar w:fldCharType="separate"/>
      </w:r>
      <w:r>
        <w:rPr>
          <w:color w:val="auto"/>
        </w:rPr>
        <w:t>12</w:t>
      </w:r>
      <w:r>
        <w:rPr>
          <w:color w:val="auto"/>
        </w:rPr>
        <w:fldChar w:fldCharType="end"/>
      </w:r>
      <w:r>
        <w:rPr>
          <w:rFonts w:eastAsiaTheme="minorEastAsia"/>
          <w:bCs/>
          <w:color w:val="auto"/>
          <w:szCs w:val="21"/>
          <w:highlight w:val="none"/>
          <w:lang w:val="zh-CN"/>
        </w:rPr>
        <w:fldChar w:fldCharType="end"/>
      </w:r>
    </w:p>
    <w:p>
      <w:pPr>
        <w:pStyle w:val="12"/>
        <w:pageBreakBefore w:val="0"/>
        <w:tabs>
          <w:tab w:val="right" w:leader="dot" w:pos="8306"/>
          <w:tab w:val="clear" w:pos="8722"/>
        </w:tabs>
        <w:kinsoku/>
        <w:wordWrap/>
        <w:overflowPunct/>
        <w:topLinePunct w:val="0"/>
        <w:bidi w:val="0"/>
        <w:snapToGrid w:val="0"/>
        <w:spacing w:before="0" w:after="0" w:line="312" w:lineRule="auto"/>
        <w:rPr>
          <w:color w:val="auto"/>
        </w:rPr>
      </w:pPr>
      <w:r>
        <w:rPr>
          <w:rFonts w:eastAsiaTheme="minorEastAsia"/>
          <w:bCs/>
          <w:color w:val="auto"/>
          <w:szCs w:val="21"/>
          <w:highlight w:val="none"/>
          <w:lang w:val="zh-CN"/>
        </w:rPr>
        <w:fldChar w:fldCharType="begin"/>
      </w:r>
      <w:r>
        <w:rPr>
          <w:rFonts w:eastAsiaTheme="minorEastAsia"/>
          <w:bCs/>
          <w:color w:val="auto"/>
          <w:szCs w:val="21"/>
          <w:highlight w:val="none"/>
          <w:lang w:val="zh-CN"/>
        </w:rPr>
        <w:instrText xml:space="preserve"> HYPERLINK \l _Toc6340 </w:instrText>
      </w:r>
      <w:r>
        <w:rPr>
          <w:rFonts w:eastAsiaTheme="minorEastAsia"/>
          <w:bCs/>
          <w:color w:val="auto"/>
          <w:szCs w:val="21"/>
          <w:highlight w:val="none"/>
          <w:lang w:val="zh-CN"/>
        </w:rPr>
        <w:fldChar w:fldCharType="separate"/>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 xml:space="preserve">2   </w:t>
      </w:r>
      <w:r>
        <w:rPr>
          <w:rFonts w:hint="eastAsia" w:ascii="宋体" w:hAnsi="宋体" w:eastAsia="宋体" w:cs="宋体"/>
          <w:color w:val="auto"/>
          <w:szCs w:val="21"/>
          <w:highlight w:val="none"/>
          <w:lang w:val="zh-CN"/>
        </w:rPr>
        <w:t>真实性审查</w:t>
      </w:r>
      <w:r>
        <w:rPr>
          <w:color w:val="auto"/>
        </w:rPr>
        <w:tab/>
      </w:r>
      <w:r>
        <w:rPr>
          <w:color w:val="auto"/>
        </w:rPr>
        <w:fldChar w:fldCharType="begin"/>
      </w:r>
      <w:r>
        <w:rPr>
          <w:color w:val="auto"/>
        </w:rPr>
        <w:instrText xml:space="preserve"> PAGEREF _Toc6340 \h </w:instrText>
      </w:r>
      <w:r>
        <w:rPr>
          <w:color w:val="auto"/>
        </w:rPr>
        <w:fldChar w:fldCharType="separate"/>
      </w:r>
      <w:r>
        <w:rPr>
          <w:color w:val="auto"/>
        </w:rPr>
        <w:t>13</w:t>
      </w:r>
      <w:r>
        <w:rPr>
          <w:color w:val="auto"/>
        </w:rPr>
        <w:fldChar w:fldCharType="end"/>
      </w:r>
      <w:r>
        <w:rPr>
          <w:rFonts w:eastAsiaTheme="minorEastAsia"/>
          <w:bCs/>
          <w:color w:val="auto"/>
          <w:szCs w:val="21"/>
          <w:highlight w:val="none"/>
          <w:lang w:val="zh-CN"/>
        </w:rPr>
        <w:fldChar w:fldCharType="end"/>
      </w:r>
    </w:p>
    <w:p>
      <w:pPr>
        <w:pStyle w:val="12"/>
        <w:pageBreakBefore w:val="0"/>
        <w:tabs>
          <w:tab w:val="right" w:leader="dot" w:pos="8306"/>
          <w:tab w:val="clear" w:pos="8722"/>
        </w:tabs>
        <w:kinsoku/>
        <w:wordWrap/>
        <w:overflowPunct/>
        <w:topLinePunct w:val="0"/>
        <w:bidi w:val="0"/>
        <w:snapToGrid w:val="0"/>
        <w:spacing w:before="0" w:after="0" w:line="312" w:lineRule="auto"/>
        <w:rPr>
          <w:color w:val="auto"/>
        </w:rPr>
      </w:pPr>
      <w:r>
        <w:rPr>
          <w:rFonts w:eastAsiaTheme="minorEastAsia"/>
          <w:bCs/>
          <w:color w:val="auto"/>
          <w:szCs w:val="21"/>
          <w:highlight w:val="none"/>
          <w:lang w:val="zh-CN"/>
        </w:rPr>
        <w:fldChar w:fldCharType="begin"/>
      </w:r>
      <w:r>
        <w:rPr>
          <w:rFonts w:eastAsiaTheme="minorEastAsia"/>
          <w:bCs/>
          <w:color w:val="auto"/>
          <w:szCs w:val="21"/>
          <w:highlight w:val="none"/>
          <w:lang w:val="zh-CN"/>
        </w:rPr>
        <w:instrText xml:space="preserve"> HYPERLINK \l _Toc20487 </w:instrText>
      </w:r>
      <w:r>
        <w:rPr>
          <w:rFonts w:eastAsiaTheme="minorEastAsia"/>
          <w:bCs/>
          <w:color w:val="auto"/>
          <w:szCs w:val="21"/>
          <w:highlight w:val="none"/>
          <w:lang w:val="zh-CN"/>
        </w:rPr>
        <w:fldChar w:fldCharType="separate"/>
      </w:r>
      <w:r>
        <w:rPr>
          <w:rFonts w:hint="eastAsia" w:ascii="宋体" w:hAnsi="宋体" w:eastAsia="宋体" w:cs="宋体"/>
          <w:color w:val="auto"/>
          <w:szCs w:val="21"/>
          <w:highlight w:val="none"/>
          <w:lang w:val="zh-CN"/>
        </w:rPr>
        <w:t>13   签署合同</w:t>
      </w:r>
      <w:r>
        <w:rPr>
          <w:color w:val="auto"/>
        </w:rPr>
        <w:tab/>
      </w:r>
      <w:r>
        <w:rPr>
          <w:color w:val="auto"/>
        </w:rPr>
        <w:fldChar w:fldCharType="begin"/>
      </w:r>
      <w:r>
        <w:rPr>
          <w:color w:val="auto"/>
        </w:rPr>
        <w:instrText xml:space="preserve"> PAGEREF _Toc20487 \h </w:instrText>
      </w:r>
      <w:r>
        <w:rPr>
          <w:color w:val="auto"/>
        </w:rPr>
        <w:fldChar w:fldCharType="separate"/>
      </w:r>
      <w:r>
        <w:rPr>
          <w:color w:val="auto"/>
        </w:rPr>
        <w:t>14</w:t>
      </w:r>
      <w:r>
        <w:rPr>
          <w:color w:val="auto"/>
        </w:rPr>
        <w:fldChar w:fldCharType="end"/>
      </w:r>
      <w:r>
        <w:rPr>
          <w:rFonts w:eastAsiaTheme="minorEastAsia"/>
          <w:bCs/>
          <w:color w:val="auto"/>
          <w:szCs w:val="21"/>
          <w:highlight w:val="none"/>
          <w:lang w:val="zh-CN"/>
        </w:rPr>
        <w:fldChar w:fldCharType="end"/>
      </w:r>
    </w:p>
    <w:p>
      <w:pPr>
        <w:pStyle w:val="12"/>
        <w:pageBreakBefore w:val="0"/>
        <w:tabs>
          <w:tab w:val="right" w:leader="dot" w:pos="8306"/>
          <w:tab w:val="clear" w:pos="8722"/>
        </w:tabs>
        <w:kinsoku/>
        <w:wordWrap/>
        <w:overflowPunct/>
        <w:topLinePunct w:val="0"/>
        <w:bidi w:val="0"/>
        <w:snapToGrid w:val="0"/>
        <w:spacing w:before="0" w:after="0" w:line="312" w:lineRule="auto"/>
        <w:rPr>
          <w:color w:val="auto"/>
        </w:rPr>
      </w:pPr>
      <w:r>
        <w:rPr>
          <w:rFonts w:eastAsiaTheme="minorEastAsia"/>
          <w:bCs/>
          <w:color w:val="auto"/>
          <w:szCs w:val="21"/>
          <w:highlight w:val="none"/>
          <w:lang w:val="zh-CN"/>
        </w:rPr>
        <w:fldChar w:fldCharType="begin"/>
      </w:r>
      <w:r>
        <w:rPr>
          <w:rFonts w:eastAsiaTheme="minorEastAsia"/>
          <w:bCs/>
          <w:color w:val="auto"/>
          <w:szCs w:val="21"/>
          <w:highlight w:val="none"/>
          <w:lang w:val="zh-CN"/>
        </w:rPr>
        <w:instrText xml:space="preserve"> HYPERLINK \l _Toc17515 </w:instrText>
      </w:r>
      <w:r>
        <w:rPr>
          <w:rFonts w:eastAsiaTheme="minorEastAsia"/>
          <w:bCs/>
          <w:color w:val="auto"/>
          <w:szCs w:val="21"/>
          <w:highlight w:val="none"/>
          <w:lang w:val="zh-CN"/>
        </w:rPr>
        <w:fldChar w:fldCharType="separate"/>
      </w:r>
      <w:r>
        <w:rPr>
          <w:rFonts w:hint="eastAsia" w:ascii="宋体" w:hAnsi="宋体" w:eastAsia="宋体" w:cs="宋体"/>
          <w:color w:val="auto"/>
          <w:szCs w:val="21"/>
          <w:highlight w:val="none"/>
          <w:lang w:val="zh-CN"/>
        </w:rPr>
        <w:t>14   发票</w:t>
      </w:r>
      <w:r>
        <w:rPr>
          <w:color w:val="auto"/>
        </w:rPr>
        <w:tab/>
      </w:r>
      <w:r>
        <w:rPr>
          <w:color w:val="auto"/>
        </w:rPr>
        <w:fldChar w:fldCharType="begin"/>
      </w:r>
      <w:r>
        <w:rPr>
          <w:color w:val="auto"/>
        </w:rPr>
        <w:instrText xml:space="preserve"> PAGEREF _Toc17515 \h </w:instrText>
      </w:r>
      <w:r>
        <w:rPr>
          <w:color w:val="auto"/>
        </w:rPr>
        <w:fldChar w:fldCharType="separate"/>
      </w:r>
      <w:r>
        <w:rPr>
          <w:color w:val="auto"/>
        </w:rPr>
        <w:t>14</w:t>
      </w:r>
      <w:r>
        <w:rPr>
          <w:color w:val="auto"/>
        </w:rPr>
        <w:fldChar w:fldCharType="end"/>
      </w:r>
      <w:r>
        <w:rPr>
          <w:rFonts w:eastAsiaTheme="minorEastAsia"/>
          <w:bCs/>
          <w:color w:val="auto"/>
          <w:szCs w:val="21"/>
          <w:highlight w:val="none"/>
          <w:lang w:val="zh-CN"/>
        </w:rPr>
        <w:fldChar w:fldCharType="end"/>
      </w:r>
    </w:p>
    <w:p>
      <w:pPr>
        <w:pStyle w:val="12"/>
        <w:pageBreakBefore w:val="0"/>
        <w:tabs>
          <w:tab w:val="right" w:leader="dot" w:pos="8306"/>
          <w:tab w:val="clear" w:pos="8722"/>
        </w:tabs>
        <w:kinsoku/>
        <w:wordWrap/>
        <w:overflowPunct/>
        <w:topLinePunct w:val="0"/>
        <w:bidi w:val="0"/>
        <w:snapToGrid w:val="0"/>
        <w:spacing w:before="0" w:after="0" w:line="312" w:lineRule="auto"/>
        <w:rPr>
          <w:color w:val="auto"/>
        </w:rPr>
      </w:pPr>
      <w:r>
        <w:rPr>
          <w:rFonts w:eastAsiaTheme="minorEastAsia"/>
          <w:bCs/>
          <w:color w:val="auto"/>
          <w:szCs w:val="21"/>
          <w:highlight w:val="none"/>
          <w:lang w:val="zh-CN"/>
        </w:rPr>
        <w:fldChar w:fldCharType="begin"/>
      </w:r>
      <w:r>
        <w:rPr>
          <w:rFonts w:eastAsiaTheme="minorEastAsia"/>
          <w:bCs/>
          <w:color w:val="auto"/>
          <w:szCs w:val="21"/>
          <w:highlight w:val="none"/>
          <w:lang w:val="zh-CN"/>
        </w:rPr>
        <w:instrText xml:space="preserve"> HYPERLINK \l _Toc12589 </w:instrText>
      </w:r>
      <w:r>
        <w:rPr>
          <w:rFonts w:eastAsiaTheme="minorEastAsia"/>
          <w:bCs/>
          <w:color w:val="auto"/>
          <w:szCs w:val="21"/>
          <w:highlight w:val="none"/>
          <w:lang w:val="zh-CN"/>
        </w:rPr>
        <w:fldChar w:fldCharType="separate"/>
      </w:r>
      <w:r>
        <w:rPr>
          <w:rFonts w:hint="eastAsia" w:ascii="宋体" w:hAnsi="宋体" w:eastAsia="宋体" w:cs="宋体"/>
          <w:color w:val="auto"/>
          <w:szCs w:val="21"/>
          <w:highlight w:val="none"/>
          <w:lang w:val="zh-CN"/>
        </w:rPr>
        <w:t>15   其他说明</w:t>
      </w:r>
      <w:r>
        <w:rPr>
          <w:color w:val="auto"/>
        </w:rPr>
        <w:tab/>
      </w:r>
      <w:r>
        <w:rPr>
          <w:color w:val="auto"/>
        </w:rPr>
        <w:fldChar w:fldCharType="begin"/>
      </w:r>
      <w:r>
        <w:rPr>
          <w:color w:val="auto"/>
        </w:rPr>
        <w:instrText xml:space="preserve"> PAGEREF _Toc12589 \h </w:instrText>
      </w:r>
      <w:r>
        <w:rPr>
          <w:color w:val="auto"/>
        </w:rPr>
        <w:fldChar w:fldCharType="separate"/>
      </w:r>
      <w:r>
        <w:rPr>
          <w:color w:val="auto"/>
        </w:rPr>
        <w:t>14</w:t>
      </w:r>
      <w:r>
        <w:rPr>
          <w:color w:val="auto"/>
        </w:rPr>
        <w:fldChar w:fldCharType="end"/>
      </w:r>
      <w:r>
        <w:rPr>
          <w:rFonts w:eastAsiaTheme="minorEastAsia"/>
          <w:bCs/>
          <w:color w:val="auto"/>
          <w:szCs w:val="21"/>
          <w:highlight w:val="none"/>
          <w:lang w:val="zh-CN"/>
        </w:rPr>
        <w:fldChar w:fldCharType="end"/>
      </w:r>
    </w:p>
    <w:p>
      <w:pPr>
        <w:pStyle w:val="11"/>
        <w:pageBreakBefore w:val="0"/>
        <w:tabs>
          <w:tab w:val="right" w:leader="dot" w:pos="8306"/>
          <w:tab w:val="clear" w:pos="1260"/>
          <w:tab w:val="clear" w:pos="8722"/>
        </w:tabs>
        <w:kinsoku/>
        <w:wordWrap/>
        <w:overflowPunct/>
        <w:topLinePunct w:val="0"/>
        <w:bidi w:val="0"/>
        <w:snapToGrid w:val="0"/>
        <w:spacing w:line="312" w:lineRule="auto"/>
        <w:rPr>
          <w:color w:val="auto"/>
        </w:rPr>
      </w:pPr>
      <w:r>
        <w:rPr>
          <w:rFonts w:eastAsiaTheme="minorEastAsia"/>
          <w:bCs/>
          <w:color w:val="auto"/>
          <w:szCs w:val="21"/>
          <w:highlight w:val="none"/>
          <w:lang w:val="zh-CN"/>
        </w:rPr>
        <w:fldChar w:fldCharType="begin"/>
      </w:r>
      <w:r>
        <w:rPr>
          <w:rFonts w:eastAsiaTheme="minorEastAsia"/>
          <w:bCs/>
          <w:color w:val="auto"/>
          <w:szCs w:val="21"/>
          <w:highlight w:val="none"/>
          <w:lang w:val="zh-CN"/>
        </w:rPr>
        <w:instrText xml:space="preserve"> HYPERLINK \l _Toc972 </w:instrText>
      </w:r>
      <w:r>
        <w:rPr>
          <w:rFonts w:eastAsiaTheme="minorEastAsia"/>
          <w:bCs/>
          <w:color w:val="auto"/>
          <w:szCs w:val="21"/>
          <w:highlight w:val="none"/>
          <w:lang w:val="zh-CN"/>
        </w:rPr>
        <w:fldChar w:fldCharType="separate"/>
      </w:r>
      <w:r>
        <w:rPr>
          <w:rFonts w:hint="eastAsia" w:ascii="宋体" w:hAnsi="宋体" w:eastAsia="宋体" w:cs="宋体"/>
          <w:color w:val="auto"/>
          <w:szCs w:val="30"/>
          <w:highlight w:val="none"/>
          <w:lang w:val="zh-CN"/>
        </w:rPr>
        <w:t>第三篇</w:t>
      </w:r>
      <w:r>
        <w:rPr>
          <w:rFonts w:hint="eastAsia" w:ascii="宋体" w:hAnsi="宋体" w:eastAsia="宋体" w:cs="宋体"/>
          <w:color w:val="auto"/>
          <w:szCs w:val="30"/>
          <w:highlight w:val="none"/>
          <w:lang w:val="en-US" w:eastAsia="zh-CN"/>
        </w:rPr>
        <w:t xml:space="preserve"> </w:t>
      </w:r>
      <w:r>
        <w:rPr>
          <w:rFonts w:hint="eastAsia" w:ascii="宋体" w:hAnsi="宋体" w:eastAsia="宋体" w:cs="宋体"/>
          <w:color w:val="auto"/>
          <w:szCs w:val="30"/>
          <w:highlight w:val="none"/>
          <w:lang w:val="zh-CN"/>
        </w:rPr>
        <w:t>用户需求书</w:t>
      </w:r>
      <w:r>
        <w:rPr>
          <w:color w:val="auto"/>
        </w:rPr>
        <w:tab/>
      </w:r>
      <w:r>
        <w:rPr>
          <w:color w:val="auto"/>
        </w:rPr>
        <w:fldChar w:fldCharType="begin"/>
      </w:r>
      <w:r>
        <w:rPr>
          <w:color w:val="auto"/>
        </w:rPr>
        <w:instrText xml:space="preserve"> PAGEREF _Toc972 \h </w:instrText>
      </w:r>
      <w:r>
        <w:rPr>
          <w:color w:val="auto"/>
        </w:rPr>
        <w:fldChar w:fldCharType="separate"/>
      </w:r>
      <w:r>
        <w:rPr>
          <w:color w:val="auto"/>
        </w:rPr>
        <w:t>16</w:t>
      </w:r>
      <w:r>
        <w:rPr>
          <w:color w:val="auto"/>
        </w:rPr>
        <w:fldChar w:fldCharType="end"/>
      </w:r>
      <w:r>
        <w:rPr>
          <w:rFonts w:eastAsiaTheme="minorEastAsia"/>
          <w:bCs/>
          <w:color w:val="auto"/>
          <w:szCs w:val="21"/>
          <w:highlight w:val="none"/>
          <w:lang w:val="zh-CN"/>
        </w:rPr>
        <w:fldChar w:fldCharType="end"/>
      </w:r>
    </w:p>
    <w:p>
      <w:pPr>
        <w:pStyle w:val="11"/>
        <w:pageBreakBefore w:val="0"/>
        <w:tabs>
          <w:tab w:val="right" w:leader="dot" w:pos="8306"/>
          <w:tab w:val="clear" w:pos="1260"/>
          <w:tab w:val="clear" w:pos="8722"/>
        </w:tabs>
        <w:kinsoku/>
        <w:wordWrap/>
        <w:overflowPunct/>
        <w:topLinePunct w:val="0"/>
        <w:bidi w:val="0"/>
        <w:snapToGrid w:val="0"/>
        <w:spacing w:line="312" w:lineRule="auto"/>
        <w:rPr>
          <w:color w:val="auto"/>
        </w:rPr>
      </w:pPr>
      <w:r>
        <w:rPr>
          <w:rFonts w:eastAsiaTheme="minorEastAsia"/>
          <w:bCs/>
          <w:color w:val="auto"/>
          <w:szCs w:val="21"/>
          <w:highlight w:val="none"/>
          <w:lang w:val="zh-CN"/>
        </w:rPr>
        <w:fldChar w:fldCharType="begin"/>
      </w:r>
      <w:r>
        <w:rPr>
          <w:rFonts w:eastAsiaTheme="minorEastAsia"/>
          <w:bCs/>
          <w:color w:val="auto"/>
          <w:szCs w:val="21"/>
          <w:highlight w:val="none"/>
          <w:lang w:val="zh-CN"/>
        </w:rPr>
        <w:instrText xml:space="preserve"> HYPERLINK \l _Toc22151 </w:instrText>
      </w:r>
      <w:r>
        <w:rPr>
          <w:rFonts w:eastAsiaTheme="minorEastAsia"/>
          <w:bCs/>
          <w:color w:val="auto"/>
          <w:szCs w:val="21"/>
          <w:highlight w:val="none"/>
          <w:lang w:val="zh-CN"/>
        </w:rPr>
        <w:fldChar w:fldCharType="separate"/>
      </w:r>
      <w:r>
        <w:rPr>
          <w:rFonts w:hint="eastAsia" w:ascii="宋体" w:hAnsi="宋体" w:eastAsia="宋体" w:cs="宋体"/>
          <w:color w:val="auto"/>
          <w:szCs w:val="30"/>
          <w:highlight w:val="none"/>
          <w:lang w:val="zh-CN"/>
        </w:rPr>
        <w:t>第四篇</w:t>
      </w:r>
      <w:r>
        <w:rPr>
          <w:rFonts w:hint="eastAsia" w:ascii="宋体" w:hAnsi="宋体" w:eastAsia="宋体" w:cs="宋体"/>
          <w:color w:val="auto"/>
          <w:szCs w:val="30"/>
          <w:highlight w:val="none"/>
          <w:lang w:val="en-US" w:eastAsia="zh-CN"/>
        </w:rPr>
        <w:t xml:space="preserve"> </w:t>
      </w:r>
      <w:r>
        <w:rPr>
          <w:rFonts w:hint="eastAsia" w:ascii="宋体" w:hAnsi="宋体" w:eastAsia="宋体" w:cs="宋体"/>
          <w:color w:val="auto"/>
          <w:szCs w:val="30"/>
          <w:highlight w:val="none"/>
          <w:lang w:val="zh-CN"/>
        </w:rPr>
        <w:t>合同条款</w:t>
      </w:r>
      <w:r>
        <w:rPr>
          <w:color w:val="auto"/>
        </w:rPr>
        <w:tab/>
      </w:r>
      <w:r>
        <w:rPr>
          <w:color w:val="auto"/>
        </w:rPr>
        <w:fldChar w:fldCharType="begin"/>
      </w:r>
      <w:r>
        <w:rPr>
          <w:color w:val="auto"/>
        </w:rPr>
        <w:instrText xml:space="preserve"> PAGEREF _Toc22151 \h </w:instrText>
      </w:r>
      <w:r>
        <w:rPr>
          <w:color w:val="auto"/>
        </w:rPr>
        <w:fldChar w:fldCharType="separate"/>
      </w:r>
      <w:r>
        <w:rPr>
          <w:color w:val="auto"/>
        </w:rPr>
        <w:t>19</w:t>
      </w:r>
      <w:r>
        <w:rPr>
          <w:color w:val="auto"/>
        </w:rPr>
        <w:fldChar w:fldCharType="end"/>
      </w:r>
      <w:r>
        <w:rPr>
          <w:rFonts w:eastAsiaTheme="minorEastAsia"/>
          <w:bCs/>
          <w:color w:val="auto"/>
          <w:szCs w:val="21"/>
          <w:highlight w:val="none"/>
          <w:lang w:val="zh-CN"/>
        </w:rPr>
        <w:fldChar w:fldCharType="end"/>
      </w:r>
    </w:p>
    <w:p>
      <w:pPr>
        <w:pStyle w:val="11"/>
        <w:pageBreakBefore w:val="0"/>
        <w:tabs>
          <w:tab w:val="right" w:leader="dot" w:pos="8306"/>
          <w:tab w:val="clear" w:pos="1260"/>
          <w:tab w:val="clear" w:pos="8722"/>
        </w:tabs>
        <w:kinsoku/>
        <w:wordWrap/>
        <w:overflowPunct/>
        <w:topLinePunct w:val="0"/>
        <w:bidi w:val="0"/>
        <w:snapToGrid w:val="0"/>
        <w:spacing w:line="312" w:lineRule="auto"/>
        <w:rPr>
          <w:color w:val="auto"/>
        </w:rPr>
      </w:pPr>
      <w:r>
        <w:rPr>
          <w:rFonts w:eastAsiaTheme="minorEastAsia"/>
          <w:bCs/>
          <w:color w:val="auto"/>
          <w:szCs w:val="21"/>
          <w:highlight w:val="none"/>
          <w:lang w:val="zh-CN"/>
        </w:rPr>
        <w:fldChar w:fldCharType="begin"/>
      </w:r>
      <w:r>
        <w:rPr>
          <w:rFonts w:eastAsiaTheme="minorEastAsia"/>
          <w:bCs/>
          <w:color w:val="auto"/>
          <w:szCs w:val="21"/>
          <w:highlight w:val="none"/>
          <w:lang w:val="zh-CN"/>
        </w:rPr>
        <w:instrText xml:space="preserve"> HYPERLINK \l _Toc23552 </w:instrText>
      </w:r>
      <w:r>
        <w:rPr>
          <w:rFonts w:eastAsiaTheme="minorEastAsia"/>
          <w:bCs/>
          <w:color w:val="auto"/>
          <w:szCs w:val="21"/>
          <w:highlight w:val="none"/>
          <w:lang w:val="zh-CN"/>
        </w:rPr>
        <w:fldChar w:fldCharType="separate"/>
      </w:r>
      <w:r>
        <w:rPr>
          <w:rFonts w:hint="eastAsia" w:ascii="宋体" w:hAnsi="宋体" w:eastAsia="宋体"/>
          <w:color w:val="auto"/>
          <w:szCs w:val="30"/>
          <w:highlight w:val="none"/>
          <w:lang w:val="zh-CN"/>
        </w:rPr>
        <w:t>第五篇</w:t>
      </w:r>
      <w:r>
        <w:rPr>
          <w:rFonts w:hint="eastAsia" w:ascii="宋体" w:hAnsi="宋体" w:eastAsia="宋体"/>
          <w:color w:val="auto"/>
          <w:szCs w:val="30"/>
          <w:highlight w:val="none"/>
          <w:lang w:val="en-US" w:eastAsia="zh-CN"/>
        </w:rPr>
        <w:t xml:space="preserve"> </w:t>
      </w:r>
      <w:r>
        <w:rPr>
          <w:rFonts w:hint="eastAsia" w:ascii="宋体" w:hAnsi="宋体" w:eastAsia="宋体"/>
          <w:color w:val="auto"/>
          <w:szCs w:val="30"/>
          <w:highlight w:val="none"/>
          <w:lang w:val="zh-CN"/>
        </w:rPr>
        <w:t>报价文件格式</w:t>
      </w:r>
      <w:r>
        <w:rPr>
          <w:color w:val="auto"/>
        </w:rPr>
        <w:tab/>
      </w:r>
      <w:r>
        <w:rPr>
          <w:color w:val="auto"/>
        </w:rPr>
        <w:fldChar w:fldCharType="begin"/>
      </w:r>
      <w:r>
        <w:rPr>
          <w:color w:val="auto"/>
        </w:rPr>
        <w:instrText xml:space="preserve"> PAGEREF _Toc23552 \h </w:instrText>
      </w:r>
      <w:r>
        <w:rPr>
          <w:color w:val="auto"/>
        </w:rPr>
        <w:fldChar w:fldCharType="separate"/>
      </w:r>
      <w:r>
        <w:rPr>
          <w:color w:val="auto"/>
        </w:rPr>
        <w:t>30</w:t>
      </w:r>
      <w:r>
        <w:rPr>
          <w:color w:val="auto"/>
        </w:rPr>
        <w:fldChar w:fldCharType="end"/>
      </w:r>
      <w:r>
        <w:rPr>
          <w:rFonts w:eastAsiaTheme="minorEastAsia"/>
          <w:bCs/>
          <w:color w:val="auto"/>
          <w:szCs w:val="21"/>
          <w:highlight w:val="none"/>
          <w:lang w:val="zh-CN"/>
        </w:rPr>
        <w:fldChar w:fldCharType="end"/>
      </w:r>
    </w:p>
    <w:p>
      <w:pPr>
        <w:pStyle w:val="11"/>
        <w:pageBreakBefore w:val="0"/>
        <w:tabs>
          <w:tab w:val="right" w:leader="dot" w:pos="8306"/>
          <w:tab w:val="clear" w:pos="1260"/>
          <w:tab w:val="clear" w:pos="8722"/>
        </w:tabs>
        <w:kinsoku/>
        <w:wordWrap/>
        <w:overflowPunct/>
        <w:topLinePunct w:val="0"/>
        <w:bidi w:val="0"/>
        <w:snapToGrid w:val="0"/>
        <w:spacing w:line="312" w:lineRule="auto"/>
        <w:rPr>
          <w:color w:val="auto"/>
        </w:rPr>
      </w:pPr>
      <w:r>
        <w:rPr>
          <w:rFonts w:eastAsiaTheme="minorEastAsia"/>
          <w:bCs/>
          <w:color w:val="auto"/>
          <w:szCs w:val="21"/>
          <w:highlight w:val="none"/>
          <w:lang w:val="zh-CN"/>
        </w:rPr>
        <w:fldChar w:fldCharType="begin"/>
      </w:r>
      <w:r>
        <w:rPr>
          <w:rFonts w:eastAsiaTheme="minorEastAsia"/>
          <w:bCs/>
          <w:color w:val="auto"/>
          <w:szCs w:val="21"/>
          <w:highlight w:val="none"/>
          <w:lang w:val="zh-CN"/>
        </w:rPr>
        <w:instrText xml:space="preserve"> HYPERLINK \l _Toc20439 </w:instrText>
      </w:r>
      <w:r>
        <w:rPr>
          <w:rFonts w:eastAsiaTheme="minorEastAsia"/>
          <w:bCs/>
          <w:color w:val="auto"/>
          <w:szCs w:val="21"/>
          <w:highlight w:val="none"/>
          <w:lang w:val="zh-CN"/>
        </w:rPr>
        <w:fldChar w:fldCharType="separate"/>
      </w:r>
      <w:r>
        <w:rPr>
          <w:rFonts w:ascii="宋体" w:hAnsi="宋体"/>
          <w:color w:val="auto"/>
          <w:szCs w:val="30"/>
          <w:highlight w:val="none"/>
          <w:lang w:val="zh-CN"/>
        </w:rPr>
        <w:t>一</w:t>
      </w:r>
      <w:r>
        <w:rPr>
          <w:rFonts w:hint="eastAsia" w:ascii="宋体" w:hAnsi="宋体"/>
          <w:color w:val="auto"/>
          <w:szCs w:val="30"/>
          <w:highlight w:val="none"/>
          <w:lang w:val="zh-CN"/>
        </w:rPr>
        <w:t>、</w:t>
      </w:r>
      <w:r>
        <w:rPr>
          <w:rFonts w:ascii="宋体" w:hAnsi="宋体"/>
          <w:color w:val="auto"/>
          <w:szCs w:val="30"/>
          <w:highlight w:val="none"/>
          <w:lang w:val="zh-CN"/>
        </w:rPr>
        <w:t>纸质</w:t>
      </w:r>
      <w:r>
        <w:rPr>
          <w:rFonts w:hint="eastAsia" w:ascii="宋体" w:hAnsi="宋体"/>
          <w:color w:val="auto"/>
          <w:szCs w:val="30"/>
          <w:highlight w:val="none"/>
          <w:lang w:val="zh-CN"/>
        </w:rPr>
        <w:t>盖章版</w:t>
      </w:r>
      <w:r>
        <w:rPr>
          <w:rFonts w:ascii="宋体" w:hAnsi="宋体"/>
          <w:color w:val="auto"/>
          <w:szCs w:val="30"/>
          <w:highlight w:val="none"/>
          <w:lang w:val="zh-CN"/>
        </w:rPr>
        <w:t>报价文件</w:t>
      </w:r>
      <w:r>
        <w:rPr>
          <w:color w:val="auto"/>
        </w:rPr>
        <w:tab/>
      </w:r>
      <w:r>
        <w:rPr>
          <w:color w:val="auto"/>
        </w:rPr>
        <w:fldChar w:fldCharType="begin"/>
      </w:r>
      <w:r>
        <w:rPr>
          <w:color w:val="auto"/>
        </w:rPr>
        <w:instrText xml:space="preserve"> PAGEREF _Toc20439 \h </w:instrText>
      </w:r>
      <w:r>
        <w:rPr>
          <w:color w:val="auto"/>
        </w:rPr>
        <w:fldChar w:fldCharType="separate"/>
      </w:r>
      <w:r>
        <w:rPr>
          <w:color w:val="auto"/>
        </w:rPr>
        <w:t>31</w:t>
      </w:r>
      <w:r>
        <w:rPr>
          <w:color w:val="auto"/>
        </w:rPr>
        <w:fldChar w:fldCharType="end"/>
      </w:r>
      <w:r>
        <w:rPr>
          <w:rFonts w:eastAsiaTheme="minorEastAsia"/>
          <w:bCs/>
          <w:color w:val="auto"/>
          <w:szCs w:val="21"/>
          <w:highlight w:val="none"/>
          <w:lang w:val="zh-CN"/>
        </w:rPr>
        <w:fldChar w:fldCharType="end"/>
      </w:r>
    </w:p>
    <w:p>
      <w:pPr>
        <w:pStyle w:val="12"/>
        <w:pageBreakBefore w:val="0"/>
        <w:tabs>
          <w:tab w:val="right" w:leader="dot" w:pos="8306"/>
          <w:tab w:val="clear" w:pos="8722"/>
        </w:tabs>
        <w:kinsoku/>
        <w:wordWrap/>
        <w:overflowPunct/>
        <w:topLinePunct w:val="0"/>
        <w:bidi w:val="0"/>
        <w:snapToGrid w:val="0"/>
        <w:spacing w:before="0" w:after="0" w:line="312" w:lineRule="auto"/>
        <w:rPr>
          <w:color w:val="auto"/>
        </w:rPr>
      </w:pPr>
      <w:r>
        <w:rPr>
          <w:rFonts w:eastAsiaTheme="minorEastAsia"/>
          <w:bCs/>
          <w:color w:val="auto"/>
          <w:szCs w:val="21"/>
          <w:highlight w:val="none"/>
          <w:lang w:val="zh-CN"/>
        </w:rPr>
        <w:fldChar w:fldCharType="begin"/>
      </w:r>
      <w:r>
        <w:rPr>
          <w:rFonts w:eastAsiaTheme="minorEastAsia"/>
          <w:bCs/>
          <w:color w:val="auto"/>
          <w:szCs w:val="21"/>
          <w:highlight w:val="none"/>
          <w:lang w:val="zh-CN"/>
        </w:rPr>
        <w:instrText xml:space="preserve"> HYPERLINK \l _Toc4723 </w:instrText>
      </w:r>
      <w:r>
        <w:rPr>
          <w:rFonts w:eastAsiaTheme="minorEastAsia"/>
          <w:bCs/>
          <w:color w:val="auto"/>
          <w:szCs w:val="21"/>
          <w:highlight w:val="none"/>
          <w:lang w:val="zh-CN"/>
        </w:rPr>
        <w:fldChar w:fldCharType="separate"/>
      </w:r>
      <w:r>
        <w:rPr>
          <w:rFonts w:hint="eastAsia" w:ascii="Times New Roman" w:hAnsi="Times New Roman" w:eastAsia="宋体"/>
          <w:color w:val="auto"/>
          <w:szCs w:val="36"/>
          <w:highlight w:val="none"/>
          <w:lang w:eastAsia="zh-CN"/>
        </w:rPr>
        <w:t>（</w:t>
      </w:r>
      <w:r>
        <w:rPr>
          <w:rFonts w:hint="eastAsia" w:ascii="Times New Roman" w:hAnsi="Times New Roman" w:eastAsia="宋体"/>
          <w:color w:val="auto"/>
          <w:szCs w:val="36"/>
          <w:highlight w:val="none"/>
          <w:lang w:val="en-US" w:eastAsia="zh-CN"/>
        </w:rPr>
        <w:t>一</w:t>
      </w:r>
      <w:r>
        <w:rPr>
          <w:rFonts w:hint="eastAsia" w:ascii="Times New Roman" w:hAnsi="Times New Roman" w:eastAsia="宋体"/>
          <w:color w:val="auto"/>
          <w:szCs w:val="36"/>
          <w:highlight w:val="none"/>
          <w:lang w:eastAsia="zh-CN"/>
        </w:rPr>
        <w:t>）</w:t>
      </w:r>
      <w:r>
        <w:rPr>
          <w:rFonts w:ascii="Times New Roman" w:hAnsi="Times New Roman" w:eastAsia="宋体"/>
          <w:color w:val="auto"/>
          <w:szCs w:val="36"/>
          <w:highlight w:val="none"/>
        </w:rPr>
        <w:t>报价表</w:t>
      </w:r>
      <w:r>
        <w:rPr>
          <w:color w:val="auto"/>
        </w:rPr>
        <w:tab/>
      </w:r>
      <w:r>
        <w:rPr>
          <w:color w:val="auto"/>
        </w:rPr>
        <w:fldChar w:fldCharType="begin"/>
      </w:r>
      <w:r>
        <w:rPr>
          <w:color w:val="auto"/>
        </w:rPr>
        <w:instrText xml:space="preserve"> PAGEREF _Toc4723 \h </w:instrText>
      </w:r>
      <w:r>
        <w:rPr>
          <w:color w:val="auto"/>
        </w:rPr>
        <w:fldChar w:fldCharType="separate"/>
      </w:r>
      <w:r>
        <w:rPr>
          <w:color w:val="auto"/>
        </w:rPr>
        <w:t>33</w:t>
      </w:r>
      <w:r>
        <w:rPr>
          <w:color w:val="auto"/>
        </w:rPr>
        <w:fldChar w:fldCharType="end"/>
      </w:r>
      <w:r>
        <w:rPr>
          <w:rFonts w:eastAsiaTheme="minorEastAsia"/>
          <w:bCs/>
          <w:color w:val="auto"/>
          <w:szCs w:val="21"/>
          <w:highlight w:val="none"/>
          <w:lang w:val="zh-CN"/>
        </w:rPr>
        <w:fldChar w:fldCharType="end"/>
      </w:r>
    </w:p>
    <w:p>
      <w:pPr>
        <w:pStyle w:val="12"/>
        <w:pageBreakBefore w:val="0"/>
        <w:tabs>
          <w:tab w:val="right" w:leader="dot" w:pos="8306"/>
          <w:tab w:val="clear" w:pos="8722"/>
        </w:tabs>
        <w:kinsoku/>
        <w:wordWrap/>
        <w:overflowPunct/>
        <w:topLinePunct w:val="0"/>
        <w:bidi w:val="0"/>
        <w:snapToGrid w:val="0"/>
        <w:spacing w:before="0" w:after="0" w:line="312" w:lineRule="auto"/>
        <w:rPr>
          <w:color w:val="auto"/>
        </w:rPr>
      </w:pPr>
      <w:r>
        <w:rPr>
          <w:rFonts w:eastAsiaTheme="minorEastAsia"/>
          <w:bCs/>
          <w:color w:val="auto"/>
          <w:szCs w:val="21"/>
          <w:highlight w:val="none"/>
          <w:lang w:val="zh-CN"/>
        </w:rPr>
        <w:fldChar w:fldCharType="begin"/>
      </w:r>
      <w:r>
        <w:rPr>
          <w:rFonts w:eastAsiaTheme="minorEastAsia"/>
          <w:bCs/>
          <w:color w:val="auto"/>
          <w:szCs w:val="21"/>
          <w:highlight w:val="none"/>
          <w:lang w:val="zh-CN"/>
        </w:rPr>
        <w:instrText xml:space="preserve"> HYPERLINK \l _Toc24746 </w:instrText>
      </w:r>
      <w:r>
        <w:rPr>
          <w:rFonts w:eastAsiaTheme="minorEastAsia"/>
          <w:bCs/>
          <w:color w:val="auto"/>
          <w:szCs w:val="21"/>
          <w:highlight w:val="none"/>
          <w:lang w:val="zh-CN"/>
        </w:rPr>
        <w:fldChar w:fldCharType="separate"/>
      </w:r>
      <w:r>
        <w:rPr>
          <w:rFonts w:hint="eastAsia" w:ascii="宋体" w:hAnsi="宋体" w:eastAsia="宋体" w:cs="Times New Roman"/>
          <w:color w:val="auto"/>
          <w:szCs w:val="32"/>
          <w:highlight w:val="none"/>
          <w:lang w:val="en-US" w:eastAsia="zh-CN"/>
        </w:rPr>
        <w:t>（二）</w:t>
      </w:r>
      <w:r>
        <w:rPr>
          <w:rFonts w:hint="eastAsia" w:ascii="宋体" w:hAnsi="宋体" w:eastAsia="宋体"/>
          <w:color w:val="auto"/>
          <w:szCs w:val="32"/>
          <w:highlight w:val="none"/>
          <w:lang w:val="en-US" w:eastAsia="zh-CN"/>
        </w:rPr>
        <w:t>报价人</w:t>
      </w:r>
      <w:r>
        <w:rPr>
          <w:rFonts w:hint="eastAsia" w:ascii="宋体" w:hAnsi="宋体" w:eastAsia="宋体"/>
          <w:color w:val="auto"/>
          <w:szCs w:val="32"/>
          <w:highlight w:val="none"/>
        </w:rPr>
        <w:t>资格证明文件</w:t>
      </w:r>
      <w:r>
        <w:rPr>
          <w:color w:val="auto"/>
        </w:rPr>
        <w:tab/>
      </w:r>
      <w:r>
        <w:rPr>
          <w:color w:val="auto"/>
        </w:rPr>
        <w:fldChar w:fldCharType="begin"/>
      </w:r>
      <w:r>
        <w:rPr>
          <w:color w:val="auto"/>
        </w:rPr>
        <w:instrText xml:space="preserve"> PAGEREF _Toc24746 \h </w:instrText>
      </w:r>
      <w:r>
        <w:rPr>
          <w:color w:val="auto"/>
        </w:rPr>
        <w:fldChar w:fldCharType="separate"/>
      </w:r>
      <w:r>
        <w:rPr>
          <w:color w:val="auto"/>
        </w:rPr>
        <w:t>35</w:t>
      </w:r>
      <w:r>
        <w:rPr>
          <w:color w:val="auto"/>
        </w:rPr>
        <w:fldChar w:fldCharType="end"/>
      </w:r>
      <w:r>
        <w:rPr>
          <w:rFonts w:eastAsiaTheme="minorEastAsia"/>
          <w:bCs/>
          <w:color w:val="auto"/>
          <w:szCs w:val="21"/>
          <w:highlight w:val="none"/>
          <w:lang w:val="zh-CN"/>
        </w:rPr>
        <w:fldChar w:fldCharType="end"/>
      </w:r>
    </w:p>
    <w:p>
      <w:pPr>
        <w:pStyle w:val="12"/>
        <w:pageBreakBefore w:val="0"/>
        <w:tabs>
          <w:tab w:val="right" w:leader="dot" w:pos="8306"/>
          <w:tab w:val="clear" w:pos="8722"/>
        </w:tabs>
        <w:kinsoku/>
        <w:wordWrap/>
        <w:overflowPunct/>
        <w:topLinePunct w:val="0"/>
        <w:bidi w:val="0"/>
        <w:snapToGrid w:val="0"/>
        <w:spacing w:before="0" w:after="0" w:line="312" w:lineRule="auto"/>
        <w:rPr>
          <w:color w:val="auto"/>
        </w:rPr>
      </w:pPr>
      <w:r>
        <w:rPr>
          <w:rFonts w:eastAsiaTheme="minorEastAsia"/>
          <w:bCs/>
          <w:color w:val="auto"/>
          <w:szCs w:val="21"/>
          <w:highlight w:val="none"/>
          <w:lang w:val="zh-CN"/>
        </w:rPr>
        <w:fldChar w:fldCharType="begin"/>
      </w:r>
      <w:r>
        <w:rPr>
          <w:rFonts w:eastAsiaTheme="minorEastAsia"/>
          <w:bCs/>
          <w:color w:val="auto"/>
          <w:szCs w:val="21"/>
          <w:highlight w:val="none"/>
          <w:lang w:val="zh-CN"/>
        </w:rPr>
        <w:instrText xml:space="preserve"> HYPERLINK \l _Toc19238 </w:instrText>
      </w:r>
      <w:r>
        <w:rPr>
          <w:rFonts w:eastAsiaTheme="minorEastAsia"/>
          <w:bCs/>
          <w:color w:val="auto"/>
          <w:szCs w:val="21"/>
          <w:highlight w:val="none"/>
          <w:lang w:val="zh-CN"/>
        </w:rPr>
        <w:fldChar w:fldCharType="separate"/>
      </w:r>
      <w:r>
        <w:rPr>
          <w:rFonts w:hint="eastAsia" w:ascii="宋体" w:hAnsi="宋体" w:eastAsia="宋体"/>
          <w:color w:val="auto"/>
          <w:szCs w:val="32"/>
          <w:highlight w:val="none"/>
          <w:lang w:val="en-US" w:eastAsia="zh-CN"/>
        </w:rPr>
        <w:t>（三）报价人</w:t>
      </w:r>
      <w:r>
        <w:rPr>
          <w:rFonts w:hint="eastAsia" w:ascii="宋体" w:hAnsi="宋体" w:eastAsia="宋体"/>
          <w:color w:val="auto"/>
          <w:szCs w:val="32"/>
          <w:highlight w:val="none"/>
        </w:rPr>
        <w:t>基本情况一览表</w:t>
      </w:r>
      <w:r>
        <w:rPr>
          <w:rFonts w:hint="eastAsia" w:ascii="宋体" w:hAnsi="宋体" w:eastAsia="宋体"/>
          <w:color w:val="auto"/>
          <w:szCs w:val="32"/>
          <w:highlight w:val="none"/>
          <w:lang w:val="en-US" w:eastAsia="zh-CN"/>
        </w:rPr>
        <w:t>格式</w:t>
      </w:r>
      <w:r>
        <w:rPr>
          <w:color w:val="auto"/>
        </w:rPr>
        <w:tab/>
      </w:r>
      <w:r>
        <w:rPr>
          <w:color w:val="auto"/>
        </w:rPr>
        <w:fldChar w:fldCharType="begin"/>
      </w:r>
      <w:r>
        <w:rPr>
          <w:color w:val="auto"/>
        </w:rPr>
        <w:instrText xml:space="preserve"> PAGEREF _Toc19238 \h </w:instrText>
      </w:r>
      <w:r>
        <w:rPr>
          <w:color w:val="auto"/>
        </w:rPr>
        <w:fldChar w:fldCharType="separate"/>
      </w:r>
      <w:r>
        <w:rPr>
          <w:color w:val="auto"/>
        </w:rPr>
        <w:t>43</w:t>
      </w:r>
      <w:r>
        <w:rPr>
          <w:color w:val="auto"/>
        </w:rPr>
        <w:fldChar w:fldCharType="end"/>
      </w:r>
      <w:r>
        <w:rPr>
          <w:rFonts w:eastAsiaTheme="minorEastAsia"/>
          <w:bCs/>
          <w:color w:val="auto"/>
          <w:szCs w:val="21"/>
          <w:highlight w:val="none"/>
          <w:lang w:val="zh-CN"/>
        </w:rPr>
        <w:fldChar w:fldCharType="end"/>
      </w:r>
    </w:p>
    <w:p>
      <w:pPr>
        <w:pStyle w:val="12"/>
        <w:pageBreakBefore w:val="0"/>
        <w:tabs>
          <w:tab w:val="right" w:leader="dot" w:pos="8306"/>
          <w:tab w:val="clear" w:pos="8722"/>
        </w:tabs>
        <w:kinsoku/>
        <w:wordWrap/>
        <w:overflowPunct/>
        <w:topLinePunct w:val="0"/>
        <w:bidi w:val="0"/>
        <w:snapToGrid w:val="0"/>
        <w:spacing w:before="0" w:after="0" w:line="312" w:lineRule="auto"/>
        <w:rPr>
          <w:color w:val="auto"/>
        </w:rPr>
      </w:pPr>
      <w:r>
        <w:rPr>
          <w:rFonts w:eastAsiaTheme="minorEastAsia"/>
          <w:bCs/>
          <w:color w:val="auto"/>
          <w:szCs w:val="21"/>
          <w:highlight w:val="none"/>
          <w:lang w:val="zh-CN"/>
        </w:rPr>
        <w:fldChar w:fldCharType="begin"/>
      </w:r>
      <w:r>
        <w:rPr>
          <w:rFonts w:eastAsiaTheme="minorEastAsia"/>
          <w:bCs/>
          <w:color w:val="auto"/>
          <w:szCs w:val="21"/>
          <w:highlight w:val="none"/>
          <w:lang w:val="zh-CN"/>
        </w:rPr>
        <w:instrText xml:space="preserve"> HYPERLINK \l _Toc19045 </w:instrText>
      </w:r>
      <w:r>
        <w:rPr>
          <w:rFonts w:eastAsiaTheme="minorEastAsia"/>
          <w:bCs/>
          <w:color w:val="auto"/>
          <w:szCs w:val="21"/>
          <w:highlight w:val="none"/>
          <w:lang w:val="zh-CN"/>
        </w:rPr>
        <w:fldChar w:fldCharType="separate"/>
      </w:r>
      <w:r>
        <w:rPr>
          <w:rFonts w:hint="eastAsia"/>
          <w:color w:val="auto"/>
          <w:highlight w:val="none"/>
          <w:lang w:val="en-US" w:eastAsia="zh-CN"/>
        </w:rPr>
        <w:t>（四）</w:t>
      </w:r>
      <w:r>
        <w:rPr>
          <w:rFonts w:hint="eastAsia" w:ascii="宋体" w:hAnsi="宋体" w:eastAsia="宋体"/>
          <w:color w:val="auto"/>
          <w:szCs w:val="36"/>
          <w:highlight w:val="none"/>
        </w:rPr>
        <w:t>用户需求响应情况</w:t>
      </w:r>
      <w:r>
        <w:rPr>
          <w:color w:val="auto"/>
        </w:rPr>
        <w:tab/>
      </w:r>
      <w:r>
        <w:rPr>
          <w:color w:val="auto"/>
        </w:rPr>
        <w:fldChar w:fldCharType="begin"/>
      </w:r>
      <w:r>
        <w:rPr>
          <w:color w:val="auto"/>
        </w:rPr>
        <w:instrText xml:space="preserve"> PAGEREF _Toc19045 \h </w:instrText>
      </w:r>
      <w:r>
        <w:rPr>
          <w:color w:val="auto"/>
        </w:rPr>
        <w:fldChar w:fldCharType="separate"/>
      </w:r>
      <w:r>
        <w:rPr>
          <w:color w:val="auto"/>
        </w:rPr>
        <w:t>44</w:t>
      </w:r>
      <w:r>
        <w:rPr>
          <w:color w:val="auto"/>
        </w:rPr>
        <w:fldChar w:fldCharType="end"/>
      </w:r>
      <w:r>
        <w:rPr>
          <w:rFonts w:eastAsiaTheme="minorEastAsia"/>
          <w:bCs/>
          <w:color w:val="auto"/>
          <w:szCs w:val="21"/>
          <w:highlight w:val="none"/>
          <w:lang w:val="zh-CN"/>
        </w:rPr>
        <w:fldChar w:fldCharType="end"/>
      </w:r>
    </w:p>
    <w:p>
      <w:pPr>
        <w:pStyle w:val="12"/>
        <w:pageBreakBefore w:val="0"/>
        <w:tabs>
          <w:tab w:val="right" w:leader="dot" w:pos="8306"/>
          <w:tab w:val="clear" w:pos="8722"/>
        </w:tabs>
        <w:kinsoku/>
        <w:wordWrap/>
        <w:overflowPunct/>
        <w:topLinePunct w:val="0"/>
        <w:bidi w:val="0"/>
        <w:snapToGrid w:val="0"/>
        <w:spacing w:before="0" w:after="0" w:line="312" w:lineRule="auto"/>
        <w:rPr>
          <w:color w:val="auto"/>
        </w:rPr>
      </w:pPr>
      <w:r>
        <w:rPr>
          <w:rFonts w:eastAsiaTheme="minorEastAsia"/>
          <w:bCs/>
          <w:color w:val="auto"/>
          <w:szCs w:val="21"/>
          <w:highlight w:val="none"/>
          <w:lang w:val="zh-CN"/>
        </w:rPr>
        <w:fldChar w:fldCharType="begin"/>
      </w:r>
      <w:r>
        <w:rPr>
          <w:rFonts w:eastAsiaTheme="minorEastAsia"/>
          <w:bCs/>
          <w:color w:val="auto"/>
          <w:szCs w:val="21"/>
          <w:highlight w:val="none"/>
          <w:lang w:val="zh-CN"/>
        </w:rPr>
        <w:instrText xml:space="preserve"> HYPERLINK \l _Toc14335 </w:instrText>
      </w:r>
      <w:r>
        <w:rPr>
          <w:rFonts w:eastAsiaTheme="minorEastAsia"/>
          <w:bCs/>
          <w:color w:val="auto"/>
          <w:szCs w:val="21"/>
          <w:highlight w:val="none"/>
          <w:lang w:val="zh-CN"/>
        </w:rPr>
        <w:fldChar w:fldCharType="separate"/>
      </w:r>
      <w:r>
        <w:rPr>
          <w:rFonts w:hint="eastAsia" w:ascii="宋体" w:hAnsi="宋体" w:eastAsia="宋体"/>
          <w:color w:val="auto"/>
          <w:szCs w:val="36"/>
          <w:highlight w:val="none"/>
          <w:lang w:val="en-US" w:eastAsia="zh-CN"/>
        </w:rPr>
        <w:t>（</w:t>
      </w:r>
      <w:r>
        <w:rPr>
          <w:rFonts w:hint="eastAsia" w:ascii="宋体" w:hAnsi="宋体"/>
          <w:color w:val="auto"/>
          <w:szCs w:val="36"/>
          <w:highlight w:val="none"/>
          <w:lang w:val="en-US" w:eastAsia="zh-CN"/>
        </w:rPr>
        <w:t>五</w:t>
      </w:r>
      <w:r>
        <w:rPr>
          <w:rFonts w:hint="eastAsia" w:ascii="宋体" w:hAnsi="宋体" w:eastAsia="宋体"/>
          <w:color w:val="auto"/>
          <w:szCs w:val="36"/>
          <w:highlight w:val="none"/>
          <w:lang w:val="en-US" w:eastAsia="zh-CN"/>
        </w:rPr>
        <w:t>）</w:t>
      </w:r>
      <w:r>
        <w:rPr>
          <w:rFonts w:hint="eastAsia" w:ascii="宋体" w:hAnsi="宋体" w:eastAsia="宋体"/>
          <w:color w:val="auto"/>
          <w:szCs w:val="36"/>
          <w:highlight w:val="none"/>
        </w:rPr>
        <w:t>合同条款响应情况</w:t>
      </w:r>
      <w:r>
        <w:rPr>
          <w:color w:val="auto"/>
        </w:rPr>
        <w:tab/>
      </w:r>
      <w:r>
        <w:rPr>
          <w:color w:val="auto"/>
        </w:rPr>
        <w:fldChar w:fldCharType="begin"/>
      </w:r>
      <w:r>
        <w:rPr>
          <w:color w:val="auto"/>
        </w:rPr>
        <w:instrText xml:space="preserve"> PAGEREF _Toc14335 \h </w:instrText>
      </w:r>
      <w:r>
        <w:rPr>
          <w:color w:val="auto"/>
        </w:rPr>
        <w:fldChar w:fldCharType="separate"/>
      </w:r>
      <w:r>
        <w:rPr>
          <w:color w:val="auto"/>
        </w:rPr>
        <w:t>45</w:t>
      </w:r>
      <w:r>
        <w:rPr>
          <w:color w:val="auto"/>
        </w:rPr>
        <w:fldChar w:fldCharType="end"/>
      </w:r>
      <w:r>
        <w:rPr>
          <w:rFonts w:eastAsiaTheme="minorEastAsia"/>
          <w:bCs/>
          <w:color w:val="auto"/>
          <w:szCs w:val="21"/>
          <w:highlight w:val="none"/>
          <w:lang w:val="zh-CN"/>
        </w:rPr>
        <w:fldChar w:fldCharType="end"/>
      </w:r>
    </w:p>
    <w:p>
      <w:pPr>
        <w:pStyle w:val="12"/>
        <w:pageBreakBefore w:val="0"/>
        <w:tabs>
          <w:tab w:val="right" w:leader="dot" w:pos="8306"/>
          <w:tab w:val="clear" w:pos="8722"/>
        </w:tabs>
        <w:kinsoku/>
        <w:wordWrap/>
        <w:overflowPunct/>
        <w:topLinePunct w:val="0"/>
        <w:bidi w:val="0"/>
        <w:snapToGrid w:val="0"/>
        <w:spacing w:before="0" w:after="0" w:line="312" w:lineRule="auto"/>
        <w:rPr>
          <w:color w:val="auto"/>
        </w:rPr>
      </w:pPr>
      <w:r>
        <w:rPr>
          <w:rFonts w:eastAsiaTheme="minorEastAsia"/>
          <w:bCs/>
          <w:color w:val="auto"/>
          <w:szCs w:val="21"/>
          <w:highlight w:val="none"/>
          <w:lang w:val="zh-CN"/>
        </w:rPr>
        <w:fldChar w:fldCharType="begin"/>
      </w:r>
      <w:r>
        <w:rPr>
          <w:rFonts w:eastAsiaTheme="minorEastAsia"/>
          <w:bCs/>
          <w:color w:val="auto"/>
          <w:szCs w:val="21"/>
          <w:highlight w:val="none"/>
          <w:lang w:val="zh-CN"/>
        </w:rPr>
        <w:instrText xml:space="preserve"> HYPERLINK \l _Toc2313 </w:instrText>
      </w:r>
      <w:r>
        <w:rPr>
          <w:rFonts w:eastAsiaTheme="minorEastAsia"/>
          <w:bCs/>
          <w:color w:val="auto"/>
          <w:szCs w:val="21"/>
          <w:highlight w:val="none"/>
          <w:lang w:val="zh-CN"/>
        </w:rPr>
        <w:fldChar w:fldCharType="separate"/>
      </w:r>
      <w:r>
        <w:rPr>
          <w:rFonts w:hint="eastAsia" w:ascii="宋体" w:hAnsi="宋体" w:eastAsia="宋体"/>
          <w:color w:val="auto"/>
          <w:szCs w:val="36"/>
          <w:highlight w:val="none"/>
          <w:lang w:val="en-US" w:eastAsia="zh-CN"/>
        </w:rPr>
        <w:t>（</w:t>
      </w:r>
      <w:r>
        <w:rPr>
          <w:rFonts w:hint="eastAsia" w:ascii="宋体" w:hAnsi="宋体"/>
          <w:color w:val="auto"/>
          <w:szCs w:val="36"/>
          <w:highlight w:val="none"/>
          <w:lang w:val="en-US" w:eastAsia="zh-CN"/>
        </w:rPr>
        <w:t>六</w:t>
      </w:r>
      <w:r>
        <w:rPr>
          <w:rFonts w:hint="eastAsia" w:ascii="宋体" w:hAnsi="宋体" w:eastAsia="宋体"/>
          <w:color w:val="auto"/>
          <w:szCs w:val="36"/>
          <w:highlight w:val="none"/>
          <w:lang w:val="en-US" w:eastAsia="zh-CN"/>
        </w:rPr>
        <w:t>）</w:t>
      </w:r>
      <w:r>
        <w:rPr>
          <w:rFonts w:hint="eastAsia" w:ascii="宋体" w:hAnsi="宋体" w:eastAsia="宋体"/>
          <w:color w:val="auto"/>
          <w:szCs w:val="36"/>
          <w:highlight w:val="none"/>
        </w:rPr>
        <w:t>拟投入</w:t>
      </w:r>
      <w:r>
        <w:rPr>
          <w:rFonts w:hint="eastAsia" w:ascii="宋体" w:hAnsi="宋体" w:eastAsia="宋体"/>
          <w:color w:val="auto"/>
          <w:szCs w:val="36"/>
          <w:highlight w:val="none"/>
          <w:lang w:val="en-US" w:eastAsia="zh-CN"/>
        </w:rPr>
        <w:t>本项目的服务</w:t>
      </w:r>
      <w:r>
        <w:rPr>
          <w:rFonts w:hint="eastAsia" w:ascii="宋体" w:hAnsi="宋体" w:eastAsia="宋体"/>
          <w:color w:val="auto"/>
          <w:szCs w:val="36"/>
          <w:highlight w:val="none"/>
        </w:rPr>
        <w:t>人员清单表</w:t>
      </w:r>
      <w:r>
        <w:rPr>
          <w:color w:val="auto"/>
        </w:rPr>
        <w:tab/>
      </w:r>
      <w:r>
        <w:rPr>
          <w:color w:val="auto"/>
        </w:rPr>
        <w:fldChar w:fldCharType="begin"/>
      </w:r>
      <w:r>
        <w:rPr>
          <w:color w:val="auto"/>
        </w:rPr>
        <w:instrText xml:space="preserve"> PAGEREF _Toc2313 \h </w:instrText>
      </w:r>
      <w:r>
        <w:rPr>
          <w:color w:val="auto"/>
        </w:rPr>
        <w:fldChar w:fldCharType="separate"/>
      </w:r>
      <w:r>
        <w:rPr>
          <w:color w:val="auto"/>
        </w:rPr>
        <w:t>46</w:t>
      </w:r>
      <w:r>
        <w:rPr>
          <w:color w:val="auto"/>
        </w:rPr>
        <w:fldChar w:fldCharType="end"/>
      </w:r>
      <w:r>
        <w:rPr>
          <w:rFonts w:eastAsiaTheme="minorEastAsia"/>
          <w:bCs/>
          <w:color w:val="auto"/>
          <w:szCs w:val="21"/>
          <w:highlight w:val="none"/>
          <w:lang w:val="zh-CN"/>
        </w:rPr>
        <w:fldChar w:fldCharType="end"/>
      </w:r>
    </w:p>
    <w:p>
      <w:pPr>
        <w:pStyle w:val="12"/>
        <w:pageBreakBefore w:val="0"/>
        <w:tabs>
          <w:tab w:val="right" w:leader="dot" w:pos="8306"/>
          <w:tab w:val="clear" w:pos="8722"/>
        </w:tabs>
        <w:kinsoku/>
        <w:wordWrap/>
        <w:overflowPunct/>
        <w:topLinePunct w:val="0"/>
        <w:bidi w:val="0"/>
        <w:snapToGrid w:val="0"/>
        <w:spacing w:before="0" w:after="0" w:line="312" w:lineRule="auto"/>
        <w:rPr>
          <w:color w:val="auto"/>
        </w:rPr>
      </w:pPr>
      <w:r>
        <w:rPr>
          <w:rFonts w:eastAsiaTheme="minorEastAsia"/>
          <w:bCs/>
          <w:color w:val="auto"/>
          <w:szCs w:val="21"/>
          <w:highlight w:val="none"/>
          <w:lang w:val="zh-CN"/>
        </w:rPr>
        <w:fldChar w:fldCharType="begin"/>
      </w:r>
      <w:r>
        <w:rPr>
          <w:rFonts w:eastAsiaTheme="minorEastAsia"/>
          <w:bCs/>
          <w:color w:val="auto"/>
          <w:szCs w:val="21"/>
          <w:highlight w:val="none"/>
          <w:lang w:val="zh-CN"/>
        </w:rPr>
        <w:instrText xml:space="preserve"> HYPERLINK \l _Toc5897 </w:instrText>
      </w:r>
      <w:r>
        <w:rPr>
          <w:rFonts w:eastAsiaTheme="minorEastAsia"/>
          <w:bCs/>
          <w:color w:val="auto"/>
          <w:szCs w:val="21"/>
          <w:highlight w:val="none"/>
          <w:lang w:val="zh-CN"/>
        </w:rPr>
        <w:fldChar w:fldCharType="separate"/>
      </w:r>
      <w:r>
        <w:rPr>
          <w:rFonts w:hint="eastAsia" w:ascii="宋体" w:hAnsi="宋体" w:eastAsia="宋体"/>
          <w:color w:val="auto"/>
          <w:szCs w:val="36"/>
          <w:highlight w:val="none"/>
          <w:lang w:val="en-US" w:eastAsia="zh-CN"/>
        </w:rPr>
        <w:t>（</w:t>
      </w:r>
      <w:r>
        <w:rPr>
          <w:rFonts w:hint="eastAsia" w:ascii="宋体" w:hAnsi="宋体"/>
          <w:color w:val="auto"/>
          <w:szCs w:val="36"/>
          <w:highlight w:val="none"/>
          <w:lang w:val="en-US" w:eastAsia="zh-CN"/>
        </w:rPr>
        <w:t>七</w:t>
      </w:r>
      <w:r>
        <w:rPr>
          <w:rFonts w:hint="eastAsia" w:ascii="宋体" w:hAnsi="宋体" w:eastAsia="宋体"/>
          <w:color w:val="auto"/>
          <w:szCs w:val="36"/>
          <w:highlight w:val="none"/>
          <w:lang w:val="en-US" w:eastAsia="zh-CN"/>
        </w:rPr>
        <w:t>）</w:t>
      </w:r>
      <w:r>
        <w:rPr>
          <w:rFonts w:hint="eastAsia" w:ascii="宋体" w:hAnsi="宋体" w:eastAsia="宋体"/>
          <w:color w:val="auto"/>
          <w:szCs w:val="36"/>
          <w:highlight w:val="none"/>
        </w:rPr>
        <w:t>报价人认为需要提供的其他证明材料</w:t>
      </w:r>
      <w:r>
        <w:rPr>
          <w:color w:val="auto"/>
        </w:rPr>
        <w:tab/>
      </w:r>
      <w:r>
        <w:rPr>
          <w:color w:val="auto"/>
        </w:rPr>
        <w:fldChar w:fldCharType="begin"/>
      </w:r>
      <w:r>
        <w:rPr>
          <w:color w:val="auto"/>
        </w:rPr>
        <w:instrText xml:space="preserve"> PAGEREF _Toc5897 \h </w:instrText>
      </w:r>
      <w:r>
        <w:rPr>
          <w:color w:val="auto"/>
        </w:rPr>
        <w:fldChar w:fldCharType="separate"/>
      </w:r>
      <w:r>
        <w:rPr>
          <w:color w:val="auto"/>
        </w:rPr>
        <w:t>48</w:t>
      </w:r>
      <w:r>
        <w:rPr>
          <w:color w:val="auto"/>
        </w:rPr>
        <w:fldChar w:fldCharType="end"/>
      </w:r>
      <w:r>
        <w:rPr>
          <w:rFonts w:eastAsiaTheme="minorEastAsia"/>
          <w:bCs/>
          <w:color w:val="auto"/>
          <w:szCs w:val="21"/>
          <w:highlight w:val="none"/>
          <w:lang w:val="zh-CN"/>
        </w:rPr>
        <w:fldChar w:fldCharType="end"/>
      </w:r>
    </w:p>
    <w:p>
      <w:pPr>
        <w:pStyle w:val="11"/>
        <w:pageBreakBefore w:val="0"/>
        <w:tabs>
          <w:tab w:val="right" w:leader="dot" w:pos="8306"/>
          <w:tab w:val="clear" w:pos="1260"/>
          <w:tab w:val="clear" w:pos="8722"/>
        </w:tabs>
        <w:kinsoku/>
        <w:wordWrap/>
        <w:overflowPunct/>
        <w:topLinePunct w:val="0"/>
        <w:bidi w:val="0"/>
        <w:snapToGrid w:val="0"/>
        <w:spacing w:line="312" w:lineRule="auto"/>
        <w:rPr>
          <w:color w:val="auto"/>
        </w:rPr>
      </w:pPr>
      <w:r>
        <w:rPr>
          <w:rFonts w:eastAsiaTheme="minorEastAsia"/>
          <w:bCs/>
          <w:color w:val="auto"/>
          <w:szCs w:val="21"/>
          <w:highlight w:val="none"/>
          <w:lang w:val="zh-CN"/>
        </w:rPr>
        <w:fldChar w:fldCharType="begin"/>
      </w:r>
      <w:r>
        <w:rPr>
          <w:rFonts w:eastAsiaTheme="minorEastAsia"/>
          <w:bCs/>
          <w:color w:val="auto"/>
          <w:szCs w:val="21"/>
          <w:highlight w:val="none"/>
          <w:lang w:val="zh-CN"/>
        </w:rPr>
        <w:instrText xml:space="preserve"> HYPERLINK \l _Toc17148 </w:instrText>
      </w:r>
      <w:r>
        <w:rPr>
          <w:rFonts w:eastAsiaTheme="minorEastAsia"/>
          <w:bCs/>
          <w:color w:val="auto"/>
          <w:szCs w:val="21"/>
          <w:highlight w:val="none"/>
          <w:lang w:val="zh-CN"/>
        </w:rPr>
        <w:fldChar w:fldCharType="separate"/>
      </w:r>
      <w:r>
        <w:rPr>
          <w:rFonts w:hint="eastAsia" w:ascii="宋体" w:hAnsi="宋体" w:eastAsia="宋体"/>
          <w:color w:val="auto"/>
          <w:szCs w:val="30"/>
          <w:highlight w:val="none"/>
          <w:lang w:val="zh-CN"/>
        </w:rPr>
        <w:t>二、报价文件电子文档</w:t>
      </w:r>
      <w:r>
        <w:rPr>
          <w:color w:val="auto"/>
        </w:rPr>
        <w:tab/>
      </w:r>
      <w:r>
        <w:rPr>
          <w:color w:val="auto"/>
        </w:rPr>
        <w:fldChar w:fldCharType="begin"/>
      </w:r>
      <w:r>
        <w:rPr>
          <w:color w:val="auto"/>
        </w:rPr>
        <w:instrText xml:space="preserve"> PAGEREF _Toc17148 \h </w:instrText>
      </w:r>
      <w:r>
        <w:rPr>
          <w:color w:val="auto"/>
        </w:rPr>
        <w:fldChar w:fldCharType="separate"/>
      </w:r>
      <w:r>
        <w:rPr>
          <w:color w:val="auto"/>
        </w:rPr>
        <w:t>49</w:t>
      </w:r>
      <w:r>
        <w:rPr>
          <w:color w:val="auto"/>
        </w:rPr>
        <w:fldChar w:fldCharType="end"/>
      </w:r>
      <w:r>
        <w:rPr>
          <w:rFonts w:eastAsiaTheme="minorEastAsia"/>
          <w:bCs/>
          <w:color w:val="auto"/>
          <w:szCs w:val="21"/>
          <w:highlight w:val="none"/>
          <w:lang w:val="zh-CN"/>
        </w:rPr>
        <w:fldChar w:fldCharType="end"/>
      </w:r>
    </w:p>
    <w:p>
      <w:pPr>
        <w:pStyle w:val="14"/>
        <w:pageBreakBefore w:val="0"/>
        <w:kinsoku/>
        <w:wordWrap/>
        <w:overflowPunct/>
        <w:topLinePunct w:val="0"/>
        <w:bidi w:val="0"/>
        <w:snapToGrid w:val="0"/>
        <w:spacing w:before="0" w:after="0" w:line="312" w:lineRule="auto"/>
        <w:rPr>
          <w:rFonts w:hint="default" w:eastAsia="宋体"/>
          <w:color w:val="auto"/>
          <w:szCs w:val="21"/>
          <w:highlight w:val="none"/>
          <w:lang w:val="en-US" w:eastAsia="zh-CN"/>
        </w:rPr>
      </w:pPr>
      <w:r>
        <w:rPr>
          <w:rFonts w:eastAsiaTheme="minorEastAsia"/>
          <w:bCs/>
          <w:color w:val="auto"/>
          <w:szCs w:val="21"/>
          <w:highlight w:val="none"/>
          <w:lang w:val="zh-CN"/>
        </w:rPr>
        <w:fldChar w:fldCharType="end"/>
      </w:r>
      <w:bookmarkStart w:id="6" w:name="_Toc17924"/>
      <w:r>
        <w:rPr>
          <w:rFonts w:ascii="Times New Roman" w:hAnsi="Times New Roman"/>
          <w:color w:val="auto"/>
          <w:highlight w:val="none"/>
          <w:lang w:val="zh-CN"/>
        </w:rPr>
        <w:br w:type="page"/>
      </w:r>
      <w:r>
        <w:rPr>
          <w:rFonts w:ascii="Times New Roman" w:hAnsi="Times New Roman"/>
          <w:b/>
          <w:bCs/>
          <w:color w:val="auto"/>
          <w:sz w:val="30"/>
          <w:szCs w:val="30"/>
          <w:highlight w:val="none"/>
          <w:lang w:val="zh-CN"/>
        </w:rPr>
        <w:t>第一篇</w:t>
      </w:r>
      <w:r>
        <w:rPr>
          <w:rFonts w:hint="eastAsia" w:ascii="Times New Roman" w:hAnsi="Times New Roman"/>
          <w:b/>
          <w:bCs/>
          <w:color w:val="auto"/>
          <w:sz w:val="30"/>
          <w:szCs w:val="30"/>
          <w:highlight w:val="none"/>
          <w:lang w:val="en-US" w:eastAsia="zh-CN"/>
        </w:rPr>
        <w:t xml:space="preserve"> </w:t>
      </w:r>
      <w:r>
        <w:rPr>
          <w:rFonts w:hint="eastAsia"/>
          <w:b/>
          <w:bCs/>
          <w:color w:val="auto"/>
          <w:sz w:val="30"/>
          <w:szCs w:val="30"/>
          <w:highlight w:val="none"/>
          <w:lang w:val="en-US" w:eastAsia="zh-CN"/>
        </w:rPr>
        <w:t>询价公告</w:t>
      </w:r>
      <w:bookmarkEnd w:id="6"/>
    </w:p>
    <w:p>
      <w:pPr>
        <w:spacing w:line="360" w:lineRule="auto"/>
        <w:ind w:right="210" w:right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各供应商：</w:t>
      </w:r>
    </w:p>
    <w:p>
      <w:pPr>
        <w:pStyle w:val="2"/>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东莞市智汇水务科技有限公司</w:t>
      </w:r>
      <w:r>
        <w:rPr>
          <w:rFonts w:hint="eastAsia" w:ascii="宋体" w:hAnsi="宋体" w:eastAsia="宋体" w:cs="宋体"/>
          <w:color w:val="auto"/>
          <w:szCs w:val="21"/>
          <w:highlight w:val="none"/>
        </w:rPr>
        <w:t>（本项目“采购人”）</w:t>
      </w:r>
      <w:r>
        <w:rPr>
          <w:rFonts w:hint="eastAsia" w:ascii="宋体" w:hAnsi="宋体" w:cs="宋体"/>
          <w:color w:val="auto"/>
          <w:szCs w:val="21"/>
          <w:highlight w:val="none"/>
          <w:lang w:val="en-US" w:eastAsia="zh-CN"/>
        </w:rPr>
        <w:t>需对所持有的东莞市博汇环保科技有限公司的</w:t>
      </w:r>
      <w:r>
        <w:rPr>
          <w:rFonts w:hint="eastAsia" w:ascii="宋体" w:hAnsi="宋体" w:eastAsia="宋体" w:cs="宋体"/>
          <w:color w:val="auto"/>
          <w:szCs w:val="21"/>
          <w:highlight w:val="none"/>
          <w:lang w:eastAsia="zh-CN"/>
        </w:rPr>
        <w:t>股权、设备资产</w:t>
      </w:r>
      <w:r>
        <w:rPr>
          <w:rFonts w:hint="eastAsia" w:ascii="宋体" w:hAnsi="宋体" w:cs="宋体"/>
          <w:color w:val="auto"/>
          <w:szCs w:val="21"/>
          <w:highlight w:val="none"/>
          <w:lang w:val="en-US" w:eastAsia="zh-CN"/>
        </w:rPr>
        <w:t>价值评估</w:t>
      </w:r>
      <w:r>
        <w:rPr>
          <w:rFonts w:hint="eastAsia" w:ascii="宋体" w:hAnsi="宋体" w:eastAsia="宋体" w:cs="宋体"/>
          <w:color w:val="auto"/>
          <w:szCs w:val="21"/>
          <w:highlight w:val="none"/>
          <w:lang w:eastAsia="zh-CN"/>
        </w:rPr>
        <w:t>单位</w:t>
      </w:r>
      <w:r>
        <w:rPr>
          <w:rFonts w:hint="eastAsia" w:ascii="宋体" w:hAnsi="宋体" w:cs="宋体"/>
          <w:color w:val="auto"/>
          <w:szCs w:val="21"/>
          <w:highlight w:val="none"/>
          <w:lang w:val="en-US" w:eastAsia="zh-CN"/>
        </w:rPr>
        <w:t>采购项目</w:t>
      </w: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2024-007</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进行公开</w:t>
      </w:r>
      <w:r>
        <w:rPr>
          <w:rFonts w:hint="eastAsia" w:ascii="宋体" w:hAnsi="宋体" w:cs="宋体"/>
          <w:color w:val="auto"/>
          <w:szCs w:val="21"/>
          <w:highlight w:val="none"/>
          <w:lang w:val="en-US" w:eastAsia="zh-CN"/>
        </w:rPr>
        <w:t>询价</w:t>
      </w:r>
      <w:r>
        <w:rPr>
          <w:rFonts w:hint="eastAsia" w:ascii="宋体" w:hAnsi="宋体" w:eastAsia="宋体" w:cs="宋体"/>
          <w:color w:val="auto"/>
          <w:szCs w:val="21"/>
          <w:highlight w:val="none"/>
          <w:lang w:val="zh-CN"/>
        </w:rPr>
        <w:t>，欢迎合格</w:t>
      </w:r>
      <w:r>
        <w:rPr>
          <w:rFonts w:hint="eastAsia" w:ascii="宋体" w:hAnsi="宋体" w:cs="宋体"/>
          <w:color w:val="auto"/>
          <w:szCs w:val="21"/>
          <w:highlight w:val="none"/>
          <w:lang w:val="zh-CN"/>
        </w:rPr>
        <w:t>的</w:t>
      </w:r>
      <w:r>
        <w:rPr>
          <w:rFonts w:hint="eastAsia" w:ascii="宋体" w:hAnsi="宋体" w:cs="宋体"/>
          <w:color w:val="auto"/>
          <w:szCs w:val="21"/>
          <w:highlight w:val="none"/>
          <w:lang w:val="en-US" w:eastAsia="zh-CN"/>
        </w:rPr>
        <w:t>报价人</w:t>
      </w:r>
      <w:r>
        <w:rPr>
          <w:rFonts w:hint="eastAsia" w:ascii="宋体" w:hAnsi="宋体" w:eastAsia="宋体" w:cs="宋体"/>
          <w:color w:val="auto"/>
          <w:szCs w:val="21"/>
          <w:highlight w:val="none"/>
          <w:lang w:val="zh-CN"/>
        </w:rPr>
        <w:t>就本项目提交密封</w:t>
      </w:r>
      <w:r>
        <w:rPr>
          <w:rFonts w:hint="eastAsia" w:ascii="宋体" w:hAnsi="宋体" w:cs="宋体"/>
          <w:color w:val="auto"/>
          <w:szCs w:val="21"/>
          <w:highlight w:val="none"/>
          <w:lang w:val="en-US" w:eastAsia="zh-CN"/>
        </w:rPr>
        <w:t>报价</w:t>
      </w:r>
      <w:r>
        <w:rPr>
          <w:rFonts w:hint="eastAsia" w:ascii="宋体" w:hAnsi="宋体" w:cs="宋体"/>
          <w:color w:val="auto"/>
          <w:szCs w:val="21"/>
          <w:highlight w:val="none"/>
          <w:lang w:eastAsia="zh-CN"/>
        </w:rPr>
        <w:t>。</w:t>
      </w:r>
    </w:p>
    <w:p>
      <w:pPr>
        <w:numPr>
          <w:ilvl w:val="0"/>
          <w:numId w:val="1"/>
        </w:numPr>
        <w:tabs>
          <w:tab w:val="left" w:pos="567"/>
        </w:tabs>
        <w:autoSpaceDE w:val="0"/>
        <w:autoSpaceDN w:val="0"/>
        <w:adjustRightInd w:val="0"/>
        <w:spacing w:line="360" w:lineRule="auto"/>
        <w:ind w:right="-34"/>
        <w:outlineLvl w:val="0"/>
        <w:rPr>
          <w:rFonts w:hint="eastAsia" w:ascii="宋体" w:hAnsi="宋体" w:eastAsia="宋体" w:cs="宋体"/>
          <w:color w:val="auto"/>
          <w:szCs w:val="21"/>
          <w:highlight w:val="none"/>
          <w:lang w:val="zh-CN"/>
        </w:rPr>
      </w:pPr>
      <w:bookmarkStart w:id="7" w:name="_Toc27826"/>
      <w:bookmarkStart w:id="8" w:name="_Toc25456"/>
      <w:r>
        <w:rPr>
          <w:rFonts w:hint="eastAsia" w:ascii="宋体" w:hAnsi="宋体" w:cs="宋体"/>
          <w:color w:val="auto"/>
          <w:szCs w:val="21"/>
          <w:highlight w:val="none"/>
          <w:lang w:val="en-US" w:eastAsia="zh-CN"/>
        </w:rPr>
        <w:t>采购内容</w:t>
      </w:r>
      <w:r>
        <w:rPr>
          <w:rFonts w:hint="eastAsia" w:ascii="宋体" w:hAnsi="宋体" w:eastAsia="宋体" w:cs="宋体"/>
          <w:bCs/>
          <w:color w:val="auto"/>
          <w:szCs w:val="21"/>
          <w:highlight w:val="none"/>
        </w:rPr>
        <w:t>：</w:t>
      </w:r>
      <w:bookmarkEnd w:id="7"/>
      <w:bookmarkEnd w:id="8"/>
    </w:p>
    <w:p>
      <w:pPr>
        <w:pStyle w:val="2"/>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对东莞市博汇环保科技有限公司</w:t>
      </w:r>
      <w:r>
        <w:rPr>
          <w:rFonts w:hint="eastAsia" w:ascii="宋体" w:hAnsi="宋体" w:cs="宋体"/>
          <w:color w:val="auto"/>
          <w:szCs w:val="21"/>
          <w:highlight w:val="none"/>
          <w:lang w:val="en-US" w:eastAsia="zh-CN"/>
        </w:rPr>
        <w:t>的</w:t>
      </w:r>
      <w:r>
        <w:rPr>
          <w:rFonts w:hint="eastAsia" w:ascii="宋体" w:hAnsi="宋体" w:eastAsia="宋体" w:cs="宋体"/>
          <w:color w:val="auto"/>
          <w:szCs w:val="21"/>
          <w:highlight w:val="none"/>
          <w:lang w:val="en-US" w:eastAsia="zh-CN"/>
        </w:rPr>
        <w:t>股权及</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lang w:val="en-US" w:eastAsia="zh-CN"/>
        </w:rPr>
        <w:t>所持有的项目生产设备资产价值开展评估工作并出具评估报告（具体内容详见第三篇用户需求书）。</w:t>
      </w:r>
    </w:p>
    <w:p>
      <w:pPr>
        <w:pStyle w:val="36"/>
        <w:numPr>
          <w:ilvl w:val="0"/>
          <w:numId w:val="1"/>
        </w:numPr>
        <w:spacing w:line="360" w:lineRule="auto"/>
        <w:ind w:firstLineChars="0"/>
        <w:outlineLvl w:val="0"/>
        <w:rPr>
          <w:rFonts w:hint="eastAsia" w:ascii="宋体" w:hAnsi="宋体" w:eastAsia="宋体" w:cs="宋体"/>
          <w:color w:val="auto"/>
          <w:szCs w:val="21"/>
          <w:highlight w:val="none"/>
        </w:rPr>
      </w:pPr>
      <w:bookmarkStart w:id="9" w:name="_Toc15581"/>
      <w:bookmarkStart w:id="10" w:name="_Toc16693"/>
      <w:r>
        <w:rPr>
          <w:rFonts w:hint="eastAsia" w:ascii="宋体" w:hAnsi="宋体" w:cs="宋体"/>
          <w:color w:val="auto"/>
          <w:szCs w:val="21"/>
          <w:highlight w:val="none"/>
          <w:lang w:val="en-US" w:eastAsia="zh-CN"/>
        </w:rPr>
        <w:t>合格报价人资格要求：</w:t>
      </w:r>
      <w:bookmarkEnd w:id="9"/>
      <w:bookmarkEnd w:id="10"/>
    </w:p>
    <w:p>
      <w:pPr>
        <w:pStyle w:val="36"/>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360" w:lineRule="auto"/>
        <w:ind w:left="420" w:hanging="420" w:hanging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2.1 在中华人民共和国境内登记注册的、合法存续、正常经营且具有独立承担民事责任能力的法人或其他组织；</w:t>
      </w:r>
    </w:p>
    <w:p>
      <w:pPr>
        <w:pStyle w:val="36"/>
        <w:widowControl w:val="0"/>
        <w:numPr>
          <w:ilvl w:val="0"/>
          <w:numId w:val="0"/>
        </w:numPr>
        <w:tabs>
          <w:tab w:val="left" w:pos="360"/>
        </w:tabs>
        <w:spacing w:line="360" w:lineRule="auto"/>
        <w:jc w:val="both"/>
        <w:outlineLvl w:val="1"/>
        <w:rPr>
          <w:rFonts w:hint="eastAsia" w:ascii="宋体" w:hAnsi="宋体" w:cs="宋体"/>
          <w:color w:val="auto"/>
          <w:szCs w:val="21"/>
          <w:highlight w:val="none"/>
          <w:lang w:val="en-US" w:eastAsia="zh-CN"/>
        </w:rPr>
      </w:pPr>
      <w:bookmarkStart w:id="11" w:name="_Toc31448"/>
      <w:bookmarkStart w:id="12" w:name="_Toc31800"/>
      <w:r>
        <w:rPr>
          <w:rFonts w:hint="eastAsia" w:ascii="宋体" w:hAnsi="宋体" w:cs="宋体"/>
          <w:color w:val="auto"/>
          <w:szCs w:val="21"/>
          <w:highlight w:val="none"/>
          <w:lang w:val="en-US" w:eastAsia="zh-CN"/>
        </w:rPr>
        <w:t>2.2 报价人需为省级财政部门资产评估机构登记备案单位；</w:t>
      </w:r>
      <w:bookmarkEnd w:id="11"/>
      <w:bookmarkEnd w:id="12"/>
    </w:p>
    <w:p>
      <w:pPr>
        <w:pStyle w:val="36"/>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360" w:lineRule="auto"/>
        <w:ind w:left="420" w:hanging="420" w:hangingChars="200"/>
        <w:jc w:val="both"/>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2.3 报价人2021年1月1日以来具有二份股权或设备资产价值评估项目业绩（合同签订日期为2021年1月1日或以后）；</w:t>
      </w:r>
    </w:p>
    <w:p>
      <w:pPr>
        <w:pStyle w:val="36"/>
        <w:widowControl w:val="0"/>
        <w:numPr>
          <w:ilvl w:val="0"/>
          <w:numId w:val="0"/>
        </w:numPr>
        <w:tabs>
          <w:tab w:val="left" w:pos="360"/>
        </w:tabs>
        <w:spacing w:line="360" w:lineRule="auto"/>
        <w:jc w:val="both"/>
        <w:outlineLvl w:val="1"/>
        <w:rPr>
          <w:rFonts w:hint="default" w:ascii="宋体" w:hAnsi="宋体" w:cs="宋体"/>
          <w:color w:val="auto"/>
          <w:szCs w:val="21"/>
          <w:highlight w:val="none"/>
          <w:lang w:val="en-US" w:eastAsia="zh-CN"/>
        </w:rPr>
      </w:pPr>
      <w:bookmarkStart w:id="13" w:name="_Toc10992"/>
      <w:bookmarkStart w:id="14" w:name="_Toc12959"/>
      <w:r>
        <w:rPr>
          <w:rFonts w:hint="eastAsia" w:ascii="宋体" w:hAnsi="宋体" w:cs="宋体"/>
          <w:color w:val="auto"/>
          <w:szCs w:val="21"/>
          <w:highlight w:val="none"/>
          <w:lang w:val="en-US" w:eastAsia="zh-CN"/>
        </w:rPr>
        <w:t>2.4 本项目不接受联合体报价。</w:t>
      </w:r>
      <w:bookmarkEnd w:id="13"/>
      <w:bookmarkEnd w:id="14"/>
    </w:p>
    <w:p>
      <w:pPr>
        <w:pStyle w:val="36"/>
        <w:numPr>
          <w:ilvl w:val="0"/>
          <w:numId w:val="1"/>
        </w:numPr>
        <w:spacing w:line="360" w:lineRule="auto"/>
        <w:ind w:firstLineChars="0"/>
        <w:outlineLvl w:val="0"/>
        <w:rPr>
          <w:rFonts w:hint="eastAsia" w:ascii="宋体" w:hAnsi="宋体" w:eastAsia="宋体" w:cs="宋体"/>
          <w:color w:val="auto"/>
          <w:szCs w:val="21"/>
          <w:highlight w:val="none"/>
        </w:rPr>
      </w:pPr>
      <w:bookmarkStart w:id="15" w:name="_Toc32405"/>
      <w:bookmarkStart w:id="16" w:name="_Toc10610"/>
      <w:r>
        <w:rPr>
          <w:rFonts w:hint="eastAsia" w:ascii="宋体" w:hAnsi="宋体" w:cs="宋体"/>
          <w:color w:val="auto"/>
          <w:szCs w:val="21"/>
          <w:highlight w:val="none"/>
          <w:lang w:val="en-US" w:eastAsia="zh-CN"/>
        </w:rPr>
        <w:t>报价人获取询价文件的方式：</w:t>
      </w:r>
      <w:bookmarkEnd w:id="15"/>
      <w:bookmarkEnd w:id="16"/>
    </w:p>
    <w:p>
      <w:pPr>
        <w:pStyle w:val="36"/>
        <w:widowControl w:val="0"/>
        <w:numPr>
          <w:ilvl w:val="0"/>
          <w:numId w:val="0"/>
        </w:numPr>
        <w:tabs>
          <w:tab w:val="left" w:pos="360"/>
        </w:tabs>
        <w:spacing w:line="360" w:lineRule="auto"/>
        <w:ind w:firstLine="420" w:firstLineChars="200"/>
        <w:jc w:val="both"/>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有意参与报价的供应商请自行在</w:t>
      </w:r>
      <w:r>
        <w:rPr>
          <w:rFonts w:hint="default" w:ascii="Times New Roman" w:hAnsi="Times New Roman" w:cs="Times New Roman"/>
          <w:color w:val="auto"/>
          <w:kern w:val="2"/>
          <w:sz w:val="21"/>
          <w:szCs w:val="21"/>
          <w:highlight w:val="none"/>
          <w:u w:val="none"/>
          <w:lang w:val="zh-CN"/>
        </w:rPr>
        <w:t>东莞市水务集团有限公司官网</w:t>
      </w:r>
      <w:r>
        <w:rPr>
          <w:rFonts w:hint="default" w:ascii="Times New Roman" w:hAnsi="Times New Roman" w:cs="Times New Roman"/>
          <w:color w:val="auto"/>
          <w:kern w:val="2"/>
          <w:sz w:val="21"/>
          <w:szCs w:val="21"/>
          <w:highlight w:val="none"/>
          <w:u w:val="none"/>
        </w:rPr>
        <w:t>（http://www.dgswjt.cn/）</w:t>
      </w:r>
      <w:r>
        <w:rPr>
          <w:rFonts w:hint="eastAsia" w:ascii="Times New Roman" w:hAnsi="Times New Roman" w:cs="Times New Roman"/>
          <w:color w:val="auto"/>
          <w:kern w:val="2"/>
          <w:sz w:val="21"/>
          <w:szCs w:val="21"/>
          <w:highlight w:val="none"/>
          <w:u w:val="none"/>
          <w:lang w:val="en-US" w:eastAsia="zh-CN"/>
        </w:rPr>
        <w:t>下载本项目的询价文件，并按照询价文件要求编制报价文件。</w:t>
      </w:r>
    </w:p>
    <w:p>
      <w:pPr>
        <w:pStyle w:val="36"/>
        <w:numPr>
          <w:ilvl w:val="0"/>
          <w:numId w:val="1"/>
        </w:numPr>
        <w:spacing w:line="360" w:lineRule="auto"/>
        <w:ind w:firstLineChars="0"/>
        <w:outlineLvl w:val="0"/>
        <w:rPr>
          <w:rFonts w:hint="eastAsia" w:ascii="宋体" w:hAnsi="宋体" w:eastAsia="宋体" w:cs="宋体"/>
          <w:color w:val="auto"/>
          <w:szCs w:val="21"/>
          <w:highlight w:val="none"/>
        </w:rPr>
      </w:pPr>
      <w:bookmarkStart w:id="17" w:name="_Toc20507"/>
      <w:bookmarkStart w:id="18" w:name="_Toc10117"/>
      <w:r>
        <w:rPr>
          <w:rFonts w:hint="eastAsia" w:ascii="宋体" w:hAnsi="宋体" w:eastAsia="宋体" w:cs="宋体"/>
          <w:color w:val="auto"/>
          <w:szCs w:val="21"/>
          <w:highlight w:val="none"/>
        </w:rPr>
        <w:t>报价：</w:t>
      </w:r>
      <w:bookmarkEnd w:id="17"/>
      <w:bookmarkEnd w:id="18"/>
    </w:p>
    <w:p>
      <w:pPr>
        <w:pStyle w:val="2"/>
        <w:spacing w:after="0" w:line="360" w:lineRule="auto"/>
        <w:ind w:left="422" w:hanging="420" w:hangingChars="200"/>
        <w:rPr>
          <w:rFonts w:hint="eastAsia" w:ascii="宋体" w:hAnsi="宋体" w:cs="宋体"/>
          <w:b/>
          <w:color w:val="auto"/>
          <w:szCs w:val="21"/>
          <w:highlight w:val="none"/>
          <w:u w:val="single"/>
          <w:lang w:val="en-US" w:eastAsia="zh-CN"/>
        </w:rPr>
      </w:pPr>
      <w:r>
        <w:rPr>
          <w:rFonts w:hint="eastAsia" w:ascii="宋体" w:hAnsi="宋体" w:cs="宋体"/>
          <w:b w:val="0"/>
          <w:bCs/>
          <w:color w:val="auto"/>
          <w:szCs w:val="21"/>
          <w:highlight w:val="none"/>
          <w:u w:val="none"/>
          <w:lang w:val="en-US" w:eastAsia="zh-CN"/>
        </w:rPr>
        <w:t>4</w:t>
      </w:r>
      <w:r>
        <w:rPr>
          <w:rFonts w:hint="eastAsia" w:ascii="宋体" w:hAnsi="宋体" w:eastAsia="宋体" w:cs="宋体"/>
          <w:b w:val="0"/>
          <w:bCs/>
          <w:color w:val="auto"/>
          <w:szCs w:val="21"/>
          <w:highlight w:val="none"/>
          <w:u w:val="none"/>
        </w:rPr>
        <w:t>.1</w:t>
      </w:r>
      <w:r>
        <w:rPr>
          <w:rFonts w:hint="eastAsia" w:ascii="宋体" w:hAnsi="宋体" w:eastAsia="宋体" w:cs="宋体"/>
          <w:b/>
          <w:color w:val="auto"/>
          <w:szCs w:val="21"/>
          <w:highlight w:val="none"/>
          <w:u w:val="none"/>
        </w:rPr>
        <w:t xml:space="preserve"> </w:t>
      </w:r>
      <w:r>
        <w:rPr>
          <w:rFonts w:hint="eastAsia" w:ascii="宋体" w:hAnsi="宋体" w:eastAsia="宋体" w:cs="宋体"/>
          <w:b/>
          <w:color w:val="auto"/>
          <w:szCs w:val="21"/>
          <w:highlight w:val="none"/>
          <w:u w:val="single"/>
        </w:rPr>
        <w:t>本次报价（不含税）最高限价为</w:t>
      </w:r>
      <w:r>
        <w:rPr>
          <w:rFonts w:hint="eastAsia" w:ascii="宋体" w:hAnsi="宋体" w:cs="宋体"/>
          <w:b/>
          <w:color w:val="auto"/>
          <w:szCs w:val="21"/>
          <w:highlight w:val="none"/>
          <w:u w:val="single"/>
          <w:lang w:val="en-US" w:eastAsia="zh-CN"/>
        </w:rPr>
        <w:t>47,169.81</w:t>
      </w:r>
      <w:r>
        <w:rPr>
          <w:rFonts w:hint="eastAsia" w:ascii="宋体" w:hAnsi="宋体" w:eastAsia="宋体" w:cs="宋体"/>
          <w:b/>
          <w:color w:val="auto"/>
          <w:szCs w:val="21"/>
          <w:highlight w:val="none"/>
          <w:u w:val="single"/>
        </w:rPr>
        <w:t>元</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lang w:val="zh-CN"/>
        </w:rPr>
        <w:t>报价人的报价高于报价最高限价的，该报价人的报价文件将被视为无效报价。</w:t>
      </w:r>
    </w:p>
    <w:p>
      <w:pPr>
        <w:pStyle w:val="2"/>
        <w:spacing w:after="0" w:line="360" w:lineRule="auto"/>
        <w:ind w:left="422" w:hanging="420" w:hangingChars="200"/>
        <w:rPr>
          <w:rFonts w:hint="eastAsia" w:ascii="宋体" w:hAnsi="宋体" w:eastAsia="宋体" w:cs="宋体"/>
          <w:b/>
          <w:bCs/>
          <w:color w:val="auto"/>
          <w:szCs w:val="21"/>
          <w:highlight w:val="none"/>
          <w:u w:val="single"/>
        </w:rPr>
      </w:pPr>
      <w:r>
        <w:rPr>
          <w:rFonts w:hint="eastAsia" w:ascii="宋体" w:hAnsi="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lang w:val="zh-CN"/>
        </w:rPr>
        <w:t>.2</w:t>
      </w:r>
      <w:r>
        <w:rPr>
          <w:rFonts w:hint="eastAsia" w:ascii="宋体" w:hAnsi="宋体" w:eastAsia="宋体" w:cs="宋体"/>
          <w:b/>
          <w:bCs/>
          <w:color w:val="auto"/>
          <w:szCs w:val="21"/>
          <w:highlight w:val="none"/>
          <w:lang w:val="zh-CN"/>
        </w:rPr>
        <w:t xml:space="preserve"> </w:t>
      </w:r>
      <w:r>
        <w:rPr>
          <w:rFonts w:hint="eastAsia" w:ascii="宋体" w:hAnsi="宋体" w:eastAsia="宋体" w:cs="宋体"/>
          <w:b/>
          <w:color w:val="auto"/>
          <w:szCs w:val="21"/>
          <w:highlight w:val="none"/>
          <w:u w:val="single"/>
          <w:lang w:val="zh-CN"/>
        </w:rPr>
        <w:t>本项目报价为不含税价，</w:t>
      </w:r>
      <w:r>
        <w:rPr>
          <w:rFonts w:hint="eastAsia" w:ascii="宋体" w:hAnsi="宋体" w:eastAsia="宋体" w:cs="宋体"/>
          <w:b/>
          <w:bCs/>
          <w:color w:val="auto"/>
          <w:szCs w:val="21"/>
          <w:highlight w:val="none"/>
          <w:u w:val="single"/>
        </w:rPr>
        <w:t>即为《中华人民共和国增值税暂行条例》（国务院令第691号修订版）规定的销售额。</w:t>
      </w:r>
      <w:r>
        <w:rPr>
          <w:rFonts w:hint="eastAsia" w:ascii="宋体" w:hAnsi="宋体" w:eastAsia="宋体" w:cs="宋体"/>
          <w:b w:val="0"/>
          <w:bCs w:val="0"/>
          <w:color w:val="auto"/>
          <w:szCs w:val="21"/>
          <w:highlight w:val="none"/>
          <w:u w:val="none"/>
        </w:rPr>
        <w:t>本询价文件所称的不含税价和合同价（或合同单价）是指不含本采购项目报价人的销项税额，包含了报价人完成合同义务（含报价人代缴代扣、分包及委外服务、施工、采购货物等所产生的价税）的其他全部费用。</w:t>
      </w:r>
    </w:p>
    <w:p>
      <w:pPr>
        <w:pStyle w:val="2"/>
        <w:spacing w:after="0" w:line="360" w:lineRule="auto"/>
        <w:ind w:left="422" w:hanging="420" w:hangingChars="200"/>
        <w:rPr>
          <w:rFonts w:hint="default" w:ascii="宋体" w:hAnsi="宋体" w:cs="宋体"/>
          <w:b w:val="0"/>
          <w:bCs w:val="0"/>
          <w:color w:val="auto"/>
          <w:szCs w:val="21"/>
          <w:highlight w:val="none"/>
          <w:u w:val="none"/>
          <w:lang w:val="en-US" w:eastAsia="zh-CN"/>
        </w:rPr>
      </w:pPr>
      <w:r>
        <w:rPr>
          <w:rFonts w:hint="eastAsia" w:ascii="宋体" w:hAnsi="宋体" w:cs="宋体"/>
          <w:b w:val="0"/>
          <w:bCs w:val="0"/>
          <w:color w:val="auto"/>
          <w:szCs w:val="21"/>
          <w:highlight w:val="none"/>
          <w:u w:val="none"/>
          <w:lang w:val="en-US" w:eastAsia="zh-CN"/>
        </w:rPr>
        <w:t xml:space="preserve">4.3 </w:t>
      </w:r>
      <w:r>
        <w:rPr>
          <w:rFonts w:hint="eastAsia" w:ascii="宋体" w:hAnsi="宋体" w:eastAsia="宋体" w:cs="宋体"/>
          <w:b/>
          <w:bCs/>
          <w:color w:val="auto"/>
          <w:szCs w:val="21"/>
          <w:highlight w:val="none"/>
          <w:u w:val="single"/>
        </w:rPr>
        <w:t>本采购项目依法计算的报价人的销项税额由采购人承担，不计入报价。</w:t>
      </w:r>
    </w:p>
    <w:p>
      <w:pPr>
        <w:pStyle w:val="2"/>
        <w:spacing w:after="0" w:line="360" w:lineRule="auto"/>
        <w:ind w:left="422" w:hanging="420" w:hangingChars="200"/>
        <w:rPr>
          <w:rFonts w:hint="eastAsia" w:ascii="宋体" w:hAnsi="宋体" w:cs="monospace"/>
          <w:color w:val="auto"/>
          <w:kern w:val="2"/>
          <w:sz w:val="21"/>
          <w:szCs w:val="21"/>
          <w:highlight w:val="none"/>
          <w:lang w:val="zh-CN"/>
        </w:rPr>
      </w:pPr>
      <w:r>
        <w:rPr>
          <w:rFonts w:hint="eastAsia" w:ascii="宋体" w:hAnsi="宋体" w:cs="宋体"/>
          <w:b w:val="0"/>
          <w:bCs w:val="0"/>
          <w:color w:val="auto"/>
          <w:szCs w:val="21"/>
          <w:highlight w:val="none"/>
          <w:u w:val="none"/>
          <w:lang w:val="en-US" w:eastAsia="zh-CN"/>
        </w:rPr>
        <w:t>4</w:t>
      </w:r>
      <w:r>
        <w:rPr>
          <w:rFonts w:hint="eastAsia" w:ascii="宋体" w:hAnsi="宋体" w:eastAsia="宋体" w:cs="宋体"/>
          <w:b w:val="0"/>
          <w:bCs w:val="0"/>
          <w:color w:val="auto"/>
          <w:szCs w:val="21"/>
          <w:highlight w:val="none"/>
          <w:u w:val="none"/>
          <w:lang w:val="zh-CN"/>
        </w:rPr>
        <w:t>.</w:t>
      </w:r>
      <w:r>
        <w:rPr>
          <w:rFonts w:hint="eastAsia" w:ascii="宋体" w:hAnsi="宋体" w:cs="宋体"/>
          <w:b w:val="0"/>
          <w:bCs w:val="0"/>
          <w:color w:val="auto"/>
          <w:szCs w:val="21"/>
          <w:highlight w:val="none"/>
          <w:u w:val="none"/>
          <w:lang w:val="en-US" w:eastAsia="zh-CN"/>
        </w:rPr>
        <w:t>4</w:t>
      </w:r>
      <w:r>
        <w:rPr>
          <w:rFonts w:hint="eastAsia" w:ascii="宋体" w:hAnsi="宋体" w:eastAsia="宋体" w:cs="宋体"/>
          <w:b w:val="0"/>
          <w:bCs w:val="0"/>
          <w:color w:val="auto"/>
          <w:szCs w:val="21"/>
          <w:highlight w:val="none"/>
          <w:u w:val="none"/>
          <w:lang w:val="en-US" w:eastAsia="zh-CN"/>
        </w:rPr>
        <w:t xml:space="preserve"> </w:t>
      </w:r>
      <w:r>
        <w:rPr>
          <w:rFonts w:hint="eastAsia" w:ascii="宋体" w:hAnsi="宋体" w:cs="monospace"/>
          <w:b/>
          <w:bCs/>
          <w:color w:val="auto"/>
          <w:kern w:val="2"/>
          <w:sz w:val="21"/>
          <w:szCs w:val="21"/>
          <w:highlight w:val="none"/>
          <w:u w:val="single"/>
          <w:lang w:val="zh-CN"/>
        </w:rPr>
        <w:t>报价包括采购人购买本合同项下</w:t>
      </w:r>
      <w:r>
        <w:rPr>
          <w:rFonts w:hint="eastAsia" w:ascii="宋体" w:hAnsi="宋体" w:cs="monospace"/>
          <w:b/>
          <w:bCs/>
          <w:color w:val="auto"/>
          <w:kern w:val="2"/>
          <w:sz w:val="21"/>
          <w:szCs w:val="21"/>
          <w:highlight w:val="none"/>
          <w:u w:val="single"/>
          <w:lang w:val="en-US" w:eastAsia="zh-CN"/>
        </w:rPr>
        <w:t>的资产评估服务</w:t>
      </w:r>
      <w:r>
        <w:rPr>
          <w:rFonts w:hint="eastAsia" w:ascii="宋体" w:hAnsi="宋体" w:cs="monospace"/>
          <w:b/>
          <w:bCs/>
          <w:color w:val="auto"/>
          <w:kern w:val="2"/>
          <w:sz w:val="21"/>
          <w:szCs w:val="21"/>
          <w:highlight w:val="none"/>
          <w:u w:val="single"/>
          <w:lang w:val="zh-CN"/>
        </w:rPr>
        <w:t>所支付的全部价款，包括但不限于：（1）实地查勘</w:t>
      </w:r>
      <w:r>
        <w:rPr>
          <w:rFonts w:hint="eastAsia" w:ascii="宋体" w:hAnsi="宋体" w:cs="monospace"/>
          <w:b/>
          <w:bCs/>
          <w:color w:val="auto"/>
          <w:kern w:val="2"/>
          <w:sz w:val="21"/>
          <w:szCs w:val="21"/>
          <w:highlight w:val="none"/>
          <w:u w:val="single"/>
          <w:lang w:val="zh-CN" w:eastAsia="zh-CN"/>
        </w:rPr>
        <w:t>、资料收集/核实/分析、编写评估报告（</w:t>
      </w:r>
      <w:r>
        <w:rPr>
          <w:rFonts w:hint="eastAsia" w:ascii="宋体" w:hAnsi="宋体" w:cs="monospace"/>
          <w:b/>
          <w:bCs/>
          <w:color w:val="auto"/>
          <w:kern w:val="2"/>
          <w:sz w:val="21"/>
          <w:szCs w:val="21"/>
          <w:highlight w:val="none"/>
          <w:u w:val="single"/>
          <w:lang w:val="en-US" w:eastAsia="zh-CN"/>
        </w:rPr>
        <w:t>含</w:t>
      </w:r>
      <w:r>
        <w:rPr>
          <w:rFonts w:hint="eastAsia" w:ascii="宋体" w:hAnsi="宋体" w:cs="monospace"/>
          <w:b/>
          <w:bCs/>
          <w:color w:val="auto"/>
          <w:kern w:val="2"/>
          <w:sz w:val="21"/>
          <w:szCs w:val="21"/>
          <w:highlight w:val="none"/>
          <w:u w:val="single"/>
          <w:lang w:val="zh-CN" w:eastAsia="zh-CN"/>
        </w:rPr>
        <w:t>初评</w:t>
      </w:r>
      <w:r>
        <w:rPr>
          <w:rFonts w:hint="eastAsia" w:ascii="宋体" w:hAnsi="宋体" w:cs="monospace"/>
          <w:b/>
          <w:bCs/>
          <w:color w:val="auto"/>
          <w:kern w:val="2"/>
          <w:sz w:val="21"/>
          <w:szCs w:val="21"/>
          <w:highlight w:val="none"/>
          <w:u w:val="single"/>
          <w:lang w:val="en-US" w:eastAsia="zh-CN"/>
        </w:rPr>
        <w:t>/过程</w:t>
      </w:r>
      <w:r>
        <w:rPr>
          <w:rFonts w:hint="eastAsia" w:ascii="宋体" w:hAnsi="宋体" w:cs="monospace"/>
          <w:b/>
          <w:bCs/>
          <w:color w:val="auto"/>
          <w:kern w:val="2"/>
          <w:sz w:val="21"/>
          <w:szCs w:val="21"/>
          <w:highlight w:val="none"/>
          <w:u w:val="single"/>
          <w:lang w:val="zh-CN" w:eastAsia="zh-CN"/>
        </w:rPr>
        <w:t>修改</w:t>
      </w:r>
      <w:r>
        <w:rPr>
          <w:rFonts w:hint="eastAsia" w:ascii="宋体" w:hAnsi="宋体" w:cs="monospace"/>
          <w:b/>
          <w:bCs/>
          <w:color w:val="auto"/>
          <w:kern w:val="2"/>
          <w:sz w:val="21"/>
          <w:szCs w:val="21"/>
          <w:highlight w:val="none"/>
          <w:u w:val="single"/>
          <w:lang w:val="en-US" w:eastAsia="zh-CN"/>
        </w:rPr>
        <w:t>/</w:t>
      </w:r>
      <w:r>
        <w:rPr>
          <w:rFonts w:hint="eastAsia" w:ascii="宋体" w:hAnsi="宋体" w:cs="monospace"/>
          <w:b/>
          <w:bCs/>
          <w:color w:val="auto"/>
          <w:kern w:val="2"/>
          <w:sz w:val="21"/>
          <w:szCs w:val="21"/>
          <w:highlight w:val="none"/>
          <w:u w:val="single"/>
          <w:lang w:val="zh-CN" w:eastAsia="zh-CN"/>
        </w:rPr>
        <w:t>正式版）</w:t>
      </w:r>
      <w:r>
        <w:rPr>
          <w:rFonts w:hint="eastAsia" w:ascii="宋体" w:hAnsi="宋体" w:eastAsia="宋体" w:cs="monospace"/>
          <w:b/>
          <w:bCs/>
          <w:color w:val="auto"/>
          <w:kern w:val="2"/>
          <w:sz w:val="21"/>
          <w:szCs w:val="21"/>
          <w:highlight w:val="none"/>
          <w:u w:val="single"/>
          <w:lang w:val="zh-CN"/>
        </w:rPr>
        <w:t>；（</w:t>
      </w:r>
      <w:r>
        <w:rPr>
          <w:rFonts w:hint="eastAsia" w:ascii="宋体" w:hAnsi="宋体" w:eastAsia="宋体" w:cs="monospace"/>
          <w:b/>
          <w:bCs/>
          <w:color w:val="auto"/>
          <w:kern w:val="2"/>
          <w:sz w:val="21"/>
          <w:szCs w:val="21"/>
          <w:highlight w:val="none"/>
          <w:u w:val="single"/>
          <w:lang w:val="en-US" w:eastAsia="zh-CN"/>
        </w:rPr>
        <w:t>2</w:t>
      </w:r>
      <w:r>
        <w:rPr>
          <w:rFonts w:hint="eastAsia" w:ascii="宋体" w:hAnsi="宋体" w:cs="monospace"/>
          <w:b/>
          <w:bCs/>
          <w:color w:val="auto"/>
          <w:kern w:val="2"/>
          <w:sz w:val="21"/>
          <w:szCs w:val="21"/>
          <w:highlight w:val="none"/>
          <w:u w:val="single"/>
          <w:lang w:val="zh-CN"/>
        </w:rPr>
        <w:t>）服务期间</w:t>
      </w:r>
      <w:r>
        <w:rPr>
          <w:rFonts w:hint="eastAsia" w:ascii="宋体" w:hAnsi="宋体" w:cs="monospace"/>
          <w:b/>
          <w:bCs/>
          <w:color w:val="auto"/>
          <w:kern w:val="2"/>
          <w:sz w:val="21"/>
          <w:szCs w:val="21"/>
          <w:highlight w:val="none"/>
          <w:u w:val="single"/>
          <w:lang w:val="en-US" w:eastAsia="zh-CN"/>
        </w:rPr>
        <w:t>人员</w:t>
      </w:r>
      <w:r>
        <w:rPr>
          <w:rFonts w:hint="eastAsia" w:ascii="宋体" w:hAnsi="宋体" w:cs="monospace"/>
          <w:b/>
          <w:bCs/>
          <w:color w:val="auto"/>
          <w:kern w:val="2"/>
          <w:sz w:val="21"/>
          <w:szCs w:val="21"/>
          <w:highlight w:val="none"/>
          <w:u w:val="single"/>
          <w:lang w:val="zh-CN"/>
        </w:rPr>
        <w:t>工资、管理费、交通费、通讯费、</w:t>
      </w:r>
      <w:r>
        <w:rPr>
          <w:rFonts w:hint="eastAsia" w:ascii="宋体" w:hAnsi="宋体" w:cs="monospace"/>
          <w:b/>
          <w:bCs/>
          <w:color w:val="auto"/>
          <w:kern w:val="2"/>
          <w:sz w:val="21"/>
          <w:szCs w:val="21"/>
          <w:highlight w:val="none"/>
          <w:u w:val="single"/>
          <w:lang w:val="zh-CN" w:eastAsia="zh-CN"/>
        </w:rPr>
        <w:t>误餐补助</w:t>
      </w:r>
      <w:r>
        <w:rPr>
          <w:rFonts w:hint="eastAsia" w:ascii="宋体" w:hAnsi="宋体" w:cs="monospace"/>
          <w:b/>
          <w:bCs/>
          <w:color w:val="auto"/>
          <w:kern w:val="2"/>
          <w:sz w:val="21"/>
          <w:szCs w:val="21"/>
          <w:highlight w:val="none"/>
          <w:u w:val="single"/>
          <w:lang w:val="en-US" w:eastAsia="zh-CN"/>
        </w:rPr>
        <w:t>、差旅费、保险费</w:t>
      </w:r>
      <w:r>
        <w:rPr>
          <w:rFonts w:hint="eastAsia" w:ascii="宋体" w:hAnsi="宋体" w:cs="monospace"/>
          <w:b/>
          <w:bCs/>
          <w:color w:val="auto"/>
          <w:kern w:val="2"/>
          <w:sz w:val="21"/>
          <w:szCs w:val="21"/>
          <w:highlight w:val="none"/>
          <w:u w:val="single"/>
          <w:lang w:val="zh-CN"/>
        </w:rPr>
        <w:t>等一切费用；（</w:t>
      </w:r>
      <w:r>
        <w:rPr>
          <w:rFonts w:hint="eastAsia" w:ascii="宋体" w:hAnsi="宋体" w:cs="monospace"/>
          <w:b/>
          <w:bCs/>
          <w:color w:val="auto"/>
          <w:kern w:val="2"/>
          <w:sz w:val="21"/>
          <w:szCs w:val="21"/>
          <w:highlight w:val="none"/>
          <w:u w:val="single"/>
          <w:lang w:val="en-US" w:eastAsia="zh-CN"/>
        </w:rPr>
        <w:t>3</w:t>
      </w:r>
      <w:r>
        <w:rPr>
          <w:rFonts w:hint="eastAsia" w:ascii="宋体" w:hAnsi="宋体" w:cs="monospace"/>
          <w:b/>
          <w:bCs/>
          <w:color w:val="auto"/>
          <w:kern w:val="2"/>
          <w:sz w:val="21"/>
          <w:szCs w:val="21"/>
          <w:highlight w:val="none"/>
          <w:u w:val="single"/>
          <w:lang w:val="zh-CN"/>
        </w:rPr>
        <w:t>）合理利润、</w:t>
      </w:r>
      <w:r>
        <w:rPr>
          <w:rFonts w:hint="eastAsia" w:ascii="宋体" w:hAnsi="宋体" w:cs="monospace"/>
          <w:b/>
          <w:bCs/>
          <w:color w:val="auto"/>
          <w:kern w:val="2"/>
          <w:sz w:val="21"/>
          <w:szCs w:val="21"/>
          <w:highlight w:val="none"/>
          <w:u w:val="single"/>
          <w:lang w:val="en-US" w:eastAsia="zh-CN"/>
        </w:rPr>
        <w:t>成交人</w:t>
      </w:r>
      <w:r>
        <w:rPr>
          <w:rFonts w:hint="eastAsia" w:ascii="宋体" w:hAnsi="宋体" w:cs="monospace"/>
          <w:b/>
          <w:bCs/>
          <w:color w:val="auto"/>
          <w:kern w:val="2"/>
          <w:sz w:val="21"/>
          <w:szCs w:val="21"/>
          <w:highlight w:val="none"/>
          <w:u w:val="single"/>
          <w:lang w:val="zh-CN"/>
        </w:rPr>
        <w:t>销项税额以外的税费等；（</w:t>
      </w:r>
      <w:r>
        <w:rPr>
          <w:rFonts w:hint="eastAsia" w:ascii="宋体" w:hAnsi="宋体" w:cs="monospace"/>
          <w:b/>
          <w:bCs/>
          <w:color w:val="auto"/>
          <w:kern w:val="2"/>
          <w:sz w:val="21"/>
          <w:szCs w:val="21"/>
          <w:highlight w:val="none"/>
          <w:u w:val="single"/>
          <w:lang w:val="en-US" w:eastAsia="zh-CN"/>
        </w:rPr>
        <w:t>4</w:t>
      </w:r>
      <w:r>
        <w:rPr>
          <w:rFonts w:hint="eastAsia" w:ascii="宋体" w:hAnsi="宋体" w:cs="monospace"/>
          <w:b/>
          <w:bCs/>
          <w:color w:val="auto"/>
          <w:kern w:val="2"/>
          <w:sz w:val="21"/>
          <w:szCs w:val="21"/>
          <w:highlight w:val="none"/>
          <w:u w:val="single"/>
          <w:lang w:val="zh-CN"/>
        </w:rPr>
        <w:t>）法律法规、商业公认、</w:t>
      </w:r>
      <w:r>
        <w:rPr>
          <w:rFonts w:hint="eastAsia" w:ascii="宋体" w:hAnsi="宋体" w:cs="monospace"/>
          <w:b/>
          <w:bCs/>
          <w:color w:val="auto"/>
          <w:kern w:val="2"/>
          <w:sz w:val="21"/>
          <w:szCs w:val="21"/>
          <w:highlight w:val="none"/>
          <w:u w:val="single"/>
          <w:lang w:val="en-US" w:eastAsia="zh-CN"/>
        </w:rPr>
        <w:t>询价</w:t>
      </w:r>
      <w:r>
        <w:rPr>
          <w:rFonts w:hint="eastAsia" w:ascii="宋体" w:hAnsi="宋体" w:cs="monospace"/>
          <w:b/>
          <w:bCs/>
          <w:color w:val="auto"/>
          <w:kern w:val="2"/>
          <w:sz w:val="21"/>
          <w:szCs w:val="21"/>
          <w:highlight w:val="none"/>
          <w:u w:val="single"/>
          <w:lang w:val="zh-CN"/>
        </w:rPr>
        <w:t>文件规定由</w:t>
      </w:r>
      <w:r>
        <w:rPr>
          <w:rFonts w:hint="eastAsia" w:ascii="宋体" w:hAnsi="宋体" w:cs="monospace"/>
          <w:b/>
          <w:bCs/>
          <w:color w:val="auto"/>
          <w:kern w:val="2"/>
          <w:sz w:val="21"/>
          <w:szCs w:val="21"/>
          <w:highlight w:val="none"/>
          <w:u w:val="single"/>
          <w:lang w:val="en-US" w:eastAsia="zh-CN"/>
        </w:rPr>
        <w:t>报价人</w:t>
      </w:r>
      <w:r>
        <w:rPr>
          <w:rFonts w:hint="eastAsia" w:ascii="宋体" w:hAnsi="宋体" w:cs="monospace"/>
          <w:b/>
          <w:bCs/>
          <w:color w:val="auto"/>
          <w:kern w:val="2"/>
          <w:sz w:val="21"/>
          <w:szCs w:val="21"/>
          <w:highlight w:val="none"/>
          <w:u w:val="single"/>
          <w:lang w:val="zh-CN"/>
        </w:rPr>
        <w:t>承担的其他费用。未经采购人书面同意，成交人（包括但不限于成交人指定的第三方）不得要求采购人另行支付其他任何费用</w:t>
      </w:r>
      <w:r>
        <w:rPr>
          <w:rFonts w:hint="eastAsia" w:ascii="宋体" w:hAnsi="宋体" w:cs="monospace"/>
          <w:color w:val="auto"/>
          <w:kern w:val="2"/>
          <w:sz w:val="21"/>
          <w:szCs w:val="21"/>
          <w:highlight w:val="none"/>
          <w:lang w:val="zh-CN"/>
        </w:rPr>
        <w:t>。</w:t>
      </w:r>
    </w:p>
    <w:p>
      <w:pPr>
        <w:numPr>
          <w:ilvl w:val="0"/>
          <w:numId w:val="1"/>
        </w:numPr>
        <w:tabs>
          <w:tab w:val="left" w:pos="567"/>
        </w:tabs>
        <w:autoSpaceDE w:val="0"/>
        <w:autoSpaceDN w:val="0"/>
        <w:adjustRightInd w:val="0"/>
        <w:spacing w:line="360" w:lineRule="auto"/>
        <w:ind w:right="-34"/>
        <w:outlineLvl w:val="0"/>
        <w:rPr>
          <w:rFonts w:hint="eastAsia"/>
          <w:color w:val="auto"/>
          <w:highlight w:val="none"/>
          <w:u w:val="none"/>
          <w:lang w:val="zh-CN"/>
        </w:rPr>
      </w:pPr>
      <w:bookmarkStart w:id="19" w:name="_Toc28417"/>
      <w:bookmarkStart w:id="20" w:name="_Toc4655"/>
      <w:r>
        <w:rPr>
          <w:rFonts w:hint="eastAsia"/>
          <w:color w:val="auto"/>
          <w:highlight w:val="none"/>
          <w:u w:val="none"/>
          <w:lang w:val="en-US" w:eastAsia="zh-CN"/>
        </w:rPr>
        <w:t>报价文件递交时间及地点：</w:t>
      </w:r>
      <w:bookmarkEnd w:id="19"/>
      <w:bookmarkEnd w:id="20"/>
    </w:p>
    <w:p>
      <w:pPr>
        <w:numPr>
          <w:ilvl w:val="-1"/>
          <w:numId w:val="0"/>
        </w:numPr>
        <w:tabs>
          <w:tab w:val="left" w:pos="567"/>
        </w:tabs>
        <w:autoSpaceDE w:val="0"/>
        <w:autoSpaceDN w:val="0"/>
        <w:adjustRightInd w:val="0"/>
        <w:spacing w:line="360" w:lineRule="auto"/>
        <w:ind w:left="0" w:right="-34" w:firstLine="0"/>
        <w:rPr>
          <w:rFonts w:hint="default" w:ascii="Times New Roman"/>
          <w:b w:val="0"/>
          <w:bCs w:val="0"/>
          <w:color w:val="auto"/>
          <w:szCs w:val="21"/>
          <w:highlight w:val="none"/>
          <w:u w:val="none"/>
          <w:lang w:val="en-US"/>
        </w:rPr>
      </w:pPr>
      <w:r>
        <w:rPr>
          <w:rFonts w:hint="default"/>
          <w:b w:val="0"/>
          <w:bCs w:val="0"/>
          <w:color w:val="auto"/>
          <w:szCs w:val="21"/>
          <w:highlight w:val="none"/>
          <w:u w:val="none"/>
          <w:lang w:val="en-US" w:eastAsia="zh-CN"/>
        </w:rPr>
        <w:t>5.1 报价文件递交时间：</w:t>
      </w:r>
      <w:r>
        <w:rPr>
          <w:rFonts w:hint="eastAsia" w:cs="Times New Roman"/>
          <w:b w:val="0"/>
          <w:color w:val="auto"/>
          <w:szCs w:val="21"/>
          <w:highlight w:val="none"/>
          <w:u w:val="single"/>
          <w:lang w:val="en-US" w:eastAsia="zh-CN"/>
        </w:rPr>
        <w:t>2024</w:t>
      </w:r>
      <w:r>
        <w:rPr>
          <w:rFonts w:hint="default" w:ascii="Times New Roman" w:hAnsi="Times New Roman" w:eastAsia="宋体" w:cs="Times New Roman"/>
          <w:b w:val="0"/>
          <w:color w:val="auto"/>
          <w:szCs w:val="21"/>
          <w:highlight w:val="none"/>
          <w:u w:val="single"/>
          <w:lang w:val="en-US"/>
        </w:rPr>
        <w:t>年</w:t>
      </w:r>
      <w:r>
        <w:rPr>
          <w:rFonts w:hint="eastAsia" w:cs="Times New Roman"/>
          <w:b w:val="0"/>
          <w:color w:val="auto"/>
          <w:szCs w:val="21"/>
          <w:highlight w:val="none"/>
          <w:u w:val="single"/>
          <w:lang w:val="en-US" w:eastAsia="zh-CN"/>
        </w:rPr>
        <w:t>4</w:t>
      </w:r>
      <w:r>
        <w:rPr>
          <w:rFonts w:hint="default" w:ascii="Times New Roman" w:hAnsi="Times New Roman" w:eastAsia="宋体" w:cs="Times New Roman"/>
          <w:b w:val="0"/>
          <w:color w:val="auto"/>
          <w:szCs w:val="21"/>
          <w:highlight w:val="none"/>
          <w:u w:val="single"/>
          <w:lang w:val="en-US"/>
        </w:rPr>
        <w:t>月</w:t>
      </w:r>
      <w:r>
        <w:rPr>
          <w:rFonts w:hint="eastAsia" w:cs="Times New Roman"/>
          <w:b w:val="0"/>
          <w:color w:val="auto"/>
          <w:szCs w:val="21"/>
          <w:highlight w:val="none"/>
          <w:u w:val="single"/>
          <w:lang w:val="en-US" w:eastAsia="zh-CN"/>
        </w:rPr>
        <w:t>11</w:t>
      </w:r>
      <w:r>
        <w:rPr>
          <w:rFonts w:hint="default" w:ascii="Times New Roman" w:hAnsi="Times New Roman" w:eastAsia="宋体" w:cs="Times New Roman"/>
          <w:b w:val="0"/>
          <w:color w:val="auto"/>
          <w:szCs w:val="21"/>
          <w:highlight w:val="none"/>
          <w:u w:val="single"/>
          <w:lang w:val="en-US"/>
        </w:rPr>
        <w:t>日上午10时00分</w:t>
      </w:r>
      <w:r>
        <w:rPr>
          <w:rFonts w:hint="default" w:ascii="Times New Roman"/>
          <w:b w:val="0"/>
          <w:bCs w:val="0"/>
          <w:color w:val="auto"/>
          <w:szCs w:val="21"/>
          <w:highlight w:val="none"/>
          <w:u w:val="single"/>
          <w:lang w:val="en-US"/>
        </w:rPr>
        <w:t>（北京时间）</w:t>
      </w:r>
      <w:r>
        <w:rPr>
          <w:rFonts w:hint="eastAsia"/>
          <w:b w:val="0"/>
          <w:bCs w:val="0"/>
          <w:color w:val="auto"/>
          <w:szCs w:val="21"/>
          <w:highlight w:val="none"/>
          <w:u w:val="single"/>
          <w:lang w:val="en-US" w:eastAsia="zh-CN"/>
        </w:rPr>
        <w:t>前</w:t>
      </w:r>
      <w:r>
        <w:rPr>
          <w:rFonts w:hint="default"/>
          <w:b w:val="0"/>
          <w:bCs w:val="0"/>
          <w:color w:val="auto"/>
          <w:szCs w:val="21"/>
          <w:highlight w:val="none"/>
          <w:u w:val="none"/>
          <w:lang w:val="en-US"/>
        </w:rPr>
        <w:t>；</w:t>
      </w:r>
    </w:p>
    <w:p>
      <w:pPr>
        <w:numPr>
          <w:ilvl w:val="-1"/>
          <w:numId w:val="0"/>
        </w:numPr>
        <w:tabs>
          <w:tab w:val="left" w:pos="567"/>
        </w:tabs>
        <w:autoSpaceDE w:val="0"/>
        <w:autoSpaceDN w:val="0"/>
        <w:adjustRightInd w:val="0"/>
        <w:spacing w:line="360" w:lineRule="auto"/>
        <w:ind w:left="420" w:right="-34" w:hanging="420" w:hangingChars="200"/>
        <w:rPr>
          <w:rFonts w:hint="eastAsia" w:ascii="宋体" w:hAnsi="宋体" w:eastAsia="宋体" w:cs="宋体"/>
          <w:b/>
          <w:color w:val="auto"/>
          <w:szCs w:val="21"/>
          <w:highlight w:val="none"/>
          <w:u w:val="single"/>
        </w:rPr>
      </w:pPr>
      <w:r>
        <w:rPr>
          <w:rFonts w:hint="default"/>
          <w:b w:val="0"/>
          <w:bCs w:val="0"/>
          <w:color w:val="auto"/>
          <w:szCs w:val="21"/>
          <w:highlight w:val="none"/>
          <w:u w:val="none"/>
          <w:lang w:val="en-US" w:eastAsia="zh-CN"/>
        </w:rPr>
        <w:t>5.2 报价文件递交地点：</w:t>
      </w:r>
      <w:r>
        <w:rPr>
          <w:rFonts w:hint="default" w:ascii="Times New Roman" w:hAnsi="Times New Roman" w:eastAsia="宋体" w:cs="Times New Roman"/>
          <w:b w:val="0"/>
          <w:color w:val="auto"/>
          <w:szCs w:val="21"/>
          <w:highlight w:val="none"/>
          <w:u w:val="none"/>
        </w:rPr>
        <w:t>东莞市南城街道滨河路100号二期（东莞市水务集团净水有限公司）新大门内3号楼3楼东莞市水务集团实业发展有限公司合同管理部</w:t>
      </w:r>
      <w:r>
        <w:rPr>
          <w:rFonts w:hint="eastAsia" w:cs="Times New Roman"/>
          <w:b w:val="0"/>
          <w:color w:val="auto"/>
          <w:szCs w:val="21"/>
          <w:highlight w:val="none"/>
          <w:u w:val="none"/>
          <w:lang w:eastAsia="zh-CN"/>
        </w:rPr>
        <w:t>；</w:t>
      </w:r>
    </w:p>
    <w:p>
      <w:pPr>
        <w:numPr>
          <w:ilvl w:val="-1"/>
          <w:numId w:val="0"/>
        </w:numPr>
        <w:tabs>
          <w:tab w:val="left" w:pos="567"/>
        </w:tabs>
        <w:autoSpaceDE w:val="0"/>
        <w:autoSpaceDN w:val="0"/>
        <w:adjustRightInd w:val="0"/>
        <w:spacing w:line="360" w:lineRule="auto"/>
        <w:ind w:left="0" w:right="-34" w:firstLine="0"/>
        <w:outlineLvl w:val="1"/>
        <w:rPr>
          <w:rFonts w:hint="eastAsia"/>
          <w:color w:val="auto"/>
          <w:highlight w:val="none"/>
          <w:u w:val="none"/>
          <w:lang w:val="zh-CN"/>
        </w:rPr>
      </w:pPr>
      <w:bookmarkStart w:id="21" w:name="_Toc15860"/>
      <w:bookmarkStart w:id="22" w:name="_Toc11612"/>
      <w:r>
        <w:rPr>
          <w:rFonts w:hint="eastAsia"/>
          <w:color w:val="auto"/>
          <w:szCs w:val="21"/>
          <w:highlight w:val="none"/>
          <w:u w:val="none"/>
          <w:lang w:val="en-US" w:eastAsia="zh-CN"/>
        </w:rPr>
        <w:t xml:space="preserve">5.3 </w:t>
      </w:r>
      <w:r>
        <w:rPr>
          <w:rFonts w:hint="eastAsia" w:ascii="Times New Roman"/>
          <w:color w:val="auto"/>
          <w:szCs w:val="21"/>
          <w:highlight w:val="none"/>
          <w:u w:val="none"/>
          <w:lang w:val="zh-CN"/>
        </w:rPr>
        <w:t>电报、传真、邮件等非密封形式的报价概不接受。</w:t>
      </w:r>
      <w:bookmarkEnd w:id="21"/>
      <w:bookmarkEnd w:id="22"/>
    </w:p>
    <w:p>
      <w:pPr>
        <w:tabs>
          <w:tab w:val="left" w:pos="567"/>
        </w:tabs>
        <w:autoSpaceDE w:val="0"/>
        <w:autoSpaceDN w:val="0"/>
        <w:adjustRightInd w:val="0"/>
        <w:spacing w:line="360" w:lineRule="auto"/>
        <w:ind w:left="340" w:right="-34" w:firstLine="420" w:firstLineChars="200"/>
        <w:rPr>
          <w:rFonts w:hint="eastAsia" w:ascii="宋体" w:hAnsi="宋体" w:eastAsia="宋体" w:cs="宋体"/>
          <w:color w:val="auto"/>
          <w:szCs w:val="21"/>
          <w:highlight w:val="none"/>
          <w:lang w:val="zh-CN"/>
        </w:rPr>
      </w:pPr>
      <w:r>
        <w:rPr>
          <w:rFonts w:hint="eastAsia" w:ascii="宋体" w:hAnsi="宋体" w:cs="宋体"/>
          <w:color w:val="auto"/>
          <w:szCs w:val="21"/>
          <w:highlight w:val="none"/>
          <w:lang w:val="zh-CN" w:eastAsia="zh-CN"/>
        </w:rPr>
        <w:t>采购人倡议在递交报价文件截止日当天，由报价人法定代表人或其授权代表于递交报价文件截止时间前亲自递交密封的报价文件，并见证开封报价的过程。电报、传真、邮件等非密封形式的报价概不接受。报价人以快递、邮寄方式递交密封报价文件的，务必与采购联系人确认，并确保在递交报价文</w:t>
      </w:r>
      <w:bookmarkStart w:id="314" w:name="_GoBack"/>
      <w:bookmarkEnd w:id="314"/>
      <w:r>
        <w:rPr>
          <w:rFonts w:hint="eastAsia" w:ascii="宋体" w:hAnsi="宋体" w:cs="宋体"/>
          <w:color w:val="auto"/>
          <w:szCs w:val="21"/>
          <w:highlight w:val="none"/>
          <w:lang w:val="zh-CN" w:eastAsia="zh-CN"/>
        </w:rPr>
        <w:t>件截止时间前送达采购联系人（必须由询价文件内列明的采购联系人签收），自行承担因未能在递交报价文件截止时间前送达而被拒绝报价的风险，并视为自愿放弃对开封报价过程的监督，以及对开封报价的过程及程序提出异议的权利。</w:t>
      </w:r>
    </w:p>
    <w:p>
      <w:pPr>
        <w:numPr>
          <w:ilvl w:val="0"/>
          <w:numId w:val="1"/>
        </w:numPr>
        <w:tabs>
          <w:tab w:val="left" w:pos="567"/>
        </w:tabs>
        <w:autoSpaceDE w:val="0"/>
        <w:autoSpaceDN w:val="0"/>
        <w:adjustRightInd w:val="0"/>
        <w:spacing w:line="360" w:lineRule="auto"/>
        <w:ind w:right="-34"/>
        <w:rPr>
          <w:rFonts w:hint="eastAsia" w:ascii="宋体" w:hAnsi="宋体" w:eastAsia="宋体" w:cs="宋体"/>
          <w:color w:val="auto"/>
          <w:szCs w:val="21"/>
          <w:highlight w:val="none"/>
        </w:rPr>
      </w:pPr>
      <w:r>
        <w:rPr>
          <w:rFonts w:hint="eastAsia" w:ascii="宋体" w:hAnsi="宋体" w:eastAsia="宋体" w:cs="宋体"/>
          <w:color w:val="auto"/>
          <w:szCs w:val="21"/>
          <w:highlight w:val="none"/>
        </w:rPr>
        <w:t>兹定于</w:t>
      </w:r>
      <w:r>
        <w:rPr>
          <w:rFonts w:hint="eastAsia" w:ascii="宋体" w:hAnsi="宋体" w:cs="宋体"/>
          <w:b/>
          <w:color w:val="auto"/>
          <w:szCs w:val="21"/>
          <w:highlight w:val="none"/>
          <w:u w:val="single"/>
          <w:lang w:eastAsia="zh-CN"/>
        </w:rPr>
        <w:t>2024</w:t>
      </w:r>
      <w:r>
        <w:rPr>
          <w:rFonts w:hint="eastAsia" w:ascii="宋体" w:hAnsi="宋体" w:eastAsia="宋体" w:cs="宋体"/>
          <w:b/>
          <w:color w:val="auto"/>
          <w:szCs w:val="21"/>
          <w:highlight w:val="none"/>
          <w:u w:val="single"/>
        </w:rPr>
        <w:t>年</w:t>
      </w:r>
      <w:r>
        <w:rPr>
          <w:rFonts w:hint="eastAsia" w:ascii="宋体" w:hAnsi="宋体" w:cs="宋体"/>
          <w:b/>
          <w:color w:val="auto"/>
          <w:szCs w:val="21"/>
          <w:highlight w:val="none"/>
          <w:u w:val="single"/>
          <w:lang w:val="en-US" w:eastAsia="zh-CN"/>
        </w:rPr>
        <w:t>4</w:t>
      </w:r>
      <w:r>
        <w:rPr>
          <w:rFonts w:hint="eastAsia" w:ascii="宋体" w:hAnsi="宋体" w:eastAsia="宋体" w:cs="宋体"/>
          <w:b/>
          <w:color w:val="auto"/>
          <w:szCs w:val="21"/>
          <w:highlight w:val="none"/>
          <w:u w:val="single"/>
        </w:rPr>
        <w:t>月</w:t>
      </w:r>
      <w:r>
        <w:rPr>
          <w:rFonts w:hint="eastAsia" w:ascii="宋体" w:hAnsi="宋体" w:cs="宋体"/>
          <w:b/>
          <w:color w:val="auto"/>
          <w:szCs w:val="21"/>
          <w:highlight w:val="none"/>
          <w:u w:val="single"/>
          <w:lang w:val="en-US" w:eastAsia="zh-CN"/>
        </w:rPr>
        <w:t>11</w:t>
      </w:r>
      <w:r>
        <w:rPr>
          <w:rFonts w:hint="eastAsia" w:ascii="宋体" w:hAnsi="宋体" w:eastAsia="宋体" w:cs="宋体"/>
          <w:b/>
          <w:color w:val="auto"/>
          <w:szCs w:val="21"/>
          <w:highlight w:val="none"/>
          <w:u w:val="single"/>
        </w:rPr>
        <w:t>日上午10时00分（北京时间）</w:t>
      </w:r>
      <w:r>
        <w:rPr>
          <w:rFonts w:hint="eastAsia" w:ascii="宋体" w:hAnsi="宋体" w:eastAsia="宋体" w:cs="宋体"/>
          <w:color w:val="auto"/>
          <w:szCs w:val="21"/>
          <w:highlight w:val="none"/>
        </w:rPr>
        <w:t>在下述地址公开开封报价文件。</w:t>
      </w:r>
    </w:p>
    <w:p>
      <w:pPr>
        <w:tabs>
          <w:tab w:val="left" w:pos="567"/>
        </w:tabs>
        <w:autoSpaceDE w:val="0"/>
        <w:autoSpaceDN w:val="0"/>
        <w:adjustRightInd w:val="0"/>
        <w:spacing w:line="360" w:lineRule="auto"/>
        <w:ind w:left="340" w:right="-34"/>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开封报价地点：东莞市南城街道滨河路100号</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期</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号楼</w:t>
      </w:r>
      <w:r>
        <w:rPr>
          <w:rFonts w:hint="eastAsia" w:ascii="宋体" w:hAnsi="宋体" w:eastAsia="宋体" w:cs="宋体"/>
          <w:color w:val="auto"/>
          <w:szCs w:val="21"/>
          <w:highlight w:val="none"/>
          <w:lang w:val="en-US" w:eastAsia="zh-CN"/>
        </w:rPr>
        <w:t>3楼</w:t>
      </w:r>
      <w:r>
        <w:rPr>
          <w:rFonts w:hint="eastAsia" w:ascii="宋体" w:hAnsi="宋体" w:eastAsia="宋体" w:cs="宋体"/>
          <w:color w:val="auto"/>
          <w:szCs w:val="21"/>
          <w:highlight w:val="none"/>
        </w:rPr>
        <w:t>东莞市水务集团实业发展有限公司会议室（或根据采购人采购部门临时调整的采购人办公区域内指定地点）。</w:t>
      </w:r>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right="-34" w:hanging="420" w:hanging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7、本项目补充通知在</w:t>
      </w:r>
      <w:r>
        <w:rPr>
          <w:rFonts w:hint="default" w:ascii="Times New Roman" w:hAnsi="Times New Roman" w:cs="Times New Roman"/>
          <w:color w:val="auto"/>
          <w:kern w:val="2"/>
          <w:sz w:val="21"/>
          <w:szCs w:val="21"/>
          <w:highlight w:val="none"/>
          <w:u w:val="none"/>
          <w:lang w:val="zh-CN"/>
        </w:rPr>
        <w:t>东莞市水务集团有限公司官网</w:t>
      </w:r>
      <w:r>
        <w:rPr>
          <w:rFonts w:hint="default" w:ascii="Times New Roman" w:hAnsi="Times New Roman" w:cs="Times New Roman"/>
          <w:color w:val="auto"/>
          <w:kern w:val="2"/>
          <w:sz w:val="21"/>
          <w:szCs w:val="21"/>
          <w:highlight w:val="none"/>
          <w:u w:val="none"/>
        </w:rPr>
        <w:t>（http://www.dgswjt.cn/）</w:t>
      </w:r>
      <w:r>
        <w:rPr>
          <w:rFonts w:hint="eastAsia" w:cs="Times New Roman"/>
          <w:color w:val="auto"/>
          <w:kern w:val="2"/>
          <w:sz w:val="21"/>
          <w:szCs w:val="21"/>
          <w:highlight w:val="none"/>
          <w:u w:val="none"/>
          <w:lang w:val="en-US" w:eastAsia="zh-CN"/>
        </w:rPr>
        <w:t>予以公告，除此方式外，不再另行通知。供应商必须密切留意本项目补充通知发放信息，并自行下载补充通知及相关资料。如未留意或及时下载，一切后果由供应商自负。</w:t>
      </w:r>
    </w:p>
    <w:p>
      <w:pPr>
        <w:tabs>
          <w:tab w:val="left" w:pos="567"/>
        </w:tabs>
        <w:autoSpaceDE w:val="0"/>
        <w:autoSpaceDN w:val="0"/>
        <w:adjustRightInd w:val="0"/>
        <w:spacing w:line="360" w:lineRule="auto"/>
        <w:ind w:right="-34"/>
        <w:outlineLvl w:val="0"/>
        <w:rPr>
          <w:rFonts w:hint="eastAsia" w:ascii="宋体" w:hAnsi="宋体" w:eastAsia="宋体" w:cs="宋体"/>
          <w:color w:val="auto"/>
          <w:szCs w:val="21"/>
          <w:highlight w:val="none"/>
          <w:lang w:val="zh-CN"/>
        </w:rPr>
      </w:pPr>
      <w:bookmarkStart w:id="23" w:name="_Toc26135"/>
      <w:bookmarkStart w:id="24" w:name="_Toc25290"/>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、有关此次采购事宜，可按下列地址向采购人查询：</w:t>
      </w:r>
      <w:bookmarkEnd w:id="23"/>
      <w:bookmarkEnd w:id="24"/>
    </w:p>
    <w:p>
      <w:pPr>
        <w:tabs>
          <w:tab w:val="left" w:pos="567"/>
        </w:tabs>
        <w:autoSpaceDE w:val="0"/>
        <w:autoSpaceDN w:val="0"/>
        <w:adjustRightInd w:val="0"/>
        <w:spacing w:line="360" w:lineRule="auto"/>
        <w:ind w:left="340" w:right="-34"/>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hAnsi="宋体"/>
          <w:color w:val="auto"/>
          <w:szCs w:val="21"/>
          <w:highlight w:val="none"/>
          <w:lang w:val="en-US" w:eastAsia="zh-CN"/>
        </w:rPr>
        <w:t>马卓越</w:t>
      </w:r>
    </w:p>
    <w:p>
      <w:pPr>
        <w:tabs>
          <w:tab w:val="left" w:pos="567"/>
        </w:tabs>
        <w:autoSpaceDE w:val="0"/>
        <w:autoSpaceDN w:val="0"/>
        <w:adjustRightInd w:val="0"/>
        <w:spacing w:line="360" w:lineRule="auto"/>
        <w:ind w:left="340" w:right="-34"/>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电话：0769-22</w:t>
      </w:r>
      <w:r>
        <w:rPr>
          <w:rFonts w:hint="eastAsia" w:ascii="宋体" w:hAnsi="宋体" w:eastAsia="宋体" w:cs="宋体"/>
          <w:color w:val="auto"/>
          <w:szCs w:val="21"/>
          <w:highlight w:val="none"/>
          <w:lang w:val="en-US" w:eastAsia="zh-CN"/>
        </w:rPr>
        <w:t>621996</w:t>
      </w:r>
    </w:p>
    <w:p>
      <w:pPr>
        <w:tabs>
          <w:tab w:val="left" w:pos="567"/>
        </w:tabs>
        <w:autoSpaceDE w:val="0"/>
        <w:autoSpaceDN w:val="0"/>
        <w:adjustRightInd w:val="0"/>
        <w:spacing w:line="360" w:lineRule="auto"/>
        <w:ind w:left="340" w:right="-34"/>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联系部门：东莞市水务集团实业发展有限公司合同管理部</w:t>
      </w:r>
    </w:p>
    <w:p>
      <w:pPr>
        <w:tabs>
          <w:tab w:val="left" w:pos="567"/>
        </w:tabs>
        <w:autoSpaceDE w:val="0"/>
        <w:autoSpaceDN w:val="0"/>
        <w:adjustRightInd w:val="0"/>
        <w:spacing w:line="360" w:lineRule="auto"/>
        <w:ind w:left="340" w:right="-34"/>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部门邮箱：</w:t>
      </w:r>
      <w:r>
        <w:rPr>
          <w:rFonts w:hint="eastAsia" w:ascii="宋体" w:hAnsi="宋体" w:eastAsia="宋体" w:cs="宋体"/>
          <w:color w:val="auto"/>
          <w:szCs w:val="21"/>
          <w:highlight w:val="none"/>
          <w:lang w:val="zh-CN"/>
        </w:rPr>
        <w:t>swsyhtglb@163.com</w:t>
      </w:r>
    </w:p>
    <w:p>
      <w:pPr>
        <w:tabs>
          <w:tab w:val="left" w:pos="567"/>
        </w:tabs>
        <w:autoSpaceDE w:val="0"/>
        <w:autoSpaceDN w:val="0"/>
        <w:adjustRightInd w:val="0"/>
        <w:spacing w:line="360" w:lineRule="auto"/>
        <w:ind w:left="1598" w:leftChars="161" w:right="-34" w:hanging="1260" w:hangingChars="6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联系人地址：东莞市南城街道滨河路100号二期（东莞市水务集团净水有限公司）新大门内3号楼3楼东莞市水务集团实业发展有限公司。</w:t>
      </w:r>
    </w:p>
    <w:p>
      <w:pPr>
        <w:widowControl/>
        <w:tabs>
          <w:tab w:val="left" w:pos="0"/>
        </w:tabs>
        <w:spacing w:line="360" w:lineRule="auto"/>
        <w:ind w:right="-36"/>
        <w:textAlignment w:val="bottom"/>
        <w:rPr>
          <w:rFonts w:hint="eastAsia" w:ascii="宋体" w:hAnsi="宋体" w:eastAsia="宋体" w:cs="宋体"/>
          <w:color w:val="auto"/>
          <w:szCs w:val="32"/>
          <w:highlight w:val="none"/>
        </w:rPr>
      </w:pPr>
    </w:p>
    <w:p>
      <w:pPr>
        <w:spacing w:line="480" w:lineRule="auto"/>
        <w:ind w:left="210" w:leftChars="100" w:right="210" w:rightChars="100" w:firstLine="2835" w:firstLineChars="1350"/>
        <w:jc w:val="righ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东莞市</w:t>
      </w:r>
      <w:r>
        <w:rPr>
          <w:rFonts w:hint="eastAsia" w:ascii="宋体" w:hAnsi="宋体" w:cs="宋体"/>
          <w:color w:val="auto"/>
          <w:szCs w:val="21"/>
          <w:highlight w:val="none"/>
          <w:lang w:val="en-US" w:eastAsia="zh-CN"/>
        </w:rPr>
        <w:t>智汇水务科技</w:t>
      </w:r>
      <w:r>
        <w:rPr>
          <w:rFonts w:hint="eastAsia" w:ascii="宋体" w:hAnsi="宋体" w:eastAsia="宋体" w:cs="宋体"/>
          <w:color w:val="auto"/>
          <w:szCs w:val="21"/>
          <w:highlight w:val="none"/>
          <w:lang w:eastAsia="zh-CN"/>
        </w:rPr>
        <w:t>有限公司</w:t>
      </w:r>
    </w:p>
    <w:p>
      <w:pPr>
        <w:spacing w:line="480" w:lineRule="auto"/>
        <w:ind w:left="210" w:leftChars="100" w:right="210" w:rightChars="100" w:firstLine="2835" w:firstLineChars="1350"/>
        <w:jc w:val="righ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2024</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日</w:t>
      </w:r>
    </w:p>
    <w:p>
      <w:pPr>
        <w:pStyle w:val="14"/>
        <w:keepNext w:val="0"/>
        <w:keepLines w:val="0"/>
        <w:pageBreakBefore/>
        <w:widowControl w:val="0"/>
        <w:kinsoku/>
        <w:wordWrap/>
        <w:overflowPunct/>
        <w:topLinePunct w:val="0"/>
        <w:autoSpaceDE w:val="0"/>
        <w:autoSpaceDN w:val="0"/>
        <w:bidi w:val="0"/>
        <w:adjustRightInd w:val="0"/>
        <w:snapToGrid/>
        <w:spacing w:before="0" w:after="0" w:line="360" w:lineRule="auto"/>
        <w:ind w:firstLine="0" w:firstLineChars="0"/>
        <w:jc w:val="center"/>
        <w:textAlignment w:val="auto"/>
        <w:outlineLvl w:val="1"/>
        <w:rPr>
          <w:rFonts w:hint="eastAsia" w:ascii="宋体" w:hAnsi="宋体" w:eastAsia="宋体" w:cs="宋体"/>
          <w:color w:val="auto"/>
          <w:sz w:val="30"/>
          <w:szCs w:val="30"/>
          <w:highlight w:val="none"/>
          <w:lang w:val="zh-CN"/>
        </w:rPr>
      </w:pPr>
      <w:bookmarkStart w:id="25" w:name="_Toc31116"/>
      <w:bookmarkStart w:id="26" w:name="_Toc20918"/>
      <w:r>
        <w:rPr>
          <w:rFonts w:hint="eastAsia" w:ascii="宋体" w:hAnsi="宋体" w:eastAsia="宋体" w:cs="宋体"/>
          <w:color w:val="auto"/>
          <w:sz w:val="30"/>
          <w:szCs w:val="30"/>
          <w:highlight w:val="none"/>
          <w:lang w:val="zh-CN"/>
        </w:rPr>
        <w:t>第二篇</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lang w:val="zh-CN"/>
        </w:rPr>
        <w:t>报价人须知</w:t>
      </w:r>
      <w:bookmarkEnd w:id="25"/>
      <w:bookmarkEnd w:id="26"/>
    </w:p>
    <w:p>
      <w:pPr>
        <w:pStyle w:val="5"/>
        <w:spacing w:before="0" w:after="0" w:line="360" w:lineRule="auto"/>
        <w:outlineLvl w:val="0"/>
        <w:rPr>
          <w:rFonts w:hint="eastAsia" w:asciiTheme="minorEastAsia" w:hAnsiTheme="minorEastAsia" w:eastAsiaTheme="minorEastAsia"/>
          <w:color w:val="auto"/>
          <w:sz w:val="21"/>
          <w:szCs w:val="21"/>
          <w:highlight w:val="none"/>
          <w:lang w:val="zh-CN"/>
        </w:rPr>
      </w:pPr>
      <w:bookmarkStart w:id="27" w:name="_Toc27750"/>
      <w:bookmarkStart w:id="28" w:name="_Toc14808"/>
      <w:r>
        <w:rPr>
          <w:rFonts w:hint="eastAsia" w:asciiTheme="minorEastAsia" w:hAnsiTheme="minorEastAsia" w:eastAsiaTheme="minorEastAsia"/>
          <w:color w:val="auto"/>
          <w:sz w:val="21"/>
          <w:szCs w:val="21"/>
          <w:highlight w:val="none"/>
          <w:lang w:val="en-US" w:eastAsia="zh-CN"/>
        </w:rPr>
        <w:t xml:space="preserve">1   </w:t>
      </w:r>
      <w:r>
        <w:rPr>
          <w:rFonts w:hint="eastAsia" w:asciiTheme="minorEastAsia" w:hAnsiTheme="minorEastAsia" w:eastAsiaTheme="minorEastAsia"/>
          <w:color w:val="auto"/>
          <w:sz w:val="21"/>
          <w:szCs w:val="21"/>
          <w:highlight w:val="none"/>
          <w:lang w:val="zh-CN"/>
        </w:rPr>
        <w:t>资金来源：企业自筹资金。</w:t>
      </w:r>
      <w:bookmarkEnd w:id="27"/>
      <w:bookmarkEnd w:id="28"/>
    </w:p>
    <w:p>
      <w:pPr>
        <w:pStyle w:val="2"/>
        <w:spacing w:line="360" w:lineRule="auto"/>
        <w:rPr>
          <w:rFonts w:hint="eastAsia" w:ascii="宋体" w:hAnsi="宋体" w:eastAsia="宋体" w:cs="宋体"/>
          <w:color w:val="auto"/>
          <w:highlight w:val="none"/>
          <w:lang w:val="zh-CN"/>
        </w:rPr>
      </w:pPr>
    </w:p>
    <w:p>
      <w:pPr>
        <w:pStyle w:val="5"/>
        <w:spacing w:before="0" w:after="0" w:line="360" w:lineRule="auto"/>
        <w:outlineLvl w:val="0"/>
        <w:rPr>
          <w:rFonts w:hint="eastAsia" w:ascii="宋体" w:hAnsi="宋体" w:eastAsia="宋体" w:cs="宋体"/>
          <w:color w:val="auto"/>
          <w:sz w:val="21"/>
          <w:szCs w:val="21"/>
          <w:highlight w:val="none"/>
          <w:lang w:val="zh-CN" w:eastAsia="zh-CN"/>
        </w:rPr>
      </w:pPr>
      <w:bookmarkStart w:id="29" w:name="_Toc22949"/>
      <w:bookmarkStart w:id="30" w:name="_Toc31525"/>
      <w:r>
        <w:rPr>
          <w:rFonts w:hint="eastAsia" w:ascii="宋体" w:hAnsi="宋体" w:eastAsia="宋体" w:cs="宋体"/>
          <w:color w:val="auto"/>
          <w:sz w:val="21"/>
          <w:szCs w:val="21"/>
          <w:highlight w:val="none"/>
          <w:lang w:val="zh-CN" w:eastAsia="zh-CN"/>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eastAsia="zh-CN"/>
        </w:rPr>
        <w:t>合格的报价人</w:t>
      </w:r>
      <w:bookmarkEnd w:id="29"/>
      <w:bookmarkEnd w:id="30"/>
    </w:p>
    <w:p>
      <w:pPr>
        <w:spacing w:line="360" w:lineRule="auto"/>
        <w:ind w:left="525" w:hanging="525" w:hangingChars="25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2.</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zh-CN"/>
        </w:rPr>
        <w:t xml:space="preserve"> </w:t>
      </w:r>
      <w:r>
        <w:rPr>
          <w:rFonts w:hint="eastAsia" w:ascii="宋体" w:hAnsi="宋体" w:cs="宋体"/>
          <w:color w:val="auto"/>
          <w:szCs w:val="21"/>
          <w:highlight w:val="none"/>
          <w:lang w:val="en-US" w:eastAsia="zh-CN"/>
        </w:rPr>
        <w:t>合格的报价人条件见</w:t>
      </w:r>
      <w:r>
        <w:rPr>
          <w:rFonts w:hint="default" w:ascii="Times New Roman" w:hAnsi="Times New Roman" w:cs="Times New Roman"/>
          <w:color w:val="auto"/>
          <w:kern w:val="2"/>
          <w:sz w:val="21"/>
          <w:szCs w:val="21"/>
          <w:highlight w:val="none"/>
          <w:lang w:val="zh-CN"/>
        </w:rPr>
        <w:t>第一篇《</w:t>
      </w:r>
      <w:r>
        <w:rPr>
          <w:rFonts w:hint="eastAsia" w:cs="Times New Roman"/>
          <w:color w:val="auto"/>
          <w:kern w:val="2"/>
          <w:sz w:val="21"/>
          <w:szCs w:val="21"/>
          <w:highlight w:val="none"/>
          <w:lang w:val="en-US" w:eastAsia="zh-CN"/>
        </w:rPr>
        <w:t>询价</w:t>
      </w:r>
      <w:r>
        <w:rPr>
          <w:rFonts w:hint="default" w:ascii="Times New Roman" w:hAnsi="Times New Roman" w:cs="Times New Roman"/>
          <w:color w:val="auto"/>
          <w:kern w:val="2"/>
          <w:sz w:val="21"/>
          <w:szCs w:val="21"/>
          <w:highlight w:val="none"/>
          <w:lang w:val="zh-CN"/>
        </w:rPr>
        <w:t>公告》中第2条的“合格</w:t>
      </w:r>
      <w:r>
        <w:rPr>
          <w:rFonts w:hint="eastAsia" w:cs="Times New Roman"/>
          <w:color w:val="auto"/>
          <w:kern w:val="2"/>
          <w:sz w:val="21"/>
          <w:szCs w:val="21"/>
          <w:highlight w:val="none"/>
          <w:lang w:val="en-US" w:eastAsia="zh-CN"/>
        </w:rPr>
        <w:t>报价人</w:t>
      </w:r>
      <w:r>
        <w:rPr>
          <w:rFonts w:hint="default" w:ascii="Times New Roman" w:hAnsi="Times New Roman" w:cs="Times New Roman"/>
          <w:color w:val="auto"/>
          <w:kern w:val="2"/>
          <w:sz w:val="21"/>
          <w:szCs w:val="21"/>
          <w:highlight w:val="none"/>
          <w:lang w:val="zh-CN"/>
        </w:rPr>
        <w:t>资格要求”及本条以下2.2款</w:t>
      </w:r>
      <w:r>
        <w:rPr>
          <w:rFonts w:hint="eastAsia" w:cs="Times New Roman"/>
          <w:color w:val="auto"/>
          <w:kern w:val="2"/>
          <w:sz w:val="21"/>
          <w:szCs w:val="21"/>
          <w:highlight w:val="none"/>
          <w:lang w:val="en-US" w:eastAsia="zh-CN"/>
        </w:rPr>
        <w:t>至2.4款</w:t>
      </w:r>
      <w:r>
        <w:rPr>
          <w:rFonts w:hint="default" w:ascii="Times New Roman" w:hAnsi="Times New Roman" w:cs="Times New Roman"/>
          <w:color w:val="auto"/>
          <w:kern w:val="2"/>
          <w:sz w:val="21"/>
          <w:szCs w:val="21"/>
          <w:highlight w:val="none"/>
          <w:lang w:val="zh-CN"/>
        </w:rPr>
        <w:t>的通用要求。</w:t>
      </w:r>
    </w:p>
    <w:p>
      <w:pPr>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cs="宋体"/>
          <w:color w:val="auto"/>
          <w:szCs w:val="21"/>
          <w:highlight w:val="none"/>
          <w:lang w:val="en-US" w:eastAsia="zh-CN"/>
        </w:rPr>
        <w:t xml:space="preserve">2.2 </w:t>
      </w:r>
      <w:r>
        <w:rPr>
          <w:rFonts w:hint="eastAsia" w:ascii="宋体" w:hAnsi="宋体" w:eastAsia="宋体" w:cs="宋体"/>
          <w:color w:val="auto"/>
          <w:szCs w:val="21"/>
          <w:highlight w:val="none"/>
          <w:lang w:val="zh-CN"/>
        </w:rPr>
        <w:t>报价人（含其不具有独立法人资格的分支机构）未被列入“信用中国”网站（www.creditchina.gov.cn）失信被执行人、重大税收违法失信主体、政府采购严重违法失信行为记录名单（处罚期限届满的除外）。</w:t>
      </w:r>
    </w:p>
    <w:p>
      <w:pPr>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与采购人存在利害关系可能影响采购公正性的法人、其他组织或者个人，不得参加报价；报价人负责人为同一人或者存在控股、管理关系的不同报价人，不得参加同一项目报价。上述情况一经发现，相关报价均无效。</w:t>
      </w:r>
    </w:p>
    <w:p>
      <w:pPr>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在参与采购人（或其上级单位、或权属单位）项目的投标报价或履行合同等经济活动过程中，未存在提供虚假材料等弄虚作假行为，未被纳入东莞市水务集团</w:t>
      </w:r>
      <w:r>
        <w:rPr>
          <w:rFonts w:hint="eastAsia" w:ascii="宋体" w:hAnsi="宋体" w:cs="宋体"/>
          <w:color w:val="auto"/>
          <w:szCs w:val="21"/>
          <w:highlight w:val="none"/>
          <w:lang w:val="en-US" w:eastAsia="zh-CN"/>
        </w:rPr>
        <w:t>实业发展</w:t>
      </w:r>
      <w:r>
        <w:rPr>
          <w:rFonts w:hint="eastAsia" w:ascii="宋体" w:hAnsi="宋体" w:eastAsia="宋体" w:cs="宋体"/>
          <w:color w:val="auto"/>
          <w:szCs w:val="21"/>
          <w:highlight w:val="none"/>
          <w:lang w:val="zh-CN"/>
        </w:rPr>
        <w:t>有限公司（含其</w:t>
      </w:r>
      <w:r>
        <w:rPr>
          <w:rFonts w:hint="eastAsia" w:ascii="宋体" w:hAnsi="宋体" w:cs="宋体"/>
          <w:color w:val="auto"/>
          <w:szCs w:val="21"/>
          <w:highlight w:val="none"/>
          <w:lang w:val="en-US" w:eastAsia="zh-CN"/>
        </w:rPr>
        <w:t>全资公司、</w:t>
      </w:r>
      <w:r>
        <w:rPr>
          <w:rFonts w:hint="eastAsia" w:ascii="宋体" w:hAnsi="宋体" w:eastAsia="宋体" w:cs="宋体"/>
          <w:color w:val="auto"/>
          <w:szCs w:val="21"/>
          <w:highlight w:val="none"/>
          <w:lang w:val="zh-CN"/>
        </w:rPr>
        <w:t>控股公司、由其管理的参股公司）招标、采购、征集供应商或合作方采购“黑名单”中。</w:t>
      </w:r>
    </w:p>
    <w:p>
      <w:pPr>
        <w:pStyle w:val="2"/>
        <w:spacing w:line="360" w:lineRule="auto"/>
        <w:rPr>
          <w:rFonts w:hint="eastAsia"/>
          <w:color w:val="auto"/>
          <w:highlight w:val="none"/>
          <w:lang w:val="zh-CN"/>
        </w:rPr>
      </w:pPr>
    </w:p>
    <w:p>
      <w:pPr>
        <w:pStyle w:val="5"/>
        <w:spacing w:before="0" w:after="0" w:line="360" w:lineRule="auto"/>
        <w:outlineLvl w:val="0"/>
        <w:rPr>
          <w:rFonts w:hint="eastAsia" w:ascii="宋体" w:hAnsi="宋体" w:eastAsia="宋体" w:cs="宋体"/>
          <w:color w:val="auto"/>
          <w:sz w:val="21"/>
          <w:szCs w:val="21"/>
          <w:highlight w:val="none"/>
          <w:lang w:val="zh-CN"/>
        </w:rPr>
      </w:pPr>
      <w:bookmarkStart w:id="31" w:name="_Toc6675"/>
      <w:bookmarkStart w:id="32" w:name="_Toc16114"/>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lang w:val="zh-CN"/>
        </w:rPr>
        <w:t>合格的货物、服务或工程</w:t>
      </w:r>
      <w:bookmarkEnd w:id="31"/>
      <w:bookmarkEnd w:id="32"/>
    </w:p>
    <w:p>
      <w:pPr>
        <w:spacing w:line="360" w:lineRule="auto"/>
        <w:ind w:left="420" w:hanging="420" w:hangingChars="200"/>
        <w:rPr>
          <w:rFonts w:hint="eastAsia" w:ascii="宋体" w:hAnsi="宋体" w:eastAsia="宋体" w:cs="宋体"/>
          <w:color w:val="auto"/>
          <w:sz w:val="20"/>
          <w:szCs w:val="21"/>
          <w:highlight w:val="none"/>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“服务”是指报价人依法并按采购文件规定完成的全部服务内容，其中包括完成服务所需的货物和工程，及应承担的技术支持、培训和其它伴随服务。</w:t>
      </w:r>
    </w:p>
    <w:p>
      <w:pPr>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货物”是指必须是合法生产、合法来源的原厂生产的、全新的、未使用过的，并完全符合原厂质量检测标准和国家质量检测标准、行业标准和采购文件要求、报价文件承诺。涉及进口产品或原材料的，报价人负责办理所有货物的进口及商检手续，并承担相关费用。</w:t>
      </w:r>
    </w:p>
    <w:p>
      <w:pPr>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 报价人必须保证提供的所有服务，其质量、技术等特征必须符合国家、行业现行法律、法规的相关标准和及用户需求的要求。</w:t>
      </w:r>
    </w:p>
    <w:p>
      <w:pPr>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 进口的货物及其有关服务必须符合原产地和中华人民共和国的设计和制造生产或行业标准。进口的货物须是具有合法的进口手续和途径，并通过了中华人民共和国商检部门的检验。报价人负责办理所有货物的进口及商检手续，并承担相关费用，还应提供原产地证书、报关资料及检验检疫证明、完税证明。</w:t>
      </w:r>
    </w:p>
    <w:p>
      <w:pPr>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 报价人应保证本项目的技术、服务或其任何一部分免受第三方提出侵犯其专利权、商标权、著作权或其它知识产权的起诉、仲裁或其他形式的责任追究。如果报价人不拥有相应的知识产权，则投标报价应包括合法获取该知识产权的相关费用。如有违反，造成采购人任何经济损失或其他损失的，由报价人承担全部赔偿责任，并向采购人支付采购标的20%的违约金（合同条款内对违约金另有约定的，优先从其约定）。</w:t>
      </w:r>
    </w:p>
    <w:p>
      <w:pPr>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 无论报价人是否在投标报价表中明示，均视为投标报价已承担包含所有应支付的对专利权、商标权和版权、设计或其他知识产权而需要向其他方支付的版税和使用费等相关费用。如报价人未依法向第三方支付应缴版税和使用费等相关费用的，造成采购人任何经济损失的，由报价人承担全部赔偿责任。</w:t>
      </w:r>
    </w:p>
    <w:p>
      <w:pPr>
        <w:pStyle w:val="2"/>
        <w:spacing w:line="360" w:lineRule="auto"/>
        <w:rPr>
          <w:rFonts w:hint="eastAsia" w:ascii="宋体" w:hAnsi="宋体" w:eastAsia="宋体" w:cs="宋体"/>
          <w:color w:val="auto"/>
          <w:highlight w:val="none"/>
        </w:rPr>
      </w:pPr>
    </w:p>
    <w:p>
      <w:pPr>
        <w:pStyle w:val="5"/>
        <w:spacing w:before="0" w:after="0" w:line="360" w:lineRule="auto"/>
        <w:outlineLvl w:val="0"/>
        <w:rPr>
          <w:rFonts w:hint="eastAsia" w:ascii="宋体" w:hAnsi="宋体" w:eastAsia="宋体" w:cs="宋体"/>
          <w:color w:val="auto"/>
          <w:sz w:val="21"/>
          <w:szCs w:val="21"/>
          <w:highlight w:val="none"/>
          <w:lang w:val="zh-CN"/>
        </w:rPr>
      </w:pPr>
      <w:bookmarkStart w:id="33" w:name="_Toc25845"/>
      <w:bookmarkStart w:id="34" w:name="_Toc19616"/>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lang w:val="zh-CN"/>
        </w:rPr>
        <w:t>纪律与保密事项</w:t>
      </w:r>
      <w:bookmarkEnd w:id="33"/>
      <w:bookmarkEnd w:id="34"/>
    </w:p>
    <w:p>
      <w:pPr>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报价人应对</w:t>
      </w:r>
      <w:r>
        <w:rPr>
          <w:rFonts w:hint="eastAsia" w:ascii="宋体" w:hAnsi="宋体" w:cs="宋体"/>
          <w:color w:val="auto"/>
          <w:szCs w:val="21"/>
          <w:highlight w:val="none"/>
          <w:lang w:val="en-US" w:eastAsia="zh-CN"/>
        </w:rPr>
        <w:t>询价</w:t>
      </w:r>
      <w:r>
        <w:rPr>
          <w:rFonts w:hint="eastAsia" w:ascii="宋体" w:hAnsi="宋体" w:eastAsia="宋体" w:cs="宋体"/>
          <w:color w:val="auto"/>
          <w:szCs w:val="21"/>
          <w:highlight w:val="none"/>
        </w:rPr>
        <w:t>文件进行保密，仅限于报价人本单位使用，不得用作本次报价以外的任何用途。</w:t>
      </w:r>
    </w:p>
    <w:p>
      <w:pPr>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 凡参与采购工作的有关人员均应自觉接受有关主管部门的监督，不得向他人透露潜在报价人的名称、数量以及可能影响公平竞争的有关报价的其他情况。</w:t>
      </w:r>
    </w:p>
    <w:p>
      <w:pPr>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 开封报价后，直至向成交人发出《采购结果通知书》时止，凡与审查、澄清、评价和比较报价的有关资料以及授标意见等，参与评审工作的有关人员均不得向报价人及与评审无关的其他人透露。</w:t>
      </w:r>
    </w:p>
    <w:p>
      <w:pPr>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 除报价人被要求对报价文件进行澄清外，从递交报价文件截止之时起至授予合同期间，报价人不得就与其报价文件有关的事项主动与询价小组联系。</w:t>
      </w:r>
    </w:p>
    <w:p>
      <w:pPr>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 从开封报价之日起至授予合同期间，在报价文件的审查、澄清、比较和评价阶段，报价人试图对询价小组和采购人施加任何影响或对采购人的比较及授予合同的决定产生影响，都可能导致其报价文件被拒绝。</w:t>
      </w:r>
    </w:p>
    <w:p>
      <w:pPr>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szCs w:val="21"/>
          <w:highlight w:val="none"/>
        </w:rPr>
        <w:t>4.6 报价人不得串通作弊，以不正当的手段妨碍、排挤其他报价人，扰乱采购市场，破坏公平竞争原则。</w:t>
      </w:r>
    </w:p>
    <w:p>
      <w:pPr>
        <w:pStyle w:val="5"/>
        <w:spacing w:before="0" w:after="0" w:line="360" w:lineRule="auto"/>
        <w:outlineLvl w:val="9"/>
        <w:rPr>
          <w:rFonts w:hint="eastAsia" w:ascii="宋体" w:hAnsi="宋体" w:eastAsia="宋体" w:cs="宋体"/>
          <w:color w:val="auto"/>
          <w:sz w:val="21"/>
          <w:szCs w:val="21"/>
          <w:highlight w:val="none"/>
          <w:lang w:val="en-US" w:eastAsia="zh-CN"/>
        </w:rPr>
      </w:pPr>
    </w:p>
    <w:p>
      <w:pPr>
        <w:pStyle w:val="5"/>
        <w:spacing w:before="0" w:after="0" w:line="360" w:lineRule="auto"/>
        <w:outlineLvl w:val="0"/>
        <w:rPr>
          <w:rFonts w:hint="eastAsia" w:ascii="宋体" w:hAnsi="宋体" w:eastAsia="宋体" w:cs="宋体"/>
          <w:color w:val="auto"/>
          <w:sz w:val="21"/>
          <w:szCs w:val="21"/>
          <w:highlight w:val="none"/>
          <w:lang w:val="zh-CN"/>
        </w:rPr>
      </w:pPr>
      <w:bookmarkStart w:id="35" w:name="_Toc23754"/>
      <w:bookmarkStart w:id="36" w:name="_Toc23737"/>
      <w:r>
        <w:rPr>
          <w:rFonts w:hint="eastAsia" w:ascii="宋体" w:hAnsi="宋体" w:eastAsia="宋体" w:cs="宋体"/>
          <w:color w:val="auto"/>
          <w:sz w:val="21"/>
          <w:szCs w:val="21"/>
          <w:highlight w:val="none"/>
          <w:lang w:val="en-US" w:eastAsia="zh-CN"/>
        </w:rPr>
        <w:t xml:space="preserve">5   </w:t>
      </w:r>
      <w:r>
        <w:rPr>
          <w:rFonts w:hint="eastAsia" w:ascii="宋体" w:hAnsi="宋体" w:eastAsia="宋体" w:cs="宋体"/>
          <w:color w:val="auto"/>
          <w:sz w:val="21"/>
          <w:szCs w:val="21"/>
          <w:highlight w:val="none"/>
          <w:lang w:val="zh-CN"/>
        </w:rPr>
        <w:t>询价文件</w:t>
      </w:r>
      <w:bookmarkEnd w:id="35"/>
      <w:bookmarkEnd w:id="36"/>
    </w:p>
    <w:p>
      <w:pPr>
        <w:spacing w:line="360" w:lineRule="auto"/>
        <w:ind w:left="420" w:hanging="420" w:hangingChars="200"/>
        <w:rPr>
          <w:rFonts w:hint="eastAsia" w:ascii="宋体" w:hAnsi="宋体" w:eastAsia="宋体" w:cs="宋体"/>
          <w:b/>
          <w:bCs/>
          <w:color w:val="auto"/>
          <w:szCs w:val="21"/>
          <w:highlight w:val="none"/>
          <w:lang w:val="zh-CN"/>
        </w:rPr>
      </w:pPr>
      <w:r>
        <w:rPr>
          <w:rFonts w:hint="eastAsia" w:ascii="宋体" w:hAnsi="宋体" w:eastAsia="宋体" w:cs="宋体"/>
          <w:color w:val="auto"/>
          <w:highlight w:val="none"/>
          <w:lang w:val="zh-CN"/>
        </w:rPr>
        <w:t xml:space="preserve">5.1 </w:t>
      </w:r>
      <w:r>
        <w:rPr>
          <w:rFonts w:hint="eastAsia" w:ascii="宋体" w:hAnsi="宋体" w:eastAsia="宋体" w:cs="宋体"/>
          <w:b/>
          <w:bCs/>
          <w:color w:val="auto"/>
          <w:szCs w:val="21"/>
          <w:highlight w:val="none"/>
          <w:u w:val="single"/>
          <w:lang w:val="zh-CN"/>
        </w:rPr>
        <w:t>报价人应审阅询价文件中所有须知、格式、条款和规格。报价人未按询价文件要求提供全部资料或提交的报价文件未对询价文件作出实质性响应（★标志的部分为报价人及其服务必备的条件或重要指示），那么报价人的报价文件将有可能被拒绝接收或视为无效报价文件</w:t>
      </w:r>
      <w:r>
        <w:rPr>
          <w:rFonts w:hint="eastAsia" w:ascii="宋体" w:hAnsi="宋体" w:eastAsia="宋体" w:cs="宋体"/>
          <w:b/>
          <w:bCs/>
          <w:color w:val="auto"/>
          <w:szCs w:val="21"/>
          <w:highlight w:val="none"/>
          <w:lang w:val="zh-CN"/>
        </w:rPr>
        <w:t>。</w:t>
      </w:r>
    </w:p>
    <w:p>
      <w:pPr>
        <w:spacing w:line="360" w:lineRule="auto"/>
        <w:ind w:left="420" w:hanging="420" w:hangingChars="200"/>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 xml:space="preserve">5.2 </w:t>
      </w:r>
      <w:r>
        <w:rPr>
          <w:rFonts w:hint="eastAsia" w:ascii="宋体" w:hAnsi="宋体" w:eastAsia="宋体" w:cs="宋体"/>
          <w:bCs/>
          <w:color w:val="auto"/>
          <w:szCs w:val="21"/>
          <w:highlight w:val="none"/>
          <w:lang w:val="zh-CN"/>
        </w:rPr>
        <w:t>本询价文件中的“境内”特指中华人民共和国海关关境以内，“境外”特指中华人民共和国海关关境以外。</w:t>
      </w:r>
    </w:p>
    <w:p>
      <w:pPr>
        <w:spacing w:line="360" w:lineRule="auto"/>
        <w:ind w:left="420" w:hanging="420" w:hangingChars="20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5.3 本询价文件中所指的“不含税价”，即为《中华人民共和国增值税暂行条例》（国务院令第691号修订版）规定的销售额。本询价文件所称的不含税价和合同价（或合同单价）是指不含本采购项目报价人的销项税额，包含了报价人完成合同义务（含报价人代缴代扣、分包及委外服务、施工、采购货物等所产生的价税）的其他全部费用。本采购项目依法计算的报价人的销项税额由采购人承担，不计入报价。</w:t>
      </w:r>
    </w:p>
    <w:p>
      <w:pPr>
        <w:spacing w:line="360" w:lineRule="auto"/>
        <w:ind w:left="420" w:hanging="420" w:hangingChars="20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5.4</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lang w:val="zh-CN"/>
        </w:rPr>
        <w:t>询价文件的异议。报价人或者其他利害关系人对询价文件有异议的，应当</w:t>
      </w:r>
      <w:r>
        <w:rPr>
          <w:rFonts w:hint="eastAsia" w:ascii="宋体" w:hAnsi="宋体" w:cs="宋体"/>
          <w:bCs/>
          <w:color w:val="auto"/>
          <w:szCs w:val="21"/>
          <w:highlight w:val="none"/>
          <w:lang w:val="en-US" w:eastAsia="zh-CN"/>
        </w:rPr>
        <w:t>在报价文件递交截止时间前</w:t>
      </w:r>
      <w:r>
        <w:rPr>
          <w:rFonts w:hint="eastAsia" w:ascii="宋体" w:hAnsi="宋体" w:eastAsia="宋体" w:cs="宋体"/>
          <w:bCs/>
          <w:color w:val="auto"/>
          <w:szCs w:val="21"/>
          <w:highlight w:val="none"/>
          <w:lang w:val="zh-CN"/>
        </w:rPr>
        <w:t>以书面形式向采购人提出，并</w:t>
      </w:r>
      <w:r>
        <w:rPr>
          <w:rFonts w:hint="eastAsia" w:ascii="宋体" w:hAnsi="宋体" w:cs="宋体"/>
          <w:bCs/>
          <w:color w:val="auto"/>
          <w:szCs w:val="21"/>
          <w:highlight w:val="none"/>
          <w:lang w:val="en-US" w:eastAsia="zh-CN"/>
        </w:rPr>
        <w:t>将材料原件</w:t>
      </w:r>
      <w:r>
        <w:rPr>
          <w:rFonts w:hint="eastAsia" w:ascii="宋体" w:hAnsi="宋体" w:eastAsia="宋体" w:cs="宋体"/>
          <w:bCs/>
          <w:color w:val="auto"/>
          <w:szCs w:val="21"/>
          <w:highlight w:val="none"/>
          <w:lang w:val="zh-CN"/>
        </w:rPr>
        <w:t>送达采购人联系人，逾期则视为对询价文件所有内容无异议。异议书面材料必须加盖报价人公章，并注明联系人、联系电话、联系地址。超出提交接收异议截止时间而提出的任何疑问，采购人可不予答复。</w:t>
      </w:r>
    </w:p>
    <w:p>
      <w:pPr>
        <w:spacing w:line="360" w:lineRule="auto"/>
        <w:ind w:left="420" w:hanging="420" w:hangingChars="200"/>
        <w:outlineLvl w:val="1"/>
        <w:rPr>
          <w:rFonts w:hint="eastAsia" w:ascii="宋体" w:hAnsi="宋体" w:eastAsia="宋体" w:cs="宋体"/>
          <w:bCs/>
          <w:color w:val="auto"/>
          <w:szCs w:val="21"/>
          <w:highlight w:val="none"/>
          <w:lang w:val="zh-CN"/>
        </w:rPr>
      </w:pPr>
      <w:bookmarkStart w:id="37" w:name="_Toc27358"/>
      <w:bookmarkStart w:id="38" w:name="_Toc15845"/>
      <w:r>
        <w:rPr>
          <w:rFonts w:hint="eastAsia" w:ascii="宋体" w:hAnsi="宋体" w:eastAsia="宋体" w:cs="宋体"/>
          <w:bCs/>
          <w:color w:val="auto"/>
          <w:szCs w:val="21"/>
          <w:highlight w:val="none"/>
          <w:lang w:val="zh-CN"/>
        </w:rPr>
        <w:t>5.5</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lang w:val="zh-CN"/>
        </w:rPr>
        <w:t>询价文件的澄清及修改。</w:t>
      </w:r>
      <w:bookmarkEnd w:id="37"/>
      <w:bookmarkEnd w:id="38"/>
    </w:p>
    <w:p>
      <w:pPr>
        <w:spacing w:line="360" w:lineRule="auto"/>
        <w:ind w:left="420" w:hanging="420" w:hangingChars="20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5.5.1采购人对已发出的询价文件进行必要澄清或者修改的，将在询价文件要求提交报价文件截止时间1日前，在东莞市水务集团有限公司网站（http://www.dgswjt.cn/）发布更正公告，除此方式外，不再另行通知。</w:t>
      </w:r>
    </w:p>
    <w:p>
      <w:pPr>
        <w:pStyle w:val="2"/>
        <w:spacing w:line="360" w:lineRule="auto"/>
        <w:rPr>
          <w:rFonts w:hint="eastAsia" w:ascii="宋体" w:hAnsi="宋体" w:eastAsia="宋体" w:cs="宋体"/>
          <w:color w:val="auto"/>
          <w:highlight w:val="none"/>
          <w:lang w:val="zh-CN"/>
        </w:rPr>
      </w:pPr>
    </w:p>
    <w:p>
      <w:pPr>
        <w:pStyle w:val="5"/>
        <w:spacing w:before="0" w:after="0" w:line="360" w:lineRule="auto"/>
        <w:outlineLvl w:val="0"/>
        <w:rPr>
          <w:rFonts w:hint="eastAsia" w:ascii="宋体" w:hAnsi="宋体" w:eastAsia="宋体" w:cs="宋体"/>
          <w:color w:val="auto"/>
          <w:sz w:val="21"/>
          <w:szCs w:val="21"/>
          <w:highlight w:val="none"/>
          <w:lang w:val="zh-CN"/>
        </w:rPr>
      </w:pPr>
      <w:bookmarkStart w:id="39" w:name="_Toc1629"/>
      <w:bookmarkStart w:id="40" w:name="_Toc3054"/>
      <w:r>
        <w:rPr>
          <w:rFonts w:hint="eastAsia" w:ascii="宋体" w:hAnsi="宋体" w:eastAsia="宋体" w:cs="宋体"/>
          <w:color w:val="auto"/>
          <w:sz w:val="21"/>
          <w:szCs w:val="21"/>
          <w:highlight w:val="none"/>
          <w:lang w:val="en-US" w:eastAsia="zh-CN"/>
        </w:rPr>
        <w:t xml:space="preserve">6   </w:t>
      </w:r>
      <w:r>
        <w:rPr>
          <w:rFonts w:hint="eastAsia" w:ascii="宋体" w:hAnsi="宋体" w:eastAsia="宋体" w:cs="宋体"/>
          <w:color w:val="auto"/>
          <w:sz w:val="21"/>
          <w:szCs w:val="21"/>
          <w:highlight w:val="none"/>
          <w:lang w:val="zh-CN"/>
        </w:rPr>
        <w:t>报价文件</w:t>
      </w:r>
      <w:bookmarkEnd w:id="39"/>
      <w:bookmarkEnd w:id="40"/>
    </w:p>
    <w:p>
      <w:pPr>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6.1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报价人应准备一份密封的报价文件（纸质盖章版报价文件和报价文件电子文档，报价文件电子文档应为签字、盖章后的报价文件扫描的PDF</w:t>
      </w:r>
      <w:r>
        <w:rPr>
          <w:rFonts w:hint="eastAsia" w:ascii="宋体" w:hAnsi="宋体" w:eastAsia="宋体" w:cs="宋体"/>
          <w:b/>
          <w:color w:val="auto"/>
          <w:szCs w:val="21"/>
          <w:highlight w:val="none"/>
          <w:u w:val="single"/>
        </w:rPr>
        <w:t>格式电子文件</w:t>
      </w:r>
      <w:r>
        <w:rPr>
          <w:rFonts w:hint="eastAsia" w:ascii="宋体" w:hAnsi="宋体" w:eastAsia="宋体" w:cs="宋体"/>
          <w:b/>
          <w:color w:val="auto"/>
          <w:szCs w:val="21"/>
          <w:highlight w:val="none"/>
          <w:u w:val="single"/>
          <w:lang w:val="zh-CN"/>
        </w:rPr>
        <w:t>，用DVD或CD-R光盘或U盘储存，不留密码，无病毒，不压缩，密封提交）</w:t>
      </w:r>
      <w:r>
        <w:rPr>
          <w:rFonts w:hint="eastAsia" w:ascii="宋体" w:hAnsi="宋体" w:eastAsia="宋体" w:cs="宋体"/>
          <w:color w:val="auto"/>
          <w:szCs w:val="21"/>
          <w:highlight w:val="none"/>
          <w:lang w:val="zh-CN"/>
        </w:rPr>
        <w:t>。报价文件的组成详见第五篇报价文件格式。</w:t>
      </w:r>
    </w:p>
    <w:p>
      <w:pPr>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6.2 报价</w:t>
      </w:r>
      <w:r>
        <w:rPr>
          <w:rFonts w:hint="eastAsia" w:ascii="宋体" w:hAnsi="宋体" w:eastAsia="宋体" w:cs="宋体"/>
          <w:color w:val="auto"/>
          <w:szCs w:val="21"/>
          <w:highlight w:val="none"/>
          <w:lang w:val="zh-CN"/>
        </w:rPr>
        <w:t>文件的式样和签署。报价文件的封面应注明“项目名称、报价人名称、日期”等。</w:t>
      </w:r>
      <w:r>
        <w:rPr>
          <w:rFonts w:hint="eastAsia" w:ascii="宋体" w:hAnsi="宋体" w:eastAsia="宋体" w:cs="宋体"/>
          <w:bCs/>
          <w:color w:val="auto"/>
          <w:szCs w:val="21"/>
          <w:highlight w:val="none"/>
          <w:lang w:val="zh-CN"/>
        </w:rPr>
        <w:t>报价文件应打印或用不褪色墨水书写，询价文件提供的格式文件或报价文件中明确要求盖法人公章或签署的，应相应加法人公章或签署。</w:t>
      </w:r>
      <w:r>
        <w:rPr>
          <w:rFonts w:hint="eastAsia" w:ascii="宋体" w:hAnsi="宋体" w:eastAsia="宋体" w:cs="宋体"/>
          <w:color w:val="auto"/>
          <w:szCs w:val="21"/>
          <w:highlight w:val="none"/>
          <w:lang w:val="zh-CN"/>
        </w:rPr>
        <w:t>除报价人对错处作必要修改外，报价文件中不许有加行、涂抹或改写。</w:t>
      </w:r>
      <w:r>
        <w:rPr>
          <w:rFonts w:hint="eastAsia" w:ascii="宋体" w:hAnsi="宋体" w:eastAsia="宋体" w:cs="宋体"/>
          <w:bCs/>
          <w:color w:val="auto"/>
          <w:szCs w:val="21"/>
          <w:highlight w:val="none"/>
          <w:lang w:val="zh-CN"/>
        </w:rPr>
        <w:t>若有修改，应在修改处加盖报价人法人公章。</w:t>
      </w:r>
      <w:r>
        <w:rPr>
          <w:rFonts w:hint="eastAsia" w:ascii="宋体" w:hAnsi="宋体" w:eastAsia="宋体" w:cs="宋体"/>
          <w:color w:val="auto"/>
          <w:szCs w:val="21"/>
          <w:highlight w:val="none"/>
          <w:lang w:val="zh-CN"/>
        </w:rPr>
        <w:t>电报、电传、传真、电子邮件的报价概不接受。</w:t>
      </w:r>
    </w:p>
    <w:p>
      <w:pPr>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6.3 </w:t>
      </w:r>
      <w:r>
        <w:rPr>
          <w:rFonts w:hint="eastAsia" w:ascii="宋体" w:hAnsi="宋体" w:eastAsia="宋体" w:cs="宋体"/>
          <w:color w:val="auto"/>
          <w:szCs w:val="21"/>
          <w:highlight w:val="none"/>
          <w:lang w:val="zh-CN"/>
        </w:rPr>
        <w:t>报价文件的密封和标记。报价人应将报价文件密封在一个不透明的外层封装中。外层密封封装表面应正确标明项目名称、报价人名称、日期，封口位置的封条上应加盖报价人法人公章；报价文件已密封但不按前述标志封包，由此而引起的提前开封或错放责任由报价人承担。</w:t>
      </w:r>
    </w:p>
    <w:p>
      <w:pPr>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6.4</w:t>
      </w:r>
      <w:r>
        <w:rPr>
          <w:rFonts w:hint="eastAsia" w:ascii="宋体" w:hAnsi="宋体" w:eastAsia="宋体" w:cs="宋体"/>
          <w:color w:val="auto"/>
          <w:szCs w:val="21"/>
          <w:highlight w:val="none"/>
          <w:lang w:val="zh-CN"/>
        </w:rPr>
        <w:t xml:space="preserve"> 开封</w:t>
      </w: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lang w:val="zh-CN"/>
        </w:rPr>
        <w:t>前，由报价人代表（第一位递交报价文件的报价人代表及主动自愿参与检查的报价人代表）和采购人相关代表将对本采购项目所有的报价文件的密封性进行检查，并签署进行确认。</w:t>
      </w:r>
    </w:p>
    <w:p>
      <w:pPr>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6.5</w:t>
      </w:r>
      <w:r>
        <w:rPr>
          <w:rFonts w:hint="eastAsia" w:ascii="宋体" w:hAnsi="宋体" w:eastAsia="宋体" w:cs="宋体"/>
          <w:color w:val="auto"/>
          <w:szCs w:val="21"/>
          <w:highlight w:val="none"/>
          <w:lang w:val="zh-CN"/>
        </w:rPr>
        <w:t xml:space="preserve"> 递交报价文件的截止日期。采购人收到报价文件的时间不得迟于第一篇“</w:t>
      </w:r>
      <w:r>
        <w:rPr>
          <w:rFonts w:hint="eastAsia" w:ascii="宋体" w:hAnsi="宋体" w:cs="宋体"/>
          <w:color w:val="auto"/>
          <w:szCs w:val="21"/>
          <w:highlight w:val="none"/>
          <w:lang w:val="en-US" w:eastAsia="zh-CN"/>
        </w:rPr>
        <w:t>询价公告</w:t>
      </w:r>
      <w:r>
        <w:rPr>
          <w:rFonts w:hint="eastAsia" w:ascii="宋体" w:hAnsi="宋体" w:eastAsia="宋体" w:cs="宋体"/>
          <w:color w:val="auto"/>
          <w:szCs w:val="21"/>
          <w:highlight w:val="none"/>
          <w:lang w:val="zh-CN"/>
        </w:rPr>
        <w:t>”中规定的截止时间。采购人可按照本须知第5条的规定修改询价文件并酌情延长递交报价文件的截止时间，因此，已规定的采购人和报价人的一切权利和义务将按延期后的递交报价文件截止时间履行。</w:t>
      </w:r>
    </w:p>
    <w:p>
      <w:pPr>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szCs w:val="21"/>
          <w:highlight w:val="none"/>
        </w:rPr>
        <w:t>6.6</w:t>
      </w:r>
      <w:r>
        <w:rPr>
          <w:rFonts w:hint="eastAsia" w:ascii="宋体" w:hAnsi="宋体" w:eastAsia="宋体" w:cs="宋体"/>
          <w:color w:val="auto"/>
          <w:szCs w:val="21"/>
          <w:highlight w:val="none"/>
          <w:lang w:val="zh-CN"/>
        </w:rPr>
        <w:t xml:space="preserve"> 迟交的报价文件。</w:t>
      </w:r>
      <w:r>
        <w:rPr>
          <w:rFonts w:hint="eastAsia" w:ascii="宋体" w:hAnsi="宋体" w:eastAsia="宋体" w:cs="宋体"/>
          <w:color w:val="auto"/>
          <w:highlight w:val="none"/>
        </w:rPr>
        <w:t>采购人</w:t>
      </w:r>
      <w:r>
        <w:rPr>
          <w:rFonts w:hint="eastAsia" w:ascii="宋体" w:hAnsi="宋体" w:eastAsia="宋体" w:cs="宋体"/>
          <w:color w:val="auto"/>
          <w:szCs w:val="21"/>
          <w:highlight w:val="none"/>
          <w:lang w:val="zh-CN"/>
        </w:rPr>
        <w:t>将拒绝任何晚于递交报价文件的截止时间交到的报价文件。</w:t>
      </w:r>
    </w:p>
    <w:p>
      <w:pPr>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6.7</w:t>
      </w:r>
      <w:r>
        <w:rPr>
          <w:rFonts w:hint="eastAsia" w:ascii="宋体" w:hAnsi="宋体" w:eastAsia="宋体" w:cs="宋体"/>
          <w:color w:val="auto"/>
          <w:szCs w:val="21"/>
          <w:highlight w:val="none"/>
          <w:lang w:val="zh-CN"/>
        </w:rPr>
        <w:t xml:space="preserve"> 报价文件的修改和撤回。报价人在提交报价文件后（递交报价文件截止时间前）可对其报价文件进行修改或撤回，但必须在提交报价文件截止日期前向采购人送达该修改或撤回的书面通知。递交报价文件截止时间后不得修改报价文件。</w:t>
      </w:r>
    </w:p>
    <w:p>
      <w:pPr>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6.8</w:t>
      </w:r>
      <w:r>
        <w:rPr>
          <w:rFonts w:hint="eastAsia" w:ascii="宋体" w:hAnsi="宋体" w:eastAsia="宋体" w:cs="宋体"/>
          <w:color w:val="auto"/>
          <w:szCs w:val="21"/>
          <w:highlight w:val="none"/>
          <w:lang w:val="zh-CN"/>
        </w:rPr>
        <w:t xml:space="preserve"> 报价人不得在递交报价文件截止时间起至本采购文件规定的报价文件有效期期满前撤销报价文件</w:t>
      </w:r>
      <w:r>
        <w:rPr>
          <w:rFonts w:hint="eastAsia" w:ascii="宋体" w:hAnsi="宋体" w:eastAsia="宋体" w:cs="宋体"/>
          <w:color w:val="auto"/>
          <w:szCs w:val="21"/>
          <w:highlight w:val="none"/>
        </w:rPr>
        <w:t>（其中包含放弃报价、放弃成交资格等），</w:t>
      </w:r>
      <w:r>
        <w:rPr>
          <w:rFonts w:hint="eastAsia" w:ascii="宋体" w:hAnsi="宋体" w:eastAsia="宋体" w:cs="宋体"/>
          <w:color w:val="auto"/>
          <w:szCs w:val="21"/>
          <w:highlight w:val="none"/>
          <w:lang w:val="zh-CN"/>
        </w:rPr>
        <w:t>否则采购人将视为报价人违约。</w:t>
      </w:r>
    </w:p>
    <w:p>
      <w:pPr>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6.9 </w:t>
      </w:r>
      <w:r>
        <w:rPr>
          <w:rFonts w:hint="eastAsia" w:ascii="宋体" w:hAnsi="宋体" w:eastAsia="宋体" w:cs="宋体"/>
          <w:color w:val="auto"/>
          <w:szCs w:val="21"/>
          <w:highlight w:val="none"/>
          <w:lang w:val="zh-CN"/>
        </w:rPr>
        <w:t>证明报价的货物、服务或工程与询价文件的要求相一致的文件可以是文字资料、图纸和数据资料。</w:t>
      </w:r>
    </w:p>
    <w:p>
      <w:pPr>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6.10 </w:t>
      </w:r>
      <w:r>
        <w:rPr>
          <w:rFonts w:hint="eastAsia" w:ascii="宋体" w:hAnsi="宋体" w:eastAsia="宋体" w:cs="宋体"/>
          <w:b w:val="0"/>
          <w:bCs/>
          <w:color w:val="auto"/>
          <w:szCs w:val="21"/>
          <w:highlight w:val="none"/>
          <w:u w:val="none"/>
          <w:lang w:val="zh-CN"/>
        </w:rPr>
        <w:t>报价人应注意本询价文件在《用户需求书》中对货物的性能配置、技术参数、技术要求所描述的特征或说明、服务及工程要求只是概括性的，不能理解为所需要的全部产品工序或服务、工程的要求，报价人应按行业技术、质量和以往的研究、货物生产制造、售后服务或项目经验，合格优质的完成采购内容和包含的全部货物、服务或工程。用户需求书中所有列出的相关货物技术要求不是唯一指定，仅作参考，即报价人可就货物提出替代标准，只要相当于(或优于)规定的货物品质和性能等技术参数要求，并提供满足本询价文件要求的证明材料，则视为合格。但凡标有“★”的地方均被视为重要的技术指标要求或性能要求或商务要求。报价人要特别加以注意，必须对此回答并完全满足这些要求，否则若有一项带“★”的条款未响应或不满足，将按无效报价处理</w:t>
      </w:r>
      <w:r>
        <w:rPr>
          <w:rFonts w:hint="eastAsia" w:ascii="宋体" w:hAnsi="宋体" w:eastAsia="宋体" w:cs="宋体"/>
          <w:b w:val="0"/>
          <w:bCs/>
          <w:color w:val="auto"/>
          <w:szCs w:val="21"/>
          <w:highlight w:val="none"/>
          <w:lang w:val="zh-CN"/>
        </w:rPr>
        <w:t>。</w:t>
      </w:r>
    </w:p>
    <w:p>
      <w:pPr>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6.11</w:t>
      </w:r>
      <w:r>
        <w:rPr>
          <w:rFonts w:hint="eastAsia" w:ascii="宋体" w:hAnsi="宋体" w:eastAsia="宋体" w:cs="宋体"/>
          <w:color w:val="auto"/>
          <w:szCs w:val="21"/>
          <w:highlight w:val="none"/>
          <w:lang w:val="zh-CN"/>
        </w:rPr>
        <w:t xml:space="preserve"> 报价文件有效期。</w:t>
      </w:r>
      <w:r>
        <w:rPr>
          <w:rFonts w:hint="eastAsia" w:ascii="宋体" w:hAnsi="宋体" w:eastAsia="宋体" w:cs="宋体"/>
          <w:bCs/>
          <w:color w:val="auto"/>
          <w:szCs w:val="21"/>
          <w:highlight w:val="none"/>
          <w:lang w:val="zh-CN"/>
        </w:rPr>
        <w:t>报价文件将在递交报价文件截止时间届满后次日起60日内有效。报价人参与本次报价，并递交报价文件则视为认可前述报价有效期的约定。</w:t>
      </w:r>
      <w:r>
        <w:rPr>
          <w:rFonts w:hint="eastAsia" w:ascii="宋体" w:hAnsi="宋体" w:eastAsia="宋体" w:cs="宋体"/>
          <w:color w:val="auto"/>
          <w:szCs w:val="21"/>
          <w:highlight w:val="none"/>
          <w:lang w:val="zh-CN"/>
        </w:rPr>
        <w:t>成交人的报价文件作为合同附件，合同失效时同时失效。</w:t>
      </w:r>
    </w:p>
    <w:p>
      <w:pPr>
        <w:pStyle w:val="2"/>
        <w:spacing w:line="360" w:lineRule="auto"/>
        <w:rPr>
          <w:rFonts w:hint="eastAsia" w:ascii="宋体" w:hAnsi="宋体" w:eastAsia="宋体" w:cs="宋体"/>
          <w:color w:val="auto"/>
          <w:highlight w:val="none"/>
          <w:lang w:val="zh-CN"/>
        </w:rPr>
      </w:pPr>
    </w:p>
    <w:p>
      <w:pPr>
        <w:pStyle w:val="5"/>
        <w:spacing w:before="0" w:after="0" w:line="360" w:lineRule="auto"/>
        <w:outlineLvl w:val="0"/>
        <w:rPr>
          <w:rFonts w:hint="eastAsia" w:ascii="宋体" w:hAnsi="宋体" w:eastAsia="宋体" w:cs="宋体"/>
          <w:color w:val="auto"/>
          <w:sz w:val="21"/>
          <w:szCs w:val="21"/>
          <w:highlight w:val="none"/>
          <w:lang w:val="zh-CN"/>
        </w:rPr>
      </w:pPr>
      <w:bookmarkStart w:id="41" w:name="_Toc37323065"/>
      <w:bookmarkStart w:id="42" w:name="_Toc521918091"/>
      <w:bookmarkStart w:id="43" w:name="_Toc450662873"/>
      <w:bookmarkStart w:id="44" w:name="_Toc11351"/>
      <w:bookmarkStart w:id="45" w:name="_Toc7774"/>
      <w:r>
        <w:rPr>
          <w:rFonts w:hint="eastAsia" w:ascii="宋体" w:hAnsi="宋体" w:eastAsia="宋体" w:cs="宋体"/>
          <w:color w:val="auto"/>
          <w:sz w:val="21"/>
          <w:szCs w:val="21"/>
          <w:highlight w:val="none"/>
          <w:lang w:val="zh-CN"/>
        </w:rPr>
        <w:t>7   开</w:t>
      </w:r>
      <w:bookmarkEnd w:id="41"/>
      <w:bookmarkEnd w:id="42"/>
      <w:bookmarkEnd w:id="43"/>
      <w:r>
        <w:rPr>
          <w:rFonts w:hint="eastAsia" w:ascii="宋体" w:hAnsi="宋体" w:eastAsia="宋体" w:cs="宋体"/>
          <w:color w:val="auto"/>
          <w:sz w:val="21"/>
          <w:szCs w:val="21"/>
          <w:highlight w:val="none"/>
          <w:lang w:val="zh-CN"/>
        </w:rPr>
        <w:t>封公开报价</w:t>
      </w:r>
      <w:bookmarkEnd w:id="44"/>
      <w:bookmarkEnd w:id="45"/>
    </w:p>
    <w:p>
      <w:pPr>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7.1 </w:t>
      </w:r>
      <w:r>
        <w:rPr>
          <w:rFonts w:hint="eastAsia" w:ascii="宋体" w:hAnsi="宋体" w:eastAsia="宋体" w:cs="宋体"/>
          <w:color w:val="auto"/>
          <w:szCs w:val="21"/>
          <w:highlight w:val="none"/>
          <w:lang w:val="zh-CN"/>
        </w:rPr>
        <w:t>在报价人代表自愿出席的情况下，在第一篇“</w:t>
      </w:r>
      <w:r>
        <w:rPr>
          <w:rFonts w:hint="eastAsia" w:ascii="宋体" w:hAnsi="宋体" w:cs="宋体"/>
          <w:color w:val="auto"/>
          <w:szCs w:val="21"/>
          <w:highlight w:val="none"/>
          <w:lang w:val="en-US" w:eastAsia="zh-CN"/>
        </w:rPr>
        <w:t>询价公告</w:t>
      </w:r>
      <w:r>
        <w:rPr>
          <w:rFonts w:hint="eastAsia" w:ascii="宋体" w:hAnsi="宋体" w:eastAsia="宋体" w:cs="宋体"/>
          <w:color w:val="auto"/>
          <w:szCs w:val="21"/>
          <w:highlight w:val="none"/>
          <w:lang w:val="zh-CN"/>
        </w:rPr>
        <w:t>”规定的地点和时间开封公开报价, 出席代表需登记以示出席。采购人代表包括但不限于采购部门代表、采购申请部门代表、财务部门代表。</w:t>
      </w:r>
    </w:p>
    <w:p>
      <w:pPr>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7.2 </w:t>
      </w:r>
      <w:r>
        <w:rPr>
          <w:rFonts w:hint="eastAsia" w:ascii="宋体" w:hAnsi="宋体" w:eastAsia="宋体" w:cs="宋体"/>
          <w:color w:val="auto"/>
          <w:szCs w:val="21"/>
          <w:highlight w:val="none"/>
          <w:lang w:val="zh-CN"/>
        </w:rPr>
        <w:t>开封公开报价时，采购人将当众宣读报价人名称、报价以及认为合适的其他内容。若宣读的结果与报价文件不符时，报价人有权在现场提出异议，经现场核查确认之后，可重新宣读其报价文件相关内容。若报价人现场未提出异议，则视为报价人确认宣读的结果。</w:t>
      </w:r>
    </w:p>
    <w:p>
      <w:pPr>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7.3 </w:t>
      </w:r>
      <w:r>
        <w:rPr>
          <w:rFonts w:hint="eastAsia" w:ascii="宋体" w:hAnsi="宋体" w:eastAsia="宋体" w:cs="宋体"/>
          <w:color w:val="auto"/>
          <w:szCs w:val="21"/>
          <w:highlight w:val="none"/>
          <w:lang w:val="zh-CN"/>
        </w:rPr>
        <w:t>报价人对开封公开报价有异议的，应当在公开报价的现场提出，采购人当场作出答复，并制作记录。</w:t>
      </w:r>
    </w:p>
    <w:p>
      <w:pPr>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7.4 </w:t>
      </w:r>
      <w:r>
        <w:rPr>
          <w:rFonts w:hint="eastAsia" w:ascii="宋体" w:hAnsi="宋体" w:eastAsia="宋体" w:cs="宋体"/>
          <w:color w:val="auto"/>
          <w:szCs w:val="21"/>
          <w:highlight w:val="none"/>
          <w:lang w:val="zh-CN"/>
        </w:rPr>
        <w:t>采购人将做开封公开报价记录，记录包括按第7.2款的规定在开标时宣读的全部内容、第7.3款发生的异议及答复。</w:t>
      </w:r>
    </w:p>
    <w:p>
      <w:pPr>
        <w:pStyle w:val="2"/>
        <w:spacing w:line="360" w:lineRule="auto"/>
        <w:rPr>
          <w:rFonts w:hint="eastAsia" w:ascii="宋体" w:hAnsi="宋体" w:eastAsia="宋体" w:cs="宋体"/>
          <w:color w:val="auto"/>
          <w:highlight w:val="none"/>
          <w:lang w:val="zh-CN"/>
        </w:rPr>
      </w:pPr>
    </w:p>
    <w:p>
      <w:pPr>
        <w:pStyle w:val="5"/>
        <w:spacing w:before="0" w:after="0" w:line="360" w:lineRule="auto"/>
        <w:outlineLvl w:val="0"/>
        <w:rPr>
          <w:rFonts w:hint="eastAsia" w:ascii="宋体" w:hAnsi="宋体" w:eastAsia="宋体" w:cs="宋体"/>
          <w:color w:val="auto"/>
          <w:sz w:val="21"/>
          <w:szCs w:val="21"/>
          <w:highlight w:val="none"/>
          <w:lang w:val="zh-CN"/>
        </w:rPr>
      </w:pPr>
      <w:bookmarkStart w:id="46" w:name="_Toc521918093"/>
      <w:bookmarkStart w:id="47" w:name="_Toc19964"/>
      <w:bookmarkStart w:id="48" w:name="_Toc37323067"/>
      <w:bookmarkStart w:id="49" w:name="_Toc9168"/>
      <w:bookmarkStart w:id="50" w:name="_Toc450662875"/>
      <w:r>
        <w:rPr>
          <w:rFonts w:hint="eastAsia" w:ascii="宋体" w:hAnsi="宋体" w:eastAsia="宋体" w:cs="宋体"/>
          <w:color w:val="auto"/>
          <w:sz w:val="21"/>
          <w:szCs w:val="21"/>
          <w:highlight w:val="none"/>
          <w:lang w:val="zh-CN"/>
        </w:rPr>
        <w:t>8   询价小组</w:t>
      </w:r>
      <w:bookmarkEnd w:id="46"/>
      <w:bookmarkEnd w:id="47"/>
      <w:bookmarkEnd w:id="48"/>
      <w:bookmarkEnd w:id="49"/>
      <w:bookmarkEnd w:id="50"/>
    </w:p>
    <w:p>
      <w:pPr>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8.1 </w:t>
      </w:r>
      <w:r>
        <w:rPr>
          <w:rFonts w:hint="eastAsia" w:ascii="宋体" w:hAnsi="宋体" w:eastAsia="宋体" w:cs="宋体"/>
          <w:color w:val="auto"/>
          <w:szCs w:val="21"/>
          <w:highlight w:val="none"/>
          <w:lang w:val="zh-CN"/>
        </w:rPr>
        <w:t>本项目由采购人自行组建询价小组。询价小组的成员在评审过程中必须严格遵守采购人及上级部门相关制度的有关规定。</w:t>
      </w:r>
    </w:p>
    <w:p>
      <w:pPr>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8.2 </w:t>
      </w:r>
      <w:r>
        <w:rPr>
          <w:rFonts w:hint="eastAsia" w:ascii="宋体" w:hAnsi="宋体" w:eastAsia="宋体" w:cs="宋体"/>
          <w:color w:val="auto"/>
          <w:szCs w:val="21"/>
          <w:highlight w:val="none"/>
          <w:lang w:val="zh-CN"/>
        </w:rPr>
        <w:t>询价小组根据询价文件的规定，进行报价文件的评审、得出评审结果，推荐成交候选人。</w:t>
      </w:r>
    </w:p>
    <w:p>
      <w:pPr>
        <w:pStyle w:val="2"/>
        <w:spacing w:line="360" w:lineRule="auto"/>
        <w:rPr>
          <w:rFonts w:hint="eastAsia"/>
          <w:lang w:val="zh-CN"/>
        </w:rPr>
      </w:pPr>
    </w:p>
    <w:p>
      <w:pPr>
        <w:pStyle w:val="5"/>
        <w:spacing w:before="0" w:after="0" w:line="360" w:lineRule="auto"/>
        <w:outlineLvl w:val="0"/>
        <w:rPr>
          <w:rFonts w:hint="eastAsia" w:ascii="宋体" w:hAnsi="宋体" w:eastAsia="宋体" w:cs="宋体"/>
          <w:color w:val="auto"/>
          <w:sz w:val="21"/>
          <w:szCs w:val="21"/>
          <w:highlight w:val="none"/>
          <w:lang w:val="zh-CN"/>
        </w:rPr>
      </w:pPr>
      <w:bookmarkStart w:id="51" w:name="_Toc14625"/>
      <w:bookmarkStart w:id="52" w:name="_Toc37323071"/>
      <w:bookmarkStart w:id="53" w:name="_Toc521918097"/>
      <w:bookmarkStart w:id="54" w:name="_Toc17484"/>
      <w:r>
        <w:rPr>
          <w:rFonts w:hint="eastAsia" w:ascii="宋体" w:hAnsi="宋体" w:eastAsia="宋体" w:cs="宋体"/>
          <w:color w:val="auto"/>
          <w:sz w:val="21"/>
          <w:szCs w:val="21"/>
          <w:highlight w:val="none"/>
          <w:lang w:val="zh-CN"/>
        </w:rPr>
        <w:t>9   评审程序</w:t>
      </w:r>
      <w:bookmarkEnd w:id="51"/>
      <w:bookmarkEnd w:id="52"/>
      <w:bookmarkEnd w:id="53"/>
      <w:bookmarkEnd w:id="54"/>
    </w:p>
    <w:p>
      <w:pPr>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9.1 询价小组对</w:t>
      </w:r>
      <w:r>
        <w:rPr>
          <w:rFonts w:hint="eastAsia" w:ascii="宋体" w:hAnsi="宋体" w:eastAsia="宋体" w:cs="宋体"/>
          <w:color w:val="auto"/>
          <w:szCs w:val="21"/>
          <w:highlight w:val="none"/>
          <w:lang w:val="zh-CN"/>
        </w:rPr>
        <w:t>所有报价文件的评审，都采用相同的程序和标准。按步骤先进行初审，再得出评审结果，推荐成交候选人。</w:t>
      </w:r>
    </w:p>
    <w:p>
      <w:pPr>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9.2 </w:t>
      </w:r>
      <w:r>
        <w:rPr>
          <w:rFonts w:hint="eastAsia" w:ascii="宋体" w:hAnsi="宋体" w:eastAsia="宋体" w:cs="宋体"/>
          <w:color w:val="auto"/>
          <w:szCs w:val="21"/>
          <w:highlight w:val="none"/>
          <w:lang w:val="zh-CN"/>
        </w:rPr>
        <w:t>报价文件的初审。包括资格性审查和符合性审查。资格性审查：依据法律法规和询价文件的规定，对报价文件中的资格证明等进行审查，以确定报价人是否具备报价资格。符合性审查：依据询价文件的规定，从报价文件的有效性、完整性和对询价文件的响应程度进行审查，以确定是否对询价文件的实质性要求作出响应。</w:t>
      </w:r>
    </w:p>
    <w:p>
      <w:pPr>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9.3 </w:t>
      </w:r>
      <w:r>
        <w:rPr>
          <w:rFonts w:hint="eastAsia" w:ascii="宋体" w:hAnsi="宋体" w:eastAsia="宋体" w:cs="宋体"/>
          <w:color w:val="auto"/>
          <w:szCs w:val="21"/>
          <w:highlight w:val="none"/>
          <w:lang w:val="zh-CN"/>
        </w:rPr>
        <w:t>报价文件的澄清。对报价文件中含义不明确、同类问题表述不一致或者有明显文字和计算错误的内容，询价小组可以书面形式（应当由询价小组签字，可通过邮件发给报价人）要求报价人作出必要的澄清、说明或者纠正。报价人的澄清、说明或者补正应当采用书面形式，加盖报价人公章（或由其法定代表人或其授权的代表签字），并不得超出报价文件的范围或者改变报价文件的实质性内容。</w:t>
      </w:r>
      <w:r>
        <w:rPr>
          <w:rFonts w:hint="eastAsia" w:ascii="宋体" w:hAnsi="宋体" w:eastAsia="宋体" w:cs="宋体"/>
          <w:color w:val="auto"/>
          <w:highlight w:val="none"/>
          <w:lang w:val="zh-CN"/>
        </w:rPr>
        <w:t>该书面澄清作为其报价文件的一部分。</w:t>
      </w:r>
    </w:p>
    <w:p>
      <w:pPr>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9.4 </w:t>
      </w:r>
      <w:r>
        <w:rPr>
          <w:rFonts w:hint="eastAsia" w:ascii="宋体" w:hAnsi="宋体" w:eastAsia="宋体" w:cs="宋体"/>
          <w:color w:val="auto"/>
          <w:szCs w:val="21"/>
          <w:highlight w:val="none"/>
          <w:lang w:val="zh-CN"/>
        </w:rPr>
        <w:t>经过澄清后确认，报价文件存在重大（实质性）偏差，且不可接受，报价人则被认为是“未响应询价文件提出的实质性要求和条件的报价人”，不再进入下一步评审。</w:t>
      </w:r>
    </w:p>
    <w:p>
      <w:pPr>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9.5 报价文件计算错误的修正。询价小组将对报价文件进行校核，看其是否有计算或表达上的错误，修正错误的原则如下：</w:t>
      </w:r>
      <w:r>
        <w:rPr>
          <w:rFonts w:hint="eastAsia" w:ascii="宋体" w:hAnsi="宋体" w:eastAsia="宋体" w:cs="宋体"/>
          <w:color w:val="auto"/>
          <w:szCs w:val="21"/>
          <w:highlight w:val="none"/>
          <w:lang w:val="zh-CN"/>
        </w:rPr>
        <w:t>报价文件的报价大写金额和小写金额不一致的，以大写金额为准；对不同文字文本报价文件的解释发生异议的，以中文文本为准。报价总价和以单价乘以数量计算的分项报价不一致时，总价合同项目以报价总价为准修正单价，单价合同则以单价乘以数量计算的报价合计为准修正总价。按前述修正原则排序依次进行修正至唯一值后的报价表经双方确认后，作为报价人的报价文件的组成部分。</w:t>
      </w:r>
    </w:p>
    <w:p>
      <w:pPr>
        <w:spacing w:line="360" w:lineRule="auto"/>
        <w:ind w:left="420" w:leftChars="200" w:firstLine="422" w:firstLineChars="200"/>
        <w:rPr>
          <w:rFonts w:hint="eastAsia" w:ascii="宋体" w:hAnsi="宋体" w:eastAsia="宋体" w:cs="宋体"/>
          <w:b/>
          <w:color w:val="auto"/>
          <w:szCs w:val="21"/>
          <w:highlight w:val="none"/>
          <w:u w:val="single"/>
          <w:lang w:val="zh-CN"/>
        </w:rPr>
      </w:pPr>
      <w:r>
        <w:rPr>
          <w:rFonts w:hint="eastAsia" w:ascii="宋体" w:hAnsi="宋体" w:eastAsia="宋体" w:cs="宋体"/>
          <w:b/>
          <w:color w:val="auto"/>
          <w:szCs w:val="21"/>
          <w:highlight w:val="none"/>
          <w:u w:val="single"/>
          <w:lang w:val="zh-CN"/>
        </w:rPr>
        <w:t>按上述修正</w:t>
      </w:r>
      <w:r>
        <w:rPr>
          <w:rFonts w:hint="eastAsia" w:ascii="宋体" w:hAnsi="宋体" w:eastAsia="宋体" w:cs="宋体"/>
          <w:b/>
          <w:color w:val="auto"/>
          <w:szCs w:val="21"/>
          <w:highlight w:val="none"/>
          <w:u w:val="single"/>
        </w:rPr>
        <w:t>错误</w:t>
      </w:r>
      <w:r>
        <w:rPr>
          <w:rFonts w:hint="eastAsia" w:ascii="宋体" w:hAnsi="宋体" w:eastAsia="宋体" w:cs="宋体"/>
          <w:b/>
          <w:color w:val="auto"/>
          <w:szCs w:val="21"/>
          <w:highlight w:val="none"/>
          <w:u w:val="single"/>
          <w:lang w:val="zh-CN"/>
        </w:rPr>
        <w:t>的原则及方法调整或修正报价文件的报价，调整后的报价对报价人起约束作用。如果报价人不接受修正后的报价，则其报价将被拒绝，作为无效处理</w:t>
      </w:r>
      <w:r>
        <w:rPr>
          <w:rFonts w:hint="eastAsia" w:ascii="宋体" w:hAnsi="宋体" w:eastAsia="宋体" w:cs="宋体"/>
          <w:b/>
          <w:color w:val="auto"/>
          <w:szCs w:val="21"/>
          <w:highlight w:val="none"/>
          <w:lang w:val="zh-CN"/>
        </w:rPr>
        <w:t>。</w:t>
      </w:r>
    </w:p>
    <w:p>
      <w:pPr>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9.6 </w:t>
      </w:r>
      <w:r>
        <w:rPr>
          <w:rFonts w:hint="eastAsia" w:ascii="宋体" w:hAnsi="宋体" w:eastAsia="宋体" w:cs="宋体"/>
          <w:color w:val="auto"/>
          <w:highlight w:val="none"/>
          <w:lang w:val="zh-CN"/>
        </w:rPr>
        <w:t>若</w:t>
      </w:r>
      <w:r>
        <w:rPr>
          <w:rFonts w:hint="eastAsia" w:ascii="宋体" w:hAnsi="宋体" w:eastAsia="宋体" w:cs="宋体"/>
          <w:color w:val="auto"/>
          <w:szCs w:val="21"/>
          <w:highlight w:val="none"/>
        </w:rPr>
        <w:t>报价</w:t>
      </w:r>
      <w:r>
        <w:rPr>
          <w:rFonts w:hint="eastAsia" w:ascii="宋体" w:hAnsi="宋体" w:eastAsia="宋体" w:cs="宋体"/>
          <w:color w:val="auto"/>
          <w:highlight w:val="none"/>
          <w:lang w:val="zh-CN"/>
        </w:rPr>
        <w:t>人出现超低报价，</w:t>
      </w:r>
      <w:r>
        <w:rPr>
          <w:rFonts w:hint="eastAsia" w:ascii="宋体" w:hAnsi="宋体" w:eastAsia="宋体" w:cs="宋体"/>
          <w:color w:val="auto"/>
          <w:szCs w:val="21"/>
          <w:highlight w:val="none"/>
        </w:rPr>
        <w:t>有可能影响货物、服务或工程质量，和不能诚信履约的，</w:t>
      </w:r>
      <w:r>
        <w:rPr>
          <w:rFonts w:hint="eastAsia" w:ascii="宋体" w:hAnsi="宋体" w:eastAsia="宋体" w:cs="宋体"/>
          <w:color w:val="auto"/>
          <w:highlight w:val="none"/>
          <w:lang w:val="zh-CN"/>
        </w:rPr>
        <w:t>询价小组将对报价的分项报价进行审查，并检查报价基础是否一致，是否存在重大漏项，同时</w:t>
      </w:r>
      <w:r>
        <w:rPr>
          <w:rFonts w:hint="eastAsia" w:ascii="宋体" w:hAnsi="宋体" w:eastAsia="宋体" w:cs="宋体"/>
          <w:color w:val="auto"/>
          <w:szCs w:val="21"/>
          <w:highlight w:val="none"/>
          <w:lang w:val="zh-CN"/>
        </w:rPr>
        <w:t>将要求该报价人作出书面说明并提供相关证明材料，</w:t>
      </w:r>
      <w:r>
        <w:rPr>
          <w:rFonts w:hint="eastAsia" w:ascii="宋体" w:hAnsi="宋体" w:eastAsia="宋体" w:cs="宋体"/>
          <w:color w:val="auto"/>
          <w:highlight w:val="none"/>
          <w:lang w:val="zh-CN"/>
        </w:rPr>
        <w:t>以确定报价人是否以低于企业成本价报价。</w:t>
      </w:r>
      <w:r>
        <w:rPr>
          <w:rFonts w:hint="eastAsia" w:ascii="宋体" w:hAnsi="宋体" w:eastAsia="宋体" w:cs="宋体"/>
          <w:b/>
          <w:color w:val="auto"/>
          <w:highlight w:val="none"/>
          <w:u w:val="single"/>
          <w:lang w:val="zh-CN"/>
        </w:rPr>
        <w:t>若询价小组认定报价人以低于企业成本价报价或报价存在重大漏项，</w:t>
      </w:r>
      <w:r>
        <w:rPr>
          <w:rFonts w:hint="eastAsia" w:ascii="宋体" w:hAnsi="宋体" w:eastAsia="宋体" w:cs="宋体"/>
          <w:b/>
          <w:color w:val="auto"/>
          <w:szCs w:val="21"/>
          <w:highlight w:val="none"/>
          <w:u w:val="single"/>
          <w:lang w:val="zh-CN"/>
        </w:rPr>
        <w:t>且报价人不能合理说明或不能提供相关证明材料，</w:t>
      </w:r>
      <w:r>
        <w:rPr>
          <w:rFonts w:hint="eastAsia" w:ascii="宋体" w:hAnsi="宋体" w:eastAsia="宋体" w:cs="宋体"/>
          <w:b/>
          <w:color w:val="auto"/>
          <w:highlight w:val="none"/>
          <w:u w:val="single"/>
          <w:lang w:val="zh-CN"/>
        </w:rPr>
        <w:t>导致采购人的利益得不到保障，则该报价人的报价作为无效报价处理</w:t>
      </w:r>
      <w:r>
        <w:rPr>
          <w:rFonts w:hint="eastAsia" w:ascii="宋体" w:hAnsi="宋体" w:eastAsia="宋体" w:cs="宋体"/>
          <w:b/>
          <w:color w:val="auto"/>
          <w:highlight w:val="none"/>
          <w:lang w:val="zh-CN"/>
        </w:rPr>
        <w:t>。</w:t>
      </w:r>
    </w:p>
    <w:p>
      <w:pPr>
        <w:pStyle w:val="43"/>
        <w:spacing w:line="360" w:lineRule="auto"/>
        <w:ind w:left="420" w:leftChars="200" w:firstLine="420" w:firstLineChars="200"/>
        <w:rPr>
          <w:rFonts w:hint="eastAsia" w:ascii="宋体" w:hAnsi="宋体" w:eastAsia="宋体" w:cs="宋体"/>
          <w:b/>
          <w:color w:val="auto"/>
          <w:sz w:val="21"/>
          <w:szCs w:val="21"/>
          <w:highlight w:val="none"/>
          <w:lang w:val="zh-CN"/>
        </w:rPr>
      </w:pPr>
      <w:r>
        <w:rPr>
          <w:rFonts w:hint="eastAsia" w:ascii="宋体" w:hAnsi="宋体" w:eastAsia="宋体" w:cs="宋体"/>
          <w:color w:val="auto"/>
          <w:sz w:val="21"/>
          <w:szCs w:val="21"/>
          <w:highlight w:val="none"/>
          <w:lang w:val="zh-CN"/>
        </w:rPr>
        <w:t>对是否低于企业成本价报价或报价存在重大漏项的事宜有争议的报价文件,询价小组成员将以记名方式表决,得票超过半数的报价人才有资格进入下一阶段的评审,否则将按无效报价处理</w:t>
      </w:r>
      <w:r>
        <w:rPr>
          <w:rFonts w:hint="eastAsia" w:ascii="宋体" w:hAnsi="宋体" w:eastAsia="宋体" w:cs="宋体"/>
          <w:b/>
          <w:color w:val="auto"/>
          <w:sz w:val="21"/>
          <w:szCs w:val="21"/>
          <w:highlight w:val="none"/>
          <w:lang w:val="zh-CN"/>
        </w:rPr>
        <w:t>。</w:t>
      </w:r>
    </w:p>
    <w:p>
      <w:pPr>
        <w:tabs>
          <w:tab w:val="left" w:pos="567"/>
        </w:tabs>
        <w:spacing w:line="360" w:lineRule="auto"/>
        <w:ind w:left="567" w:hanging="567"/>
        <w:outlineLvl w:val="1"/>
        <w:rPr>
          <w:rFonts w:hint="eastAsia" w:ascii="宋体" w:hAnsi="宋体" w:eastAsia="宋体" w:cs="宋体"/>
          <w:b/>
          <w:color w:val="auto"/>
          <w:szCs w:val="21"/>
          <w:highlight w:val="none"/>
          <w:lang w:val="zh-CN"/>
        </w:rPr>
      </w:pPr>
      <w:bookmarkStart w:id="55" w:name="_Toc17616"/>
      <w:bookmarkStart w:id="56" w:name="_Toc15715"/>
      <w:r>
        <w:rPr>
          <w:rFonts w:hint="eastAsia" w:ascii="宋体" w:hAnsi="宋体" w:eastAsia="宋体" w:cs="宋体"/>
          <w:color w:val="auto"/>
          <w:szCs w:val="21"/>
          <w:highlight w:val="none"/>
        </w:rPr>
        <w:t>9.7</w:t>
      </w:r>
      <w:r>
        <w:rPr>
          <w:rFonts w:hint="eastAsia" w:ascii="宋体" w:hAnsi="宋体" w:eastAsia="宋体" w:cs="宋体"/>
          <w:b/>
          <w:color w:val="auto"/>
          <w:szCs w:val="21"/>
          <w:highlight w:val="none"/>
          <w:lang w:val="zh-CN"/>
        </w:rPr>
        <w:t xml:space="preserve"> 报价文件出现下列情况之一的，被认定为无效报价：</w:t>
      </w:r>
      <w:bookmarkEnd w:id="55"/>
      <w:bookmarkEnd w:id="56"/>
    </w:p>
    <w:p>
      <w:pPr>
        <w:pStyle w:val="43"/>
        <w:tabs>
          <w:tab w:val="left" w:pos="426"/>
        </w:tabs>
        <w:spacing w:line="360" w:lineRule="auto"/>
        <w:ind w:left="563" w:hanging="562" w:hangingChars="268"/>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9.7.1</w:t>
      </w:r>
      <w:r>
        <w:rPr>
          <w:rFonts w:hint="eastAsia" w:ascii="宋体" w:hAnsi="宋体" w:eastAsia="宋体" w:cs="宋体"/>
          <w:b/>
          <w:color w:val="auto"/>
          <w:sz w:val="21"/>
          <w:szCs w:val="21"/>
          <w:highlight w:val="none"/>
          <w:u w:val="single"/>
        </w:rPr>
        <w:t>报价人不符合报价人的基本条件</w:t>
      </w:r>
      <w:r>
        <w:rPr>
          <w:rFonts w:hint="eastAsia" w:ascii="宋体" w:hAnsi="宋体" w:eastAsia="宋体" w:cs="宋体"/>
          <w:b/>
          <w:color w:val="auto"/>
          <w:sz w:val="21"/>
          <w:szCs w:val="21"/>
          <w:highlight w:val="none"/>
        </w:rPr>
        <w:t>。</w:t>
      </w:r>
    </w:p>
    <w:p>
      <w:pPr>
        <w:pStyle w:val="43"/>
        <w:tabs>
          <w:tab w:val="left" w:pos="567"/>
        </w:tabs>
        <w:spacing w:line="360" w:lineRule="auto"/>
        <w:ind w:left="630" w:hanging="630" w:hangingChars="3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9.7.2</w:t>
      </w:r>
      <w:r>
        <w:rPr>
          <w:rFonts w:hint="eastAsia" w:ascii="宋体" w:hAnsi="宋体" w:eastAsia="宋体" w:cs="宋体"/>
          <w:b/>
          <w:color w:val="auto"/>
          <w:sz w:val="21"/>
          <w:szCs w:val="21"/>
          <w:highlight w:val="none"/>
          <w:u w:val="single"/>
        </w:rPr>
        <w:t>报价</w:t>
      </w:r>
      <w:r>
        <w:rPr>
          <w:rFonts w:hint="eastAsia" w:ascii="宋体" w:eastAsia="宋体" w:cs="宋体"/>
          <w:b/>
          <w:color w:val="auto"/>
          <w:sz w:val="21"/>
          <w:szCs w:val="21"/>
          <w:highlight w:val="none"/>
          <w:u w:val="single"/>
          <w:lang w:val="en-US" w:eastAsia="zh-CN"/>
        </w:rPr>
        <w:t>高</w:t>
      </w:r>
      <w:r>
        <w:rPr>
          <w:rFonts w:hint="eastAsia" w:ascii="宋体" w:hAnsi="宋体" w:eastAsia="宋体" w:cs="宋体"/>
          <w:b/>
          <w:color w:val="auto"/>
          <w:sz w:val="21"/>
          <w:szCs w:val="21"/>
          <w:highlight w:val="none"/>
          <w:u w:val="single"/>
        </w:rPr>
        <w:t>于报价最</w:t>
      </w:r>
      <w:r>
        <w:rPr>
          <w:rFonts w:hint="eastAsia" w:ascii="宋体" w:eastAsia="宋体" w:cs="宋体"/>
          <w:b/>
          <w:color w:val="auto"/>
          <w:sz w:val="21"/>
          <w:szCs w:val="21"/>
          <w:highlight w:val="none"/>
          <w:u w:val="single"/>
          <w:lang w:val="en-US" w:eastAsia="zh-CN"/>
        </w:rPr>
        <w:t>高</w:t>
      </w:r>
      <w:r>
        <w:rPr>
          <w:rFonts w:hint="eastAsia" w:ascii="宋体" w:hAnsi="宋体" w:eastAsia="宋体" w:cs="宋体"/>
          <w:b/>
          <w:color w:val="auto"/>
          <w:sz w:val="21"/>
          <w:szCs w:val="21"/>
          <w:highlight w:val="none"/>
          <w:u w:val="single"/>
        </w:rPr>
        <w:t>限价的</w:t>
      </w:r>
      <w:r>
        <w:rPr>
          <w:rFonts w:hint="eastAsia" w:ascii="宋体" w:hAnsi="宋体" w:eastAsia="宋体" w:cs="宋体"/>
          <w:b/>
          <w:color w:val="auto"/>
          <w:sz w:val="21"/>
          <w:szCs w:val="21"/>
          <w:highlight w:val="none"/>
        </w:rPr>
        <w:t>。</w:t>
      </w:r>
    </w:p>
    <w:p>
      <w:pPr>
        <w:pStyle w:val="43"/>
        <w:tabs>
          <w:tab w:val="left" w:pos="426"/>
        </w:tabs>
        <w:spacing w:line="360" w:lineRule="auto"/>
        <w:ind w:left="563" w:hanging="562" w:hangingChars="268"/>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9.7.3</w:t>
      </w:r>
      <w:r>
        <w:rPr>
          <w:rFonts w:hint="eastAsia" w:ascii="宋体" w:hAnsi="宋体" w:eastAsia="宋体" w:cs="宋体"/>
          <w:b/>
          <w:color w:val="auto"/>
          <w:sz w:val="21"/>
          <w:szCs w:val="21"/>
          <w:highlight w:val="none"/>
          <w:u w:val="single"/>
        </w:rPr>
        <w:t>报价人递交两份或多份内容不同的报价文件，或报价方案不是唯一，或在一份报价文件中报有两个或多个报价，且未书面声明哪一个有效</w:t>
      </w:r>
      <w:r>
        <w:rPr>
          <w:rFonts w:hint="eastAsia" w:ascii="宋体" w:hAnsi="宋体" w:eastAsia="宋体" w:cs="宋体"/>
          <w:b/>
          <w:color w:val="auto"/>
          <w:sz w:val="21"/>
          <w:szCs w:val="21"/>
          <w:highlight w:val="none"/>
        </w:rPr>
        <w:t>。</w:t>
      </w:r>
    </w:p>
    <w:p>
      <w:pPr>
        <w:pStyle w:val="43"/>
        <w:spacing w:line="360" w:lineRule="auto"/>
        <w:ind w:left="525" w:hanging="525" w:hangingChars="25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9.7.4</w:t>
      </w:r>
      <w:r>
        <w:rPr>
          <w:rFonts w:hint="eastAsia" w:ascii="宋体" w:hAnsi="宋体" w:eastAsia="宋体" w:cs="宋体"/>
          <w:b/>
          <w:color w:val="auto"/>
          <w:sz w:val="21"/>
          <w:szCs w:val="21"/>
          <w:highlight w:val="none"/>
          <w:u w:val="single"/>
        </w:rPr>
        <w:t>报价文件未对采购范围内的全部内容进行报价</w:t>
      </w:r>
      <w:r>
        <w:rPr>
          <w:rFonts w:hint="eastAsia" w:ascii="宋体" w:hAnsi="宋体" w:eastAsia="宋体" w:cs="宋体"/>
          <w:b/>
          <w:color w:val="auto"/>
          <w:sz w:val="21"/>
          <w:szCs w:val="21"/>
          <w:highlight w:val="none"/>
        </w:rPr>
        <w:t>。</w:t>
      </w:r>
    </w:p>
    <w:p>
      <w:pPr>
        <w:pStyle w:val="43"/>
        <w:tabs>
          <w:tab w:val="left" w:pos="426"/>
        </w:tabs>
        <w:spacing w:line="360" w:lineRule="auto"/>
        <w:ind w:left="563" w:hanging="562" w:hangingChars="268"/>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9.7.5</w:t>
      </w:r>
      <w:r>
        <w:rPr>
          <w:rFonts w:hint="eastAsia" w:ascii="宋体" w:hAnsi="宋体" w:eastAsia="宋体" w:cs="宋体"/>
          <w:b/>
          <w:color w:val="auto"/>
          <w:sz w:val="21"/>
          <w:szCs w:val="21"/>
          <w:highlight w:val="none"/>
          <w:u w:val="single"/>
        </w:rPr>
        <w:t>虚假填写《合同条款偏离表》和《用户需求偏离表》的，或《合同条款偏离表》有重大的负偏离导致采购人利益无法得到保障、存在采购人无法接受的风险的</w:t>
      </w:r>
      <w:r>
        <w:rPr>
          <w:rFonts w:hint="eastAsia" w:ascii="宋体" w:hAnsi="宋体" w:eastAsia="宋体" w:cs="宋体"/>
          <w:b/>
          <w:color w:val="auto"/>
          <w:sz w:val="21"/>
          <w:szCs w:val="21"/>
          <w:highlight w:val="none"/>
        </w:rPr>
        <w:t>。</w:t>
      </w:r>
    </w:p>
    <w:p>
      <w:pPr>
        <w:pStyle w:val="43"/>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9.7.6</w:t>
      </w:r>
      <w:r>
        <w:rPr>
          <w:rFonts w:hint="eastAsia" w:ascii="宋体" w:hAnsi="宋体" w:eastAsia="宋体" w:cs="宋体"/>
          <w:b/>
          <w:color w:val="auto"/>
          <w:sz w:val="21"/>
          <w:szCs w:val="21"/>
          <w:highlight w:val="none"/>
          <w:u w:val="single"/>
        </w:rPr>
        <w:t>未实质性满足法律、法规和询价文件提出的实质性要求和条件（标注★的条款）</w:t>
      </w:r>
      <w:r>
        <w:rPr>
          <w:rFonts w:hint="eastAsia" w:ascii="宋体" w:hAnsi="宋体" w:eastAsia="宋体" w:cs="宋体"/>
          <w:b/>
          <w:color w:val="auto"/>
          <w:sz w:val="21"/>
          <w:szCs w:val="21"/>
          <w:highlight w:val="none"/>
        </w:rPr>
        <w:t>。</w:t>
      </w:r>
    </w:p>
    <w:p>
      <w:pPr>
        <w:pStyle w:val="43"/>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9.7.7</w:t>
      </w:r>
      <w:r>
        <w:rPr>
          <w:rFonts w:hint="eastAsia" w:ascii="宋体" w:hAnsi="宋体" w:eastAsia="宋体" w:cs="宋体"/>
          <w:b/>
          <w:color w:val="auto"/>
          <w:sz w:val="21"/>
          <w:szCs w:val="21"/>
          <w:highlight w:val="none"/>
          <w:u w:val="single"/>
        </w:rPr>
        <w:t>报价文件中附有采购人不能接受的条件</w:t>
      </w:r>
      <w:r>
        <w:rPr>
          <w:rFonts w:hint="eastAsia" w:ascii="宋体" w:hAnsi="宋体" w:eastAsia="宋体" w:cs="宋体"/>
          <w:b/>
          <w:color w:val="auto"/>
          <w:sz w:val="21"/>
          <w:szCs w:val="21"/>
          <w:highlight w:val="none"/>
        </w:rPr>
        <w:t>。</w:t>
      </w:r>
    </w:p>
    <w:p>
      <w:pPr>
        <w:pStyle w:val="43"/>
        <w:spacing w:line="360" w:lineRule="auto"/>
        <w:ind w:firstLine="0" w:firstLineChars="0"/>
        <w:rPr>
          <w:rFonts w:hint="eastAsia" w:ascii="宋体" w:hAnsi="宋体" w:eastAsia="宋体" w:cs="宋体"/>
          <w:b/>
          <w:color w:val="auto"/>
          <w:sz w:val="21"/>
          <w:szCs w:val="21"/>
          <w:highlight w:val="none"/>
        </w:rPr>
      </w:pPr>
    </w:p>
    <w:p>
      <w:pPr>
        <w:pStyle w:val="5"/>
        <w:spacing w:before="0" w:after="0" w:line="360" w:lineRule="auto"/>
        <w:outlineLvl w:val="0"/>
        <w:rPr>
          <w:rFonts w:hint="eastAsia" w:ascii="宋体" w:hAnsi="宋体" w:eastAsia="宋体" w:cs="宋体"/>
          <w:color w:val="auto"/>
          <w:sz w:val="21"/>
          <w:szCs w:val="21"/>
          <w:highlight w:val="none"/>
          <w:lang w:val="zh-CN"/>
        </w:rPr>
      </w:pPr>
      <w:bookmarkStart w:id="57" w:name="_Toc32184"/>
      <w:bookmarkStart w:id="58" w:name="_Toc11431"/>
      <w:bookmarkStart w:id="59" w:name="_Toc10"/>
      <w:bookmarkStart w:id="60" w:name="_Toc22528"/>
      <w:bookmarkStart w:id="61" w:name="_Toc62668955"/>
      <w:bookmarkStart w:id="62" w:name="_Toc15616"/>
      <w:bookmarkStart w:id="63" w:name="_Toc11164"/>
      <w:bookmarkStart w:id="64" w:name="_Toc7332"/>
      <w:bookmarkStart w:id="65" w:name="_Toc8554"/>
      <w:bookmarkStart w:id="66" w:name="_Toc18018"/>
      <w:bookmarkStart w:id="67" w:name="_Toc54710224"/>
      <w:r>
        <w:rPr>
          <w:rFonts w:hint="eastAsia" w:ascii="宋体" w:hAnsi="宋体" w:eastAsia="宋体" w:cs="宋体"/>
          <w:color w:val="auto"/>
          <w:sz w:val="21"/>
          <w:szCs w:val="21"/>
          <w:highlight w:val="none"/>
          <w:lang w:val="zh-CN"/>
        </w:rPr>
        <w:t>10   评定成交的标准</w:t>
      </w:r>
      <w:bookmarkEnd w:id="57"/>
      <w:bookmarkEnd w:id="58"/>
      <w:bookmarkEnd w:id="59"/>
      <w:bookmarkEnd w:id="60"/>
      <w:bookmarkEnd w:id="61"/>
      <w:bookmarkEnd w:id="62"/>
      <w:bookmarkEnd w:id="63"/>
      <w:bookmarkEnd w:id="64"/>
      <w:bookmarkEnd w:id="65"/>
      <w:bookmarkEnd w:id="66"/>
    </w:p>
    <w:p>
      <w:pPr>
        <w:spacing w:line="360" w:lineRule="auto"/>
        <w:ind w:left="523" w:hanging="522" w:hangingChars="249"/>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rPr>
        <w:t>10.1</w:t>
      </w:r>
      <w:r>
        <w:rPr>
          <w:rFonts w:hint="eastAsia"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u w:val="single"/>
          <w:lang w:val="zh-CN"/>
        </w:rPr>
        <w:t>询价小组从质量和服务均满足询价文件实质性响应要求的报价人中，按照报价由</w:t>
      </w:r>
      <w:r>
        <w:rPr>
          <w:rFonts w:hint="eastAsia" w:ascii="宋体" w:hAnsi="宋体" w:cs="宋体"/>
          <w:b/>
          <w:color w:val="auto"/>
          <w:szCs w:val="21"/>
          <w:highlight w:val="none"/>
          <w:u w:val="single"/>
          <w:lang w:val="en-US" w:eastAsia="zh-CN"/>
        </w:rPr>
        <w:t>低</w:t>
      </w:r>
      <w:r>
        <w:rPr>
          <w:rFonts w:hint="eastAsia" w:ascii="宋体" w:hAnsi="宋体" w:eastAsia="宋体" w:cs="宋体"/>
          <w:b/>
          <w:color w:val="auto"/>
          <w:szCs w:val="21"/>
          <w:highlight w:val="none"/>
          <w:u w:val="single"/>
          <w:lang w:val="zh-CN"/>
        </w:rPr>
        <w:t>到</w:t>
      </w:r>
      <w:r>
        <w:rPr>
          <w:rFonts w:hint="eastAsia" w:ascii="宋体" w:hAnsi="宋体" w:cs="宋体"/>
          <w:b/>
          <w:color w:val="auto"/>
          <w:szCs w:val="21"/>
          <w:highlight w:val="none"/>
          <w:u w:val="single"/>
          <w:lang w:val="en-US" w:eastAsia="zh-CN"/>
        </w:rPr>
        <w:t>高</w:t>
      </w:r>
      <w:r>
        <w:rPr>
          <w:rFonts w:hint="eastAsia" w:ascii="宋体" w:hAnsi="宋体" w:eastAsia="宋体" w:cs="宋体"/>
          <w:b/>
          <w:color w:val="auto"/>
          <w:szCs w:val="21"/>
          <w:highlight w:val="none"/>
          <w:u w:val="single"/>
          <w:lang w:val="zh-CN"/>
        </w:rPr>
        <w:t>的顺序推荐成交候选人，并编写评审报告</w:t>
      </w:r>
      <w:r>
        <w:rPr>
          <w:rFonts w:hint="eastAsia" w:ascii="宋体" w:hAnsi="宋体" w:eastAsia="宋体" w:cs="宋体"/>
          <w:b/>
          <w:color w:val="auto"/>
          <w:szCs w:val="21"/>
          <w:highlight w:val="none"/>
          <w:lang w:val="zh-CN"/>
        </w:rPr>
        <w:t>。</w:t>
      </w:r>
    </w:p>
    <w:p>
      <w:pPr>
        <w:spacing w:line="360" w:lineRule="auto"/>
        <w:ind w:left="525" w:leftChars="250" w:firstLine="315" w:firstLineChars="150"/>
        <w:rPr>
          <w:rFonts w:hint="eastAsia" w:ascii="宋体" w:hAnsi="宋体" w:eastAsia="宋体" w:cs="宋体"/>
          <w:color w:val="auto"/>
          <w:szCs w:val="21"/>
          <w:highlight w:val="none"/>
        </w:rPr>
      </w:pPr>
      <w:r>
        <w:rPr>
          <w:rFonts w:hint="eastAsia" w:ascii="宋体" w:hAnsi="宋体" w:eastAsia="宋体" w:cs="宋体"/>
          <w:color w:val="auto"/>
          <w:highlight w:val="none"/>
          <w:lang w:val="zh-CN"/>
        </w:rPr>
        <w:t>如果有两个或以上的报价人的报价相同时，询价小组应综合考虑报价人的报价产品或服务、</w:t>
      </w:r>
      <w:r>
        <w:rPr>
          <w:rFonts w:hint="eastAsia" w:ascii="宋体" w:hAnsi="宋体" w:eastAsia="宋体" w:cs="宋体"/>
          <w:color w:val="auto"/>
          <w:szCs w:val="21"/>
          <w:highlight w:val="none"/>
        </w:rPr>
        <w:t>综合实力、资质等级、类似业绩、获奖情况等因素（优先进行“比优”，无法比优的情况下可进行“比劣”），由询价小组进行投票表决，得票多的排名在先。当第一轮投票结果为报价人得票数相同时，再次进行投票，如此类推，直到能确定排序次序为止。</w:t>
      </w:r>
    </w:p>
    <w:p>
      <w:pPr>
        <w:spacing w:line="360" w:lineRule="auto"/>
        <w:ind w:left="523" w:hanging="522" w:hangingChars="249"/>
        <w:rPr>
          <w:rFonts w:hint="eastAsia"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rPr>
        <w:t>10.2</w:t>
      </w:r>
      <w:r>
        <w:rPr>
          <w:rFonts w:hint="eastAsia" w:ascii="宋体" w:hAnsi="宋体" w:eastAsia="宋体" w:cs="宋体"/>
          <w:b w:val="0"/>
          <w:bCs w:val="0"/>
          <w:color w:val="auto"/>
          <w:szCs w:val="21"/>
          <w:highlight w:val="none"/>
          <w:lang w:val="zh-CN"/>
        </w:rPr>
        <w:t xml:space="preserve"> </w:t>
      </w:r>
      <w:r>
        <w:rPr>
          <w:rFonts w:hint="eastAsia" w:ascii="宋体" w:hAnsi="宋体" w:eastAsia="宋体" w:cs="宋体"/>
          <w:b/>
          <w:bCs/>
          <w:color w:val="auto"/>
          <w:szCs w:val="21"/>
          <w:highlight w:val="none"/>
          <w:u w:val="single"/>
          <w:lang w:val="zh-CN"/>
        </w:rPr>
        <w:t>采购人根据询价小组的评审报告和推荐成交候选人名单，按质量和服务均能满足询价文件实质性响应要求，且报价最</w:t>
      </w:r>
      <w:r>
        <w:rPr>
          <w:rFonts w:hint="eastAsia" w:ascii="宋体" w:hAnsi="宋体" w:cs="宋体"/>
          <w:b/>
          <w:bCs/>
          <w:color w:val="auto"/>
          <w:szCs w:val="21"/>
          <w:highlight w:val="none"/>
          <w:u w:val="single"/>
          <w:lang w:val="en-US" w:eastAsia="zh-CN"/>
        </w:rPr>
        <w:t>低</w:t>
      </w:r>
      <w:r>
        <w:rPr>
          <w:rFonts w:hint="eastAsia" w:ascii="宋体" w:hAnsi="宋体" w:eastAsia="宋体" w:cs="宋体"/>
          <w:b/>
          <w:bCs/>
          <w:color w:val="auto"/>
          <w:szCs w:val="21"/>
          <w:highlight w:val="none"/>
          <w:u w:val="single"/>
          <w:lang w:val="zh-CN"/>
        </w:rPr>
        <w:t>的原则确定成交人</w:t>
      </w:r>
      <w:r>
        <w:rPr>
          <w:rFonts w:hint="eastAsia" w:ascii="宋体" w:hAnsi="宋体" w:eastAsia="宋体" w:cs="宋体"/>
          <w:b/>
          <w:bCs/>
          <w:color w:val="auto"/>
          <w:szCs w:val="21"/>
          <w:highlight w:val="none"/>
          <w:lang w:val="zh-CN"/>
        </w:rPr>
        <w:t>。</w:t>
      </w:r>
    </w:p>
    <w:p>
      <w:pPr>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10.3 </w:t>
      </w:r>
      <w:r>
        <w:rPr>
          <w:rFonts w:hint="eastAsia" w:ascii="宋体" w:hAnsi="宋体" w:eastAsia="宋体" w:cs="宋体"/>
          <w:color w:val="auto"/>
          <w:szCs w:val="21"/>
          <w:highlight w:val="none"/>
          <w:lang w:val="zh-CN"/>
        </w:rPr>
        <w:t>若</w:t>
      </w:r>
      <w:r>
        <w:rPr>
          <w:rFonts w:hint="eastAsia" w:ascii="宋体" w:hAnsi="宋体" w:eastAsia="宋体" w:cs="宋体"/>
          <w:color w:val="auto"/>
          <w:szCs w:val="21"/>
          <w:highlight w:val="none"/>
        </w:rPr>
        <w:t>本次采购过程中有效报价人不足三家时，询价失败。经批准，询价小组及作出实质性响应的报价人代表同意后，本项目可以现场转换采购方式继续采购：当有效报价人只有2家时，现场更改为竞争性谈判的方式继续采购</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不同意转换采购方式的报价人可以退出报价。</w:t>
      </w:r>
      <w:bookmarkEnd w:id="67"/>
    </w:p>
    <w:p>
      <w:pPr>
        <w:pStyle w:val="5"/>
        <w:spacing w:before="0" w:after="0" w:line="360" w:lineRule="auto"/>
        <w:outlineLvl w:val="9"/>
        <w:rPr>
          <w:rFonts w:hint="eastAsia" w:ascii="宋体" w:hAnsi="宋体" w:eastAsia="宋体" w:cs="宋体"/>
          <w:color w:val="auto"/>
          <w:sz w:val="21"/>
          <w:szCs w:val="21"/>
          <w:highlight w:val="none"/>
          <w:lang w:val="zh-CN"/>
        </w:rPr>
      </w:pPr>
      <w:bookmarkStart w:id="68" w:name="_Toc22647"/>
      <w:bookmarkStart w:id="69" w:name="_Toc32216"/>
      <w:bookmarkStart w:id="70" w:name="_Toc356"/>
      <w:bookmarkStart w:id="71" w:name="_Toc8614"/>
      <w:bookmarkStart w:id="72" w:name="_Toc62668956"/>
      <w:bookmarkStart w:id="73" w:name="_Toc15780"/>
      <w:bookmarkStart w:id="74" w:name="_Toc4241"/>
      <w:bookmarkStart w:id="75" w:name="_Toc54710225"/>
    </w:p>
    <w:p>
      <w:pPr>
        <w:pStyle w:val="5"/>
        <w:spacing w:before="0" w:after="0" w:line="360" w:lineRule="auto"/>
        <w:outlineLvl w:val="0"/>
        <w:rPr>
          <w:rFonts w:hint="eastAsia" w:ascii="宋体" w:hAnsi="宋体" w:eastAsia="宋体" w:cs="宋体"/>
          <w:color w:val="auto"/>
          <w:sz w:val="21"/>
          <w:szCs w:val="21"/>
          <w:highlight w:val="none"/>
          <w:lang w:val="zh-CN"/>
        </w:rPr>
      </w:pPr>
      <w:bookmarkStart w:id="76" w:name="_Toc15066"/>
      <w:bookmarkStart w:id="77" w:name="_Toc12283"/>
      <w:r>
        <w:rPr>
          <w:rFonts w:hint="eastAsia" w:ascii="宋体" w:hAnsi="宋体" w:eastAsia="宋体" w:cs="宋体"/>
          <w:color w:val="auto"/>
          <w:sz w:val="21"/>
          <w:szCs w:val="21"/>
          <w:highlight w:val="none"/>
          <w:lang w:val="zh-CN"/>
        </w:rPr>
        <w:t>11   采购结果通知及异议、投诉</w:t>
      </w:r>
      <w:bookmarkEnd w:id="68"/>
      <w:bookmarkEnd w:id="69"/>
      <w:bookmarkEnd w:id="70"/>
      <w:bookmarkEnd w:id="71"/>
      <w:bookmarkEnd w:id="72"/>
      <w:bookmarkEnd w:id="73"/>
      <w:bookmarkEnd w:id="74"/>
      <w:bookmarkEnd w:id="76"/>
      <w:bookmarkEnd w:id="77"/>
    </w:p>
    <w:p>
      <w:pPr>
        <w:tabs>
          <w:tab w:val="left" w:pos="360"/>
        </w:tabs>
        <w:spacing w:line="360" w:lineRule="auto"/>
        <w:ind w:right="51"/>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11.1 </w:t>
      </w:r>
      <w:r>
        <w:rPr>
          <w:rFonts w:hint="eastAsia" w:ascii="宋体" w:hAnsi="宋体" w:eastAsia="宋体" w:cs="宋体"/>
          <w:color w:val="auto"/>
          <w:szCs w:val="21"/>
          <w:highlight w:val="none"/>
          <w:lang w:val="zh-CN"/>
        </w:rPr>
        <w:t>采购人将以电子邮件的方式向参与报价的所有报价人发出采购结果通知。</w:t>
      </w:r>
    </w:p>
    <w:p>
      <w:pPr>
        <w:spacing w:line="360" w:lineRule="auto"/>
        <w:ind w:left="525"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11.2</w:t>
      </w:r>
      <w:r>
        <w:rPr>
          <w:rFonts w:hint="eastAsia" w:ascii="宋体" w:hAnsi="宋体" w:eastAsia="宋体" w:cs="宋体"/>
          <w:color w:val="auto"/>
          <w:szCs w:val="21"/>
          <w:highlight w:val="none"/>
          <w:lang w:val="zh-CN"/>
        </w:rPr>
        <w:t xml:space="preserve"> 报价人或者其他利害关系人对采购结果有异议的，应当在采购结果通知发出之日起3日内向采购人以书面的形式提出，并将完整的异议书面材料原件送达采购人采购联系人，逾期则视为对采购结果无异议。超出提交异议截止时间而提出的任何疑问，采购人可不予答复。</w:t>
      </w:r>
    </w:p>
    <w:p>
      <w:pPr>
        <w:spacing w:line="360" w:lineRule="auto"/>
        <w:ind w:left="525" w:leftChars="250"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采购人将拒收未能提供完整异议书面材料的异议，完整的异议书面材料必须同时包含：异议书（加盖报价人法人公章，并注明联系人、联系电话、联系地址）、授权提交异议的法定代表人授权书原件、反映异议人主体资格的营业执照复印件（加盖报价人法人公章）、以及合法来源的证明材料。</w:t>
      </w:r>
    </w:p>
    <w:p>
      <w:pPr>
        <w:spacing w:line="360" w:lineRule="auto"/>
        <w:ind w:left="540" w:hanging="54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 发出采购结果</w:t>
      </w:r>
      <w:r>
        <w:rPr>
          <w:rFonts w:hint="eastAsia" w:ascii="宋体" w:hAnsi="宋体" w:eastAsia="宋体" w:cs="宋体"/>
          <w:color w:val="auto"/>
          <w:szCs w:val="21"/>
          <w:highlight w:val="none"/>
          <w:lang w:val="zh-CN"/>
        </w:rPr>
        <w:t>通知</w:t>
      </w:r>
      <w:r>
        <w:rPr>
          <w:rFonts w:hint="eastAsia" w:ascii="宋体" w:hAnsi="宋体" w:eastAsia="宋体" w:cs="宋体"/>
          <w:color w:val="auto"/>
          <w:szCs w:val="21"/>
          <w:highlight w:val="none"/>
        </w:rPr>
        <w:t>后，成交人有义务在采购结果通知发出之日起3日内提交报价文件中所提供的资格证明文件、业绩证明文件、对询价文件实质性条款响应文件、履约能力证明文件的原件供采购人核查，采购人如发现报价人提供虚假证明文件、虚假响应文件等弄虚作假行为骗取成交的，采购人有权取消其成交资格，</w:t>
      </w:r>
      <w:r>
        <w:rPr>
          <w:rFonts w:hint="eastAsia" w:ascii="宋体" w:hAnsi="宋体" w:eastAsia="宋体" w:cs="宋体"/>
          <w:color w:val="auto"/>
          <w:szCs w:val="21"/>
          <w:highlight w:val="none"/>
          <w:lang w:val="zh-CN"/>
        </w:rPr>
        <w:t>保留三年内拒绝该报价人参与采购人（或其上级单位、权属公司）采购项目投标报价的权利</w:t>
      </w:r>
      <w:r>
        <w:rPr>
          <w:rFonts w:hint="eastAsia" w:ascii="宋体" w:hAnsi="宋体" w:eastAsia="宋体" w:cs="宋体"/>
          <w:color w:val="auto"/>
          <w:szCs w:val="21"/>
          <w:highlight w:val="none"/>
        </w:rPr>
        <w:t>。涉嫌违法犯罪的，将移交司法机关处理。</w:t>
      </w:r>
    </w:p>
    <w:p>
      <w:pPr>
        <w:spacing w:line="360" w:lineRule="auto"/>
        <w:ind w:left="54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u w:val="single"/>
        </w:rPr>
        <w:t>必要时，当采购人向成交人发出提供上述证明资料原件进行核查的书面通知后，三个工作日内成交人仍未能提供原件进行核查的，视为其无法提供真实的资料，采购人有权取消其成交人资格</w:t>
      </w:r>
      <w:r>
        <w:rPr>
          <w:rFonts w:hint="eastAsia" w:ascii="宋体" w:hAnsi="宋体" w:eastAsia="宋体" w:cs="宋体"/>
          <w:b/>
          <w:color w:val="auto"/>
          <w:szCs w:val="21"/>
          <w:highlight w:val="none"/>
        </w:rPr>
        <w:t>。</w:t>
      </w:r>
    </w:p>
    <w:p>
      <w:pPr>
        <w:snapToGrid w:val="0"/>
        <w:spacing w:line="360" w:lineRule="auto"/>
        <w:ind w:left="529" w:hanging="529" w:hangingChars="25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11.4 </w:t>
      </w:r>
      <w:r>
        <w:rPr>
          <w:rFonts w:hint="eastAsia" w:ascii="宋体" w:hAnsi="宋体" w:eastAsia="宋体" w:cs="宋体"/>
          <w:color w:val="auto"/>
          <w:szCs w:val="21"/>
          <w:highlight w:val="none"/>
          <w:lang w:val="zh-CN"/>
        </w:rPr>
        <w:t>报价人或者其他利害关系人认为采购活动不符合法律、行政法规、采购人制度规定的，可以自知道或者应当知道之日起10日内，按程序向采购人的上级单位投诉。投诉应当有明确的请求和必要的证明材料。投诉书应当包括下列内容：</w:t>
      </w:r>
    </w:p>
    <w:p>
      <w:pPr>
        <w:snapToGrid w:val="0"/>
        <w:spacing w:line="360" w:lineRule="auto"/>
        <w:ind w:left="525" w:leftChars="250"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（一）投诉人和被投诉人的姓名或者名称、通讯地址、邮编、联系人及联系电话；</w:t>
      </w:r>
    </w:p>
    <w:p>
      <w:pPr>
        <w:snapToGrid w:val="0"/>
        <w:spacing w:line="360" w:lineRule="auto"/>
        <w:ind w:firstLine="945" w:firstLineChars="4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（二）异议和异议答复情况说明及相关证明材料；</w:t>
      </w:r>
    </w:p>
    <w:p>
      <w:pPr>
        <w:snapToGrid w:val="0"/>
        <w:spacing w:line="360" w:lineRule="auto"/>
        <w:ind w:firstLine="945" w:firstLineChars="4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（三）具体、明确的投诉事项和与投诉事项相关的投诉请求；</w:t>
      </w:r>
    </w:p>
    <w:p>
      <w:pPr>
        <w:snapToGrid w:val="0"/>
        <w:spacing w:line="360" w:lineRule="auto"/>
        <w:ind w:firstLine="945" w:firstLineChars="4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（四）事实依据；</w:t>
      </w:r>
    </w:p>
    <w:p>
      <w:pPr>
        <w:snapToGrid w:val="0"/>
        <w:spacing w:line="360" w:lineRule="auto"/>
        <w:ind w:firstLine="945" w:firstLineChars="4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（五）法律依据；</w:t>
      </w:r>
    </w:p>
    <w:p>
      <w:pPr>
        <w:snapToGrid w:val="0"/>
        <w:spacing w:line="360" w:lineRule="auto"/>
        <w:ind w:firstLine="945" w:firstLineChars="4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（六）提起投诉的日期；</w:t>
      </w:r>
    </w:p>
    <w:p>
      <w:pPr>
        <w:snapToGrid w:val="0"/>
        <w:spacing w:line="360" w:lineRule="auto"/>
        <w:ind w:left="525" w:leftChars="250"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投诉人为法人或者其他组织的，应当由法定代表人、主要负责人，或者其授权代表签字或者盖章，并加盖公章。</w:t>
      </w:r>
    </w:p>
    <w:p>
      <w:pPr>
        <w:snapToGrid w:val="0"/>
        <w:spacing w:line="360" w:lineRule="auto"/>
        <w:ind w:left="525" w:leftChars="250"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投诉人投诉的事项不得超出已质疑事项的范围，但基于异议答复内容提出的投诉事项除外。</w:t>
      </w:r>
    </w:p>
    <w:p>
      <w:pPr>
        <w:snapToGrid w:val="0"/>
        <w:spacing w:line="360" w:lineRule="auto"/>
        <w:ind w:left="529" w:hanging="529" w:hangingChars="25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监督部门：东莞市水务集团有限公司，联系人：莫先生，联系电话：0769-28823251。</w:t>
      </w:r>
    </w:p>
    <w:bookmarkEnd w:id="75"/>
    <w:p>
      <w:pPr>
        <w:pStyle w:val="2"/>
        <w:spacing w:line="360" w:lineRule="auto"/>
        <w:rPr>
          <w:rFonts w:hint="eastAsia" w:ascii="宋体" w:hAnsi="宋体" w:eastAsia="宋体" w:cs="宋体"/>
          <w:color w:val="auto"/>
          <w:highlight w:val="none"/>
          <w:lang w:val="zh-CN"/>
        </w:rPr>
      </w:pPr>
    </w:p>
    <w:p>
      <w:pPr>
        <w:pStyle w:val="5"/>
        <w:spacing w:before="0" w:after="0" w:line="360" w:lineRule="auto"/>
        <w:outlineLvl w:val="0"/>
        <w:rPr>
          <w:rFonts w:hint="eastAsia" w:ascii="宋体" w:hAnsi="宋体" w:eastAsia="宋体" w:cs="宋体"/>
          <w:color w:val="auto"/>
          <w:sz w:val="21"/>
          <w:szCs w:val="21"/>
          <w:highlight w:val="none"/>
          <w:lang w:val="zh-CN"/>
        </w:rPr>
      </w:pPr>
      <w:bookmarkStart w:id="78" w:name="_Toc6340"/>
      <w:bookmarkStart w:id="79" w:name="_Toc465358970"/>
      <w:bookmarkStart w:id="80" w:name="_Toc521918099"/>
      <w:bookmarkStart w:id="81" w:name="_Toc29560"/>
      <w:bookmarkStart w:id="82" w:name="_Toc37323073"/>
      <w:bookmarkStart w:id="83" w:name="_Toc466882018"/>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lang w:val="zh-CN"/>
        </w:rPr>
        <w:t>真实性审查</w:t>
      </w:r>
      <w:bookmarkEnd w:id="78"/>
      <w:bookmarkEnd w:id="79"/>
      <w:bookmarkEnd w:id="80"/>
      <w:bookmarkEnd w:id="81"/>
      <w:bookmarkEnd w:id="82"/>
      <w:bookmarkEnd w:id="83"/>
    </w:p>
    <w:p>
      <w:pPr>
        <w:snapToGrid w:val="0"/>
        <w:spacing w:line="360" w:lineRule="auto"/>
        <w:ind w:left="529" w:hanging="529" w:hangingChars="25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12.1 在授予合同前，采购人、或询价小组有权组织对报价人的真实性审查。包括对报价人资格证明文件、</w:t>
      </w:r>
      <w:r>
        <w:rPr>
          <w:rFonts w:hint="eastAsia" w:ascii="宋体" w:hAnsi="宋体" w:eastAsia="宋体" w:cs="宋体"/>
          <w:color w:val="auto"/>
          <w:szCs w:val="21"/>
          <w:highlight w:val="none"/>
        </w:rPr>
        <w:t>业绩证明资料</w:t>
      </w:r>
      <w:r>
        <w:rPr>
          <w:rFonts w:hint="eastAsia" w:ascii="宋体" w:hAnsi="宋体" w:eastAsia="宋体" w:cs="宋体"/>
          <w:color w:val="auto"/>
          <w:szCs w:val="21"/>
          <w:highlight w:val="none"/>
          <w:lang w:val="zh-CN"/>
        </w:rPr>
        <w:t>、对询价文件实质性条款响应文件、履约能力证明文件以及对报价人现场的真实性进行核查，若发现其提供虚假证明文件、虚假响应文件等弄虚作假行为的，或经审查确认其经营、财务状况发生较大变化（或者存在违法行为）导致无法按照报价文件的承诺履约的，或其明确表示不按照报价文件承诺履约等影响成交结果的行为，采购人有权按照询价小组提出的成交候选人名单排序依次确定其他成交候选人为成交人或重新采购。</w:t>
      </w:r>
    </w:p>
    <w:p>
      <w:pPr>
        <w:snapToGrid w:val="0"/>
        <w:spacing w:line="360" w:lineRule="auto"/>
        <w:ind w:left="529" w:hanging="529" w:hangingChars="25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12.2 报价人在采购人或询价小组通知其提供上述证明资料原件进行核查的要求后，未能在约定的时间内提供原件进行核查的，视为报价人无法提供真实的资料，采购人有权按照询价小组提出的成交候选人名单排序依次确定其他成交候选人为成交人或重新采购。</w:t>
      </w:r>
    </w:p>
    <w:p>
      <w:pPr>
        <w:snapToGrid w:val="0"/>
        <w:spacing w:line="360" w:lineRule="auto"/>
        <w:ind w:left="529" w:hanging="529" w:hangingChars="25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12.3 若报价人在报价或履约过程中存在提供虚假材料、虚假响应文件等弄虚作假行为，或不按照报价文件承诺履约或撤回报价或放弃成交资格或</w:t>
      </w:r>
      <w:r>
        <w:rPr>
          <w:rFonts w:hint="eastAsia" w:ascii="宋体" w:hAnsi="宋体" w:eastAsia="宋体" w:cs="宋体"/>
          <w:color w:val="auto"/>
          <w:szCs w:val="21"/>
          <w:highlight w:val="none"/>
        </w:rPr>
        <w:t>不按要求与采购人签订合同</w:t>
      </w:r>
      <w:r>
        <w:rPr>
          <w:rFonts w:hint="eastAsia" w:ascii="宋体" w:hAnsi="宋体" w:eastAsia="宋体" w:cs="宋体"/>
          <w:color w:val="auto"/>
          <w:szCs w:val="21"/>
          <w:highlight w:val="none"/>
          <w:lang w:val="zh-CN"/>
        </w:rPr>
        <w:t>等影响成交结果的行为，采购人有权将报价人纳入东莞市水务集团</w:t>
      </w:r>
      <w:r>
        <w:rPr>
          <w:rFonts w:hint="eastAsia" w:ascii="宋体" w:hAnsi="宋体" w:cs="宋体"/>
          <w:color w:val="auto"/>
          <w:szCs w:val="21"/>
          <w:highlight w:val="none"/>
          <w:lang w:val="en-US" w:eastAsia="zh-CN"/>
        </w:rPr>
        <w:t>实业发展</w:t>
      </w:r>
      <w:r>
        <w:rPr>
          <w:rFonts w:hint="eastAsia" w:ascii="宋体" w:hAnsi="宋体" w:eastAsia="宋体" w:cs="宋体"/>
          <w:color w:val="auto"/>
          <w:szCs w:val="21"/>
          <w:highlight w:val="none"/>
          <w:lang w:val="zh-CN"/>
        </w:rPr>
        <w:t>有限公司（含其</w:t>
      </w:r>
      <w:r>
        <w:rPr>
          <w:rFonts w:hint="eastAsia" w:ascii="宋体" w:hAnsi="宋体" w:cs="宋体"/>
          <w:color w:val="auto"/>
          <w:szCs w:val="21"/>
          <w:highlight w:val="none"/>
          <w:lang w:val="en-US" w:eastAsia="zh-CN"/>
        </w:rPr>
        <w:t>全资公司、</w:t>
      </w:r>
      <w:r>
        <w:rPr>
          <w:rFonts w:hint="eastAsia" w:ascii="宋体" w:hAnsi="宋体" w:eastAsia="宋体" w:cs="宋体"/>
          <w:color w:val="auto"/>
          <w:szCs w:val="21"/>
          <w:highlight w:val="none"/>
          <w:lang w:val="zh-CN"/>
        </w:rPr>
        <w:t>控股公司、由其管理的参股公司）招标、采购、征集供应商或合作方采购的‘黑名单’中，因此导致报价人无法参与东莞市水务集团</w:t>
      </w:r>
      <w:r>
        <w:rPr>
          <w:rFonts w:hint="eastAsia" w:ascii="宋体" w:hAnsi="宋体" w:cs="宋体"/>
          <w:color w:val="auto"/>
          <w:szCs w:val="21"/>
          <w:highlight w:val="none"/>
          <w:lang w:val="en-US" w:eastAsia="zh-CN"/>
        </w:rPr>
        <w:t>实业发展</w:t>
      </w:r>
      <w:r>
        <w:rPr>
          <w:rFonts w:hint="eastAsia" w:ascii="宋体" w:hAnsi="宋体" w:eastAsia="宋体" w:cs="宋体"/>
          <w:color w:val="auto"/>
          <w:szCs w:val="21"/>
          <w:highlight w:val="none"/>
          <w:lang w:val="zh-CN"/>
        </w:rPr>
        <w:t>有限公司相关招标采购等活动的，由报价人自行承担全部后果。</w:t>
      </w:r>
    </w:p>
    <w:p>
      <w:pPr>
        <w:pStyle w:val="2"/>
        <w:spacing w:line="360" w:lineRule="auto"/>
        <w:rPr>
          <w:rFonts w:hint="eastAsia" w:ascii="宋体" w:hAnsi="宋体" w:eastAsia="宋体" w:cs="宋体"/>
          <w:color w:val="auto"/>
          <w:highlight w:val="none"/>
          <w:lang w:val="zh-CN"/>
        </w:rPr>
      </w:pPr>
    </w:p>
    <w:p>
      <w:pPr>
        <w:pStyle w:val="5"/>
        <w:spacing w:before="0" w:after="0" w:line="360" w:lineRule="auto"/>
        <w:outlineLvl w:val="0"/>
        <w:rPr>
          <w:rFonts w:hint="eastAsia" w:ascii="宋体" w:hAnsi="宋体" w:eastAsia="宋体" w:cs="宋体"/>
          <w:color w:val="auto"/>
          <w:sz w:val="21"/>
          <w:szCs w:val="21"/>
          <w:highlight w:val="none"/>
          <w:lang w:val="zh-CN"/>
        </w:rPr>
      </w:pPr>
      <w:bookmarkStart w:id="84" w:name="_Toc53735602"/>
      <w:bookmarkStart w:id="85" w:name="_Toc37323077"/>
      <w:bookmarkStart w:id="86" w:name="_Toc521918104"/>
      <w:bookmarkStart w:id="87" w:name="_Toc1669"/>
      <w:bookmarkStart w:id="88" w:name="_Toc20487"/>
      <w:r>
        <w:rPr>
          <w:rFonts w:hint="eastAsia" w:ascii="宋体" w:hAnsi="宋体" w:eastAsia="宋体" w:cs="宋体"/>
          <w:color w:val="auto"/>
          <w:sz w:val="21"/>
          <w:szCs w:val="21"/>
          <w:highlight w:val="none"/>
          <w:lang w:val="zh-CN"/>
        </w:rPr>
        <w:t>13   签署合同</w:t>
      </w:r>
      <w:bookmarkEnd w:id="84"/>
      <w:bookmarkEnd w:id="85"/>
      <w:bookmarkEnd w:id="86"/>
      <w:bookmarkEnd w:id="87"/>
      <w:bookmarkEnd w:id="88"/>
    </w:p>
    <w:p>
      <w:pPr>
        <w:tabs>
          <w:tab w:val="left" w:pos="435"/>
        </w:tabs>
        <w:spacing w:line="360" w:lineRule="auto"/>
        <w:ind w:left="540" w:right="18" w:hanging="540"/>
        <w:rPr>
          <w:rFonts w:hint="eastAsia" w:ascii="宋体" w:hAnsi="宋体" w:eastAsia="宋体" w:cs="宋体"/>
          <w:b/>
          <w:color w:val="auto"/>
          <w:szCs w:val="21"/>
          <w:highlight w:val="none"/>
          <w:u w:val="single"/>
          <w:lang w:val="zh-CN"/>
        </w:rPr>
      </w:pPr>
      <w:r>
        <w:rPr>
          <w:rFonts w:hint="eastAsia" w:ascii="宋体" w:hAnsi="宋体" w:eastAsia="宋体" w:cs="宋体"/>
          <w:color w:val="auto"/>
          <w:szCs w:val="21"/>
          <w:highlight w:val="none"/>
          <w:lang w:val="zh-CN"/>
        </w:rPr>
        <w:t>13.</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 xml:space="preserve"> </w:t>
      </w:r>
      <w:r>
        <w:rPr>
          <w:rFonts w:hint="eastAsia" w:ascii="宋体" w:hAnsi="宋体" w:eastAsia="宋体" w:cs="宋体"/>
          <w:b/>
          <w:color w:val="auto"/>
          <w:szCs w:val="21"/>
          <w:highlight w:val="none"/>
          <w:u w:val="single"/>
          <w:lang w:val="zh-CN"/>
        </w:rPr>
        <w:t>成交人在自采购结果通知书发出之日起7日内，在通知书上规定的时间内，应派法定代表人或授权代表前往采购人处签订合同，否则采购人有权取消成交资格并按询价文件及法律、法规的规定进行处理</w:t>
      </w:r>
      <w:r>
        <w:rPr>
          <w:rFonts w:hint="eastAsia" w:ascii="宋体" w:hAnsi="宋体" w:eastAsia="宋体" w:cs="宋体"/>
          <w:color w:val="auto"/>
          <w:szCs w:val="21"/>
          <w:highlight w:val="none"/>
          <w:lang w:val="zh-CN"/>
        </w:rPr>
        <w:t>。</w:t>
      </w:r>
    </w:p>
    <w:p>
      <w:pPr>
        <w:snapToGrid w:val="0"/>
        <w:spacing w:line="360" w:lineRule="auto"/>
        <w:ind w:left="529" w:hanging="529" w:hangingChars="25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在签署合同前，采购人可按照9.5款的规定对成交人报价表内的算术性错误等情况进行复核，存在错误或不符合询价文件规定的，对成交人的报价进行修正。</w:t>
      </w:r>
    </w:p>
    <w:p>
      <w:pPr>
        <w:snapToGrid w:val="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szCs w:val="21"/>
          <w:highlight w:val="none"/>
          <w:lang w:val="zh-CN"/>
        </w:rPr>
        <w:t xml:space="preserve">13.3 </w:t>
      </w:r>
      <w:r>
        <w:rPr>
          <w:rFonts w:hint="eastAsia" w:ascii="宋体" w:hAnsi="宋体" w:eastAsia="宋体" w:cs="宋体"/>
          <w:color w:val="auto"/>
          <w:szCs w:val="21"/>
          <w:highlight w:val="none"/>
        </w:rPr>
        <w:t>成交人因不可抗力或自身原因不能履行合同的、不按要求与采购人签订合同、成交人放弃成交、成交资格被依法确认无效的，采购人可以按照询价小组提出的成交候选人名单排序依次确定其他成交候选人为成交人或重新采购。</w:t>
      </w:r>
    </w:p>
    <w:p>
      <w:pPr>
        <w:pStyle w:val="5"/>
        <w:spacing w:before="0" w:after="0" w:line="360" w:lineRule="auto"/>
        <w:outlineLvl w:val="9"/>
        <w:rPr>
          <w:rFonts w:hint="eastAsia" w:ascii="宋体" w:hAnsi="宋体" w:eastAsia="宋体" w:cs="宋体"/>
          <w:color w:val="auto"/>
          <w:sz w:val="21"/>
          <w:szCs w:val="21"/>
          <w:highlight w:val="none"/>
          <w:lang w:val="zh-CN"/>
        </w:rPr>
      </w:pPr>
      <w:bookmarkStart w:id="89" w:name="_Toc37323081"/>
      <w:bookmarkStart w:id="90" w:name="_Toc521918108"/>
      <w:bookmarkStart w:id="91" w:name="_Toc62668959"/>
    </w:p>
    <w:p>
      <w:pPr>
        <w:pStyle w:val="5"/>
        <w:spacing w:before="0" w:after="0" w:line="360" w:lineRule="auto"/>
        <w:outlineLvl w:val="0"/>
        <w:rPr>
          <w:rFonts w:hint="eastAsia" w:ascii="宋体" w:hAnsi="宋体" w:eastAsia="宋体" w:cs="宋体"/>
          <w:color w:val="auto"/>
          <w:sz w:val="21"/>
          <w:szCs w:val="21"/>
          <w:highlight w:val="none"/>
          <w:lang w:val="zh-CN"/>
        </w:rPr>
      </w:pPr>
      <w:bookmarkStart w:id="92" w:name="_Toc28292"/>
      <w:bookmarkStart w:id="93" w:name="_Toc17515"/>
      <w:r>
        <w:rPr>
          <w:rFonts w:hint="eastAsia" w:ascii="宋体" w:hAnsi="宋体" w:eastAsia="宋体" w:cs="宋体"/>
          <w:color w:val="auto"/>
          <w:sz w:val="21"/>
          <w:szCs w:val="21"/>
          <w:highlight w:val="none"/>
          <w:lang w:val="zh-CN"/>
        </w:rPr>
        <w:t>14   发票</w:t>
      </w:r>
      <w:bookmarkEnd w:id="89"/>
      <w:bookmarkEnd w:id="90"/>
      <w:bookmarkEnd w:id="91"/>
      <w:bookmarkEnd w:id="92"/>
      <w:bookmarkEnd w:id="93"/>
    </w:p>
    <w:p>
      <w:pPr>
        <w:spacing w:line="360" w:lineRule="auto"/>
        <w:ind w:left="630" w:hanging="630" w:hangingChars="3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 本项目获得成交的成交人在执行合同过程中，向采购人（含其全资公司、控股公司、</w:t>
      </w:r>
    </w:p>
    <w:p>
      <w:pPr>
        <w:spacing w:line="360" w:lineRule="auto"/>
        <w:ind w:left="630" w:leftChars="250" w:hanging="105" w:hangingChars="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由其管理的参股公司）出具的发票必须是由成交人开具，不得以其他单位或个人名义</w:t>
      </w:r>
    </w:p>
    <w:p>
      <w:pPr>
        <w:spacing w:line="360" w:lineRule="auto"/>
        <w:ind w:left="630" w:leftChars="250" w:hanging="105" w:hangingChars="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出具，本项目成交人向采购人（含其全资公司、控股公司、由其管理的参股公司）出</w:t>
      </w:r>
    </w:p>
    <w:p>
      <w:pPr>
        <w:spacing w:line="360" w:lineRule="auto"/>
        <w:ind w:left="630" w:leftChars="250" w:hanging="105" w:hangingChars="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具的发票类型为增值税</w:t>
      </w:r>
      <w:r>
        <w:rPr>
          <w:rFonts w:hint="eastAsia" w:ascii="宋体" w:hAnsi="宋体" w:cs="宋体"/>
          <w:color w:val="auto"/>
          <w:szCs w:val="21"/>
          <w:highlight w:val="none"/>
          <w:lang w:val="en-US" w:eastAsia="zh-CN"/>
        </w:rPr>
        <w:t>专用</w:t>
      </w:r>
      <w:r>
        <w:rPr>
          <w:rFonts w:hint="eastAsia" w:ascii="宋体" w:hAnsi="宋体" w:eastAsia="宋体" w:cs="宋体"/>
          <w:color w:val="auto"/>
          <w:szCs w:val="21"/>
          <w:highlight w:val="none"/>
          <w:lang w:val="zh-CN"/>
        </w:rPr>
        <w:t>发票。</w:t>
      </w:r>
    </w:p>
    <w:p>
      <w:pPr>
        <w:pStyle w:val="2"/>
        <w:rPr>
          <w:rFonts w:hint="eastAsia" w:ascii="宋体" w:hAnsi="宋体" w:eastAsia="宋体" w:cs="宋体"/>
          <w:color w:val="auto"/>
          <w:highlight w:val="none"/>
          <w:lang w:val="zh-CN"/>
        </w:rPr>
      </w:pPr>
    </w:p>
    <w:p>
      <w:pPr>
        <w:pStyle w:val="5"/>
        <w:spacing w:before="0" w:after="0" w:line="360" w:lineRule="auto"/>
        <w:outlineLvl w:val="0"/>
        <w:rPr>
          <w:rFonts w:hint="eastAsia" w:ascii="宋体" w:hAnsi="宋体" w:eastAsia="宋体" w:cs="宋体"/>
          <w:color w:val="auto"/>
          <w:sz w:val="21"/>
          <w:szCs w:val="21"/>
          <w:highlight w:val="none"/>
          <w:lang w:val="zh-CN"/>
        </w:rPr>
      </w:pPr>
      <w:bookmarkStart w:id="94" w:name="_Toc26112"/>
      <w:bookmarkStart w:id="95" w:name="_Toc12589"/>
      <w:bookmarkStart w:id="96" w:name="_Toc62668960"/>
      <w:r>
        <w:rPr>
          <w:rFonts w:hint="eastAsia" w:ascii="宋体" w:hAnsi="宋体" w:eastAsia="宋体" w:cs="宋体"/>
          <w:color w:val="auto"/>
          <w:sz w:val="21"/>
          <w:szCs w:val="21"/>
          <w:highlight w:val="none"/>
          <w:lang w:val="zh-CN"/>
        </w:rPr>
        <w:t>15   其他说明</w:t>
      </w:r>
      <w:bookmarkEnd w:id="94"/>
      <w:bookmarkEnd w:id="95"/>
      <w:bookmarkEnd w:id="96"/>
    </w:p>
    <w:p>
      <w:pPr>
        <w:spacing w:line="360" w:lineRule="auto"/>
        <w:rPr>
          <w:rFonts w:hint="eastAsia" w:ascii="宋体" w:hAnsi="宋体" w:eastAsia="宋体" w:cs="宋体"/>
          <w:color w:val="auto"/>
          <w:szCs w:val="21"/>
          <w:highlight w:val="none"/>
          <w:lang w:val="zh-CN"/>
        </w:rPr>
      </w:pPr>
      <w:bookmarkStart w:id="97" w:name="_Toc521918109"/>
      <w:bookmarkStart w:id="98" w:name="_Toc37323082"/>
      <w:r>
        <w:rPr>
          <w:rFonts w:hint="eastAsia" w:ascii="宋体" w:hAnsi="宋体" w:eastAsia="宋体" w:cs="宋体"/>
          <w:color w:val="auto"/>
          <w:szCs w:val="21"/>
          <w:highlight w:val="none"/>
          <w:lang w:val="zh-CN"/>
        </w:rPr>
        <w:t>15.1 本次采购活动的最终解释权归采购人所有。</w:t>
      </w:r>
      <w:bookmarkEnd w:id="97"/>
      <w:bookmarkEnd w:id="98"/>
    </w:p>
    <w:p>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15.2 本项目严禁转包及未经采购人书面同意的分包。</w:t>
      </w:r>
    </w:p>
    <w:p>
      <w:pPr>
        <w:spacing w:line="360" w:lineRule="auto"/>
        <w:ind w:left="630" w:hanging="63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15.</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报价人根据询价文件载明的服务要求的实际情况，拟在成交后将成交项目的非主体、</w:t>
      </w:r>
    </w:p>
    <w:p>
      <w:pPr>
        <w:spacing w:line="360" w:lineRule="auto"/>
        <w:ind w:left="630" w:leftChars="250" w:hanging="105" w:hangingChars="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非关键性专业工作交由他人完成的，应当在报价文件中载明并提供分包单位的相关资</w:t>
      </w:r>
    </w:p>
    <w:p>
      <w:pPr>
        <w:spacing w:line="360" w:lineRule="auto"/>
        <w:ind w:left="630" w:leftChars="250" w:hanging="105" w:hangingChars="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质证明资料及意向协议。</w:t>
      </w:r>
    </w:p>
    <w:p>
      <w:pPr>
        <w:spacing w:line="360" w:lineRule="auto"/>
        <w:ind w:left="630" w:hanging="630"/>
        <w:rPr>
          <w:rFonts w:hint="eastAsia" w:ascii="宋体" w:hAnsi="宋体" w:eastAsia="宋体" w:cs="宋体"/>
          <w:color w:val="auto"/>
          <w:szCs w:val="21"/>
          <w:highlight w:val="none"/>
          <w:lang w:val="zh-CN"/>
        </w:rPr>
      </w:pPr>
      <w:r>
        <w:rPr>
          <w:rFonts w:hint="eastAsia" w:ascii="宋体" w:hAnsi="宋体" w:eastAsia="宋体" w:cs="宋体"/>
          <w:color w:val="auto"/>
          <w:highlight w:val="none"/>
          <w:lang w:val="zh-CN"/>
        </w:rPr>
        <w:t xml:space="preserve">15.4 </w:t>
      </w:r>
      <w:r>
        <w:rPr>
          <w:rFonts w:hint="eastAsia" w:ascii="宋体" w:hAnsi="宋体" w:eastAsia="宋体" w:cs="宋体"/>
          <w:color w:val="auto"/>
          <w:szCs w:val="21"/>
          <w:highlight w:val="none"/>
          <w:lang w:val="zh-CN"/>
        </w:rPr>
        <w:t>报价费用。无论报价的结果如何，报价人需承担所有与编写和递交报价文件有关的费</w:t>
      </w:r>
    </w:p>
    <w:p>
      <w:pPr>
        <w:spacing w:line="360" w:lineRule="auto"/>
        <w:ind w:left="630" w:leftChars="250" w:hanging="105" w:hangingChars="50"/>
        <w:rPr>
          <w:rFonts w:hint="eastAsia" w:ascii="宋体" w:hAnsi="宋体" w:eastAsia="宋体" w:cs="宋体"/>
          <w:color w:val="auto"/>
          <w:highlight w:val="none"/>
          <w:lang w:val="zh-CN"/>
        </w:rPr>
      </w:pPr>
      <w:r>
        <w:rPr>
          <w:rFonts w:hint="eastAsia" w:ascii="宋体" w:hAnsi="宋体" w:eastAsia="宋体" w:cs="宋体"/>
          <w:color w:val="auto"/>
          <w:szCs w:val="21"/>
          <w:highlight w:val="none"/>
          <w:lang w:val="zh-CN"/>
        </w:rPr>
        <w:t>用，采购人在任何情况下不负担这些费用。</w:t>
      </w:r>
    </w:p>
    <w:p>
      <w:pPr>
        <w:tabs>
          <w:tab w:val="left" w:pos="142"/>
        </w:tabs>
        <w:spacing w:line="360" w:lineRule="auto"/>
        <w:ind w:left="532" w:hanging="53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15.5 本项目只允许有一个报价价格，任何有选择的或不是固定价的报价将不予接受，作为非实质性响应报价而予以拒绝。报价人不得以低于企业自身成本的价格竞投。</w:t>
      </w:r>
    </w:p>
    <w:p>
      <w:pPr>
        <w:tabs>
          <w:tab w:val="left" w:pos="142"/>
        </w:tabs>
        <w:spacing w:line="360" w:lineRule="auto"/>
        <w:ind w:left="532" w:hanging="532"/>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br w:type="page"/>
      </w:r>
    </w:p>
    <w:p>
      <w:pPr>
        <w:pStyle w:val="14"/>
        <w:keepNext w:val="0"/>
        <w:keepLines w:val="0"/>
        <w:pageBreakBefore/>
        <w:widowControl w:val="0"/>
        <w:kinsoku/>
        <w:wordWrap/>
        <w:overflowPunct/>
        <w:topLinePunct w:val="0"/>
        <w:autoSpaceDE w:val="0"/>
        <w:autoSpaceDN w:val="0"/>
        <w:bidi w:val="0"/>
        <w:adjustRightInd w:val="0"/>
        <w:snapToGrid/>
        <w:spacing w:line="360" w:lineRule="auto"/>
        <w:textAlignment w:val="auto"/>
        <w:outlineLvl w:val="1"/>
        <w:rPr>
          <w:rFonts w:hint="eastAsia" w:ascii="宋体" w:hAnsi="宋体" w:eastAsia="宋体" w:cs="宋体"/>
          <w:color w:val="auto"/>
          <w:sz w:val="30"/>
          <w:szCs w:val="30"/>
          <w:highlight w:val="none"/>
          <w:lang w:val="zh-CN"/>
        </w:rPr>
      </w:pPr>
      <w:bookmarkStart w:id="99" w:name="_Toc30803"/>
      <w:bookmarkStart w:id="100" w:name="_Toc972"/>
      <w:r>
        <w:rPr>
          <w:rFonts w:hint="eastAsia" w:ascii="宋体" w:hAnsi="宋体" w:eastAsia="宋体" w:cs="宋体"/>
          <w:color w:val="auto"/>
          <w:sz w:val="30"/>
          <w:szCs w:val="30"/>
          <w:highlight w:val="none"/>
          <w:lang w:val="zh-CN"/>
        </w:rPr>
        <w:t>第三篇</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lang w:val="zh-CN"/>
        </w:rPr>
        <w:t>用户需求书</w:t>
      </w:r>
      <w:bookmarkEnd w:id="99"/>
      <w:bookmarkEnd w:id="100"/>
      <w:bookmarkStart w:id="101" w:name="_Hlt91899334"/>
      <w:bookmarkEnd w:id="101"/>
      <w:bookmarkStart w:id="102" w:name="_Hlt92097802"/>
      <w:bookmarkEnd w:id="102"/>
      <w:bookmarkStart w:id="103" w:name="_Hlt133291417"/>
      <w:bookmarkEnd w:id="103"/>
      <w:bookmarkStart w:id="104" w:name="_Hlt92101665"/>
      <w:bookmarkEnd w:id="104"/>
      <w:bookmarkStart w:id="105" w:name="_Hlt507989741"/>
      <w:bookmarkEnd w:id="105"/>
      <w:bookmarkStart w:id="106" w:name="_Hlt87773422"/>
      <w:bookmarkEnd w:id="106"/>
      <w:bookmarkStart w:id="107" w:name="_Hlt92477987"/>
      <w:bookmarkEnd w:id="107"/>
      <w:bookmarkStart w:id="108" w:name="_Hlt92097807"/>
      <w:bookmarkEnd w:id="108"/>
      <w:bookmarkStart w:id="109" w:name="_Hlt109563261"/>
      <w:bookmarkEnd w:id="109"/>
      <w:bookmarkStart w:id="110" w:name="yqh"/>
      <w:bookmarkEnd w:id="110"/>
      <w:bookmarkStart w:id="111" w:name="_Hlt92100255"/>
      <w:bookmarkEnd w:id="111"/>
      <w:bookmarkStart w:id="112" w:name="_Hlt74192688"/>
      <w:bookmarkEnd w:id="112"/>
      <w:bookmarkStart w:id="113" w:name="_Hlt137898605"/>
      <w:bookmarkEnd w:id="113"/>
      <w:bookmarkStart w:id="114" w:name="_Hlt107746026"/>
      <w:bookmarkEnd w:id="114"/>
      <w:bookmarkStart w:id="115" w:name="_Hlt107921814"/>
      <w:bookmarkEnd w:id="115"/>
      <w:bookmarkStart w:id="116" w:name="_Hlt92472623"/>
      <w:bookmarkEnd w:id="116"/>
      <w:bookmarkStart w:id="117" w:name="_Hlt133639916"/>
      <w:bookmarkEnd w:id="117"/>
      <w:bookmarkStart w:id="118" w:name="_Hlt137959623"/>
      <w:bookmarkEnd w:id="118"/>
    </w:p>
    <w:p>
      <w:pPr>
        <w:tabs>
          <w:tab w:val="left" w:pos="-2520"/>
          <w:tab w:val="left" w:pos="540"/>
          <w:tab w:val="left" w:pos="720"/>
        </w:tabs>
        <w:snapToGrid w:val="0"/>
        <w:spacing w:line="360" w:lineRule="auto"/>
        <w:ind w:leftChars="200"/>
        <w:outlineLvl w:val="1"/>
        <w:rPr>
          <w:rFonts w:hint="eastAsia" w:ascii="宋体" w:hAnsi="宋体" w:eastAsia="宋体" w:cs="宋体"/>
          <w:b/>
          <w:bCs/>
          <w:color w:val="auto"/>
          <w:sz w:val="21"/>
          <w:szCs w:val="21"/>
          <w:highlight w:val="none"/>
        </w:rPr>
      </w:pPr>
      <w:bookmarkStart w:id="119" w:name="_Toc372"/>
      <w:bookmarkStart w:id="120" w:name="_Toc7467"/>
      <w:r>
        <w:rPr>
          <w:rFonts w:hint="eastAsia" w:ascii="宋体" w:hAnsi="宋体" w:eastAsia="宋体" w:cs="宋体"/>
          <w:b/>
          <w:bCs/>
          <w:color w:val="auto"/>
          <w:sz w:val="21"/>
          <w:szCs w:val="21"/>
          <w:highlight w:val="none"/>
        </w:rPr>
        <w:t>一、项目概况：</w:t>
      </w:r>
      <w:bookmarkEnd w:id="119"/>
      <w:bookmarkEnd w:id="120"/>
    </w:p>
    <w:p>
      <w:pPr>
        <w:tabs>
          <w:tab w:val="left" w:pos="-2520"/>
          <w:tab w:val="left" w:pos="540"/>
          <w:tab w:val="left" w:pos="720"/>
        </w:tabs>
        <w:adjustRightInd w:val="0"/>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为贯彻落实常平镇石马河流域断面考核工作顺利开展，加强生活垃圾无害化处理和加快垃圾填埋场无害化整治，东莞市智汇水务科技有限公司（下称智汇公司）出资40万元（占股比例14.29%）与北京博力扬环保科技有限公司出资240万元（占股比例85.71%）成立东莞市博汇环保科技有限公司（下称博汇公司），共同开展常平镇笑金坑生活垃圾填埋场渗滤液处理示范项目（下称一期项目），已于2016年建成一座渗滤液处理设施，并于当年5月投入运行，设计处理规模50m3/日，采用“MNBS垃圾渗滤液处理技术”，无浓缩液产生。垃圾渗滤液经处理后达到《生活垃圾填埋场污染物控制标准》（16889-2008）表2标准，尾水排入市政污水管。处理设施多年来运行效果一直良好，出水水质能够稳定达标排放。</w:t>
      </w:r>
    </w:p>
    <w:p>
      <w:pPr>
        <w:tabs>
          <w:tab w:val="left" w:pos="-2520"/>
          <w:tab w:val="left" w:pos="540"/>
          <w:tab w:val="left" w:pos="720"/>
        </w:tabs>
        <w:adjustRightInd w:val="0"/>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为防止渗滤液溢流，保证垃圾填埋场渗滤液全量处理，智汇公司2019年在笑金坑垃圾填埋场内实施渗滤液处理二期项目，采购预处理系统设备430万元（成交价），借鉴一期项目的建设、运行经验，继续采用“MNBS垃圾渗滤液处理技术”，不产生浓缩液，设计处理规模为150 m3/日，垃圾渗滤液经处理后达到《生活垃圾填埋场污染物控制标准》（16889-2008）表2标准，尾水排入市政污水管。</w:t>
      </w:r>
    </w:p>
    <w:p>
      <w:pPr>
        <w:tabs>
          <w:tab w:val="left" w:pos="-2520"/>
          <w:tab w:val="left" w:pos="540"/>
          <w:tab w:val="left" w:pos="720"/>
        </w:tabs>
        <w:adjustRightInd w:val="0"/>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博汇公司主营业务为承接垃圾渗滤液处理项目的运营服务，成立至今共承接三个项目：一是2016年5月承接常平镇笑金坑生活垃圾填埋场渗滤液处理示范项目（目前还在运营中），该项目运营处理单价为51元/立方米，每年处理水量约28000立方米，预计年收入142.8万元；二是2017年4月承接长安镇红花坑生活垃圾填埋场渗滤液处理项目（该项目于2020年7月合同到期后结束运营），该项目运营单价为51元/立方米，预计年收入153万元；三是2018年10月承接常平镇笑金坑生活垃圾填埋场渗滤液处理二期项目（目前还在运营中），该项目运营单价为51元/立方米，每年处理水量约60000立方米，预计年收入306万元。截至2024年2月博汇公司资产总额752.91万元，资产负债301.48万元，净资产(所有者权益)451.43.万元，未分配利润171.43万元，归属智汇公司权益为91.43万元。设备资产情况如下：</w:t>
      </w:r>
    </w:p>
    <w:tbl>
      <w:tblPr>
        <w:tblStyle w:val="17"/>
        <w:tblW w:w="8275"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675"/>
        <w:gridCol w:w="663"/>
        <w:gridCol w:w="1100"/>
        <w:gridCol w:w="1350"/>
        <w:gridCol w:w="1325"/>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trPr>
        <w:tc>
          <w:tcPr>
            <w:tcW w:w="662" w:type="dxa"/>
            <w:vAlign w:val="center"/>
          </w:tcPr>
          <w:p>
            <w:pPr>
              <w:tabs>
                <w:tab w:val="left" w:pos="-2520"/>
                <w:tab w:val="left" w:pos="540"/>
                <w:tab w:val="left" w:pos="720"/>
              </w:tabs>
              <w:adjustRightInd w:val="0"/>
              <w:snapToGrid w:val="0"/>
              <w:spacing w:line="36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序号</w:t>
            </w:r>
          </w:p>
        </w:tc>
        <w:tc>
          <w:tcPr>
            <w:tcW w:w="1675" w:type="dxa"/>
            <w:vAlign w:val="center"/>
          </w:tcPr>
          <w:p>
            <w:pPr>
              <w:tabs>
                <w:tab w:val="left" w:pos="-2520"/>
                <w:tab w:val="left" w:pos="540"/>
                <w:tab w:val="left" w:pos="720"/>
              </w:tabs>
              <w:adjustRightInd w:val="0"/>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设备名称</w:t>
            </w:r>
          </w:p>
        </w:tc>
        <w:tc>
          <w:tcPr>
            <w:tcW w:w="663" w:type="dxa"/>
            <w:vAlign w:val="center"/>
          </w:tcPr>
          <w:p>
            <w:pPr>
              <w:tabs>
                <w:tab w:val="left" w:pos="-2520"/>
                <w:tab w:val="left" w:pos="540"/>
                <w:tab w:val="left" w:pos="720"/>
              </w:tabs>
              <w:adjustRightInd w:val="0"/>
              <w:snapToGrid w:val="0"/>
              <w:spacing w:line="36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数量</w:t>
            </w:r>
          </w:p>
        </w:tc>
        <w:tc>
          <w:tcPr>
            <w:tcW w:w="1100" w:type="dxa"/>
            <w:vAlign w:val="center"/>
          </w:tcPr>
          <w:p>
            <w:pPr>
              <w:tabs>
                <w:tab w:val="left" w:pos="-2520"/>
                <w:tab w:val="left" w:pos="540"/>
                <w:tab w:val="left" w:pos="720"/>
              </w:tabs>
              <w:adjustRightInd w:val="0"/>
              <w:snapToGrid w:val="0"/>
              <w:spacing w:line="36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计量单位</w:t>
            </w:r>
          </w:p>
        </w:tc>
        <w:tc>
          <w:tcPr>
            <w:tcW w:w="1350" w:type="dxa"/>
            <w:vAlign w:val="center"/>
          </w:tcPr>
          <w:p>
            <w:pPr>
              <w:tabs>
                <w:tab w:val="left" w:pos="-2520"/>
                <w:tab w:val="left" w:pos="540"/>
                <w:tab w:val="left" w:pos="720"/>
              </w:tabs>
              <w:adjustRightInd w:val="0"/>
              <w:snapToGrid w:val="0"/>
              <w:spacing w:line="36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购置日期</w:t>
            </w:r>
          </w:p>
        </w:tc>
        <w:tc>
          <w:tcPr>
            <w:tcW w:w="1325" w:type="dxa"/>
            <w:vAlign w:val="center"/>
          </w:tcPr>
          <w:p>
            <w:pPr>
              <w:tabs>
                <w:tab w:val="left" w:pos="-2520"/>
                <w:tab w:val="left" w:pos="540"/>
                <w:tab w:val="left" w:pos="720"/>
              </w:tabs>
              <w:adjustRightInd w:val="0"/>
              <w:snapToGrid w:val="0"/>
              <w:spacing w:line="36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启用日期</w:t>
            </w:r>
          </w:p>
        </w:tc>
        <w:tc>
          <w:tcPr>
            <w:tcW w:w="1500" w:type="dxa"/>
            <w:vAlign w:val="center"/>
          </w:tcPr>
          <w:p>
            <w:pPr>
              <w:tabs>
                <w:tab w:val="left" w:pos="-2520"/>
                <w:tab w:val="left" w:pos="540"/>
                <w:tab w:val="left" w:pos="720"/>
              </w:tabs>
              <w:adjustRightInd w:val="0"/>
              <w:snapToGrid w:val="0"/>
              <w:spacing w:line="36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账面原值（元）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662" w:type="dxa"/>
            <w:vAlign w:val="center"/>
          </w:tcPr>
          <w:p>
            <w:pPr>
              <w:tabs>
                <w:tab w:val="left" w:pos="-2520"/>
                <w:tab w:val="left" w:pos="540"/>
                <w:tab w:val="left" w:pos="720"/>
              </w:tabs>
              <w:adjustRightInd w:val="0"/>
              <w:snapToGrid w:val="0"/>
              <w:spacing w:line="36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675" w:type="dxa"/>
            <w:vAlign w:val="center"/>
          </w:tcPr>
          <w:p>
            <w:pPr>
              <w:tabs>
                <w:tab w:val="left" w:pos="-2520"/>
                <w:tab w:val="left" w:pos="540"/>
                <w:tab w:val="left" w:pos="720"/>
              </w:tabs>
              <w:adjustRightInd w:val="0"/>
              <w:snapToGrid w:val="0"/>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垃圾渗滤液与处理设备</w:t>
            </w:r>
          </w:p>
        </w:tc>
        <w:tc>
          <w:tcPr>
            <w:tcW w:w="663" w:type="dxa"/>
            <w:vAlign w:val="center"/>
          </w:tcPr>
          <w:p>
            <w:pPr>
              <w:tabs>
                <w:tab w:val="left" w:pos="-2520"/>
                <w:tab w:val="left" w:pos="540"/>
                <w:tab w:val="left" w:pos="720"/>
              </w:tabs>
              <w:adjustRightInd w:val="0"/>
              <w:snapToGrid w:val="0"/>
              <w:spacing w:line="36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100" w:type="dxa"/>
            <w:vAlign w:val="center"/>
          </w:tcPr>
          <w:p>
            <w:pPr>
              <w:tabs>
                <w:tab w:val="left" w:pos="-2520"/>
                <w:tab w:val="left" w:pos="540"/>
                <w:tab w:val="left" w:pos="720"/>
              </w:tabs>
              <w:adjustRightInd w:val="0"/>
              <w:snapToGrid w:val="0"/>
              <w:spacing w:line="36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套</w:t>
            </w:r>
          </w:p>
        </w:tc>
        <w:tc>
          <w:tcPr>
            <w:tcW w:w="1350" w:type="dxa"/>
            <w:vAlign w:val="center"/>
          </w:tcPr>
          <w:p>
            <w:pPr>
              <w:tabs>
                <w:tab w:val="left" w:pos="-2520"/>
                <w:tab w:val="left" w:pos="540"/>
                <w:tab w:val="left" w:pos="720"/>
              </w:tabs>
              <w:adjustRightInd w:val="0"/>
              <w:snapToGrid w:val="0"/>
              <w:spacing w:line="36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2018年5月</w:t>
            </w:r>
          </w:p>
        </w:tc>
        <w:tc>
          <w:tcPr>
            <w:tcW w:w="1325" w:type="dxa"/>
            <w:vAlign w:val="center"/>
          </w:tcPr>
          <w:p>
            <w:pPr>
              <w:tabs>
                <w:tab w:val="left" w:pos="-2520"/>
                <w:tab w:val="left" w:pos="540"/>
                <w:tab w:val="left" w:pos="720"/>
              </w:tabs>
              <w:adjustRightInd w:val="0"/>
              <w:snapToGrid w:val="0"/>
              <w:spacing w:line="36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2018年9月</w:t>
            </w:r>
          </w:p>
        </w:tc>
        <w:tc>
          <w:tcPr>
            <w:tcW w:w="1500" w:type="dxa"/>
            <w:vAlign w:val="center"/>
          </w:tcPr>
          <w:p>
            <w:pPr>
              <w:tabs>
                <w:tab w:val="left" w:pos="-2520"/>
                <w:tab w:val="left" w:pos="540"/>
                <w:tab w:val="left" w:pos="720"/>
              </w:tabs>
              <w:adjustRightInd w:val="0"/>
              <w:snapToGrid w:val="0"/>
              <w:spacing w:line="360" w:lineRule="auto"/>
              <w:jc w:val="righ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3,773,563.37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62" w:type="dxa"/>
            <w:vAlign w:val="center"/>
          </w:tcPr>
          <w:p>
            <w:pPr>
              <w:tabs>
                <w:tab w:val="left" w:pos="-2520"/>
                <w:tab w:val="left" w:pos="540"/>
                <w:tab w:val="left" w:pos="720"/>
              </w:tabs>
              <w:adjustRightInd w:val="0"/>
              <w:snapToGrid w:val="0"/>
              <w:spacing w:line="36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675" w:type="dxa"/>
            <w:vAlign w:val="center"/>
          </w:tcPr>
          <w:p>
            <w:pPr>
              <w:tabs>
                <w:tab w:val="left" w:pos="-2520"/>
                <w:tab w:val="left" w:pos="540"/>
                <w:tab w:val="left" w:pos="720"/>
              </w:tabs>
              <w:adjustRightInd w:val="0"/>
              <w:snapToGrid w:val="0"/>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末端监控系统</w:t>
            </w:r>
          </w:p>
        </w:tc>
        <w:tc>
          <w:tcPr>
            <w:tcW w:w="663" w:type="dxa"/>
            <w:vAlign w:val="center"/>
          </w:tcPr>
          <w:p>
            <w:pPr>
              <w:tabs>
                <w:tab w:val="left" w:pos="-2520"/>
                <w:tab w:val="left" w:pos="540"/>
                <w:tab w:val="left" w:pos="720"/>
              </w:tabs>
              <w:adjustRightInd w:val="0"/>
              <w:snapToGrid w:val="0"/>
              <w:spacing w:line="36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100" w:type="dxa"/>
            <w:vAlign w:val="center"/>
          </w:tcPr>
          <w:p>
            <w:pPr>
              <w:tabs>
                <w:tab w:val="left" w:pos="-2520"/>
                <w:tab w:val="left" w:pos="540"/>
                <w:tab w:val="left" w:pos="720"/>
              </w:tabs>
              <w:adjustRightInd w:val="0"/>
              <w:snapToGrid w:val="0"/>
              <w:spacing w:line="36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套</w:t>
            </w:r>
          </w:p>
        </w:tc>
        <w:tc>
          <w:tcPr>
            <w:tcW w:w="1350" w:type="dxa"/>
            <w:vAlign w:val="center"/>
          </w:tcPr>
          <w:p>
            <w:pPr>
              <w:tabs>
                <w:tab w:val="left" w:pos="-2520"/>
                <w:tab w:val="left" w:pos="540"/>
                <w:tab w:val="left" w:pos="720"/>
              </w:tabs>
              <w:adjustRightInd w:val="0"/>
              <w:snapToGrid w:val="0"/>
              <w:spacing w:line="36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2021年3月</w:t>
            </w:r>
          </w:p>
        </w:tc>
        <w:tc>
          <w:tcPr>
            <w:tcW w:w="1325" w:type="dxa"/>
            <w:vAlign w:val="center"/>
          </w:tcPr>
          <w:p>
            <w:pPr>
              <w:tabs>
                <w:tab w:val="left" w:pos="-2520"/>
                <w:tab w:val="left" w:pos="540"/>
                <w:tab w:val="left" w:pos="720"/>
              </w:tabs>
              <w:adjustRightInd w:val="0"/>
              <w:snapToGrid w:val="0"/>
              <w:spacing w:line="36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2021年3月</w:t>
            </w:r>
          </w:p>
        </w:tc>
        <w:tc>
          <w:tcPr>
            <w:tcW w:w="1500" w:type="dxa"/>
            <w:vAlign w:val="center"/>
          </w:tcPr>
          <w:p>
            <w:pPr>
              <w:tabs>
                <w:tab w:val="left" w:pos="-2520"/>
                <w:tab w:val="left" w:pos="540"/>
                <w:tab w:val="left" w:pos="720"/>
              </w:tabs>
              <w:adjustRightInd w:val="0"/>
              <w:snapToGrid w:val="0"/>
              <w:spacing w:line="360" w:lineRule="auto"/>
              <w:jc w:val="righ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16,336.65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75" w:type="dxa"/>
            <w:gridSpan w:val="6"/>
            <w:vAlign w:val="center"/>
          </w:tcPr>
          <w:p>
            <w:pPr>
              <w:tabs>
                <w:tab w:val="left" w:pos="-2520"/>
                <w:tab w:val="left" w:pos="540"/>
                <w:tab w:val="left" w:pos="720"/>
              </w:tabs>
              <w:adjustRightInd w:val="0"/>
              <w:snapToGrid w:val="0"/>
              <w:spacing w:line="360" w:lineRule="auto"/>
              <w:ind w:firstLine="420" w:firstLineChars="20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合计</w:t>
            </w:r>
          </w:p>
        </w:tc>
        <w:tc>
          <w:tcPr>
            <w:tcW w:w="1500" w:type="dxa"/>
            <w:vAlign w:val="center"/>
          </w:tcPr>
          <w:p>
            <w:pPr>
              <w:tabs>
                <w:tab w:val="left" w:pos="-2520"/>
                <w:tab w:val="left" w:pos="540"/>
                <w:tab w:val="left" w:pos="720"/>
              </w:tabs>
              <w:adjustRightInd w:val="0"/>
              <w:snapToGrid w:val="0"/>
              <w:spacing w:line="360" w:lineRule="auto"/>
              <w:jc w:val="righ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3,789,900.02</w:t>
            </w:r>
          </w:p>
        </w:tc>
      </w:tr>
    </w:tbl>
    <w:p>
      <w:pPr>
        <w:tabs>
          <w:tab w:val="left" w:pos="-2520"/>
          <w:tab w:val="left" w:pos="540"/>
          <w:tab w:val="left" w:pos="720"/>
        </w:tabs>
        <w:adjustRightInd w:val="0"/>
        <w:snapToGrid w:val="0"/>
        <w:spacing w:line="360" w:lineRule="auto"/>
        <w:ind w:firstLine="160" w:firstLineChars="200"/>
        <w:rPr>
          <w:rFonts w:hint="eastAsia" w:ascii="宋体" w:hAnsi="宋体" w:cs="宋体"/>
          <w:color w:val="auto"/>
          <w:sz w:val="8"/>
          <w:szCs w:val="8"/>
          <w:highlight w:val="none"/>
          <w:lang w:val="en-US" w:eastAsia="zh-CN"/>
        </w:rPr>
      </w:pPr>
    </w:p>
    <w:p>
      <w:pPr>
        <w:tabs>
          <w:tab w:val="left" w:pos="-2520"/>
          <w:tab w:val="left" w:pos="540"/>
          <w:tab w:val="left" w:pos="720"/>
        </w:tabs>
        <w:adjustRightInd w:val="0"/>
        <w:snapToGrid w:val="0"/>
        <w:spacing w:line="360" w:lineRule="auto"/>
        <w:ind w:firstLine="420"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现智汇公司为简化管理流程，全面清退项目固定资产投资，收回项目资产价值，计划将所持有博汇公司股权及设备资产公开转让交易，需采购一家具备相应资质的资产评估单位，对博汇公司股权及智汇公司</w:t>
      </w:r>
      <w:r>
        <w:rPr>
          <w:rFonts w:hint="eastAsia" w:ascii="宋体" w:hAnsi="宋体" w:cs="宋体"/>
          <w:b w:val="0"/>
          <w:bCs w:val="0"/>
          <w:color w:val="auto"/>
          <w:sz w:val="21"/>
          <w:szCs w:val="21"/>
          <w:highlight w:val="none"/>
          <w:lang w:val="en-US" w:eastAsia="zh-CN"/>
        </w:rPr>
        <w:t>持有的项目</w:t>
      </w:r>
      <w:r>
        <w:rPr>
          <w:rFonts w:hint="eastAsia" w:ascii="宋体" w:hAnsi="宋体" w:cs="宋体"/>
          <w:color w:val="auto"/>
          <w:sz w:val="21"/>
          <w:szCs w:val="21"/>
          <w:highlight w:val="none"/>
          <w:lang w:val="en-US" w:eastAsia="zh-CN"/>
        </w:rPr>
        <w:t>设备资产价值开展评估工作并出具评估报告。</w:t>
      </w:r>
    </w:p>
    <w:p>
      <w:pPr>
        <w:numPr>
          <w:ilvl w:val="0"/>
          <w:numId w:val="2"/>
        </w:numPr>
        <w:tabs>
          <w:tab w:val="left" w:pos="-2520"/>
          <w:tab w:val="left" w:pos="540"/>
          <w:tab w:val="left" w:pos="720"/>
        </w:tabs>
        <w:adjustRightInd w:val="0"/>
        <w:snapToGrid w:val="0"/>
        <w:spacing w:line="360" w:lineRule="auto"/>
        <w:ind w:leftChars="0" w:firstLine="422" w:firstLineChars="200"/>
        <w:outlineLvl w:val="1"/>
        <w:rPr>
          <w:rFonts w:hint="eastAsia" w:ascii="宋体" w:hAnsi="宋体" w:cs="宋体"/>
          <w:b/>
          <w:bCs/>
          <w:color w:val="auto"/>
          <w:sz w:val="21"/>
          <w:szCs w:val="21"/>
          <w:highlight w:val="none"/>
          <w:lang w:val="en-US" w:eastAsia="zh-CN"/>
        </w:rPr>
      </w:pPr>
      <w:bookmarkStart w:id="121" w:name="_Toc18824"/>
      <w:bookmarkStart w:id="122" w:name="_Toc26231"/>
      <w:r>
        <w:rPr>
          <w:rFonts w:hint="eastAsia" w:ascii="宋体" w:hAnsi="宋体" w:cs="宋体"/>
          <w:b/>
          <w:bCs/>
          <w:color w:val="auto"/>
          <w:sz w:val="21"/>
          <w:szCs w:val="21"/>
          <w:highlight w:val="none"/>
          <w:lang w:val="en-US" w:eastAsia="zh-CN"/>
        </w:rPr>
        <w:t>项目内容</w:t>
      </w:r>
      <w:bookmarkEnd w:id="121"/>
      <w:bookmarkEnd w:id="122"/>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（一）评估对象：博汇公司的股权及</w:t>
      </w:r>
      <w:r>
        <w:rPr>
          <w:rFonts w:hint="eastAsia" w:ascii="宋体" w:hAnsi="宋体" w:cs="宋体"/>
          <w:color w:val="auto"/>
          <w:sz w:val="21"/>
          <w:szCs w:val="21"/>
          <w:highlight w:val="none"/>
          <w:lang w:val="en-US" w:eastAsia="zh-CN"/>
        </w:rPr>
        <w:t>智汇公司</w:t>
      </w:r>
      <w:r>
        <w:rPr>
          <w:rFonts w:hint="eastAsia" w:ascii="宋体" w:hAnsi="宋体" w:cs="宋体"/>
          <w:b w:val="0"/>
          <w:bCs w:val="0"/>
          <w:color w:val="auto"/>
          <w:sz w:val="21"/>
          <w:szCs w:val="21"/>
          <w:highlight w:val="none"/>
          <w:lang w:val="en-US" w:eastAsia="zh-CN"/>
        </w:rPr>
        <w:t>持有的设备资产价值开展评估工作。</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（二）评估范围：博汇公司股东全部权益价值（包括博汇公司全部资产和负债）及</w:t>
      </w:r>
      <w:r>
        <w:rPr>
          <w:rFonts w:hint="eastAsia" w:ascii="宋体" w:hAnsi="宋体" w:cs="宋体"/>
          <w:color w:val="auto"/>
          <w:sz w:val="21"/>
          <w:szCs w:val="21"/>
          <w:highlight w:val="none"/>
          <w:lang w:val="en-US" w:eastAsia="zh-CN"/>
        </w:rPr>
        <w:t>智汇公司</w:t>
      </w:r>
      <w:r>
        <w:rPr>
          <w:rFonts w:hint="eastAsia" w:ascii="宋体" w:hAnsi="宋体" w:cs="宋体"/>
          <w:b w:val="0"/>
          <w:bCs w:val="0"/>
          <w:color w:val="auto"/>
          <w:sz w:val="21"/>
          <w:szCs w:val="21"/>
          <w:highlight w:val="none"/>
          <w:lang w:val="en-US" w:eastAsia="zh-CN"/>
        </w:rPr>
        <w:t>所有的位于东莞市常平镇九江水笑金坑垃圾填埋场渗滤液处理二期项目的预处理系统及监控系统等生产设备价值。</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20" w:firstLineChars="200"/>
        <w:jc w:val="left"/>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（三）评估基准日：暂定为2024年3月31日，各项资产评估基准日以采购人具体通知为准。</w:t>
      </w:r>
    </w:p>
    <w:p>
      <w:pPr>
        <w:tabs>
          <w:tab w:val="left" w:pos="-2520"/>
          <w:tab w:val="left" w:pos="540"/>
          <w:tab w:val="left" w:pos="720"/>
        </w:tabs>
        <w:adjustRightInd w:val="0"/>
        <w:snapToGrid w:val="0"/>
        <w:spacing w:line="360" w:lineRule="auto"/>
        <w:ind w:firstLine="422" w:firstLineChars="200"/>
        <w:outlineLvl w:val="1"/>
        <w:rPr>
          <w:rFonts w:hint="eastAsia" w:asciiTheme="minorEastAsia" w:hAnsiTheme="minorEastAsia" w:eastAsiaTheme="minorEastAsia"/>
          <w:b/>
          <w:bCs/>
          <w:color w:val="auto"/>
          <w:szCs w:val="21"/>
          <w:highlight w:val="none"/>
          <w:lang w:eastAsia="zh-CN"/>
        </w:rPr>
      </w:pPr>
      <w:bookmarkStart w:id="123" w:name="_Toc5751"/>
      <w:bookmarkStart w:id="124" w:name="_Toc13353"/>
      <w:r>
        <w:rPr>
          <w:rFonts w:hint="eastAsia" w:asciiTheme="minorEastAsia" w:hAnsiTheme="minorEastAsia" w:eastAsiaTheme="minorEastAsia"/>
          <w:b/>
          <w:bCs/>
          <w:color w:val="auto"/>
          <w:szCs w:val="21"/>
          <w:highlight w:val="none"/>
          <w:lang w:val="en-US" w:eastAsia="zh-CN"/>
        </w:rPr>
        <w:t>三</w:t>
      </w:r>
      <w:r>
        <w:rPr>
          <w:rFonts w:asciiTheme="minorEastAsia" w:hAnsiTheme="minorEastAsia" w:eastAsiaTheme="minorEastAsia"/>
          <w:b/>
          <w:bCs/>
          <w:color w:val="auto"/>
          <w:szCs w:val="21"/>
          <w:highlight w:val="none"/>
        </w:rPr>
        <w:t>、</w:t>
      </w:r>
      <w:r>
        <w:rPr>
          <w:rFonts w:hint="eastAsia" w:asciiTheme="minorEastAsia" w:hAnsiTheme="minorEastAsia" w:eastAsiaTheme="minorEastAsia"/>
          <w:b/>
          <w:bCs/>
          <w:color w:val="auto"/>
          <w:szCs w:val="21"/>
          <w:highlight w:val="none"/>
          <w:lang w:val="en-US" w:eastAsia="zh-CN"/>
        </w:rPr>
        <w:t>项目要求</w:t>
      </w:r>
      <w:bookmarkEnd w:id="123"/>
      <w:bookmarkEnd w:id="124"/>
    </w:p>
    <w:p>
      <w:pPr>
        <w:adjustRightInd w:val="0"/>
        <w:snapToGrid w:val="0"/>
        <w:spacing w:line="360" w:lineRule="auto"/>
        <w:ind w:firstLine="420" w:firstLineChars="200"/>
        <w:rPr>
          <w:rFonts w:hint="eastAsia" w:ascii="宋体" w:hAnsi="宋体" w:cs="宋体"/>
          <w:color w:val="auto"/>
          <w:sz w:val="21"/>
          <w:szCs w:val="21"/>
          <w:highlight w:val="none"/>
          <w:lang w:val="zh-CN" w:eastAsia="zh-CN"/>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一</w:t>
      </w: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zh-CN" w:eastAsia="zh-CN"/>
        </w:rPr>
        <w:t>工作内容要求</w:t>
      </w:r>
    </w:p>
    <w:p>
      <w:pPr>
        <w:adjustRightInd w:val="0"/>
        <w:snapToGrid w:val="0"/>
        <w:spacing w:line="360" w:lineRule="auto"/>
        <w:ind w:firstLine="420" w:firstLineChars="200"/>
        <w:rPr>
          <w:rFonts w:hint="eastAsia" w:ascii="宋体" w:hAnsi="宋体" w:cs="宋体"/>
          <w:color w:val="auto"/>
          <w:sz w:val="21"/>
          <w:szCs w:val="21"/>
          <w:highlight w:val="none"/>
          <w:lang w:val="zh-CN" w:eastAsia="zh-CN"/>
        </w:rPr>
      </w:pPr>
      <w:bookmarkStart w:id="125" w:name="_Toc6929"/>
      <w:bookmarkStart w:id="126" w:name="_Toc18244"/>
      <w:r>
        <w:rPr>
          <w:rFonts w:hint="eastAsia" w:ascii="宋体" w:hAnsi="宋体" w:cs="宋体"/>
          <w:color w:val="auto"/>
          <w:sz w:val="21"/>
          <w:szCs w:val="21"/>
          <w:highlight w:val="none"/>
          <w:lang w:val="zh-CN" w:eastAsia="zh-CN"/>
        </w:rPr>
        <w:t>1、履行评估程序，开展不限于以下出具评估报告的相关工作：</w:t>
      </w:r>
      <w:bookmarkEnd w:id="125"/>
      <w:bookmarkEnd w:id="126"/>
    </w:p>
    <w:p>
      <w:pPr>
        <w:adjustRightInd w:val="0"/>
        <w:snapToGrid w:val="0"/>
        <w:spacing w:line="360" w:lineRule="auto"/>
        <w:ind w:firstLine="420" w:firstLineChars="200"/>
        <w:rPr>
          <w:rFonts w:hint="eastAsia" w:ascii="宋体" w:hAnsi="宋体" w:cs="宋体"/>
          <w:color w:val="auto"/>
          <w:sz w:val="21"/>
          <w:szCs w:val="21"/>
          <w:highlight w:val="none"/>
          <w:lang w:val="zh-CN" w:eastAsia="zh-CN"/>
        </w:rPr>
      </w:pPr>
      <w:r>
        <w:rPr>
          <w:rFonts w:hint="eastAsia" w:ascii="宋体" w:hAnsi="宋体" w:cs="宋体"/>
          <w:color w:val="auto"/>
          <w:sz w:val="21"/>
          <w:szCs w:val="21"/>
          <w:highlight w:val="none"/>
          <w:lang w:val="zh-CN" w:eastAsia="zh-CN"/>
        </w:rPr>
        <w:t>（1）资产评估机构拟定资产评估计划，提供采购人或被评估对象（单位）需提供的资料清单，以便采购人或被评估对象及时提供相关资料；</w:t>
      </w:r>
    </w:p>
    <w:p>
      <w:pPr>
        <w:adjustRightInd w:val="0"/>
        <w:snapToGrid w:val="0"/>
        <w:spacing w:line="360" w:lineRule="auto"/>
        <w:ind w:firstLine="420" w:firstLineChars="200"/>
        <w:rPr>
          <w:rFonts w:hint="eastAsia" w:ascii="宋体" w:hAnsi="宋体" w:cs="宋体"/>
          <w:color w:val="auto"/>
          <w:sz w:val="21"/>
          <w:szCs w:val="21"/>
          <w:highlight w:val="none"/>
          <w:lang w:val="zh-CN" w:eastAsia="zh-CN"/>
        </w:rPr>
      </w:pPr>
      <w:r>
        <w:rPr>
          <w:rFonts w:hint="eastAsia" w:ascii="宋体" w:hAnsi="宋体" w:cs="宋体"/>
          <w:color w:val="auto"/>
          <w:sz w:val="21"/>
          <w:szCs w:val="21"/>
          <w:highlight w:val="none"/>
          <w:lang w:val="zh-CN" w:eastAsia="zh-CN"/>
        </w:rPr>
        <w:t>（2）资产评估机构人员根据实际情况进行实地查勘或进驻被评估单位，指导被评估单位开展资产清查工作，对评估资产进行核实和鉴定，收集相关数据资料；</w:t>
      </w:r>
    </w:p>
    <w:p>
      <w:pPr>
        <w:adjustRightInd w:val="0"/>
        <w:snapToGrid w:val="0"/>
        <w:spacing w:line="360" w:lineRule="auto"/>
        <w:ind w:firstLine="420" w:firstLineChars="200"/>
        <w:rPr>
          <w:rFonts w:hint="eastAsia" w:ascii="宋体" w:hAnsi="宋体" w:cs="宋体"/>
          <w:color w:val="auto"/>
          <w:sz w:val="21"/>
          <w:szCs w:val="21"/>
          <w:highlight w:val="none"/>
          <w:lang w:val="zh-CN" w:eastAsia="zh-CN"/>
        </w:rPr>
      </w:pPr>
      <w:r>
        <w:rPr>
          <w:rFonts w:hint="eastAsia" w:ascii="宋体" w:hAnsi="宋体" w:cs="宋体"/>
          <w:color w:val="auto"/>
          <w:sz w:val="21"/>
          <w:szCs w:val="21"/>
          <w:highlight w:val="none"/>
          <w:lang w:val="zh-CN" w:eastAsia="zh-CN"/>
        </w:rPr>
        <w:t>（3）资产评估机构根据现场工作的情况进行评定估算和评估汇总工作，得出初步的评估结论；</w:t>
      </w:r>
    </w:p>
    <w:p>
      <w:pPr>
        <w:adjustRightInd w:val="0"/>
        <w:snapToGrid w:val="0"/>
        <w:spacing w:line="360" w:lineRule="auto"/>
        <w:ind w:firstLine="420" w:firstLineChars="200"/>
        <w:rPr>
          <w:rFonts w:hint="eastAsia" w:ascii="宋体" w:hAnsi="宋体" w:cs="宋体"/>
          <w:color w:val="auto"/>
          <w:sz w:val="21"/>
          <w:szCs w:val="21"/>
          <w:highlight w:val="none"/>
          <w:lang w:val="zh-CN" w:eastAsia="zh-CN"/>
        </w:rPr>
      </w:pPr>
      <w:r>
        <w:rPr>
          <w:rFonts w:hint="eastAsia" w:ascii="宋体" w:hAnsi="宋体" w:cs="宋体"/>
          <w:color w:val="auto"/>
          <w:sz w:val="21"/>
          <w:szCs w:val="21"/>
          <w:highlight w:val="none"/>
          <w:lang w:val="zh-CN" w:eastAsia="zh-CN"/>
        </w:rPr>
        <w:t>（4）资产评估机构以初稿形式将有关评估的基本内容与采购人进行沟通；</w:t>
      </w:r>
    </w:p>
    <w:p>
      <w:pPr>
        <w:adjustRightInd w:val="0"/>
        <w:snapToGrid w:val="0"/>
        <w:spacing w:line="360" w:lineRule="auto"/>
        <w:ind w:firstLine="420" w:firstLineChars="200"/>
        <w:rPr>
          <w:rFonts w:hint="eastAsia" w:ascii="宋体" w:hAnsi="宋体" w:cs="宋体"/>
          <w:color w:val="auto"/>
          <w:sz w:val="21"/>
          <w:szCs w:val="21"/>
          <w:highlight w:val="none"/>
          <w:lang w:val="zh-CN" w:eastAsia="zh-CN"/>
        </w:rPr>
      </w:pPr>
      <w:r>
        <w:rPr>
          <w:rFonts w:hint="eastAsia" w:ascii="宋体" w:hAnsi="宋体" w:cs="宋体"/>
          <w:color w:val="auto"/>
          <w:sz w:val="21"/>
          <w:szCs w:val="21"/>
          <w:highlight w:val="none"/>
          <w:lang w:val="zh-CN" w:eastAsia="zh-CN"/>
        </w:rPr>
        <w:t>（5）对评估报告初稿修改、完善，确认相关数据无误后，出具正式评估报告盖章版原件一式三份及对应电子档。</w:t>
      </w:r>
    </w:p>
    <w:p>
      <w:pPr>
        <w:adjustRightInd w:val="0"/>
        <w:snapToGrid w:val="0"/>
        <w:spacing w:line="360" w:lineRule="auto"/>
        <w:ind w:firstLine="420" w:firstLineChars="200"/>
        <w:rPr>
          <w:rFonts w:hint="eastAsia" w:ascii="宋体" w:hAnsi="宋体" w:cs="宋体"/>
          <w:color w:val="auto"/>
          <w:sz w:val="21"/>
          <w:szCs w:val="21"/>
          <w:highlight w:val="none"/>
          <w:lang w:val="zh-CN" w:eastAsia="zh-CN"/>
        </w:rPr>
      </w:pPr>
      <w:r>
        <w:rPr>
          <w:rFonts w:hint="eastAsia" w:ascii="宋体" w:hAnsi="宋体" w:cs="宋体"/>
          <w:color w:val="auto"/>
          <w:sz w:val="21"/>
          <w:szCs w:val="21"/>
          <w:highlight w:val="none"/>
          <w:lang w:val="zh-CN" w:eastAsia="zh-CN"/>
        </w:rPr>
        <w:t>2、按照国家和地方有关资产评估的法律、行政法规和行业协会的有关执业规范，根据资产评估准则的要求履行评估程序，按照委托评估目的、范围、方法和评估基准日对委估资产进行评估，如期出具资产评估报告书。</w:t>
      </w:r>
    </w:p>
    <w:p>
      <w:pPr>
        <w:adjustRightInd w:val="0"/>
        <w:snapToGrid w:val="0"/>
        <w:spacing w:line="360" w:lineRule="auto"/>
        <w:ind w:firstLine="420" w:firstLineChars="200"/>
        <w:rPr>
          <w:rFonts w:hint="eastAsia" w:ascii="宋体" w:hAnsi="宋体" w:cs="宋体"/>
          <w:color w:val="auto"/>
          <w:sz w:val="21"/>
          <w:szCs w:val="21"/>
          <w:highlight w:val="none"/>
          <w:lang w:val="zh-CN" w:eastAsia="zh-CN"/>
        </w:rPr>
      </w:pPr>
      <w:r>
        <w:rPr>
          <w:rFonts w:hint="eastAsia" w:ascii="宋体" w:hAnsi="宋体" w:cs="宋体"/>
          <w:color w:val="auto"/>
          <w:sz w:val="21"/>
          <w:szCs w:val="21"/>
          <w:highlight w:val="none"/>
          <w:lang w:val="zh-CN" w:eastAsia="zh-CN"/>
        </w:rPr>
        <w:t>3、全程及时有效地跟进与本项目评估相关的资料收集、评估、协调、出席相关会议等，推进评估进度。</w:t>
      </w:r>
    </w:p>
    <w:p>
      <w:pPr>
        <w:adjustRightInd w:val="0"/>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zh-CN" w:eastAsia="zh-CN"/>
        </w:rPr>
        <w:t>4、必要时，根据采购人的需求就评估过程中发现的问题出具书面意见</w:t>
      </w:r>
      <w:r>
        <w:rPr>
          <w:rFonts w:hint="eastAsia" w:ascii="宋体" w:hAnsi="宋体" w:cs="宋体"/>
          <w:color w:val="auto"/>
          <w:sz w:val="21"/>
          <w:szCs w:val="21"/>
          <w:highlight w:val="none"/>
          <w:lang w:val="en-US" w:eastAsia="zh-CN"/>
        </w:rPr>
        <w:t>。</w:t>
      </w:r>
    </w:p>
    <w:p>
      <w:pPr>
        <w:adjustRightInd w:val="0"/>
        <w:snapToGrid w:val="0"/>
        <w:spacing w:line="360" w:lineRule="auto"/>
        <w:ind w:firstLine="420" w:firstLineChars="200"/>
        <w:outlineLvl w:val="9"/>
        <w:rPr>
          <w:rFonts w:hint="eastAsia" w:ascii="宋体" w:hAnsi="宋体" w:eastAsia="宋体" w:cs="宋体"/>
          <w:color w:val="auto"/>
          <w:sz w:val="21"/>
          <w:szCs w:val="21"/>
          <w:highlight w:val="none"/>
          <w:lang w:val="zh-CN"/>
        </w:rPr>
      </w:pPr>
      <w:bookmarkStart w:id="127" w:name="_Toc1282"/>
      <w:bookmarkStart w:id="128" w:name="_Toc25553"/>
      <w:r>
        <w:rPr>
          <w:rFonts w:hint="eastAsia" w:ascii="宋体" w:hAnsi="宋体" w:cs="宋体"/>
          <w:color w:val="auto"/>
          <w:sz w:val="21"/>
          <w:szCs w:val="21"/>
          <w:highlight w:val="none"/>
          <w:lang w:val="en-US" w:eastAsia="zh-CN"/>
        </w:rPr>
        <w:t>（二）服务单位要求</w:t>
      </w:r>
      <w:bookmarkEnd w:id="127"/>
      <w:bookmarkEnd w:id="128"/>
    </w:p>
    <w:p>
      <w:pPr>
        <w:adjustRightInd w:val="0"/>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报价人应按照评估行业公认的业务标准、道德规范和勤勉尽责原则，根据采购人的合理要求，按时提供合格的评估报告及其他书面文件。出具的评估报告必须符合相关评估技术规范的要求，评估结果应当符合当地市场价格水平，并对所出具的评估报告承担法律责任。</w:t>
      </w:r>
    </w:p>
    <w:p>
      <w:pPr>
        <w:adjustRightInd w:val="0"/>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2、报价人应选派有经验、认真负责及尽职，并且数量足够的资产评估师组成项目工作小组，负责实施评估工作</w:t>
      </w:r>
      <w:bookmarkStart w:id="129" w:name="_Toc444547592"/>
      <w:bookmarkStart w:id="130" w:name="_Toc444546382"/>
      <w:bookmarkStart w:id="131" w:name="_Toc444550255"/>
      <w:r>
        <w:rPr>
          <w:rFonts w:hint="eastAsia" w:ascii="宋体" w:hAnsi="宋体" w:cs="宋体"/>
          <w:color w:val="auto"/>
          <w:sz w:val="21"/>
          <w:szCs w:val="21"/>
          <w:highlight w:val="none"/>
          <w:lang w:val="en-US" w:eastAsia="zh-CN"/>
        </w:rPr>
        <w:t>。各项评估工作应符合资产评估准则等相关规定；</w:t>
      </w:r>
      <w:bookmarkEnd w:id="129"/>
      <w:bookmarkEnd w:id="130"/>
      <w:bookmarkEnd w:id="131"/>
      <w:bookmarkStart w:id="132" w:name="_Toc444546384"/>
      <w:bookmarkStart w:id="133" w:name="_Toc444547594"/>
      <w:bookmarkStart w:id="134" w:name="_Toc444550257"/>
      <w:r>
        <w:rPr>
          <w:rFonts w:hint="eastAsia" w:ascii="宋体" w:hAnsi="宋体" w:cs="宋体"/>
          <w:color w:val="auto"/>
          <w:sz w:val="21"/>
          <w:szCs w:val="21"/>
          <w:highlight w:val="none"/>
          <w:lang w:val="en-US" w:eastAsia="zh-CN"/>
        </w:rPr>
        <w:t>评估人员对评估过程中知悉的国家秘密、商业秘密等负有保密义务，并不得利用其为自己或他人谋取利益</w:t>
      </w:r>
      <w:bookmarkEnd w:id="132"/>
      <w:bookmarkEnd w:id="133"/>
      <w:bookmarkEnd w:id="134"/>
      <w:r>
        <w:rPr>
          <w:rFonts w:hint="eastAsia" w:ascii="宋体" w:hAnsi="宋体" w:cs="宋体"/>
          <w:color w:val="auto"/>
          <w:sz w:val="21"/>
          <w:szCs w:val="21"/>
          <w:highlight w:val="none"/>
          <w:lang w:val="en-US" w:eastAsia="zh-CN"/>
        </w:rPr>
        <w:t>。</w:t>
      </w:r>
    </w:p>
    <w:p>
      <w:pPr>
        <w:adjustRightInd w:val="0"/>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3、报价人在受委托完成有关评估事项时，应维护采购人的合法权益，不得为任何一方或其他第三方的利益而损害采购人的合法权益。</w:t>
      </w:r>
    </w:p>
    <w:p>
      <w:pPr>
        <w:adjustRightInd w:val="0"/>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4、报价人如果在工作中实质性损害了采购人的权益，采购人有权解除与评估公司的合作协议，并保留追究相关赔偿的权力。</w:t>
      </w:r>
    </w:p>
    <w:p>
      <w:pPr>
        <w:adjustRightInd w:val="0"/>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5、报价人根据采购人的实际工作需要，无偿提供本次资产评估服务日常咨询等相关服务。</w:t>
      </w:r>
    </w:p>
    <w:p>
      <w:pPr>
        <w:adjustRightInd w:val="0"/>
        <w:snapToGri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6、报价人应严格对涉及评估的相关资料和信息进行保密，包括纸质文本资料、电子文档资料、信息图片、真实数据等</w:t>
      </w:r>
      <w:r>
        <w:rPr>
          <w:rFonts w:hint="eastAsia" w:ascii="宋体" w:hAnsi="宋体" w:eastAsia="宋体" w:cs="宋体"/>
          <w:color w:val="auto"/>
          <w:sz w:val="21"/>
          <w:szCs w:val="21"/>
          <w:highlight w:val="none"/>
          <w:lang w:val="zh-CN"/>
        </w:rPr>
        <w:t>。</w:t>
      </w:r>
    </w:p>
    <w:p>
      <w:pPr>
        <w:adjustRightInd w:val="0"/>
        <w:snapToGrid w:val="0"/>
        <w:spacing w:line="360" w:lineRule="auto"/>
        <w:ind w:firstLine="420" w:firstLineChars="200"/>
        <w:rPr>
          <w:rFonts w:hint="eastAsia" w:ascii="宋体" w:hAnsi="宋体" w:eastAsia="宋体" w:cs="宋体"/>
          <w:color w:val="auto"/>
          <w:sz w:val="21"/>
          <w:szCs w:val="21"/>
          <w:highlight w:val="none"/>
          <w:lang w:val="zh-CN"/>
        </w:rPr>
      </w:pPr>
      <w:bookmarkStart w:id="135" w:name="_Toc444547595"/>
      <w:bookmarkStart w:id="136" w:name="_Toc444546385"/>
      <w:bookmarkStart w:id="137" w:name="_Toc444550258"/>
      <w:r>
        <w:rPr>
          <w:rFonts w:hint="eastAsia" w:ascii="宋体" w:hAnsi="宋体" w:cs="宋体"/>
          <w:color w:val="auto"/>
          <w:sz w:val="21"/>
          <w:szCs w:val="21"/>
          <w:highlight w:val="none"/>
          <w:lang w:val="en-US" w:eastAsia="zh-CN"/>
        </w:rPr>
        <w:t>（三）工作</w:t>
      </w:r>
      <w:r>
        <w:rPr>
          <w:rFonts w:hint="eastAsia" w:ascii="宋体" w:hAnsi="宋体" w:eastAsia="宋体" w:cs="宋体"/>
          <w:color w:val="auto"/>
          <w:sz w:val="21"/>
          <w:szCs w:val="21"/>
          <w:highlight w:val="none"/>
          <w:lang w:val="zh-CN"/>
        </w:rPr>
        <w:t>人员要求</w:t>
      </w:r>
    </w:p>
    <w:p>
      <w:pPr>
        <w:adjustRightInd w:val="0"/>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bookmarkEnd w:id="135"/>
      <w:bookmarkEnd w:id="136"/>
      <w:bookmarkEnd w:id="137"/>
      <w:r>
        <w:rPr>
          <w:rFonts w:hint="eastAsia" w:ascii="宋体" w:hAnsi="宋体" w:cs="宋体"/>
          <w:color w:val="auto"/>
          <w:sz w:val="21"/>
          <w:szCs w:val="21"/>
          <w:highlight w:val="none"/>
          <w:lang w:val="en-US" w:eastAsia="zh-CN"/>
        </w:rPr>
        <w:t>投入本项目的资产评估师不低于2名（提供评估师的执业证书复印件），不包括拟转到分支机构执业的资产评估师及已设立的其他分支机构的资产评估师；</w:t>
      </w:r>
    </w:p>
    <w:p>
      <w:pPr>
        <w:adjustRightInd w:val="0"/>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2、报价人派出的评估人员必须具有3年以上的资产评估工作经验，具备专门学识与经验，经过适当的专业训练，并具有足够的分析、判断能力。</w:t>
      </w:r>
    </w:p>
    <w:p>
      <w:pPr>
        <w:adjustRightInd w:val="0"/>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（四）工期要求</w:t>
      </w:r>
    </w:p>
    <w:p>
      <w:pPr>
        <w:adjustRightInd w:val="0"/>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w:t>
      </w:r>
      <w:r>
        <w:rPr>
          <w:rFonts w:hint="eastAsia" w:ascii="宋体" w:hAnsi="宋体" w:cs="宋体"/>
          <w:color w:val="auto"/>
          <w:szCs w:val="21"/>
          <w:highlight w:val="none"/>
          <w:lang w:val="en-US" w:eastAsia="zh-CN"/>
        </w:rPr>
        <w:t>在接到采购人通知后</w:t>
      </w:r>
      <w:r>
        <w:rPr>
          <w:rFonts w:hint="eastAsia" w:ascii="宋体" w:hAnsi="宋体" w:cs="宋体"/>
          <w:color w:val="auto"/>
          <w:sz w:val="21"/>
          <w:szCs w:val="21"/>
          <w:highlight w:val="none"/>
          <w:lang w:val="en-US" w:eastAsia="zh-CN"/>
        </w:rPr>
        <w:t>十个工作日内向采购人提交初评结果，经采购人确认后，以采购人通知出具报告之日起计，十个工作日内提交正式资产评估报告一式三份及对应电子版，评估报告需加盖乙方公章以及经办资产评估师签章。</w:t>
      </w:r>
    </w:p>
    <w:p>
      <w:pPr>
        <w:adjustRightInd w:val="0"/>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（五）验收要求</w:t>
      </w:r>
    </w:p>
    <w:p>
      <w:pPr>
        <w:adjustRightInd w:val="0"/>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采购人对本项目实际应评估内容按照国家和地方有关资产评估的法律、行政法规和行业协会的有关规定对评估报告内容进行验收。</w:t>
      </w:r>
    </w:p>
    <w:p>
      <w:pPr>
        <w:adjustRightInd w:val="0"/>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（六）报价要求</w:t>
      </w:r>
    </w:p>
    <w:p>
      <w:pPr>
        <w:adjustRightInd w:val="0"/>
        <w:snapToGrid w:val="0"/>
        <w:spacing w:line="360" w:lineRule="auto"/>
        <w:ind w:firstLine="420" w:firstLineChars="200"/>
        <w:rPr>
          <w:rFonts w:hint="eastAsia" w:ascii="宋体" w:hAnsi="宋体" w:cs="宋体"/>
          <w:b/>
          <w:bCs/>
          <w:color w:val="auto"/>
          <w:sz w:val="21"/>
          <w:szCs w:val="21"/>
          <w:highlight w:val="none"/>
          <w:lang w:val="en-US" w:eastAsia="zh-CN"/>
        </w:rPr>
      </w:pPr>
      <w:r>
        <w:rPr>
          <w:rFonts w:hint="eastAsia" w:ascii="宋体" w:hAnsi="宋体" w:cs="宋体"/>
          <w:color w:val="auto"/>
          <w:sz w:val="21"/>
          <w:szCs w:val="21"/>
          <w:highlight w:val="none"/>
          <w:lang w:val="en-US" w:eastAsia="zh-CN"/>
        </w:rPr>
        <w:t>本项目总体评估费用包含实地查勘、资料收集/核实/分析、编写评估报告（含初评/过程修改/正式版）、服务期间人员工资、管理费、交通费、通讯费、误餐补助、差旅费、保险费、合理利润、法律法规、商业公认应该由报价人承担的其他费用等</w:t>
      </w:r>
      <w:r>
        <w:rPr>
          <w:rFonts w:hint="eastAsia" w:ascii="宋体" w:hAnsi="宋体" w:cs="宋体"/>
          <w:color w:val="auto"/>
          <w:sz w:val="21"/>
          <w:szCs w:val="21"/>
          <w:highlight w:val="none"/>
          <w:lang w:val="zh-CN" w:eastAsia="zh-CN"/>
        </w:rPr>
        <w:t>。</w:t>
      </w:r>
    </w:p>
    <w:p>
      <w:pPr>
        <w:adjustRightInd w:val="0"/>
        <w:snapToGrid w:val="0"/>
        <w:spacing w:line="360" w:lineRule="auto"/>
        <w:ind w:firstLine="422" w:firstLineChars="200"/>
        <w:outlineLvl w:val="1"/>
        <w:rPr>
          <w:rFonts w:hint="eastAsia" w:ascii="宋体" w:hAnsi="宋体" w:cs="宋体"/>
          <w:b/>
          <w:bCs/>
          <w:color w:val="auto"/>
          <w:sz w:val="21"/>
          <w:szCs w:val="21"/>
          <w:highlight w:val="none"/>
          <w:lang w:val="zh-CN" w:eastAsia="zh-CN"/>
        </w:rPr>
      </w:pPr>
      <w:r>
        <w:rPr>
          <w:rFonts w:hint="eastAsia" w:ascii="宋体" w:hAnsi="宋体" w:cs="宋体"/>
          <w:b/>
          <w:bCs/>
          <w:color w:val="auto"/>
          <w:sz w:val="21"/>
          <w:szCs w:val="21"/>
          <w:highlight w:val="none"/>
          <w:lang w:val="en-US" w:eastAsia="zh-CN"/>
        </w:rPr>
        <w:t>四、付款方式</w:t>
      </w:r>
    </w:p>
    <w:p>
      <w:pPr>
        <w:adjustRightInd w:val="0"/>
        <w:snapToGrid w:val="0"/>
        <w:spacing w:line="360" w:lineRule="auto"/>
        <w:ind w:firstLine="420" w:firstLineChars="200"/>
        <w:rPr>
          <w:rFonts w:hint="eastAsia"/>
          <w:color w:val="auto"/>
          <w:highlight w:val="none"/>
          <w:lang w:val="zh-CN" w:eastAsia="zh-CN"/>
        </w:rPr>
      </w:pPr>
      <w:r>
        <w:rPr>
          <w:rFonts w:hint="eastAsia"/>
          <w:color w:val="auto"/>
          <w:highlight w:val="none"/>
          <w:lang w:val="en-US" w:eastAsia="zh-CN"/>
        </w:rPr>
        <w:t>报价人完成所有评估工作，经采购人确认后，报价人向采购人提供合法、有效的增值税专用发票和请款报告，经采购人审核确认无误后十个工作日内支付</w:t>
      </w:r>
      <w:r>
        <w:rPr>
          <w:rFonts w:hint="eastAsia"/>
          <w:color w:val="auto"/>
          <w:highlight w:val="none"/>
          <w:lang w:val="zh-CN" w:eastAsia="zh-CN"/>
        </w:rPr>
        <w:t>。</w:t>
      </w:r>
    </w:p>
    <w:p>
      <w:pPr>
        <w:pStyle w:val="3"/>
        <w:rPr>
          <w:rFonts w:hint="eastAsia"/>
          <w:color w:val="auto"/>
          <w:highlight w:val="none"/>
          <w:lang w:val="zh-CN"/>
        </w:rPr>
      </w:pPr>
    </w:p>
    <w:p>
      <w:pPr>
        <w:adjustRightInd w:val="0"/>
        <w:snapToGrid w:val="0"/>
        <w:spacing w:line="360" w:lineRule="auto"/>
        <w:ind w:firstLine="420" w:firstLineChars="200"/>
        <w:rPr>
          <w:rFonts w:hint="eastAsia" w:ascii="宋体" w:hAnsi="宋体" w:eastAsia="宋体" w:cs="宋体"/>
          <w:color w:val="auto"/>
          <w:sz w:val="30"/>
          <w:szCs w:val="30"/>
          <w:highlight w:val="none"/>
          <w:lang w:val="zh-CN"/>
        </w:rPr>
      </w:pPr>
      <w:r>
        <w:rPr>
          <w:rFonts w:hint="eastAsia" w:ascii="宋体" w:hAnsi="宋体" w:eastAsia="宋体" w:cs="宋体"/>
          <w:color w:val="auto"/>
          <w:sz w:val="21"/>
          <w:szCs w:val="21"/>
          <w:highlight w:val="none"/>
          <w:lang w:val="zh-CN"/>
        </w:rPr>
        <w:br w:type="page"/>
      </w:r>
    </w:p>
    <w:p>
      <w:pPr>
        <w:pStyle w:val="14"/>
        <w:spacing w:before="0" w:after="0" w:line="360" w:lineRule="auto"/>
        <w:rPr>
          <w:rFonts w:hint="eastAsia" w:ascii="宋体" w:hAnsi="宋体" w:eastAsia="宋体" w:cs="宋体"/>
          <w:color w:val="auto"/>
          <w:sz w:val="30"/>
          <w:szCs w:val="30"/>
          <w:highlight w:val="none"/>
          <w:lang w:val="zh-CN"/>
        </w:rPr>
      </w:pPr>
      <w:bookmarkStart w:id="138" w:name="_Toc2260"/>
      <w:bookmarkStart w:id="139" w:name="_Toc22151"/>
      <w:r>
        <w:rPr>
          <w:rFonts w:hint="eastAsia" w:ascii="宋体" w:hAnsi="宋体" w:eastAsia="宋体" w:cs="宋体"/>
          <w:color w:val="auto"/>
          <w:sz w:val="30"/>
          <w:szCs w:val="30"/>
          <w:highlight w:val="none"/>
          <w:lang w:val="zh-CN"/>
        </w:rPr>
        <w:t>第四篇</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lang w:val="zh-CN"/>
        </w:rPr>
        <w:t>合同条款</w:t>
      </w:r>
      <w:bookmarkEnd w:id="138"/>
      <w:bookmarkEnd w:id="139"/>
    </w:p>
    <w:p>
      <w:pPr>
        <w:wordWrap w:val="0"/>
        <w:spacing w:line="360" w:lineRule="auto"/>
        <w:jc w:val="center"/>
        <w:rPr>
          <w:rFonts w:hint="eastAsia" w:ascii="宋体" w:hAnsi="宋体" w:eastAsia="宋体" w:cs="宋体"/>
          <w:b/>
          <w:bCs/>
          <w:color w:val="auto"/>
          <w:sz w:val="44"/>
          <w:szCs w:val="44"/>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spacing w:line="360" w:lineRule="auto"/>
        <w:jc w:val="center"/>
        <w:rPr>
          <w:rFonts w:ascii="宋体" w:hAnsi="宋体" w:cs="宋体"/>
          <w:b/>
          <w:bCs/>
          <w:sz w:val="44"/>
          <w:szCs w:val="44"/>
        </w:rPr>
      </w:pPr>
      <w:bookmarkStart w:id="140" w:name="_Toc8591"/>
      <w:bookmarkStart w:id="141" w:name="_Toc16833"/>
      <w:bookmarkStart w:id="142" w:name="_Toc28107"/>
      <w:bookmarkStart w:id="143" w:name="_Toc17314"/>
      <w:bookmarkStart w:id="144" w:name="_Toc22834"/>
      <w:r>
        <w:rPr>
          <w:rFonts w:hint="eastAsia" w:ascii="宋体" w:hAnsi="宋体" w:cs="宋体"/>
          <w:b/>
          <w:bCs/>
          <w:sz w:val="44"/>
          <w:szCs w:val="44"/>
        </w:rPr>
        <w:t>2024年东莞市智汇水务科技有限公司</w:t>
      </w:r>
    </w:p>
    <w:p>
      <w:pPr>
        <w:spacing w:line="360" w:lineRule="auto"/>
        <w:jc w:val="center"/>
        <w:rPr>
          <w:rFonts w:ascii="宋体" w:hAnsi="宋体" w:cs="宋体"/>
          <w:b/>
          <w:bCs/>
          <w:sz w:val="44"/>
          <w:szCs w:val="44"/>
        </w:rPr>
      </w:pPr>
      <w:r>
        <w:rPr>
          <w:rFonts w:hint="eastAsia" w:ascii="宋体" w:hAnsi="宋体" w:cs="宋体"/>
          <w:b/>
          <w:bCs/>
          <w:sz w:val="44"/>
          <w:szCs w:val="44"/>
        </w:rPr>
        <w:t>资产评估委托合同</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pStyle w:val="2"/>
      </w:pPr>
    </w:p>
    <w:p>
      <w:pPr>
        <w:pStyle w:val="2"/>
      </w:pPr>
    </w:p>
    <w:p>
      <w:pPr>
        <w:spacing w:line="360" w:lineRule="auto"/>
        <w:rPr>
          <w:rFonts w:ascii="宋体" w:hAnsi="宋体" w:cs="宋体"/>
          <w:sz w:val="24"/>
        </w:rPr>
      </w:pPr>
    </w:p>
    <w:p>
      <w:pPr>
        <w:spacing w:line="360" w:lineRule="auto"/>
        <w:ind w:firstLine="1800" w:firstLineChars="600"/>
        <w:rPr>
          <w:rFonts w:ascii="宋体" w:hAnsi="宋体" w:cs="宋体"/>
          <w:sz w:val="30"/>
          <w:szCs w:val="30"/>
          <w:u w:val="single"/>
        </w:rPr>
      </w:pPr>
      <w:r>
        <w:rPr>
          <w:rFonts w:hint="eastAsia" w:ascii="宋体" w:hAnsi="宋体" w:cs="宋体"/>
          <w:sz w:val="30"/>
          <w:szCs w:val="30"/>
        </w:rPr>
        <w:t>合同编号：</w:t>
      </w:r>
      <w:r>
        <w:rPr>
          <w:rFonts w:hint="eastAsia" w:ascii="宋体" w:hAnsi="宋体" w:cs="宋体"/>
          <w:sz w:val="30"/>
          <w:szCs w:val="30"/>
          <w:u w:val="single"/>
        </w:rPr>
        <w:t xml:space="preserve">                     </w:t>
      </w:r>
    </w:p>
    <w:p>
      <w:pPr>
        <w:spacing w:line="360" w:lineRule="auto"/>
        <w:ind w:firstLine="1800" w:firstLineChars="600"/>
        <w:rPr>
          <w:rFonts w:ascii="宋体" w:hAnsi="宋体" w:cs="宋体"/>
          <w:sz w:val="30"/>
          <w:szCs w:val="30"/>
        </w:rPr>
      </w:pPr>
      <w:r>
        <w:rPr>
          <w:rFonts w:hint="eastAsia" w:ascii="宋体" w:hAnsi="宋体" w:cs="宋体"/>
          <w:sz w:val="30"/>
          <w:szCs w:val="30"/>
        </w:rPr>
        <w:t>甲方：</w:t>
      </w:r>
      <w:r>
        <w:rPr>
          <w:rFonts w:hint="eastAsia" w:ascii="宋体" w:hAnsi="宋体" w:cs="宋体"/>
          <w:sz w:val="30"/>
          <w:szCs w:val="30"/>
          <w:u w:val="single"/>
        </w:rPr>
        <w:t>东莞市智汇水务科技有限公司</w:t>
      </w:r>
    </w:p>
    <w:p>
      <w:pPr>
        <w:spacing w:line="360" w:lineRule="auto"/>
        <w:ind w:firstLine="1800" w:firstLineChars="600"/>
        <w:jc w:val="left"/>
        <w:rPr>
          <w:rFonts w:ascii="宋体" w:hAnsi="宋体" w:cs="宋体"/>
          <w:sz w:val="30"/>
          <w:szCs w:val="30"/>
        </w:rPr>
      </w:pPr>
      <w:r>
        <w:rPr>
          <w:rFonts w:hint="eastAsia" w:ascii="宋体" w:hAnsi="宋体" w:cs="宋体"/>
          <w:sz w:val="30"/>
          <w:szCs w:val="30"/>
        </w:rPr>
        <w:t>乙方：</w:t>
      </w:r>
      <w:r>
        <w:rPr>
          <w:rFonts w:hint="eastAsia" w:ascii="宋体" w:hAnsi="宋体" w:cs="宋体"/>
          <w:sz w:val="30"/>
          <w:szCs w:val="30"/>
          <w:u w:val="single"/>
        </w:rPr>
        <w:t xml:space="preserve">                          </w:t>
      </w:r>
    </w:p>
    <w:p>
      <w:pPr>
        <w:spacing w:line="360" w:lineRule="auto"/>
        <w:jc w:val="left"/>
        <w:rPr>
          <w:rFonts w:ascii="宋体" w:hAnsi="宋体" w:cs="宋体"/>
          <w:sz w:val="30"/>
          <w:szCs w:val="30"/>
          <w:u w:val="single"/>
        </w:rPr>
      </w:pPr>
    </w:p>
    <w:p>
      <w:pPr>
        <w:pStyle w:val="3"/>
        <w:ind w:firstLine="0" w:firstLineChars="0"/>
      </w:pPr>
    </w:p>
    <w:p>
      <w:pPr>
        <w:spacing w:line="360" w:lineRule="auto"/>
        <w:ind w:firstLine="1800" w:firstLineChars="600"/>
        <w:rPr>
          <w:rFonts w:ascii="宋体" w:hAnsi="宋体" w:cs="宋体"/>
          <w:kern w:val="0"/>
          <w:sz w:val="24"/>
        </w:rPr>
        <w:sectPr>
          <w:footerReference r:id="rId6" w:type="default"/>
          <w:pgSz w:w="11906" w:h="16838"/>
          <w:pgMar w:top="1440" w:right="1800" w:bottom="1440" w:left="1800" w:header="851" w:footer="992" w:gutter="0"/>
          <w:pgNumType w:start="2"/>
          <w:cols w:space="425" w:num="1"/>
          <w:docGrid w:type="lines" w:linePitch="312" w:charSpace="0"/>
        </w:sectPr>
      </w:pPr>
      <w:r>
        <w:rPr>
          <w:rFonts w:hint="eastAsia" w:ascii="宋体" w:hAnsi="宋体" w:cs="宋体"/>
          <w:sz w:val="30"/>
          <w:szCs w:val="30"/>
        </w:rPr>
        <w:t>签订日期：2024年  月  日</w:t>
      </w:r>
    </w:p>
    <w:p>
      <w:pPr>
        <w:snapToGrid w:val="0"/>
        <w:spacing w:line="360" w:lineRule="auto"/>
        <w:ind w:firstLine="422" w:firstLineChars="200"/>
        <w:rPr>
          <w:rFonts w:ascii="宋体" w:hAnsi="宋体" w:cs="宋体"/>
          <w:b/>
          <w:bCs/>
          <w:szCs w:val="21"/>
        </w:rPr>
      </w:pPr>
      <w:r>
        <w:rPr>
          <w:rFonts w:hint="eastAsia" w:ascii="宋体" w:hAnsi="宋体" w:cs="宋体"/>
          <w:b/>
          <w:bCs/>
          <w:szCs w:val="21"/>
        </w:rPr>
        <w:t>甲方（委托方）：</w:t>
      </w:r>
    </w:p>
    <w:p>
      <w:pPr>
        <w:snapToGrid w:val="0"/>
        <w:spacing w:line="360" w:lineRule="auto"/>
        <w:ind w:firstLine="420" w:firstLineChars="200"/>
        <w:rPr>
          <w:rFonts w:ascii="宋体" w:hAnsi="宋体" w:cs="宋体"/>
          <w:szCs w:val="21"/>
        </w:rPr>
      </w:pPr>
      <w:r>
        <w:rPr>
          <w:rFonts w:hint="eastAsia" w:ascii="宋体" w:hAnsi="宋体" w:cs="宋体"/>
          <w:szCs w:val="21"/>
        </w:rPr>
        <w:t>法定代表人：</w:t>
      </w:r>
    </w:p>
    <w:p>
      <w:pPr>
        <w:snapToGrid w:val="0"/>
        <w:spacing w:line="360" w:lineRule="auto"/>
        <w:ind w:firstLine="420" w:firstLineChars="200"/>
        <w:rPr>
          <w:rFonts w:ascii="宋体" w:hAnsi="宋体" w:cs="宋体"/>
          <w:szCs w:val="21"/>
        </w:rPr>
      </w:pPr>
      <w:r>
        <w:rPr>
          <w:rFonts w:hint="eastAsia" w:ascii="宋体" w:hAnsi="宋体" w:cs="宋体"/>
          <w:szCs w:val="21"/>
        </w:rPr>
        <w:t>联系地址：</w:t>
      </w:r>
    </w:p>
    <w:p>
      <w:pPr>
        <w:snapToGrid w:val="0"/>
        <w:spacing w:after="156" w:afterLines="50" w:line="360" w:lineRule="auto"/>
        <w:ind w:firstLine="420" w:firstLineChars="200"/>
        <w:rPr>
          <w:rFonts w:ascii="宋体" w:hAnsi="宋体" w:cs="宋体"/>
          <w:szCs w:val="21"/>
        </w:rPr>
      </w:pPr>
      <w:r>
        <w:rPr>
          <w:rFonts w:hint="eastAsia" w:ascii="宋体" w:hAnsi="宋体" w:cs="宋体"/>
          <w:szCs w:val="21"/>
        </w:rPr>
        <w:t>联系人及联系电话：</w:t>
      </w:r>
    </w:p>
    <w:p>
      <w:pPr>
        <w:snapToGrid w:val="0"/>
        <w:spacing w:line="360" w:lineRule="auto"/>
        <w:ind w:firstLine="422" w:firstLineChars="200"/>
        <w:rPr>
          <w:rFonts w:ascii="宋体" w:hAnsi="宋体" w:cs="宋体"/>
          <w:b/>
          <w:bCs/>
          <w:szCs w:val="21"/>
        </w:rPr>
      </w:pPr>
      <w:r>
        <w:rPr>
          <w:rFonts w:hint="eastAsia" w:ascii="宋体" w:hAnsi="宋体" w:cs="宋体"/>
          <w:b/>
          <w:bCs/>
          <w:szCs w:val="21"/>
        </w:rPr>
        <w:t>乙方（受托方）：</w:t>
      </w:r>
    </w:p>
    <w:p>
      <w:pPr>
        <w:snapToGrid w:val="0"/>
        <w:spacing w:line="360" w:lineRule="auto"/>
        <w:ind w:firstLine="420" w:firstLineChars="200"/>
        <w:rPr>
          <w:rFonts w:ascii="宋体" w:hAnsi="宋体" w:cs="宋体"/>
          <w:szCs w:val="21"/>
        </w:rPr>
      </w:pPr>
      <w:r>
        <w:rPr>
          <w:rFonts w:hint="eastAsia" w:ascii="宋体" w:hAnsi="宋体" w:cs="宋体"/>
          <w:szCs w:val="21"/>
        </w:rPr>
        <w:t>法定代表人：</w:t>
      </w:r>
    </w:p>
    <w:p>
      <w:pPr>
        <w:snapToGrid w:val="0"/>
        <w:spacing w:line="360" w:lineRule="auto"/>
        <w:ind w:firstLine="420" w:firstLineChars="200"/>
        <w:rPr>
          <w:rFonts w:ascii="宋体" w:hAnsi="宋体" w:cs="宋体"/>
          <w:szCs w:val="21"/>
        </w:rPr>
      </w:pPr>
      <w:r>
        <w:rPr>
          <w:rFonts w:hint="eastAsia" w:ascii="宋体" w:hAnsi="宋体" w:cs="宋体"/>
          <w:szCs w:val="21"/>
        </w:rPr>
        <w:t>联系地址：</w:t>
      </w:r>
    </w:p>
    <w:p>
      <w:pPr>
        <w:snapToGrid w:val="0"/>
        <w:spacing w:after="156" w:afterLines="50" w:line="360" w:lineRule="auto"/>
        <w:ind w:firstLine="420" w:firstLineChars="200"/>
        <w:rPr>
          <w:rFonts w:ascii="宋体" w:hAnsi="宋体" w:cs="宋体"/>
          <w:szCs w:val="21"/>
        </w:rPr>
      </w:pPr>
      <w:r>
        <w:rPr>
          <w:rFonts w:hint="eastAsia" w:ascii="宋体" w:hAnsi="宋体" w:cs="宋体"/>
          <w:szCs w:val="21"/>
        </w:rPr>
        <w:t>联系人及联系电话：</w:t>
      </w:r>
    </w:p>
    <w:p>
      <w:pPr>
        <w:snapToGrid w:val="0"/>
        <w:spacing w:line="360" w:lineRule="auto"/>
        <w:ind w:firstLine="420" w:firstLineChars="200"/>
        <w:rPr>
          <w:rFonts w:ascii="宋体" w:hAnsi="宋体" w:cs="宋体"/>
          <w:szCs w:val="21"/>
        </w:rPr>
      </w:pPr>
      <w:r>
        <w:rPr>
          <w:rFonts w:hint="eastAsia" w:ascii="宋体" w:hAnsi="宋体" w:cs="宋体"/>
          <w:szCs w:val="21"/>
        </w:rPr>
        <w:t>甲方因资产有偿转让事宜，委托乙方对东莞市博汇环保科技有限公司的股权及甲方持有的设备资产价值进行资产评估。根据《中华人民共和国资产评估法》、《中华人民共和国民法典》、《资产评估基本准则》及《资产评估执业准则—资产评估委托合同》等规定，经甲乙双方友好协商，达成如下协议：</w:t>
      </w:r>
    </w:p>
    <w:p>
      <w:pPr>
        <w:snapToGrid w:val="0"/>
        <w:spacing w:line="360" w:lineRule="auto"/>
        <w:ind w:firstLine="422" w:firstLineChars="200"/>
        <w:rPr>
          <w:rFonts w:ascii="宋体" w:hAnsi="宋体" w:cs="宋体"/>
          <w:b/>
          <w:bCs/>
          <w:szCs w:val="21"/>
        </w:rPr>
      </w:pPr>
    </w:p>
    <w:p>
      <w:pPr>
        <w:snapToGrid w:val="0"/>
        <w:spacing w:line="360" w:lineRule="auto"/>
        <w:ind w:firstLine="422" w:firstLineChars="200"/>
        <w:rPr>
          <w:rFonts w:ascii="宋体" w:hAnsi="宋体" w:cs="宋体"/>
          <w:b/>
          <w:bCs/>
          <w:szCs w:val="21"/>
        </w:rPr>
      </w:pPr>
      <w:r>
        <w:rPr>
          <w:rFonts w:hint="eastAsia" w:ascii="宋体" w:hAnsi="宋体" w:cs="宋体"/>
          <w:b/>
          <w:bCs/>
          <w:szCs w:val="21"/>
        </w:rPr>
        <w:t>第一条 评估目的</w:t>
      </w:r>
    </w:p>
    <w:p>
      <w:pPr>
        <w:snapToGrid w:val="0"/>
        <w:spacing w:line="360" w:lineRule="auto"/>
        <w:ind w:firstLine="420" w:firstLineChars="200"/>
        <w:rPr>
          <w:rFonts w:ascii="宋体" w:hAnsi="宋体" w:cs="宋体"/>
          <w:szCs w:val="21"/>
        </w:rPr>
      </w:pPr>
      <w:r>
        <w:rPr>
          <w:rFonts w:hint="eastAsia" w:ascii="宋体" w:hAnsi="宋体" w:cs="宋体"/>
          <w:szCs w:val="21"/>
        </w:rPr>
        <w:t>甲方因资产有偿转让事宜，委托乙方对东莞市博汇环保科技有限公司的股权及甲方持有的设备资产价值进行资产评估，为该公司经济行为计算资产的市场价值提供参考。</w:t>
      </w:r>
    </w:p>
    <w:p>
      <w:pPr>
        <w:snapToGrid w:val="0"/>
        <w:spacing w:line="360" w:lineRule="auto"/>
        <w:ind w:firstLine="422" w:firstLineChars="200"/>
        <w:rPr>
          <w:rFonts w:ascii="宋体" w:hAnsi="宋体" w:cs="宋体"/>
          <w:b/>
          <w:bCs/>
          <w:szCs w:val="21"/>
        </w:rPr>
      </w:pPr>
    </w:p>
    <w:p>
      <w:pPr>
        <w:snapToGrid w:val="0"/>
        <w:spacing w:line="360" w:lineRule="auto"/>
        <w:ind w:firstLine="422" w:firstLineChars="200"/>
        <w:rPr>
          <w:rFonts w:ascii="宋体" w:hAnsi="宋体" w:cs="宋体"/>
          <w:b/>
          <w:bCs/>
          <w:szCs w:val="21"/>
        </w:rPr>
      </w:pPr>
      <w:r>
        <w:rPr>
          <w:rFonts w:hint="eastAsia" w:ascii="宋体" w:hAnsi="宋体" w:cs="宋体"/>
          <w:b/>
          <w:bCs/>
          <w:szCs w:val="21"/>
        </w:rPr>
        <w:t>第二条 评估对象和范围</w:t>
      </w:r>
    </w:p>
    <w:p>
      <w:pPr>
        <w:snapToGrid w:val="0"/>
        <w:spacing w:line="360" w:lineRule="auto"/>
        <w:ind w:firstLine="420" w:firstLineChars="200"/>
        <w:rPr>
          <w:rFonts w:ascii="宋体" w:hAnsi="宋体" w:cs="宋体"/>
          <w:szCs w:val="21"/>
        </w:rPr>
      </w:pPr>
      <w:r>
        <w:rPr>
          <w:rFonts w:hint="eastAsia" w:ascii="宋体" w:hAnsi="宋体" w:cs="宋体"/>
          <w:szCs w:val="21"/>
        </w:rPr>
        <w:t>1.评估对象：东莞市博汇环保科技有限公司的股权及甲方持有的设备资产价值。</w:t>
      </w:r>
    </w:p>
    <w:p>
      <w:pPr>
        <w:snapToGrid w:val="0"/>
        <w:spacing w:line="360" w:lineRule="auto"/>
        <w:ind w:firstLine="420" w:firstLineChars="200"/>
        <w:rPr>
          <w:rFonts w:ascii="宋体" w:hAnsi="宋体" w:cs="宋体"/>
          <w:szCs w:val="21"/>
        </w:rPr>
      </w:pPr>
      <w:r>
        <w:rPr>
          <w:rFonts w:hint="eastAsia" w:ascii="宋体" w:hAnsi="宋体" w:cs="宋体"/>
          <w:szCs w:val="21"/>
        </w:rPr>
        <w:t>2.评估范围：东莞市博汇环保科技有限公司股东全部权益价值及甲方所有的位于东莞市常平镇九江水笑金坑垃圾填埋场渗滤液处理二期项目的预处理系统及监控系统等生产设备价值。</w:t>
      </w:r>
    </w:p>
    <w:p>
      <w:pPr>
        <w:snapToGrid w:val="0"/>
        <w:spacing w:line="360" w:lineRule="auto"/>
        <w:ind w:firstLine="422" w:firstLineChars="200"/>
        <w:rPr>
          <w:rFonts w:ascii="宋体" w:hAnsi="宋体" w:cs="宋体"/>
          <w:b/>
          <w:bCs/>
          <w:szCs w:val="21"/>
        </w:rPr>
      </w:pPr>
    </w:p>
    <w:p>
      <w:pPr>
        <w:snapToGrid w:val="0"/>
        <w:spacing w:line="360" w:lineRule="auto"/>
        <w:ind w:firstLine="422" w:firstLineChars="200"/>
        <w:rPr>
          <w:rFonts w:ascii="宋体" w:hAnsi="宋体" w:cs="宋体"/>
          <w:b/>
          <w:bCs/>
          <w:szCs w:val="21"/>
        </w:rPr>
      </w:pPr>
      <w:r>
        <w:rPr>
          <w:rFonts w:hint="eastAsia" w:ascii="宋体" w:hAnsi="宋体" w:cs="宋体"/>
          <w:b/>
          <w:bCs/>
          <w:szCs w:val="21"/>
        </w:rPr>
        <w:t>第三条 评估基准日</w:t>
      </w:r>
    </w:p>
    <w:p>
      <w:pPr>
        <w:snapToGrid w:val="0"/>
        <w:spacing w:line="360" w:lineRule="auto"/>
        <w:ind w:firstLine="420" w:firstLineChars="200"/>
        <w:rPr>
          <w:rFonts w:ascii="宋体" w:hAnsi="宋体" w:cs="宋体"/>
          <w:szCs w:val="21"/>
        </w:rPr>
      </w:pPr>
      <w:r>
        <w:rPr>
          <w:rFonts w:hint="eastAsia"/>
        </w:rPr>
        <w:t>各项资产评估基准日以甲方具体通知为准</w:t>
      </w:r>
      <w:r>
        <w:rPr>
          <w:rFonts w:hint="eastAsia" w:ascii="宋体" w:hAnsi="宋体" w:cs="宋体"/>
          <w:szCs w:val="21"/>
        </w:rPr>
        <w:t>。</w:t>
      </w:r>
    </w:p>
    <w:p>
      <w:pPr>
        <w:snapToGrid w:val="0"/>
        <w:spacing w:line="360" w:lineRule="auto"/>
        <w:ind w:firstLine="422" w:firstLineChars="200"/>
        <w:rPr>
          <w:rFonts w:ascii="宋体" w:hAnsi="宋体" w:cs="宋体"/>
          <w:b/>
          <w:bCs/>
          <w:szCs w:val="21"/>
        </w:rPr>
      </w:pPr>
    </w:p>
    <w:p>
      <w:pPr>
        <w:snapToGrid w:val="0"/>
        <w:spacing w:line="360" w:lineRule="auto"/>
        <w:ind w:firstLine="422" w:firstLineChars="200"/>
        <w:rPr>
          <w:rFonts w:ascii="宋体" w:hAnsi="宋体" w:cs="宋体"/>
          <w:b/>
          <w:bCs/>
          <w:szCs w:val="21"/>
        </w:rPr>
      </w:pPr>
      <w:r>
        <w:rPr>
          <w:rFonts w:hint="eastAsia" w:ascii="宋体" w:hAnsi="宋体" w:cs="宋体"/>
          <w:b/>
          <w:bCs/>
          <w:szCs w:val="21"/>
        </w:rPr>
        <w:t>第四条 评估报告使用范围</w:t>
      </w:r>
    </w:p>
    <w:p>
      <w:pPr>
        <w:snapToGrid w:val="0"/>
        <w:spacing w:line="360" w:lineRule="auto"/>
        <w:ind w:firstLine="420" w:firstLineChars="200"/>
        <w:rPr>
          <w:rFonts w:ascii="宋体" w:hAnsi="宋体" w:cs="宋体"/>
          <w:szCs w:val="21"/>
        </w:rPr>
      </w:pPr>
      <w:r>
        <w:rPr>
          <w:rFonts w:hint="eastAsia" w:ascii="宋体" w:hAnsi="宋体" w:cs="宋体"/>
          <w:szCs w:val="21"/>
        </w:rPr>
        <w:t>1.资产评估报告仅供甲方、本合同约定的其他资产评估报告使用人和法律、行政法规规定的评估报告使用人使用；除此之外，其他任何机构和个人不能成为资产评估报告的使用人。</w:t>
      </w:r>
    </w:p>
    <w:p>
      <w:pPr>
        <w:snapToGrid w:val="0"/>
        <w:spacing w:line="360" w:lineRule="auto"/>
        <w:ind w:firstLine="420" w:firstLineChars="200"/>
        <w:rPr>
          <w:rFonts w:ascii="宋体" w:hAnsi="宋体" w:cs="宋体"/>
          <w:szCs w:val="21"/>
        </w:rPr>
      </w:pPr>
      <w:r>
        <w:rPr>
          <w:rFonts w:hint="eastAsia" w:ascii="宋体" w:hAnsi="宋体" w:cs="宋体"/>
          <w:szCs w:val="21"/>
        </w:rPr>
        <w:t>2.甲方为实现本合同项下评估目的所需的其他使用范围，包括但不限于在甲方资产有偿转让过程中，基于公开交易的需要，将本合同项下资产评估报告部分或全部内容提供给交易机构及国有资产监管机构，或在交易机构公开发布的交易信息中使用等。</w:t>
      </w:r>
    </w:p>
    <w:p>
      <w:pPr>
        <w:snapToGrid w:val="0"/>
        <w:spacing w:line="360" w:lineRule="auto"/>
        <w:ind w:firstLine="420" w:firstLineChars="200"/>
        <w:rPr>
          <w:rFonts w:ascii="宋体" w:hAnsi="宋体" w:cs="宋体"/>
          <w:szCs w:val="21"/>
        </w:rPr>
      </w:pPr>
      <w:r>
        <w:rPr>
          <w:rFonts w:hint="eastAsia" w:ascii="宋体" w:hAnsi="宋体" w:cs="宋体"/>
          <w:szCs w:val="21"/>
        </w:rPr>
        <w:t>3.甲方或者其他资产评估报告使用人应当按照法律、行政法规规定和资产评估报告载明的使用目的及用途，在载明的评估结论使用有效期内使用资产评估报告。</w:t>
      </w:r>
    </w:p>
    <w:p>
      <w:pPr>
        <w:snapToGrid w:val="0"/>
        <w:spacing w:line="360" w:lineRule="auto"/>
        <w:ind w:firstLine="420" w:firstLineChars="200"/>
        <w:rPr>
          <w:rFonts w:ascii="宋体" w:hAnsi="宋体" w:cs="宋体"/>
          <w:szCs w:val="21"/>
        </w:rPr>
      </w:pPr>
      <w:r>
        <w:rPr>
          <w:rFonts w:hint="eastAsia" w:ascii="宋体" w:hAnsi="宋体" w:cs="宋体"/>
          <w:szCs w:val="21"/>
        </w:rPr>
        <w:t>4.甲方或者其他资产评估报告使用人违反前述约定使用资产评估报告的，资产评估机构及其资产评估专业人员不承担责任。</w:t>
      </w:r>
    </w:p>
    <w:p>
      <w:pPr>
        <w:snapToGrid w:val="0"/>
        <w:spacing w:line="360" w:lineRule="auto"/>
        <w:ind w:firstLine="420" w:firstLineChars="200"/>
        <w:rPr>
          <w:rFonts w:ascii="宋体" w:hAnsi="宋体" w:cs="宋体"/>
          <w:szCs w:val="21"/>
        </w:rPr>
      </w:pPr>
      <w:r>
        <w:rPr>
          <w:rFonts w:hint="eastAsia" w:ascii="宋体" w:hAnsi="宋体" w:cs="宋体"/>
          <w:szCs w:val="21"/>
        </w:rPr>
        <w:t>5.资产评估报告有效期为一年，自“评估基准日”起算，具体以资产评估报告记录的日期为准。有效期内资产状况或外部市场状况发生重大变化的，评估结论失效，应当重新委托评估。</w:t>
      </w:r>
    </w:p>
    <w:p>
      <w:pPr>
        <w:snapToGrid w:val="0"/>
        <w:spacing w:line="360" w:lineRule="auto"/>
        <w:ind w:firstLine="420" w:firstLineChars="200"/>
        <w:rPr>
          <w:rFonts w:ascii="宋体" w:hAnsi="宋体" w:cs="宋体"/>
          <w:szCs w:val="21"/>
        </w:rPr>
      </w:pPr>
      <w:r>
        <w:rPr>
          <w:rFonts w:hint="eastAsia" w:ascii="宋体" w:hAnsi="宋体" w:cs="宋体"/>
          <w:szCs w:val="21"/>
        </w:rPr>
        <w:t>6.除法律、行政法规规定以及本合同另有约定外，未征得乙方书面同意，甲方不得将乙方提交的资产评估报告内容摘抄、引用或者披露于公开媒体。</w:t>
      </w:r>
    </w:p>
    <w:p>
      <w:pPr>
        <w:snapToGrid w:val="0"/>
        <w:spacing w:line="360" w:lineRule="auto"/>
        <w:ind w:firstLine="420" w:firstLineChars="200"/>
        <w:rPr>
          <w:rFonts w:ascii="宋体" w:hAnsi="宋体" w:cs="宋体"/>
          <w:szCs w:val="21"/>
        </w:rPr>
      </w:pPr>
      <w:r>
        <w:rPr>
          <w:rFonts w:hint="eastAsia" w:ascii="宋体" w:hAnsi="宋体" w:cs="宋体"/>
          <w:szCs w:val="21"/>
        </w:rPr>
        <w:t>7.未经甲方书面许可，乙方及其资产评估专业人员不得将资产评估报告的内容、甲方或被评估单位提供的有关文件资料和执业过程中获知的商业秘密向第三方提供或者公开，法律、行政法规另有规定的除外。</w:t>
      </w:r>
    </w:p>
    <w:p>
      <w:pPr>
        <w:pStyle w:val="2"/>
      </w:pPr>
    </w:p>
    <w:p>
      <w:pPr>
        <w:snapToGrid w:val="0"/>
        <w:spacing w:line="360" w:lineRule="auto"/>
        <w:ind w:firstLine="422" w:firstLineChars="200"/>
        <w:rPr>
          <w:b/>
        </w:rPr>
      </w:pPr>
      <w:r>
        <w:rPr>
          <w:rFonts w:hint="eastAsia"/>
          <w:b/>
        </w:rPr>
        <w:t>第五条 服务要求</w:t>
      </w:r>
    </w:p>
    <w:p>
      <w:pPr>
        <w:pStyle w:val="2"/>
        <w:spacing w:line="360" w:lineRule="auto"/>
        <w:ind w:firstLine="420" w:firstLineChars="200"/>
      </w:pPr>
      <w:r>
        <w:rPr>
          <w:rFonts w:hint="eastAsia"/>
        </w:rPr>
        <w:t>（一）工作内容要求</w:t>
      </w:r>
    </w:p>
    <w:p>
      <w:pPr>
        <w:pStyle w:val="3"/>
        <w:spacing w:line="360" w:lineRule="auto"/>
        <w:ind w:firstLine="420" w:firstLineChars="200"/>
        <w:rPr>
          <w:rFonts w:ascii="宋体" w:hAnsi="宋体" w:cs="宋体"/>
          <w:szCs w:val="21"/>
        </w:rPr>
      </w:pPr>
      <w:r>
        <w:rPr>
          <w:rFonts w:hint="eastAsia" w:ascii="宋体" w:hAnsi="宋体" w:cs="宋体"/>
          <w:szCs w:val="21"/>
        </w:rPr>
        <w:t>1.乙方应按本合同约定履行评估程序，开展不限于以下出具评估报告的相关工作：</w:t>
      </w:r>
    </w:p>
    <w:p>
      <w:pPr>
        <w:pStyle w:val="3"/>
        <w:spacing w:line="360" w:lineRule="auto"/>
        <w:ind w:firstLine="420" w:firstLineChars="200"/>
        <w:rPr>
          <w:rFonts w:ascii="宋体" w:hAnsi="宋体" w:cs="宋体"/>
          <w:szCs w:val="21"/>
        </w:rPr>
      </w:pPr>
      <w:r>
        <w:rPr>
          <w:rFonts w:hint="eastAsia" w:ascii="宋体" w:hAnsi="宋体" w:cs="宋体"/>
          <w:szCs w:val="21"/>
        </w:rPr>
        <w:t>（1）乙方应拟定资产评估计划，提供甲方或被评估对象（单位）需提供的资料清单，以便甲方或被评估对象及时提供相关资料；</w:t>
      </w:r>
    </w:p>
    <w:p>
      <w:pPr>
        <w:pStyle w:val="3"/>
        <w:spacing w:line="360" w:lineRule="auto"/>
        <w:ind w:firstLine="420" w:firstLineChars="200"/>
        <w:rPr>
          <w:rFonts w:ascii="宋体" w:hAnsi="宋体" w:cs="宋体"/>
          <w:szCs w:val="21"/>
        </w:rPr>
      </w:pPr>
      <w:r>
        <w:rPr>
          <w:rFonts w:hint="eastAsia" w:ascii="宋体" w:hAnsi="宋体" w:cs="宋体"/>
          <w:szCs w:val="21"/>
        </w:rPr>
        <w:t>（2）乙方人员应根据实际情况进行实地查勘或进驻被评估单位，指导被评估单位开展资产清查工作，对评估资产进行核实和鉴定，收集相关数据资料；</w:t>
      </w:r>
    </w:p>
    <w:p>
      <w:pPr>
        <w:pStyle w:val="3"/>
        <w:spacing w:line="360" w:lineRule="auto"/>
        <w:ind w:firstLine="420" w:firstLineChars="200"/>
        <w:rPr>
          <w:rFonts w:ascii="宋体" w:hAnsi="宋体" w:cs="宋体"/>
          <w:szCs w:val="21"/>
        </w:rPr>
      </w:pPr>
      <w:r>
        <w:rPr>
          <w:rFonts w:hint="eastAsia" w:ascii="宋体" w:hAnsi="宋体" w:cs="宋体"/>
          <w:szCs w:val="21"/>
        </w:rPr>
        <w:t>（3）乙方应根据现场工作的情况进行评定估算和评估汇总工作，得出初步的评估结论；</w:t>
      </w:r>
    </w:p>
    <w:p>
      <w:pPr>
        <w:pStyle w:val="3"/>
        <w:spacing w:line="360" w:lineRule="auto"/>
        <w:ind w:firstLine="420" w:firstLineChars="200"/>
        <w:rPr>
          <w:rFonts w:ascii="宋体" w:hAnsi="宋体" w:cs="宋体"/>
          <w:szCs w:val="21"/>
        </w:rPr>
      </w:pPr>
      <w:r>
        <w:rPr>
          <w:rFonts w:hint="eastAsia" w:ascii="宋体" w:hAnsi="宋体" w:cs="宋体"/>
          <w:szCs w:val="21"/>
        </w:rPr>
        <w:t>（4）乙方应以初稿形式将有关评估的基本内容与甲方进行沟通；</w:t>
      </w:r>
    </w:p>
    <w:p>
      <w:pPr>
        <w:pStyle w:val="3"/>
        <w:spacing w:line="360" w:lineRule="auto"/>
        <w:ind w:firstLine="420" w:firstLineChars="200"/>
        <w:rPr>
          <w:rFonts w:ascii="宋体" w:hAnsi="宋体" w:cs="宋体"/>
          <w:szCs w:val="21"/>
        </w:rPr>
      </w:pPr>
      <w:r>
        <w:rPr>
          <w:rFonts w:hint="eastAsia" w:ascii="宋体" w:hAnsi="宋体" w:cs="宋体"/>
          <w:szCs w:val="21"/>
        </w:rPr>
        <w:t>（5）乙方应对评估报告初稿进行修改、完善，并在确认相关数据无误后，出具正式评估报告。</w:t>
      </w:r>
    </w:p>
    <w:p>
      <w:pPr>
        <w:pStyle w:val="3"/>
        <w:spacing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szCs w:val="21"/>
        </w:rPr>
        <w:t>.乙方应全程及时有效地跟进与本项目评估相关的资料收集、评估、协调、出席相关会议等，推进评估进度。</w:t>
      </w:r>
    </w:p>
    <w:p>
      <w:pPr>
        <w:pStyle w:val="3"/>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.乙方应根据甲方的需求就评估过程中发现的问题出具书面意见。</w:t>
      </w:r>
    </w:p>
    <w:p>
      <w:pPr>
        <w:pStyle w:val="3"/>
        <w:spacing w:line="360" w:lineRule="auto"/>
        <w:ind w:firstLine="420" w:firstLineChars="200"/>
        <w:rPr>
          <w:rFonts w:ascii="宋体" w:hAnsi="宋体" w:cs="宋体"/>
          <w:szCs w:val="21"/>
        </w:rPr>
      </w:pPr>
      <w:r>
        <w:rPr>
          <w:rFonts w:hint="eastAsia" w:ascii="宋体" w:hAnsi="宋体" w:cs="宋体"/>
          <w:szCs w:val="21"/>
        </w:rPr>
        <w:t>（二）评估要求</w:t>
      </w:r>
    </w:p>
    <w:p>
      <w:pPr>
        <w:pStyle w:val="3"/>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.乙方应选派有经验、认真负责及尽职，并且数量足够的评估师组成项目工作小组，负责实施本合同项下评估工作。各项评估工作应符合资产评估准则等相关规定。</w:t>
      </w:r>
    </w:p>
    <w:p>
      <w:pPr>
        <w:pStyle w:val="3"/>
        <w:spacing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szCs w:val="21"/>
        </w:rPr>
        <w:t>.乙方在完成有关评估事项时，应维护甲方的合法权益，不得为任何一方或其他第三方的利益而损害甲方的合法权益。</w:t>
      </w:r>
    </w:p>
    <w:p>
      <w:pPr>
        <w:pStyle w:val="3"/>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.乙方在评估过程中损害甲方权益的，甲方有权单方解除本合同，并要求乙方足额赔偿。</w:t>
      </w:r>
    </w:p>
    <w:p>
      <w:pPr>
        <w:pStyle w:val="3"/>
        <w:spacing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.乙方应根据甲方的实际工作需要，无偿提供本次资产评估服务涉及的日常咨询等相关服务。</w:t>
      </w:r>
    </w:p>
    <w:p>
      <w:pPr>
        <w:pStyle w:val="3"/>
        <w:spacing w:line="360" w:lineRule="auto"/>
        <w:ind w:firstLine="420" w:firstLineChars="200"/>
      </w:pPr>
      <w:r>
        <w:rPr>
          <w:rFonts w:hint="eastAsia"/>
        </w:rPr>
        <w:t>（三）工作人员要求</w:t>
      </w:r>
    </w:p>
    <w:p>
      <w:pPr>
        <w:pStyle w:val="3"/>
        <w:spacing w:line="360" w:lineRule="auto"/>
        <w:ind w:firstLine="420" w:firstLineChars="200"/>
      </w:pPr>
      <w:r>
        <w:rPr>
          <w:rFonts w:hint="eastAsia" w:ascii="宋体" w:hAnsi="宋体" w:cs="宋体"/>
          <w:szCs w:val="21"/>
        </w:rPr>
        <w:t>1</w:t>
      </w:r>
      <w:r>
        <w:rPr>
          <w:rFonts w:ascii="宋体" w:hAnsi="宋体" w:cs="宋体"/>
          <w:szCs w:val="21"/>
        </w:rPr>
        <w:t>.</w:t>
      </w:r>
      <w:r>
        <w:rPr>
          <w:rFonts w:hint="eastAsia"/>
        </w:rPr>
        <w:t>乙方投入本项目的资产评估师不低于2名（乙方应在本合同生效之日起</w:t>
      </w:r>
      <w:r>
        <w:rPr>
          <w:rFonts w:hint="eastAsia"/>
          <w:lang w:val="en-US" w:eastAsia="zh-CN"/>
        </w:rPr>
        <w:t>2</w:t>
      </w:r>
      <w:r>
        <w:rPr>
          <w:rFonts w:hint="eastAsia"/>
        </w:rPr>
        <w:t>天内提供评估师的执业证书复印件），不包括拟转到分支机构执业的资产评估师及已设立的其他分支机构的资产评估师；</w:t>
      </w:r>
    </w:p>
    <w:p>
      <w:pPr>
        <w:pStyle w:val="3"/>
        <w:spacing w:line="360" w:lineRule="auto"/>
        <w:ind w:firstLine="420" w:firstLineChars="200"/>
      </w:pPr>
      <w:r>
        <w:rPr>
          <w:rFonts w:hint="eastAsia" w:ascii="宋体" w:hAnsi="宋体" w:cs="宋体"/>
          <w:szCs w:val="21"/>
        </w:rPr>
        <w:t>2</w:t>
      </w:r>
      <w:r>
        <w:rPr>
          <w:rFonts w:ascii="宋体" w:hAnsi="宋体" w:cs="宋体"/>
          <w:szCs w:val="21"/>
        </w:rPr>
        <w:t>.</w:t>
      </w:r>
      <w:r>
        <w:rPr>
          <w:rFonts w:hint="eastAsia" w:ascii="宋体" w:hAnsi="宋体" w:cs="宋体"/>
          <w:szCs w:val="21"/>
        </w:rPr>
        <w:t>乙</w:t>
      </w:r>
      <w:r>
        <w:rPr>
          <w:rFonts w:hint="eastAsia"/>
        </w:rPr>
        <w:t>方在本合同项下指派的评估人员必须具有3年以上的资产评估工作经验，具备专门学识与经验，经过适当的专业训练，并具有足够的分析、判断能力。</w:t>
      </w:r>
    </w:p>
    <w:p>
      <w:pPr>
        <w:snapToGrid w:val="0"/>
        <w:spacing w:line="360" w:lineRule="auto"/>
        <w:rPr>
          <w:rFonts w:ascii="宋体" w:hAnsi="宋体" w:cs="宋体"/>
          <w:szCs w:val="21"/>
        </w:rPr>
      </w:pPr>
    </w:p>
    <w:p>
      <w:pPr>
        <w:snapToGrid w:val="0"/>
        <w:spacing w:line="360" w:lineRule="auto"/>
        <w:ind w:firstLine="422" w:firstLineChars="200"/>
        <w:rPr>
          <w:rFonts w:ascii="宋体" w:hAnsi="宋体" w:cs="宋体"/>
          <w:b/>
          <w:bCs/>
          <w:szCs w:val="21"/>
        </w:rPr>
      </w:pPr>
      <w:r>
        <w:rPr>
          <w:rFonts w:hint="eastAsia" w:ascii="宋体" w:hAnsi="宋体" w:cs="宋体"/>
          <w:b/>
          <w:bCs/>
          <w:szCs w:val="21"/>
        </w:rPr>
        <w:t>第六条 评估报告提交期限及验收</w:t>
      </w:r>
    </w:p>
    <w:p>
      <w:pPr>
        <w:snapToGrid w:val="0"/>
        <w:spacing w:line="360" w:lineRule="auto"/>
        <w:ind w:firstLine="420" w:firstLineChars="200"/>
        <w:rPr>
          <w:rFonts w:ascii="宋体" w:hAnsi="宋体" w:cs="宋体"/>
          <w:szCs w:val="21"/>
        </w:rPr>
      </w:pPr>
      <w:r>
        <w:rPr>
          <w:rFonts w:hint="eastAsia" w:ascii="宋体" w:hAnsi="宋体" w:cs="宋体"/>
          <w:szCs w:val="21"/>
        </w:rPr>
        <w:t>1</w:t>
      </w:r>
      <w:bookmarkStart w:id="145" w:name="_Hlk117014823"/>
      <w:r>
        <w:rPr>
          <w:rFonts w:hint="eastAsia" w:ascii="宋体" w:hAnsi="宋体" w:cs="宋体"/>
          <w:szCs w:val="21"/>
        </w:rPr>
        <w:t>.乙方应为东莞市博汇环保科技有限公司的股权及甲方持有的设备资产价值进行资产评估并分别出具评估报告。</w:t>
      </w:r>
    </w:p>
    <w:p>
      <w:pPr>
        <w:snapToGrid w:val="0"/>
        <w:spacing w:line="360" w:lineRule="auto"/>
        <w:ind w:firstLine="420" w:firstLineChars="200"/>
        <w:rPr>
          <w:rFonts w:ascii="宋体" w:hAnsi="宋体" w:cs="宋体"/>
          <w:szCs w:val="21"/>
        </w:rPr>
      </w:pPr>
      <w:r>
        <w:rPr>
          <w:rFonts w:hint="eastAsia" w:ascii="宋体" w:hAnsi="宋体" w:cs="宋体"/>
          <w:szCs w:val="21"/>
        </w:rPr>
        <w:t>2.乙方应在接到甲方通知后10个工作日内向甲方提交初评结果，经甲方确认后，以甲方通知出具报告之日起计，10个工作日内向甲方提交正式纸质资产评估报告书（包括股权评估报告以及设备资产价值评估报告）各一式3份及对应电子版。</w:t>
      </w:r>
    </w:p>
    <w:p>
      <w:pPr>
        <w:snapToGrid w:val="0"/>
        <w:spacing w:line="360" w:lineRule="auto"/>
        <w:ind w:firstLine="420" w:firstLineChars="200"/>
        <w:rPr>
          <w:rFonts w:ascii="宋体" w:hAnsi="宋体" w:cs="宋体"/>
          <w:szCs w:val="21"/>
        </w:rPr>
      </w:pPr>
      <w:r>
        <w:rPr>
          <w:rFonts w:hint="eastAsia" w:ascii="宋体" w:hAnsi="宋体" w:cs="宋体"/>
          <w:szCs w:val="21"/>
        </w:rPr>
        <w:t>3.评估报告应当由至少两名承办该项业务的资产评估师签名并加盖乙方公章。</w:t>
      </w:r>
    </w:p>
    <w:p>
      <w:pPr>
        <w:snapToGrid w:val="0"/>
        <w:spacing w:line="360" w:lineRule="auto"/>
        <w:ind w:firstLine="420" w:firstLineChars="200"/>
        <w:rPr>
          <w:rFonts w:ascii="宋体" w:hAnsi="宋体" w:cs="宋体"/>
          <w:szCs w:val="21"/>
        </w:rPr>
      </w:pPr>
      <w:r>
        <w:rPr>
          <w:rFonts w:hint="eastAsia" w:ascii="宋体" w:hAnsi="宋体" w:cs="宋体"/>
          <w:szCs w:val="21"/>
        </w:rPr>
        <w:t>4.甲方根据国家和地方有关资产评估的法律、行政法规和行业协会的有关规定对评估报告内容进行验收。</w:t>
      </w:r>
    </w:p>
    <w:bookmarkEnd w:id="145"/>
    <w:p>
      <w:pPr>
        <w:snapToGrid w:val="0"/>
        <w:spacing w:line="360" w:lineRule="auto"/>
        <w:ind w:firstLine="420" w:firstLineChars="200"/>
        <w:rPr>
          <w:rFonts w:ascii="宋体" w:hAnsi="宋体" w:cs="宋体"/>
          <w:szCs w:val="21"/>
        </w:rPr>
      </w:pPr>
    </w:p>
    <w:p>
      <w:pPr>
        <w:snapToGrid w:val="0"/>
        <w:spacing w:line="360" w:lineRule="auto"/>
        <w:ind w:firstLine="422" w:firstLineChars="200"/>
        <w:rPr>
          <w:rFonts w:ascii="宋体" w:hAnsi="宋体" w:cs="宋体"/>
          <w:b/>
          <w:bCs/>
          <w:szCs w:val="21"/>
        </w:rPr>
      </w:pPr>
      <w:r>
        <w:rPr>
          <w:rFonts w:hint="eastAsia" w:ascii="宋体" w:hAnsi="宋体" w:cs="宋体"/>
          <w:b/>
          <w:bCs/>
          <w:szCs w:val="21"/>
        </w:rPr>
        <w:t>第七条 服务费用及支付方式</w:t>
      </w:r>
    </w:p>
    <w:p>
      <w:pPr>
        <w:snapToGrid w:val="0"/>
        <w:spacing w:line="360" w:lineRule="auto"/>
        <w:ind w:firstLine="420" w:firstLineChars="200"/>
        <w:rPr>
          <w:rFonts w:ascii="宋体" w:hAnsi="宋体" w:cs="宋体"/>
          <w:szCs w:val="21"/>
        </w:rPr>
      </w:pPr>
      <w:r>
        <w:rPr>
          <w:rFonts w:hint="eastAsia" w:ascii="宋体" w:hAnsi="宋体" w:cs="宋体"/>
          <w:szCs w:val="21"/>
        </w:rPr>
        <w:t>1.本合同价（即销售额，不含销项税额，下同）为【】元（大写人民币），其中股权评估服务费为【】元（大写人民币【】元），设备资产评估服务费为【】元（大写人民币【】元）。在本合同履行过程中，合同价（即销售额，不含乙方销项税额）不随法律法规政策、物价人工、服务期调整而进行调整，未经甲方书面确认，乙方无权增加任何费用。</w:t>
      </w:r>
    </w:p>
    <w:p>
      <w:pPr>
        <w:snapToGrid w:val="0"/>
        <w:spacing w:line="360" w:lineRule="auto"/>
        <w:ind w:firstLine="420" w:firstLineChars="200"/>
        <w:rPr>
          <w:rFonts w:ascii="宋体" w:hAnsi="宋体" w:cs="宋体"/>
          <w:szCs w:val="21"/>
        </w:rPr>
      </w:pPr>
      <w:r>
        <w:rPr>
          <w:rFonts w:hint="eastAsia" w:ascii="宋体" w:hAnsi="宋体" w:cs="宋体"/>
          <w:szCs w:val="21"/>
        </w:rPr>
        <w:t>2.依法计得并根据本合同约定确定的销项税额由甲方承担。根据《中华人民共和国增值税暂行条例》（国务院令第691号修订版）及当前税务部门的相关规定，本合同项目的增值税税率暂定为</w:t>
      </w:r>
      <w:r>
        <w:rPr>
          <w:rFonts w:hint="eastAsia" w:ascii="宋体" w:hAnsi="宋体" w:cs="宋体"/>
          <w:szCs w:val="21"/>
          <w:u w:val="single"/>
          <w:lang w:val="en-US" w:eastAsia="zh-CN"/>
        </w:rPr>
        <w:t xml:space="preserve"> </w:t>
      </w:r>
      <w:r>
        <w:rPr>
          <w:rFonts w:hint="eastAsia" w:ascii="宋体" w:hAnsi="宋体" w:cs="宋体"/>
          <w:szCs w:val="21"/>
        </w:rPr>
        <w:t>%，对应的销项税额为【】元（大写人民币），乙方的增值税销项税额根据本合同约定按实结算。在本合同履行过程中，税收政策变动导致增值税税率调整，依法应调整销项税额的，依法调整；但因乙方未按合同约定完成合同义务、未根据合同约定提供合法、完整的请款资料、评估报告不合法导致的重新评估等原因致使销项税额增加的，相应损失由乙方承担。</w:t>
      </w:r>
    </w:p>
    <w:p>
      <w:pPr>
        <w:snapToGrid w:val="0"/>
        <w:spacing w:line="360" w:lineRule="auto"/>
        <w:ind w:firstLine="420" w:firstLineChars="200"/>
        <w:rPr>
          <w:rFonts w:ascii="宋体" w:hAnsi="宋体" w:cs="宋体"/>
          <w:szCs w:val="21"/>
        </w:rPr>
      </w:pPr>
      <w:r>
        <w:rPr>
          <w:rFonts w:hint="eastAsia" w:ascii="宋体" w:hAnsi="宋体" w:cs="宋体"/>
          <w:szCs w:val="21"/>
        </w:rPr>
        <w:t>因乙方未按法定税率计算税额或未根据本合同约定出具对应税额的增值税专用发票等乙方原因导致甲方多支付税额的，乙方必须退还甲方，给甲方造成损失的，乙方须向甲方赔偿相应损失。</w:t>
      </w:r>
    </w:p>
    <w:p>
      <w:pPr>
        <w:snapToGrid w:val="0"/>
        <w:spacing w:line="360" w:lineRule="auto"/>
        <w:ind w:firstLine="420" w:firstLineChars="200"/>
        <w:rPr>
          <w:rFonts w:ascii="宋体" w:hAnsi="宋体" w:cs="宋体"/>
          <w:szCs w:val="21"/>
        </w:rPr>
      </w:pPr>
      <w:r>
        <w:rPr>
          <w:rFonts w:hint="eastAsia" w:ascii="宋体" w:hAnsi="宋体" w:cs="宋体"/>
          <w:szCs w:val="21"/>
        </w:rPr>
        <w:t>3.合同价税合计为【】元（大写人民币），合同履行期间根据本条第2项规定调整销项税额的，结算合同价税合计对应调整。</w:t>
      </w:r>
    </w:p>
    <w:p>
      <w:pPr>
        <w:snapToGrid w:val="0"/>
        <w:spacing w:line="360" w:lineRule="auto"/>
        <w:ind w:firstLine="420" w:firstLineChars="200"/>
        <w:rPr>
          <w:rFonts w:ascii="宋体" w:hAnsi="宋体" w:cs="宋体"/>
          <w:szCs w:val="21"/>
        </w:rPr>
      </w:pPr>
      <w:bookmarkStart w:id="146" w:name="_Toc29943"/>
      <w:bookmarkStart w:id="147" w:name="_Toc4134"/>
      <w:r>
        <w:rPr>
          <w:rFonts w:hint="eastAsia" w:ascii="宋体" w:hAnsi="宋体" w:cs="宋体"/>
          <w:szCs w:val="21"/>
        </w:rPr>
        <w:t>4.合同价为乙方完成应承担合同义务的全部费用，包括但不限于：</w:t>
      </w:r>
      <w:bookmarkEnd w:id="146"/>
      <w:bookmarkEnd w:id="147"/>
    </w:p>
    <w:p>
      <w:pPr>
        <w:snapToGrid w:val="0"/>
        <w:spacing w:line="360" w:lineRule="auto"/>
        <w:ind w:firstLine="420" w:firstLineChars="200"/>
        <w:rPr>
          <w:rFonts w:ascii="宋体" w:hAnsi="宋体" w:cs="宋体"/>
          <w:szCs w:val="21"/>
        </w:rPr>
      </w:pPr>
      <w:r>
        <w:rPr>
          <w:rFonts w:hint="eastAsia" w:ascii="宋体" w:hAnsi="宋体" w:cs="宋体"/>
          <w:szCs w:val="21"/>
        </w:rPr>
        <w:t>（1）实地查勘、资料收集/核实/分析、编写评估报告（含初评/过程修改/正式版等）；</w:t>
      </w:r>
    </w:p>
    <w:p>
      <w:pPr>
        <w:snapToGrid w:val="0"/>
        <w:spacing w:line="360" w:lineRule="auto"/>
        <w:ind w:firstLine="420" w:firstLineChars="200"/>
        <w:rPr>
          <w:rFonts w:ascii="宋体" w:hAnsi="宋体" w:cs="宋体"/>
          <w:szCs w:val="21"/>
        </w:rPr>
      </w:pPr>
      <w:r>
        <w:rPr>
          <w:rFonts w:hint="eastAsia" w:ascii="宋体" w:hAnsi="宋体" w:cs="宋体"/>
          <w:szCs w:val="21"/>
        </w:rPr>
        <w:t>（2）服务期间人员工资、管理费、交通费、通讯费、餐费、差旅费、保险费等一切费用；</w:t>
      </w:r>
    </w:p>
    <w:p>
      <w:pPr>
        <w:snapToGrid w:val="0"/>
        <w:spacing w:line="360" w:lineRule="auto"/>
        <w:ind w:firstLine="420" w:firstLineChars="200"/>
        <w:rPr>
          <w:rFonts w:ascii="宋体" w:hAnsi="宋体" w:cs="宋体"/>
          <w:szCs w:val="21"/>
        </w:rPr>
      </w:pPr>
      <w:r>
        <w:rPr>
          <w:rFonts w:hint="eastAsia" w:ascii="宋体" w:hAnsi="宋体" w:cs="宋体"/>
          <w:szCs w:val="21"/>
        </w:rPr>
        <w:t>（3）合理利润、乙方销项税额以外的税费等；</w:t>
      </w:r>
    </w:p>
    <w:p>
      <w:pPr>
        <w:snapToGrid w:val="0"/>
        <w:spacing w:line="360" w:lineRule="auto"/>
        <w:ind w:firstLine="420" w:firstLineChars="200"/>
        <w:rPr>
          <w:rFonts w:ascii="宋体" w:hAnsi="宋体" w:cs="宋体"/>
          <w:szCs w:val="21"/>
        </w:rPr>
      </w:pPr>
      <w:r>
        <w:rPr>
          <w:rFonts w:hint="eastAsia" w:ascii="宋体" w:hAnsi="宋体" w:cs="宋体"/>
          <w:szCs w:val="21"/>
        </w:rPr>
        <w:t>（4）法律法规、商业公认、询价文件规定由乙方承担的其他费用。</w:t>
      </w:r>
    </w:p>
    <w:p>
      <w:pPr>
        <w:snapToGrid w:val="0"/>
        <w:spacing w:line="360" w:lineRule="auto"/>
        <w:ind w:firstLine="420" w:firstLineChars="200"/>
        <w:rPr>
          <w:rFonts w:ascii="宋体" w:hAnsi="宋体" w:cs="宋体"/>
          <w:szCs w:val="21"/>
        </w:rPr>
      </w:pPr>
      <w:r>
        <w:rPr>
          <w:rFonts w:hint="eastAsia" w:ascii="宋体" w:hAnsi="宋体" w:cs="宋体"/>
          <w:szCs w:val="21"/>
        </w:rPr>
        <w:t>5.乙方完成本合同项下所有工作并经甲方确认后，乙方向甲方提供合法、有效的增值税专用发票和请款报告，经甲方审核确认无误后十个工作日内支付。</w:t>
      </w:r>
    </w:p>
    <w:p>
      <w:pPr>
        <w:snapToGrid w:val="0"/>
        <w:spacing w:line="360" w:lineRule="auto"/>
        <w:ind w:firstLine="420" w:firstLineChars="200"/>
        <w:rPr>
          <w:rFonts w:ascii="宋体" w:hAnsi="宋体" w:cs="宋体"/>
          <w:szCs w:val="21"/>
        </w:rPr>
      </w:pPr>
      <w:r>
        <w:rPr>
          <w:rFonts w:hint="eastAsia" w:ascii="宋体" w:hAnsi="宋体" w:cs="宋体"/>
          <w:szCs w:val="21"/>
        </w:rPr>
        <w:t>6.以上款项由甲方直接以银行转账方式支付给乙方。乙方逾期提交请款材料或提交材料不符合甲方要求的，甲方有权顺延支付相应款项，并不承担逾期付款的违约责任，由于乙方提供的发票不符合税法规定，给甲方造成的损失由乙方承担赔偿责任，乙方不得以此延迟而拒绝履行合同义务。</w:t>
      </w:r>
    </w:p>
    <w:p>
      <w:pPr>
        <w:snapToGrid w:val="0"/>
        <w:spacing w:line="360" w:lineRule="auto"/>
        <w:ind w:firstLine="420" w:firstLineChars="200"/>
        <w:outlineLvl w:val="0"/>
        <w:rPr>
          <w:rFonts w:ascii="宋体" w:hAnsi="宋体" w:cs="宋体"/>
          <w:szCs w:val="21"/>
        </w:rPr>
      </w:pPr>
      <w:bookmarkStart w:id="148" w:name="_Toc11634"/>
      <w:bookmarkStart w:id="149" w:name="_Toc21563"/>
      <w:r>
        <w:rPr>
          <w:rFonts w:hint="eastAsia" w:ascii="宋体" w:hAnsi="宋体" w:cs="宋体"/>
          <w:szCs w:val="21"/>
        </w:rPr>
        <w:t>7.乙方收款账户信息</w:t>
      </w:r>
      <w:bookmarkEnd w:id="148"/>
      <w:bookmarkEnd w:id="149"/>
    </w:p>
    <w:tbl>
      <w:tblPr>
        <w:tblStyle w:val="17"/>
        <w:tblW w:w="0" w:type="auto"/>
        <w:tblInd w:w="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0"/>
        <w:gridCol w:w="5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00" w:type="dxa"/>
            <w:vAlign w:val="center"/>
          </w:tcPr>
          <w:p>
            <w:pPr>
              <w:snapToGrid w:val="0"/>
              <w:spacing w:line="480" w:lineRule="auto"/>
              <w:ind w:firstLine="420" w:firstLineChars="200"/>
              <w:rPr>
                <w:rFonts w:ascii="宋体" w:hAnsi="宋体" w:cs="宋体"/>
                <w:szCs w:val="21"/>
              </w:rPr>
            </w:pPr>
            <w:r>
              <w:rPr>
                <w:rFonts w:hint="eastAsia" w:ascii="宋体" w:hAnsi="宋体" w:cs="宋体"/>
                <w:szCs w:val="21"/>
              </w:rPr>
              <w:t>账号户名</w:t>
            </w:r>
          </w:p>
        </w:tc>
        <w:tc>
          <w:tcPr>
            <w:tcW w:w="5513" w:type="dxa"/>
          </w:tcPr>
          <w:p>
            <w:pPr>
              <w:snapToGrid w:val="0"/>
              <w:spacing w:line="48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0" w:type="dxa"/>
            <w:vAlign w:val="center"/>
          </w:tcPr>
          <w:p>
            <w:pPr>
              <w:snapToGrid w:val="0"/>
              <w:spacing w:line="480" w:lineRule="auto"/>
              <w:ind w:firstLine="420" w:firstLineChars="200"/>
              <w:rPr>
                <w:rFonts w:ascii="宋体" w:hAnsi="宋体" w:cs="宋体"/>
                <w:szCs w:val="21"/>
              </w:rPr>
            </w:pPr>
            <w:r>
              <w:rPr>
                <w:rFonts w:hint="eastAsia" w:ascii="宋体" w:hAnsi="宋体" w:cs="宋体"/>
                <w:szCs w:val="21"/>
              </w:rPr>
              <w:t>开户银行名称</w:t>
            </w:r>
          </w:p>
        </w:tc>
        <w:tc>
          <w:tcPr>
            <w:tcW w:w="5513" w:type="dxa"/>
          </w:tcPr>
          <w:p>
            <w:pPr>
              <w:snapToGrid w:val="0"/>
              <w:spacing w:line="48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0" w:type="dxa"/>
            <w:vAlign w:val="center"/>
          </w:tcPr>
          <w:p>
            <w:pPr>
              <w:snapToGrid w:val="0"/>
              <w:spacing w:line="480" w:lineRule="auto"/>
              <w:ind w:firstLine="420" w:firstLineChars="200"/>
              <w:rPr>
                <w:rFonts w:ascii="宋体" w:hAnsi="宋体" w:cs="宋体"/>
                <w:szCs w:val="21"/>
              </w:rPr>
            </w:pPr>
            <w:r>
              <w:rPr>
                <w:rFonts w:hint="eastAsia" w:ascii="宋体" w:hAnsi="宋体" w:cs="宋体"/>
                <w:szCs w:val="21"/>
              </w:rPr>
              <w:t>银行账号</w:t>
            </w:r>
          </w:p>
        </w:tc>
        <w:tc>
          <w:tcPr>
            <w:tcW w:w="5513" w:type="dxa"/>
          </w:tcPr>
          <w:p>
            <w:pPr>
              <w:snapToGrid w:val="0"/>
              <w:spacing w:line="480" w:lineRule="auto"/>
              <w:ind w:firstLine="420" w:firstLineChars="200"/>
              <w:rPr>
                <w:rFonts w:ascii="宋体" w:hAnsi="宋体" w:cs="宋体"/>
                <w:szCs w:val="21"/>
              </w:rPr>
            </w:pPr>
          </w:p>
        </w:tc>
      </w:tr>
    </w:tbl>
    <w:p>
      <w:pPr>
        <w:snapToGrid w:val="0"/>
        <w:spacing w:line="360" w:lineRule="auto"/>
        <w:rPr>
          <w:rFonts w:ascii="宋体" w:hAnsi="宋体" w:cs="宋体"/>
          <w:szCs w:val="21"/>
        </w:rPr>
      </w:pPr>
    </w:p>
    <w:p>
      <w:pPr>
        <w:snapToGrid w:val="0"/>
        <w:spacing w:line="360" w:lineRule="auto"/>
        <w:ind w:firstLine="422" w:firstLineChars="200"/>
        <w:outlineLvl w:val="1"/>
        <w:rPr>
          <w:rFonts w:ascii="宋体" w:hAnsi="宋体" w:cs="宋体"/>
          <w:b/>
          <w:bCs/>
          <w:szCs w:val="21"/>
        </w:rPr>
      </w:pPr>
      <w:bookmarkStart w:id="150" w:name="_Toc27606"/>
      <w:bookmarkStart w:id="151" w:name="_Toc14599"/>
      <w:r>
        <w:rPr>
          <w:rFonts w:hint="eastAsia" w:ascii="宋体" w:hAnsi="宋体" w:cs="宋体"/>
          <w:b/>
          <w:bCs/>
          <w:szCs w:val="21"/>
        </w:rPr>
        <w:t>第八条 甲方的权利与义务</w:t>
      </w:r>
      <w:bookmarkEnd w:id="150"/>
      <w:bookmarkEnd w:id="151"/>
    </w:p>
    <w:p>
      <w:pPr>
        <w:snapToGrid w:val="0"/>
        <w:spacing w:line="360" w:lineRule="auto"/>
        <w:ind w:firstLine="420" w:firstLineChars="200"/>
        <w:outlineLvl w:val="1"/>
        <w:rPr>
          <w:rFonts w:ascii="宋体" w:hAnsi="宋体" w:cs="宋体"/>
          <w:szCs w:val="21"/>
        </w:rPr>
      </w:pPr>
      <w:bookmarkStart w:id="152" w:name="_Toc26126"/>
      <w:bookmarkStart w:id="153" w:name="_Toc25471"/>
      <w:r>
        <w:rPr>
          <w:rFonts w:hint="eastAsia" w:ascii="宋体" w:hAnsi="宋体" w:cs="宋体"/>
          <w:szCs w:val="21"/>
        </w:rPr>
        <w:t>1</w:t>
      </w:r>
      <w:bookmarkEnd w:id="152"/>
      <w:bookmarkEnd w:id="153"/>
      <w:bookmarkStart w:id="154" w:name="_Toc1433"/>
      <w:bookmarkStart w:id="155" w:name="_Toc11458"/>
      <w:r>
        <w:rPr>
          <w:rFonts w:hint="eastAsia" w:ascii="宋体" w:hAnsi="宋体" w:cs="宋体"/>
          <w:szCs w:val="21"/>
        </w:rPr>
        <w:t>.甲方的权利：</w:t>
      </w:r>
    </w:p>
    <w:p>
      <w:pPr>
        <w:snapToGrid w:val="0"/>
        <w:spacing w:line="360" w:lineRule="auto"/>
        <w:ind w:firstLine="420" w:firstLineChars="200"/>
        <w:outlineLvl w:val="1"/>
        <w:rPr>
          <w:rFonts w:ascii="宋体" w:hAnsi="宋体" w:cs="宋体"/>
          <w:szCs w:val="21"/>
        </w:rPr>
      </w:pPr>
      <w:r>
        <w:rPr>
          <w:rFonts w:hint="eastAsia" w:ascii="宋体" w:hAnsi="宋体" w:cs="宋体"/>
          <w:szCs w:val="21"/>
        </w:rPr>
        <w:t>（1）甲方有权对乙方的评估工作进行监督，对乙方不符合法律、行政法规和行业协会规定的行为要求整改。</w:t>
      </w:r>
    </w:p>
    <w:p>
      <w:pPr>
        <w:snapToGrid w:val="0"/>
        <w:spacing w:line="360" w:lineRule="auto"/>
        <w:ind w:firstLine="420" w:firstLineChars="200"/>
        <w:outlineLvl w:val="1"/>
        <w:rPr>
          <w:rFonts w:ascii="宋体" w:hAnsi="宋体" w:cs="宋体"/>
          <w:szCs w:val="21"/>
        </w:rPr>
      </w:pPr>
      <w:r>
        <w:rPr>
          <w:rFonts w:hint="eastAsia" w:ascii="宋体" w:hAnsi="宋体" w:cs="宋体"/>
          <w:szCs w:val="21"/>
        </w:rPr>
        <w:t>（2）甲方、产权持有人或其他相关当事人发现乙方指定的评估专业人员与本次评估业务有人员关联，甲方有权要求乙方更换该评估专业人员。</w:t>
      </w:r>
    </w:p>
    <w:p>
      <w:pPr>
        <w:snapToGrid w:val="0"/>
        <w:spacing w:line="360" w:lineRule="auto"/>
        <w:ind w:firstLine="420" w:firstLineChars="200"/>
        <w:outlineLvl w:val="1"/>
        <w:rPr>
          <w:rFonts w:ascii="宋体" w:hAnsi="宋体" w:cs="宋体"/>
          <w:szCs w:val="21"/>
        </w:rPr>
      </w:pPr>
      <w:r>
        <w:rPr>
          <w:rFonts w:hint="eastAsia" w:ascii="宋体" w:hAnsi="宋体" w:cs="宋体"/>
          <w:szCs w:val="21"/>
        </w:rPr>
        <w:t>（3）甲方对乙方实施的评估程序或对评估结论有疑义时，有权提出质疑，并要求乙方解释及出具澄清文件，乙方对甲方提出的疑义或质疑不予解释或无法解释清楚的，甲方有权视为乙方未完成该项工作内容。</w:t>
      </w:r>
    </w:p>
    <w:p>
      <w:pPr>
        <w:snapToGrid w:val="0"/>
        <w:spacing w:line="360" w:lineRule="auto"/>
        <w:ind w:firstLine="420" w:firstLineChars="200"/>
        <w:outlineLvl w:val="1"/>
        <w:rPr>
          <w:rFonts w:ascii="宋体" w:hAnsi="宋体" w:cs="宋体"/>
          <w:szCs w:val="21"/>
        </w:rPr>
      </w:pPr>
      <w:r>
        <w:rPr>
          <w:rFonts w:hint="eastAsia" w:ascii="宋体" w:hAnsi="宋体" w:cs="宋体"/>
          <w:szCs w:val="21"/>
        </w:rPr>
        <w:t>（4）甲方有权要求查验乙方营业执照、向有关行政管理部门备案的有关材料及资产评估师执业资格证书等相关资质文件。</w:t>
      </w:r>
    </w:p>
    <w:p>
      <w:pPr>
        <w:snapToGrid w:val="0"/>
        <w:spacing w:line="360" w:lineRule="auto"/>
        <w:ind w:firstLine="420" w:firstLineChars="200"/>
        <w:outlineLvl w:val="1"/>
        <w:rPr>
          <w:rFonts w:ascii="宋体" w:hAnsi="宋体" w:cs="宋体"/>
          <w:szCs w:val="21"/>
        </w:rPr>
      </w:pPr>
      <w:bookmarkStart w:id="156" w:name="_Toc25867"/>
      <w:bookmarkStart w:id="157" w:name="_Toc16662"/>
      <w:r>
        <w:rPr>
          <w:rFonts w:hint="eastAsia" w:ascii="宋体" w:hAnsi="宋体" w:cs="宋体"/>
          <w:szCs w:val="21"/>
        </w:rPr>
        <w:t>2.甲方的义务：</w:t>
      </w:r>
      <w:bookmarkEnd w:id="156"/>
      <w:bookmarkEnd w:id="157"/>
    </w:p>
    <w:p>
      <w:pPr>
        <w:snapToGrid w:val="0"/>
        <w:spacing w:line="360" w:lineRule="auto"/>
        <w:ind w:firstLine="420" w:firstLineChars="200"/>
        <w:outlineLvl w:val="1"/>
        <w:rPr>
          <w:rFonts w:ascii="宋体" w:hAnsi="宋体" w:cs="宋体"/>
          <w:szCs w:val="21"/>
        </w:rPr>
      </w:pPr>
      <w:r>
        <w:rPr>
          <w:rFonts w:hint="eastAsia" w:ascii="宋体" w:hAnsi="宋体" w:cs="宋体"/>
          <w:szCs w:val="21"/>
        </w:rPr>
        <w:t>（1）依法提供资产评估业务需要的资料并保证资料的真实性、完整性、合法性，并对其提供的资产评估明细表及其他重要资料以签字或盖章的方式进行确认。</w:t>
      </w:r>
    </w:p>
    <w:p>
      <w:pPr>
        <w:snapToGrid w:val="0"/>
        <w:spacing w:line="360" w:lineRule="auto"/>
        <w:ind w:firstLine="420" w:firstLineChars="200"/>
        <w:outlineLvl w:val="1"/>
        <w:rPr>
          <w:rFonts w:ascii="宋体" w:hAnsi="宋体" w:cs="宋体"/>
          <w:szCs w:val="21"/>
        </w:rPr>
      </w:pPr>
      <w:r>
        <w:rPr>
          <w:rFonts w:hint="eastAsia" w:ascii="宋体" w:hAnsi="宋体" w:cs="宋体"/>
          <w:szCs w:val="21"/>
        </w:rPr>
        <w:t>（2）为乙方及其资产评估专业人员开展资产评估业务提供必要的工作条件和协助，并根据资产评估业务需要，负责乙方及其资产评估专业人员与其他相关当事人之间的协调。</w:t>
      </w:r>
    </w:p>
    <w:p>
      <w:pPr>
        <w:snapToGrid w:val="0"/>
        <w:spacing w:line="360" w:lineRule="auto"/>
        <w:ind w:firstLine="420" w:firstLineChars="200"/>
        <w:outlineLvl w:val="1"/>
        <w:rPr>
          <w:rFonts w:ascii="宋体" w:hAnsi="宋体" w:cs="宋体"/>
          <w:szCs w:val="21"/>
        </w:rPr>
      </w:pPr>
      <w:r>
        <w:rPr>
          <w:rFonts w:hint="eastAsia" w:ascii="宋体" w:hAnsi="宋体" w:cs="宋体"/>
          <w:szCs w:val="21"/>
        </w:rPr>
        <w:t>（3）按合同约定足额支付评估服务费用。</w:t>
      </w:r>
      <w:bookmarkEnd w:id="154"/>
      <w:bookmarkEnd w:id="155"/>
    </w:p>
    <w:p>
      <w:pPr>
        <w:snapToGrid w:val="0"/>
        <w:spacing w:line="360" w:lineRule="auto"/>
        <w:ind w:firstLine="420" w:firstLineChars="200"/>
        <w:rPr>
          <w:rFonts w:ascii="宋体" w:hAnsi="宋体" w:cs="宋体"/>
          <w:szCs w:val="21"/>
        </w:rPr>
      </w:pPr>
    </w:p>
    <w:p>
      <w:pPr>
        <w:snapToGrid w:val="0"/>
        <w:spacing w:line="360" w:lineRule="auto"/>
        <w:ind w:firstLine="422" w:firstLineChars="200"/>
        <w:rPr>
          <w:rFonts w:ascii="宋体" w:hAnsi="宋体" w:cs="宋体"/>
          <w:b/>
          <w:bCs/>
          <w:szCs w:val="21"/>
        </w:rPr>
      </w:pPr>
      <w:r>
        <w:rPr>
          <w:rFonts w:hint="eastAsia" w:ascii="宋体" w:hAnsi="宋体" w:cs="宋体"/>
          <w:b/>
          <w:bCs/>
          <w:szCs w:val="21"/>
        </w:rPr>
        <w:t>第九条 乙方的权利与义务</w:t>
      </w:r>
    </w:p>
    <w:p>
      <w:pPr>
        <w:snapToGrid w:val="0"/>
        <w:spacing w:line="360" w:lineRule="auto"/>
        <w:ind w:firstLine="420" w:firstLineChars="200"/>
        <w:rPr>
          <w:rFonts w:ascii="宋体" w:hAnsi="宋体" w:cs="宋体"/>
          <w:szCs w:val="21"/>
        </w:rPr>
      </w:pPr>
      <w:bookmarkStart w:id="158" w:name="_Toc12872"/>
      <w:bookmarkStart w:id="159" w:name="_Toc22280"/>
      <w:r>
        <w:rPr>
          <w:rFonts w:hint="eastAsia" w:ascii="宋体" w:hAnsi="宋体" w:cs="宋体"/>
          <w:szCs w:val="21"/>
        </w:rPr>
        <w:t>1</w:t>
      </w:r>
      <w:bookmarkEnd w:id="158"/>
      <w:bookmarkEnd w:id="159"/>
      <w:r>
        <w:rPr>
          <w:rFonts w:hint="eastAsia" w:ascii="宋体" w:hAnsi="宋体" w:cs="宋体"/>
          <w:szCs w:val="21"/>
        </w:rPr>
        <w:t>.乙方的权利：</w:t>
      </w:r>
    </w:p>
    <w:p>
      <w:pPr>
        <w:snapToGrid w:val="0"/>
        <w:spacing w:line="360" w:lineRule="auto"/>
        <w:ind w:firstLine="420" w:firstLineChars="200"/>
        <w:rPr>
          <w:rFonts w:ascii="宋体" w:hAnsi="宋体" w:cs="宋体"/>
          <w:szCs w:val="21"/>
        </w:rPr>
      </w:pPr>
      <w:r>
        <w:rPr>
          <w:rFonts w:hint="eastAsia" w:ascii="宋体" w:hAnsi="宋体" w:cs="宋体"/>
          <w:szCs w:val="21"/>
        </w:rPr>
        <w:t>（1）甲方要求出具虚假资产评估报告或者有其他非法干预评估结论情形的，乙方有权单方解除本合同。甲方应按照经甲方确认的工作量支付相应的评估服务费。</w:t>
      </w:r>
    </w:p>
    <w:p>
      <w:pPr>
        <w:snapToGrid w:val="0"/>
        <w:spacing w:line="360" w:lineRule="auto"/>
        <w:ind w:firstLine="420" w:firstLineChars="200"/>
        <w:rPr>
          <w:rFonts w:ascii="宋体" w:hAnsi="宋体" w:cs="宋体"/>
          <w:szCs w:val="21"/>
        </w:rPr>
      </w:pPr>
      <w:r>
        <w:rPr>
          <w:rFonts w:hint="eastAsia" w:ascii="宋体" w:hAnsi="宋体" w:cs="宋体"/>
          <w:szCs w:val="21"/>
        </w:rPr>
        <w:t>（2）甲方或者其他相关当事人原因导致资产评估程序受限，乙方无法履行资产评估委托合同，乙方可以单方解除本合同。甲方应按照经甲方确认的工作量支付相应的评估服务费。</w:t>
      </w:r>
    </w:p>
    <w:p>
      <w:pPr>
        <w:snapToGrid w:val="0"/>
        <w:spacing w:line="360" w:lineRule="auto"/>
        <w:ind w:firstLine="420" w:firstLineChars="200"/>
        <w:rPr>
          <w:rFonts w:ascii="宋体" w:hAnsi="宋体" w:cs="宋体"/>
          <w:szCs w:val="21"/>
        </w:rPr>
      </w:pPr>
      <w:r>
        <w:rPr>
          <w:rFonts w:hint="eastAsia" w:ascii="宋体" w:hAnsi="宋体" w:cs="宋体"/>
          <w:szCs w:val="21"/>
        </w:rPr>
        <w:t>（3）甲方和其他相关当事人如果拒绝提供或者不如实提供开展资产评估业务所需的权属证明、财务会计信息或者其他相关资料的，乙方有权拒绝履行本合同。</w:t>
      </w:r>
    </w:p>
    <w:p>
      <w:pPr>
        <w:snapToGrid w:val="0"/>
        <w:spacing w:line="360" w:lineRule="auto"/>
        <w:ind w:firstLine="420" w:firstLineChars="200"/>
        <w:rPr>
          <w:rFonts w:ascii="宋体" w:hAnsi="宋体" w:cs="宋体"/>
          <w:szCs w:val="21"/>
        </w:rPr>
      </w:pPr>
      <w:bookmarkStart w:id="160" w:name="_Toc12358"/>
      <w:bookmarkStart w:id="161" w:name="_Toc88"/>
      <w:r>
        <w:rPr>
          <w:rFonts w:hint="eastAsia" w:ascii="宋体" w:hAnsi="宋体" w:cs="宋体"/>
          <w:szCs w:val="21"/>
        </w:rPr>
        <w:t>（4）乙方按合同约定完成合同义务且不存在违约行为的情况下，有权请求甲方按合同约定及时足额支付评估服务费用。</w:t>
      </w:r>
      <w:bookmarkEnd w:id="160"/>
      <w:bookmarkEnd w:id="161"/>
    </w:p>
    <w:p>
      <w:pPr>
        <w:snapToGrid w:val="0"/>
        <w:spacing w:line="360" w:lineRule="auto"/>
        <w:ind w:firstLine="420" w:firstLineChars="200"/>
        <w:rPr>
          <w:rFonts w:ascii="宋体" w:hAnsi="宋体" w:cs="宋体"/>
          <w:szCs w:val="21"/>
        </w:rPr>
      </w:pPr>
      <w:bookmarkStart w:id="162" w:name="_Toc11725"/>
      <w:bookmarkStart w:id="163" w:name="_Toc7746"/>
      <w:r>
        <w:rPr>
          <w:rFonts w:hint="eastAsia" w:ascii="宋体" w:hAnsi="宋体" w:cs="宋体"/>
          <w:szCs w:val="21"/>
        </w:rPr>
        <w:t>2.乙方的义务</w:t>
      </w:r>
      <w:bookmarkEnd w:id="162"/>
      <w:bookmarkEnd w:id="163"/>
    </w:p>
    <w:p>
      <w:pPr>
        <w:snapToGrid w:val="0"/>
        <w:spacing w:line="360" w:lineRule="auto"/>
        <w:ind w:firstLine="420" w:firstLineChars="200"/>
        <w:rPr>
          <w:rFonts w:ascii="宋体" w:hAnsi="宋体" w:cs="宋体"/>
          <w:szCs w:val="21"/>
        </w:rPr>
      </w:pPr>
      <w:r>
        <w:rPr>
          <w:rFonts w:hint="eastAsia" w:ascii="宋体" w:hAnsi="宋体" w:cs="宋体"/>
          <w:szCs w:val="21"/>
        </w:rPr>
        <w:t>（1）遵守相关法律、行政法规和资产评估准则，对评估对象在评估基准日特定目的下的价值进行分析和估算并出具资产评估报告，对所出具的资产评估报告依法承担责任。</w:t>
      </w:r>
    </w:p>
    <w:p>
      <w:pPr>
        <w:snapToGrid w:val="0"/>
        <w:spacing w:line="360" w:lineRule="auto"/>
        <w:ind w:firstLine="420" w:firstLineChars="200"/>
        <w:rPr>
          <w:rFonts w:ascii="宋体" w:hAnsi="宋体" w:cs="宋体"/>
          <w:szCs w:val="21"/>
        </w:rPr>
      </w:pPr>
      <w:r>
        <w:rPr>
          <w:rFonts w:hint="eastAsia" w:ascii="宋体" w:hAnsi="宋体" w:cs="宋体"/>
          <w:szCs w:val="21"/>
        </w:rPr>
        <w:t>（2）乙方应对履行合同义务过程中获知的关于甲方的商业秘密负有保密责任。除法律、法规另有规定的，未经甲方书面许可，乙方不得将评估报告内容、甲方或被评估单位提供的有关文件资料和商业秘密向第三方提供或者公开</w:t>
      </w:r>
      <w:bookmarkStart w:id="164" w:name="_Hlk117015884"/>
      <w:r>
        <w:rPr>
          <w:rFonts w:hint="eastAsia" w:ascii="宋体" w:hAnsi="宋体" w:cs="宋体"/>
          <w:szCs w:val="21"/>
        </w:rPr>
        <w:t>。乙方应于本合同项下评估工作完成后，返还或销毁甲方向乙方提供的全部资料。乙方的保密义务不因本合同解除或终止而失效，直至甲方的资料合法公开为止</w:t>
      </w:r>
      <w:bookmarkEnd w:id="164"/>
      <w:r>
        <w:rPr>
          <w:rFonts w:hint="eastAsia" w:ascii="宋体" w:hAnsi="宋体" w:cs="宋体"/>
          <w:szCs w:val="21"/>
        </w:rPr>
        <w:t>。</w:t>
      </w:r>
    </w:p>
    <w:p>
      <w:pPr>
        <w:snapToGrid w:val="0"/>
        <w:spacing w:line="360" w:lineRule="auto"/>
        <w:ind w:firstLine="420" w:firstLineChars="200"/>
        <w:rPr>
          <w:rFonts w:ascii="宋体" w:hAnsi="宋体" w:cs="宋体"/>
          <w:szCs w:val="21"/>
        </w:rPr>
      </w:pPr>
      <w:r>
        <w:rPr>
          <w:rFonts w:hint="eastAsia" w:ascii="宋体" w:hAnsi="宋体" w:cs="宋体"/>
          <w:szCs w:val="21"/>
        </w:rPr>
        <w:t>（3）乙方应按合同约定的时间及要求，拟定工作计划，按时完成资产评估相关工作，并出具资产评估报告。</w:t>
      </w:r>
    </w:p>
    <w:p>
      <w:pPr>
        <w:snapToGrid w:val="0"/>
        <w:spacing w:line="360" w:lineRule="auto"/>
        <w:ind w:firstLine="420" w:firstLineChars="200"/>
        <w:rPr>
          <w:rFonts w:ascii="宋体" w:hAnsi="宋体" w:cs="宋体"/>
          <w:szCs w:val="21"/>
        </w:rPr>
      </w:pPr>
      <w:r>
        <w:rPr>
          <w:rFonts w:hint="eastAsia" w:ascii="宋体" w:hAnsi="宋体" w:cs="宋体"/>
          <w:szCs w:val="21"/>
        </w:rPr>
        <w:t>（4）如乙方发现其指定资产评估专业人员与资产评估业务存在关联的，应当及时主动向甲方提出，经甲方书面同意后及时更换评估专业人员。</w:t>
      </w:r>
    </w:p>
    <w:p>
      <w:pPr>
        <w:snapToGrid w:val="0"/>
        <w:spacing w:line="360" w:lineRule="auto"/>
        <w:ind w:firstLine="420" w:firstLineChars="200"/>
        <w:rPr>
          <w:rFonts w:ascii="宋体" w:hAnsi="宋体" w:cs="宋体"/>
          <w:szCs w:val="21"/>
        </w:rPr>
      </w:pPr>
      <w:r>
        <w:rPr>
          <w:rFonts w:hint="eastAsia" w:ascii="宋体" w:hAnsi="宋体" w:cs="宋体"/>
          <w:szCs w:val="21"/>
        </w:rPr>
        <w:t>（5）乙方应按合同约定独立完成合同义务，不得将该合同义务全部或部分转让给第三方。</w:t>
      </w:r>
    </w:p>
    <w:p>
      <w:pPr>
        <w:snapToGrid w:val="0"/>
        <w:spacing w:line="360" w:lineRule="auto"/>
        <w:ind w:firstLine="420" w:firstLineChars="200"/>
        <w:rPr>
          <w:rFonts w:ascii="宋体" w:hAnsi="宋体" w:cs="宋体"/>
          <w:szCs w:val="21"/>
        </w:rPr>
      </w:pPr>
    </w:p>
    <w:p>
      <w:pPr>
        <w:snapToGrid w:val="0"/>
        <w:spacing w:line="360" w:lineRule="auto"/>
        <w:ind w:firstLine="422" w:firstLineChars="200"/>
        <w:outlineLvl w:val="1"/>
        <w:rPr>
          <w:rFonts w:ascii="宋体" w:hAnsi="宋体" w:cs="宋体"/>
          <w:b/>
          <w:bCs/>
          <w:szCs w:val="21"/>
        </w:rPr>
      </w:pPr>
      <w:bookmarkStart w:id="165" w:name="_Toc9506"/>
      <w:bookmarkStart w:id="166" w:name="_Toc24296"/>
      <w:r>
        <w:rPr>
          <w:rFonts w:hint="eastAsia" w:ascii="宋体" w:hAnsi="宋体" w:cs="宋体"/>
          <w:b/>
          <w:bCs/>
          <w:szCs w:val="21"/>
        </w:rPr>
        <w:t>第十条 违约责任</w:t>
      </w:r>
      <w:bookmarkEnd w:id="165"/>
      <w:bookmarkEnd w:id="166"/>
    </w:p>
    <w:p>
      <w:pPr>
        <w:snapToGrid w:val="0"/>
        <w:spacing w:line="360" w:lineRule="auto"/>
        <w:ind w:firstLine="420" w:firstLineChars="200"/>
        <w:rPr>
          <w:rFonts w:ascii="宋体" w:hAnsi="宋体" w:cs="宋体"/>
          <w:szCs w:val="21"/>
        </w:rPr>
      </w:pPr>
      <w:r>
        <w:rPr>
          <w:rFonts w:hint="eastAsia" w:ascii="宋体" w:hAnsi="宋体" w:cs="宋体"/>
          <w:szCs w:val="21"/>
        </w:rPr>
        <w:t>1.除第九条第1款约定情形外，乙方无故终止本合同的，应向甲方退还所有评估服务费用，并赔偿甲方由此造成的损失。</w:t>
      </w:r>
    </w:p>
    <w:p>
      <w:pPr>
        <w:snapToGrid w:val="0"/>
        <w:spacing w:line="360" w:lineRule="auto"/>
        <w:ind w:firstLine="420" w:firstLineChars="200"/>
        <w:rPr>
          <w:rFonts w:ascii="宋体" w:hAnsi="宋体" w:cs="宋体"/>
          <w:szCs w:val="21"/>
        </w:rPr>
      </w:pPr>
      <w:r>
        <w:rPr>
          <w:rFonts w:hint="eastAsia" w:ascii="宋体" w:hAnsi="宋体" w:cs="宋体"/>
          <w:szCs w:val="21"/>
        </w:rPr>
        <w:t>2.甲方提前终止资产评估业务、解除资产评估委托合同的，应当按照经甲方确认的工作量支付相应的评估服务费。</w:t>
      </w:r>
    </w:p>
    <w:p>
      <w:pPr>
        <w:snapToGrid w:val="0"/>
        <w:spacing w:line="360" w:lineRule="auto"/>
        <w:ind w:firstLine="420" w:firstLineChars="200"/>
        <w:rPr>
          <w:rFonts w:ascii="宋体" w:hAnsi="宋体" w:cs="宋体"/>
          <w:szCs w:val="21"/>
        </w:rPr>
      </w:pPr>
      <w:r>
        <w:rPr>
          <w:rFonts w:hint="eastAsia" w:ascii="宋体" w:hAnsi="宋体" w:cs="宋体"/>
          <w:szCs w:val="21"/>
        </w:rPr>
        <w:t>3.乙方出现以下行为的，甲方有权单方解除合同，并要求乙方按合同价的20%支付违约金，同时，甲方保留向有关行政管理部门或行业协会举报和投诉的权利：</w:t>
      </w:r>
    </w:p>
    <w:p>
      <w:pPr>
        <w:snapToGrid w:val="0"/>
        <w:spacing w:line="360" w:lineRule="auto"/>
        <w:ind w:firstLine="420" w:firstLineChars="200"/>
        <w:rPr>
          <w:rFonts w:ascii="宋体" w:hAnsi="宋体" w:cs="宋体"/>
          <w:szCs w:val="21"/>
        </w:rPr>
      </w:pPr>
      <w:r>
        <w:rPr>
          <w:rFonts w:hint="eastAsia" w:ascii="宋体" w:hAnsi="宋体" w:cs="宋体"/>
          <w:szCs w:val="21"/>
        </w:rPr>
        <w:t>（1）乙方存在资质证书造假或乙方指定的评估专业人员存在资格证书造假等资料造假行为；</w:t>
      </w:r>
    </w:p>
    <w:p>
      <w:pPr>
        <w:snapToGrid w:val="0"/>
        <w:spacing w:line="360" w:lineRule="auto"/>
        <w:ind w:firstLine="420" w:firstLineChars="200"/>
        <w:rPr>
          <w:rFonts w:ascii="宋体" w:hAnsi="宋体" w:cs="宋体"/>
          <w:szCs w:val="21"/>
        </w:rPr>
      </w:pPr>
      <w:r>
        <w:rPr>
          <w:rFonts w:hint="eastAsia" w:ascii="宋体" w:hAnsi="宋体" w:cs="宋体"/>
          <w:szCs w:val="21"/>
        </w:rPr>
        <w:t>（2）乙方的评估程序、评估方法不符合法律、行政法规规定和行业协会要求的，经甲方书面提出整改要求后，乙方仍不予整改；</w:t>
      </w:r>
    </w:p>
    <w:p>
      <w:pPr>
        <w:snapToGrid w:val="0"/>
        <w:spacing w:line="360" w:lineRule="auto"/>
        <w:ind w:firstLine="420" w:firstLineChars="200"/>
        <w:rPr>
          <w:rFonts w:ascii="宋体" w:hAnsi="宋体" w:cs="宋体"/>
          <w:szCs w:val="21"/>
        </w:rPr>
      </w:pPr>
      <w:r>
        <w:rPr>
          <w:rFonts w:hint="eastAsia" w:ascii="宋体" w:hAnsi="宋体" w:cs="宋体"/>
          <w:szCs w:val="21"/>
        </w:rPr>
        <w:t>（3）乙方指定的评估专业人员与本次评估业务有人员关联，甲方要求乙方更换该评估专业人员，乙方以任何理由拒绝更换；</w:t>
      </w:r>
    </w:p>
    <w:p>
      <w:pPr>
        <w:snapToGrid w:val="0"/>
        <w:spacing w:line="360" w:lineRule="auto"/>
        <w:ind w:firstLine="420" w:firstLineChars="200"/>
        <w:rPr>
          <w:rFonts w:ascii="宋体" w:hAnsi="宋体" w:cs="宋体"/>
          <w:szCs w:val="21"/>
        </w:rPr>
      </w:pPr>
      <w:r>
        <w:rPr>
          <w:rFonts w:hint="eastAsia" w:ascii="宋体" w:hAnsi="宋体" w:cs="宋体"/>
          <w:szCs w:val="21"/>
        </w:rPr>
        <w:t>（4）乙方实际跟进该项目的评估人员与附件3人员名单不符，经甲方书面提出更换评估人员要求后，乙方仍不予更换或更换后的评估人员履历非优于附件3评估人员履历的；</w:t>
      </w:r>
    </w:p>
    <w:p>
      <w:pPr>
        <w:snapToGrid w:val="0"/>
        <w:spacing w:line="360" w:lineRule="auto"/>
        <w:ind w:firstLine="420" w:firstLineChars="200"/>
        <w:rPr>
          <w:rFonts w:ascii="宋体" w:hAnsi="宋体" w:cs="宋体"/>
          <w:szCs w:val="21"/>
        </w:rPr>
      </w:pPr>
      <w:r>
        <w:rPr>
          <w:rFonts w:hint="eastAsia"/>
        </w:rPr>
        <w:t>（5）乙方将本合同义务全部或部分转让给第三方的。</w:t>
      </w:r>
    </w:p>
    <w:p>
      <w:pPr>
        <w:snapToGrid w:val="0"/>
        <w:spacing w:line="360" w:lineRule="auto"/>
        <w:ind w:firstLine="420" w:firstLineChars="200"/>
        <w:rPr>
          <w:rFonts w:ascii="宋体" w:hAnsi="宋体" w:cs="宋体"/>
          <w:szCs w:val="21"/>
        </w:rPr>
      </w:pPr>
      <w:r>
        <w:rPr>
          <w:rFonts w:hint="eastAsia" w:ascii="宋体" w:hAnsi="宋体" w:cs="宋体"/>
          <w:szCs w:val="21"/>
        </w:rPr>
        <w:t>4.甲方、产权持有人或其他相关当事人发现评估报告并非由承办该项业务的资产评估师签名的，视为乙方虚假提供评估报告，甲方有权拒收评估报告并拒绝支付合同款项，且保留向有关行政管理部门或行业协会举报和投诉的权利。</w:t>
      </w:r>
    </w:p>
    <w:p>
      <w:pPr>
        <w:snapToGrid w:val="0"/>
        <w:spacing w:line="360" w:lineRule="auto"/>
        <w:ind w:firstLine="420" w:firstLineChars="200"/>
        <w:rPr>
          <w:rFonts w:ascii="宋体" w:hAnsi="宋体" w:cs="宋体"/>
          <w:szCs w:val="21"/>
        </w:rPr>
      </w:pPr>
      <w:r>
        <w:rPr>
          <w:rFonts w:hint="eastAsia" w:ascii="宋体" w:hAnsi="宋体" w:cs="宋体"/>
          <w:szCs w:val="21"/>
        </w:rPr>
        <w:t>5.乙方及其工作人员未经甲方书面许可，将评估报告内容、甲方或被评估单位提供的有关文件资料和商业秘密向第三方提供或者公开的，应按合同价的20%向甲方支付违约金，违约金不足以弥补甲方损失的，乙方应当予以补足；情节严重的，甲方还将依法向乙方追究刑事责任。</w:t>
      </w:r>
    </w:p>
    <w:p>
      <w:pPr>
        <w:snapToGrid w:val="0"/>
        <w:spacing w:line="360" w:lineRule="auto"/>
        <w:ind w:firstLine="420" w:firstLineChars="200"/>
        <w:rPr>
          <w:rFonts w:ascii="宋体" w:hAnsi="宋体" w:cs="宋体"/>
          <w:szCs w:val="21"/>
        </w:rPr>
      </w:pPr>
      <w:r>
        <w:rPr>
          <w:rFonts w:hint="eastAsia" w:ascii="宋体" w:hAnsi="宋体" w:cs="宋体"/>
          <w:szCs w:val="21"/>
        </w:rPr>
        <w:t>6.乙方出具的评估报告不符合国家或地方有关资产评估的法律、行政法规和行业协会的有关规定，或存在虚假、重大遗漏的，甲方有权单方解除本合同，乙方应返还已收取的全部费用，按实赔偿因此给甲方造成的经济损失，并承担相应的法律责任。</w:t>
      </w:r>
    </w:p>
    <w:p>
      <w:pPr>
        <w:snapToGrid w:val="0"/>
        <w:spacing w:line="360" w:lineRule="auto"/>
        <w:ind w:firstLine="420" w:firstLineChars="200"/>
        <w:rPr>
          <w:rFonts w:ascii="宋体" w:hAnsi="宋体" w:cs="宋体"/>
          <w:szCs w:val="21"/>
        </w:rPr>
      </w:pPr>
      <w:r>
        <w:rPr>
          <w:rFonts w:hint="eastAsia" w:ascii="宋体" w:hAnsi="宋体" w:cs="宋体"/>
          <w:szCs w:val="21"/>
        </w:rPr>
        <w:t>7.未经甲方书面允许，乙方逾期交付评估报告（包含初评结果与终稿）超过10日历天的，甲方有权解除合同，乙方应将已收款项全部退还甲方，并按合同价的20%向甲方支付违约金，因此造成甲方损失的，乙方应按实赔偿。</w:t>
      </w:r>
    </w:p>
    <w:p>
      <w:pPr>
        <w:snapToGrid w:val="0"/>
        <w:spacing w:line="360" w:lineRule="auto"/>
        <w:ind w:firstLine="422" w:firstLineChars="200"/>
        <w:rPr>
          <w:rFonts w:ascii="宋体" w:hAnsi="宋体" w:cs="宋体"/>
          <w:b/>
          <w:bCs/>
          <w:szCs w:val="21"/>
        </w:rPr>
      </w:pPr>
    </w:p>
    <w:p>
      <w:pPr>
        <w:snapToGrid w:val="0"/>
        <w:spacing w:line="360" w:lineRule="auto"/>
        <w:ind w:firstLine="422" w:firstLineChars="200"/>
        <w:outlineLvl w:val="1"/>
        <w:rPr>
          <w:rFonts w:ascii="宋体" w:hAnsi="宋体" w:cs="宋体"/>
          <w:b/>
          <w:bCs/>
          <w:szCs w:val="21"/>
        </w:rPr>
      </w:pPr>
      <w:bookmarkStart w:id="167" w:name="_Toc22007"/>
      <w:bookmarkStart w:id="168" w:name="_Toc11292"/>
      <w:r>
        <w:rPr>
          <w:rFonts w:hint="eastAsia" w:ascii="宋体" w:hAnsi="宋体" w:cs="宋体"/>
          <w:b/>
          <w:bCs/>
          <w:szCs w:val="21"/>
        </w:rPr>
        <w:t>第十一条 争议解决</w:t>
      </w:r>
      <w:bookmarkEnd w:id="167"/>
      <w:bookmarkEnd w:id="168"/>
    </w:p>
    <w:p>
      <w:pPr>
        <w:snapToGrid w:val="0"/>
        <w:spacing w:line="360" w:lineRule="auto"/>
        <w:ind w:firstLine="420" w:firstLineChars="200"/>
        <w:rPr>
          <w:rFonts w:ascii="宋体" w:hAnsi="宋体" w:cs="宋体"/>
          <w:szCs w:val="21"/>
        </w:rPr>
      </w:pPr>
      <w:r>
        <w:rPr>
          <w:rFonts w:hint="eastAsia" w:ascii="宋体" w:hAnsi="宋体" w:cs="宋体"/>
          <w:szCs w:val="21"/>
        </w:rPr>
        <w:t>甲乙双方因履行本合同产生争议，应友好协商解决。协商不成或任何一方不愿协商的，任何一方均可向甲方所在地有管辖权的人民法院提起诉讼。</w:t>
      </w:r>
    </w:p>
    <w:p>
      <w:pPr>
        <w:snapToGrid w:val="0"/>
        <w:spacing w:line="360" w:lineRule="auto"/>
        <w:ind w:firstLine="420" w:firstLineChars="200"/>
        <w:rPr>
          <w:rFonts w:ascii="宋体" w:hAnsi="宋体" w:cs="宋体"/>
          <w:szCs w:val="21"/>
        </w:rPr>
      </w:pPr>
    </w:p>
    <w:p>
      <w:pPr>
        <w:snapToGrid w:val="0"/>
        <w:spacing w:line="360" w:lineRule="auto"/>
        <w:ind w:firstLine="422" w:firstLineChars="200"/>
        <w:outlineLvl w:val="1"/>
        <w:rPr>
          <w:rFonts w:ascii="宋体" w:hAnsi="宋体" w:cs="宋体"/>
          <w:b/>
          <w:bCs/>
          <w:szCs w:val="21"/>
        </w:rPr>
      </w:pPr>
      <w:bookmarkStart w:id="169" w:name="_Toc27954"/>
      <w:bookmarkStart w:id="170" w:name="_Toc23088"/>
      <w:r>
        <w:rPr>
          <w:rFonts w:hint="eastAsia" w:ascii="宋体" w:hAnsi="宋体" w:cs="宋体"/>
          <w:b/>
          <w:bCs/>
          <w:szCs w:val="21"/>
        </w:rPr>
        <w:t>第十二条 其它</w:t>
      </w:r>
      <w:bookmarkEnd w:id="169"/>
      <w:bookmarkEnd w:id="170"/>
    </w:p>
    <w:p>
      <w:pPr>
        <w:snapToGrid w:val="0"/>
        <w:spacing w:line="360" w:lineRule="auto"/>
        <w:ind w:firstLine="420" w:firstLineChars="200"/>
        <w:rPr>
          <w:rFonts w:ascii="宋体" w:hAnsi="宋体" w:cs="宋体"/>
          <w:szCs w:val="21"/>
        </w:rPr>
      </w:pPr>
      <w:r>
        <w:rPr>
          <w:rFonts w:hint="eastAsia" w:ascii="宋体" w:hAnsi="宋体" w:cs="宋体"/>
          <w:szCs w:val="21"/>
        </w:rPr>
        <w:t>1.由不可抗力因素致使合同无法履行时的，</w:t>
      </w:r>
      <w:bookmarkStart w:id="171" w:name="_Hlk117016114"/>
      <w:r>
        <w:rPr>
          <w:rFonts w:hint="eastAsia" w:ascii="宋体" w:hAnsi="宋体" w:cs="宋体"/>
          <w:szCs w:val="21"/>
        </w:rPr>
        <w:t>受不可抗力影响的一方应立即通知对方，并采取必要措施防止损失扩大，同时</w:t>
      </w:r>
      <w:bookmarkEnd w:id="171"/>
      <w:r>
        <w:rPr>
          <w:rFonts w:hint="eastAsia" w:ascii="宋体" w:hAnsi="宋体" w:cs="宋体"/>
          <w:szCs w:val="21"/>
        </w:rPr>
        <w:t>甲乙双方应及时协商解决。本条所指不可抗力包括因战争、动乱</w:t>
      </w:r>
      <w:bookmarkStart w:id="172" w:name="_Hlk117016124"/>
      <w:r>
        <w:rPr>
          <w:rFonts w:hint="eastAsia" w:ascii="宋体" w:hAnsi="宋体" w:cs="宋体"/>
          <w:szCs w:val="21"/>
        </w:rPr>
        <w:t>、疫情</w:t>
      </w:r>
      <w:bookmarkEnd w:id="172"/>
      <w:r>
        <w:rPr>
          <w:rFonts w:hint="eastAsia" w:ascii="宋体" w:hAnsi="宋体" w:cs="宋体"/>
          <w:szCs w:val="21"/>
        </w:rPr>
        <w:t>或其他非甲乙方责任造成的爆炸、火灾及其他不能预见、不能避免且不能克服的客观情况。</w:t>
      </w:r>
    </w:p>
    <w:p>
      <w:pPr>
        <w:snapToGrid w:val="0"/>
        <w:spacing w:line="360" w:lineRule="auto"/>
        <w:ind w:firstLine="420" w:firstLineChars="200"/>
        <w:rPr>
          <w:rFonts w:ascii="宋体" w:hAnsi="宋体" w:cs="宋体"/>
          <w:szCs w:val="21"/>
        </w:rPr>
      </w:pPr>
      <w:r>
        <w:rPr>
          <w:rFonts w:hint="eastAsia" w:ascii="宋体" w:hAnsi="宋体" w:cs="宋体"/>
          <w:szCs w:val="21"/>
        </w:rPr>
        <w:t>2.本委托合同签订后，评估目的、评估对象、评估基准日发生变化，或者评估范围发生重大变化，双方应签订补充协议或者重新签订委托合同。</w:t>
      </w:r>
    </w:p>
    <w:p>
      <w:pPr>
        <w:snapToGrid w:val="0"/>
        <w:spacing w:line="360" w:lineRule="auto"/>
        <w:ind w:firstLine="420" w:firstLineChars="200"/>
        <w:rPr>
          <w:rFonts w:ascii="宋体" w:hAnsi="宋体" w:cs="宋体"/>
          <w:szCs w:val="21"/>
        </w:rPr>
      </w:pPr>
      <w:r>
        <w:rPr>
          <w:rFonts w:hint="eastAsia" w:ascii="宋体" w:hAnsi="宋体" w:cs="宋体"/>
          <w:szCs w:val="21"/>
        </w:rPr>
        <w:t>3.本合同未尽事宜，甲乙双方可协商并签订补充合同，补充合同与本合同同具法律效力。</w:t>
      </w:r>
    </w:p>
    <w:p>
      <w:pPr>
        <w:snapToGrid w:val="0"/>
        <w:spacing w:line="360" w:lineRule="auto"/>
        <w:ind w:firstLine="420" w:firstLineChars="200"/>
        <w:rPr>
          <w:rFonts w:ascii="宋体" w:hAnsi="宋体" w:cs="宋体"/>
          <w:szCs w:val="21"/>
        </w:rPr>
      </w:pPr>
      <w:bookmarkStart w:id="173" w:name="_Toc10525"/>
      <w:bookmarkStart w:id="174" w:name="_Toc31742"/>
      <w:r>
        <w:rPr>
          <w:rFonts w:hint="eastAsia" w:ascii="宋体" w:hAnsi="宋体" w:cs="宋体"/>
          <w:szCs w:val="21"/>
        </w:rPr>
        <w:t>4.本合同自甲乙双方法定代表人签字并盖章之日起生效。</w:t>
      </w:r>
      <w:bookmarkEnd w:id="173"/>
      <w:bookmarkEnd w:id="174"/>
    </w:p>
    <w:p>
      <w:pPr>
        <w:snapToGrid w:val="0"/>
        <w:spacing w:line="360" w:lineRule="auto"/>
        <w:ind w:firstLine="420" w:firstLineChars="200"/>
        <w:rPr>
          <w:rFonts w:ascii="宋体" w:hAnsi="宋体" w:cs="宋体"/>
          <w:szCs w:val="21"/>
        </w:rPr>
      </w:pPr>
      <w:r>
        <w:rPr>
          <w:rFonts w:hint="eastAsia" w:ascii="宋体" w:hAnsi="宋体" w:cs="宋体"/>
          <w:szCs w:val="21"/>
        </w:rPr>
        <w:t>5.本合同一式【】份，甲方执【】份，乙方执【】份，均具有同等法律效力。</w:t>
      </w:r>
    </w:p>
    <w:p>
      <w:pPr>
        <w:snapToGrid w:val="0"/>
        <w:spacing w:line="360" w:lineRule="auto"/>
        <w:ind w:firstLine="420" w:firstLineChars="200"/>
        <w:rPr>
          <w:rFonts w:ascii="宋体" w:hAnsi="宋体" w:cs="宋体"/>
          <w:szCs w:val="21"/>
        </w:rPr>
      </w:pPr>
      <w:r>
        <w:rPr>
          <w:rFonts w:hint="eastAsia" w:ascii="宋体" w:hAnsi="宋体" w:cs="宋体"/>
          <w:szCs w:val="21"/>
        </w:rPr>
        <w:t>6.本合同附件为本合同不可分割内容，与本合同同时生效、同具法律效力。当本合同附件与本合同内容不一致时，以本合同为准。</w:t>
      </w:r>
    </w:p>
    <w:p>
      <w:pPr>
        <w:tabs>
          <w:tab w:val="left" w:pos="4678"/>
        </w:tabs>
        <w:snapToGrid w:val="0"/>
        <w:spacing w:line="360" w:lineRule="auto"/>
        <w:ind w:firstLine="420" w:firstLineChars="200"/>
        <w:outlineLvl w:val="1"/>
        <w:rPr>
          <w:rFonts w:ascii="宋体" w:hAnsi="宋体" w:cs="宋体"/>
          <w:szCs w:val="21"/>
        </w:rPr>
      </w:pPr>
      <w:bookmarkStart w:id="175" w:name="_Toc13589"/>
      <w:bookmarkStart w:id="176" w:name="_Toc2639"/>
      <w:r>
        <w:rPr>
          <w:rFonts w:hint="eastAsia" w:ascii="宋体" w:hAnsi="宋体" w:cs="宋体"/>
          <w:szCs w:val="21"/>
        </w:rPr>
        <w:t>附件1：</w:t>
      </w:r>
      <w:bookmarkEnd w:id="175"/>
      <w:bookmarkEnd w:id="176"/>
      <w:r>
        <w:rPr>
          <w:rFonts w:hint="eastAsia" w:ascii="宋体" w:hAnsi="宋体" w:cs="宋体"/>
          <w:szCs w:val="21"/>
        </w:rPr>
        <w:t>阳光合作告知函</w:t>
      </w:r>
    </w:p>
    <w:p>
      <w:pPr>
        <w:tabs>
          <w:tab w:val="left" w:pos="4678"/>
        </w:tabs>
        <w:snapToGrid w:val="0"/>
        <w:spacing w:line="360" w:lineRule="auto"/>
        <w:ind w:firstLine="420" w:firstLineChars="200"/>
        <w:rPr>
          <w:rFonts w:ascii="宋体" w:hAnsi="宋体" w:cs="宋体"/>
          <w:szCs w:val="21"/>
        </w:rPr>
      </w:pPr>
      <w:r>
        <w:rPr>
          <w:rFonts w:hint="eastAsia" w:ascii="宋体" w:hAnsi="宋体" w:cs="宋体"/>
          <w:szCs w:val="21"/>
        </w:rPr>
        <w:t>附件2：</w:t>
      </w:r>
      <w:r>
        <w:rPr>
          <w:rFonts w:hint="eastAsia" w:ascii="宋体" w:hAnsi="宋体" w:cs="宋体"/>
          <w:bCs/>
          <w:szCs w:val="21"/>
        </w:rPr>
        <w:t>用户需求书</w:t>
      </w:r>
    </w:p>
    <w:p>
      <w:pPr>
        <w:widowControl/>
        <w:snapToGrid w:val="0"/>
        <w:spacing w:line="360" w:lineRule="auto"/>
        <w:ind w:firstLine="420" w:firstLineChars="200"/>
        <w:jc w:val="left"/>
        <w:rPr>
          <w:rFonts w:ascii="宋体" w:hAnsi="宋体" w:cs="宋体"/>
          <w:szCs w:val="21"/>
        </w:rPr>
      </w:pPr>
      <w:r>
        <w:rPr>
          <w:rFonts w:hint="eastAsia" w:ascii="宋体" w:hAnsi="宋体" w:cs="宋体"/>
          <w:szCs w:val="21"/>
        </w:rPr>
        <w:t>附件3：报价文件（含投入本项目资产评估师人员名单）</w:t>
      </w:r>
    </w:p>
    <w:p>
      <w:pPr>
        <w:snapToGrid w:val="0"/>
        <w:spacing w:line="360" w:lineRule="auto"/>
      </w:pPr>
      <w:r>
        <w:rPr>
          <w:rFonts w:hint="eastAsia" w:ascii="宋体" w:hAnsi="宋体" w:cs="宋体"/>
          <w:szCs w:val="21"/>
        </w:rPr>
        <w:t>（以下无正文，为本合同签署栏）</w:t>
      </w:r>
    </w:p>
    <w:p>
      <w:pPr>
        <w:pStyle w:val="3"/>
        <w:ind w:firstLine="210"/>
      </w:pPr>
    </w:p>
    <w:tbl>
      <w:tblPr>
        <w:tblStyle w:val="17"/>
        <w:tblW w:w="9804" w:type="dxa"/>
        <w:tblInd w:w="-2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32"/>
        <w:gridCol w:w="240"/>
        <w:gridCol w:w="4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4632" w:type="dxa"/>
            <w:tcBorders>
              <w:tl2br w:val="nil"/>
              <w:tr2bl w:val="nil"/>
            </w:tcBorders>
          </w:tcPr>
          <w:p>
            <w:pPr>
              <w:widowControl/>
              <w:spacing w:line="360" w:lineRule="auto"/>
              <w:jc w:val="left"/>
              <w:rPr>
                <w:rFonts w:ascii="宋体" w:hAnsi="宋体" w:cs="宋体"/>
                <w:szCs w:val="21"/>
              </w:rPr>
            </w:pPr>
            <w:r>
              <w:rPr>
                <w:rFonts w:hint="eastAsia" w:ascii="宋体" w:hAnsi="宋体" w:cs="宋体"/>
                <w:szCs w:val="21"/>
              </w:rPr>
              <w:t>甲方（盖章）：</w:t>
            </w:r>
          </w:p>
        </w:tc>
        <w:tc>
          <w:tcPr>
            <w:tcW w:w="240" w:type="dxa"/>
            <w:tcBorders>
              <w:tl2br w:val="nil"/>
              <w:tr2bl w:val="nil"/>
            </w:tcBorders>
          </w:tcPr>
          <w:p>
            <w:pPr>
              <w:widowControl/>
              <w:spacing w:line="360" w:lineRule="auto"/>
              <w:jc w:val="left"/>
              <w:rPr>
                <w:rFonts w:ascii="宋体" w:hAnsi="宋体" w:cs="宋体"/>
                <w:szCs w:val="21"/>
              </w:rPr>
            </w:pPr>
          </w:p>
        </w:tc>
        <w:tc>
          <w:tcPr>
            <w:tcW w:w="4932" w:type="dxa"/>
            <w:tcBorders>
              <w:tl2br w:val="nil"/>
              <w:tr2bl w:val="nil"/>
            </w:tcBorders>
          </w:tcPr>
          <w:p>
            <w:pPr>
              <w:widowControl/>
              <w:spacing w:line="360" w:lineRule="auto"/>
              <w:jc w:val="left"/>
              <w:rPr>
                <w:rFonts w:ascii="宋体" w:hAnsi="宋体" w:cs="宋体"/>
                <w:szCs w:val="21"/>
              </w:rPr>
            </w:pPr>
            <w:r>
              <w:rPr>
                <w:rFonts w:hint="eastAsia" w:ascii="宋体" w:hAnsi="宋体" w:cs="宋体"/>
                <w:szCs w:val="21"/>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4632" w:type="dxa"/>
            <w:tcBorders>
              <w:tl2br w:val="nil"/>
              <w:tr2bl w:val="nil"/>
            </w:tcBorders>
          </w:tcPr>
          <w:p>
            <w:pPr>
              <w:widowControl/>
              <w:spacing w:line="360" w:lineRule="auto"/>
              <w:jc w:val="left"/>
              <w:rPr>
                <w:rFonts w:ascii="宋体" w:hAnsi="宋体" w:cs="宋体"/>
                <w:szCs w:val="21"/>
              </w:rPr>
            </w:pPr>
            <w:r>
              <w:rPr>
                <w:rFonts w:hint="eastAsia" w:ascii="宋体" w:hAnsi="宋体" w:cs="宋体"/>
                <w:szCs w:val="21"/>
              </w:rPr>
              <w:t>法定代表人：</w:t>
            </w:r>
          </w:p>
        </w:tc>
        <w:tc>
          <w:tcPr>
            <w:tcW w:w="240" w:type="dxa"/>
            <w:tcBorders>
              <w:tl2br w:val="nil"/>
              <w:tr2bl w:val="nil"/>
            </w:tcBorders>
          </w:tcPr>
          <w:p>
            <w:pPr>
              <w:widowControl/>
              <w:spacing w:line="360" w:lineRule="auto"/>
              <w:jc w:val="left"/>
              <w:rPr>
                <w:rFonts w:ascii="宋体" w:hAnsi="宋体" w:cs="宋体"/>
                <w:szCs w:val="21"/>
              </w:rPr>
            </w:pPr>
          </w:p>
        </w:tc>
        <w:tc>
          <w:tcPr>
            <w:tcW w:w="4932" w:type="dxa"/>
            <w:tcBorders>
              <w:tl2br w:val="nil"/>
              <w:tr2bl w:val="nil"/>
            </w:tcBorders>
          </w:tcPr>
          <w:p>
            <w:pPr>
              <w:widowControl/>
              <w:spacing w:line="360" w:lineRule="auto"/>
              <w:jc w:val="left"/>
              <w:rPr>
                <w:rFonts w:ascii="宋体" w:hAnsi="宋体" w:cs="宋体"/>
                <w:szCs w:val="21"/>
              </w:rPr>
            </w:pPr>
            <w:r>
              <w:rPr>
                <w:rFonts w:hint="eastAsia" w:ascii="宋体" w:hAnsi="宋体" w:cs="宋体"/>
                <w:szCs w:val="21"/>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4632" w:type="dxa"/>
            <w:tcBorders>
              <w:tl2br w:val="nil"/>
              <w:tr2bl w:val="nil"/>
            </w:tcBorders>
          </w:tcPr>
          <w:p>
            <w:pPr>
              <w:widowControl/>
              <w:spacing w:line="360" w:lineRule="auto"/>
              <w:jc w:val="left"/>
              <w:rPr>
                <w:rFonts w:ascii="宋体" w:hAnsi="宋体" w:cs="宋体"/>
                <w:szCs w:val="21"/>
              </w:rPr>
            </w:pPr>
            <w:r>
              <w:rPr>
                <w:rFonts w:hint="eastAsia" w:ascii="宋体" w:hAnsi="宋体" w:cs="宋体"/>
                <w:szCs w:val="21"/>
              </w:rPr>
              <w:t>签订日期：    年  月  日</w:t>
            </w:r>
          </w:p>
        </w:tc>
        <w:tc>
          <w:tcPr>
            <w:tcW w:w="240" w:type="dxa"/>
            <w:tcBorders>
              <w:tl2br w:val="nil"/>
              <w:tr2bl w:val="nil"/>
            </w:tcBorders>
          </w:tcPr>
          <w:p>
            <w:pPr>
              <w:widowControl/>
              <w:spacing w:line="360" w:lineRule="auto"/>
              <w:jc w:val="left"/>
              <w:rPr>
                <w:rFonts w:ascii="宋体" w:hAnsi="宋体" w:cs="宋体"/>
                <w:szCs w:val="21"/>
              </w:rPr>
            </w:pPr>
          </w:p>
        </w:tc>
        <w:tc>
          <w:tcPr>
            <w:tcW w:w="4932" w:type="dxa"/>
            <w:tcBorders>
              <w:tl2br w:val="nil"/>
              <w:tr2bl w:val="nil"/>
            </w:tcBorders>
          </w:tcPr>
          <w:p>
            <w:pPr>
              <w:widowControl/>
              <w:spacing w:line="360" w:lineRule="auto"/>
              <w:jc w:val="left"/>
              <w:rPr>
                <w:rFonts w:ascii="宋体" w:hAnsi="宋体" w:cs="宋体"/>
                <w:szCs w:val="21"/>
              </w:rPr>
            </w:pPr>
            <w:r>
              <w:rPr>
                <w:rFonts w:hint="eastAsia" w:ascii="宋体" w:hAnsi="宋体" w:cs="宋体"/>
                <w:szCs w:val="21"/>
              </w:rPr>
              <w:t>签订日期：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632" w:type="dxa"/>
            <w:tcBorders>
              <w:tl2br w:val="nil"/>
              <w:tr2bl w:val="nil"/>
            </w:tcBorders>
          </w:tcPr>
          <w:p>
            <w:pPr>
              <w:widowControl/>
              <w:spacing w:line="360" w:lineRule="auto"/>
              <w:jc w:val="left"/>
              <w:rPr>
                <w:rFonts w:ascii="宋体" w:hAnsi="宋体" w:cs="宋体"/>
                <w:szCs w:val="21"/>
              </w:rPr>
            </w:pPr>
            <w:r>
              <w:rPr>
                <w:rFonts w:hint="eastAsia" w:ascii="宋体" w:hAnsi="宋体" w:cs="宋体"/>
                <w:szCs w:val="21"/>
              </w:rPr>
              <w:t>签约地点：东莞市南城街道</w:t>
            </w:r>
          </w:p>
        </w:tc>
        <w:tc>
          <w:tcPr>
            <w:tcW w:w="240" w:type="dxa"/>
            <w:tcBorders>
              <w:tl2br w:val="nil"/>
              <w:tr2bl w:val="nil"/>
            </w:tcBorders>
          </w:tcPr>
          <w:p>
            <w:pPr>
              <w:widowControl/>
              <w:spacing w:line="360" w:lineRule="auto"/>
              <w:jc w:val="left"/>
              <w:rPr>
                <w:rFonts w:ascii="宋体" w:hAnsi="宋体" w:cs="宋体"/>
                <w:szCs w:val="21"/>
              </w:rPr>
            </w:pPr>
          </w:p>
        </w:tc>
        <w:tc>
          <w:tcPr>
            <w:tcW w:w="4932" w:type="dxa"/>
            <w:tcBorders>
              <w:tl2br w:val="nil"/>
              <w:tr2bl w:val="nil"/>
            </w:tcBorders>
          </w:tcPr>
          <w:p>
            <w:pPr>
              <w:widowControl/>
              <w:spacing w:line="360" w:lineRule="auto"/>
              <w:jc w:val="left"/>
              <w:rPr>
                <w:rFonts w:ascii="宋体" w:hAnsi="宋体" w:cs="宋体"/>
                <w:szCs w:val="21"/>
              </w:rPr>
            </w:pPr>
          </w:p>
        </w:tc>
      </w:tr>
    </w:tbl>
    <w:p>
      <w:pPr>
        <w:pageBreakBefore/>
        <w:autoSpaceDE w:val="0"/>
        <w:autoSpaceDN w:val="0"/>
        <w:adjustRightInd w:val="0"/>
        <w:spacing w:line="360" w:lineRule="auto"/>
        <w:ind w:left="238"/>
        <w:jc w:val="left"/>
        <w:rPr>
          <w:rFonts w:hint="eastAsia" w:ascii="宋体" w:hAnsi="宋体" w:eastAsia="宋体"/>
          <w:b/>
          <w:color w:val="auto"/>
          <w:kern w:val="0"/>
          <w:sz w:val="24"/>
          <w:highlight w:val="none"/>
        </w:rPr>
      </w:pPr>
      <w:r>
        <w:rPr>
          <w:rFonts w:hint="eastAsia" w:ascii="宋体" w:hAnsi="宋体" w:eastAsia="宋体"/>
          <w:b/>
          <w:color w:val="auto"/>
          <w:kern w:val="0"/>
          <w:sz w:val="24"/>
          <w:highlight w:val="none"/>
        </w:rPr>
        <w:t>附件</w:t>
      </w:r>
      <w:r>
        <w:rPr>
          <w:rFonts w:hint="eastAsia" w:ascii="宋体" w:hAnsi="宋体"/>
          <w:b/>
          <w:color w:val="auto"/>
          <w:kern w:val="0"/>
          <w:sz w:val="24"/>
          <w:highlight w:val="none"/>
          <w:lang w:val="en-US" w:eastAsia="zh-CN"/>
        </w:rPr>
        <w:t>1</w:t>
      </w:r>
      <w:r>
        <w:rPr>
          <w:rFonts w:hint="eastAsia" w:ascii="宋体" w:hAnsi="宋体" w:eastAsia="宋体"/>
          <w:b/>
          <w:color w:val="auto"/>
          <w:kern w:val="0"/>
          <w:sz w:val="24"/>
          <w:highlight w:val="none"/>
        </w:rPr>
        <w:t>：阳光合作告知函</w:t>
      </w:r>
      <w:bookmarkEnd w:id="140"/>
      <w:bookmarkEnd w:id="141"/>
      <w:bookmarkEnd w:id="142"/>
      <w:bookmarkEnd w:id="143"/>
      <w:bookmarkEnd w:id="144"/>
    </w:p>
    <w:p>
      <w:pPr>
        <w:spacing w:line="580" w:lineRule="exact"/>
        <w:jc w:val="center"/>
        <w:rPr>
          <w:rFonts w:eastAsia="方正小标宋简体"/>
          <w:bCs/>
          <w:color w:val="000000"/>
          <w:sz w:val="44"/>
          <w:szCs w:val="44"/>
        </w:rPr>
      </w:pPr>
      <w:r>
        <w:rPr>
          <w:rFonts w:eastAsia="方正小标宋简体"/>
          <w:bCs/>
          <w:color w:val="000000"/>
          <w:sz w:val="44"/>
          <w:szCs w:val="44"/>
        </w:rPr>
        <w:t>阳光合作告知函</w:t>
      </w:r>
    </w:p>
    <w:p>
      <w:pPr>
        <w:spacing w:line="560" w:lineRule="exact"/>
        <w:rPr>
          <w:rFonts w:eastAsia="仿宋_GB2312"/>
          <w:b/>
          <w:bCs/>
          <w:sz w:val="32"/>
          <w:szCs w:val="32"/>
        </w:rPr>
      </w:pPr>
    </w:p>
    <w:p>
      <w:pPr>
        <w:spacing w:line="560" w:lineRule="exact"/>
        <w:rPr>
          <w:rFonts w:ascii="宋体" w:hAnsi="宋体" w:cs="宋体"/>
          <w:szCs w:val="21"/>
        </w:rPr>
      </w:pPr>
      <w:r>
        <w:rPr>
          <w:rFonts w:hint="eastAsia" w:ascii="宋体" w:hAnsi="宋体" w:cs="宋体"/>
          <w:b/>
          <w:bCs/>
          <w:szCs w:val="21"/>
        </w:rPr>
        <w:t>项目名称：</w:t>
      </w:r>
      <w:r>
        <w:rPr>
          <w:rFonts w:hint="eastAsia" w:ascii="宋体" w:hAnsi="宋体" w:cs="宋体"/>
          <w:szCs w:val="21"/>
        </w:rPr>
        <w:t xml:space="preserve">                 （采购编号：</w:t>
      </w:r>
      <w:r>
        <w:rPr>
          <w:rFonts w:hint="eastAsia" w:ascii="宋体" w:hAnsi="宋体" w:cs="宋体"/>
          <w:szCs w:val="21"/>
          <w:u w:val="single"/>
        </w:rPr>
        <w:t xml:space="preserve">            </w:t>
      </w:r>
      <w:r>
        <w:rPr>
          <w:rFonts w:hint="eastAsia" w:ascii="宋体" w:hAnsi="宋体" w:cs="宋体"/>
          <w:szCs w:val="21"/>
        </w:rPr>
        <w:t>）</w:t>
      </w:r>
    </w:p>
    <w:p>
      <w:pPr>
        <w:pStyle w:val="53"/>
        <w:snapToGrid w:val="0"/>
        <w:spacing w:line="580" w:lineRule="exact"/>
        <w:ind w:firstLine="0"/>
        <w:rPr>
          <w:rFonts w:ascii="宋体" w:hAnsi="宋体" w:cs="宋体"/>
          <w:color w:val="000000"/>
          <w:u w:val="single"/>
        </w:rPr>
      </w:pPr>
      <w:r>
        <w:rPr>
          <w:rFonts w:hint="eastAsia" w:ascii="宋体" w:hAnsi="宋体" w:cs="宋体"/>
          <w:color w:val="000000"/>
          <w:u w:val="single"/>
        </w:rPr>
        <w:t xml:space="preserve">                   </w:t>
      </w:r>
      <w:r>
        <w:rPr>
          <w:rFonts w:hint="eastAsia" w:ascii="宋体" w:hAnsi="宋体" w:cs="宋体"/>
          <w:color w:val="000000"/>
        </w:rPr>
        <w:t xml:space="preserve">：                          </w:t>
      </w:r>
    </w:p>
    <w:p>
      <w:pPr>
        <w:pStyle w:val="53"/>
        <w:snapToGrid w:val="0"/>
        <w:spacing w:line="580" w:lineRule="exact"/>
        <w:ind w:firstLine="420" w:firstLineChars="200"/>
        <w:rPr>
          <w:rFonts w:ascii="宋体" w:hAnsi="宋体" w:cs="宋体"/>
        </w:rPr>
      </w:pPr>
      <w:r>
        <w:rPr>
          <w:rFonts w:hint="eastAsia" w:ascii="宋体" w:hAnsi="宋体" w:cs="宋体"/>
        </w:rPr>
        <w:t>为保证我集团人员廉洁从业，规范和鼓励诚信交易行为，防止腐败和商业贿赂发生，推动双方建立阳光合作关系，现将我方推行阳光合作的相关管理规定函告如下：</w:t>
      </w:r>
    </w:p>
    <w:p>
      <w:pPr>
        <w:pStyle w:val="53"/>
        <w:snapToGrid w:val="0"/>
        <w:spacing w:line="580" w:lineRule="exact"/>
        <w:ind w:firstLine="420" w:firstLineChars="200"/>
        <w:rPr>
          <w:rFonts w:ascii="宋体" w:hAnsi="宋体" w:cs="宋体"/>
        </w:rPr>
      </w:pPr>
      <w:r>
        <w:rPr>
          <w:rFonts w:hint="eastAsia" w:ascii="宋体" w:hAnsi="宋体" w:cs="宋体"/>
        </w:rPr>
        <w:t>一、我方负责对本单位有关人员进行阳光合作教育和管理。</w:t>
      </w:r>
    </w:p>
    <w:p>
      <w:pPr>
        <w:pStyle w:val="53"/>
        <w:snapToGrid w:val="0"/>
        <w:spacing w:line="580" w:lineRule="exact"/>
        <w:ind w:firstLine="420" w:firstLineChars="200"/>
        <w:rPr>
          <w:rFonts w:ascii="宋体" w:hAnsi="宋体" w:cs="宋体"/>
        </w:rPr>
      </w:pPr>
      <w:r>
        <w:rPr>
          <w:rFonts w:hint="eastAsia" w:ascii="宋体" w:hAnsi="宋体" w:cs="宋体"/>
        </w:rPr>
        <w:t>二、我方人员有责任向贵方介绍本单位有关阳光合作的相关规定。</w:t>
      </w:r>
    </w:p>
    <w:p>
      <w:pPr>
        <w:pStyle w:val="53"/>
        <w:snapToGrid w:val="0"/>
        <w:spacing w:line="580" w:lineRule="exact"/>
        <w:ind w:firstLine="420" w:firstLineChars="200"/>
        <w:rPr>
          <w:rFonts w:ascii="宋体" w:hAnsi="宋体" w:cs="宋体"/>
        </w:rPr>
      </w:pPr>
      <w:r>
        <w:rPr>
          <w:rFonts w:hint="eastAsia" w:ascii="宋体" w:hAnsi="宋体" w:cs="宋体"/>
        </w:rPr>
        <w:t>三、我方人员应本着诚实守信、公平公开、平等互利原则开展交易合作，遵守国家相关法律法规。</w:t>
      </w:r>
    </w:p>
    <w:p>
      <w:pPr>
        <w:pStyle w:val="53"/>
        <w:snapToGrid w:val="0"/>
        <w:spacing w:line="580" w:lineRule="exact"/>
        <w:ind w:firstLine="420" w:firstLineChars="200"/>
        <w:rPr>
          <w:rFonts w:ascii="宋体" w:hAnsi="宋体" w:cs="宋体"/>
        </w:rPr>
      </w:pPr>
      <w:r>
        <w:rPr>
          <w:rFonts w:hint="eastAsia" w:ascii="宋体" w:hAnsi="宋体" w:cs="宋体"/>
        </w:rPr>
        <w:t>四、我方人员应廉洁从业，自觉抵制商业贿赂及不正当交易行为，在交易业务中涉及本人、亲属或其他相关人员时，应主动提请回避。</w:t>
      </w:r>
    </w:p>
    <w:p>
      <w:pPr>
        <w:pStyle w:val="53"/>
        <w:snapToGrid w:val="0"/>
        <w:spacing w:line="580" w:lineRule="exact"/>
        <w:ind w:firstLine="420" w:firstLineChars="200"/>
        <w:rPr>
          <w:rFonts w:ascii="宋体" w:hAnsi="宋体" w:cs="宋体"/>
        </w:rPr>
      </w:pPr>
      <w:r>
        <w:rPr>
          <w:rFonts w:hint="eastAsia" w:ascii="宋体" w:hAnsi="宋体" w:cs="宋体"/>
        </w:rPr>
        <w:t>五、在业务合作过程中，我方人员不得有以下违法违规行为：</w:t>
      </w:r>
    </w:p>
    <w:p>
      <w:pPr>
        <w:pStyle w:val="53"/>
        <w:snapToGrid w:val="0"/>
        <w:spacing w:line="580" w:lineRule="exact"/>
        <w:ind w:firstLine="420" w:firstLineChars="200"/>
        <w:rPr>
          <w:rFonts w:ascii="宋体" w:hAnsi="宋体" w:cs="宋体"/>
        </w:rPr>
      </w:pPr>
      <w:r>
        <w:rPr>
          <w:rFonts w:hint="eastAsia" w:ascii="宋体" w:hAnsi="宋体" w:cs="宋体"/>
        </w:rPr>
        <w:t xml:space="preserve">（一）合作过程中通过各种方式向贵方索贿、行贿，或为亲属、其他相关人员索取其他协助或服务； </w:t>
      </w:r>
    </w:p>
    <w:p>
      <w:pPr>
        <w:pStyle w:val="53"/>
        <w:snapToGrid w:val="0"/>
        <w:spacing w:line="580" w:lineRule="exact"/>
        <w:ind w:firstLine="420" w:firstLineChars="200"/>
        <w:rPr>
          <w:rFonts w:ascii="宋体" w:hAnsi="宋体" w:cs="宋体"/>
        </w:rPr>
      </w:pPr>
      <w:r>
        <w:rPr>
          <w:rFonts w:hint="eastAsia" w:ascii="宋体" w:hAnsi="宋体" w:cs="宋体"/>
        </w:rPr>
        <w:t>（二）合作过程中通过各种方式收受贵方财物、服务，或为他人谋取不正当利益，包括但不限于：实物、现金、有价证券、礼券等有价物品（以下统称“财物”），不得参加贵方提供的旅游或其他可能影响职务廉洁的活动；</w:t>
      </w:r>
    </w:p>
    <w:p>
      <w:pPr>
        <w:pStyle w:val="53"/>
        <w:snapToGrid w:val="0"/>
        <w:spacing w:line="580" w:lineRule="exact"/>
        <w:ind w:firstLine="420" w:firstLineChars="200"/>
        <w:rPr>
          <w:rFonts w:ascii="宋体" w:hAnsi="宋体" w:cs="宋体"/>
        </w:rPr>
      </w:pPr>
      <w:r>
        <w:rPr>
          <w:rFonts w:hint="eastAsia" w:ascii="宋体" w:hAnsi="宋体" w:cs="宋体"/>
        </w:rPr>
        <w:t xml:space="preserve">（三）擅自截留、挪用或侵占贵方财物； </w:t>
      </w:r>
    </w:p>
    <w:p>
      <w:pPr>
        <w:pStyle w:val="53"/>
        <w:snapToGrid w:val="0"/>
        <w:spacing w:line="580" w:lineRule="exact"/>
        <w:ind w:firstLine="420" w:firstLineChars="200"/>
        <w:rPr>
          <w:rFonts w:ascii="宋体" w:hAnsi="宋体" w:cs="宋体"/>
        </w:rPr>
      </w:pPr>
      <w:r>
        <w:rPr>
          <w:rFonts w:hint="eastAsia" w:ascii="宋体" w:hAnsi="宋体" w:cs="宋体"/>
        </w:rPr>
        <w:t xml:space="preserve">（四）以各种形式参与民间借贷，帮助贵方过桥借贷； </w:t>
      </w:r>
    </w:p>
    <w:p>
      <w:pPr>
        <w:pStyle w:val="53"/>
        <w:snapToGrid w:val="0"/>
        <w:spacing w:line="580" w:lineRule="exact"/>
        <w:ind w:firstLine="420" w:firstLineChars="200"/>
        <w:rPr>
          <w:rFonts w:ascii="宋体" w:hAnsi="宋体" w:cs="宋体"/>
        </w:rPr>
      </w:pPr>
      <w:r>
        <w:rPr>
          <w:rFonts w:hint="eastAsia" w:ascii="宋体" w:hAnsi="宋体" w:cs="宋体"/>
        </w:rPr>
        <w:t>（五）参与黄、赌、毒等违法犯罪活动；</w:t>
      </w:r>
    </w:p>
    <w:p>
      <w:pPr>
        <w:pStyle w:val="53"/>
        <w:snapToGrid w:val="0"/>
        <w:spacing w:line="580" w:lineRule="exact"/>
        <w:ind w:firstLine="420" w:firstLineChars="200"/>
        <w:rPr>
          <w:rFonts w:ascii="宋体" w:hAnsi="宋体" w:cs="宋体"/>
        </w:rPr>
      </w:pPr>
      <w:r>
        <w:rPr>
          <w:rFonts w:hint="eastAsia" w:ascii="宋体" w:hAnsi="宋体" w:cs="宋体"/>
        </w:rPr>
        <w:t xml:space="preserve">（六）其他违反国家法律法规和违反廉洁从业的行为。 </w:t>
      </w:r>
    </w:p>
    <w:p>
      <w:pPr>
        <w:pStyle w:val="53"/>
        <w:snapToGrid w:val="0"/>
        <w:spacing w:line="580" w:lineRule="exact"/>
        <w:ind w:firstLine="420" w:firstLineChars="200"/>
        <w:rPr>
          <w:rFonts w:ascii="宋体" w:hAnsi="宋体" w:cs="宋体"/>
        </w:rPr>
      </w:pPr>
      <w:r>
        <w:rPr>
          <w:rFonts w:hint="eastAsia" w:ascii="宋体" w:hAnsi="宋体" w:cs="宋体"/>
        </w:rPr>
        <w:t>六、在业务合作期间，我方有权通过回访等方式监督阳光合作执行情况。贵方及贵方人员发现我方任何人员任何形式的行贿、索贿、受贿或其他违反阳光合作的行为，可及时向我方举报。</w:t>
      </w:r>
    </w:p>
    <w:p>
      <w:pPr>
        <w:pStyle w:val="53"/>
        <w:snapToGrid w:val="0"/>
        <w:spacing w:line="580" w:lineRule="exact"/>
        <w:ind w:firstLine="420" w:firstLineChars="200"/>
        <w:rPr>
          <w:rFonts w:ascii="宋体" w:hAnsi="宋体" w:cs="宋体"/>
        </w:rPr>
      </w:pPr>
      <w:r>
        <w:rPr>
          <w:rFonts w:hint="eastAsia" w:ascii="宋体" w:hAnsi="宋体" w:cs="宋体"/>
        </w:rPr>
        <w:t>七、烦请贵方及贵方人员在投诉举报时，积极配合我方的相关调查工作，并提供联系方式等，便于我方纪检监察机构联系与调查核实。我方承诺对贵方的投诉举报人进行保密。</w:t>
      </w:r>
    </w:p>
    <w:p>
      <w:pPr>
        <w:pStyle w:val="53"/>
        <w:snapToGrid w:val="0"/>
        <w:spacing w:line="580" w:lineRule="exact"/>
        <w:ind w:firstLine="420" w:firstLineChars="200"/>
        <w:rPr>
          <w:rFonts w:ascii="宋体" w:hAnsi="宋体" w:cs="宋体"/>
        </w:rPr>
      </w:pPr>
      <w:r>
        <w:rPr>
          <w:rFonts w:hint="eastAsia" w:ascii="宋体" w:hAnsi="宋体" w:cs="宋体"/>
        </w:rPr>
        <w:t>八、贵方投诉举报的情况，经查证属实，我方将视情节轻重和影响恶劣程度对相关人员进行内部处理；构成犯罪的，依法移送司法机关处置，并将调查结果及时向贵方反馈。</w:t>
      </w:r>
    </w:p>
    <w:p>
      <w:pPr>
        <w:pStyle w:val="53"/>
        <w:snapToGrid w:val="0"/>
        <w:spacing w:line="580" w:lineRule="exact"/>
        <w:ind w:firstLine="420" w:firstLineChars="200"/>
        <w:rPr>
          <w:rFonts w:ascii="宋体" w:hAnsi="宋体" w:cs="宋体"/>
        </w:rPr>
      </w:pPr>
      <w:r>
        <w:rPr>
          <w:rFonts w:hint="eastAsia" w:ascii="宋体" w:hAnsi="宋体" w:cs="宋体"/>
        </w:rPr>
        <w:t>九、如贵方经办人员或其他相关人员主动诱使我方人员作出本告知函第五点列明的违法违规行为的，我方有权终止双方的合作，由此造成的损失由贵方承担。</w:t>
      </w:r>
    </w:p>
    <w:p>
      <w:pPr>
        <w:pStyle w:val="53"/>
        <w:snapToGrid w:val="0"/>
        <w:spacing w:line="580" w:lineRule="exact"/>
        <w:ind w:firstLine="420" w:firstLineChars="200"/>
        <w:rPr>
          <w:rFonts w:ascii="宋体" w:hAnsi="宋体" w:cs="宋体"/>
        </w:rPr>
      </w:pPr>
      <w:r>
        <w:rPr>
          <w:rFonts w:hint="eastAsia" w:ascii="宋体" w:hAnsi="宋体" w:cs="宋体"/>
        </w:rPr>
        <w:t>十、我方对如实举报和严格遵守阳光合作精神的合作方，在同等条件下给予后续合作的优先权。</w:t>
      </w:r>
    </w:p>
    <w:p>
      <w:pPr>
        <w:pStyle w:val="53"/>
        <w:snapToGrid w:val="0"/>
        <w:spacing w:line="580" w:lineRule="exact"/>
        <w:ind w:firstLine="420" w:firstLineChars="200"/>
        <w:rPr>
          <w:rFonts w:ascii="宋体" w:hAnsi="宋体" w:cs="宋体"/>
        </w:rPr>
      </w:pPr>
      <w:r>
        <w:rPr>
          <w:rFonts w:hint="eastAsia" w:ascii="宋体" w:hAnsi="宋体" w:cs="宋体"/>
        </w:rPr>
        <w:t>十一、</w:t>
      </w:r>
      <w:bookmarkStart w:id="177" w:name="OLE_LINK1"/>
      <w:r>
        <w:rPr>
          <w:rFonts w:hint="eastAsia" w:ascii="宋体" w:hAnsi="宋体" w:cs="宋体"/>
        </w:rPr>
        <w:t>其他</w:t>
      </w:r>
    </w:p>
    <w:p>
      <w:pPr>
        <w:pStyle w:val="53"/>
        <w:snapToGrid w:val="0"/>
        <w:spacing w:line="580" w:lineRule="exact"/>
        <w:ind w:firstLine="420" w:firstLineChars="200"/>
        <w:rPr>
          <w:rFonts w:ascii="宋体" w:hAnsi="宋体" w:cs="宋体"/>
        </w:rPr>
      </w:pPr>
      <w:r>
        <w:rPr>
          <w:rFonts w:hint="eastAsia" w:ascii="宋体" w:hAnsi="宋体" w:cs="宋体"/>
        </w:rPr>
        <w:t>（一）本告知函所言“其他相关人员”是指经办人以外的与合作项目有直接或间接利益关系的人员，包括但不仅限于项目经办人的亲友。</w:t>
      </w:r>
    </w:p>
    <w:bookmarkEnd w:id="177"/>
    <w:p>
      <w:pPr>
        <w:pStyle w:val="53"/>
        <w:snapToGrid w:val="0"/>
        <w:spacing w:line="580" w:lineRule="exact"/>
        <w:ind w:firstLine="420" w:firstLineChars="200"/>
        <w:rPr>
          <w:rFonts w:ascii="宋体" w:hAnsi="宋体" w:cs="宋体"/>
        </w:rPr>
      </w:pPr>
      <w:r>
        <w:rPr>
          <w:rFonts w:hint="eastAsia" w:ascii="宋体" w:hAnsi="宋体" w:cs="宋体"/>
        </w:rPr>
        <w:t xml:space="preserve">（二）我方常设投诉举报受理部门及联系方式： </w:t>
      </w:r>
    </w:p>
    <w:p>
      <w:pPr>
        <w:pStyle w:val="53"/>
        <w:snapToGrid w:val="0"/>
        <w:spacing w:line="580" w:lineRule="exact"/>
        <w:ind w:firstLine="422" w:firstLineChars="200"/>
        <w:rPr>
          <w:rFonts w:ascii="宋体" w:hAnsi="宋体" w:cs="宋体"/>
        </w:rPr>
      </w:pPr>
      <w:r>
        <w:rPr>
          <w:rFonts w:hint="eastAsia" w:ascii="宋体" w:hAnsi="宋体" w:cs="宋体"/>
          <w:b/>
          <w:bCs/>
        </w:rPr>
        <w:t>1.投诉举报受理部门：</w:t>
      </w:r>
      <w:r>
        <w:rPr>
          <w:rFonts w:hint="eastAsia" w:ascii="宋体" w:hAnsi="宋体" w:cs="宋体"/>
        </w:rPr>
        <w:t>东莞市水务集团有限公司纪检监察部；</w:t>
      </w:r>
    </w:p>
    <w:p>
      <w:pPr>
        <w:pStyle w:val="53"/>
        <w:snapToGrid w:val="0"/>
        <w:spacing w:line="580" w:lineRule="exact"/>
        <w:ind w:firstLine="422" w:firstLineChars="200"/>
        <w:rPr>
          <w:rFonts w:ascii="宋体" w:hAnsi="宋体" w:cs="宋体"/>
        </w:rPr>
      </w:pPr>
      <w:r>
        <w:rPr>
          <w:rFonts w:hint="eastAsia" w:ascii="宋体" w:hAnsi="宋体" w:cs="宋体"/>
          <w:b/>
          <w:bCs/>
        </w:rPr>
        <w:t>2.投诉举报电话：</w:t>
      </w:r>
      <w:r>
        <w:rPr>
          <w:rFonts w:hint="eastAsia" w:ascii="宋体" w:hAnsi="宋体" w:cs="宋体"/>
        </w:rPr>
        <w:t>0769–28823293（星期一至星期五：8:30-17:30）；</w:t>
      </w:r>
    </w:p>
    <w:p>
      <w:pPr>
        <w:pStyle w:val="53"/>
        <w:snapToGrid w:val="0"/>
        <w:spacing w:line="580" w:lineRule="exact"/>
        <w:ind w:firstLine="422" w:firstLineChars="200"/>
        <w:rPr>
          <w:rFonts w:ascii="宋体" w:hAnsi="宋体" w:cs="宋体"/>
        </w:rPr>
      </w:pPr>
      <w:r>
        <w:rPr>
          <w:rFonts w:hint="eastAsia" w:ascii="宋体" w:hAnsi="宋体" w:cs="宋体"/>
          <w:b/>
          <w:bCs/>
        </w:rPr>
        <w:t>3.联系地址：</w:t>
      </w:r>
      <w:r>
        <w:rPr>
          <w:rFonts w:hint="eastAsia" w:ascii="宋体" w:hAnsi="宋体" w:cs="宋体"/>
        </w:rPr>
        <w:t>东莞市东城街道育华路1号；</w:t>
      </w:r>
    </w:p>
    <w:p>
      <w:pPr>
        <w:pStyle w:val="53"/>
        <w:snapToGrid w:val="0"/>
        <w:spacing w:line="580" w:lineRule="exact"/>
        <w:ind w:firstLine="422" w:firstLineChars="200"/>
        <w:rPr>
          <w:rFonts w:ascii="宋体" w:hAnsi="宋体" w:cs="宋体"/>
        </w:rPr>
      </w:pPr>
      <w:r>
        <w:rPr>
          <w:rFonts w:hint="eastAsia" w:ascii="宋体" w:hAnsi="宋体" w:cs="宋体"/>
          <w:b/>
          <w:bCs/>
        </w:rPr>
        <w:t>4.邮编：</w:t>
      </w:r>
      <w:r>
        <w:rPr>
          <w:rFonts w:hint="eastAsia" w:ascii="宋体" w:hAnsi="宋体" w:cs="宋体"/>
        </w:rPr>
        <w:t>523000。</w:t>
      </w:r>
    </w:p>
    <w:p>
      <w:pPr>
        <w:pStyle w:val="53"/>
        <w:snapToGrid w:val="0"/>
        <w:spacing w:line="580" w:lineRule="exact"/>
        <w:ind w:firstLine="420" w:firstLineChars="200"/>
        <w:rPr>
          <w:rFonts w:ascii="宋体" w:hAnsi="宋体" w:cs="宋体"/>
        </w:rPr>
      </w:pPr>
      <w:r>
        <w:rPr>
          <w:rFonts w:hint="eastAsia" w:ascii="宋体" w:hAnsi="宋体" w:cs="宋体"/>
        </w:rPr>
        <w:t>让我们共同为建立健康、公平的商业秩序和实现双赢而努力。</w:t>
      </w:r>
    </w:p>
    <w:p>
      <w:pPr>
        <w:pStyle w:val="53"/>
        <w:snapToGrid w:val="0"/>
        <w:spacing w:line="580" w:lineRule="exact"/>
        <w:ind w:firstLine="420" w:firstLineChars="200"/>
        <w:rPr>
          <w:rFonts w:ascii="宋体" w:hAnsi="宋体" w:cs="宋体"/>
        </w:rPr>
      </w:pPr>
      <w:r>
        <w:rPr>
          <w:rFonts w:hint="eastAsia" w:ascii="宋体" w:hAnsi="宋体" w:cs="宋体"/>
        </w:rPr>
        <w:t>特此致函。</w:t>
      </w:r>
    </w:p>
    <w:p>
      <w:pPr>
        <w:pStyle w:val="53"/>
        <w:snapToGrid w:val="0"/>
        <w:spacing w:line="580" w:lineRule="exact"/>
        <w:ind w:firstLine="420" w:firstLineChars="200"/>
        <w:rPr>
          <w:rFonts w:ascii="宋体" w:hAnsi="宋体" w:cs="宋体"/>
        </w:rPr>
      </w:pPr>
    </w:p>
    <w:p>
      <w:pPr>
        <w:pStyle w:val="53"/>
        <w:snapToGrid w:val="0"/>
        <w:spacing w:line="580" w:lineRule="exact"/>
        <w:ind w:firstLine="420" w:firstLineChars="200"/>
        <w:rPr>
          <w:rFonts w:ascii="宋体" w:hAnsi="宋体" w:cs="宋体"/>
        </w:rPr>
      </w:pPr>
    </w:p>
    <w:p>
      <w:pPr>
        <w:pStyle w:val="53"/>
        <w:wordWrap w:val="0"/>
        <w:snapToGrid w:val="0"/>
        <w:spacing w:line="580" w:lineRule="exact"/>
        <w:ind w:firstLine="0"/>
        <w:jc w:val="right"/>
        <w:rPr>
          <w:rFonts w:ascii="宋体" w:hAnsi="宋体" w:cs="宋体"/>
        </w:rPr>
      </w:pPr>
      <w:r>
        <w:rPr>
          <w:rFonts w:hint="eastAsia" w:ascii="宋体" w:hAnsi="宋体" w:cs="宋体"/>
        </w:rPr>
        <w:t>东莞市智汇水务科技有限公司</w:t>
      </w:r>
    </w:p>
    <w:p>
      <w:pPr>
        <w:pStyle w:val="53"/>
        <w:snapToGrid w:val="0"/>
        <w:spacing w:line="580" w:lineRule="exact"/>
        <w:ind w:firstLine="7560" w:firstLineChars="3600"/>
        <w:rPr>
          <w:rFonts w:hint="eastAsia" w:ascii="宋体" w:hAnsi="宋体" w:cs="宋体"/>
        </w:rPr>
      </w:pPr>
      <w:r>
        <w:rPr>
          <w:rFonts w:hint="eastAsia" w:ascii="宋体" w:hAnsi="宋体" w:cs="宋体"/>
        </w:rPr>
        <w:t xml:space="preserve">   年   月  日</w:t>
      </w:r>
      <w:bookmarkStart w:id="178" w:name="设计变更通知单"/>
      <w:bookmarkEnd w:id="178"/>
      <w:bookmarkStart w:id="179" w:name="现场签证通知单"/>
      <w:bookmarkEnd w:id="179"/>
    </w:p>
    <w:p>
      <w:pPr>
        <w:rPr>
          <w:rFonts w:hint="eastAsia" w:ascii="宋体" w:hAnsi="宋体" w:cs="宋体"/>
        </w:rPr>
      </w:pPr>
      <w:r>
        <w:rPr>
          <w:rFonts w:hint="eastAsia" w:ascii="宋体" w:hAnsi="宋体" w:cs="宋体"/>
        </w:rPr>
        <w:br w:type="page"/>
      </w:r>
    </w:p>
    <w:p>
      <w:pPr>
        <w:pStyle w:val="53"/>
        <w:snapToGrid w:val="0"/>
        <w:spacing w:line="580" w:lineRule="exact"/>
        <w:ind w:firstLine="7560" w:firstLineChars="3600"/>
        <w:rPr>
          <w:rFonts w:hint="eastAsia" w:ascii="宋体" w:hAnsi="宋体" w:cs="宋体"/>
        </w:rPr>
      </w:pPr>
    </w:p>
    <w:p>
      <w:pPr>
        <w:pStyle w:val="53"/>
        <w:snapToGrid w:val="0"/>
        <w:spacing w:line="580" w:lineRule="exact"/>
        <w:ind w:firstLine="0"/>
        <w:jc w:val="center"/>
        <w:rPr>
          <w:rFonts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pPr>
        <w:pStyle w:val="53"/>
        <w:snapToGrid w:val="0"/>
        <w:spacing w:line="580" w:lineRule="exact"/>
        <w:ind w:firstLine="0"/>
        <w:jc w:val="center"/>
        <w:rPr>
          <w:rFonts w:ascii="Times New Roman" w:hAnsi="Times New Roman" w:eastAsia="仿宋_GB2312"/>
          <w:sz w:val="30"/>
          <w:szCs w:val="30"/>
        </w:rPr>
      </w:pPr>
      <w:r>
        <w:rPr>
          <w:rFonts w:ascii="Times New Roman" w:hAnsi="Times New Roman" w:eastAsia="仿宋_GB2312"/>
          <w:sz w:val="30"/>
          <w:szCs w:val="30"/>
        </w:rPr>
        <w:t xml:space="preserve">                            </w:t>
      </w:r>
    </w:p>
    <w:p>
      <w:pPr>
        <w:pStyle w:val="53"/>
        <w:snapToGrid w:val="0"/>
        <w:spacing w:line="580" w:lineRule="exact"/>
        <w:ind w:firstLine="0"/>
        <w:jc w:val="center"/>
        <w:rPr>
          <w:rFonts w:ascii="宋体" w:hAnsi="宋体" w:cs="宋体"/>
        </w:rPr>
      </w:pPr>
      <w:r>
        <w:rPr>
          <w:rFonts w:ascii="Times New Roman" w:hAnsi="Times New Roman" w:eastAsia="仿宋_GB2312"/>
          <w:sz w:val="30"/>
          <w:szCs w:val="30"/>
        </w:rPr>
        <w:t xml:space="preserve">                   </w:t>
      </w:r>
      <w:r>
        <w:rPr>
          <w:rFonts w:hint="eastAsia" w:ascii="宋体" w:hAnsi="宋体" w:cs="宋体"/>
        </w:rPr>
        <w:t xml:space="preserve">               </w:t>
      </w:r>
      <w:r>
        <w:rPr>
          <w:rFonts w:hint="eastAsia" w:ascii="宋体" w:hAnsi="宋体" w:cs="宋体"/>
          <w:lang w:val="zh-CN"/>
        </w:rPr>
        <w:t>编号：</w:t>
      </w:r>
      <w:r>
        <w:rPr>
          <w:rFonts w:hint="eastAsia" w:ascii="宋体" w:hAnsi="宋体" w:cs="宋体"/>
        </w:rPr>
        <w:t xml:space="preserve">   </w:t>
      </w:r>
    </w:p>
    <w:p>
      <w:pPr>
        <w:pStyle w:val="53"/>
        <w:snapToGrid w:val="0"/>
        <w:spacing w:line="580" w:lineRule="exact"/>
        <w:ind w:firstLine="0"/>
        <w:jc w:val="center"/>
        <w:rPr>
          <w:rFonts w:ascii="宋体" w:hAnsi="宋体" w:cs="宋体"/>
          <w:lang w:val="zh-CN"/>
        </w:rPr>
      </w:pPr>
    </w:p>
    <w:p>
      <w:pPr>
        <w:autoSpaceDE w:val="0"/>
        <w:autoSpaceDN w:val="0"/>
        <w:adjustRightInd w:val="0"/>
        <w:spacing w:line="580" w:lineRule="exact"/>
        <w:ind w:firstLine="525" w:firstLineChars="250"/>
        <w:jc w:val="left"/>
        <w:rPr>
          <w:rFonts w:ascii="宋体" w:hAnsi="宋体" w:cs="宋体"/>
          <w:kern w:val="0"/>
          <w:szCs w:val="21"/>
          <w:lang w:val="zh-CN"/>
        </w:rPr>
      </w:pPr>
      <w:r>
        <w:rPr>
          <w:rFonts w:hint="eastAsia" w:ascii="宋体" w:hAnsi="宋体" w:cs="宋体"/>
          <w:szCs w:val="21"/>
          <w:lang w:val="zh-CN"/>
        </w:rPr>
        <w:t>我单位于</w:t>
      </w:r>
      <w:r>
        <w:rPr>
          <w:rFonts w:hint="eastAsia" w:ascii="宋体" w:hAnsi="宋体" w:cs="宋体"/>
          <w:szCs w:val="21"/>
          <w:u w:val="single"/>
          <w:lang w:val="zh-CN"/>
        </w:rPr>
        <w:t xml:space="preserve">       </w:t>
      </w:r>
      <w:r>
        <w:rPr>
          <w:rFonts w:hint="eastAsia" w:ascii="宋体" w:hAnsi="宋体" w:cs="宋体"/>
          <w:szCs w:val="21"/>
          <w:lang w:val="zh-CN"/>
        </w:rPr>
        <w:t>年</w:t>
      </w:r>
      <w:r>
        <w:rPr>
          <w:rFonts w:hint="eastAsia" w:ascii="宋体" w:hAnsi="宋体" w:cs="宋体"/>
          <w:szCs w:val="21"/>
          <w:u w:val="single"/>
          <w:lang w:val="zh-CN"/>
        </w:rPr>
        <w:t xml:space="preserve">    </w:t>
      </w:r>
      <w:r>
        <w:rPr>
          <w:rFonts w:hint="eastAsia" w:ascii="宋体" w:hAnsi="宋体" w:cs="宋体"/>
          <w:szCs w:val="21"/>
          <w:lang w:val="zh-CN"/>
        </w:rPr>
        <w:t>月</w:t>
      </w:r>
      <w:r>
        <w:rPr>
          <w:rFonts w:hint="eastAsia" w:ascii="宋体" w:hAnsi="宋体" w:cs="宋体"/>
          <w:szCs w:val="21"/>
          <w:u w:val="single"/>
          <w:lang w:val="zh-CN"/>
        </w:rPr>
        <w:t xml:space="preserve">    </w:t>
      </w:r>
      <w:r>
        <w:rPr>
          <w:rFonts w:hint="eastAsia" w:ascii="宋体" w:hAnsi="宋体" w:cs="宋体"/>
          <w:szCs w:val="21"/>
          <w:lang w:val="zh-CN"/>
        </w:rPr>
        <w:t>日收到</w:t>
      </w:r>
      <w:r>
        <w:rPr>
          <w:rFonts w:hint="eastAsia" w:ascii="宋体" w:hAnsi="宋体" w:cs="宋体"/>
          <w:szCs w:val="21"/>
          <w:u w:val="single"/>
        </w:rPr>
        <w:t xml:space="preserve">                 </w:t>
      </w:r>
      <w:r>
        <w:rPr>
          <w:rFonts w:hint="eastAsia" w:ascii="宋体" w:hAnsi="宋体" w:cs="宋体"/>
          <w:szCs w:val="21"/>
        </w:rPr>
        <w:t>公司</w:t>
      </w:r>
      <w:r>
        <w:rPr>
          <w:rFonts w:hint="eastAsia" w:ascii="宋体" w:hAnsi="宋体" w:cs="宋体"/>
          <w:szCs w:val="21"/>
          <w:lang w:val="zh-CN"/>
        </w:rPr>
        <w:t>的《阳光合作告知</w:t>
      </w:r>
      <w:r>
        <w:rPr>
          <w:rFonts w:hint="eastAsia" w:ascii="宋体" w:hAnsi="宋体" w:cs="宋体"/>
          <w:kern w:val="0"/>
          <w:szCs w:val="21"/>
          <w:lang w:val="zh-CN"/>
        </w:rPr>
        <w:t>函</w:t>
      </w:r>
      <w:r>
        <w:rPr>
          <w:rFonts w:hint="eastAsia" w:ascii="宋体" w:hAnsi="宋体" w:cs="宋体"/>
          <w:szCs w:val="21"/>
          <w:lang w:val="zh-CN"/>
        </w:rPr>
        <w:t>》</w:t>
      </w:r>
      <w:r>
        <w:rPr>
          <w:rFonts w:hint="eastAsia" w:ascii="宋体" w:hAnsi="宋体" w:cs="宋体"/>
          <w:kern w:val="0"/>
          <w:szCs w:val="21"/>
          <w:lang w:val="zh-CN"/>
        </w:rPr>
        <w:t>，承诺理解函告内容并告知相关人员严格执行其中规定。</w:t>
      </w:r>
    </w:p>
    <w:p>
      <w:pPr>
        <w:autoSpaceDE w:val="0"/>
        <w:autoSpaceDN w:val="0"/>
        <w:adjustRightInd w:val="0"/>
        <w:snapToGrid w:val="0"/>
        <w:spacing w:line="580" w:lineRule="exact"/>
        <w:jc w:val="left"/>
        <w:rPr>
          <w:rFonts w:ascii="宋体" w:hAnsi="宋体" w:cs="宋体"/>
          <w:szCs w:val="21"/>
          <w:lang w:val="zh-CN"/>
        </w:rPr>
      </w:pPr>
    </w:p>
    <w:p>
      <w:pPr>
        <w:autoSpaceDE w:val="0"/>
        <w:autoSpaceDN w:val="0"/>
        <w:adjustRightInd w:val="0"/>
        <w:snapToGrid w:val="0"/>
        <w:spacing w:line="580" w:lineRule="exact"/>
        <w:jc w:val="right"/>
        <w:rPr>
          <w:rFonts w:ascii="宋体" w:hAnsi="宋体" w:cs="宋体"/>
          <w:szCs w:val="21"/>
          <w:lang w:val="zh-CN"/>
        </w:rPr>
      </w:pPr>
      <w:r>
        <w:rPr>
          <w:rFonts w:hint="eastAsia" w:ascii="宋体" w:hAnsi="宋体" w:cs="宋体"/>
          <w:szCs w:val="21"/>
          <w:lang w:val="zh-CN"/>
        </w:rPr>
        <w:t xml:space="preserve">            </w:t>
      </w:r>
      <w:r>
        <w:rPr>
          <w:rFonts w:hint="eastAsia" w:ascii="宋体" w:hAnsi="宋体" w:cs="宋体"/>
          <w:bCs/>
          <w:szCs w:val="21"/>
        </w:rPr>
        <w:t xml:space="preserve">      </w:t>
      </w:r>
      <w:r>
        <w:rPr>
          <w:rFonts w:hint="eastAsia" w:ascii="宋体" w:hAnsi="宋体" w:cs="宋体"/>
          <w:bCs/>
          <w:szCs w:val="21"/>
          <w:u w:val="single"/>
        </w:rPr>
        <w:t xml:space="preserve">            公司</w:t>
      </w:r>
      <w:r>
        <w:rPr>
          <w:rFonts w:hint="eastAsia" w:ascii="宋体" w:hAnsi="宋体" w:cs="宋体"/>
          <w:szCs w:val="21"/>
          <w:lang w:val="zh-CN"/>
        </w:rPr>
        <w:t>（盖章）</w:t>
      </w:r>
    </w:p>
    <w:p>
      <w:pPr>
        <w:autoSpaceDE w:val="0"/>
        <w:autoSpaceDN w:val="0"/>
        <w:adjustRightInd w:val="0"/>
        <w:snapToGrid w:val="0"/>
        <w:spacing w:line="580" w:lineRule="exact"/>
        <w:jc w:val="left"/>
        <w:rPr>
          <w:rFonts w:ascii="宋体" w:hAnsi="宋体" w:cs="宋体"/>
          <w:szCs w:val="21"/>
          <w:lang w:val="zh-CN"/>
        </w:rPr>
      </w:pPr>
    </w:p>
    <w:p>
      <w:pPr>
        <w:autoSpaceDE w:val="0"/>
        <w:autoSpaceDN w:val="0"/>
        <w:adjustRightInd w:val="0"/>
        <w:snapToGrid w:val="0"/>
        <w:spacing w:line="580" w:lineRule="exact"/>
        <w:ind w:right="1280" w:firstLine="6510" w:firstLineChars="3100"/>
        <w:rPr>
          <w:rFonts w:ascii="宋体" w:hAnsi="宋体" w:cs="宋体"/>
          <w:szCs w:val="21"/>
        </w:rPr>
      </w:pPr>
      <w:r>
        <w:rPr>
          <w:rFonts w:hint="eastAsia" w:ascii="宋体" w:hAnsi="宋体" w:cs="宋体"/>
          <w:szCs w:val="21"/>
        </w:rPr>
        <w:t xml:space="preserve">法定代表人：           </w:t>
      </w:r>
    </w:p>
    <w:p>
      <w:pPr>
        <w:autoSpaceDE w:val="0"/>
        <w:autoSpaceDN w:val="0"/>
        <w:adjustRightInd w:val="0"/>
        <w:snapToGrid w:val="0"/>
        <w:spacing w:line="580" w:lineRule="exact"/>
        <w:jc w:val="right"/>
        <w:rPr>
          <w:rFonts w:hint="eastAsia" w:ascii="宋体" w:hAnsi="宋体" w:cs="宋体"/>
          <w:szCs w:val="21"/>
        </w:rPr>
      </w:pPr>
      <w:r>
        <w:rPr>
          <w:rFonts w:hint="eastAsia" w:ascii="宋体" w:hAnsi="宋体" w:cs="宋体"/>
          <w:szCs w:val="21"/>
        </w:rPr>
        <w:t>年    月    日</w:t>
      </w:r>
    </w:p>
    <w:p>
      <w:pPr>
        <w:rPr>
          <w:rFonts w:hint="eastAsia" w:ascii="宋体" w:hAnsi="宋体" w:cs="宋体"/>
          <w:szCs w:val="21"/>
        </w:rPr>
      </w:pPr>
      <w:r>
        <w:rPr>
          <w:rFonts w:hint="eastAsia" w:ascii="宋体" w:hAnsi="宋体" w:cs="宋体"/>
          <w:szCs w:val="21"/>
        </w:rPr>
        <w:br w:type="page"/>
      </w:r>
    </w:p>
    <w:p>
      <w:pPr>
        <w:pStyle w:val="14"/>
        <w:pageBreakBefore/>
        <w:spacing w:before="0" w:after="0" w:line="360" w:lineRule="auto"/>
        <w:jc w:val="center"/>
        <w:rPr>
          <w:rFonts w:hint="eastAsia" w:ascii="宋体" w:hAnsi="宋体" w:eastAsia="宋体"/>
          <w:color w:val="auto"/>
          <w:sz w:val="30"/>
          <w:szCs w:val="30"/>
          <w:highlight w:val="none"/>
          <w:lang w:val="zh-CN"/>
        </w:rPr>
      </w:pPr>
      <w:bookmarkStart w:id="180" w:name="_Toc28227"/>
      <w:bookmarkStart w:id="181" w:name="_Toc23552"/>
      <w:r>
        <w:rPr>
          <w:rFonts w:hint="eastAsia" w:ascii="宋体" w:hAnsi="宋体" w:eastAsia="宋体"/>
          <w:color w:val="auto"/>
          <w:sz w:val="30"/>
          <w:szCs w:val="30"/>
          <w:highlight w:val="none"/>
          <w:lang w:val="zh-CN"/>
        </w:rPr>
        <w:t>第五篇</w:t>
      </w:r>
      <w:r>
        <w:rPr>
          <w:rFonts w:hint="eastAsia" w:ascii="宋体" w:hAnsi="宋体" w:eastAsia="宋体"/>
          <w:color w:val="auto"/>
          <w:sz w:val="30"/>
          <w:szCs w:val="30"/>
          <w:highlight w:val="none"/>
          <w:lang w:val="en-US" w:eastAsia="zh-CN"/>
        </w:rPr>
        <w:t xml:space="preserve"> </w:t>
      </w:r>
      <w:r>
        <w:rPr>
          <w:rFonts w:hint="eastAsia" w:ascii="宋体" w:hAnsi="宋体" w:eastAsia="宋体"/>
          <w:color w:val="auto"/>
          <w:sz w:val="30"/>
          <w:szCs w:val="30"/>
          <w:highlight w:val="none"/>
          <w:lang w:val="zh-CN"/>
        </w:rPr>
        <w:t>报价文件格式</w:t>
      </w:r>
      <w:bookmarkEnd w:id="180"/>
      <w:bookmarkEnd w:id="181"/>
    </w:p>
    <w:p>
      <w:pPr>
        <w:spacing w:line="360" w:lineRule="auto"/>
        <w:rPr>
          <w:rFonts w:hint="eastAsia" w:eastAsia="宋体"/>
          <w:b/>
          <w:bCs/>
          <w:color w:val="auto"/>
          <w:sz w:val="30"/>
          <w:szCs w:val="30"/>
          <w:highlight w:val="none"/>
          <w:shd w:val="clear" w:color="auto" w:fill="FFFFFF"/>
          <w:lang w:val="zh-CN"/>
        </w:rPr>
      </w:pPr>
      <w:bookmarkStart w:id="182" w:name="_Toc51333928"/>
      <w:bookmarkStart w:id="183" w:name="_Toc50572123"/>
      <w:r>
        <w:rPr>
          <w:rFonts w:hint="eastAsia" w:eastAsia="宋体"/>
          <w:b/>
          <w:bCs/>
          <w:color w:val="auto"/>
          <w:sz w:val="30"/>
          <w:szCs w:val="30"/>
          <w:highlight w:val="none"/>
          <w:shd w:val="clear" w:color="auto" w:fill="FFFFFF"/>
          <w:lang w:val="zh-CN"/>
        </w:rPr>
        <w:t>一、纸质盖章版报价文件</w:t>
      </w:r>
      <w:bookmarkEnd w:id="182"/>
      <w:bookmarkEnd w:id="183"/>
    </w:p>
    <w:p>
      <w:pPr>
        <w:spacing w:line="360" w:lineRule="auto"/>
        <w:rPr>
          <w:rFonts w:hint="eastAsia" w:eastAsia="宋体"/>
          <w:b/>
          <w:bCs/>
          <w:color w:val="auto"/>
          <w:sz w:val="30"/>
          <w:szCs w:val="30"/>
          <w:highlight w:val="none"/>
          <w:shd w:val="clear" w:color="auto" w:fill="FFFFFF"/>
          <w:lang w:val="zh-CN"/>
        </w:rPr>
      </w:pPr>
      <w:bookmarkStart w:id="184" w:name="_Toc50572124"/>
      <w:bookmarkStart w:id="185" w:name="_Toc51333929"/>
      <w:r>
        <w:rPr>
          <w:rFonts w:hint="eastAsia" w:eastAsia="宋体"/>
          <w:b/>
          <w:bCs/>
          <w:color w:val="auto"/>
          <w:sz w:val="30"/>
          <w:szCs w:val="30"/>
          <w:highlight w:val="none"/>
          <w:shd w:val="clear" w:color="auto" w:fill="FFFFFF"/>
          <w:lang w:val="zh-CN"/>
        </w:rPr>
        <w:t>二、报价文件电子文档（签字、盖章后的报价文件扫描版PDF格式电子文件，内容与提交纸质盖章版报价文件一致）</w:t>
      </w:r>
      <w:bookmarkEnd w:id="184"/>
      <w:bookmarkEnd w:id="185"/>
    </w:p>
    <w:p>
      <w:pPr>
        <w:rPr>
          <w:color w:val="auto"/>
          <w:highlight w:val="none"/>
          <w:lang w:val="zh-CN"/>
        </w:rPr>
      </w:pPr>
    </w:p>
    <w:p>
      <w:pPr>
        <w:tabs>
          <w:tab w:val="left" w:pos="540"/>
        </w:tabs>
        <w:spacing w:line="280" w:lineRule="exact"/>
        <w:rPr>
          <w:color w:val="auto"/>
          <w:sz w:val="24"/>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widowControl/>
        <w:jc w:val="left"/>
        <w:rPr>
          <w:b/>
          <w:color w:val="auto"/>
          <w:sz w:val="44"/>
          <w:szCs w:val="44"/>
          <w:highlight w:val="none"/>
        </w:rPr>
      </w:pPr>
      <w:bookmarkStart w:id="186" w:name="_Toc34745985"/>
      <w:bookmarkStart w:id="187" w:name="_Toc34746052"/>
      <w:bookmarkStart w:id="188" w:name="_Toc34746360"/>
      <w:r>
        <w:rPr>
          <w:b/>
          <w:color w:val="auto"/>
          <w:sz w:val="44"/>
          <w:szCs w:val="44"/>
          <w:highlight w:val="none"/>
        </w:rPr>
        <w:br w:type="page"/>
      </w:r>
    </w:p>
    <w:p>
      <w:pPr>
        <w:pStyle w:val="14"/>
        <w:spacing w:line="360" w:lineRule="auto"/>
        <w:jc w:val="left"/>
        <w:outlineLvl w:val="1"/>
        <w:rPr>
          <w:rFonts w:ascii="宋体" w:hAnsi="宋体"/>
          <w:color w:val="auto"/>
          <w:sz w:val="30"/>
          <w:szCs w:val="30"/>
          <w:highlight w:val="none"/>
          <w:lang w:val="zh-CN"/>
        </w:rPr>
      </w:pPr>
      <w:bookmarkStart w:id="189" w:name="_Toc62668964"/>
      <w:bookmarkStart w:id="190" w:name="_Toc20439"/>
      <w:bookmarkStart w:id="191" w:name="_Toc7265"/>
      <w:bookmarkStart w:id="192" w:name="_Toc50572985"/>
      <w:bookmarkStart w:id="193" w:name="_Toc51333930"/>
      <w:r>
        <w:rPr>
          <w:rFonts w:ascii="宋体" w:hAnsi="宋体"/>
          <w:color w:val="auto"/>
          <w:sz w:val="30"/>
          <w:szCs w:val="30"/>
          <w:highlight w:val="none"/>
          <w:lang w:val="zh-CN"/>
        </w:rPr>
        <w:t>一</w:t>
      </w:r>
      <w:r>
        <w:rPr>
          <w:rFonts w:hint="eastAsia" w:ascii="宋体" w:hAnsi="宋体"/>
          <w:color w:val="auto"/>
          <w:sz w:val="30"/>
          <w:szCs w:val="30"/>
          <w:highlight w:val="none"/>
          <w:lang w:val="zh-CN"/>
        </w:rPr>
        <w:t>、</w:t>
      </w:r>
      <w:r>
        <w:rPr>
          <w:rFonts w:ascii="宋体" w:hAnsi="宋体"/>
          <w:color w:val="auto"/>
          <w:sz w:val="30"/>
          <w:szCs w:val="30"/>
          <w:highlight w:val="none"/>
          <w:lang w:val="zh-CN"/>
        </w:rPr>
        <w:t>纸质</w:t>
      </w:r>
      <w:r>
        <w:rPr>
          <w:rFonts w:hint="eastAsia" w:ascii="宋体" w:hAnsi="宋体"/>
          <w:color w:val="auto"/>
          <w:sz w:val="30"/>
          <w:szCs w:val="30"/>
          <w:highlight w:val="none"/>
          <w:lang w:val="zh-CN"/>
        </w:rPr>
        <w:t>盖章版</w:t>
      </w:r>
      <w:r>
        <w:rPr>
          <w:rFonts w:ascii="宋体" w:hAnsi="宋体"/>
          <w:color w:val="auto"/>
          <w:sz w:val="30"/>
          <w:szCs w:val="30"/>
          <w:highlight w:val="none"/>
          <w:lang w:val="zh-CN"/>
        </w:rPr>
        <w:t>报价文件</w:t>
      </w:r>
      <w:bookmarkEnd w:id="189"/>
      <w:bookmarkEnd w:id="190"/>
      <w:bookmarkEnd w:id="191"/>
      <w:bookmarkEnd w:id="192"/>
      <w:bookmarkEnd w:id="193"/>
    </w:p>
    <w:p>
      <w:pPr>
        <w:rPr>
          <w:color w:val="auto"/>
          <w:highlight w:val="none"/>
          <w:lang w:val="zh-CN"/>
        </w:rPr>
      </w:pPr>
    </w:p>
    <w:p>
      <w:pPr>
        <w:pStyle w:val="2"/>
        <w:rPr>
          <w:color w:val="auto"/>
          <w:highlight w:val="none"/>
          <w:lang w:val="zh-CN"/>
        </w:rPr>
      </w:pPr>
    </w:p>
    <w:p>
      <w:pPr>
        <w:pStyle w:val="2"/>
        <w:spacing w:line="360" w:lineRule="auto"/>
        <w:jc w:val="left"/>
        <w:rPr>
          <w:rFonts w:hint="eastAsia" w:eastAsia="宋体"/>
          <w:color w:val="auto"/>
          <w:highlight w:val="none"/>
          <w:lang w:eastAsia="zh-CN"/>
        </w:rPr>
      </w:pPr>
    </w:p>
    <w:p>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报 价 文 件</w:t>
      </w:r>
    </w:p>
    <w:p>
      <w:pPr>
        <w:pStyle w:val="2"/>
        <w:spacing w:line="360" w:lineRule="auto"/>
        <w:jc w:val="left"/>
        <w:rPr>
          <w:color w:val="auto"/>
          <w:highlight w:val="none"/>
        </w:rPr>
      </w:pPr>
    </w:p>
    <w:p>
      <w:pPr>
        <w:pStyle w:val="2"/>
        <w:spacing w:line="360" w:lineRule="auto"/>
        <w:jc w:val="left"/>
        <w:rPr>
          <w:color w:val="auto"/>
          <w:highlight w:val="none"/>
        </w:rPr>
      </w:pPr>
    </w:p>
    <w:p>
      <w:pPr>
        <w:pStyle w:val="2"/>
        <w:spacing w:line="360" w:lineRule="auto"/>
        <w:jc w:val="left"/>
        <w:rPr>
          <w:color w:val="auto"/>
          <w:highlight w:val="none"/>
        </w:rPr>
      </w:pPr>
    </w:p>
    <w:p>
      <w:pPr>
        <w:pStyle w:val="2"/>
        <w:spacing w:line="360" w:lineRule="auto"/>
        <w:jc w:val="left"/>
        <w:rPr>
          <w:color w:val="auto"/>
          <w:highlight w:val="none"/>
        </w:rPr>
      </w:pPr>
    </w:p>
    <w:p>
      <w:pPr>
        <w:pStyle w:val="2"/>
        <w:spacing w:line="360" w:lineRule="auto"/>
        <w:jc w:val="left"/>
        <w:rPr>
          <w:color w:val="auto"/>
          <w:highlight w:val="none"/>
        </w:rPr>
      </w:pPr>
    </w:p>
    <w:p>
      <w:pPr>
        <w:pStyle w:val="2"/>
        <w:spacing w:line="360" w:lineRule="auto"/>
        <w:jc w:val="left"/>
        <w:rPr>
          <w:b/>
          <w:color w:val="auto"/>
          <w:sz w:val="44"/>
          <w:szCs w:val="44"/>
          <w:highlight w:val="none"/>
        </w:rPr>
      </w:pPr>
    </w:p>
    <w:p>
      <w:pPr>
        <w:spacing w:line="360" w:lineRule="auto"/>
        <w:ind w:left="2246" w:leftChars="403" w:hanging="1400" w:hangingChars="500"/>
        <w:jc w:val="left"/>
        <w:rPr>
          <w:rFonts w:hint="eastAsia" w:eastAsia="宋体"/>
          <w:color w:val="auto"/>
          <w:sz w:val="28"/>
          <w:szCs w:val="28"/>
          <w:highlight w:val="none"/>
          <w:u w:val="single"/>
          <w:lang w:eastAsia="zh-CN"/>
        </w:rPr>
      </w:pPr>
      <w:r>
        <w:rPr>
          <w:color w:val="auto"/>
          <w:sz w:val="28"/>
          <w:szCs w:val="28"/>
          <w:highlight w:val="none"/>
        </w:rPr>
        <w:t>项目名称：</w:t>
      </w:r>
      <w:r>
        <w:rPr>
          <w:rFonts w:hint="eastAsia"/>
          <w:color w:val="auto"/>
          <w:sz w:val="28"/>
          <w:szCs w:val="28"/>
          <w:highlight w:val="none"/>
          <w:u w:val="single"/>
          <w:lang w:val="en-US" w:eastAsia="zh-CN"/>
        </w:rPr>
        <w:t>东莞市智汇水务科技有限公司2024年股权、设备资产价值评估单位采购项目</w:t>
      </w:r>
    </w:p>
    <w:p>
      <w:pPr>
        <w:spacing w:line="360" w:lineRule="auto"/>
        <w:ind w:left="1966" w:leftChars="403" w:hanging="1120" w:hangingChars="400"/>
        <w:jc w:val="left"/>
        <w:rPr>
          <w:color w:val="auto"/>
          <w:sz w:val="28"/>
          <w:szCs w:val="21"/>
          <w:highlight w:val="none"/>
          <w:u w:val="single"/>
        </w:rPr>
      </w:pPr>
      <w:r>
        <w:rPr>
          <w:color w:val="auto"/>
          <w:sz w:val="28"/>
          <w:szCs w:val="21"/>
          <w:highlight w:val="none"/>
        </w:rPr>
        <w:t>联</w:t>
      </w:r>
      <w:r>
        <w:rPr>
          <w:rFonts w:hint="eastAsia"/>
          <w:color w:val="auto"/>
          <w:sz w:val="28"/>
          <w:szCs w:val="21"/>
          <w:highlight w:val="none"/>
        </w:rPr>
        <w:t xml:space="preserve"> </w:t>
      </w:r>
      <w:r>
        <w:rPr>
          <w:color w:val="auto"/>
          <w:sz w:val="28"/>
          <w:szCs w:val="21"/>
          <w:highlight w:val="none"/>
        </w:rPr>
        <w:t>系</w:t>
      </w:r>
      <w:r>
        <w:rPr>
          <w:rFonts w:hint="eastAsia"/>
          <w:color w:val="auto"/>
          <w:sz w:val="28"/>
          <w:szCs w:val="21"/>
          <w:highlight w:val="none"/>
        </w:rPr>
        <w:t xml:space="preserve"> </w:t>
      </w:r>
      <w:r>
        <w:rPr>
          <w:color w:val="auto"/>
          <w:sz w:val="28"/>
          <w:szCs w:val="21"/>
          <w:highlight w:val="none"/>
        </w:rPr>
        <w:t>人：</w:t>
      </w:r>
      <w:r>
        <w:rPr>
          <w:rFonts w:hint="eastAsia"/>
          <w:color w:val="auto"/>
          <w:sz w:val="28"/>
          <w:szCs w:val="21"/>
          <w:highlight w:val="none"/>
          <w:u w:val="single"/>
        </w:rPr>
        <w:t xml:space="preserve"> </w:t>
      </w:r>
      <w:r>
        <w:rPr>
          <w:color w:val="auto"/>
          <w:sz w:val="28"/>
          <w:szCs w:val="21"/>
          <w:highlight w:val="none"/>
          <w:u w:val="single"/>
        </w:rPr>
        <w:t xml:space="preserve">                                     </w:t>
      </w:r>
    </w:p>
    <w:p>
      <w:pPr>
        <w:spacing w:line="360" w:lineRule="auto"/>
        <w:ind w:firstLine="848" w:firstLineChars="303"/>
        <w:jc w:val="left"/>
        <w:rPr>
          <w:color w:val="auto"/>
          <w:sz w:val="28"/>
          <w:szCs w:val="21"/>
          <w:highlight w:val="none"/>
        </w:rPr>
      </w:pPr>
      <w:r>
        <w:rPr>
          <w:color w:val="auto"/>
          <w:sz w:val="28"/>
          <w:szCs w:val="21"/>
          <w:highlight w:val="none"/>
        </w:rPr>
        <w:t>固定电话：</w:t>
      </w:r>
      <w:r>
        <w:rPr>
          <w:rFonts w:hint="eastAsia"/>
          <w:color w:val="auto"/>
          <w:sz w:val="28"/>
          <w:szCs w:val="21"/>
          <w:highlight w:val="none"/>
          <w:u w:val="single"/>
        </w:rPr>
        <w:t xml:space="preserve"> </w:t>
      </w:r>
      <w:r>
        <w:rPr>
          <w:color w:val="auto"/>
          <w:sz w:val="28"/>
          <w:szCs w:val="21"/>
          <w:highlight w:val="none"/>
          <w:u w:val="single"/>
        </w:rPr>
        <w:t xml:space="preserve">                                     </w:t>
      </w:r>
    </w:p>
    <w:p>
      <w:pPr>
        <w:spacing w:line="360" w:lineRule="auto"/>
        <w:ind w:firstLine="848" w:firstLineChars="303"/>
        <w:jc w:val="left"/>
        <w:rPr>
          <w:color w:val="auto"/>
          <w:sz w:val="28"/>
          <w:szCs w:val="21"/>
          <w:highlight w:val="none"/>
        </w:rPr>
      </w:pPr>
      <w:r>
        <w:rPr>
          <w:color w:val="auto"/>
          <w:sz w:val="28"/>
          <w:szCs w:val="21"/>
          <w:highlight w:val="none"/>
        </w:rPr>
        <w:t>手机号码：</w:t>
      </w:r>
      <w:r>
        <w:rPr>
          <w:rFonts w:hint="eastAsia"/>
          <w:color w:val="auto"/>
          <w:sz w:val="28"/>
          <w:szCs w:val="21"/>
          <w:highlight w:val="none"/>
          <w:u w:val="single"/>
        </w:rPr>
        <w:t xml:space="preserve"> </w:t>
      </w:r>
      <w:r>
        <w:rPr>
          <w:color w:val="auto"/>
          <w:sz w:val="28"/>
          <w:szCs w:val="21"/>
          <w:highlight w:val="none"/>
          <w:u w:val="single"/>
        </w:rPr>
        <w:t xml:space="preserve">                                     </w:t>
      </w:r>
    </w:p>
    <w:p>
      <w:pPr>
        <w:spacing w:line="360" w:lineRule="auto"/>
        <w:ind w:firstLine="848" w:firstLineChars="303"/>
        <w:jc w:val="left"/>
        <w:rPr>
          <w:color w:val="auto"/>
          <w:sz w:val="28"/>
          <w:szCs w:val="21"/>
          <w:highlight w:val="none"/>
          <w:u w:val="single"/>
        </w:rPr>
      </w:pPr>
      <w:r>
        <w:rPr>
          <w:color w:val="auto"/>
          <w:sz w:val="28"/>
          <w:szCs w:val="21"/>
          <w:highlight w:val="none"/>
        </w:rPr>
        <w:t>邮</w:t>
      </w:r>
      <w:r>
        <w:rPr>
          <w:rFonts w:hint="eastAsia"/>
          <w:color w:val="auto"/>
          <w:sz w:val="28"/>
          <w:szCs w:val="21"/>
          <w:highlight w:val="none"/>
        </w:rPr>
        <w:t xml:space="preserve"> </w:t>
      </w:r>
      <w:r>
        <w:rPr>
          <w:color w:val="auto"/>
          <w:sz w:val="28"/>
          <w:szCs w:val="21"/>
          <w:highlight w:val="none"/>
        </w:rPr>
        <w:t xml:space="preserve">   箱：</w:t>
      </w:r>
      <w:r>
        <w:rPr>
          <w:rFonts w:hint="eastAsia"/>
          <w:color w:val="auto"/>
          <w:sz w:val="28"/>
          <w:szCs w:val="21"/>
          <w:highlight w:val="none"/>
          <w:u w:val="single"/>
        </w:rPr>
        <w:t xml:space="preserve"> </w:t>
      </w:r>
      <w:r>
        <w:rPr>
          <w:color w:val="auto"/>
          <w:sz w:val="28"/>
          <w:szCs w:val="21"/>
          <w:highlight w:val="none"/>
          <w:u w:val="single"/>
        </w:rPr>
        <w:t xml:space="preserve">                                     </w:t>
      </w:r>
    </w:p>
    <w:p>
      <w:pPr>
        <w:spacing w:line="360" w:lineRule="auto"/>
        <w:ind w:firstLine="848" w:firstLineChars="303"/>
        <w:jc w:val="left"/>
        <w:rPr>
          <w:color w:val="auto"/>
          <w:sz w:val="28"/>
          <w:szCs w:val="21"/>
          <w:highlight w:val="none"/>
        </w:rPr>
      </w:pPr>
      <w:r>
        <w:rPr>
          <w:color w:val="auto"/>
          <w:sz w:val="28"/>
          <w:szCs w:val="21"/>
          <w:highlight w:val="none"/>
        </w:rPr>
        <w:t>联系地址：</w:t>
      </w:r>
      <w:r>
        <w:rPr>
          <w:rFonts w:hint="eastAsia"/>
          <w:color w:val="auto"/>
          <w:sz w:val="28"/>
          <w:szCs w:val="21"/>
          <w:highlight w:val="none"/>
          <w:u w:val="single"/>
        </w:rPr>
        <w:t xml:space="preserve"> </w:t>
      </w:r>
      <w:r>
        <w:rPr>
          <w:color w:val="auto"/>
          <w:sz w:val="28"/>
          <w:szCs w:val="21"/>
          <w:highlight w:val="none"/>
          <w:u w:val="single"/>
        </w:rPr>
        <w:t xml:space="preserve">                                     </w:t>
      </w:r>
    </w:p>
    <w:p>
      <w:pPr>
        <w:spacing w:line="360" w:lineRule="auto"/>
        <w:ind w:firstLine="1338" w:firstLineChars="303"/>
        <w:jc w:val="left"/>
        <w:rPr>
          <w:b/>
          <w:color w:val="auto"/>
          <w:sz w:val="44"/>
          <w:szCs w:val="44"/>
          <w:highlight w:val="none"/>
        </w:rPr>
      </w:pPr>
    </w:p>
    <w:p>
      <w:pPr>
        <w:spacing w:line="360" w:lineRule="auto"/>
        <w:jc w:val="center"/>
        <w:rPr>
          <w:b/>
          <w:color w:val="auto"/>
          <w:sz w:val="28"/>
          <w:szCs w:val="28"/>
          <w:highlight w:val="none"/>
        </w:rPr>
      </w:pPr>
      <w:r>
        <w:rPr>
          <w:b/>
          <w:color w:val="auto"/>
          <w:sz w:val="28"/>
          <w:szCs w:val="28"/>
          <w:highlight w:val="none"/>
        </w:rPr>
        <w:t>报价人：</w:t>
      </w:r>
      <w:r>
        <w:rPr>
          <w:color w:val="auto"/>
          <w:sz w:val="28"/>
          <w:szCs w:val="28"/>
          <w:highlight w:val="none"/>
          <w:u w:val="single"/>
        </w:rPr>
        <w:t>（填写名称）</w:t>
      </w:r>
      <w:r>
        <w:rPr>
          <w:color w:val="auto"/>
          <w:sz w:val="28"/>
          <w:szCs w:val="28"/>
          <w:highlight w:val="none"/>
        </w:rPr>
        <w:t>（</w:t>
      </w:r>
      <w:r>
        <w:rPr>
          <w:b/>
          <w:color w:val="auto"/>
          <w:sz w:val="28"/>
          <w:szCs w:val="28"/>
          <w:highlight w:val="none"/>
        </w:rPr>
        <w:t>并加盖报价人法人公章）</w:t>
      </w:r>
    </w:p>
    <w:p>
      <w:pPr>
        <w:spacing w:line="360" w:lineRule="auto"/>
        <w:ind w:firstLine="852" w:firstLineChars="303"/>
        <w:jc w:val="left"/>
        <w:rPr>
          <w:b/>
          <w:color w:val="auto"/>
          <w:sz w:val="28"/>
          <w:szCs w:val="28"/>
          <w:highlight w:val="none"/>
        </w:rPr>
      </w:pPr>
    </w:p>
    <w:p>
      <w:pPr>
        <w:spacing w:line="360" w:lineRule="auto"/>
        <w:ind w:firstLine="3233" w:firstLineChars="115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20</w:t>
      </w:r>
      <w:r>
        <w:rPr>
          <w:rFonts w:hint="eastAsia" w:ascii="宋体" w:hAnsi="宋体" w:cs="宋体"/>
          <w:b/>
          <w:color w:val="auto"/>
          <w:sz w:val="28"/>
          <w:szCs w:val="28"/>
          <w:highlight w:val="none"/>
          <w:lang w:val="en-US" w:eastAsia="zh-CN"/>
        </w:rPr>
        <w:t>24</w:t>
      </w:r>
      <w:r>
        <w:rPr>
          <w:rFonts w:hint="eastAsia" w:ascii="宋体" w:hAnsi="宋体" w:eastAsia="宋体" w:cs="宋体"/>
          <w:b/>
          <w:color w:val="auto"/>
          <w:sz w:val="28"/>
          <w:szCs w:val="28"/>
          <w:highlight w:val="none"/>
        </w:rPr>
        <w:t xml:space="preserve">年 </w:t>
      </w:r>
      <w:r>
        <w:rPr>
          <w:rFonts w:hint="eastAsia" w:ascii="宋体" w:hAnsi="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月</w:t>
      </w:r>
      <w:r>
        <w:rPr>
          <w:rFonts w:hint="eastAsia" w:ascii="宋体" w:hAnsi="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日</w:t>
      </w:r>
    </w:p>
    <w:p>
      <w:pPr>
        <w:jc w:val="center"/>
        <w:outlineLvl w:val="9"/>
        <w:rPr>
          <w:rFonts w:ascii="Times New Roman" w:hAnsi="Times New Roman" w:eastAsia="宋体"/>
          <w:color w:val="auto"/>
          <w:sz w:val="30"/>
          <w:szCs w:val="30"/>
          <w:highlight w:val="none"/>
        </w:rPr>
      </w:pPr>
      <w:r>
        <w:rPr>
          <w:rFonts w:ascii="Times New Roman" w:hAnsi="Times New Roman" w:eastAsia="宋体"/>
          <w:color w:val="auto"/>
          <w:sz w:val="36"/>
          <w:szCs w:val="36"/>
          <w:highlight w:val="none"/>
        </w:rPr>
        <w:br w:type="page"/>
      </w:r>
      <w:bookmarkStart w:id="194" w:name="_Toc34752515"/>
      <w:r>
        <w:rPr>
          <w:rFonts w:ascii="Times New Roman" w:hAnsi="Times New Roman" w:eastAsia="宋体"/>
          <w:color w:val="auto"/>
          <w:sz w:val="30"/>
          <w:szCs w:val="30"/>
          <w:highlight w:val="none"/>
        </w:rPr>
        <w:t>目录</w:t>
      </w:r>
    </w:p>
    <w:p>
      <w:pPr>
        <w:rPr>
          <w:color w:val="auto"/>
          <w:sz w:val="28"/>
          <w:szCs w:val="28"/>
          <w:highlight w:val="none"/>
        </w:rPr>
      </w:pPr>
    </w:p>
    <w:p>
      <w:pPr>
        <w:snapToGrid w:val="0"/>
        <w:spacing w:line="360" w:lineRule="auto"/>
        <w:rPr>
          <w:color w:val="auto"/>
          <w:sz w:val="28"/>
          <w:szCs w:val="28"/>
          <w:highlight w:val="none"/>
        </w:rPr>
      </w:pPr>
      <w:r>
        <w:rPr>
          <w:rFonts w:hint="eastAsia"/>
          <w:color w:val="auto"/>
          <w:sz w:val="28"/>
          <w:szCs w:val="28"/>
          <w:highlight w:val="none"/>
          <w:lang w:val="en-US" w:eastAsia="zh-CN"/>
        </w:rPr>
        <w:t>（一）</w:t>
      </w:r>
      <w:r>
        <w:rPr>
          <w:color w:val="auto"/>
          <w:sz w:val="28"/>
          <w:szCs w:val="28"/>
          <w:highlight w:val="none"/>
        </w:rPr>
        <w:t xml:space="preserve"> 报价表……………………………………………（报价人填写页码）</w:t>
      </w:r>
    </w:p>
    <w:p>
      <w:pPr>
        <w:pStyle w:val="2"/>
        <w:snapToGrid w:val="0"/>
        <w:spacing w:after="0" w:line="360" w:lineRule="auto"/>
        <w:rPr>
          <w:color w:val="auto"/>
          <w:sz w:val="28"/>
          <w:szCs w:val="28"/>
          <w:highlight w:val="none"/>
        </w:rPr>
      </w:pPr>
    </w:p>
    <w:p>
      <w:pPr>
        <w:snapToGrid w:val="0"/>
        <w:spacing w:line="360" w:lineRule="auto"/>
        <w:rPr>
          <w:rFonts w:hint="eastAsia" w:eastAsia="宋体"/>
          <w:color w:val="auto"/>
          <w:sz w:val="28"/>
          <w:szCs w:val="28"/>
          <w:highlight w:val="none"/>
          <w:lang w:val="en-US" w:eastAsia="zh-CN"/>
        </w:rPr>
      </w:pPr>
      <w:r>
        <w:rPr>
          <w:rFonts w:hint="eastAsia"/>
          <w:color w:val="auto"/>
          <w:sz w:val="28"/>
          <w:szCs w:val="28"/>
          <w:highlight w:val="none"/>
          <w:lang w:val="en-US" w:eastAsia="zh-CN"/>
        </w:rPr>
        <w:t>（二）报价人</w:t>
      </w:r>
      <w:r>
        <w:rPr>
          <w:rFonts w:hint="eastAsia"/>
          <w:color w:val="auto"/>
          <w:sz w:val="28"/>
          <w:szCs w:val="28"/>
          <w:highlight w:val="none"/>
        </w:rPr>
        <w:t>资格证明文件</w:t>
      </w:r>
      <w:r>
        <w:rPr>
          <w:color w:val="auto"/>
          <w:sz w:val="28"/>
          <w:szCs w:val="28"/>
          <w:highlight w:val="none"/>
        </w:rPr>
        <w:t>………</w:t>
      </w:r>
      <w:r>
        <w:rPr>
          <w:rFonts w:hint="eastAsia"/>
          <w:color w:val="auto"/>
          <w:sz w:val="28"/>
          <w:szCs w:val="28"/>
          <w:highlight w:val="none"/>
          <w:lang w:val="en-US" w:eastAsia="zh-CN"/>
        </w:rPr>
        <w:t>.............</w:t>
      </w:r>
      <w:r>
        <w:rPr>
          <w:color w:val="auto"/>
          <w:sz w:val="28"/>
          <w:szCs w:val="28"/>
          <w:highlight w:val="none"/>
        </w:rPr>
        <w:t>……………（报价人填写页码）</w:t>
      </w:r>
    </w:p>
    <w:p>
      <w:pPr>
        <w:snapToGrid w:val="0"/>
        <w:spacing w:line="360" w:lineRule="auto"/>
        <w:rPr>
          <w:color w:val="auto"/>
          <w:sz w:val="28"/>
          <w:szCs w:val="28"/>
          <w:highlight w:val="none"/>
        </w:rPr>
      </w:pPr>
    </w:p>
    <w:p>
      <w:pPr>
        <w:snapToGrid w:val="0"/>
        <w:spacing w:line="360" w:lineRule="auto"/>
        <w:rPr>
          <w:color w:val="auto"/>
          <w:sz w:val="28"/>
          <w:szCs w:val="28"/>
          <w:highlight w:val="none"/>
        </w:rPr>
      </w:pPr>
      <w:r>
        <w:rPr>
          <w:rFonts w:hint="eastAsia"/>
          <w:color w:val="auto"/>
          <w:sz w:val="28"/>
          <w:szCs w:val="28"/>
          <w:highlight w:val="none"/>
          <w:lang w:val="en-US" w:eastAsia="zh-CN"/>
        </w:rPr>
        <w:t>（三）报价人</w:t>
      </w:r>
      <w:r>
        <w:rPr>
          <w:rFonts w:hint="eastAsia"/>
          <w:color w:val="auto"/>
          <w:sz w:val="28"/>
          <w:szCs w:val="28"/>
          <w:highlight w:val="none"/>
        </w:rPr>
        <w:t>基本情况一览表</w:t>
      </w:r>
      <w:r>
        <w:rPr>
          <w:rFonts w:hint="eastAsia"/>
          <w:color w:val="auto"/>
          <w:sz w:val="28"/>
          <w:szCs w:val="28"/>
          <w:highlight w:val="none"/>
          <w:lang w:val="en-US" w:eastAsia="zh-CN"/>
        </w:rPr>
        <w:t>格式</w:t>
      </w:r>
      <w:r>
        <w:rPr>
          <w:color w:val="auto"/>
          <w:sz w:val="28"/>
          <w:szCs w:val="28"/>
          <w:highlight w:val="none"/>
        </w:rPr>
        <w:t>………………</w:t>
      </w:r>
      <w:r>
        <w:rPr>
          <w:rFonts w:hint="eastAsia"/>
          <w:color w:val="auto"/>
          <w:sz w:val="28"/>
          <w:szCs w:val="28"/>
          <w:highlight w:val="none"/>
          <w:lang w:val="en-US" w:eastAsia="zh-CN"/>
        </w:rPr>
        <w:t>.</w:t>
      </w:r>
      <w:r>
        <w:rPr>
          <w:color w:val="auto"/>
          <w:sz w:val="28"/>
          <w:szCs w:val="28"/>
          <w:highlight w:val="none"/>
        </w:rPr>
        <w:t>……（报价人填写页码）</w:t>
      </w:r>
    </w:p>
    <w:p>
      <w:pPr>
        <w:pStyle w:val="2"/>
        <w:snapToGrid w:val="0"/>
        <w:spacing w:after="0" w:line="360" w:lineRule="auto"/>
        <w:rPr>
          <w:color w:val="auto"/>
          <w:sz w:val="28"/>
          <w:szCs w:val="28"/>
          <w:highlight w:val="none"/>
        </w:rPr>
      </w:pPr>
    </w:p>
    <w:p>
      <w:pPr>
        <w:pStyle w:val="2"/>
        <w:numPr>
          <w:ilvl w:val="-1"/>
          <w:numId w:val="0"/>
        </w:numPr>
        <w:snapToGrid w:val="0"/>
        <w:spacing w:after="0" w:line="360" w:lineRule="auto"/>
        <w:rPr>
          <w:rFonts w:hint="eastAsia"/>
          <w:color w:val="auto"/>
          <w:sz w:val="28"/>
          <w:szCs w:val="28"/>
          <w:highlight w:val="none"/>
          <w:lang w:val="en-US" w:eastAsia="zh-CN"/>
        </w:rPr>
      </w:pPr>
      <w:r>
        <w:rPr>
          <w:rFonts w:hint="eastAsia"/>
          <w:color w:val="auto"/>
          <w:sz w:val="28"/>
          <w:szCs w:val="28"/>
          <w:highlight w:val="none"/>
          <w:lang w:val="en-US" w:eastAsia="zh-CN"/>
        </w:rPr>
        <w:t>（四）</w:t>
      </w:r>
      <w:r>
        <w:rPr>
          <w:rFonts w:hint="eastAsia"/>
          <w:color w:val="auto"/>
          <w:sz w:val="28"/>
          <w:szCs w:val="28"/>
          <w:highlight w:val="none"/>
        </w:rPr>
        <w:t>用户需求响应情况</w:t>
      </w:r>
      <w:r>
        <w:rPr>
          <w:color w:val="auto"/>
          <w:sz w:val="28"/>
          <w:szCs w:val="28"/>
          <w:highlight w:val="none"/>
        </w:rPr>
        <w:t>……</w:t>
      </w:r>
      <w:r>
        <w:rPr>
          <w:rFonts w:hint="eastAsia"/>
          <w:color w:val="auto"/>
          <w:sz w:val="28"/>
          <w:szCs w:val="28"/>
          <w:highlight w:val="none"/>
          <w:lang w:val="en-US" w:eastAsia="zh-CN"/>
        </w:rPr>
        <w:t>...............................</w:t>
      </w:r>
      <w:r>
        <w:rPr>
          <w:color w:val="auto"/>
          <w:sz w:val="28"/>
          <w:szCs w:val="28"/>
          <w:highlight w:val="none"/>
        </w:rPr>
        <w:t>…</w:t>
      </w:r>
      <w:r>
        <w:rPr>
          <w:rFonts w:hint="eastAsia"/>
          <w:color w:val="auto"/>
          <w:sz w:val="28"/>
          <w:szCs w:val="28"/>
          <w:highlight w:val="none"/>
          <w:lang w:val="en-US" w:eastAsia="zh-CN"/>
        </w:rPr>
        <w:t>.</w:t>
      </w:r>
      <w:r>
        <w:rPr>
          <w:color w:val="auto"/>
          <w:sz w:val="28"/>
          <w:szCs w:val="28"/>
          <w:highlight w:val="none"/>
        </w:rPr>
        <w:t>…（报价人填写页码）</w:t>
      </w:r>
    </w:p>
    <w:p>
      <w:pPr>
        <w:pStyle w:val="2"/>
        <w:numPr>
          <w:ilvl w:val="-1"/>
          <w:numId w:val="0"/>
        </w:numPr>
        <w:snapToGrid w:val="0"/>
        <w:spacing w:after="0" w:line="360" w:lineRule="auto"/>
        <w:rPr>
          <w:rFonts w:hint="eastAsia"/>
          <w:color w:val="auto"/>
          <w:sz w:val="28"/>
          <w:szCs w:val="28"/>
          <w:highlight w:val="none"/>
          <w:lang w:val="en-US" w:eastAsia="zh-CN"/>
        </w:rPr>
      </w:pPr>
    </w:p>
    <w:p>
      <w:pPr>
        <w:pStyle w:val="2"/>
        <w:numPr>
          <w:ilvl w:val="-1"/>
          <w:numId w:val="0"/>
        </w:numPr>
        <w:snapToGrid w:val="0"/>
        <w:spacing w:after="0" w:line="360" w:lineRule="auto"/>
        <w:rPr>
          <w:rFonts w:hint="default"/>
          <w:color w:val="auto"/>
          <w:sz w:val="28"/>
          <w:szCs w:val="28"/>
          <w:highlight w:val="none"/>
          <w:lang w:val="en-US" w:eastAsia="zh-CN"/>
        </w:rPr>
      </w:pPr>
      <w:r>
        <w:rPr>
          <w:rFonts w:hint="eastAsia"/>
          <w:color w:val="auto"/>
          <w:sz w:val="28"/>
          <w:szCs w:val="28"/>
          <w:highlight w:val="none"/>
          <w:lang w:val="en-US" w:eastAsia="zh-CN"/>
        </w:rPr>
        <w:t>（五）合同条款响应情况</w:t>
      </w:r>
      <w:r>
        <w:rPr>
          <w:color w:val="auto"/>
          <w:sz w:val="28"/>
          <w:szCs w:val="28"/>
          <w:highlight w:val="none"/>
        </w:rPr>
        <w:t>……</w:t>
      </w:r>
      <w:r>
        <w:rPr>
          <w:rFonts w:hint="eastAsia"/>
          <w:color w:val="auto"/>
          <w:sz w:val="28"/>
          <w:szCs w:val="28"/>
          <w:highlight w:val="none"/>
          <w:lang w:val="en-US" w:eastAsia="zh-CN"/>
        </w:rPr>
        <w:t>...............................</w:t>
      </w:r>
      <w:r>
        <w:rPr>
          <w:color w:val="auto"/>
          <w:sz w:val="28"/>
          <w:szCs w:val="28"/>
          <w:highlight w:val="none"/>
        </w:rPr>
        <w:t>…</w:t>
      </w:r>
      <w:r>
        <w:rPr>
          <w:rFonts w:hint="eastAsia"/>
          <w:color w:val="auto"/>
          <w:sz w:val="28"/>
          <w:szCs w:val="28"/>
          <w:highlight w:val="none"/>
          <w:lang w:val="en-US" w:eastAsia="zh-CN"/>
        </w:rPr>
        <w:t>.</w:t>
      </w:r>
      <w:r>
        <w:rPr>
          <w:color w:val="auto"/>
          <w:sz w:val="28"/>
          <w:szCs w:val="28"/>
          <w:highlight w:val="none"/>
        </w:rPr>
        <w:t>…（报价人填写页码）</w:t>
      </w:r>
    </w:p>
    <w:p>
      <w:pPr>
        <w:pStyle w:val="2"/>
        <w:numPr>
          <w:ilvl w:val="-1"/>
          <w:numId w:val="0"/>
        </w:numPr>
        <w:snapToGrid w:val="0"/>
        <w:spacing w:after="0" w:line="360" w:lineRule="auto"/>
        <w:rPr>
          <w:rFonts w:hint="eastAsia"/>
          <w:color w:val="auto"/>
          <w:sz w:val="28"/>
          <w:szCs w:val="28"/>
          <w:highlight w:val="none"/>
          <w:lang w:val="en-US" w:eastAsia="zh-CN"/>
        </w:rPr>
      </w:pPr>
    </w:p>
    <w:p>
      <w:pPr>
        <w:pStyle w:val="2"/>
        <w:numPr>
          <w:ilvl w:val="-1"/>
          <w:numId w:val="0"/>
        </w:numPr>
        <w:snapToGrid w:val="0"/>
        <w:spacing w:after="0" w:line="360" w:lineRule="auto"/>
        <w:rPr>
          <w:rFonts w:hint="eastAsia"/>
          <w:color w:val="auto"/>
          <w:sz w:val="28"/>
          <w:szCs w:val="28"/>
          <w:highlight w:val="none"/>
          <w:lang w:val="en-US" w:eastAsia="zh-CN"/>
        </w:rPr>
      </w:pPr>
      <w:r>
        <w:rPr>
          <w:rFonts w:hint="eastAsia"/>
          <w:color w:val="auto"/>
          <w:sz w:val="28"/>
          <w:szCs w:val="28"/>
          <w:highlight w:val="none"/>
          <w:lang w:val="en-US" w:eastAsia="zh-CN"/>
        </w:rPr>
        <w:t>（六）拟投入本项目的服务人员清单表</w:t>
      </w:r>
      <w:r>
        <w:rPr>
          <w:color w:val="auto"/>
          <w:sz w:val="28"/>
          <w:szCs w:val="28"/>
          <w:highlight w:val="none"/>
        </w:rPr>
        <w:t>……</w:t>
      </w:r>
      <w:r>
        <w:rPr>
          <w:rFonts w:hint="eastAsia"/>
          <w:color w:val="auto"/>
          <w:sz w:val="28"/>
          <w:szCs w:val="28"/>
          <w:highlight w:val="none"/>
          <w:lang w:val="en-US" w:eastAsia="zh-CN"/>
        </w:rPr>
        <w:t>........</w:t>
      </w:r>
      <w:r>
        <w:rPr>
          <w:color w:val="auto"/>
          <w:sz w:val="28"/>
          <w:szCs w:val="28"/>
          <w:highlight w:val="none"/>
        </w:rPr>
        <w:t>…</w:t>
      </w:r>
      <w:r>
        <w:rPr>
          <w:rFonts w:hint="eastAsia"/>
          <w:color w:val="auto"/>
          <w:sz w:val="28"/>
          <w:szCs w:val="28"/>
          <w:highlight w:val="none"/>
          <w:lang w:val="en-US" w:eastAsia="zh-CN"/>
        </w:rPr>
        <w:t>.</w:t>
      </w:r>
      <w:r>
        <w:rPr>
          <w:color w:val="auto"/>
          <w:sz w:val="28"/>
          <w:szCs w:val="28"/>
          <w:highlight w:val="none"/>
        </w:rPr>
        <w:t>…（报价人填写页码）</w:t>
      </w:r>
    </w:p>
    <w:p>
      <w:pPr>
        <w:pStyle w:val="2"/>
        <w:numPr>
          <w:ilvl w:val="-1"/>
          <w:numId w:val="0"/>
        </w:numPr>
        <w:snapToGrid w:val="0"/>
        <w:spacing w:after="0" w:line="360" w:lineRule="auto"/>
        <w:rPr>
          <w:rFonts w:hint="eastAsia"/>
          <w:color w:val="auto"/>
          <w:sz w:val="28"/>
          <w:szCs w:val="28"/>
          <w:highlight w:val="none"/>
          <w:lang w:val="en-US" w:eastAsia="zh-CN"/>
        </w:rPr>
      </w:pPr>
    </w:p>
    <w:p>
      <w:pPr>
        <w:pStyle w:val="2"/>
        <w:numPr>
          <w:ilvl w:val="-1"/>
          <w:numId w:val="0"/>
        </w:numPr>
        <w:snapToGrid w:val="0"/>
        <w:spacing w:after="0" w:line="360" w:lineRule="auto"/>
        <w:rPr>
          <w:color w:val="auto"/>
          <w:sz w:val="21"/>
          <w:szCs w:val="24"/>
          <w:highlight w:val="none"/>
        </w:rPr>
      </w:pPr>
      <w:r>
        <w:rPr>
          <w:rFonts w:hint="eastAsia"/>
          <w:color w:val="auto"/>
          <w:sz w:val="28"/>
          <w:szCs w:val="28"/>
          <w:highlight w:val="none"/>
          <w:lang w:val="en-US" w:eastAsia="zh-CN"/>
        </w:rPr>
        <w:t>（七）报价人认为需要提供的其他证明材料</w:t>
      </w:r>
      <w:r>
        <w:rPr>
          <w:color w:val="auto"/>
          <w:sz w:val="28"/>
          <w:szCs w:val="28"/>
          <w:highlight w:val="none"/>
        </w:rPr>
        <w:t>……</w:t>
      </w:r>
      <w:r>
        <w:rPr>
          <w:rFonts w:hint="eastAsia"/>
          <w:color w:val="auto"/>
          <w:sz w:val="28"/>
          <w:szCs w:val="28"/>
          <w:highlight w:val="none"/>
          <w:lang w:val="en-US" w:eastAsia="zh-CN"/>
        </w:rPr>
        <w:t>......</w:t>
      </w:r>
      <w:r>
        <w:rPr>
          <w:color w:val="auto"/>
          <w:sz w:val="28"/>
          <w:szCs w:val="28"/>
          <w:highlight w:val="none"/>
        </w:rPr>
        <w:t>…（报价人填写页码）</w:t>
      </w:r>
    </w:p>
    <w:p>
      <w:pPr>
        <w:pStyle w:val="2"/>
        <w:snapToGrid w:val="0"/>
        <w:spacing w:after="0" w:line="360" w:lineRule="auto"/>
        <w:rPr>
          <w:color w:val="auto"/>
          <w:sz w:val="28"/>
          <w:szCs w:val="28"/>
          <w:highlight w:val="none"/>
        </w:rPr>
      </w:pPr>
    </w:p>
    <w:p>
      <w:pPr>
        <w:pStyle w:val="3"/>
        <w:rPr>
          <w:color w:val="auto"/>
          <w:sz w:val="21"/>
          <w:szCs w:val="24"/>
          <w:highlight w:val="none"/>
        </w:rPr>
      </w:pPr>
    </w:p>
    <w:p>
      <w:pPr>
        <w:pStyle w:val="2"/>
        <w:rPr>
          <w:color w:val="auto"/>
          <w:highlight w:val="none"/>
        </w:rPr>
      </w:pPr>
    </w:p>
    <w:p>
      <w:pPr>
        <w:pStyle w:val="2"/>
        <w:rPr>
          <w:color w:val="auto"/>
          <w:highlight w:val="none"/>
        </w:rPr>
      </w:pPr>
    </w:p>
    <w:p>
      <w:pPr>
        <w:pStyle w:val="5"/>
        <w:pageBreakBefore/>
        <w:spacing w:before="0" w:after="0" w:line="360" w:lineRule="auto"/>
        <w:jc w:val="center"/>
        <w:rPr>
          <w:rFonts w:ascii="Times New Roman" w:hAnsi="Times New Roman" w:eastAsia="宋体"/>
          <w:color w:val="auto"/>
          <w:sz w:val="36"/>
          <w:szCs w:val="36"/>
          <w:highlight w:val="none"/>
        </w:rPr>
      </w:pPr>
      <w:bookmarkStart w:id="195" w:name="_Toc13364"/>
      <w:bookmarkStart w:id="196" w:name="_Toc4723"/>
      <w:r>
        <w:rPr>
          <w:rFonts w:hint="eastAsia" w:ascii="Times New Roman" w:hAnsi="Times New Roman" w:eastAsia="宋体"/>
          <w:color w:val="auto"/>
          <w:sz w:val="36"/>
          <w:szCs w:val="36"/>
          <w:highlight w:val="none"/>
          <w:lang w:eastAsia="zh-CN"/>
        </w:rPr>
        <w:t>（</w:t>
      </w:r>
      <w:r>
        <w:rPr>
          <w:rFonts w:hint="eastAsia" w:ascii="Times New Roman" w:hAnsi="Times New Roman" w:eastAsia="宋体"/>
          <w:color w:val="auto"/>
          <w:sz w:val="36"/>
          <w:szCs w:val="36"/>
          <w:highlight w:val="none"/>
          <w:lang w:val="en-US" w:eastAsia="zh-CN"/>
        </w:rPr>
        <w:t>一</w:t>
      </w:r>
      <w:r>
        <w:rPr>
          <w:rFonts w:hint="eastAsia" w:ascii="Times New Roman" w:hAnsi="Times New Roman" w:eastAsia="宋体"/>
          <w:color w:val="auto"/>
          <w:sz w:val="36"/>
          <w:szCs w:val="36"/>
          <w:highlight w:val="none"/>
          <w:lang w:eastAsia="zh-CN"/>
        </w:rPr>
        <w:t>）</w:t>
      </w:r>
      <w:r>
        <w:rPr>
          <w:rFonts w:ascii="Times New Roman" w:hAnsi="Times New Roman" w:eastAsia="宋体"/>
          <w:color w:val="auto"/>
          <w:sz w:val="36"/>
          <w:szCs w:val="36"/>
          <w:highlight w:val="none"/>
        </w:rPr>
        <w:t>报价表</w:t>
      </w:r>
      <w:bookmarkEnd w:id="186"/>
      <w:bookmarkEnd w:id="187"/>
      <w:bookmarkEnd w:id="188"/>
      <w:bookmarkEnd w:id="194"/>
      <w:bookmarkEnd w:id="195"/>
      <w:bookmarkEnd w:id="196"/>
    </w:p>
    <w:p>
      <w:pPr>
        <w:spacing w:line="360" w:lineRule="auto"/>
        <w:ind w:firstLine="5040" w:firstLineChars="2400"/>
        <w:jc w:val="right"/>
        <w:rPr>
          <w:color w:val="auto"/>
          <w:szCs w:val="21"/>
          <w:highlight w:val="none"/>
          <w:lang w:val="zh-CN"/>
        </w:rPr>
      </w:pPr>
    </w:p>
    <w:p>
      <w:pPr>
        <w:pStyle w:val="2"/>
        <w:rPr>
          <w:rFonts w:ascii="宋体" w:hAnsi="宋体" w:eastAsia="宋体"/>
          <w:b/>
          <w:color w:val="auto"/>
          <w:sz w:val="28"/>
          <w:highlight w:val="none"/>
          <w:lang w:val="zh-CN"/>
        </w:rPr>
      </w:pPr>
      <w:r>
        <w:rPr>
          <w:rFonts w:ascii="宋体" w:hAnsi="宋体" w:eastAsia="宋体"/>
          <w:b/>
          <w:color w:val="auto"/>
          <w:sz w:val="28"/>
          <w:highlight w:val="none"/>
          <w:lang w:val="zh-CN"/>
        </w:rPr>
        <w:t>1.1报价表</w:t>
      </w:r>
    </w:p>
    <w:tbl>
      <w:tblPr>
        <w:tblStyle w:val="16"/>
        <w:tblW w:w="9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7"/>
        <w:gridCol w:w="6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2317" w:type="dxa"/>
            <w:vAlign w:val="center"/>
          </w:tcPr>
          <w:p>
            <w:pPr>
              <w:jc w:val="center"/>
              <w:rPr>
                <w:color w:val="auto"/>
                <w:szCs w:val="21"/>
                <w:highlight w:val="none"/>
              </w:rPr>
            </w:pPr>
            <w:r>
              <w:rPr>
                <w:color w:val="auto"/>
                <w:szCs w:val="21"/>
                <w:highlight w:val="none"/>
              </w:rPr>
              <w:t>项目名称</w:t>
            </w:r>
          </w:p>
        </w:tc>
        <w:tc>
          <w:tcPr>
            <w:tcW w:w="6922" w:type="dxa"/>
            <w:vAlign w:val="center"/>
          </w:tcPr>
          <w:p>
            <w:pPr>
              <w:rPr>
                <w:rFonts w:hint="eastAsia" w:eastAsia="宋体"/>
                <w:color w:val="auto"/>
                <w:szCs w:val="21"/>
                <w:highlight w:val="none"/>
                <w:lang w:eastAsia="zh-CN"/>
              </w:rPr>
            </w:pPr>
            <w:r>
              <w:rPr>
                <w:rFonts w:hint="eastAsia"/>
                <w:color w:val="auto"/>
                <w:szCs w:val="21"/>
                <w:highlight w:val="none"/>
                <w:lang w:val="en-US" w:eastAsia="zh-CN"/>
              </w:rPr>
              <w:t>东莞市智汇水务科技有限公司2024年股权、设备资产价值评估单位采购项目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2317" w:type="dxa"/>
            <w:vAlign w:val="center"/>
          </w:tcPr>
          <w:p>
            <w:pPr>
              <w:jc w:val="center"/>
              <w:rPr>
                <w:color w:val="auto"/>
                <w:highlight w:val="none"/>
              </w:rPr>
            </w:pPr>
            <w:r>
              <w:rPr>
                <w:color w:val="auto"/>
                <w:highlight w:val="none"/>
              </w:rPr>
              <w:t>不含税报价</w:t>
            </w:r>
          </w:p>
          <w:p>
            <w:pPr>
              <w:pStyle w:val="2"/>
              <w:jc w:val="center"/>
              <w:rPr>
                <w:rFonts w:hint="default" w:eastAsia="宋体"/>
                <w:color w:val="auto"/>
                <w:highlight w:val="none"/>
                <w:lang w:val="en-US" w:eastAsia="zh-CN"/>
              </w:rPr>
            </w:pPr>
            <w:r>
              <w:rPr>
                <w:rFonts w:hint="eastAsia"/>
                <w:color w:val="auto"/>
                <w:szCs w:val="21"/>
                <w:highlight w:val="none"/>
                <w:lang w:eastAsia="zh-CN"/>
              </w:rPr>
              <w:t>（</w:t>
            </w:r>
            <w:r>
              <w:rPr>
                <w:rFonts w:hint="eastAsia"/>
                <w:color w:val="auto"/>
                <w:szCs w:val="21"/>
                <w:highlight w:val="none"/>
                <w:lang w:val="en-US" w:eastAsia="zh-CN"/>
              </w:rPr>
              <w:t>总价</w:t>
            </w:r>
            <w:r>
              <w:rPr>
                <w:rFonts w:hint="eastAsia"/>
                <w:color w:val="auto"/>
                <w:szCs w:val="21"/>
                <w:highlight w:val="none"/>
                <w:lang w:eastAsia="zh-CN"/>
              </w:rPr>
              <w:t>）</w:t>
            </w:r>
          </w:p>
        </w:tc>
        <w:tc>
          <w:tcPr>
            <w:tcW w:w="6922" w:type="dxa"/>
            <w:vAlign w:val="center"/>
          </w:tcPr>
          <w:p>
            <w:pPr>
              <w:pStyle w:val="7"/>
              <w:spacing w:line="360" w:lineRule="auto"/>
              <w:jc w:val="left"/>
              <w:rPr>
                <w:rFonts w:hint="eastAsia" w:ascii="Times New Roman" w:hAnsi="Times New Roman"/>
                <w:bCs/>
                <w:color w:val="auto"/>
                <w:szCs w:val="21"/>
                <w:highlight w:val="none"/>
                <w:lang w:val="en-US" w:eastAsia="zh-CN"/>
              </w:rPr>
            </w:pPr>
            <w:r>
              <w:rPr>
                <w:rFonts w:ascii="Times New Roman" w:hAnsi="Times New Roman"/>
                <w:bCs/>
                <w:color w:val="auto"/>
                <w:szCs w:val="21"/>
                <w:highlight w:val="none"/>
                <w:u w:val="single"/>
                <w:lang w:val="zh-CN"/>
              </w:rPr>
              <w:t xml:space="preserve">             </w:t>
            </w:r>
            <w:r>
              <w:rPr>
                <w:rFonts w:ascii="Times New Roman" w:hAnsi="Times New Roman"/>
                <w:bCs/>
                <w:color w:val="auto"/>
                <w:szCs w:val="21"/>
                <w:highlight w:val="none"/>
                <w:u w:val="none"/>
                <w:lang w:val="zh-CN"/>
              </w:rPr>
              <w:t>元</w:t>
            </w:r>
            <w:r>
              <w:rPr>
                <w:rFonts w:hint="eastAsia" w:ascii="Times New Roman" w:hAnsi="Times New Roman"/>
                <w:bCs/>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2317" w:type="dxa"/>
            <w:vAlign w:val="center"/>
          </w:tcPr>
          <w:p>
            <w:pPr>
              <w:jc w:val="center"/>
              <w:rPr>
                <w:color w:val="auto"/>
                <w:szCs w:val="21"/>
                <w:highlight w:val="none"/>
              </w:rPr>
            </w:pPr>
            <w:r>
              <w:rPr>
                <w:color w:val="auto"/>
                <w:szCs w:val="21"/>
                <w:highlight w:val="none"/>
              </w:rPr>
              <w:t>报价人纳税类型</w:t>
            </w:r>
          </w:p>
        </w:tc>
        <w:tc>
          <w:tcPr>
            <w:tcW w:w="6922" w:type="dxa"/>
            <w:vAlign w:val="center"/>
          </w:tcPr>
          <w:p>
            <w:pPr>
              <w:pStyle w:val="7"/>
              <w:spacing w:line="360" w:lineRule="auto"/>
              <w:rPr>
                <w:rFonts w:ascii="Times New Roman" w:hAnsi="Times New Roman"/>
                <w:color w:val="auto"/>
                <w:szCs w:val="21"/>
                <w:highlight w:val="none"/>
                <w:u w:val="single"/>
              </w:rPr>
            </w:pPr>
            <w:r>
              <w:rPr>
                <w:rFonts w:ascii="Times New Roman" w:hAnsi="Times New Roman"/>
                <w:color w:val="auto"/>
                <w:szCs w:val="21"/>
                <w:highlight w:val="none"/>
              </w:rPr>
              <w:sym w:font="Wingdings 2" w:char="00A3"/>
            </w:r>
            <w:r>
              <w:rPr>
                <w:rFonts w:ascii="Times New Roman" w:hAnsi="Times New Roman"/>
                <w:color w:val="auto"/>
                <w:szCs w:val="21"/>
                <w:highlight w:val="none"/>
              </w:rPr>
              <w:t>一般纳税人，增值税税率</w:t>
            </w:r>
            <w:r>
              <w:rPr>
                <w:rFonts w:ascii="Times New Roman" w:hAnsi="Times New Roman"/>
                <w:bCs/>
                <w:color w:val="auto"/>
                <w:szCs w:val="21"/>
                <w:highlight w:val="none"/>
                <w:u w:val="single"/>
                <w:lang w:val="zh-CN"/>
              </w:rPr>
              <w:t xml:space="preserve">          </w:t>
            </w:r>
            <w:r>
              <w:rPr>
                <w:rFonts w:ascii="Times New Roman" w:hAnsi="Times New Roman"/>
                <w:color w:val="auto"/>
                <w:szCs w:val="21"/>
                <w:highlight w:val="none"/>
              </w:rPr>
              <w:t>。</w:t>
            </w:r>
          </w:p>
          <w:p>
            <w:pPr>
              <w:pStyle w:val="7"/>
              <w:spacing w:line="360" w:lineRule="auto"/>
              <w:rPr>
                <w:rFonts w:ascii="Times New Roman" w:hAnsi="Times New Roman"/>
                <w:color w:val="auto"/>
                <w:szCs w:val="21"/>
                <w:highlight w:val="none"/>
                <w:u w:val="single"/>
              </w:rPr>
            </w:pPr>
            <w:r>
              <w:rPr>
                <w:rFonts w:ascii="Times New Roman" w:hAnsi="Times New Roman"/>
                <w:color w:val="auto"/>
                <w:szCs w:val="21"/>
                <w:highlight w:val="none"/>
              </w:rPr>
              <w:sym w:font="Wingdings 2" w:char="00A3"/>
            </w:r>
            <w:r>
              <w:rPr>
                <w:rFonts w:ascii="Times New Roman" w:hAnsi="Times New Roman"/>
                <w:color w:val="auto"/>
                <w:szCs w:val="21"/>
                <w:highlight w:val="none"/>
              </w:rPr>
              <w:t>小规模纳税人，增值税税率</w:t>
            </w:r>
            <w:r>
              <w:rPr>
                <w:rFonts w:ascii="Times New Roman" w:hAnsi="Times New Roman"/>
                <w:bCs/>
                <w:color w:val="auto"/>
                <w:szCs w:val="21"/>
                <w:highlight w:val="none"/>
                <w:u w:val="single"/>
                <w:lang w:val="zh-CN"/>
              </w:rPr>
              <w:t xml:space="preserve">          </w:t>
            </w:r>
            <w:r>
              <w:rPr>
                <w:rFonts w:ascii="Times New Roman" w:hAnsi="Times New Roman"/>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trPr>
        <w:tc>
          <w:tcPr>
            <w:tcW w:w="2317"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6922" w:type="dxa"/>
            <w:vAlign w:val="center"/>
          </w:tcPr>
          <w:p>
            <w:pPr>
              <w:snapToGrid w:val="0"/>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上述不含税报价</w:t>
            </w:r>
            <w:r>
              <w:rPr>
                <w:rFonts w:hint="eastAsia" w:ascii="宋体" w:hAnsi="宋体" w:eastAsia="宋体" w:cs="宋体"/>
                <w:color w:val="auto"/>
                <w:szCs w:val="21"/>
                <w:highlight w:val="none"/>
                <w:lang w:val="en-US" w:eastAsia="zh-CN"/>
              </w:rPr>
              <w:t xml:space="preserve">为乙方完成应承担合同义务的全部费用，包括但不限于： </w:t>
            </w:r>
          </w:p>
          <w:p>
            <w:pPr>
              <w:snapToGrid w:val="0"/>
              <w:spacing w:line="24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zh-CN"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val="zh-CN" w:eastAsia="zh-CN"/>
              </w:rPr>
              <w:t>）</w:t>
            </w:r>
            <w:r>
              <w:rPr>
                <w:rFonts w:hint="eastAsia" w:ascii="宋体" w:hAnsi="宋体" w:eastAsia="宋体" w:cs="宋体"/>
                <w:color w:val="auto"/>
                <w:szCs w:val="21"/>
                <w:highlight w:val="none"/>
                <w:lang w:val="zh-CN" w:eastAsia="zh-CN"/>
              </w:rPr>
              <w:t>实地查勘、资料收集/核实/分析、编写评估报告（含初评/</w:t>
            </w:r>
            <w:r>
              <w:rPr>
                <w:rFonts w:hint="eastAsia" w:ascii="宋体" w:hAnsi="宋体" w:cs="宋体"/>
                <w:color w:val="auto"/>
                <w:szCs w:val="21"/>
                <w:highlight w:val="none"/>
                <w:lang w:val="en-US" w:eastAsia="zh-CN"/>
              </w:rPr>
              <w:t>过程</w:t>
            </w:r>
            <w:r>
              <w:rPr>
                <w:rFonts w:hint="eastAsia" w:ascii="宋体" w:hAnsi="宋体" w:eastAsia="宋体" w:cs="宋体"/>
                <w:color w:val="auto"/>
                <w:szCs w:val="21"/>
                <w:highlight w:val="none"/>
                <w:lang w:val="zh-CN" w:eastAsia="zh-CN"/>
              </w:rPr>
              <w:t>修改/正式版等）；</w:t>
            </w:r>
          </w:p>
          <w:p>
            <w:pPr>
              <w:snapToGrid w:val="0"/>
              <w:spacing w:line="24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eastAsia="zh-CN"/>
              </w:rPr>
              <w:t>）服务期间</w:t>
            </w:r>
            <w:r>
              <w:rPr>
                <w:rFonts w:hint="eastAsia" w:ascii="宋体" w:hAnsi="宋体" w:eastAsia="宋体" w:cs="宋体"/>
                <w:color w:val="auto"/>
                <w:szCs w:val="21"/>
                <w:highlight w:val="none"/>
                <w:lang w:val="en-US" w:eastAsia="zh-CN"/>
              </w:rPr>
              <w:t>人员</w:t>
            </w:r>
            <w:r>
              <w:rPr>
                <w:rFonts w:hint="eastAsia" w:ascii="宋体" w:hAnsi="宋体" w:eastAsia="宋体" w:cs="宋体"/>
                <w:color w:val="auto"/>
                <w:szCs w:val="21"/>
                <w:highlight w:val="none"/>
                <w:lang w:val="zh-CN" w:eastAsia="zh-CN"/>
              </w:rPr>
              <w:t>工资、管理费、交通费、通讯费、</w:t>
            </w:r>
            <w:r>
              <w:rPr>
                <w:rFonts w:hint="eastAsia" w:ascii="宋体" w:hAnsi="宋体" w:eastAsia="宋体" w:cs="宋体"/>
                <w:color w:val="auto"/>
                <w:szCs w:val="21"/>
                <w:highlight w:val="none"/>
                <w:lang w:val="en-US" w:eastAsia="zh-CN"/>
              </w:rPr>
              <w:t>餐费、差旅费、保险费</w:t>
            </w:r>
            <w:r>
              <w:rPr>
                <w:rFonts w:hint="eastAsia" w:ascii="宋体" w:hAnsi="宋体" w:eastAsia="宋体" w:cs="宋体"/>
                <w:color w:val="auto"/>
                <w:szCs w:val="21"/>
                <w:highlight w:val="none"/>
                <w:lang w:val="zh-CN" w:eastAsia="zh-CN"/>
              </w:rPr>
              <w:t>等一切费用；</w:t>
            </w:r>
          </w:p>
          <w:p>
            <w:pPr>
              <w:snapToGrid w:val="0"/>
              <w:spacing w:line="24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eastAsia="zh-CN"/>
              </w:rPr>
              <w:t>）合理利润、</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lang w:val="zh-CN" w:eastAsia="zh-CN"/>
              </w:rPr>
              <w:t>销项税额以外的税费等；</w:t>
            </w:r>
          </w:p>
          <w:p>
            <w:pPr>
              <w:snapToGrid w:val="0"/>
              <w:spacing w:line="24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eastAsia="zh-CN"/>
              </w:rPr>
              <w:t>）法律法规、商业公认、</w:t>
            </w:r>
            <w:r>
              <w:rPr>
                <w:rFonts w:hint="eastAsia" w:ascii="宋体" w:hAnsi="宋体" w:eastAsia="宋体" w:cs="宋体"/>
                <w:color w:val="auto"/>
                <w:szCs w:val="21"/>
                <w:highlight w:val="none"/>
                <w:lang w:val="en-US" w:eastAsia="zh-CN"/>
              </w:rPr>
              <w:t>询价</w:t>
            </w:r>
            <w:r>
              <w:rPr>
                <w:rFonts w:hint="eastAsia" w:ascii="宋体" w:hAnsi="宋体" w:eastAsia="宋体" w:cs="宋体"/>
                <w:color w:val="auto"/>
                <w:szCs w:val="21"/>
                <w:highlight w:val="none"/>
                <w:lang w:val="zh-CN" w:eastAsia="zh-CN"/>
              </w:rPr>
              <w:t>文件规定由</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lang w:val="zh-CN" w:eastAsia="zh-CN"/>
              </w:rPr>
              <w:t>承担的其他费用。</w:t>
            </w:r>
          </w:p>
          <w:p>
            <w:pPr>
              <w:spacing w:line="240" w:lineRule="auto"/>
              <w:rPr>
                <w:rFonts w:hint="eastAsia"/>
                <w:color w:val="auto"/>
                <w:highlight w:val="none"/>
                <w:lang w:val="zh-CN"/>
              </w:rPr>
            </w:pP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依法计算的报价人的销项税额由采购人承担，不计入报价。</w:t>
            </w:r>
          </w:p>
        </w:tc>
      </w:tr>
    </w:tbl>
    <w:p>
      <w:pPr>
        <w:pStyle w:val="2"/>
        <w:rPr>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040" w:firstLineChars="2400"/>
        <w:jc w:val="right"/>
        <w:textAlignment w:val="auto"/>
        <w:rPr>
          <w:color w:val="auto"/>
          <w:szCs w:val="21"/>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ind w:firstLine="5040" w:firstLineChars="2400"/>
        <w:jc w:val="right"/>
        <w:textAlignment w:val="auto"/>
        <w:rPr>
          <w:color w:val="auto"/>
          <w:szCs w:val="21"/>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ind w:firstLine="5040" w:firstLineChars="2400"/>
        <w:jc w:val="right"/>
        <w:textAlignment w:val="auto"/>
        <w:rPr>
          <w:color w:val="auto"/>
          <w:szCs w:val="21"/>
          <w:highlight w:val="none"/>
          <w:lang w:val="zh-CN"/>
        </w:rPr>
      </w:pPr>
      <w:r>
        <w:rPr>
          <w:color w:val="auto"/>
          <w:szCs w:val="21"/>
          <w:highlight w:val="none"/>
          <w:lang w:val="zh-CN"/>
        </w:rPr>
        <w:t>报价人：（加盖报价人法人公章）</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color w:val="auto"/>
          <w:szCs w:val="21"/>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color w:val="auto"/>
          <w:szCs w:val="21"/>
          <w:highlight w:val="none"/>
          <w:lang w:val="zh-CN"/>
        </w:rPr>
      </w:pPr>
      <w:r>
        <w:rPr>
          <w:color w:val="auto"/>
          <w:szCs w:val="21"/>
          <w:highlight w:val="none"/>
          <w:lang w:val="zh-CN"/>
        </w:rPr>
        <w:t>日期：</w:t>
      </w:r>
      <w:r>
        <w:rPr>
          <w:rFonts w:hint="eastAsia"/>
          <w:color w:val="auto"/>
          <w:szCs w:val="21"/>
          <w:highlight w:val="none"/>
          <w:lang w:val="en-US" w:eastAsia="zh-CN"/>
        </w:rPr>
        <w:t xml:space="preserve">  </w:t>
      </w:r>
      <w:r>
        <w:rPr>
          <w:rFonts w:hint="eastAsia"/>
          <w:color w:val="auto"/>
          <w:szCs w:val="21"/>
          <w:highlight w:val="none"/>
          <w:lang w:val="zh-CN"/>
        </w:rPr>
        <w:t xml:space="preserve"> </w:t>
      </w:r>
      <w:r>
        <w:rPr>
          <w:color w:val="auto"/>
          <w:szCs w:val="21"/>
          <w:highlight w:val="none"/>
          <w:lang w:val="zh-CN"/>
        </w:rPr>
        <w:t>年</w:t>
      </w:r>
      <w:r>
        <w:rPr>
          <w:rFonts w:hint="eastAsia"/>
          <w:color w:val="auto"/>
          <w:szCs w:val="21"/>
          <w:highlight w:val="none"/>
          <w:lang w:val="en-US" w:eastAsia="zh-CN"/>
        </w:rPr>
        <w:t xml:space="preserve"> </w:t>
      </w:r>
      <w:r>
        <w:rPr>
          <w:rFonts w:hint="eastAsia"/>
          <w:color w:val="auto"/>
          <w:szCs w:val="21"/>
          <w:highlight w:val="none"/>
          <w:lang w:val="zh-CN"/>
        </w:rPr>
        <w:t xml:space="preserve"> </w:t>
      </w:r>
      <w:r>
        <w:rPr>
          <w:color w:val="auto"/>
          <w:szCs w:val="21"/>
          <w:highlight w:val="none"/>
          <w:lang w:val="zh-CN"/>
        </w:rPr>
        <w:t>月</w:t>
      </w:r>
      <w:r>
        <w:rPr>
          <w:rFonts w:hint="eastAsia"/>
          <w:color w:val="auto"/>
          <w:szCs w:val="21"/>
          <w:highlight w:val="none"/>
          <w:lang w:val="zh-CN"/>
        </w:rPr>
        <w:t xml:space="preserve"> </w:t>
      </w:r>
      <w:r>
        <w:rPr>
          <w:rFonts w:hint="eastAsia"/>
          <w:color w:val="auto"/>
          <w:szCs w:val="21"/>
          <w:highlight w:val="none"/>
          <w:lang w:val="en-US" w:eastAsia="zh-CN"/>
        </w:rPr>
        <w:t xml:space="preserve"> </w:t>
      </w:r>
      <w:r>
        <w:rPr>
          <w:color w:val="auto"/>
          <w:szCs w:val="21"/>
          <w:highlight w:val="none"/>
          <w:lang w:val="zh-CN"/>
        </w:rPr>
        <w:t>日</w:t>
      </w:r>
      <w:bookmarkStart w:id="197" w:name="_Toc34745986"/>
      <w:bookmarkStart w:id="198" w:name="_Toc34746361"/>
      <w:bookmarkStart w:id="199" w:name="_Toc34746053"/>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color w:val="auto"/>
          <w:szCs w:val="21"/>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color w:val="auto"/>
          <w:szCs w:val="21"/>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color w:val="auto"/>
          <w:szCs w:val="21"/>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color w:val="auto"/>
          <w:szCs w:val="21"/>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color w:val="auto"/>
          <w:szCs w:val="21"/>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color w:val="auto"/>
          <w:szCs w:val="21"/>
          <w:highlight w:val="none"/>
          <w:lang w:val="zh-CN"/>
        </w:rPr>
      </w:pPr>
    </w:p>
    <w:p>
      <w:pPr>
        <w:spacing w:after="0"/>
        <w:rPr>
          <w:rFonts w:ascii="宋体" w:hAnsi="宋体" w:eastAsia="宋体" w:cs="Times New Roman"/>
          <w:b/>
          <w:color w:val="auto"/>
          <w:kern w:val="2"/>
          <w:sz w:val="28"/>
          <w:szCs w:val="24"/>
          <w:highlight w:val="none"/>
          <w:lang w:val="zh-CN" w:eastAsia="zh-CN" w:bidi="ar-SA"/>
        </w:rPr>
      </w:pPr>
      <w:r>
        <w:rPr>
          <w:rFonts w:ascii="宋体" w:hAnsi="宋体" w:eastAsia="宋体" w:cs="Times New Roman"/>
          <w:b/>
          <w:color w:val="auto"/>
          <w:kern w:val="2"/>
          <w:sz w:val="28"/>
          <w:szCs w:val="24"/>
          <w:highlight w:val="none"/>
          <w:lang w:val="zh-CN" w:eastAsia="zh-CN" w:bidi="ar-SA"/>
        </w:rPr>
        <w:br w:type="page"/>
      </w:r>
    </w:p>
    <w:p>
      <w:pPr>
        <w:spacing w:after="120"/>
        <w:rPr>
          <w:rFonts w:hint="eastAsia" w:ascii="宋体" w:hAnsi="宋体" w:cs="Times New Roman"/>
          <w:b w:val="0"/>
          <w:bCs/>
          <w:color w:val="auto"/>
          <w:kern w:val="2"/>
          <w:sz w:val="28"/>
          <w:szCs w:val="24"/>
          <w:highlight w:val="none"/>
          <w:lang w:val="en-US" w:eastAsia="zh-CN" w:bidi="ar-SA"/>
        </w:rPr>
      </w:pPr>
      <w:r>
        <w:rPr>
          <w:rFonts w:ascii="宋体" w:hAnsi="宋体" w:eastAsia="宋体" w:cs="Times New Roman"/>
          <w:b/>
          <w:color w:val="auto"/>
          <w:kern w:val="2"/>
          <w:sz w:val="28"/>
          <w:szCs w:val="24"/>
          <w:highlight w:val="none"/>
          <w:lang w:val="zh-CN" w:eastAsia="zh-CN" w:bidi="ar-SA"/>
        </w:rPr>
        <w:t>1.2 分项报价明细表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2592"/>
        <w:gridCol w:w="2508"/>
        <w:gridCol w:w="2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6" w:type="dxa"/>
            <w:vAlign w:val="center"/>
          </w:tcPr>
          <w:p>
            <w:pPr>
              <w:spacing w:line="240" w:lineRule="auto"/>
              <w:jc w:val="center"/>
              <w:rPr>
                <w:rFonts w:hint="eastAsia" w:eastAsia="宋体"/>
                <w:color w:val="auto"/>
                <w:szCs w:val="21"/>
                <w:highlight w:val="none"/>
                <w:vertAlign w:val="baseline"/>
                <w:lang w:val="en-US" w:eastAsia="zh-CN"/>
              </w:rPr>
            </w:pPr>
            <w:r>
              <w:rPr>
                <w:rFonts w:hint="eastAsia"/>
                <w:color w:val="auto"/>
                <w:szCs w:val="21"/>
                <w:highlight w:val="none"/>
                <w:vertAlign w:val="baseline"/>
                <w:lang w:val="en-US" w:eastAsia="zh-CN"/>
              </w:rPr>
              <w:t>序号</w:t>
            </w:r>
          </w:p>
        </w:tc>
        <w:tc>
          <w:tcPr>
            <w:tcW w:w="2592" w:type="dxa"/>
            <w:vAlign w:val="center"/>
          </w:tcPr>
          <w:p>
            <w:pPr>
              <w:spacing w:line="240" w:lineRule="auto"/>
              <w:jc w:val="center"/>
              <w:rPr>
                <w:rFonts w:hint="default" w:eastAsia="宋体"/>
                <w:color w:val="auto"/>
                <w:szCs w:val="21"/>
                <w:highlight w:val="none"/>
                <w:vertAlign w:val="baseline"/>
                <w:lang w:val="en-US" w:eastAsia="zh-CN"/>
              </w:rPr>
            </w:pPr>
            <w:r>
              <w:rPr>
                <w:rFonts w:hint="eastAsia"/>
                <w:color w:val="auto"/>
                <w:szCs w:val="21"/>
                <w:highlight w:val="none"/>
                <w:vertAlign w:val="baseline"/>
                <w:lang w:val="en-US" w:eastAsia="zh-CN"/>
              </w:rPr>
              <w:t>报价项目</w:t>
            </w:r>
          </w:p>
        </w:tc>
        <w:tc>
          <w:tcPr>
            <w:tcW w:w="2508" w:type="dxa"/>
            <w:vAlign w:val="center"/>
          </w:tcPr>
          <w:p>
            <w:pPr>
              <w:spacing w:line="240" w:lineRule="auto"/>
              <w:jc w:val="center"/>
              <w:rPr>
                <w:rFonts w:hint="default" w:eastAsia="宋体"/>
                <w:color w:val="auto"/>
                <w:szCs w:val="21"/>
                <w:highlight w:val="none"/>
                <w:vertAlign w:val="baseline"/>
                <w:lang w:val="en-US" w:eastAsia="zh-CN"/>
              </w:rPr>
            </w:pPr>
            <w:r>
              <w:rPr>
                <w:rFonts w:hint="eastAsia"/>
                <w:color w:val="auto"/>
                <w:szCs w:val="21"/>
                <w:highlight w:val="none"/>
                <w:vertAlign w:val="baseline"/>
                <w:lang w:val="en-US" w:eastAsia="zh-CN"/>
              </w:rPr>
              <w:t>不含税报价（元）</w:t>
            </w:r>
          </w:p>
        </w:tc>
        <w:tc>
          <w:tcPr>
            <w:tcW w:w="2453" w:type="dxa"/>
            <w:vAlign w:val="center"/>
          </w:tcPr>
          <w:p>
            <w:pPr>
              <w:spacing w:line="240" w:lineRule="auto"/>
              <w:jc w:val="center"/>
              <w:rPr>
                <w:rFonts w:hint="eastAsia" w:eastAsia="宋体"/>
                <w:color w:val="auto"/>
                <w:szCs w:val="21"/>
                <w:highlight w:val="none"/>
                <w:vertAlign w:val="baseline"/>
                <w:lang w:val="en-US" w:eastAsia="zh-CN"/>
              </w:rPr>
            </w:pPr>
            <w:r>
              <w:rPr>
                <w:rFonts w:hint="eastAsia"/>
                <w:color w:val="auto"/>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6" w:type="dxa"/>
            <w:vAlign w:val="center"/>
          </w:tcPr>
          <w:p>
            <w:pPr>
              <w:spacing w:line="240" w:lineRule="auto"/>
              <w:jc w:val="center"/>
              <w:rPr>
                <w:rFonts w:hint="eastAsia" w:eastAsia="宋体"/>
                <w:color w:val="auto"/>
                <w:szCs w:val="21"/>
                <w:highlight w:val="none"/>
                <w:vertAlign w:val="baseline"/>
                <w:lang w:val="en-US" w:eastAsia="zh-CN"/>
              </w:rPr>
            </w:pPr>
            <w:r>
              <w:rPr>
                <w:rFonts w:hint="eastAsia"/>
                <w:color w:val="auto"/>
                <w:szCs w:val="21"/>
                <w:highlight w:val="none"/>
                <w:vertAlign w:val="baseline"/>
                <w:lang w:val="en-US" w:eastAsia="zh-CN"/>
              </w:rPr>
              <w:t>1</w:t>
            </w:r>
          </w:p>
        </w:tc>
        <w:tc>
          <w:tcPr>
            <w:tcW w:w="2592" w:type="dxa"/>
            <w:vAlign w:val="center"/>
          </w:tcPr>
          <w:p>
            <w:pPr>
              <w:spacing w:line="240" w:lineRule="auto"/>
              <w:jc w:val="center"/>
              <w:rPr>
                <w:rFonts w:hint="eastAsia" w:eastAsia="宋体"/>
                <w:color w:val="auto"/>
                <w:szCs w:val="21"/>
                <w:highlight w:val="none"/>
                <w:vertAlign w:val="baseline"/>
                <w:lang w:val="en-US" w:eastAsia="zh-CN"/>
              </w:rPr>
            </w:pPr>
            <w:r>
              <w:rPr>
                <w:rFonts w:hint="eastAsia"/>
                <w:color w:val="auto"/>
                <w:szCs w:val="21"/>
                <w:highlight w:val="none"/>
                <w:vertAlign w:val="baseline"/>
                <w:lang w:val="en-US" w:eastAsia="zh-CN"/>
              </w:rPr>
              <w:t>股权价值评估</w:t>
            </w:r>
          </w:p>
        </w:tc>
        <w:tc>
          <w:tcPr>
            <w:tcW w:w="2508" w:type="dxa"/>
            <w:vAlign w:val="center"/>
          </w:tcPr>
          <w:p>
            <w:pPr>
              <w:spacing w:line="240" w:lineRule="auto"/>
              <w:jc w:val="center"/>
              <w:rPr>
                <w:color w:val="auto"/>
                <w:szCs w:val="21"/>
                <w:highlight w:val="none"/>
                <w:vertAlign w:val="baseline"/>
              </w:rPr>
            </w:pPr>
          </w:p>
        </w:tc>
        <w:tc>
          <w:tcPr>
            <w:tcW w:w="2453" w:type="dxa"/>
            <w:vAlign w:val="center"/>
          </w:tcPr>
          <w:p>
            <w:pPr>
              <w:spacing w:line="240" w:lineRule="auto"/>
              <w:jc w:val="center"/>
              <w:rPr>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6" w:type="dxa"/>
            <w:vAlign w:val="center"/>
          </w:tcPr>
          <w:p>
            <w:pPr>
              <w:spacing w:line="240" w:lineRule="auto"/>
              <w:jc w:val="center"/>
              <w:rPr>
                <w:rFonts w:hint="eastAsia" w:eastAsia="宋体"/>
                <w:color w:val="auto"/>
                <w:szCs w:val="21"/>
                <w:highlight w:val="none"/>
                <w:vertAlign w:val="baseline"/>
                <w:lang w:val="en-US" w:eastAsia="zh-CN"/>
              </w:rPr>
            </w:pPr>
            <w:r>
              <w:rPr>
                <w:rFonts w:hint="eastAsia"/>
                <w:color w:val="auto"/>
                <w:szCs w:val="21"/>
                <w:highlight w:val="none"/>
                <w:vertAlign w:val="baseline"/>
                <w:lang w:val="en-US" w:eastAsia="zh-CN"/>
              </w:rPr>
              <w:t>2</w:t>
            </w:r>
          </w:p>
        </w:tc>
        <w:tc>
          <w:tcPr>
            <w:tcW w:w="2592" w:type="dxa"/>
            <w:vAlign w:val="center"/>
          </w:tcPr>
          <w:p>
            <w:pPr>
              <w:spacing w:line="240" w:lineRule="auto"/>
              <w:jc w:val="center"/>
              <w:rPr>
                <w:rFonts w:hint="default" w:eastAsia="宋体"/>
                <w:color w:val="auto"/>
                <w:szCs w:val="21"/>
                <w:highlight w:val="none"/>
                <w:vertAlign w:val="baseline"/>
                <w:lang w:val="en-US" w:eastAsia="zh-CN"/>
              </w:rPr>
            </w:pPr>
            <w:r>
              <w:rPr>
                <w:rFonts w:hint="eastAsia"/>
                <w:color w:val="auto"/>
                <w:szCs w:val="21"/>
                <w:highlight w:val="none"/>
                <w:vertAlign w:val="baseline"/>
                <w:lang w:val="en-US" w:eastAsia="zh-CN"/>
              </w:rPr>
              <w:t>设备资产价值评估</w:t>
            </w:r>
          </w:p>
        </w:tc>
        <w:tc>
          <w:tcPr>
            <w:tcW w:w="2508" w:type="dxa"/>
            <w:vAlign w:val="center"/>
          </w:tcPr>
          <w:p>
            <w:pPr>
              <w:spacing w:line="240" w:lineRule="auto"/>
              <w:jc w:val="center"/>
              <w:rPr>
                <w:color w:val="auto"/>
                <w:szCs w:val="21"/>
                <w:highlight w:val="none"/>
                <w:vertAlign w:val="baseline"/>
              </w:rPr>
            </w:pPr>
          </w:p>
        </w:tc>
        <w:tc>
          <w:tcPr>
            <w:tcW w:w="2453" w:type="dxa"/>
            <w:vAlign w:val="center"/>
          </w:tcPr>
          <w:p>
            <w:pPr>
              <w:spacing w:line="240" w:lineRule="auto"/>
              <w:jc w:val="center"/>
              <w:rPr>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558" w:type="dxa"/>
            <w:gridSpan w:val="2"/>
            <w:vAlign w:val="center"/>
          </w:tcPr>
          <w:p>
            <w:pPr>
              <w:spacing w:line="240" w:lineRule="auto"/>
              <w:jc w:val="center"/>
              <w:rPr>
                <w:rFonts w:hint="eastAsia" w:eastAsia="宋体"/>
                <w:b/>
                <w:bCs/>
                <w:color w:val="auto"/>
                <w:szCs w:val="21"/>
                <w:highlight w:val="none"/>
                <w:vertAlign w:val="baseline"/>
                <w:lang w:val="en-US" w:eastAsia="zh-CN"/>
              </w:rPr>
            </w:pPr>
            <w:r>
              <w:rPr>
                <w:rFonts w:hint="eastAsia"/>
                <w:b/>
                <w:bCs/>
                <w:color w:val="auto"/>
                <w:szCs w:val="21"/>
                <w:highlight w:val="none"/>
                <w:vertAlign w:val="baseline"/>
                <w:lang w:val="en-US" w:eastAsia="zh-CN"/>
              </w:rPr>
              <w:t>合计</w:t>
            </w:r>
          </w:p>
        </w:tc>
        <w:tc>
          <w:tcPr>
            <w:tcW w:w="2508" w:type="dxa"/>
            <w:vAlign w:val="center"/>
          </w:tcPr>
          <w:p>
            <w:pPr>
              <w:spacing w:line="240" w:lineRule="auto"/>
              <w:jc w:val="center"/>
              <w:rPr>
                <w:b/>
                <w:bCs/>
                <w:color w:val="auto"/>
                <w:szCs w:val="21"/>
                <w:highlight w:val="none"/>
                <w:vertAlign w:val="baseline"/>
              </w:rPr>
            </w:pPr>
          </w:p>
        </w:tc>
        <w:tc>
          <w:tcPr>
            <w:tcW w:w="2453" w:type="dxa"/>
            <w:vAlign w:val="center"/>
          </w:tcPr>
          <w:p>
            <w:pPr>
              <w:spacing w:line="240" w:lineRule="auto"/>
              <w:jc w:val="center"/>
              <w:rPr>
                <w:b/>
                <w:bCs/>
                <w:color w:val="auto"/>
                <w:szCs w:val="21"/>
                <w:highlight w:val="none"/>
                <w:vertAlign w:val="baseline"/>
              </w:rPr>
            </w:pPr>
          </w:p>
        </w:tc>
      </w:tr>
    </w:tbl>
    <w:p>
      <w:pPr>
        <w:spacing w:line="360" w:lineRule="auto"/>
        <w:rPr>
          <w:color w:val="auto"/>
          <w:szCs w:val="21"/>
          <w:highlight w:val="none"/>
        </w:rPr>
      </w:pPr>
    </w:p>
    <w:p>
      <w:pPr>
        <w:spacing w:line="360" w:lineRule="auto"/>
        <w:rPr>
          <w:color w:val="auto"/>
          <w:szCs w:val="21"/>
          <w:highlight w:val="none"/>
        </w:rPr>
      </w:pPr>
      <w:r>
        <w:rPr>
          <w:color w:val="auto"/>
          <w:szCs w:val="21"/>
          <w:highlight w:val="none"/>
        </w:rPr>
        <w:t>备注：</w:t>
      </w:r>
    </w:p>
    <w:p>
      <w:pPr>
        <w:numPr>
          <w:ilvl w:val="0"/>
          <w:numId w:val="3"/>
        </w:numPr>
        <w:spacing w:line="360" w:lineRule="auto"/>
        <w:rPr>
          <w:color w:val="auto"/>
          <w:szCs w:val="21"/>
          <w:highlight w:val="none"/>
        </w:rPr>
      </w:pPr>
      <w:r>
        <w:rPr>
          <w:color w:val="auto"/>
          <w:szCs w:val="21"/>
          <w:highlight w:val="none"/>
        </w:rPr>
        <w:t>此表为报价表之明细表，如果本分项报价明细累计与报价表内报价不符时，以报价表为准，修正本分项报价明细报价。</w:t>
      </w:r>
    </w:p>
    <w:p>
      <w:pPr>
        <w:pStyle w:val="2"/>
        <w:rPr>
          <w:color w:val="auto"/>
          <w:szCs w:val="21"/>
          <w:highlight w:val="none"/>
        </w:rPr>
      </w:pPr>
    </w:p>
    <w:p>
      <w:pPr>
        <w:pStyle w:val="3"/>
        <w:rPr>
          <w:color w:val="auto"/>
          <w:highlight w:val="none"/>
        </w:rPr>
      </w:pPr>
    </w:p>
    <w:p>
      <w:pPr>
        <w:spacing w:line="360" w:lineRule="auto"/>
        <w:ind w:firstLine="5040" w:firstLineChars="2400"/>
        <w:jc w:val="right"/>
        <w:rPr>
          <w:color w:val="auto"/>
          <w:szCs w:val="21"/>
          <w:highlight w:val="none"/>
          <w:lang w:val="zh-CN"/>
        </w:rPr>
      </w:pPr>
      <w:r>
        <w:rPr>
          <w:color w:val="auto"/>
          <w:szCs w:val="21"/>
          <w:highlight w:val="none"/>
          <w:lang w:val="zh-CN"/>
        </w:rPr>
        <w:t>报价人：（加盖报价人法人公章）</w:t>
      </w:r>
    </w:p>
    <w:p>
      <w:pPr>
        <w:spacing w:line="360" w:lineRule="auto"/>
        <w:jc w:val="right"/>
        <w:rPr>
          <w:color w:val="auto"/>
          <w:szCs w:val="21"/>
          <w:highlight w:val="none"/>
          <w:lang w:val="zh-CN"/>
        </w:rPr>
      </w:pPr>
      <w:r>
        <w:rPr>
          <w:color w:val="auto"/>
          <w:szCs w:val="21"/>
          <w:highlight w:val="none"/>
          <w:lang w:val="zh-CN"/>
        </w:rPr>
        <w:t>日期：</w:t>
      </w:r>
      <w:r>
        <w:rPr>
          <w:rFonts w:hint="eastAsia"/>
          <w:color w:val="auto"/>
          <w:szCs w:val="21"/>
          <w:highlight w:val="none"/>
          <w:lang w:val="zh-CN"/>
        </w:rPr>
        <w:t xml:space="preserve"> </w:t>
      </w:r>
      <w:r>
        <w:rPr>
          <w:rFonts w:hint="eastAsia"/>
          <w:color w:val="auto"/>
          <w:szCs w:val="21"/>
          <w:highlight w:val="none"/>
          <w:lang w:val="en-US" w:eastAsia="zh-CN"/>
        </w:rPr>
        <w:t xml:space="preserve">  </w:t>
      </w:r>
      <w:r>
        <w:rPr>
          <w:color w:val="auto"/>
          <w:szCs w:val="21"/>
          <w:highlight w:val="none"/>
          <w:lang w:val="zh-CN"/>
        </w:rPr>
        <w:t>年</w:t>
      </w:r>
      <w:r>
        <w:rPr>
          <w:rFonts w:hint="eastAsia"/>
          <w:color w:val="auto"/>
          <w:szCs w:val="21"/>
          <w:highlight w:val="none"/>
          <w:lang w:val="zh-CN"/>
        </w:rPr>
        <w:t xml:space="preserve"> </w:t>
      </w:r>
      <w:r>
        <w:rPr>
          <w:color w:val="auto"/>
          <w:szCs w:val="21"/>
          <w:highlight w:val="none"/>
          <w:lang w:val="zh-CN"/>
        </w:rPr>
        <w:t xml:space="preserve"> 月</w:t>
      </w:r>
      <w:r>
        <w:rPr>
          <w:rFonts w:hint="eastAsia"/>
          <w:color w:val="auto"/>
          <w:szCs w:val="21"/>
          <w:highlight w:val="none"/>
          <w:lang w:val="zh-CN"/>
        </w:rPr>
        <w:t xml:space="preserve"> </w:t>
      </w:r>
      <w:r>
        <w:rPr>
          <w:color w:val="auto"/>
          <w:szCs w:val="21"/>
          <w:highlight w:val="none"/>
          <w:lang w:val="zh-CN"/>
        </w:rPr>
        <w:t xml:space="preserve"> 日</w:t>
      </w:r>
    </w:p>
    <w:p>
      <w:pPr>
        <w:pStyle w:val="2"/>
        <w:rPr>
          <w:color w:val="auto"/>
          <w:szCs w:val="21"/>
          <w:highlight w:val="none"/>
          <w:lang w:val="zh-CN"/>
        </w:rPr>
      </w:pPr>
    </w:p>
    <w:p>
      <w:pPr>
        <w:pStyle w:val="3"/>
        <w:rPr>
          <w:color w:val="auto"/>
          <w:szCs w:val="21"/>
          <w:highlight w:val="none"/>
          <w:lang w:val="zh-CN"/>
        </w:rPr>
      </w:pPr>
    </w:p>
    <w:p>
      <w:pPr>
        <w:pStyle w:val="3"/>
        <w:rPr>
          <w:color w:val="auto"/>
          <w:szCs w:val="21"/>
          <w:highlight w:val="none"/>
          <w:lang w:val="zh-CN"/>
        </w:rPr>
      </w:pPr>
    </w:p>
    <w:p>
      <w:pPr>
        <w:pStyle w:val="3"/>
        <w:rPr>
          <w:color w:val="auto"/>
          <w:szCs w:val="21"/>
          <w:highlight w:val="none"/>
          <w:lang w:val="zh-CN"/>
        </w:rPr>
      </w:pPr>
    </w:p>
    <w:p>
      <w:pPr>
        <w:pStyle w:val="3"/>
        <w:rPr>
          <w:color w:val="auto"/>
          <w:szCs w:val="21"/>
          <w:highlight w:val="none"/>
          <w:lang w:val="zh-CN"/>
        </w:rPr>
      </w:pPr>
    </w:p>
    <w:p>
      <w:pPr>
        <w:pStyle w:val="3"/>
        <w:rPr>
          <w:color w:val="auto"/>
          <w:szCs w:val="21"/>
          <w:highlight w:val="none"/>
          <w:lang w:val="zh-CN"/>
        </w:rPr>
      </w:pPr>
    </w:p>
    <w:p>
      <w:pPr>
        <w:pStyle w:val="3"/>
        <w:rPr>
          <w:color w:val="auto"/>
          <w:szCs w:val="21"/>
          <w:highlight w:val="none"/>
          <w:lang w:val="zh-CN"/>
        </w:rPr>
      </w:pPr>
    </w:p>
    <w:p>
      <w:pPr>
        <w:pStyle w:val="3"/>
        <w:rPr>
          <w:color w:val="auto"/>
          <w:szCs w:val="21"/>
          <w:highlight w:val="none"/>
          <w:lang w:val="zh-CN"/>
        </w:rPr>
      </w:pPr>
    </w:p>
    <w:p>
      <w:pPr>
        <w:pStyle w:val="3"/>
        <w:rPr>
          <w:color w:val="auto"/>
          <w:szCs w:val="21"/>
          <w:highlight w:val="none"/>
          <w:lang w:val="zh-CN"/>
        </w:rPr>
      </w:pPr>
    </w:p>
    <w:p>
      <w:pPr>
        <w:pStyle w:val="3"/>
        <w:rPr>
          <w:color w:val="auto"/>
          <w:szCs w:val="21"/>
          <w:highlight w:val="none"/>
          <w:lang w:val="zh-CN"/>
        </w:rPr>
      </w:pPr>
    </w:p>
    <w:p>
      <w:pPr>
        <w:pStyle w:val="3"/>
        <w:rPr>
          <w:color w:val="auto"/>
          <w:szCs w:val="21"/>
          <w:highlight w:val="none"/>
          <w:lang w:val="zh-CN"/>
        </w:rPr>
      </w:pPr>
    </w:p>
    <w:p>
      <w:pPr>
        <w:pStyle w:val="3"/>
        <w:rPr>
          <w:color w:val="auto"/>
          <w:szCs w:val="21"/>
          <w:highlight w:val="none"/>
          <w:lang w:val="zh-CN"/>
        </w:rPr>
      </w:pPr>
    </w:p>
    <w:p>
      <w:pPr>
        <w:pStyle w:val="3"/>
        <w:rPr>
          <w:color w:val="auto"/>
          <w:szCs w:val="21"/>
          <w:highlight w:val="none"/>
          <w:lang w:val="zh-CN"/>
        </w:rPr>
      </w:pPr>
    </w:p>
    <w:p>
      <w:pPr>
        <w:pStyle w:val="3"/>
        <w:rPr>
          <w:color w:val="auto"/>
          <w:szCs w:val="21"/>
          <w:highlight w:val="none"/>
          <w:lang w:val="zh-CN"/>
        </w:rPr>
      </w:pPr>
    </w:p>
    <w:p>
      <w:pPr>
        <w:pStyle w:val="3"/>
        <w:rPr>
          <w:color w:val="auto"/>
          <w:szCs w:val="21"/>
          <w:highlight w:val="none"/>
          <w:lang w:val="zh-CN"/>
        </w:rPr>
      </w:pPr>
    </w:p>
    <w:p>
      <w:pPr>
        <w:rPr>
          <w:rFonts w:hint="eastAsia" w:ascii="宋体" w:hAnsi="宋体" w:eastAsia="宋体" w:cs="Times New Roman"/>
          <w:b/>
          <w:color w:val="auto"/>
          <w:sz w:val="32"/>
          <w:szCs w:val="32"/>
          <w:highlight w:val="none"/>
          <w:lang w:val="en-US" w:eastAsia="zh-CN"/>
        </w:rPr>
      </w:pPr>
      <w:bookmarkStart w:id="200" w:name="_Toc19240"/>
      <w:bookmarkStart w:id="201" w:name="_Toc3267"/>
      <w:r>
        <w:rPr>
          <w:rFonts w:hint="eastAsia" w:ascii="宋体" w:hAnsi="宋体" w:eastAsia="宋体" w:cs="Times New Roman"/>
          <w:b/>
          <w:color w:val="auto"/>
          <w:sz w:val="32"/>
          <w:szCs w:val="32"/>
          <w:highlight w:val="none"/>
          <w:lang w:val="en-US" w:eastAsia="zh-CN"/>
        </w:rPr>
        <w:br w:type="page"/>
      </w:r>
    </w:p>
    <w:p>
      <w:pPr>
        <w:pStyle w:val="5"/>
        <w:jc w:val="center"/>
        <w:rPr>
          <w:rFonts w:hint="eastAsia" w:ascii="宋体" w:hAnsi="宋体" w:eastAsia="宋体"/>
          <w:b/>
          <w:color w:val="auto"/>
          <w:sz w:val="32"/>
          <w:szCs w:val="32"/>
          <w:highlight w:val="none"/>
        </w:rPr>
      </w:pPr>
      <w:bookmarkStart w:id="202" w:name="_Toc24746"/>
      <w:bookmarkStart w:id="203" w:name="_Toc12578"/>
      <w:r>
        <w:rPr>
          <w:rFonts w:hint="eastAsia" w:ascii="宋体" w:hAnsi="宋体" w:eastAsia="宋体" w:cs="Times New Roman"/>
          <w:b/>
          <w:color w:val="auto"/>
          <w:sz w:val="32"/>
          <w:szCs w:val="32"/>
          <w:highlight w:val="none"/>
          <w:lang w:val="en-US" w:eastAsia="zh-CN"/>
        </w:rPr>
        <w:t>（二）</w:t>
      </w:r>
      <w:r>
        <w:rPr>
          <w:rFonts w:hint="eastAsia" w:ascii="宋体" w:hAnsi="宋体" w:eastAsia="宋体"/>
          <w:b/>
          <w:color w:val="auto"/>
          <w:sz w:val="32"/>
          <w:szCs w:val="32"/>
          <w:highlight w:val="none"/>
          <w:lang w:val="en-US" w:eastAsia="zh-CN"/>
        </w:rPr>
        <w:t>报价人</w:t>
      </w:r>
      <w:r>
        <w:rPr>
          <w:rFonts w:hint="eastAsia" w:ascii="宋体" w:hAnsi="宋体" w:eastAsia="宋体"/>
          <w:b/>
          <w:color w:val="auto"/>
          <w:sz w:val="32"/>
          <w:szCs w:val="32"/>
          <w:highlight w:val="none"/>
        </w:rPr>
        <w:t>资格证明文件</w:t>
      </w:r>
      <w:bookmarkEnd w:id="202"/>
      <w:bookmarkEnd w:id="203"/>
    </w:p>
    <w:p>
      <w:pPr>
        <w:autoSpaceDE/>
        <w:autoSpaceDN/>
        <w:adjustRightInd/>
        <w:spacing w:before="120" w:after="120" w:line="360" w:lineRule="auto"/>
        <w:ind w:left="0" w:firstLine="0" w:firstLineChars="0"/>
        <w:outlineLvl w:val="9"/>
        <w:rPr>
          <w:rFonts w:ascii="宋体" w:hAnsi="宋体"/>
          <w:b/>
          <w:color w:val="auto"/>
          <w:kern w:val="2"/>
          <w:sz w:val="30"/>
          <w:szCs w:val="30"/>
          <w:highlight w:val="none"/>
        </w:rPr>
      </w:pPr>
      <w:bookmarkStart w:id="204" w:name="_Toc519153441"/>
      <w:bookmarkStart w:id="205" w:name="_Toc1123953"/>
      <w:bookmarkStart w:id="206" w:name="_Toc5098071"/>
      <w:bookmarkStart w:id="207" w:name="_Toc532576766"/>
      <w:bookmarkStart w:id="208" w:name="_Toc522047382"/>
      <w:bookmarkStart w:id="209" w:name="_Toc521918123"/>
      <w:bookmarkStart w:id="210" w:name="_Toc521918320"/>
      <w:bookmarkStart w:id="211" w:name="_Toc521576302"/>
      <w:bookmarkStart w:id="212" w:name="_Toc19008826"/>
      <w:bookmarkStart w:id="213" w:name="_Toc38982592"/>
      <w:bookmarkStart w:id="214" w:name="_Toc79146600"/>
      <w:bookmarkStart w:id="215" w:name="_Toc56076626"/>
      <w:bookmarkStart w:id="216" w:name="_Toc40288701"/>
      <w:bookmarkStart w:id="217" w:name="_Toc54334009"/>
      <w:r>
        <w:rPr>
          <w:rFonts w:hint="eastAsia" w:ascii="宋体" w:hAnsi="宋体"/>
          <w:b/>
          <w:color w:val="auto"/>
          <w:kern w:val="2"/>
          <w:sz w:val="30"/>
          <w:szCs w:val="30"/>
          <w:highlight w:val="none"/>
          <w:lang w:val="en-US" w:eastAsia="zh-CN"/>
        </w:rPr>
        <w:t>2</w:t>
      </w:r>
      <w:r>
        <w:rPr>
          <w:rFonts w:hint="eastAsia" w:ascii="宋体" w:hAnsi="宋体"/>
          <w:b/>
          <w:color w:val="auto"/>
          <w:kern w:val="2"/>
          <w:sz w:val="30"/>
          <w:szCs w:val="30"/>
          <w:highlight w:val="none"/>
          <w:lang w:eastAsia="zh-CN"/>
        </w:rPr>
        <w:t>.</w:t>
      </w:r>
      <w:r>
        <w:rPr>
          <w:rFonts w:ascii="宋体" w:hAnsi="宋体"/>
          <w:b/>
          <w:color w:val="auto"/>
          <w:kern w:val="2"/>
          <w:sz w:val="30"/>
          <w:szCs w:val="30"/>
          <w:highlight w:val="none"/>
        </w:rPr>
        <w:t>1 多证合一营业执照（或事业单位法人证书）复印件</w:t>
      </w:r>
    </w:p>
    <w:p>
      <w:r>
        <w:br w:type="page"/>
      </w:r>
    </w:p>
    <w:p>
      <w:pPr>
        <w:autoSpaceDE/>
        <w:autoSpaceDN/>
        <w:adjustRightInd/>
        <w:spacing w:before="120" w:after="120" w:line="360" w:lineRule="auto"/>
        <w:ind w:left="0" w:firstLine="0" w:firstLineChars="0"/>
        <w:outlineLvl w:val="9"/>
        <w:rPr>
          <w:rFonts w:hint="eastAsia" w:ascii="宋体" w:hAnsi="宋体"/>
          <w:b/>
          <w:color w:val="auto"/>
          <w:kern w:val="2"/>
          <w:sz w:val="30"/>
          <w:szCs w:val="30"/>
          <w:highlight w:val="none"/>
          <w:lang w:val="en-US" w:eastAsia="zh-CN"/>
        </w:rPr>
      </w:pPr>
      <w:r>
        <w:rPr>
          <w:rFonts w:hint="eastAsia" w:ascii="宋体" w:hAnsi="宋体"/>
          <w:b/>
          <w:color w:val="auto"/>
          <w:kern w:val="2"/>
          <w:sz w:val="30"/>
          <w:szCs w:val="30"/>
          <w:highlight w:val="none"/>
          <w:lang w:val="en-US" w:eastAsia="zh-CN"/>
        </w:rPr>
        <w:t>2.2 开户许可证复印件（基本存款账户），如报价人企业银行账户开户所在地区已取消企业银行账户许可，报价人应提供基本存款账户开户名称、开户银行、账号、编号等信息及相关备案证明（如有）或其他能证明其为基本存款账户的资料复印件</w:t>
      </w:r>
    </w:p>
    <w:p>
      <w:pPr>
        <w:rPr>
          <w:rFonts w:hint="eastAsia"/>
          <w:lang w:val="en-US" w:eastAsia="zh-CN"/>
        </w:rPr>
      </w:pPr>
      <w:r>
        <w:rPr>
          <w:rFonts w:hint="eastAsia"/>
          <w:lang w:val="en-US" w:eastAsia="zh-CN"/>
        </w:rPr>
        <w:br w:type="page"/>
      </w:r>
    </w:p>
    <w:p>
      <w:pPr>
        <w:autoSpaceDE/>
        <w:autoSpaceDN/>
        <w:adjustRightInd/>
        <w:spacing w:before="120" w:after="120" w:line="360" w:lineRule="auto"/>
        <w:ind w:left="0" w:firstLine="0" w:firstLineChars="0"/>
        <w:outlineLvl w:val="9"/>
        <w:rPr>
          <w:rFonts w:ascii="宋体" w:hAnsi="宋体"/>
          <w:b/>
          <w:color w:val="auto"/>
          <w:kern w:val="2"/>
          <w:sz w:val="30"/>
          <w:szCs w:val="30"/>
          <w:highlight w:val="none"/>
        </w:rPr>
      </w:pPr>
      <w:r>
        <w:rPr>
          <w:rFonts w:hint="eastAsia" w:ascii="宋体" w:hAnsi="宋体"/>
          <w:b/>
          <w:color w:val="auto"/>
          <w:kern w:val="2"/>
          <w:sz w:val="30"/>
          <w:szCs w:val="30"/>
          <w:highlight w:val="none"/>
          <w:lang w:val="en-US" w:eastAsia="zh-CN"/>
        </w:rPr>
        <w:t>2.3</w:t>
      </w:r>
      <w:r>
        <w:rPr>
          <w:rFonts w:ascii="宋体" w:hAnsi="宋体"/>
          <w:b/>
          <w:color w:val="auto"/>
          <w:kern w:val="2"/>
          <w:sz w:val="30"/>
          <w:szCs w:val="30"/>
          <w:highlight w:val="none"/>
        </w:rPr>
        <w:t>法定代表人身份证明书格式</w:t>
      </w:r>
      <w:bookmarkEnd w:id="204"/>
      <w:bookmarkEnd w:id="205"/>
      <w:bookmarkEnd w:id="206"/>
      <w:bookmarkEnd w:id="207"/>
      <w:bookmarkEnd w:id="208"/>
      <w:bookmarkEnd w:id="209"/>
      <w:bookmarkEnd w:id="210"/>
      <w:bookmarkEnd w:id="211"/>
      <w:r>
        <w:rPr>
          <w:rFonts w:ascii="宋体" w:hAnsi="宋体"/>
          <w:b/>
          <w:color w:val="auto"/>
          <w:kern w:val="2"/>
          <w:sz w:val="30"/>
          <w:szCs w:val="30"/>
          <w:highlight w:val="none"/>
        </w:rPr>
        <w:t>和法定代表人授权书格式（法定代表人</w:t>
      </w:r>
      <w:r>
        <w:rPr>
          <w:rFonts w:hint="eastAsia" w:ascii="宋体" w:hAnsi="宋体"/>
          <w:b/>
          <w:color w:val="auto"/>
          <w:kern w:val="2"/>
          <w:sz w:val="30"/>
          <w:szCs w:val="30"/>
          <w:highlight w:val="none"/>
          <w:lang w:val="en-US" w:eastAsia="zh-CN"/>
        </w:rPr>
        <w:t>报价</w:t>
      </w:r>
      <w:r>
        <w:rPr>
          <w:rFonts w:ascii="宋体" w:hAnsi="宋体"/>
          <w:b/>
          <w:color w:val="auto"/>
          <w:kern w:val="2"/>
          <w:sz w:val="30"/>
          <w:szCs w:val="30"/>
          <w:highlight w:val="none"/>
        </w:rPr>
        <w:t>时只提供法定代表人身份证明书，委托他人为</w:t>
      </w:r>
      <w:r>
        <w:rPr>
          <w:rFonts w:hint="eastAsia" w:ascii="宋体" w:hAnsi="宋体"/>
          <w:b/>
          <w:color w:val="auto"/>
          <w:kern w:val="2"/>
          <w:sz w:val="30"/>
          <w:szCs w:val="30"/>
          <w:highlight w:val="none"/>
          <w:lang w:val="en-US" w:eastAsia="zh-CN"/>
        </w:rPr>
        <w:t>报价</w:t>
      </w:r>
      <w:r>
        <w:rPr>
          <w:rFonts w:ascii="宋体" w:hAnsi="宋体"/>
          <w:b/>
          <w:color w:val="auto"/>
          <w:kern w:val="2"/>
          <w:sz w:val="30"/>
          <w:szCs w:val="30"/>
          <w:highlight w:val="none"/>
        </w:rPr>
        <w:t>代表时同时提供法定代表人授权书）</w:t>
      </w:r>
      <w:bookmarkEnd w:id="212"/>
      <w:bookmarkEnd w:id="213"/>
      <w:bookmarkEnd w:id="214"/>
      <w:bookmarkEnd w:id="215"/>
      <w:bookmarkEnd w:id="216"/>
      <w:bookmarkEnd w:id="217"/>
    </w:p>
    <w:p>
      <w:pPr>
        <w:autoSpaceDE/>
        <w:autoSpaceDN/>
        <w:adjustRightInd/>
        <w:spacing w:before="120" w:after="120" w:line="360" w:lineRule="auto"/>
        <w:rPr>
          <w:rFonts w:hint="eastAsia" w:ascii="宋体" w:hAnsi="宋体"/>
          <w:b/>
          <w:color w:val="auto"/>
          <w:kern w:val="2"/>
          <w:sz w:val="21"/>
          <w:szCs w:val="21"/>
          <w:highlight w:val="none"/>
        </w:rPr>
      </w:pPr>
      <w:r>
        <w:rPr>
          <w:rFonts w:hint="eastAsia" w:ascii="宋体" w:hAnsi="宋体"/>
          <w:b/>
          <w:color w:val="auto"/>
          <w:kern w:val="2"/>
          <w:sz w:val="21"/>
          <w:szCs w:val="21"/>
          <w:highlight w:val="none"/>
        </w:rPr>
        <w:t>（1）法定代表人身份证明书格式</w:t>
      </w:r>
    </w:p>
    <w:p>
      <w:pPr>
        <w:autoSpaceDE/>
        <w:autoSpaceDN/>
        <w:adjustRightInd/>
        <w:spacing w:before="120" w:after="120" w:line="360" w:lineRule="auto"/>
        <w:ind w:firstLine="608" w:firstLineChars="202"/>
        <w:jc w:val="center"/>
        <w:rPr>
          <w:rFonts w:ascii="宋体" w:hAnsi="宋体"/>
          <w:b/>
          <w:bCs/>
          <w:color w:val="auto"/>
          <w:kern w:val="2"/>
          <w:sz w:val="30"/>
          <w:szCs w:val="30"/>
          <w:highlight w:val="none"/>
        </w:rPr>
      </w:pPr>
      <w:r>
        <w:rPr>
          <w:rFonts w:ascii="宋体" w:hAnsi="宋体"/>
          <w:b/>
          <w:color w:val="auto"/>
          <w:kern w:val="2"/>
          <w:sz w:val="30"/>
          <w:szCs w:val="30"/>
          <w:highlight w:val="none"/>
        </w:rPr>
        <w:t>法定代</w:t>
      </w:r>
      <w:bookmarkStart w:id="218" w:name="_Toc45995270"/>
      <w:bookmarkStart w:id="219" w:name="_Toc36971359"/>
      <w:r>
        <w:rPr>
          <w:rFonts w:ascii="宋体" w:hAnsi="宋体"/>
          <w:b/>
          <w:color w:val="auto"/>
          <w:kern w:val="2"/>
          <w:sz w:val="30"/>
          <w:szCs w:val="30"/>
          <w:highlight w:val="none"/>
        </w:rPr>
        <w:t>表人身份证明书</w:t>
      </w:r>
    </w:p>
    <w:p>
      <w:pPr>
        <w:autoSpaceDE/>
        <w:autoSpaceDN/>
        <w:adjustRightInd/>
        <w:spacing w:before="120" w:after="120" w:line="360" w:lineRule="auto"/>
        <w:ind w:firstLine="420" w:firstLineChars="200"/>
        <w:jc w:val="both"/>
        <w:rPr>
          <w:rFonts w:ascii="宋体" w:hAnsi="宋体"/>
          <w:color w:val="auto"/>
          <w:kern w:val="2"/>
          <w:sz w:val="21"/>
          <w:highlight w:val="none"/>
        </w:rPr>
      </w:pPr>
      <w:r>
        <w:rPr>
          <w:rFonts w:ascii="宋体" w:hAnsi="宋体"/>
          <w:color w:val="auto"/>
          <w:kern w:val="2"/>
          <w:sz w:val="21"/>
          <w:highlight w:val="none"/>
          <w:u w:val="single"/>
        </w:rPr>
        <w:t xml:space="preserve">            </w:t>
      </w:r>
      <w:r>
        <w:rPr>
          <w:rFonts w:ascii="宋体" w:hAnsi="宋体"/>
          <w:color w:val="auto"/>
          <w:kern w:val="2"/>
          <w:sz w:val="21"/>
          <w:highlight w:val="none"/>
        </w:rPr>
        <w:t>先生</w:t>
      </w:r>
      <w:bookmarkEnd w:id="218"/>
      <w:bookmarkEnd w:id="219"/>
      <w:r>
        <w:rPr>
          <w:rFonts w:ascii="宋体" w:hAnsi="宋体"/>
          <w:color w:val="auto"/>
          <w:kern w:val="2"/>
          <w:sz w:val="21"/>
          <w:highlight w:val="none"/>
        </w:rPr>
        <w:t>／女士：现任我单位</w:t>
      </w:r>
      <w:r>
        <w:rPr>
          <w:rFonts w:ascii="宋体" w:hAnsi="宋体"/>
          <w:color w:val="auto"/>
          <w:kern w:val="2"/>
          <w:sz w:val="21"/>
          <w:highlight w:val="none"/>
          <w:u w:val="single"/>
        </w:rPr>
        <w:t xml:space="preserve">            </w:t>
      </w:r>
      <w:r>
        <w:rPr>
          <w:rFonts w:ascii="宋体" w:hAnsi="宋体"/>
          <w:color w:val="auto"/>
          <w:kern w:val="2"/>
          <w:sz w:val="21"/>
          <w:highlight w:val="none"/>
        </w:rPr>
        <w:t>职务，为法定代表人，特此证明。</w:t>
      </w:r>
    </w:p>
    <w:p>
      <w:pPr>
        <w:autoSpaceDE/>
        <w:autoSpaceDN/>
        <w:adjustRightInd/>
        <w:spacing w:before="120" w:after="120" w:line="360" w:lineRule="auto"/>
        <w:ind w:firstLine="424" w:firstLineChars="202"/>
        <w:jc w:val="both"/>
        <w:rPr>
          <w:rFonts w:ascii="宋体" w:hAnsi="宋体"/>
          <w:color w:val="auto"/>
          <w:kern w:val="2"/>
          <w:sz w:val="21"/>
          <w:highlight w:val="none"/>
        </w:rPr>
      </w:pPr>
      <w:r>
        <w:rPr>
          <w:rFonts w:ascii="宋体" w:hAnsi="宋体"/>
          <w:color w:val="auto"/>
          <w:kern w:val="2"/>
          <w:sz w:val="21"/>
          <w:highlight w:val="none"/>
        </w:rPr>
        <w:t>有效日期：</w:t>
      </w:r>
      <w:r>
        <w:rPr>
          <w:rFonts w:ascii="宋体" w:hAnsi="宋体"/>
          <w:color w:val="auto"/>
          <w:kern w:val="2"/>
          <w:sz w:val="21"/>
          <w:highlight w:val="none"/>
          <w:u w:val="single"/>
        </w:rPr>
        <w:t xml:space="preserve">          </w:t>
      </w:r>
      <w:r>
        <w:rPr>
          <w:rFonts w:ascii="宋体" w:hAnsi="宋体"/>
          <w:color w:val="auto"/>
          <w:kern w:val="2"/>
          <w:sz w:val="21"/>
          <w:highlight w:val="none"/>
        </w:rPr>
        <w:t>签发日期：</w:t>
      </w:r>
      <w:r>
        <w:rPr>
          <w:rFonts w:ascii="宋体" w:hAnsi="宋体"/>
          <w:color w:val="auto"/>
          <w:kern w:val="2"/>
          <w:sz w:val="21"/>
          <w:highlight w:val="none"/>
          <w:u w:val="single"/>
        </w:rPr>
        <w:t xml:space="preserve">           </w:t>
      </w:r>
    </w:p>
    <w:p>
      <w:pPr>
        <w:autoSpaceDE/>
        <w:autoSpaceDN/>
        <w:adjustRightInd/>
        <w:spacing w:before="120" w:after="120" w:line="360" w:lineRule="auto"/>
        <w:ind w:firstLine="424" w:firstLineChars="202"/>
        <w:jc w:val="both"/>
        <w:rPr>
          <w:rFonts w:ascii="宋体" w:hAnsi="宋体"/>
          <w:color w:val="auto"/>
          <w:kern w:val="2"/>
          <w:sz w:val="21"/>
          <w:highlight w:val="none"/>
          <w:u w:val="none"/>
        </w:rPr>
      </w:pPr>
      <w:r>
        <w:rPr>
          <w:rFonts w:ascii="宋体" w:hAnsi="宋体"/>
          <w:color w:val="auto"/>
          <w:kern w:val="2"/>
          <w:sz w:val="21"/>
          <w:highlight w:val="none"/>
        </w:rPr>
        <w:t>附：代表人性别：</w:t>
      </w:r>
      <w:r>
        <w:rPr>
          <w:rFonts w:ascii="宋体" w:hAnsi="宋体"/>
          <w:color w:val="auto"/>
          <w:kern w:val="2"/>
          <w:sz w:val="21"/>
          <w:highlight w:val="none"/>
          <w:u w:val="single"/>
        </w:rPr>
        <w:t xml:space="preserve">      </w:t>
      </w:r>
      <w:r>
        <w:rPr>
          <w:rFonts w:ascii="宋体" w:hAnsi="宋体"/>
          <w:color w:val="auto"/>
          <w:kern w:val="2"/>
          <w:sz w:val="21"/>
          <w:highlight w:val="none"/>
        </w:rPr>
        <w:t xml:space="preserve"> 年龄：</w:t>
      </w:r>
      <w:r>
        <w:rPr>
          <w:rFonts w:ascii="宋体" w:hAnsi="宋体"/>
          <w:color w:val="auto"/>
          <w:kern w:val="2"/>
          <w:sz w:val="21"/>
          <w:highlight w:val="none"/>
          <w:u w:val="single"/>
        </w:rPr>
        <w:t xml:space="preserve">         </w:t>
      </w:r>
      <w:r>
        <w:rPr>
          <w:rFonts w:ascii="宋体" w:hAnsi="宋体"/>
          <w:color w:val="auto"/>
          <w:kern w:val="2"/>
          <w:sz w:val="21"/>
          <w:highlight w:val="none"/>
        </w:rPr>
        <w:t>身份证号码：</w:t>
      </w:r>
      <w:r>
        <w:rPr>
          <w:rFonts w:ascii="宋体" w:hAnsi="宋体"/>
          <w:color w:val="auto"/>
          <w:kern w:val="2"/>
          <w:sz w:val="21"/>
          <w:highlight w:val="none"/>
          <w:u w:val="single"/>
        </w:rPr>
        <w:t xml:space="preserve">            </w:t>
      </w:r>
    </w:p>
    <w:p>
      <w:pPr>
        <w:autoSpaceDE/>
        <w:autoSpaceDN/>
        <w:adjustRightInd/>
        <w:spacing w:before="120" w:after="120" w:line="360" w:lineRule="auto"/>
        <w:ind w:firstLine="424" w:firstLineChars="202"/>
        <w:jc w:val="both"/>
        <w:rPr>
          <w:rFonts w:ascii="宋体" w:hAnsi="宋体"/>
          <w:color w:val="auto"/>
          <w:kern w:val="2"/>
          <w:sz w:val="21"/>
          <w:highlight w:val="none"/>
        </w:rPr>
      </w:pPr>
      <w:r>
        <w:rPr>
          <w:rFonts w:ascii="宋体" w:hAnsi="宋体"/>
          <w:color w:val="auto"/>
          <w:kern w:val="2"/>
          <w:sz w:val="21"/>
          <w:highlight w:val="none"/>
        </w:rPr>
        <w:t>营业执照号码：</w:t>
      </w:r>
      <w:r>
        <w:rPr>
          <w:rFonts w:ascii="宋体" w:hAnsi="宋体"/>
          <w:color w:val="auto"/>
          <w:kern w:val="2"/>
          <w:sz w:val="21"/>
          <w:highlight w:val="none"/>
          <w:u w:val="single"/>
        </w:rPr>
        <w:t xml:space="preserve">           </w:t>
      </w:r>
      <w:r>
        <w:rPr>
          <w:rFonts w:ascii="宋体" w:hAnsi="宋体"/>
          <w:color w:val="auto"/>
          <w:kern w:val="2"/>
          <w:sz w:val="21"/>
          <w:highlight w:val="none"/>
        </w:rPr>
        <w:t xml:space="preserve">经济性质： </w:t>
      </w:r>
    </w:p>
    <w:p>
      <w:pPr>
        <w:autoSpaceDE/>
        <w:autoSpaceDN/>
        <w:adjustRightInd/>
        <w:spacing w:before="120" w:after="120" w:line="360" w:lineRule="auto"/>
        <w:ind w:firstLine="424" w:firstLineChars="202"/>
        <w:jc w:val="both"/>
        <w:rPr>
          <w:rFonts w:ascii="宋体" w:hAnsi="宋体"/>
          <w:color w:val="auto"/>
          <w:kern w:val="2"/>
          <w:sz w:val="21"/>
          <w:highlight w:val="none"/>
          <w:u w:val="single"/>
        </w:rPr>
      </w:pPr>
      <w:r>
        <w:rPr>
          <w:rFonts w:ascii="宋体" w:hAnsi="宋体"/>
          <w:color w:val="auto"/>
          <w:kern w:val="2"/>
          <w:sz w:val="21"/>
          <w:highlight w:val="none"/>
        </w:rPr>
        <w:t>主营（产）：</w:t>
      </w:r>
    </w:p>
    <w:p>
      <w:pPr>
        <w:autoSpaceDE/>
        <w:autoSpaceDN/>
        <w:adjustRightInd/>
        <w:spacing w:before="120" w:after="120" w:line="360" w:lineRule="auto"/>
        <w:ind w:firstLine="424" w:firstLineChars="202"/>
        <w:jc w:val="both"/>
        <w:rPr>
          <w:rFonts w:ascii="宋体" w:hAnsi="宋体"/>
          <w:color w:val="auto"/>
          <w:kern w:val="2"/>
          <w:sz w:val="21"/>
          <w:highlight w:val="none"/>
          <w:u w:val="single"/>
        </w:rPr>
      </w:pPr>
      <w:r>
        <w:rPr>
          <w:rFonts w:ascii="宋体" w:hAnsi="宋体"/>
          <w:color w:val="auto"/>
          <w:kern w:val="2"/>
          <w:sz w:val="21"/>
          <w:highlight w:val="none"/>
        </w:rPr>
        <w:t>兼营（产）：</w:t>
      </w:r>
    </w:p>
    <w:p>
      <w:pPr>
        <w:autoSpaceDE/>
        <w:autoSpaceDN/>
        <w:adjustRightInd/>
        <w:spacing w:before="120" w:after="120" w:line="360" w:lineRule="auto"/>
        <w:ind w:firstLine="424" w:firstLineChars="202"/>
        <w:jc w:val="both"/>
        <w:rPr>
          <w:rFonts w:ascii="宋体" w:hAnsi="宋体"/>
          <w:color w:val="auto"/>
          <w:kern w:val="2"/>
          <w:sz w:val="21"/>
          <w:highlight w:val="none"/>
        </w:rPr>
      </w:pPr>
      <w:r>
        <w:rPr>
          <w:rFonts w:ascii="宋体" w:hAnsi="宋体"/>
          <w:color w:val="auto"/>
          <w:kern w:val="2"/>
          <w:sz w:val="21"/>
          <w:highlight w:val="none"/>
        </w:rPr>
        <w:t xml:space="preserve">附 法定代表人身份证复印件 </w:t>
      </w:r>
    </w:p>
    <w:p>
      <w:pPr>
        <w:autoSpaceDE/>
        <w:autoSpaceDN/>
        <w:adjustRightInd/>
        <w:spacing w:before="120" w:after="120" w:line="360" w:lineRule="auto"/>
        <w:ind w:left="629" w:firstLine="4740"/>
        <w:jc w:val="both"/>
        <w:rPr>
          <w:rFonts w:ascii="宋体" w:hAnsi="宋体"/>
          <w:color w:val="auto"/>
          <w:kern w:val="2"/>
          <w:sz w:val="21"/>
          <w:szCs w:val="21"/>
          <w:highlight w:val="none"/>
        </w:rPr>
      </w:pPr>
      <w:r>
        <w:rPr>
          <w:rFonts w:hint="eastAsia" w:ascii="宋体" w:hAnsi="宋体"/>
          <w:color w:val="auto"/>
          <w:kern w:val="2"/>
          <w:sz w:val="21"/>
          <w:szCs w:val="21"/>
          <w:highlight w:val="none"/>
          <w:lang w:val="en-US" w:eastAsia="zh-CN"/>
        </w:rPr>
        <w:t>报价人</w:t>
      </w:r>
      <w:r>
        <w:rPr>
          <w:rFonts w:ascii="宋体" w:hAnsi="宋体"/>
          <w:color w:val="auto"/>
          <w:kern w:val="2"/>
          <w:sz w:val="21"/>
          <w:szCs w:val="21"/>
          <w:highlight w:val="none"/>
          <w:lang w:val="zh-CN"/>
        </w:rPr>
        <w:t>：（加盖</w:t>
      </w:r>
      <w:r>
        <w:rPr>
          <w:rFonts w:hint="eastAsia" w:ascii="宋体" w:hAnsi="宋体"/>
          <w:color w:val="auto"/>
          <w:kern w:val="2"/>
          <w:sz w:val="21"/>
          <w:szCs w:val="21"/>
          <w:highlight w:val="none"/>
          <w:lang w:val="en-US" w:eastAsia="zh-CN"/>
        </w:rPr>
        <w:t>报价人</w:t>
      </w:r>
      <w:r>
        <w:rPr>
          <w:rFonts w:hint="eastAsia" w:ascii="宋体" w:hAnsi="宋体"/>
          <w:color w:val="auto"/>
          <w:kern w:val="2"/>
          <w:sz w:val="21"/>
          <w:szCs w:val="21"/>
          <w:highlight w:val="none"/>
          <w:lang w:val="zh-CN"/>
        </w:rPr>
        <w:t>法</w:t>
      </w:r>
      <w:r>
        <w:rPr>
          <w:rFonts w:ascii="宋体" w:hAnsi="宋体"/>
          <w:color w:val="auto"/>
          <w:kern w:val="2"/>
          <w:sz w:val="21"/>
          <w:szCs w:val="21"/>
          <w:highlight w:val="none"/>
          <w:lang w:val="zh-CN"/>
        </w:rPr>
        <w:t>人公章）</w:t>
      </w:r>
    </w:p>
    <w:p>
      <w:pPr>
        <w:tabs>
          <w:tab w:val="left" w:pos="525"/>
        </w:tabs>
        <w:autoSpaceDE/>
        <w:autoSpaceDN/>
        <w:adjustRightInd/>
        <w:spacing w:before="120" w:after="120" w:line="360" w:lineRule="auto"/>
        <w:ind w:left="462" w:leftChars="220" w:firstLine="4857" w:firstLineChars="2313"/>
        <w:jc w:val="both"/>
        <w:rPr>
          <w:rFonts w:ascii="宋体" w:hAnsi="宋体"/>
          <w:b/>
          <w:bCs/>
          <w:color w:val="auto"/>
          <w:kern w:val="2"/>
          <w:sz w:val="21"/>
          <w:szCs w:val="21"/>
          <w:highlight w:val="none"/>
          <w:lang w:val="zh-CN"/>
        </w:rPr>
      </w:pPr>
      <w:r>
        <w:rPr>
          <w:rFonts w:ascii="宋体" w:hAnsi="宋体"/>
          <w:color w:val="auto"/>
          <w:kern w:val="2"/>
          <w:sz w:val="21"/>
          <w:szCs w:val="21"/>
          <w:highlight w:val="none"/>
          <w:lang w:val="zh-CN"/>
        </w:rPr>
        <w:t>日期：</w:t>
      </w:r>
      <w:r>
        <w:rPr>
          <w:rFonts w:ascii="宋体" w:hAnsi="宋体"/>
          <w:color w:val="auto"/>
          <w:kern w:val="2"/>
          <w:sz w:val="21"/>
          <w:szCs w:val="21"/>
          <w:highlight w:val="none"/>
        </w:rPr>
        <w:t xml:space="preserve">  </w:t>
      </w:r>
      <w:r>
        <w:rPr>
          <w:rFonts w:ascii="宋体" w:hAnsi="宋体"/>
          <w:color w:val="auto"/>
          <w:kern w:val="2"/>
          <w:sz w:val="21"/>
          <w:szCs w:val="21"/>
          <w:highlight w:val="none"/>
          <w:lang w:val="zh-CN"/>
        </w:rPr>
        <w:t>年</w:t>
      </w:r>
      <w:r>
        <w:rPr>
          <w:rFonts w:ascii="宋体" w:hAnsi="宋体"/>
          <w:color w:val="auto"/>
          <w:kern w:val="2"/>
          <w:sz w:val="21"/>
          <w:szCs w:val="21"/>
          <w:highlight w:val="none"/>
        </w:rPr>
        <w:t xml:space="preserve">   </w:t>
      </w:r>
      <w:r>
        <w:rPr>
          <w:rFonts w:ascii="宋体" w:hAnsi="宋体"/>
          <w:color w:val="auto"/>
          <w:kern w:val="2"/>
          <w:sz w:val="21"/>
          <w:szCs w:val="21"/>
          <w:highlight w:val="none"/>
          <w:lang w:val="zh-CN"/>
        </w:rPr>
        <w:t>月</w:t>
      </w:r>
      <w:r>
        <w:rPr>
          <w:rFonts w:ascii="宋体" w:hAnsi="宋体"/>
          <w:color w:val="auto"/>
          <w:kern w:val="2"/>
          <w:sz w:val="21"/>
          <w:szCs w:val="21"/>
          <w:highlight w:val="none"/>
        </w:rPr>
        <w:t xml:space="preserve">  </w:t>
      </w:r>
      <w:r>
        <w:rPr>
          <w:rFonts w:ascii="宋体" w:hAnsi="宋体"/>
          <w:color w:val="auto"/>
          <w:kern w:val="2"/>
          <w:sz w:val="21"/>
          <w:szCs w:val="21"/>
          <w:highlight w:val="none"/>
          <w:lang w:val="zh-CN"/>
        </w:rPr>
        <w:t>日</w:t>
      </w:r>
      <w:r>
        <w:rPr>
          <w:rFonts w:ascii="宋体" w:hAnsi="宋体"/>
          <w:b/>
          <w:bCs/>
          <w:color w:val="auto"/>
          <w:kern w:val="2"/>
          <w:sz w:val="21"/>
          <w:szCs w:val="21"/>
          <w:highlight w:val="none"/>
          <w:lang w:val="zh-CN"/>
        </w:rPr>
        <w:t xml:space="preserve"> </w:t>
      </w:r>
    </w:p>
    <w:p>
      <w:pPr>
        <w:rPr>
          <w:rFonts w:ascii="宋体" w:hAnsi="宋体"/>
          <w:color w:val="auto"/>
          <w:kern w:val="2"/>
          <w:highlight w:val="none"/>
          <w:lang w:val="zh-CN"/>
        </w:rPr>
      </w:pPr>
      <w:r>
        <w:rPr>
          <w:rFonts w:ascii="宋体" w:hAnsi="宋体"/>
          <w:color w:val="auto"/>
          <w:kern w:val="2"/>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73660</wp:posOffset>
                </wp:positionV>
                <wp:extent cx="2790825" cy="1962150"/>
                <wp:effectExtent l="4445" t="5080" r="11430" b="13970"/>
                <wp:wrapNone/>
                <wp:docPr id="1" name="文本框 1"/>
                <wp:cNvGraphicFramePr/>
                <a:graphic xmlns:a="http://schemas.openxmlformats.org/drawingml/2006/main">
                  <a:graphicData uri="http://schemas.microsoft.com/office/word/2010/wordprocessingShape">
                    <wps:wsp>
                      <wps:cNvSpPr txBox="1"/>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rPr>
                                <w:rFonts w:hint="eastAsia"/>
                              </w:rPr>
                            </w:pPr>
                          </w:p>
                          <w:p>
                            <w:pPr>
                              <w:rPr>
                                <w:rFonts w:hint="eastAsia"/>
                              </w:rPr>
                            </w:pPr>
                          </w:p>
                          <w:p>
                            <w:pPr>
                              <w:rPr>
                                <w:rFonts w:hint="eastAsia"/>
                              </w:rPr>
                            </w:pPr>
                          </w:p>
                          <w:p>
                            <w:pPr>
                              <w:jc w:val="center"/>
                              <w:rPr>
                                <w:rFonts w:ascii="宋体" w:hAnsi="宋体"/>
                                <w:sz w:val="21"/>
                                <w:szCs w:val="21"/>
                              </w:rPr>
                            </w:pPr>
                            <w:r>
                              <w:rPr>
                                <w:rFonts w:hint="eastAsia" w:ascii="宋体" w:hAnsi="宋体"/>
                                <w:sz w:val="21"/>
                                <w:szCs w:val="21"/>
                              </w:rPr>
                              <w:t>法定代表人身份证反面</w:t>
                            </w:r>
                          </w:p>
                          <w:p>
                            <w:pPr>
                              <w:jc w:val="center"/>
                              <w:rPr>
                                <w:sz w:val="21"/>
                                <w:szCs w:val="21"/>
                              </w:rPr>
                            </w:pPr>
                          </w:p>
                        </w:txbxContent>
                      </wps:txbx>
                      <wps:bodyPr upright="1"/>
                    </wps:wsp>
                  </a:graphicData>
                </a:graphic>
              </wp:anchor>
            </w:drawing>
          </mc:Choice>
          <mc:Fallback>
            <w:pict>
              <v:shape id="_x0000_s1026" o:spid="_x0000_s1026" o:spt="202" type="#_x0000_t202" style="position:absolute;left:0pt;margin-left:246.35pt;margin-top:5.8pt;height:154.5pt;width:219.75pt;z-index:251660288;mso-width-relative:page;mso-height-relative:page;" fillcolor="#FFFFFF" filled="t" stroked="t" coordsize="21600,21600" o:gfxdata="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LXrEnZAAAACgEAAA8AAAAAAAAAAQAg&#10;AAAAIgAAAGRycy9kb3ducmV2LnhtbFBLAQIUABQAAAAIAIdO4kATE1ZADQIAADcEAAAOAAAAAAAA&#10;AAEAIAAAACgBAABkcnMvZTJvRG9jLnhtbFBLBQYAAAAABgAGAFkBAACnBQAAAAA=&#10;">
                <v:fill on="t" focussize="0,0"/>
                <v:stroke color="#000000" joinstyle="miter"/>
                <v:imagedata o:title=""/>
                <o:lock v:ext="edit" aspectratio="f"/>
                <v:textbox>
                  <w:txbxContent>
                    <w:p>
                      <w:pPr>
                        <w:rPr>
                          <w:rFonts w:hint="eastAsia"/>
                        </w:rPr>
                      </w:pPr>
                    </w:p>
                    <w:p>
                      <w:pPr>
                        <w:rPr>
                          <w:rFonts w:hint="eastAsia"/>
                        </w:rPr>
                      </w:pPr>
                    </w:p>
                    <w:p>
                      <w:pPr>
                        <w:rPr>
                          <w:rFonts w:hint="eastAsia"/>
                        </w:rPr>
                      </w:pPr>
                    </w:p>
                    <w:p>
                      <w:pPr>
                        <w:rPr>
                          <w:rFonts w:hint="eastAsia"/>
                        </w:rPr>
                      </w:pPr>
                    </w:p>
                    <w:p>
                      <w:pPr>
                        <w:jc w:val="center"/>
                        <w:rPr>
                          <w:rFonts w:ascii="宋体" w:hAnsi="宋体"/>
                          <w:sz w:val="21"/>
                          <w:szCs w:val="21"/>
                        </w:rPr>
                      </w:pPr>
                      <w:r>
                        <w:rPr>
                          <w:rFonts w:hint="eastAsia" w:ascii="宋体" w:hAnsi="宋体"/>
                          <w:sz w:val="21"/>
                          <w:szCs w:val="21"/>
                        </w:rPr>
                        <w:t>法定代表人身份证反面</w:t>
                      </w:r>
                    </w:p>
                    <w:p>
                      <w:pPr>
                        <w:jc w:val="center"/>
                        <w:rPr>
                          <w:sz w:val="21"/>
                          <w:szCs w:val="21"/>
                        </w:rPr>
                      </w:pPr>
                    </w:p>
                  </w:txbxContent>
                </v:textbox>
              </v:shape>
            </w:pict>
          </mc:Fallback>
        </mc:AlternateContent>
      </w:r>
      <w:r>
        <w:rPr>
          <w:rFonts w:ascii="宋体" w:hAnsi="宋体"/>
          <w:color w:val="auto"/>
          <w:kern w:val="2"/>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73660</wp:posOffset>
                </wp:positionV>
                <wp:extent cx="2790825" cy="1962150"/>
                <wp:effectExtent l="4445" t="5080" r="11430" b="13970"/>
                <wp:wrapNone/>
                <wp:docPr id="2" name="文本框 2"/>
                <wp:cNvGraphicFramePr/>
                <a:graphic xmlns:a="http://schemas.openxmlformats.org/drawingml/2006/main">
                  <a:graphicData uri="http://schemas.microsoft.com/office/word/2010/wordprocessingShape">
                    <wps:wsp>
                      <wps:cNvSpPr txBox="1"/>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rPr>
                                <w:rFonts w:hint="eastAsia"/>
                              </w:rPr>
                            </w:pPr>
                          </w:p>
                          <w:p>
                            <w:pPr>
                              <w:rPr>
                                <w:rFonts w:hint="eastAsia"/>
                              </w:rPr>
                            </w:pPr>
                          </w:p>
                          <w:p>
                            <w:pPr>
                              <w:rPr>
                                <w:rFonts w:hint="eastAsia"/>
                              </w:rPr>
                            </w:pPr>
                          </w:p>
                          <w:p>
                            <w:pPr>
                              <w:jc w:val="center"/>
                              <w:rPr>
                                <w:rFonts w:ascii="宋体" w:hAnsi="宋体"/>
                                <w:sz w:val="21"/>
                                <w:szCs w:val="21"/>
                              </w:rPr>
                            </w:pPr>
                            <w:r>
                              <w:rPr>
                                <w:rFonts w:hint="eastAsia" w:ascii="宋体" w:hAnsi="宋体"/>
                                <w:sz w:val="21"/>
                                <w:szCs w:val="21"/>
                              </w:rPr>
                              <w:t>法定代表人身份证正面</w:t>
                            </w:r>
                          </w:p>
                        </w:txbxContent>
                      </wps:txbx>
                      <wps:bodyPr upright="1"/>
                    </wps:wsp>
                  </a:graphicData>
                </a:graphic>
              </wp:anchor>
            </w:drawing>
          </mc:Choice>
          <mc:Fallback>
            <w:pict>
              <v:shape id="_x0000_s1026" o:spid="_x0000_s1026" o:spt="202" type="#_x0000_t202" style="position:absolute;left:0pt;margin-left:4.85pt;margin-top:5.8pt;height:154.5pt;width:219.75pt;z-index:251659264;mso-width-relative:page;mso-height-relative:page;" fillcolor="#FFFFFF" filled="t" stroked="t" coordsize="21600,21600" o:gfxdata="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jOp/dgAAAAIAQAADwAAAAAAAAABACAA&#10;AAAiAAAAZHJzL2Rvd25yZXYueG1sUEsBAhQAFAAAAAgAh07iQJbyxacNAgAANwQAAA4AAAAAAAAA&#10;AQAgAAAAJwEAAGRycy9lMm9Eb2MueG1sUEsFBgAAAAAGAAYAWQEAAKYFAAAAAA==&#10;">
                <v:fill on="t" focussize="0,0"/>
                <v:stroke color="#000000" joinstyle="miter"/>
                <v:imagedata o:title=""/>
                <o:lock v:ext="edit" aspectratio="f"/>
                <v:textbox>
                  <w:txbxContent>
                    <w:p>
                      <w:pPr>
                        <w:rPr>
                          <w:rFonts w:hint="eastAsia"/>
                        </w:rPr>
                      </w:pPr>
                    </w:p>
                    <w:p>
                      <w:pPr>
                        <w:rPr>
                          <w:rFonts w:hint="eastAsia"/>
                        </w:rPr>
                      </w:pPr>
                    </w:p>
                    <w:p>
                      <w:pPr>
                        <w:rPr>
                          <w:rFonts w:hint="eastAsia"/>
                        </w:rPr>
                      </w:pPr>
                    </w:p>
                    <w:p>
                      <w:pPr>
                        <w:rPr>
                          <w:rFonts w:hint="eastAsia"/>
                        </w:rPr>
                      </w:pPr>
                    </w:p>
                    <w:p>
                      <w:pPr>
                        <w:jc w:val="center"/>
                        <w:rPr>
                          <w:rFonts w:ascii="宋体" w:hAnsi="宋体"/>
                          <w:sz w:val="21"/>
                          <w:szCs w:val="21"/>
                        </w:rPr>
                      </w:pPr>
                      <w:r>
                        <w:rPr>
                          <w:rFonts w:hint="eastAsia" w:ascii="宋体" w:hAnsi="宋体"/>
                          <w:sz w:val="21"/>
                          <w:szCs w:val="21"/>
                        </w:rPr>
                        <w:t>法定代表人身份证正面</w:t>
                      </w:r>
                    </w:p>
                  </w:txbxContent>
                </v:textbox>
              </v:shape>
            </w:pict>
          </mc:Fallback>
        </mc:AlternateContent>
      </w:r>
    </w:p>
    <w:p>
      <w:pPr>
        <w:rPr>
          <w:rFonts w:ascii="宋体" w:hAnsi="宋体"/>
          <w:color w:val="auto"/>
          <w:highlight w:val="none"/>
        </w:rPr>
      </w:pPr>
    </w:p>
    <w:p>
      <w:pPr>
        <w:rPr>
          <w:rFonts w:ascii="宋体" w:hAnsi="宋体"/>
          <w:color w:val="auto"/>
          <w:sz w:val="21"/>
          <w:highlight w:val="none"/>
          <w:lang w:val="zh-CN"/>
        </w:rPr>
      </w:pPr>
    </w:p>
    <w:p>
      <w:pPr>
        <w:rPr>
          <w:rFonts w:ascii="宋体" w:hAnsi="宋体"/>
          <w:color w:val="auto"/>
          <w:sz w:val="21"/>
          <w:highlight w:val="none"/>
          <w:lang w:val="zh-CN"/>
        </w:rPr>
      </w:pPr>
    </w:p>
    <w:p>
      <w:pPr>
        <w:rPr>
          <w:rFonts w:ascii="宋体" w:hAnsi="宋体"/>
          <w:color w:val="auto"/>
          <w:sz w:val="21"/>
          <w:highlight w:val="none"/>
          <w:lang w:val="zh-CN"/>
        </w:rPr>
      </w:pPr>
    </w:p>
    <w:p>
      <w:pPr>
        <w:rPr>
          <w:rFonts w:ascii="宋体" w:hAnsi="宋体"/>
          <w:color w:val="auto"/>
          <w:sz w:val="21"/>
          <w:highlight w:val="none"/>
          <w:lang w:val="zh-CN"/>
        </w:rPr>
      </w:pPr>
    </w:p>
    <w:p>
      <w:pPr>
        <w:rPr>
          <w:rFonts w:ascii="宋体" w:hAnsi="宋体"/>
          <w:color w:val="auto"/>
          <w:sz w:val="21"/>
          <w:highlight w:val="none"/>
          <w:lang w:val="zh-CN"/>
        </w:rPr>
      </w:pPr>
    </w:p>
    <w:p>
      <w:pPr>
        <w:rPr>
          <w:rFonts w:ascii="宋体" w:hAnsi="宋体"/>
          <w:color w:val="auto"/>
          <w:sz w:val="21"/>
          <w:highlight w:val="none"/>
          <w:lang w:val="zh-CN"/>
        </w:rPr>
      </w:pPr>
    </w:p>
    <w:p>
      <w:pPr>
        <w:rPr>
          <w:rFonts w:ascii="宋体" w:hAnsi="宋体"/>
          <w:color w:val="auto"/>
          <w:sz w:val="21"/>
          <w:highlight w:val="none"/>
          <w:lang w:val="zh-CN"/>
        </w:rPr>
      </w:pPr>
    </w:p>
    <w:p>
      <w:pPr>
        <w:rPr>
          <w:rFonts w:ascii="宋体" w:hAnsi="宋体"/>
          <w:color w:val="auto"/>
          <w:sz w:val="21"/>
          <w:highlight w:val="none"/>
          <w:lang w:val="zh-CN"/>
        </w:rPr>
      </w:pPr>
    </w:p>
    <w:p>
      <w:pPr>
        <w:rPr>
          <w:rFonts w:ascii="宋体" w:hAnsi="宋体"/>
          <w:color w:val="auto"/>
          <w:sz w:val="21"/>
          <w:highlight w:val="none"/>
          <w:lang w:val="zh-CN"/>
        </w:rPr>
      </w:pPr>
    </w:p>
    <w:p>
      <w:pPr>
        <w:rPr>
          <w:rFonts w:ascii="宋体" w:hAnsi="宋体"/>
          <w:b/>
          <w:color w:val="auto"/>
          <w:sz w:val="21"/>
          <w:szCs w:val="21"/>
          <w:highlight w:val="none"/>
        </w:rPr>
      </w:pPr>
    </w:p>
    <w:p>
      <w:pPr>
        <w:outlineLvl w:val="9"/>
        <w:rPr>
          <w:rFonts w:hint="eastAsia" w:ascii="宋体" w:hAnsi="宋体" w:eastAsia="宋体" w:cs="Times New Roman"/>
          <w:b/>
          <w:color w:val="auto"/>
          <w:sz w:val="32"/>
          <w:szCs w:val="32"/>
          <w:highlight w:val="none"/>
          <w:lang w:val="zh-CN"/>
        </w:rPr>
      </w:pPr>
      <w:bookmarkStart w:id="220" w:name="_Toc8849"/>
      <w:bookmarkStart w:id="221" w:name="_Toc11352"/>
      <w:r>
        <w:rPr>
          <w:rFonts w:ascii="宋体" w:hAnsi="宋体"/>
          <w:b/>
          <w:color w:val="auto"/>
          <w:sz w:val="21"/>
          <w:szCs w:val="21"/>
          <w:highlight w:val="none"/>
        </w:rPr>
        <w:t>注：法定代表人身份证须在有效期限内。</w:t>
      </w:r>
      <w:r>
        <w:rPr>
          <w:rFonts w:ascii="宋体" w:hAnsi="宋体"/>
          <w:color w:val="auto"/>
          <w:sz w:val="21"/>
          <w:highlight w:val="none"/>
          <w:lang w:val="zh-CN"/>
        </w:rPr>
        <w:br w:type="page"/>
      </w:r>
      <w:bookmarkEnd w:id="220"/>
      <w:bookmarkEnd w:id="221"/>
    </w:p>
    <w:p>
      <w:pPr>
        <w:rPr>
          <w:rFonts w:ascii="宋体" w:hAnsi="宋体"/>
          <w:b/>
          <w:color w:val="auto"/>
          <w:sz w:val="21"/>
          <w:szCs w:val="21"/>
          <w:highlight w:val="none"/>
        </w:rPr>
      </w:pPr>
      <w:bookmarkStart w:id="222" w:name="_Toc522047383"/>
      <w:bookmarkStart w:id="223" w:name="_Toc490169464"/>
      <w:bookmarkStart w:id="224" w:name="_Toc532576767"/>
      <w:bookmarkStart w:id="225" w:name="_Toc497746562"/>
      <w:bookmarkStart w:id="226" w:name="_Toc495907134"/>
      <w:bookmarkStart w:id="227" w:name="_Toc521918321"/>
      <w:bookmarkStart w:id="228" w:name="_Toc519153442"/>
      <w:bookmarkStart w:id="229" w:name="_Toc521576303"/>
      <w:bookmarkStart w:id="230" w:name="_Toc521918124"/>
      <w:r>
        <w:rPr>
          <w:rFonts w:ascii="宋体" w:hAnsi="宋体"/>
          <w:color w:val="auto"/>
          <w:sz w:val="32"/>
          <w:szCs w:val="32"/>
          <w:highlight w:val="none"/>
          <w:lang w:val="zh-CN"/>
        </w:rPr>
        <w:t xml:space="preserve"> </w:t>
      </w:r>
      <w:bookmarkEnd w:id="222"/>
      <w:bookmarkEnd w:id="223"/>
      <w:bookmarkEnd w:id="224"/>
      <w:bookmarkEnd w:id="225"/>
      <w:bookmarkEnd w:id="226"/>
      <w:bookmarkEnd w:id="227"/>
      <w:bookmarkEnd w:id="228"/>
      <w:bookmarkEnd w:id="229"/>
      <w:bookmarkEnd w:id="230"/>
      <w:r>
        <w:rPr>
          <w:rFonts w:ascii="宋体" w:hAnsi="宋体"/>
          <w:b/>
          <w:color w:val="auto"/>
          <w:kern w:val="2"/>
          <w:sz w:val="21"/>
          <w:szCs w:val="21"/>
          <w:highlight w:val="none"/>
          <w:lang w:val="zh-CN"/>
        </w:rPr>
        <w:t>（2）</w:t>
      </w:r>
      <w:r>
        <w:rPr>
          <w:rFonts w:ascii="宋体" w:hAnsi="宋体"/>
          <w:b/>
          <w:bCs/>
          <w:color w:val="auto"/>
          <w:kern w:val="2"/>
          <w:sz w:val="21"/>
          <w:szCs w:val="21"/>
          <w:highlight w:val="none"/>
          <w:lang w:val="zh-CN"/>
        </w:rPr>
        <w:t>法定代表人授权书格式</w:t>
      </w:r>
    </w:p>
    <w:p>
      <w:pPr>
        <w:rPr>
          <w:rFonts w:ascii="宋体" w:hAnsi="宋体"/>
          <w:b/>
          <w:bCs/>
          <w:color w:val="auto"/>
          <w:kern w:val="2"/>
          <w:sz w:val="30"/>
          <w:szCs w:val="30"/>
          <w:highlight w:val="none"/>
          <w:lang w:val="zh-CN"/>
        </w:rPr>
      </w:pPr>
    </w:p>
    <w:p>
      <w:pPr>
        <w:spacing w:line="360" w:lineRule="auto"/>
        <w:jc w:val="center"/>
        <w:rPr>
          <w:rFonts w:ascii="宋体" w:hAnsi="宋体"/>
          <w:b/>
          <w:bCs/>
          <w:color w:val="auto"/>
          <w:kern w:val="2"/>
          <w:sz w:val="30"/>
          <w:szCs w:val="30"/>
          <w:highlight w:val="none"/>
          <w:lang w:val="zh-CN"/>
        </w:rPr>
      </w:pPr>
      <w:r>
        <w:rPr>
          <w:rFonts w:ascii="宋体" w:hAnsi="宋体"/>
          <w:b/>
          <w:bCs/>
          <w:color w:val="auto"/>
          <w:kern w:val="2"/>
          <w:sz w:val="30"/>
          <w:szCs w:val="30"/>
          <w:highlight w:val="none"/>
          <w:lang w:val="zh-CN"/>
        </w:rPr>
        <w:t>法定代表人授权书</w:t>
      </w:r>
    </w:p>
    <w:p>
      <w:pPr>
        <w:spacing w:line="360" w:lineRule="auto"/>
        <w:jc w:val="center"/>
        <w:rPr>
          <w:rFonts w:ascii="宋体" w:hAnsi="宋体"/>
          <w:color w:val="auto"/>
          <w:kern w:val="2"/>
          <w:sz w:val="21"/>
          <w:szCs w:val="28"/>
          <w:highlight w:val="none"/>
          <w:lang w:val="zh-CN"/>
        </w:rPr>
      </w:pPr>
    </w:p>
    <w:p>
      <w:pPr>
        <w:autoSpaceDE/>
        <w:autoSpaceDN/>
        <w:adjustRightInd/>
        <w:spacing w:before="120" w:after="120" w:line="360" w:lineRule="auto"/>
        <w:jc w:val="both"/>
        <w:rPr>
          <w:rFonts w:hint="eastAsia" w:ascii="宋体" w:hAnsi="宋体" w:eastAsia="宋体"/>
          <w:color w:val="auto"/>
          <w:kern w:val="2"/>
          <w:sz w:val="21"/>
          <w:highlight w:val="none"/>
          <w:lang w:val="zh-CN" w:eastAsia="zh-CN"/>
        </w:rPr>
      </w:pPr>
      <w:r>
        <w:rPr>
          <w:rFonts w:ascii="宋体" w:hAnsi="宋体"/>
          <w:color w:val="auto"/>
          <w:kern w:val="2"/>
          <w:sz w:val="21"/>
          <w:highlight w:val="none"/>
          <w:lang w:val="zh-CN"/>
        </w:rPr>
        <w:t>致：</w:t>
      </w:r>
      <w:r>
        <w:rPr>
          <w:rFonts w:hint="eastAsia" w:ascii="宋体" w:hAnsi="宋体"/>
          <w:color w:val="auto"/>
          <w:kern w:val="2"/>
          <w:sz w:val="21"/>
          <w:highlight w:val="none"/>
          <w:lang w:val="zh-CN" w:eastAsia="zh-CN"/>
        </w:rPr>
        <w:t>东莞市智汇水务科技有限公司</w:t>
      </w:r>
    </w:p>
    <w:p>
      <w:pPr>
        <w:widowControl/>
        <w:spacing w:line="360" w:lineRule="auto"/>
        <w:ind w:firstLine="424" w:firstLineChars="202"/>
        <w:rPr>
          <w:rFonts w:ascii="宋体" w:hAnsi="宋体"/>
          <w:color w:val="auto"/>
          <w:kern w:val="2"/>
          <w:sz w:val="21"/>
          <w:szCs w:val="21"/>
          <w:highlight w:val="none"/>
        </w:rPr>
      </w:pPr>
      <w:r>
        <w:rPr>
          <w:rFonts w:ascii="宋体" w:hAnsi="宋体"/>
          <w:color w:val="auto"/>
          <w:kern w:val="2"/>
          <w:sz w:val="21"/>
          <w:highlight w:val="none"/>
          <w:lang w:val="zh-CN"/>
        </w:rPr>
        <w:t>本授权书声明：注册于</w:t>
      </w:r>
      <w:r>
        <w:rPr>
          <w:rFonts w:ascii="宋体" w:hAnsi="宋体"/>
          <w:color w:val="auto"/>
          <w:kern w:val="2"/>
          <w:sz w:val="21"/>
          <w:highlight w:val="none"/>
          <w:u w:val="single"/>
          <w:lang w:val="zh-CN"/>
        </w:rPr>
        <w:t xml:space="preserve">     </w:t>
      </w:r>
      <w:r>
        <w:rPr>
          <w:rFonts w:hint="eastAsia" w:ascii="宋体" w:hAnsi="宋体"/>
          <w:color w:val="auto"/>
          <w:kern w:val="2"/>
          <w:sz w:val="21"/>
          <w:highlight w:val="none"/>
          <w:u w:val="single"/>
          <w:lang w:val="en-US" w:eastAsia="zh-CN"/>
        </w:rPr>
        <w:t xml:space="preserve"> </w:t>
      </w:r>
      <w:r>
        <w:rPr>
          <w:rFonts w:ascii="宋体" w:hAnsi="宋体"/>
          <w:color w:val="auto"/>
          <w:kern w:val="2"/>
          <w:sz w:val="21"/>
          <w:highlight w:val="none"/>
          <w:u w:val="single"/>
          <w:lang w:val="zh-CN"/>
        </w:rPr>
        <w:t xml:space="preserve">  </w:t>
      </w:r>
      <w:r>
        <w:rPr>
          <w:rFonts w:ascii="宋体" w:hAnsi="宋体"/>
          <w:color w:val="auto"/>
          <w:kern w:val="2"/>
          <w:sz w:val="21"/>
          <w:highlight w:val="none"/>
          <w:lang w:val="zh-CN"/>
        </w:rPr>
        <w:t>（</w:t>
      </w:r>
      <w:r>
        <w:rPr>
          <w:rFonts w:hint="eastAsia" w:ascii="宋体" w:hAnsi="宋体"/>
          <w:color w:val="auto"/>
          <w:kern w:val="2"/>
          <w:sz w:val="21"/>
          <w:highlight w:val="none"/>
          <w:lang w:val="en-US" w:eastAsia="zh-CN"/>
        </w:rPr>
        <w:t>报价人</w:t>
      </w:r>
      <w:r>
        <w:rPr>
          <w:rFonts w:ascii="宋体" w:hAnsi="宋体"/>
          <w:color w:val="auto"/>
          <w:kern w:val="2"/>
          <w:sz w:val="21"/>
          <w:highlight w:val="none"/>
          <w:lang w:val="zh-CN"/>
        </w:rPr>
        <w:t>地址）的</w:t>
      </w:r>
      <w:r>
        <w:rPr>
          <w:rFonts w:ascii="宋体" w:hAnsi="宋体"/>
          <w:color w:val="auto"/>
          <w:kern w:val="2"/>
          <w:sz w:val="21"/>
          <w:highlight w:val="none"/>
          <w:u w:val="single"/>
          <w:lang w:val="zh-CN"/>
        </w:rPr>
        <w:t xml:space="preserve">           </w:t>
      </w:r>
      <w:r>
        <w:rPr>
          <w:rFonts w:ascii="宋体" w:hAnsi="宋体"/>
          <w:color w:val="auto"/>
          <w:kern w:val="2"/>
          <w:sz w:val="21"/>
          <w:highlight w:val="none"/>
          <w:lang w:val="zh-CN"/>
        </w:rPr>
        <w:t>（</w:t>
      </w:r>
      <w:r>
        <w:rPr>
          <w:rFonts w:hint="eastAsia" w:ascii="宋体" w:hAnsi="宋体"/>
          <w:color w:val="auto"/>
          <w:kern w:val="2"/>
          <w:sz w:val="21"/>
          <w:highlight w:val="none"/>
          <w:lang w:val="en-US" w:eastAsia="zh-CN"/>
        </w:rPr>
        <w:t>报价人</w:t>
      </w:r>
      <w:r>
        <w:rPr>
          <w:rFonts w:ascii="宋体" w:hAnsi="宋体"/>
          <w:color w:val="auto"/>
          <w:kern w:val="2"/>
          <w:sz w:val="21"/>
          <w:highlight w:val="none"/>
          <w:lang w:val="zh-CN"/>
        </w:rPr>
        <w:t>名称）在下面签字的</w:t>
      </w:r>
      <w:r>
        <w:rPr>
          <w:rFonts w:ascii="宋体" w:hAnsi="宋体"/>
          <w:color w:val="auto"/>
          <w:kern w:val="2"/>
          <w:sz w:val="21"/>
          <w:highlight w:val="none"/>
          <w:u w:val="single"/>
          <w:lang w:val="zh-CN"/>
        </w:rPr>
        <w:t xml:space="preserve">           </w:t>
      </w:r>
      <w:r>
        <w:rPr>
          <w:rFonts w:ascii="宋体" w:hAnsi="宋体"/>
          <w:color w:val="auto"/>
          <w:kern w:val="2"/>
          <w:sz w:val="21"/>
          <w:highlight w:val="none"/>
          <w:lang w:val="zh-CN"/>
        </w:rPr>
        <w:t>（法定代表人姓名、职务、身份证号码）代表本公司授权在下面签字的</w:t>
      </w:r>
      <w:r>
        <w:rPr>
          <w:rFonts w:ascii="宋体" w:hAnsi="宋体"/>
          <w:color w:val="auto"/>
          <w:kern w:val="2"/>
          <w:sz w:val="21"/>
          <w:highlight w:val="none"/>
          <w:u w:val="single"/>
          <w:lang w:val="zh-CN"/>
        </w:rPr>
        <w:t xml:space="preserve">        </w:t>
      </w:r>
      <w:r>
        <w:rPr>
          <w:rFonts w:ascii="宋体" w:hAnsi="宋体"/>
          <w:color w:val="auto"/>
          <w:kern w:val="2"/>
          <w:sz w:val="21"/>
          <w:highlight w:val="none"/>
          <w:lang w:val="zh-CN"/>
        </w:rPr>
        <w:t>（被授权人的姓名、职务、身份证号码）为本公司的合法代表人，签署</w:t>
      </w:r>
      <w:r>
        <w:rPr>
          <w:rFonts w:hint="eastAsia" w:ascii="宋体" w:hAnsi="宋体"/>
          <w:color w:val="auto"/>
          <w:kern w:val="2"/>
          <w:sz w:val="21"/>
          <w:highlight w:val="none"/>
          <w:lang w:val="zh-CN" w:eastAsia="zh-CN"/>
        </w:rPr>
        <w:t>东莞市智汇水务科技有限公司2024年股权、设备资产价值评估单位采购项目</w:t>
      </w:r>
      <w:r>
        <w:rPr>
          <w:rFonts w:ascii="宋体" w:hAnsi="宋体"/>
          <w:color w:val="auto"/>
          <w:kern w:val="2"/>
          <w:sz w:val="21"/>
          <w:szCs w:val="21"/>
          <w:highlight w:val="none"/>
          <w:lang w:val="zh-CN"/>
        </w:rPr>
        <w:t>（</w:t>
      </w:r>
      <w:r>
        <w:rPr>
          <w:rFonts w:hint="eastAsia" w:ascii="宋体" w:hAnsi="宋体"/>
          <w:color w:val="auto"/>
          <w:kern w:val="2"/>
          <w:sz w:val="21"/>
          <w:szCs w:val="21"/>
          <w:highlight w:val="none"/>
          <w:lang w:val="zh-CN"/>
        </w:rPr>
        <w:t>采购编号：2024-007</w:t>
      </w:r>
      <w:r>
        <w:rPr>
          <w:rFonts w:ascii="宋体" w:hAnsi="宋体"/>
          <w:color w:val="auto"/>
          <w:kern w:val="2"/>
          <w:sz w:val="21"/>
          <w:szCs w:val="21"/>
          <w:highlight w:val="none"/>
          <w:lang w:val="zh-CN"/>
        </w:rPr>
        <w:t>）的</w:t>
      </w:r>
      <w:r>
        <w:rPr>
          <w:rFonts w:hint="eastAsia" w:ascii="宋体" w:hAnsi="宋体"/>
          <w:color w:val="auto"/>
          <w:kern w:val="2"/>
          <w:sz w:val="21"/>
          <w:szCs w:val="21"/>
          <w:highlight w:val="none"/>
          <w:lang w:val="en-US" w:eastAsia="zh-CN"/>
        </w:rPr>
        <w:t>报价</w:t>
      </w:r>
      <w:r>
        <w:rPr>
          <w:rFonts w:hint="eastAsia" w:ascii="宋体" w:hAnsi="宋体"/>
          <w:color w:val="auto"/>
          <w:kern w:val="2"/>
          <w:sz w:val="21"/>
          <w:szCs w:val="21"/>
          <w:highlight w:val="none"/>
          <w:lang w:val="zh-CN"/>
        </w:rPr>
        <w:t>文件</w:t>
      </w:r>
      <w:r>
        <w:rPr>
          <w:rFonts w:ascii="宋体" w:hAnsi="宋体"/>
          <w:color w:val="auto"/>
          <w:kern w:val="2"/>
          <w:sz w:val="21"/>
          <w:szCs w:val="21"/>
          <w:highlight w:val="none"/>
          <w:lang w:val="zh-CN"/>
        </w:rPr>
        <w:t>，</w:t>
      </w:r>
      <w:r>
        <w:rPr>
          <w:rFonts w:ascii="宋体" w:hAnsi="宋体"/>
          <w:color w:val="auto"/>
          <w:kern w:val="2"/>
          <w:sz w:val="21"/>
          <w:szCs w:val="21"/>
          <w:highlight w:val="none"/>
        </w:rPr>
        <w:t>代表我公司</w:t>
      </w:r>
      <w:r>
        <w:rPr>
          <w:rFonts w:ascii="宋体" w:hAnsi="宋体"/>
          <w:color w:val="auto"/>
          <w:kern w:val="2"/>
          <w:sz w:val="21"/>
          <w:highlight w:val="none"/>
          <w:lang w:val="zh-CN"/>
        </w:rPr>
        <w:t>递交</w:t>
      </w:r>
      <w:r>
        <w:rPr>
          <w:rFonts w:hint="eastAsia" w:ascii="宋体" w:hAnsi="宋体"/>
          <w:color w:val="auto"/>
          <w:kern w:val="2"/>
          <w:sz w:val="21"/>
          <w:highlight w:val="none"/>
          <w:lang w:val="en-US" w:eastAsia="zh-CN"/>
        </w:rPr>
        <w:t>报价</w:t>
      </w:r>
      <w:r>
        <w:rPr>
          <w:rFonts w:hint="eastAsia" w:ascii="宋体" w:hAnsi="宋体"/>
          <w:color w:val="auto"/>
          <w:kern w:val="2"/>
          <w:sz w:val="21"/>
          <w:highlight w:val="none"/>
          <w:lang w:val="zh-CN"/>
        </w:rPr>
        <w:t>文件</w:t>
      </w:r>
      <w:r>
        <w:rPr>
          <w:rFonts w:ascii="宋体" w:hAnsi="宋体"/>
          <w:color w:val="auto"/>
          <w:kern w:val="2"/>
          <w:sz w:val="21"/>
          <w:highlight w:val="none"/>
          <w:lang w:val="zh-CN"/>
        </w:rPr>
        <w:t>、参与开标会、代表我公司应</w:t>
      </w:r>
      <w:r>
        <w:rPr>
          <w:rFonts w:hint="eastAsia" w:ascii="宋体" w:hAnsi="宋体"/>
          <w:color w:val="auto"/>
          <w:kern w:val="2"/>
          <w:sz w:val="21"/>
          <w:highlight w:val="none"/>
          <w:lang w:val="en-US" w:eastAsia="zh-CN"/>
        </w:rPr>
        <w:t>询价</w:t>
      </w:r>
      <w:r>
        <w:rPr>
          <w:rFonts w:hint="eastAsia" w:ascii="宋体" w:hAnsi="宋体"/>
          <w:color w:val="auto"/>
          <w:kern w:val="2"/>
          <w:sz w:val="21"/>
          <w:highlight w:val="none"/>
          <w:lang w:val="zh-CN"/>
        </w:rPr>
        <w:t>小组</w:t>
      </w:r>
      <w:r>
        <w:rPr>
          <w:rFonts w:ascii="宋体" w:hAnsi="宋体"/>
          <w:color w:val="auto"/>
          <w:kern w:val="2"/>
          <w:sz w:val="21"/>
          <w:highlight w:val="none"/>
          <w:lang w:val="zh-CN"/>
        </w:rPr>
        <w:t>的要求对</w:t>
      </w:r>
      <w:r>
        <w:rPr>
          <w:rFonts w:hint="eastAsia" w:ascii="宋体" w:hAnsi="宋体"/>
          <w:color w:val="auto"/>
          <w:kern w:val="2"/>
          <w:sz w:val="21"/>
          <w:highlight w:val="none"/>
          <w:lang w:val="en-US" w:eastAsia="zh-CN"/>
        </w:rPr>
        <w:t>报价</w:t>
      </w:r>
      <w:r>
        <w:rPr>
          <w:rFonts w:hint="eastAsia" w:ascii="宋体" w:hAnsi="宋体"/>
          <w:color w:val="auto"/>
          <w:kern w:val="2"/>
          <w:sz w:val="21"/>
          <w:highlight w:val="none"/>
          <w:lang w:val="zh-CN"/>
        </w:rPr>
        <w:t>文件</w:t>
      </w:r>
      <w:r>
        <w:rPr>
          <w:rFonts w:ascii="宋体" w:hAnsi="宋体"/>
          <w:color w:val="auto"/>
          <w:kern w:val="2"/>
          <w:sz w:val="21"/>
          <w:highlight w:val="none"/>
          <w:lang w:val="zh-CN"/>
        </w:rPr>
        <w:t>进行澄清</w:t>
      </w:r>
      <w:r>
        <w:rPr>
          <w:rFonts w:hint="eastAsia" w:ascii="宋体" w:hAnsi="宋体"/>
          <w:color w:val="auto"/>
          <w:kern w:val="2"/>
          <w:sz w:val="21"/>
          <w:highlight w:val="none"/>
          <w:lang w:val="en-US" w:eastAsia="zh-CN"/>
        </w:rPr>
        <w:t>和</w:t>
      </w:r>
      <w:r>
        <w:rPr>
          <w:rFonts w:ascii="宋体" w:hAnsi="宋体"/>
          <w:color w:val="auto"/>
          <w:kern w:val="2"/>
          <w:sz w:val="21"/>
          <w:highlight w:val="none"/>
          <w:lang w:val="zh-CN"/>
        </w:rPr>
        <w:t>进行合同谈判，以我公司的名义处理</w:t>
      </w:r>
      <w:r>
        <w:rPr>
          <w:rFonts w:hint="eastAsia" w:ascii="宋体" w:hAnsi="宋体"/>
          <w:color w:val="auto"/>
          <w:kern w:val="2"/>
          <w:sz w:val="21"/>
          <w:highlight w:val="none"/>
          <w:lang w:val="en-US" w:eastAsia="zh-CN"/>
        </w:rPr>
        <w:t>上述</w:t>
      </w:r>
      <w:r>
        <w:rPr>
          <w:rFonts w:ascii="宋体" w:hAnsi="宋体"/>
          <w:color w:val="auto"/>
          <w:kern w:val="2"/>
          <w:sz w:val="21"/>
          <w:highlight w:val="none"/>
          <w:lang w:val="zh-CN"/>
        </w:rPr>
        <w:t>有关的事宜，</w:t>
      </w:r>
      <w:r>
        <w:rPr>
          <w:rFonts w:ascii="宋体" w:hAnsi="宋体"/>
          <w:color w:val="auto"/>
          <w:kern w:val="2"/>
          <w:sz w:val="21"/>
          <w:szCs w:val="21"/>
          <w:highlight w:val="none"/>
        </w:rPr>
        <w:t>我承认代理人全权代表我所签署的本项目</w:t>
      </w:r>
      <w:r>
        <w:rPr>
          <w:rFonts w:hint="eastAsia" w:ascii="宋体" w:hAnsi="宋体"/>
          <w:color w:val="auto"/>
          <w:kern w:val="2"/>
          <w:sz w:val="21"/>
          <w:szCs w:val="21"/>
          <w:highlight w:val="none"/>
          <w:lang w:val="en-US" w:eastAsia="zh-CN"/>
        </w:rPr>
        <w:t>报价</w:t>
      </w:r>
      <w:r>
        <w:rPr>
          <w:rFonts w:hint="eastAsia" w:ascii="宋体" w:hAnsi="宋体"/>
          <w:color w:val="auto"/>
          <w:kern w:val="2"/>
          <w:sz w:val="21"/>
          <w:szCs w:val="21"/>
          <w:highlight w:val="none"/>
        </w:rPr>
        <w:t>文件</w:t>
      </w:r>
      <w:r>
        <w:rPr>
          <w:rFonts w:ascii="宋体" w:hAnsi="宋体"/>
          <w:color w:val="auto"/>
          <w:kern w:val="2"/>
          <w:sz w:val="21"/>
          <w:szCs w:val="21"/>
          <w:highlight w:val="none"/>
        </w:rPr>
        <w:t>的内容及</w:t>
      </w:r>
      <w:r>
        <w:rPr>
          <w:rFonts w:ascii="宋体" w:hAnsi="宋体"/>
          <w:color w:val="auto"/>
          <w:kern w:val="2"/>
          <w:sz w:val="21"/>
          <w:highlight w:val="none"/>
          <w:lang w:val="zh-CN"/>
        </w:rPr>
        <w:t>所进行的上述活动。</w:t>
      </w:r>
    </w:p>
    <w:p>
      <w:pPr>
        <w:autoSpaceDE/>
        <w:autoSpaceDN/>
        <w:adjustRightInd/>
        <w:spacing w:before="120" w:after="120" w:line="360" w:lineRule="auto"/>
        <w:ind w:firstLine="420" w:firstLineChars="200"/>
        <w:jc w:val="both"/>
        <w:rPr>
          <w:rFonts w:ascii="宋体" w:hAnsi="宋体"/>
          <w:color w:val="auto"/>
          <w:kern w:val="2"/>
          <w:sz w:val="21"/>
          <w:szCs w:val="21"/>
          <w:highlight w:val="none"/>
        </w:rPr>
      </w:pPr>
      <w:r>
        <w:rPr>
          <w:rFonts w:ascii="宋体" w:hAnsi="宋体"/>
          <w:color w:val="auto"/>
          <w:kern w:val="2"/>
          <w:sz w:val="21"/>
          <w:highlight w:val="none"/>
          <w:lang w:val="zh-CN"/>
        </w:rPr>
        <w:t>本授权书于</w:t>
      </w:r>
      <w:r>
        <w:rPr>
          <w:rFonts w:ascii="宋体" w:hAnsi="宋体"/>
          <w:color w:val="auto"/>
          <w:kern w:val="2"/>
          <w:sz w:val="21"/>
          <w:highlight w:val="none"/>
          <w:u w:val="single"/>
          <w:lang w:val="zh-CN"/>
        </w:rPr>
        <w:t xml:space="preserve">      </w:t>
      </w:r>
      <w:r>
        <w:rPr>
          <w:rFonts w:ascii="宋体" w:hAnsi="宋体"/>
          <w:color w:val="auto"/>
          <w:kern w:val="2"/>
          <w:sz w:val="21"/>
          <w:highlight w:val="none"/>
          <w:lang w:val="zh-CN"/>
        </w:rPr>
        <w:t>年</w:t>
      </w:r>
      <w:r>
        <w:rPr>
          <w:rFonts w:ascii="宋体" w:hAnsi="宋体"/>
          <w:color w:val="auto"/>
          <w:kern w:val="2"/>
          <w:sz w:val="21"/>
          <w:highlight w:val="none"/>
          <w:u w:val="single"/>
          <w:lang w:val="zh-CN"/>
        </w:rPr>
        <w:t xml:space="preserve">     </w:t>
      </w:r>
      <w:r>
        <w:rPr>
          <w:rFonts w:ascii="宋体" w:hAnsi="宋体"/>
          <w:color w:val="auto"/>
          <w:kern w:val="2"/>
          <w:sz w:val="21"/>
          <w:highlight w:val="none"/>
          <w:lang w:val="zh-CN"/>
        </w:rPr>
        <w:t>月</w:t>
      </w:r>
      <w:r>
        <w:rPr>
          <w:rFonts w:ascii="宋体" w:hAnsi="宋体"/>
          <w:color w:val="auto"/>
          <w:kern w:val="2"/>
          <w:sz w:val="21"/>
          <w:highlight w:val="none"/>
          <w:u w:val="single"/>
          <w:lang w:val="zh-CN"/>
        </w:rPr>
        <w:t xml:space="preserve">     </w:t>
      </w:r>
      <w:r>
        <w:rPr>
          <w:rFonts w:ascii="宋体" w:hAnsi="宋体"/>
          <w:color w:val="auto"/>
          <w:kern w:val="2"/>
          <w:sz w:val="21"/>
          <w:highlight w:val="none"/>
          <w:lang w:val="zh-CN"/>
        </w:rPr>
        <w:t>日签字生效，有效期至</w:t>
      </w:r>
      <w:r>
        <w:rPr>
          <w:rFonts w:hint="eastAsia" w:ascii="宋体" w:hAnsi="宋体"/>
          <w:color w:val="auto"/>
          <w:kern w:val="2"/>
          <w:sz w:val="21"/>
          <w:highlight w:val="none"/>
          <w:lang w:val="en-US" w:eastAsia="zh-CN"/>
        </w:rPr>
        <w:t>报价</w:t>
      </w:r>
      <w:r>
        <w:rPr>
          <w:rFonts w:hint="eastAsia" w:ascii="宋体" w:hAnsi="宋体"/>
          <w:color w:val="auto"/>
          <w:kern w:val="2"/>
          <w:sz w:val="21"/>
          <w:highlight w:val="none"/>
          <w:lang w:val="zh-CN"/>
        </w:rPr>
        <w:t>文件</w:t>
      </w:r>
      <w:r>
        <w:rPr>
          <w:rFonts w:ascii="宋体" w:hAnsi="宋体"/>
          <w:color w:val="auto"/>
          <w:kern w:val="2"/>
          <w:sz w:val="21"/>
          <w:highlight w:val="none"/>
          <w:lang w:val="zh-CN"/>
        </w:rPr>
        <w:t>失效期止，</w:t>
      </w:r>
      <w:r>
        <w:rPr>
          <w:rFonts w:ascii="宋体" w:hAnsi="宋体"/>
          <w:color w:val="auto"/>
          <w:kern w:val="2"/>
          <w:sz w:val="21"/>
          <w:szCs w:val="21"/>
          <w:highlight w:val="none"/>
        </w:rPr>
        <w:t>代理人无转委托权，</w:t>
      </w:r>
      <w:r>
        <w:rPr>
          <w:rFonts w:ascii="宋体" w:hAnsi="宋体"/>
          <w:color w:val="auto"/>
          <w:kern w:val="2"/>
          <w:sz w:val="21"/>
          <w:highlight w:val="none"/>
          <w:lang w:val="zh-CN"/>
        </w:rPr>
        <w:t>特此声明。</w:t>
      </w:r>
    </w:p>
    <w:p>
      <w:pPr>
        <w:autoSpaceDE/>
        <w:autoSpaceDN/>
        <w:adjustRightInd/>
        <w:spacing w:before="120" w:after="120" w:line="360" w:lineRule="auto"/>
        <w:ind w:firstLine="277" w:firstLineChars="132"/>
        <w:rPr>
          <w:rFonts w:ascii="宋体" w:hAnsi="宋体"/>
          <w:color w:val="auto"/>
          <w:kern w:val="2"/>
          <w:sz w:val="21"/>
          <w:highlight w:val="none"/>
          <w:lang w:val="zh-CN"/>
        </w:rPr>
      </w:pPr>
    </w:p>
    <w:p>
      <w:pPr>
        <w:autoSpaceDE/>
        <w:autoSpaceDN/>
        <w:adjustRightInd/>
        <w:spacing w:before="120" w:after="120" w:line="360" w:lineRule="auto"/>
        <w:ind w:left="629" w:firstLine="425"/>
        <w:jc w:val="both"/>
        <w:rPr>
          <w:rFonts w:ascii="宋体" w:hAnsi="宋体"/>
          <w:color w:val="auto"/>
          <w:kern w:val="2"/>
          <w:sz w:val="21"/>
          <w:highlight w:val="none"/>
        </w:rPr>
      </w:pPr>
    </w:p>
    <w:p>
      <w:pPr>
        <w:autoSpaceDE/>
        <w:autoSpaceDN/>
        <w:adjustRightInd/>
        <w:spacing w:before="120" w:after="120" w:line="360" w:lineRule="auto"/>
        <w:ind w:left="5040" w:firstLine="0"/>
        <w:jc w:val="both"/>
        <w:rPr>
          <w:rFonts w:ascii="宋体" w:hAnsi="宋体"/>
          <w:color w:val="auto"/>
          <w:kern w:val="2"/>
          <w:sz w:val="21"/>
          <w:highlight w:val="none"/>
          <w:lang w:val="zh-CN"/>
        </w:rPr>
      </w:pPr>
      <w:r>
        <w:rPr>
          <w:rFonts w:hint="eastAsia" w:ascii="宋体" w:hAnsi="宋体"/>
          <w:color w:val="auto"/>
          <w:kern w:val="2"/>
          <w:sz w:val="21"/>
          <w:highlight w:val="none"/>
          <w:lang w:val="en-US" w:eastAsia="zh-CN"/>
        </w:rPr>
        <w:t>报价人</w:t>
      </w:r>
      <w:r>
        <w:rPr>
          <w:rFonts w:ascii="宋体" w:hAnsi="宋体"/>
          <w:color w:val="auto"/>
          <w:kern w:val="2"/>
          <w:sz w:val="21"/>
          <w:highlight w:val="none"/>
          <w:lang w:val="zh-CN"/>
        </w:rPr>
        <w:t>：（加盖</w:t>
      </w:r>
      <w:r>
        <w:rPr>
          <w:rFonts w:hint="eastAsia" w:ascii="宋体" w:hAnsi="宋体"/>
          <w:color w:val="auto"/>
          <w:kern w:val="2"/>
          <w:sz w:val="21"/>
          <w:highlight w:val="none"/>
          <w:lang w:val="en-US" w:eastAsia="zh-CN"/>
        </w:rPr>
        <w:t>报价人</w:t>
      </w:r>
      <w:r>
        <w:rPr>
          <w:rFonts w:hint="eastAsia" w:ascii="宋体" w:hAnsi="宋体"/>
          <w:color w:val="auto"/>
          <w:kern w:val="2"/>
          <w:sz w:val="21"/>
          <w:highlight w:val="none"/>
          <w:lang w:val="zh-CN"/>
        </w:rPr>
        <w:t>法</w:t>
      </w:r>
      <w:r>
        <w:rPr>
          <w:rFonts w:ascii="宋体" w:hAnsi="宋体"/>
          <w:color w:val="auto"/>
          <w:kern w:val="2"/>
          <w:sz w:val="21"/>
          <w:highlight w:val="none"/>
          <w:lang w:val="zh-CN"/>
        </w:rPr>
        <w:t>人公章）</w:t>
      </w:r>
    </w:p>
    <w:p>
      <w:pPr>
        <w:autoSpaceDE/>
        <w:autoSpaceDN/>
        <w:adjustRightInd/>
        <w:spacing w:before="120" w:after="120" w:line="360" w:lineRule="auto"/>
        <w:ind w:left="0" w:firstLine="5103" w:firstLineChars="2430"/>
        <w:jc w:val="both"/>
        <w:rPr>
          <w:rFonts w:ascii="宋体" w:hAnsi="宋体"/>
          <w:color w:val="auto"/>
          <w:kern w:val="2"/>
          <w:sz w:val="21"/>
          <w:highlight w:val="none"/>
          <w:lang w:val="zh-CN"/>
        </w:rPr>
      </w:pPr>
    </w:p>
    <w:p>
      <w:pPr>
        <w:autoSpaceDE/>
        <w:autoSpaceDN/>
        <w:adjustRightInd/>
        <w:spacing w:before="120" w:after="120" w:line="360" w:lineRule="auto"/>
        <w:ind w:left="0" w:firstLine="5103" w:firstLineChars="2430"/>
        <w:jc w:val="both"/>
        <w:rPr>
          <w:rFonts w:ascii="宋体" w:hAnsi="宋体"/>
          <w:color w:val="auto"/>
          <w:kern w:val="2"/>
          <w:sz w:val="21"/>
          <w:highlight w:val="none"/>
          <w:lang w:val="zh-CN"/>
        </w:rPr>
      </w:pPr>
      <w:r>
        <w:rPr>
          <w:rFonts w:ascii="宋体" w:hAnsi="宋体"/>
          <w:color w:val="auto"/>
          <w:kern w:val="2"/>
          <w:sz w:val="21"/>
          <w:highlight w:val="none"/>
          <w:lang w:val="zh-CN"/>
        </w:rPr>
        <w:t>法定代表人（签名或盖私章）：</w:t>
      </w:r>
    </w:p>
    <w:p>
      <w:pPr>
        <w:autoSpaceDE/>
        <w:autoSpaceDN/>
        <w:adjustRightInd/>
        <w:spacing w:before="120" w:after="120" w:line="360" w:lineRule="auto"/>
        <w:ind w:left="0" w:firstLine="5103" w:firstLineChars="2430"/>
        <w:jc w:val="both"/>
        <w:rPr>
          <w:rFonts w:ascii="宋体" w:hAnsi="宋体"/>
          <w:color w:val="auto"/>
          <w:kern w:val="2"/>
          <w:sz w:val="21"/>
          <w:highlight w:val="none"/>
          <w:lang w:val="zh-CN"/>
        </w:rPr>
      </w:pPr>
      <w:r>
        <w:rPr>
          <w:rFonts w:ascii="宋体" w:hAnsi="宋体"/>
          <w:color w:val="auto"/>
          <w:kern w:val="2"/>
          <w:sz w:val="21"/>
          <w:highlight w:val="none"/>
          <w:lang w:val="zh-CN"/>
        </w:rPr>
        <w:t>职　　　务：</w:t>
      </w:r>
    </w:p>
    <w:p>
      <w:pPr>
        <w:autoSpaceDE/>
        <w:autoSpaceDN/>
        <w:adjustRightInd/>
        <w:spacing w:before="120" w:after="120" w:line="360" w:lineRule="auto"/>
        <w:ind w:left="0" w:firstLine="5103" w:firstLineChars="2430"/>
        <w:jc w:val="both"/>
        <w:rPr>
          <w:rFonts w:ascii="宋体" w:hAnsi="宋体"/>
          <w:color w:val="auto"/>
          <w:kern w:val="2"/>
          <w:sz w:val="21"/>
          <w:highlight w:val="none"/>
          <w:lang w:val="zh-CN"/>
        </w:rPr>
      </w:pPr>
      <w:r>
        <w:rPr>
          <w:rFonts w:ascii="宋体" w:hAnsi="宋体"/>
          <w:color w:val="auto"/>
          <w:kern w:val="2"/>
          <w:sz w:val="21"/>
          <w:highlight w:val="none"/>
          <w:lang w:val="zh-CN"/>
        </w:rPr>
        <w:t>被授权人（签名或盖私章）：</w:t>
      </w:r>
    </w:p>
    <w:p>
      <w:pPr>
        <w:autoSpaceDE/>
        <w:autoSpaceDN/>
        <w:adjustRightInd/>
        <w:spacing w:before="120" w:after="120" w:line="360" w:lineRule="auto"/>
        <w:ind w:left="0" w:firstLine="5103" w:firstLineChars="2430"/>
        <w:jc w:val="both"/>
        <w:rPr>
          <w:rFonts w:ascii="宋体" w:hAnsi="宋体"/>
          <w:color w:val="auto"/>
          <w:kern w:val="2"/>
          <w:sz w:val="21"/>
          <w:highlight w:val="none"/>
          <w:lang w:val="zh-CN"/>
        </w:rPr>
      </w:pPr>
      <w:r>
        <w:rPr>
          <w:rFonts w:ascii="宋体" w:hAnsi="宋体"/>
          <w:color w:val="auto"/>
          <w:kern w:val="2"/>
          <w:sz w:val="21"/>
          <w:highlight w:val="none"/>
          <w:lang w:val="zh-CN"/>
        </w:rPr>
        <w:t>职　　　务：</w:t>
      </w:r>
    </w:p>
    <w:p>
      <w:pPr>
        <w:widowControl/>
        <w:adjustRightInd/>
        <w:spacing w:before="120" w:after="120" w:line="360" w:lineRule="auto"/>
        <w:ind w:right="893" w:firstLine="420" w:firstLineChars="200"/>
        <w:jc w:val="both"/>
        <w:textAlignment w:val="bottom"/>
        <w:rPr>
          <w:rFonts w:ascii="宋体" w:hAnsi="宋体"/>
          <w:color w:val="auto"/>
          <w:kern w:val="2"/>
          <w:sz w:val="21"/>
          <w:highlight w:val="none"/>
        </w:rPr>
      </w:pPr>
      <w:r>
        <w:rPr>
          <w:rFonts w:ascii="宋体" w:hAnsi="宋体"/>
          <w:color w:val="auto"/>
          <w:kern w:val="2"/>
          <w:sz w:val="21"/>
          <w:highlight w:val="none"/>
          <w:lang w:val="zh-CN"/>
        </w:rPr>
        <w:br w:type="page"/>
      </w:r>
      <w:r>
        <w:rPr>
          <w:rFonts w:ascii="宋体" w:hAnsi="宋体"/>
          <w:color w:val="auto"/>
          <w:kern w:val="2"/>
          <w:sz w:val="21"/>
          <w:highlight w:val="none"/>
        </w:rPr>
        <w:t>附 法定代表人、被授权人身份证复印件</w:t>
      </w:r>
    </w:p>
    <w:p>
      <w:pPr>
        <w:widowControl/>
        <w:adjustRightInd/>
        <w:spacing w:before="120" w:after="120" w:line="360" w:lineRule="auto"/>
        <w:ind w:right="893" w:firstLine="420" w:firstLineChars="200"/>
        <w:jc w:val="both"/>
        <w:textAlignment w:val="bottom"/>
        <w:rPr>
          <w:rFonts w:ascii="宋体" w:hAnsi="宋体"/>
          <w:color w:val="auto"/>
          <w:kern w:val="2"/>
          <w:sz w:val="21"/>
          <w:highlight w:val="none"/>
        </w:rPr>
      </w:pPr>
    </w:p>
    <w:p>
      <w:pPr>
        <w:widowControl/>
        <w:adjustRightInd/>
        <w:spacing w:before="120" w:after="120" w:line="360" w:lineRule="auto"/>
        <w:ind w:right="893"/>
        <w:jc w:val="center"/>
        <w:textAlignment w:val="bottom"/>
        <w:rPr>
          <w:rFonts w:ascii="宋体" w:hAnsi="宋体"/>
          <w:color w:val="auto"/>
          <w:kern w:val="2"/>
          <w:sz w:val="21"/>
          <w:highlight w:val="none"/>
        </w:rPr>
      </w:pPr>
      <w:r>
        <w:rPr>
          <w:rFonts w:ascii="宋体" w:hAnsi="宋体"/>
          <w:color w:val="auto"/>
          <w:kern w:val="2"/>
          <w:sz w:val="21"/>
          <w:highlight w:val="none"/>
        </w:rPr>
        <mc:AlternateContent>
          <mc:Choice Requires="wps">
            <w:drawing>
              <wp:anchor distT="0" distB="0" distL="114300" distR="114300" simplePos="0" relativeHeight="251664384" behindDoc="0" locked="0" layoutInCell="1" allowOverlap="1">
                <wp:simplePos x="0" y="0"/>
                <wp:positionH relativeFrom="column">
                  <wp:posOffset>3414395</wp:posOffset>
                </wp:positionH>
                <wp:positionV relativeFrom="paragraph">
                  <wp:posOffset>62865</wp:posOffset>
                </wp:positionV>
                <wp:extent cx="2790825" cy="1762125"/>
                <wp:effectExtent l="4445" t="4445" r="11430" b="11430"/>
                <wp:wrapNone/>
                <wp:docPr id="7" name="文本框 7"/>
                <wp:cNvGraphicFramePr/>
                <a:graphic xmlns:a="http://schemas.openxmlformats.org/drawingml/2006/main">
                  <a:graphicData uri="http://schemas.microsoft.com/office/word/2010/wordprocessingShape">
                    <wps:wsp>
                      <wps:cNvSpPr txBox="1"/>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rPr>
                                <w:rFonts w:hint="eastAsia"/>
                              </w:rPr>
                            </w:pPr>
                          </w:p>
                          <w:p>
                            <w:pPr>
                              <w:rPr>
                                <w:rFonts w:hint="eastAsia"/>
                              </w:rPr>
                            </w:pPr>
                          </w:p>
                          <w:p>
                            <w:pPr>
                              <w:rPr>
                                <w:rFonts w:hint="eastAsia"/>
                              </w:rPr>
                            </w:pPr>
                          </w:p>
                          <w:p>
                            <w:pPr>
                              <w:jc w:val="center"/>
                              <w:rPr>
                                <w:rFonts w:ascii="宋体" w:hAnsi="宋体"/>
                                <w:kern w:val="2"/>
                                <w:sz w:val="21"/>
                              </w:rPr>
                            </w:pPr>
                            <w:r>
                              <w:rPr>
                                <w:rFonts w:hint="eastAsia" w:ascii="宋体" w:hAnsi="宋体"/>
                                <w:kern w:val="2"/>
                                <w:sz w:val="21"/>
                              </w:rPr>
                              <w:t>法定代表人身份证反面</w:t>
                            </w:r>
                          </w:p>
                        </w:txbxContent>
                      </wps:txbx>
                      <wps:bodyPr upright="1"/>
                    </wps:wsp>
                  </a:graphicData>
                </a:graphic>
              </wp:anchor>
            </w:drawing>
          </mc:Choice>
          <mc:Fallback>
            <w:pict>
              <v:shape id="_x0000_s1026" o:spid="_x0000_s1026" o:spt="202" type="#_x0000_t202" style="position:absolute;left:0pt;margin-left:268.85pt;margin-top:4.95pt;height:138.75pt;width:219.75pt;z-index:251664384;mso-width-relative:page;mso-height-relative:page;" fillcolor="#FFFFFF" filled="t" stroked="t" coordsize="21600,21600" o:gfxdata="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4T/A+2QAAAAkBAAAPAAAAAAAAAAEAIAAA&#10;ACIAAABkcnMvZG93bnJldi54bWxQSwECFAAUAAAACACHTuJAWfLPxgsCAAA3BAAADgAAAAAAAAAB&#10;ACAAAAAoAQAAZHJzL2Uyb0RvYy54bWxQSwUGAAAAAAYABgBZAQAApQUAAAAA&#10;">
                <v:fill on="t" focussize="0,0"/>
                <v:stroke color="#000000" joinstyle="miter"/>
                <v:imagedata o:title=""/>
                <o:lock v:ext="edit" aspectratio="f"/>
                <v:textbox>
                  <w:txbxContent>
                    <w:p>
                      <w:pPr>
                        <w:rPr>
                          <w:rFonts w:hint="eastAsia"/>
                        </w:rPr>
                      </w:pPr>
                    </w:p>
                    <w:p>
                      <w:pPr>
                        <w:rPr>
                          <w:rFonts w:hint="eastAsia"/>
                        </w:rPr>
                      </w:pPr>
                    </w:p>
                    <w:p>
                      <w:pPr>
                        <w:rPr>
                          <w:rFonts w:hint="eastAsia"/>
                        </w:rPr>
                      </w:pPr>
                    </w:p>
                    <w:p>
                      <w:pPr>
                        <w:rPr>
                          <w:rFonts w:hint="eastAsia"/>
                        </w:rPr>
                      </w:pPr>
                    </w:p>
                    <w:p>
                      <w:pPr>
                        <w:jc w:val="center"/>
                        <w:rPr>
                          <w:rFonts w:ascii="宋体" w:hAnsi="宋体"/>
                          <w:kern w:val="2"/>
                          <w:sz w:val="21"/>
                        </w:rPr>
                      </w:pPr>
                      <w:r>
                        <w:rPr>
                          <w:rFonts w:hint="eastAsia" w:ascii="宋体" w:hAnsi="宋体"/>
                          <w:kern w:val="2"/>
                          <w:sz w:val="21"/>
                        </w:rPr>
                        <w:t>法定代表人身份证反面</w:t>
                      </w:r>
                    </w:p>
                  </w:txbxContent>
                </v:textbox>
              </v:shape>
            </w:pict>
          </mc:Fallback>
        </mc:AlternateContent>
      </w:r>
      <w:r>
        <w:rPr>
          <w:rFonts w:ascii="宋体" w:hAnsi="宋体"/>
          <w:color w:val="auto"/>
          <w:kern w:val="2"/>
          <w:sz w:val="21"/>
          <w:highlight w:val="none"/>
        </w:rPr>
        <mc:AlternateContent>
          <mc:Choice Requires="wps">
            <w:drawing>
              <wp:anchor distT="0" distB="0" distL="114300" distR="114300" simplePos="0" relativeHeight="251663360" behindDoc="0" locked="0" layoutInCell="1" allowOverlap="1">
                <wp:simplePos x="0" y="0"/>
                <wp:positionH relativeFrom="column">
                  <wp:posOffset>213995</wp:posOffset>
                </wp:positionH>
                <wp:positionV relativeFrom="paragraph">
                  <wp:posOffset>62865</wp:posOffset>
                </wp:positionV>
                <wp:extent cx="2790825" cy="1762125"/>
                <wp:effectExtent l="4445" t="4445" r="11430" b="11430"/>
                <wp:wrapNone/>
                <wp:docPr id="5" name="文本框 5"/>
                <wp:cNvGraphicFramePr/>
                <a:graphic xmlns:a="http://schemas.openxmlformats.org/drawingml/2006/main">
                  <a:graphicData uri="http://schemas.microsoft.com/office/word/2010/wordprocessingShape">
                    <wps:wsp>
                      <wps:cNvSpPr txBox="1"/>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rPr>
                                <w:rFonts w:hint="eastAsia"/>
                              </w:rPr>
                            </w:pPr>
                          </w:p>
                          <w:p>
                            <w:pPr>
                              <w:rPr>
                                <w:rFonts w:hint="eastAsia"/>
                              </w:rPr>
                            </w:pPr>
                          </w:p>
                          <w:p>
                            <w:pPr>
                              <w:rPr>
                                <w:rFonts w:hint="eastAsia"/>
                              </w:rPr>
                            </w:pPr>
                          </w:p>
                          <w:p>
                            <w:pPr>
                              <w:jc w:val="center"/>
                              <w:rPr>
                                <w:rFonts w:ascii="宋体" w:hAnsi="宋体"/>
                                <w:kern w:val="2"/>
                                <w:sz w:val="21"/>
                              </w:rPr>
                            </w:pPr>
                            <w:r>
                              <w:rPr>
                                <w:rFonts w:hint="eastAsia" w:ascii="宋体" w:hAnsi="宋体"/>
                                <w:kern w:val="2"/>
                                <w:sz w:val="21"/>
                              </w:rPr>
                              <w:t>法定代表人身份证正面</w:t>
                            </w:r>
                          </w:p>
                        </w:txbxContent>
                      </wps:txbx>
                      <wps:bodyPr upright="1"/>
                    </wps:wsp>
                  </a:graphicData>
                </a:graphic>
              </wp:anchor>
            </w:drawing>
          </mc:Choice>
          <mc:Fallback>
            <w:pict>
              <v:shape id="_x0000_s1026" o:spid="_x0000_s1026" o:spt="202" type="#_x0000_t202" style="position:absolute;left:0pt;margin-left:16.85pt;margin-top:4.95pt;height:138.75pt;width:219.75pt;z-index:251663360;mso-width-relative:page;mso-height-relative:page;" fillcolor="#FFFFFF" filled="t" stroked="t" coordsize="21600,21600" o:gfxdata="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2JpNDdgAAAAIAQAADwAAAAAAAAABACAAAAAi&#10;AAAAZHJzL2Rvd25yZXYueG1sUEsBAhQAFAAAAAgAh07iQGCx/coKAgAANwQAAA4AAAAAAAAAAQAg&#10;AAAAJwEAAGRycy9lMm9Eb2MueG1sUEsFBgAAAAAGAAYAWQEAAKMFAAAAAA==&#10;">
                <v:fill on="t" focussize="0,0"/>
                <v:stroke color="#000000" joinstyle="miter"/>
                <v:imagedata o:title=""/>
                <o:lock v:ext="edit" aspectratio="f"/>
                <v:textbox>
                  <w:txbxContent>
                    <w:p>
                      <w:pPr>
                        <w:rPr>
                          <w:rFonts w:hint="eastAsia"/>
                        </w:rPr>
                      </w:pPr>
                    </w:p>
                    <w:p>
                      <w:pPr>
                        <w:rPr>
                          <w:rFonts w:hint="eastAsia"/>
                        </w:rPr>
                      </w:pPr>
                    </w:p>
                    <w:p>
                      <w:pPr>
                        <w:rPr>
                          <w:rFonts w:hint="eastAsia"/>
                        </w:rPr>
                      </w:pPr>
                    </w:p>
                    <w:p>
                      <w:pPr>
                        <w:rPr>
                          <w:rFonts w:hint="eastAsia"/>
                        </w:rPr>
                      </w:pPr>
                    </w:p>
                    <w:p>
                      <w:pPr>
                        <w:jc w:val="center"/>
                        <w:rPr>
                          <w:rFonts w:ascii="宋体" w:hAnsi="宋体"/>
                          <w:kern w:val="2"/>
                          <w:sz w:val="21"/>
                        </w:rPr>
                      </w:pPr>
                      <w:r>
                        <w:rPr>
                          <w:rFonts w:hint="eastAsia" w:ascii="宋体" w:hAnsi="宋体"/>
                          <w:kern w:val="2"/>
                          <w:sz w:val="21"/>
                        </w:rPr>
                        <w:t>法定代表人身份证正面</w:t>
                      </w:r>
                    </w:p>
                  </w:txbxContent>
                </v:textbox>
              </v:shape>
            </w:pict>
          </mc:Fallback>
        </mc:AlternateContent>
      </w:r>
    </w:p>
    <w:p>
      <w:pPr>
        <w:autoSpaceDE/>
        <w:autoSpaceDN/>
        <w:adjustRightInd/>
        <w:spacing w:before="120" w:after="120" w:line="360" w:lineRule="auto"/>
        <w:ind w:left="5040"/>
        <w:jc w:val="center"/>
        <w:rPr>
          <w:rFonts w:ascii="宋体" w:hAnsi="宋体"/>
          <w:color w:val="auto"/>
          <w:kern w:val="2"/>
          <w:sz w:val="21"/>
          <w:highlight w:val="none"/>
        </w:rPr>
      </w:pPr>
    </w:p>
    <w:p>
      <w:pPr>
        <w:jc w:val="center"/>
        <w:rPr>
          <w:rFonts w:ascii="宋体" w:hAnsi="宋体"/>
          <w:color w:val="auto"/>
          <w:kern w:val="2"/>
          <w:highlight w:val="none"/>
        </w:rPr>
      </w:pPr>
      <w:r>
        <w:rPr>
          <w:rFonts w:ascii="宋体" w:hAnsi="宋体"/>
          <w:color w:val="auto"/>
          <w:kern w:val="2"/>
          <w:highlight w:val="none"/>
        </w:rPr>
        <mc:AlternateContent>
          <mc:Choice Requires="wps">
            <w:drawing>
              <wp:anchor distT="0" distB="0" distL="114300" distR="114300" simplePos="0" relativeHeight="251666432" behindDoc="0" locked="0" layoutInCell="1" allowOverlap="1">
                <wp:simplePos x="0" y="0"/>
                <wp:positionH relativeFrom="column">
                  <wp:posOffset>3414395</wp:posOffset>
                </wp:positionH>
                <wp:positionV relativeFrom="paragraph">
                  <wp:posOffset>2688590</wp:posOffset>
                </wp:positionV>
                <wp:extent cx="2743200" cy="1771650"/>
                <wp:effectExtent l="5080" t="4445" r="7620" b="14605"/>
                <wp:wrapNone/>
                <wp:docPr id="6" name="文本框 6"/>
                <wp:cNvGraphicFramePr/>
                <a:graphic xmlns:a="http://schemas.openxmlformats.org/drawingml/2006/main">
                  <a:graphicData uri="http://schemas.microsoft.com/office/word/2010/wordprocessingShape">
                    <wps:wsp>
                      <wps:cNvSpPr txBox="1"/>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jc w:val="center"/>
                              <w:rPr>
                                <w:rFonts w:hint="eastAsia" w:hAnsi="等线 Light"/>
                                <w:color w:val="FF0000"/>
                                <w:kern w:val="2"/>
                                <w:sz w:val="21"/>
                              </w:rPr>
                            </w:pPr>
                          </w:p>
                          <w:p>
                            <w:pPr>
                              <w:jc w:val="center"/>
                              <w:rPr>
                                <w:rFonts w:hint="eastAsia" w:hAnsi="等线 Light"/>
                                <w:color w:val="FF0000"/>
                                <w:kern w:val="2"/>
                                <w:sz w:val="21"/>
                              </w:rPr>
                            </w:pPr>
                          </w:p>
                          <w:p>
                            <w:pPr>
                              <w:jc w:val="center"/>
                              <w:rPr>
                                <w:rFonts w:hint="eastAsia" w:hAnsi="等线 Light"/>
                                <w:color w:val="FF0000"/>
                                <w:kern w:val="2"/>
                                <w:sz w:val="21"/>
                              </w:rPr>
                            </w:pPr>
                          </w:p>
                          <w:p>
                            <w:pPr>
                              <w:jc w:val="center"/>
                              <w:rPr>
                                <w:rFonts w:ascii="宋体" w:hAnsi="宋体"/>
                              </w:rPr>
                            </w:pPr>
                            <w:r>
                              <w:rPr>
                                <w:rFonts w:hint="eastAsia" w:ascii="宋体" w:hAnsi="宋体"/>
                                <w:kern w:val="2"/>
                                <w:sz w:val="21"/>
                              </w:rPr>
                              <w:t>被授权人身份证反面</w:t>
                            </w:r>
                          </w:p>
                          <w:p>
                            <w:pPr>
                              <w:rPr>
                                <w:rFonts w:hint="eastAsia"/>
                              </w:rPr>
                            </w:pPr>
                          </w:p>
                          <w:p>
                            <w:pPr>
                              <w:rPr>
                                <w:rFonts w:hint="eastAsia"/>
                              </w:rPr>
                            </w:pPr>
                          </w:p>
                        </w:txbxContent>
                      </wps:txbx>
                      <wps:bodyPr upright="1"/>
                    </wps:wsp>
                  </a:graphicData>
                </a:graphic>
              </wp:anchor>
            </w:drawing>
          </mc:Choice>
          <mc:Fallback>
            <w:pict>
              <v:shape id="_x0000_s1026" o:spid="_x0000_s1026" o:spt="202" type="#_x0000_t202" style="position:absolute;left:0pt;margin-left:268.85pt;margin-top:211.7pt;height:139.5pt;width:216pt;z-index:251666432;mso-width-relative:page;mso-height-relative:page;" fillcolor="#FFFFFF" filled="t" stroked="t" coordsize="21600,21600" o:gfxdata="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wUOjbAAAACwEAAA8AAAAAAAAA&#10;AQAgAAAAIgAAAGRycy9kb3ducmV2LnhtbFBLAQIUABQAAAAIAIdO4kCAF3C5DgIAADcEAAAOAAAA&#10;AAAAAAEAIAAAACoBAABkcnMvZTJvRG9jLnhtbFBLBQYAAAAABgAGAFkBAACqBQAAAAA=&#10;">
                <v:fill on="t" focussize="0,0"/>
                <v:stroke color="#000000" joinstyle="miter"/>
                <v:imagedata o:title=""/>
                <o:lock v:ext="edit" aspectratio="f"/>
                <v:textbox>
                  <w:txbxContent>
                    <w:p>
                      <w:pPr>
                        <w:rPr>
                          <w:rFonts w:hint="eastAsia"/>
                        </w:rPr>
                      </w:pPr>
                    </w:p>
                    <w:p>
                      <w:pPr>
                        <w:jc w:val="center"/>
                        <w:rPr>
                          <w:rFonts w:hint="eastAsia" w:hAnsi="等线 Light"/>
                          <w:color w:val="FF0000"/>
                          <w:kern w:val="2"/>
                          <w:sz w:val="21"/>
                        </w:rPr>
                      </w:pPr>
                    </w:p>
                    <w:p>
                      <w:pPr>
                        <w:jc w:val="center"/>
                        <w:rPr>
                          <w:rFonts w:hint="eastAsia" w:hAnsi="等线 Light"/>
                          <w:color w:val="FF0000"/>
                          <w:kern w:val="2"/>
                          <w:sz w:val="21"/>
                        </w:rPr>
                      </w:pPr>
                    </w:p>
                    <w:p>
                      <w:pPr>
                        <w:jc w:val="center"/>
                        <w:rPr>
                          <w:rFonts w:hint="eastAsia" w:hAnsi="等线 Light"/>
                          <w:color w:val="FF0000"/>
                          <w:kern w:val="2"/>
                          <w:sz w:val="21"/>
                        </w:rPr>
                      </w:pPr>
                    </w:p>
                    <w:p>
                      <w:pPr>
                        <w:jc w:val="center"/>
                        <w:rPr>
                          <w:rFonts w:ascii="宋体" w:hAnsi="宋体"/>
                        </w:rPr>
                      </w:pPr>
                      <w:r>
                        <w:rPr>
                          <w:rFonts w:hint="eastAsia" w:ascii="宋体" w:hAnsi="宋体"/>
                          <w:kern w:val="2"/>
                          <w:sz w:val="21"/>
                        </w:rPr>
                        <w:t>被授权人身份证反面</w:t>
                      </w:r>
                    </w:p>
                    <w:p>
                      <w:pPr>
                        <w:rPr>
                          <w:rFonts w:hint="eastAsia"/>
                        </w:rPr>
                      </w:pPr>
                    </w:p>
                    <w:p>
                      <w:pPr>
                        <w:rPr>
                          <w:rFonts w:hint="eastAsia"/>
                        </w:rPr>
                      </w:pPr>
                    </w:p>
                  </w:txbxContent>
                </v:textbox>
              </v:shape>
            </w:pict>
          </mc:Fallback>
        </mc:AlternateContent>
      </w:r>
      <w:r>
        <w:rPr>
          <w:rFonts w:ascii="宋体" w:hAnsi="宋体"/>
          <w:color w:val="auto"/>
          <w:kern w:val="2"/>
          <w:highlight w:val="none"/>
        </w:rPr>
        <mc:AlternateContent>
          <mc:Choice Requires="wps">
            <w:drawing>
              <wp:anchor distT="0" distB="0" distL="114300" distR="114300" simplePos="0" relativeHeight="251665408" behindDoc="0" locked="0" layoutInCell="1" allowOverlap="1">
                <wp:simplePos x="0" y="0"/>
                <wp:positionH relativeFrom="column">
                  <wp:posOffset>213995</wp:posOffset>
                </wp:positionH>
                <wp:positionV relativeFrom="paragraph">
                  <wp:posOffset>2688590</wp:posOffset>
                </wp:positionV>
                <wp:extent cx="2743200" cy="1771650"/>
                <wp:effectExtent l="5080" t="4445" r="7620" b="14605"/>
                <wp:wrapNone/>
                <wp:docPr id="8" name="文本框 8"/>
                <wp:cNvGraphicFramePr/>
                <a:graphic xmlns:a="http://schemas.openxmlformats.org/drawingml/2006/main">
                  <a:graphicData uri="http://schemas.microsoft.com/office/word/2010/wordprocessingShape">
                    <wps:wsp>
                      <wps:cNvSpPr txBox="1"/>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jc w:val="center"/>
                              <w:rPr>
                                <w:rFonts w:hint="eastAsia" w:hAnsi="等线 Light"/>
                                <w:color w:val="FF0000"/>
                                <w:kern w:val="2"/>
                                <w:sz w:val="21"/>
                              </w:rPr>
                            </w:pPr>
                          </w:p>
                          <w:p>
                            <w:pPr>
                              <w:jc w:val="center"/>
                              <w:rPr>
                                <w:rFonts w:hint="eastAsia" w:hAnsi="等线 Light"/>
                                <w:color w:val="FF0000"/>
                                <w:kern w:val="2"/>
                                <w:sz w:val="21"/>
                              </w:rPr>
                            </w:pPr>
                          </w:p>
                          <w:p>
                            <w:pPr>
                              <w:jc w:val="center"/>
                              <w:rPr>
                                <w:rFonts w:hint="eastAsia" w:hAnsi="等线 Light"/>
                                <w:color w:val="FF0000"/>
                                <w:kern w:val="2"/>
                                <w:sz w:val="21"/>
                              </w:rPr>
                            </w:pPr>
                          </w:p>
                          <w:p>
                            <w:pPr>
                              <w:jc w:val="center"/>
                              <w:rPr>
                                <w:rFonts w:ascii="宋体" w:hAnsi="宋体"/>
                              </w:rPr>
                            </w:pPr>
                            <w:r>
                              <w:rPr>
                                <w:rFonts w:hint="eastAsia" w:ascii="宋体" w:hAnsi="宋体"/>
                                <w:kern w:val="2"/>
                                <w:sz w:val="21"/>
                              </w:rPr>
                              <w:t>被授权人身份证正面</w:t>
                            </w:r>
                          </w:p>
                          <w:p>
                            <w:pPr>
                              <w:rPr>
                                <w:rFonts w:hint="eastAsia"/>
                              </w:rPr>
                            </w:pPr>
                          </w:p>
                          <w:p>
                            <w:pPr>
                              <w:rPr>
                                <w:rFonts w:hint="eastAsia"/>
                              </w:rPr>
                            </w:pPr>
                          </w:p>
                        </w:txbxContent>
                      </wps:txbx>
                      <wps:bodyPr upright="1"/>
                    </wps:wsp>
                  </a:graphicData>
                </a:graphic>
              </wp:anchor>
            </w:drawing>
          </mc:Choice>
          <mc:Fallback>
            <w:pict>
              <v:shape id="_x0000_s1026" o:spid="_x0000_s1026" o:spt="202" type="#_x0000_t202" style="position:absolute;left:0pt;margin-left:16.85pt;margin-top:211.7pt;height:139.5pt;width:216pt;z-index:251665408;mso-width-relative:page;mso-height-relative:page;" fillcolor="#FFFFFF" filled="t" stroked="t" coordsize="21600,21600" o:gfxdata="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SlaN62QAAAAoBAAAPAAAAAAAAAAEA&#10;IAAAACIAAABkcnMvZG93bnJldi54bWxQSwECFAAUAAAACACHTuJAL97vnQ4CAAA3BAAADgAAAAAA&#10;AAABACAAAAAoAQAAZHJzL2Uyb0RvYy54bWxQSwUGAAAAAAYABgBZAQAAqAUAAAAA&#10;">
                <v:fill on="t" focussize="0,0"/>
                <v:stroke color="#000000" joinstyle="miter"/>
                <v:imagedata o:title=""/>
                <o:lock v:ext="edit" aspectratio="f"/>
                <v:textbox>
                  <w:txbxContent>
                    <w:p>
                      <w:pPr>
                        <w:rPr>
                          <w:rFonts w:hint="eastAsia"/>
                        </w:rPr>
                      </w:pPr>
                    </w:p>
                    <w:p>
                      <w:pPr>
                        <w:jc w:val="center"/>
                        <w:rPr>
                          <w:rFonts w:hint="eastAsia" w:hAnsi="等线 Light"/>
                          <w:color w:val="FF0000"/>
                          <w:kern w:val="2"/>
                          <w:sz w:val="21"/>
                        </w:rPr>
                      </w:pPr>
                    </w:p>
                    <w:p>
                      <w:pPr>
                        <w:jc w:val="center"/>
                        <w:rPr>
                          <w:rFonts w:hint="eastAsia" w:hAnsi="等线 Light"/>
                          <w:color w:val="FF0000"/>
                          <w:kern w:val="2"/>
                          <w:sz w:val="21"/>
                        </w:rPr>
                      </w:pPr>
                    </w:p>
                    <w:p>
                      <w:pPr>
                        <w:jc w:val="center"/>
                        <w:rPr>
                          <w:rFonts w:hint="eastAsia" w:hAnsi="等线 Light"/>
                          <w:color w:val="FF0000"/>
                          <w:kern w:val="2"/>
                          <w:sz w:val="21"/>
                        </w:rPr>
                      </w:pPr>
                    </w:p>
                    <w:p>
                      <w:pPr>
                        <w:jc w:val="center"/>
                        <w:rPr>
                          <w:rFonts w:ascii="宋体" w:hAnsi="宋体"/>
                        </w:rPr>
                      </w:pPr>
                      <w:r>
                        <w:rPr>
                          <w:rFonts w:hint="eastAsia" w:ascii="宋体" w:hAnsi="宋体"/>
                          <w:kern w:val="2"/>
                          <w:sz w:val="21"/>
                        </w:rPr>
                        <w:t>被授权人身份证正面</w:t>
                      </w:r>
                    </w:p>
                    <w:p>
                      <w:pPr>
                        <w:rPr>
                          <w:rFonts w:hint="eastAsia"/>
                        </w:rPr>
                      </w:pPr>
                    </w:p>
                    <w:p>
                      <w:pPr>
                        <w:rPr>
                          <w:rFonts w:hint="eastAsia"/>
                        </w:rPr>
                      </w:pPr>
                    </w:p>
                  </w:txbxContent>
                </v:textbox>
              </v:shape>
            </w:pict>
          </mc:Fallback>
        </mc:AlternateContent>
      </w:r>
    </w:p>
    <w:p>
      <w:pPr>
        <w:jc w:val="center"/>
        <w:rPr>
          <w:rFonts w:ascii="宋体" w:hAnsi="宋体"/>
          <w:color w:val="auto"/>
          <w:sz w:val="21"/>
          <w:szCs w:val="21"/>
          <w:highlight w:val="none"/>
        </w:rPr>
      </w:pPr>
    </w:p>
    <w:p>
      <w:pPr>
        <w:jc w:val="center"/>
        <w:rPr>
          <w:rFonts w:ascii="宋体" w:hAnsi="宋体"/>
          <w:color w:val="auto"/>
          <w:sz w:val="21"/>
          <w:szCs w:val="21"/>
          <w:highlight w:val="none"/>
        </w:rPr>
      </w:pPr>
    </w:p>
    <w:p>
      <w:pPr>
        <w:jc w:val="center"/>
        <w:rPr>
          <w:rFonts w:ascii="宋体" w:hAnsi="宋体"/>
          <w:color w:val="auto"/>
          <w:sz w:val="21"/>
          <w:szCs w:val="21"/>
          <w:highlight w:val="none"/>
        </w:rPr>
      </w:pPr>
    </w:p>
    <w:p>
      <w:pPr>
        <w:jc w:val="center"/>
        <w:rPr>
          <w:rFonts w:ascii="宋体" w:hAnsi="宋体"/>
          <w:color w:val="auto"/>
          <w:sz w:val="21"/>
          <w:szCs w:val="21"/>
          <w:highlight w:val="none"/>
        </w:rPr>
      </w:pPr>
    </w:p>
    <w:p>
      <w:pPr>
        <w:jc w:val="center"/>
        <w:rPr>
          <w:rFonts w:ascii="宋体" w:hAnsi="宋体"/>
          <w:color w:val="auto"/>
          <w:sz w:val="21"/>
          <w:szCs w:val="21"/>
          <w:highlight w:val="none"/>
        </w:rPr>
      </w:pPr>
    </w:p>
    <w:p>
      <w:pPr>
        <w:rPr>
          <w:rFonts w:ascii="宋体" w:hAnsi="宋体"/>
          <w:color w:val="auto"/>
          <w:sz w:val="21"/>
          <w:szCs w:val="21"/>
          <w:highlight w:val="none"/>
        </w:rPr>
      </w:pPr>
    </w:p>
    <w:p>
      <w:pPr>
        <w:rPr>
          <w:rFonts w:ascii="宋体" w:hAnsi="宋体"/>
          <w:color w:val="auto"/>
          <w:sz w:val="21"/>
          <w:szCs w:val="21"/>
          <w:highlight w:val="none"/>
        </w:rPr>
      </w:pPr>
    </w:p>
    <w:p>
      <w:pPr>
        <w:rPr>
          <w:rFonts w:ascii="宋体" w:hAnsi="宋体"/>
          <w:color w:val="auto"/>
          <w:sz w:val="21"/>
          <w:szCs w:val="21"/>
          <w:highlight w:val="none"/>
        </w:rPr>
      </w:pPr>
    </w:p>
    <w:p>
      <w:pPr>
        <w:rPr>
          <w:rFonts w:ascii="宋体" w:hAnsi="宋体"/>
          <w:color w:val="auto"/>
          <w:sz w:val="21"/>
          <w:szCs w:val="21"/>
          <w:highlight w:val="none"/>
        </w:rPr>
      </w:pPr>
    </w:p>
    <w:p>
      <w:pPr>
        <w:rPr>
          <w:rFonts w:ascii="宋体" w:hAnsi="宋体"/>
          <w:color w:val="auto"/>
          <w:sz w:val="21"/>
          <w:szCs w:val="21"/>
          <w:highlight w:val="none"/>
        </w:rPr>
      </w:pPr>
    </w:p>
    <w:p>
      <w:pPr>
        <w:rPr>
          <w:rFonts w:ascii="宋体" w:hAnsi="宋体"/>
          <w:color w:val="auto"/>
          <w:sz w:val="21"/>
          <w:szCs w:val="21"/>
          <w:highlight w:val="none"/>
        </w:rPr>
      </w:pPr>
    </w:p>
    <w:p>
      <w:pPr>
        <w:rPr>
          <w:rFonts w:ascii="宋体" w:hAnsi="宋体"/>
          <w:color w:val="auto"/>
          <w:sz w:val="21"/>
          <w:szCs w:val="21"/>
          <w:highlight w:val="none"/>
        </w:rPr>
      </w:pPr>
    </w:p>
    <w:p>
      <w:pPr>
        <w:rPr>
          <w:rFonts w:ascii="宋体" w:hAnsi="宋体"/>
          <w:color w:val="auto"/>
          <w:sz w:val="21"/>
          <w:szCs w:val="21"/>
          <w:highlight w:val="none"/>
        </w:rPr>
      </w:pPr>
    </w:p>
    <w:p>
      <w:pPr>
        <w:rPr>
          <w:rFonts w:ascii="宋体" w:hAnsi="宋体"/>
          <w:color w:val="auto"/>
          <w:sz w:val="21"/>
          <w:szCs w:val="21"/>
          <w:highlight w:val="none"/>
        </w:rPr>
      </w:pPr>
    </w:p>
    <w:p>
      <w:pPr>
        <w:rPr>
          <w:rFonts w:ascii="宋体" w:hAnsi="宋体"/>
          <w:color w:val="auto"/>
          <w:sz w:val="21"/>
          <w:szCs w:val="21"/>
          <w:highlight w:val="none"/>
        </w:rPr>
      </w:pPr>
    </w:p>
    <w:p>
      <w:pPr>
        <w:rPr>
          <w:rFonts w:ascii="宋体" w:hAnsi="宋体"/>
          <w:color w:val="auto"/>
          <w:sz w:val="21"/>
          <w:szCs w:val="21"/>
          <w:highlight w:val="none"/>
        </w:rPr>
      </w:pPr>
    </w:p>
    <w:p>
      <w:pPr>
        <w:rPr>
          <w:rFonts w:ascii="宋体" w:hAnsi="宋体"/>
          <w:color w:val="auto"/>
          <w:sz w:val="21"/>
          <w:szCs w:val="21"/>
          <w:highlight w:val="none"/>
        </w:rPr>
      </w:pPr>
    </w:p>
    <w:p>
      <w:pPr>
        <w:rPr>
          <w:rFonts w:ascii="宋体" w:hAnsi="宋体"/>
          <w:color w:val="auto"/>
          <w:sz w:val="21"/>
          <w:szCs w:val="21"/>
          <w:highlight w:val="none"/>
        </w:rPr>
      </w:pPr>
    </w:p>
    <w:p>
      <w:pPr>
        <w:rPr>
          <w:rFonts w:ascii="宋体" w:hAnsi="宋体"/>
          <w:color w:val="auto"/>
          <w:sz w:val="21"/>
          <w:szCs w:val="21"/>
          <w:highlight w:val="none"/>
        </w:rPr>
      </w:pPr>
    </w:p>
    <w:p>
      <w:pPr>
        <w:rPr>
          <w:rFonts w:ascii="宋体" w:hAnsi="宋体"/>
          <w:color w:val="auto"/>
          <w:sz w:val="21"/>
          <w:szCs w:val="21"/>
          <w:highlight w:val="none"/>
        </w:rPr>
      </w:pPr>
    </w:p>
    <w:p>
      <w:pPr>
        <w:rPr>
          <w:rFonts w:ascii="宋体" w:hAnsi="宋体"/>
          <w:color w:val="auto"/>
          <w:sz w:val="21"/>
          <w:szCs w:val="21"/>
          <w:highlight w:val="none"/>
        </w:rPr>
      </w:pPr>
    </w:p>
    <w:p>
      <w:pPr>
        <w:rPr>
          <w:rFonts w:ascii="宋体" w:hAnsi="宋体"/>
          <w:color w:val="auto"/>
          <w:sz w:val="21"/>
          <w:szCs w:val="21"/>
          <w:highlight w:val="none"/>
        </w:rPr>
      </w:pPr>
    </w:p>
    <w:p>
      <w:pPr>
        <w:rPr>
          <w:rFonts w:ascii="宋体" w:hAnsi="宋体"/>
          <w:color w:val="auto"/>
          <w:sz w:val="21"/>
          <w:szCs w:val="21"/>
          <w:highlight w:val="none"/>
        </w:rPr>
      </w:pPr>
    </w:p>
    <w:p>
      <w:pPr>
        <w:rPr>
          <w:rFonts w:ascii="宋体" w:hAnsi="宋体"/>
          <w:color w:val="auto"/>
          <w:sz w:val="21"/>
          <w:szCs w:val="21"/>
          <w:highlight w:val="none"/>
        </w:rPr>
      </w:pPr>
    </w:p>
    <w:p>
      <w:pPr>
        <w:rPr>
          <w:rFonts w:ascii="宋体" w:hAnsi="宋体"/>
          <w:color w:val="auto"/>
          <w:sz w:val="21"/>
          <w:szCs w:val="21"/>
          <w:highlight w:val="none"/>
        </w:rPr>
      </w:pPr>
    </w:p>
    <w:p>
      <w:pPr>
        <w:rPr>
          <w:rFonts w:ascii="宋体" w:hAnsi="宋体"/>
          <w:color w:val="auto"/>
          <w:sz w:val="21"/>
          <w:szCs w:val="21"/>
          <w:highlight w:val="none"/>
        </w:rPr>
      </w:pPr>
    </w:p>
    <w:p>
      <w:pPr>
        <w:rPr>
          <w:rFonts w:ascii="宋体" w:hAnsi="宋体"/>
          <w:b/>
          <w:color w:val="auto"/>
          <w:sz w:val="21"/>
          <w:szCs w:val="21"/>
          <w:highlight w:val="none"/>
        </w:rPr>
      </w:pPr>
    </w:p>
    <w:p>
      <w:pPr>
        <w:rPr>
          <w:rFonts w:ascii="宋体" w:hAnsi="宋体"/>
          <w:b/>
          <w:color w:val="auto"/>
          <w:sz w:val="21"/>
          <w:szCs w:val="21"/>
          <w:highlight w:val="none"/>
        </w:rPr>
      </w:pPr>
    </w:p>
    <w:p>
      <w:pPr>
        <w:rPr>
          <w:rFonts w:ascii="宋体" w:hAnsi="宋体"/>
          <w:b/>
          <w:color w:val="auto"/>
          <w:sz w:val="21"/>
          <w:szCs w:val="21"/>
          <w:highlight w:val="none"/>
        </w:rPr>
      </w:pPr>
    </w:p>
    <w:p>
      <w:pPr>
        <w:rPr>
          <w:rFonts w:ascii="宋体" w:hAnsi="宋体"/>
          <w:b/>
          <w:color w:val="auto"/>
          <w:sz w:val="21"/>
          <w:szCs w:val="21"/>
          <w:highlight w:val="none"/>
        </w:rPr>
      </w:pPr>
      <w:r>
        <w:rPr>
          <w:rFonts w:ascii="宋体" w:hAnsi="宋体"/>
          <w:b/>
          <w:color w:val="auto"/>
          <w:sz w:val="21"/>
          <w:szCs w:val="21"/>
          <w:highlight w:val="none"/>
        </w:rPr>
        <w:t>注：上述身份证须在有效期限内。</w:t>
      </w:r>
    </w:p>
    <w:p>
      <w:pPr>
        <w:tabs>
          <w:tab w:val="left" w:pos="567"/>
        </w:tabs>
        <w:spacing w:line="360" w:lineRule="auto"/>
        <w:ind w:left="567" w:hanging="567"/>
        <w:outlineLvl w:val="9"/>
        <w:rPr>
          <w:rFonts w:ascii="宋体" w:hAnsi="宋体"/>
          <w:b/>
          <w:color w:val="auto"/>
          <w:sz w:val="21"/>
          <w:szCs w:val="21"/>
          <w:highlight w:val="none"/>
        </w:rPr>
        <w:sectPr>
          <w:footerReference r:id="rId7" w:type="default"/>
          <w:pgSz w:w="11907" w:h="16840"/>
          <w:pgMar w:top="1701" w:right="1418" w:bottom="851" w:left="1418" w:header="720" w:footer="720" w:gutter="0"/>
          <w:pgBorders>
            <w:top w:val="none" w:sz="0" w:space="0"/>
            <w:left w:val="none" w:sz="0" w:space="0"/>
            <w:bottom w:val="none" w:sz="0" w:space="0"/>
            <w:right w:val="none" w:sz="0" w:space="0"/>
          </w:pgBorders>
          <w:cols w:space="720" w:num="1"/>
          <w:titlePg/>
          <w:docGrid w:linePitch="326" w:charSpace="0"/>
        </w:sectPr>
      </w:pPr>
    </w:p>
    <w:p>
      <w:pPr>
        <w:autoSpaceDE/>
        <w:autoSpaceDN/>
        <w:adjustRightInd/>
        <w:spacing w:before="0" w:after="0" w:line="360" w:lineRule="auto"/>
        <w:rPr>
          <w:rFonts w:hint="eastAsia" w:ascii="宋体" w:hAnsi="宋体"/>
          <w:b/>
          <w:color w:val="auto"/>
          <w:kern w:val="2"/>
          <w:sz w:val="30"/>
          <w:szCs w:val="30"/>
          <w:highlight w:val="none"/>
          <w:lang w:val="en-US" w:eastAsia="zh-CN"/>
        </w:rPr>
      </w:pPr>
      <w:bookmarkStart w:id="231" w:name="_Toc19008829"/>
      <w:bookmarkStart w:id="232" w:name="_Toc1123955"/>
      <w:bookmarkStart w:id="233" w:name="_Toc521576305"/>
      <w:bookmarkStart w:id="234" w:name="_Toc56076628"/>
      <w:bookmarkStart w:id="235" w:name="_Toc38982594"/>
      <w:bookmarkStart w:id="236" w:name="_Toc521918323"/>
      <w:bookmarkStart w:id="237" w:name="_Toc532576769"/>
      <w:bookmarkStart w:id="238" w:name="_Toc522047385"/>
      <w:bookmarkStart w:id="239" w:name="_Toc519153444"/>
      <w:bookmarkStart w:id="240" w:name="_Toc5098073"/>
      <w:bookmarkStart w:id="241" w:name="_Toc521918126"/>
      <w:bookmarkStart w:id="242" w:name="_Toc40288703"/>
      <w:bookmarkStart w:id="243" w:name="_Toc54334011"/>
      <w:bookmarkStart w:id="244" w:name="_Toc79146602"/>
      <w:r>
        <w:rPr>
          <w:rFonts w:hint="eastAsia" w:ascii="宋体" w:hAnsi="宋体"/>
          <w:b/>
          <w:color w:val="auto"/>
          <w:kern w:val="2"/>
          <w:sz w:val="30"/>
          <w:szCs w:val="30"/>
          <w:highlight w:val="none"/>
          <w:lang w:val="en-US" w:eastAsia="zh-CN"/>
        </w:rPr>
        <w:t>2.4 省级财政部门资产评估机构登记备案通过的有关材料（包括但不限于省级财政部门政府信息公开平台登记备案公告、中国资产评估协会资产评估机构信息表等相关资料复印件）</w:t>
      </w:r>
    </w:p>
    <w:p>
      <w:pPr>
        <w:autoSpaceDE/>
        <w:autoSpaceDN/>
        <w:adjustRightInd/>
        <w:spacing w:before="120" w:after="120" w:line="360" w:lineRule="auto"/>
        <w:rPr>
          <w:rFonts w:hint="eastAsia" w:ascii="宋体" w:hAnsi="宋体"/>
          <w:b/>
          <w:color w:val="auto"/>
          <w:kern w:val="2"/>
          <w:sz w:val="30"/>
          <w:szCs w:val="30"/>
          <w:highlight w:val="none"/>
          <w:lang w:val="en-US" w:eastAsia="zh-CN"/>
        </w:rPr>
      </w:pPr>
      <w:r>
        <w:rPr>
          <w:rFonts w:hint="eastAsia" w:ascii="宋体" w:hAnsi="宋体"/>
          <w:b/>
          <w:color w:val="auto"/>
          <w:kern w:val="2"/>
          <w:sz w:val="30"/>
          <w:szCs w:val="30"/>
          <w:highlight w:val="none"/>
          <w:lang w:val="en-US" w:eastAsia="zh-CN"/>
        </w:rPr>
        <w:br w:type="page"/>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Start w:id="245" w:name="_Toc1123957"/>
      <w:bookmarkStart w:id="246" w:name="_Toc19008830"/>
      <w:bookmarkStart w:id="247" w:name="_Toc56076629"/>
      <w:bookmarkStart w:id="248" w:name="_Toc532576770"/>
      <w:bookmarkStart w:id="249" w:name="_Toc521918127"/>
      <w:bookmarkStart w:id="250" w:name="_Toc79146603"/>
      <w:bookmarkStart w:id="251" w:name="_Toc40288704"/>
      <w:bookmarkStart w:id="252" w:name="_Toc54334012"/>
      <w:bookmarkStart w:id="253" w:name="_Toc521576306"/>
      <w:bookmarkStart w:id="254" w:name="_Toc521918324"/>
      <w:bookmarkStart w:id="255" w:name="_Toc5098074"/>
      <w:bookmarkStart w:id="256" w:name="_Toc522047386"/>
      <w:bookmarkStart w:id="257" w:name="_Toc38982595"/>
      <w:r>
        <w:rPr>
          <w:rFonts w:hint="eastAsia" w:ascii="宋体" w:hAnsi="宋体"/>
          <w:b/>
          <w:color w:val="auto"/>
          <w:kern w:val="2"/>
          <w:sz w:val="30"/>
          <w:szCs w:val="30"/>
          <w:highlight w:val="none"/>
          <w:lang w:val="en-US" w:eastAsia="zh-CN"/>
        </w:rPr>
        <w:t xml:space="preserve">2.5 </w:t>
      </w:r>
      <w:r>
        <w:rPr>
          <w:rFonts w:hint="eastAsia" w:ascii="宋体" w:hAnsi="宋体" w:eastAsia="宋体" w:cs="宋体"/>
          <w:b/>
          <w:bCs/>
          <w:color w:val="auto"/>
          <w:kern w:val="2"/>
          <w:sz w:val="32"/>
          <w:szCs w:val="32"/>
          <w:highlight w:val="none"/>
        </w:rPr>
        <w:t>资格业绩</w:t>
      </w:r>
      <w:r>
        <w:rPr>
          <w:rFonts w:hint="eastAsia" w:ascii="宋体" w:hAnsi="宋体" w:eastAsia="宋体" w:cs="宋体"/>
          <w:b/>
          <w:bCs/>
          <w:color w:val="auto"/>
          <w:sz w:val="32"/>
          <w:szCs w:val="32"/>
          <w:highlight w:val="none"/>
        </w:rPr>
        <w:t>【报价人2021年1月1日以来具有二份股权或设备资产价值评估项目业绩（合同签订日期为2021年1月1日或以后）</w:t>
      </w:r>
      <w:r>
        <w:rPr>
          <w:rFonts w:hint="eastAsia" w:ascii="宋体" w:hAnsi="宋体" w:eastAsia="宋体" w:cs="宋体"/>
          <w:b/>
          <w:bCs/>
          <w:color w:val="auto"/>
          <w:sz w:val="32"/>
          <w:szCs w:val="32"/>
          <w:highlight w:val="none"/>
          <w:lang w:eastAsia="zh-CN"/>
        </w:rPr>
        <w:t>】</w:t>
      </w:r>
    </w:p>
    <w:tbl>
      <w:tblPr>
        <w:tblStyle w:val="16"/>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019"/>
        <w:gridCol w:w="1561"/>
        <w:gridCol w:w="1302"/>
        <w:gridCol w:w="1883"/>
        <w:gridCol w:w="1383"/>
        <w:gridCol w:w="992"/>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61" w:hRule="exact"/>
          <w:jc w:val="center"/>
        </w:trPr>
        <w:tc>
          <w:tcPr>
            <w:tcW w:w="1019" w:type="dxa"/>
            <w:noWrap w:val="0"/>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561" w:type="dxa"/>
            <w:noWrap w:val="0"/>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合同项目名称</w:t>
            </w:r>
          </w:p>
        </w:tc>
        <w:tc>
          <w:tcPr>
            <w:tcW w:w="1302" w:type="dxa"/>
            <w:noWrap w:val="0"/>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服务内容</w:t>
            </w:r>
          </w:p>
        </w:tc>
        <w:tc>
          <w:tcPr>
            <w:tcW w:w="1883" w:type="dxa"/>
            <w:noWrap w:val="0"/>
            <w:vAlign w:val="center"/>
          </w:tcPr>
          <w:p>
            <w:pPr>
              <w:jc w:val="center"/>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资产评估类型</w:t>
            </w:r>
          </w:p>
          <w:p>
            <w:pPr>
              <w:jc w:val="center"/>
              <w:rPr>
                <w:rFonts w:hint="eastAsia" w:ascii="宋体" w:hAnsi="宋体"/>
                <w:color w:val="auto"/>
                <w:sz w:val="21"/>
                <w:szCs w:val="21"/>
                <w:highlight w:val="none"/>
              </w:rPr>
            </w:pPr>
            <w:r>
              <w:rPr>
                <w:rFonts w:hint="eastAsia" w:ascii="宋体" w:hAnsi="宋体"/>
                <w:color w:val="auto"/>
                <w:sz w:val="21"/>
                <w:szCs w:val="21"/>
                <w:highlight w:val="none"/>
                <w:lang w:val="en-US" w:eastAsia="zh-CN"/>
              </w:rPr>
              <w:t>（股权/设备）</w:t>
            </w:r>
          </w:p>
        </w:tc>
        <w:tc>
          <w:tcPr>
            <w:tcW w:w="1383" w:type="dxa"/>
            <w:noWrap w:val="0"/>
            <w:vAlign w:val="center"/>
          </w:tcPr>
          <w:p>
            <w:pPr>
              <w:jc w:val="center"/>
              <w:rPr>
                <w:rFonts w:hint="eastAsia" w:ascii="宋体" w:hAnsi="宋体"/>
                <w:color w:val="auto"/>
                <w:sz w:val="21"/>
                <w:szCs w:val="21"/>
                <w:highlight w:val="none"/>
              </w:rPr>
            </w:pPr>
            <w:r>
              <w:rPr>
                <w:rFonts w:hint="eastAsia" w:ascii="宋体" w:hAnsi="宋体"/>
                <w:color w:val="auto"/>
                <w:sz w:val="21"/>
                <w:szCs w:val="21"/>
                <w:highlight w:val="none"/>
              </w:rPr>
              <w:t>合同服务期</w:t>
            </w:r>
          </w:p>
          <w:p>
            <w:pPr>
              <w:jc w:val="center"/>
              <w:rPr>
                <w:rFonts w:ascii="宋体" w:hAnsi="宋体"/>
                <w:color w:val="auto"/>
                <w:sz w:val="21"/>
                <w:szCs w:val="21"/>
                <w:highlight w:val="none"/>
              </w:rPr>
            </w:pPr>
            <w:r>
              <w:rPr>
                <w:rFonts w:hint="eastAsia" w:ascii="宋体" w:hAnsi="宋体"/>
                <w:color w:val="auto"/>
                <w:sz w:val="21"/>
                <w:szCs w:val="21"/>
                <w:highlight w:val="none"/>
              </w:rPr>
              <w:t>截止时间</w:t>
            </w:r>
          </w:p>
        </w:tc>
        <w:tc>
          <w:tcPr>
            <w:tcW w:w="992" w:type="dxa"/>
            <w:noWrap w:val="0"/>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签约日期</w:t>
            </w:r>
          </w:p>
        </w:tc>
        <w:tc>
          <w:tcPr>
            <w:tcW w:w="1598" w:type="dxa"/>
            <w:noWrap w:val="0"/>
            <w:vAlign w:val="center"/>
          </w:tcPr>
          <w:p>
            <w:pPr>
              <w:jc w:val="center"/>
              <w:rPr>
                <w:rFonts w:hint="eastAsia" w:ascii="宋体" w:hAnsi="宋体"/>
                <w:color w:val="auto"/>
                <w:sz w:val="21"/>
                <w:szCs w:val="21"/>
                <w:highlight w:val="none"/>
              </w:rPr>
            </w:pPr>
            <w:r>
              <w:rPr>
                <w:rFonts w:hint="eastAsia" w:ascii="宋体" w:hAnsi="宋体"/>
                <w:color w:val="auto"/>
                <w:sz w:val="21"/>
                <w:szCs w:val="21"/>
                <w:highlight w:val="none"/>
              </w:rPr>
              <w:t>业主联系人</w:t>
            </w:r>
          </w:p>
          <w:p>
            <w:pPr>
              <w:jc w:val="center"/>
              <w:rPr>
                <w:rFonts w:ascii="宋体" w:hAnsi="宋体"/>
                <w:color w:val="auto"/>
                <w:sz w:val="21"/>
                <w:szCs w:val="21"/>
                <w:highlight w:val="none"/>
              </w:rPr>
            </w:pPr>
            <w:r>
              <w:rPr>
                <w:rFonts w:hint="eastAsia" w:ascii="宋体" w:hAnsi="宋体"/>
                <w:color w:val="auto"/>
                <w:sz w:val="21"/>
                <w:szCs w:val="21"/>
                <w:highlight w:val="none"/>
              </w:rPr>
              <w:t>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58" w:hRule="exact"/>
          <w:jc w:val="center"/>
        </w:trPr>
        <w:tc>
          <w:tcPr>
            <w:tcW w:w="1019" w:type="dxa"/>
            <w:noWrap w:val="0"/>
            <w:vAlign w:val="center"/>
          </w:tcPr>
          <w:p>
            <w:pPr>
              <w:jc w:val="center"/>
              <w:rPr>
                <w:rFonts w:ascii="宋体" w:hAnsi="宋体"/>
                <w:color w:val="auto"/>
                <w:sz w:val="21"/>
                <w:szCs w:val="21"/>
                <w:highlight w:val="none"/>
              </w:rPr>
            </w:pPr>
          </w:p>
        </w:tc>
        <w:tc>
          <w:tcPr>
            <w:tcW w:w="1561" w:type="dxa"/>
            <w:noWrap w:val="0"/>
            <w:vAlign w:val="center"/>
          </w:tcPr>
          <w:p>
            <w:pPr>
              <w:jc w:val="center"/>
              <w:rPr>
                <w:rFonts w:ascii="宋体" w:hAnsi="宋体"/>
                <w:color w:val="auto"/>
                <w:sz w:val="21"/>
                <w:szCs w:val="21"/>
                <w:highlight w:val="none"/>
              </w:rPr>
            </w:pPr>
          </w:p>
        </w:tc>
        <w:tc>
          <w:tcPr>
            <w:tcW w:w="1302" w:type="dxa"/>
            <w:noWrap w:val="0"/>
            <w:vAlign w:val="center"/>
          </w:tcPr>
          <w:p>
            <w:pPr>
              <w:jc w:val="center"/>
              <w:rPr>
                <w:rFonts w:ascii="宋体" w:hAnsi="宋体"/>
                <w:color w:val="auto"/>
                <w:sz w:val="21"/>
                <w:szCs w:val="21"/>
                <w:highlight w:val="none"/>
              </w:rPr>
            </w:pPr>
          </w:p>
        </w:tc>
        <w:tc>
          <w:tcPr>
            <w:tcW w:w="1883" w:type="dxa"/>
            <w:noWrap w:val="0"/>
            <w:vAlign w:val="center"/>
          </w:tcPr>
          <w:p>
            <w:pPr>
              <w:jc w:val="center"/>
              <w:rPr>
                <w:rFonts w:ascii="宋体" w:hAnsi="宋体"/>
                <w:color w:val="auto"/>
                <w:sz w:val="21"/>
                <w:szCs w:val="21"/>
                <w:highlight w:val="none"/>
              </w:rPr>
            </w:pPr>
          </w:p>
        </w:tc>
        <w:tc>
          <w:tcPr>
            <w:tcW w:w="1383" w:type="dxa"/>
            <w:noWrap w:val="0"/>
            <w:vAlign w:val="center"/>
          </w:tcPr>
          <w:p>
            <w:pPr>
              <w:jc w:val="center"/>
              <w:rPr>
                <w:rFonts w:ascii="宋体" w:hAnsi="宋体"/>
                <w:color w:val="auto"/>
                <w:sz w:val="21"/>
                <w:szCs w:val="21"/>
                <w:highlight w:val="none"/>
              </w:rPr>
            </w:pPr>
          </w:p>
        </w:tc>
        <w:tc>
          <w:tcPr>
            <w:tcW w:w="992" w:type="dxa"/>
            <w:noWrap w:val="0"/>
            <w:vAlign w:val="center"/>
          </w:tcPr>
          <w:p>
            <w:pPr>
              <w:jc w:val="center"/>
              <w:rPr>
                <w:rFonts w:ascii="宋体" w:hAnsi="宋体"/>
                <w:color w:val="auto"/>
                <w:sz w:val="21"/>
                <w:szCs w:val="21"/>
                <w:highlight w:val="none"/>
              </w:rPr>
            </w:pPr>
          </w:p>
        </w:tc>
        <w:tc>
          <w:tcPr>
            <w:tcW w:w="1598" w:type="dxa"/>
            <w:noWrap w:val="0"/>
            <w:vAlign w:val="center"/>
          </w:tcPr>
          <w:p>
            <w:pPr>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58" w:hRule="exact"/>
          <w:jc w:val="center"/>
        </w:trPr>
        <w:tc>
          <w:tcPr>
            <w:tcW w:w="1019" w:type="dxa"/>
            <w:noWrap w:val="0"/>
            <w:vAlign w:val="center"/>
          </w:tcPr>
          <w:p>
            <w:pPr>
              <w:jc w:val="center"/>
              <w:rPr>
                <w:rFonts w:ascii="宋体" w:hAnsi="宋体"/>
                <w:color w:val="auto"/>
                <w:sz w:val="21"/>
                <w:szCs w:val="21"/>
                <w:highlight w:val="none"/>
              </w:rPr>
            </w:pPr>
          </w:p>
        </w:tc>
        <w:tc>
          <w:tcPr>
            <w:tcW w:w="1561" w:type="dxa"/>
            <w:noWrap w:val="0"/>
            <w:vAlign w:val="center"/>
          </w:tcPr>
          <w:p>
            <w:pPr>
              <w:jc w:val="center"/>
              <w:rPr>
                <w:rFonts w:ascii="宋体" w:hAnsi="宋体"/>
                <w:color w:val="auto"/>
                <w:sz w:val="21"/>
                <w:szCs w:val="21"/>
                <w:highlight w:val="none"/>
              </w:rPr>
            </w:pPr>
          </w:p>
        </w:tc>
        <w:tc>
          <w:tcPr>
            <w:tcW w:w="1302" w:type="dxa"/>
            <w:noWrap w:val="0"/>
            <w:vAlign w:val="center"/>
          </w:tcPr>
          <w:p>
            <w:pPr>
              <w:jc w:val="center"/>
              <w:rPr>
                <w:rFonts w:ascii="宋体" w:hAnsi="宋体"/>
                <w:color w:val="auto"/>
                <w:sz w:val="21"/>
                <w:szCs w:val="21"/>
                <w:highlight w:val="none"/>
              </w:rPr>
            </w:pPr>
          </w:p>
        </w:tc>
        <w:tc>
          <w:tcPr>
            <w:tcW w:w="1883" w:type="dxa"/>
            <w:noWrap w:val="0"/>
            <w:vAlign w:val="center"/>
          </w:tcPr>
          <w:p>
            <w:pPr>
              <w:jc w:val="center"/>
              <w:rPr>
                <w:rFonts w:ascii="宋体" w:hAnsi="宋体"/>
                <w:color w:val="auto"/>
                <w:sz w:val="21"/>
                <w:szCs w:val="21"/>
                <w:highlight w:val="none"/>
              </w:rPr>
            </w:pPr>
          </w:p>
        </w:tc>
        <w:tc>
          <w:tcPr>
            <w:tcW w:w="1383" w:type="dxa"/>
            <w:noWrap w:val="0"/>
            <w:vAlign w:val="center"/>
          </w:tcPr>
          <w:p>
            <w:pPr>
              <w:jc w:val="center"/>
              <w:rPr>
                <w:rFonts w:ascii="宋体" w:hAnsi="宋体"/>
                <w:color w:val="auto"/>
                <w:sz w:val="21"/>
                <w:szCs w:val="21"/>
                <w:highlight w:val="none"/>
              </w:rPr>
            </w:pPr>
          </w:p>
        </w:tc>
        <w:tc>
          <w:tcPr>
            <w:tcW w:w="992" w:type="dxa"/>
            <w:noWrap w:val="0"/>
            <w:vAlign w:val="center"/>
          </w:tcPr>
          <w:p>
            <w:pPr>
              <w:jc w:val="center"/>
              <w:rPr>
                <w:rFonts w:ascii="宋体" w:hAnsi="宋体"/>
                <w:color w:val="auto"/>
                <w:sz w:val="21"/>
                <w:szCs w:val="21"/>
                <w:highlight w:val="none"/>
              </w:rPr>
            </w:pPr>
          </w:p>
        </w:tc>
        <w:tc>
          <w:tcPr>
            <w:tcW w:w="1598" w:type="dxa"/>
            <w:noWrap w:val="0"/>
            <w:vAlign w:val="center"/>
          </w:tcPr>
          <w:p>
            <w:pPr>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89" w:hRule="exact"/>
          <w:jc w:val="center"/>
        </w:trPr>
        <w:tc>
          <w:tcPr>
            <w:tcW w:w="1019" w:type="dxa"/>
            <w:noWrap w:val="0"/>
            <w:vAlign w:val="center"/>
          </w:tcPr>
          <w:p>
            <w:pPr>
              <w:jc w:val="center"/>
              <w:rPr>
                <w:rFonts w:ascii="宋体" w:hAnsi="宋体"/>
                <w:color w:val="auto"/>
                <w:sz w:val="21"/>
                <w:szCs w:val="21"/>
                <w:highlight w:val="none"/>
              </w:rPr>
            </w:pPr>
          </w:p>
        </w:tc>
        <w:tc>
          <w:tcPr>
            <w:tcW w:w="1561" w:type="dxa"/>
            <w:noWrap w:val="0"/>
            <w:vAlign w:val="center"/>
          </w:tcPr>
          <w:p>
            <w:pPr>
              <w:jc w:val="center"/>
              <w:rPr>
                <w:rFonts w:ascii="宋体" w:hAnsi="宋体"/>
                <w:color w:val="auto"/>
                <w:sz w:val="21"/>
                <w:szCs w:val="21"/>
                <w:highlight w:val="none"/>
              </w:rPr>
            </w:pPr>
          </w:p>
        </w:tc>
        <w:tc>
          <w:tcPr>
            <w:tcW w:w="1302" w:type="dxa"/>
            <w:noWrap w:val="0"/>
            <w:vAlign w:val="center"/>
          </w:tcPr>
          <w:p>
            <w:pPr>
              <w:jc w:val="center"/>
              <w:rPr>
                <w:rFonts w:ascii="宋体" w:hAnsi="宋体"/>
                <w:color w:val="auto"/>
                <w:sz w:val="21"/>
                <w:szCs w:val="21"/>
                <w:highlight w:val="none"/>
              </w:rPr>
            </w:pPr>
          </w:p>
        </w:tc>
        <w:tc>
          <w:tcPr>
            <w:tcW w:w="1883" w:type="dxa"/>
            <w:noWrap w:val="0"/>
            <w:vAlign w:val="center"/>
          </w:tcPr>
          <w:p>
            <w:pPr>
              <w:jc w:val="center"/>
              <w:rPr>
                <w:rFonts w:ascii="宋体" w:hAnsi="宋体"/>
                <w:color w:val="auto"/>
                <w:sz w:val="21"/>
                <w:szCs w:val="21"/>
                <w:highlight w:val="none"/>
              </w:rPr>
            </w:pPr>
          </w:p>
        </w:tc>
        <w:tc>
          <w:tcPr>
            <w:tcW w:w="1383" w:type="dxa"/>
            <w:noWrap w:val="0"/>
            <w:vAlign w:val="center"/>
          </w:tcPr>
          <w:p>
            <w:pPr>
              <w:jc w:val="center"/>
              <w:rPr>
                <w:rFonts w:ascii="宋体" w:hAnsi="宋体"/>
                <w:color w:val="auto"/>
                <w:sz w:val="21"/>
                <w:szCs w:val="21"/>
                <w:highlight w:val="none"/>
              </w:rPr>
            </w:pPr>
          </w:p>
        </w:tc>
        <w:tc>
          <w:tcPr>
            <w:tcW w:w="992" w:type="dxa"/>
            <w:noWrap w:val="0"/>
            <w:vAlign w:val="center"/>
          </w:tcPr>
          <w:p>
            <w:pPr>
              <w:jc w:val="center"/>
              <w:rPr>
                <w:rFonts w:ascii="宋体" w:hAnsi="宋体"/>
                <w:color w:val="auto"/>
                <w:sz w:val="21"/>
                <w:szCs w:val="21"/>
                <w:highlight w:val="none"/>
              </w:rPr>
            </w:pPr>
          </w:p>
        </w:tc>
        <w:tc>
          <w:tcPr>
            <w:tcW w:w="1598" w:type="dxa"/>
            <w:noWrap w:val="0"/>
            <w:vAlign w:val="center"/>
          </w:tcPr>
          <w:p>
            <w:pPr>
              <w:jc w:val="center"/>
              <w:rPr>
                <w:rFonts w:ascii="宋体" w:hAnsi="宋体"/>
                <w:color w:val="auto"/>
                <w:sz w:val="21"/>
                <w:szCs w:val="21"/>
                <w:highlight w:val="none"/>
              </w:rPr>
            </w:pPr>
          </w:p>
        </w:tc>
      </w:tr>
    </w:tbl>
    <w:p>
      <w:pPr>
        <w:tabs>
          <w:tab w:val="left" w:pos="0"/>
        </w:tabs>
        <w:spacing w:line="360" w:lineRule="auto"/>
        <w:ind w:left="124" w:leftChars="59" w:right="-34"/>
        <w:jc w:val="both"/>
        <w:rPr>
          <w:rFonts w:hint="eastAsia" w:ascii="宋体" w:hAnsi="宋体"/>
          <w:color w:val="auto"/>
          <w:sz w:val="21"/>
          <w:szCs w:val="21"/>
          <w:highlight w:val="none"/>
        </w:rPr>
      </w:pPr>
    </w:p>
    <w:p>
      <w:pPr>
        <w:tabs>
          <w:tab w:val="left" w:pos="0"/>
        </w:tabs>
        <w:spacing w:line="360" w:lineRule="auto"/>
        <w:ind w:left="124" w:leftChars="59" w:right="-34"/>
        <w:jc w:val="both"/>
        <w:rPr>
          <w:rFonts w:hint="eastAsia" w:ascii="宋体" w:hAnsi="宋体"/>
          <w:color w:val="auto"/>
          <w:sz w:val="21"/>
          <w:szCs w:val="21"/>
          <w:highlight w:val="none"/>
        </w:rPr>
      </w:pPr>
      <w:r>
        <w:rPr>
          <w:rFonts w:hint="eastAsia" w:ascii="宋体" w:hAnsi="宋体"/>
          <w:color w:val="auto"/>
          <w:sz w:val="21"/>
          <w:szCs w:val="21"/>
          <w:highlight w:val="none"/>
        </w:rPr>
        <w:t>备注：</w:t>
      </w:r>
    </w:p>
    <w:p>
      <w:pPr>
        <w:snapToGrid w:val="0"/>
        <w:spacing w:line="360" w:lineRule="auto"/>
        <w:ind w:left="815" w:leftChars="118" w:hanging="567" w:hangingChars="270"/>
        <w:rPr>
          <w:rFonts w:hint="eastAsia" w:ascii="宋体" w:hAnsi="宋体"/>
          <w:color w:val="auto"/>
          <w:sz w:val="21"/>
          <w:szCs w:val="21"/>
          <w:highlight w:val="none"/>
        </w:rPr>
      </w:pPr>
      <w:r>
        <w:rPr>
          <w:rFonts w:hint="eastAsia" w:ascii="宋体" w:hAnsi="宋体"/>
          <w:color w:val="auto"/>
          <w:kern w:val="2"/>
          <w:sz w:val="21"/>
          <w:szCs w:val="21"/>
          <w:highlight w:val="none"/>
        </w:rPr>
        <w:t>（1）</w:t>
      </w:r>
      <w:r>
        <w:rPr>
          <w:rFonts w:hint="eastAsia" w:ascii="宋体" w:hAnsi="宋体"/>
          <w:b/>
          <w:bCs/>
          <w:color w:val="auto"/>
          <w:sz w:val="21"/>
          <w:szCs w:val="21"/>
          <w:highlight w:val="none"/>
          <w:u w:val="single"/>
          <w:lang w:val="en-US" w:eastAsia="zh-CN"/>
        </w:rPr>
        <w:t>业绩材料需提供合同复印件，相关股权或设备资产价值评估服务项目指合同内对应的服务内容包含但不限于以下其中一项服务内容：股权价值评估、生产设备价值评估，否则视为无效业绩、不符合合格报价人资格要求</w:t>
      </w:r>
      <w:r>
        <w:rPr>
          <w:rFonts w:hint="eastAsia" w:ascii="宋体" w:hAnsi="宋体"/>
          <w:color w:val="auto"/>
          <w:sz w:val="21"/>
          <w:szCs w:val="21"/>
          <w:highlight w:val="none"/>
          <w:lang w:val="en-US" w:eastAsia="zh-CN"/>
        </w:rPr>
        <w:t>。</w:t>
      </w:r>
    </w:p>
    <w:p>
      <w:pPr>
        <w:snapToGrid w:val="0"/>
        <w:spacing w:line="360" w:lineRule="auto"/>
        <w:ind w:left="815" w:leftChars="118" w:hanging="567" w:hangingChars="270"/>
        <w:rPr>
          <w:rFonts w:hint="eastAsia" w:ascii="宋体" w:hAnsi="宋体"/>
          <w:color w:val="auto"/>
          <w:sz w:val="21"/>
          <w:szCs w:val="21"/>
          <w:highlight w:val="none"/>
          <w:lang w:eastAsia="zh-CN"/>
        </w:rPr>
      </w:pPr>
      <w:r>
        <w:rPr>
          <w:rFonts w:hint="eastAsia" w:ascii="宋体" w:hAnsi="宋体" w:cs="等线 Light"/>
          <w:color w:val="auto"/>
          <w:sz w:val="21"/>
          <w:szCs w:val="21"/>
          <w:highlight w:val="none"/>
        </w:rPr>
        <w:t>（</w:t>
      </w:r>
      <w:r>
        <w:rPr>
          <w:rFonts w:hint="eastAsia" w:ascii="宋体" w:hAnsi="宋体" w:cs="等线 Light"/>
          <w:color w:val="auto"/>
          <w:sz w:val="21"/>
          <w:szCs w:val="21"/>
          <w:highlight w:val="none"/>
          <w:lang w:val="en-US" w:eastAsia="zh-CN"/>
        </w:rPr>
        <w:t>2</w:t>
      </w:r>
      <w:r>
        <w:rPr>
          <w:rFonts w:hint="eastAsia" w:ascii="宋体" w:hAnsi="宋体" w:cs="等线 Light"/>
          <w:color w:val="auto"/>
          <w:sz w:val="21"/>
          <w:szCs w:val="21"/>
          <w:highlight w:val="none"/>
        </w:rPr>
        <w:t>）</w:t>
      </w:r>
      <w:r>
        <w:rPr>
          <w:rFonts w:hint="eastAsia" w:ascii="宋体" w:hAnsi="宋体"/>
          <w:b/>
          <w:bCs/>
          <w:i w:val="0"/>
          <w:iCs w:val="0"/>
          <w:color w:val="auto"/>
          <w:sz w:val="21"/>
          <w:szCs w:val="21"/>
          <w:highlight w:val="none"/>
          <w:u w:val="single"/>
          <w:lang w:val="en-US" w:eastAsia="zh-CN"/>
        </w:rPr>
        <w:t>若合同无法反映主要内容（合同签订日期为2021年1月1日或以后、</w:t>
      </w:r>
      <w:r>
        <w:rPr>
          <w:rFonts w:hint="eastAsia" w:ascii="宋体" w:hAnsi="宋体" w:eastAsia="宋体" w:cs="宋体"/>
          <w:b/>
          <w:bCs/>
          <w:color w:val="auto"/>
          <w:sz w:val="21"/>
          <w:szCs w:val="21"/>
          <w:highlight w:val="none"/>
          <w:u w:val="single"/>
          <w:lang w:val="en-US" w:eastAsia="zh-CN"/>
        </w:rPr>
        <w:t>委托方、受托方、服务内容</w:t>
      </w:r>
      <w:r>
        <w:rPr>
          <w:rFonts w:hint="eastAsia" w:ascii="宋体" w:hAnsi="宋体"/>
          <w:b/>
          <w:bCs/>
          <w:i w:val="0"/>
          <w:iCs w:val="0"/>
          <w:color w:val="auto"/>
          <w:sz w:val="21"/>
          <w:szCs w:val="21"/>
          <w:highlight w:val="none"/>
          <w:u w:val="single"/>
          <w:lang w:val="en-US" w:eastAsia="zh-CN"/>
        </w:rPr>
        <w:t>）的，需提供委托方出具的书面补充说明文件复印件作为辅助证明</w:t>
      </w:r>
      <w:r>
        <w:rPr>
          <w:rFonts w:hint="eastAsia" w:ascii="宋体" w:hAnsi="宋体"/>
          <w:b/>
          <w:bCs/>
          <w:i w:val="0"/>
          <w:iCs w:val="0"/>
          <w:color w:val="auto"/>
          <w:sz w:val="21"/>
          <w:szCs w:val="21"/>
          <w:highlight w:val="none"/>
          <w:u w:val="single"/>
        </w:rPr>
        <w:t>，否则视为无效业绩</w:t>
      </w:r>
      <w:r>
        <w:rPr>
          <w:rFonts w:hint="eastAsia" w:ascii="宋体" w:hAnsi="宋体"/>
          <w:b/>
          <w:bCs/>
          <w:color w:val="auto"/>
          <w:sz w:val="21"/>
          <w:szCs w:val="21"/>
          <w:highlight w:val="none"/>
          <w:u w:val="single"/>
          <w:lang w:val="en-US" w:eastAsia="zh-CN"/>
        </w:rPr>
        <w:t>、不符合合格报价人资格要求</w:t>
      </w:r>
      <w:r>
        <w:rPr>
          <w:rFonts w:hint="eastAsia" w:ascii="宋体" w:hAnsi="宋体"/>
          <w:color w:val="auto"/>
          <w:sz w:val="21"/>
          <w:szCs w:val="21"/>
          <w:highlight w:val="none"/>
          <w:lang w:eastAsia="zh-CN"/>
        </w:rPr>
        <w:t>。</w:t>
      </w:r>
    </w:p>
    <w:p>
      <w:pPr>
        <w:snapToGrid w:val="0"/>
        <w:spacing w:line="360" w:lineRule="auto"/>
        <w:ind w:left="815" w:leftChars="118" w:hanging="567" w:hangingChars="270"/>
        <w:rPr>
          <w:rFonts w:hint="eastAsia"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）采购人有权对</w:t>
      </w:r>
      <w:r>
        <w:rPr>
          <w:rFonts w:hint="eastAsia" w:ascii="宋体" w:hAnsi="宋体"/>
          <w:color w:val="auto"/>
          <w:sz w:val="21"/>
          <w:szCs w:val="21"/>
          <w:highlight w:val="none"/>
          <w:lang w:val="en-US" w:eastAsia="zh-CN"/>
        </w:rPr>
        <w:t>报价人</w:t>
      </w:r>
      <w:r>
        <w:rPr>
          <w:rFonts w:hint="eastAsia" w:ascii="宋体" w:hAnsi="宋体"/>
          <w:color w:val="auto"/>
          <w:sz w:val="21"/>
          <w:szCs w:val="21"/>
          <w:highlight w:val="none"/>
        </w:rPr>
        <w:t>提供的业绩进行核查（包括对全部业绩材料的原件进行核查），若发现弄虚作假，有权取消其</w:t>
      </w:r>
      <w:r>
        <w:rPr>
          <w:rFonts w:hint="eastAsia" w:ascii="宋体" w:hAnsi="宋体"/>
          <w:color w:val="auto"/>
          <w:sz w:val="21"/>
          <w:szCs w:val="21"/>
          <w:highlight w:val="none"/>
          <w:lang w:val="en-US" w:eastAsia="zh-CN"/>
        </w:rPr>
        <w:t>成交</w:t>
      </w:r>
      <w:r>
        <w:rPr>
          <w:rFonts w:hint="eastAsia" w:ascii="宋体" w:hAnsi="宋体"/>
          <w:color w:val="auto"/>
          <w:sz w:val="21"/>
          <w:szCs w:val="21"/>
          <w:highlight w:val="none"/>
        </w:rPr>
        <w:t>资格，并将上报监督管理部门，从严处理，列入相应的</w:t>
      </w:r>
      <w:r>
        <w:rPr>
          <w:rFonts w:hint="eastAsia" w:ascii="宋体" w:hAnsi="宋体"/>
          <w:color w:val="auto"/>
          <w:kern w:val="2"/>
          <w:sz w:val="21"/>
          <w:szCs w:val="21"/>
          <w:highlight w:val="none"/>
          <w:lang w:val="zh-CN"/>
        </w:rPr>
        <w:t>‘黑名单’</w:t>
      </w:r>
      <w:r>
        <w:rPr>
          <w:rFonts w:hint="eastAsia" w:ascii="宋体" w:hAnsi="宋体"/>
          <w:color w:val="auto"/>
          <w:sz w:val="21"/>
          <w:szCs w:val="21"/>
          <w:highlight w:val="none"/>
        </w:rPr>
        <w:t>。</w:t>
      </w:r>
    </w:p>
    <w:p>
      <w:pPr>
        <w:pStyle w:val="2"/>
        <w:rPr>
          <w:rFonts w:hint="eastAsia" w:ascii="宋体" w:hAnsi="宋体"/>
          <w:color w:val="auto"/>
          <w:sz w:val="21"/>
          <w:szCs w:val="21"/>
          <w:highlight w:val="none"/>
        </w:rPr>
      </w:pPr>
    </w:p>
    <w:p>
      <w:pPr>
        <w:pStyle w:val="3"/>
        <w:rPr>
          <w:color w:val="auto"/>
          <w:highlight w:val="none"/>
        </w:rPr>
      </w:pPr>
    </w:p>
    <w:p>
      <w:pPr>
        <w:spacing w:line="360" w:lineRule="auto"/>
        <w:ind w:firstLine="5199" w:firstLineChars="2476"/>
        <w:jc w:val="both"/>
        <w:rPr>
          <w:rFonts w:ascii="宋体" w:hAnsi="宋体"/>
          <w:color w:val="auto"/>
          <w:kern w:val="2"/>
          <w:sz w:val="21"/>
          <w:szCs w:val="21"/>
          <w:highlight w:val="none"/>
          <w:u w:val="single"/>
        </w:rPr>
      </w:pPr>
      <w:r>
        <w:rPr>
          <w:rFonts w:hint="eastAsia" w:ascii="宋体" w:hAnsi="宋体"/>
          <w:color w:val="auto"/>
          <w:kern w:val="2"/>
          <w:sz w:val="21"/>
          <w:szCs w:val="21"/>
          <w:highlight w:val="none"/>
          <w:lang w:val="en-US" w:eastAsia="zh-CN"/>
        </w:rPr>
        <w:t>报价人</w:t>
      </w:r>
      <w:r>
        <w:rPr>
          <w:rFonts w:ascii="宋体" w:hAnsi="宋体"/>
          <w:color w:val="auto"/>
          <w:kern w:val="2"/>
          <w:sz w:val="21"/>
          <w:szCs w:val="21"/>
          <w:highlight w:val="none"/>
          <w:lang w:val="zh-CN"/>
        </w:rPr>
        <w:t>：（加盖</w:t>
      </w:r>
      <w:r>
        <w:rPr>
          <w:rFonts w:hint="eastAsia" w:ascii="宋体" w:hAnsi="宋体"/>
          <w:color w:val="auto"/>
          <w:kern w:val="2"/>
          <w:sz w:val="21"/>
          <w:szCs w:val="21"/>
          <w:highlight w:val="none"/>
          <w:lang w:val="en-US" w:eastAsia="zh-CN"/>
        </w:rPr>
        <w:t>报价人</w:t>
      </w:r>
      <w:r>
        <w:rPr>
          <w:rFonts w:hint="eastAsia" w:ascii="宋体" w:hAnsi="宋体"/>
          <w:color w:val="auto"/>
          <w:kern w:val="2"/>
          <w:sz w:val="21"/>
          <w:szCs w:val="21"/>
          <w:highlight w:val="none"/>
          <w:lang w:val="zh-CN"/>
        </w:rPr>
        <w:t>法</w:t>
      </w:r>
      <w:r>
        <w:rPr>
          <w:rFonts w:ascii="宋体" w:hAnsi="宋体"/>
          <w:color w:val="auto"/>
          <w:kern w:val="2"/>
          <w:sz w:val="21"/>
          <w:szCs w:val="21"/>
          <w:highlight w:val="none"/>
          <w:lang w:val="zh-CN"/>
        </w:rPr>
        <w:t>人公章）</w:t>
      </w:r>
      <w:r>
        <w:rPr>
          <w:rFonts w:ascii="宋体" w:hAnsi="宋体"/>
          <w:color w:val="auto"/>
          <w:kern w:val="2"/>
          <w:sz w:val="21"/>
          <w:szCs w:val="21"/>
          <w:highlight w:val="none"/>
          <w:u w:val="single"/>
          <w:lang w:val="zh-CN"/>
        </w:rPr>
        <w:t xml:space="preserve">      </w:t>
      </w:r>
    </w:p>
    <w:p>
      <w:pPr>
        <w:spacing w:line="360" w:lineRule="auto"/>
        <w:ind w:firstLine="5199" w:firstLineChars="2476"/>
        <w:jc w:val="both"/>
        <w:rPr>
          <w:rFonts w:ascii="宋体" w:hAnsi="宋体"/>
          <w:color w:val="auto"/>
          <w:szCs w:val="21"/>
          <w:highlight w:val="none"/>
        </w:rPr>
      </w:pPr>
      <w:r>
        <w:rPr>
          <w:rFonts w:ascii="宋体" w:hAnsi="宋体"/>
          <w:color w:val="auto"/>
          <w:kern w:val="2"/>
          <w:sz w:val="21"/>
          <w:szCs w:val="21"/>
          <w:highlight w:val="none"/>
          <w:lang w:val="zh-CN"/>
        </w:rPr>
        <w:t>日期：   年    月   日</w:t>
      </w:r>
    </w:p>
    <w:p>
      <w:pPr>
        <w:pStyle w:val="3"/>
        <w:rPr>
          <w:color w:val="auto"/>
          <w:szCs w:val="21"/>
          <w:highlight w:val="none"/>
          <w:lang w:val="zh-CN"/>
        </w:rPr>
      </w:pPr>
    </w:p>
    <w:p>
      <w:pPr>
        <w:rPr>
          <w:rFonts w:ascii="宋体" w:hAnsi="宋体"/>
          <w:b/>
          <w:color w:val="auto"/>
          <w:kern w:val="2"/>
          <w:sz w:val="30"/>
          <w:szCs w:val="30"/>
          <w:highlight w:val="none"/>
        </w:rPr>
      </w:pPr>
      <w:r>
        <w:rPr>
          <w:rFonts w:hint="eastAsia" w:ascii="宋体" w:hAnsi="宋体" w:eastAsia="宋体"/>
          <w:color w:val="auto"/>
          <w:sz w:val="36"/>
          <w:szCs w:val="36"/>
          <w:highlight w:val="none"/>
        </w:rPr>
        <w:br w:type="page"/>
      </w:r>
    </w:p>
    <w:p>
      <w:pPr>
        <w:autoSpaceDE/>
        <w:autoSpaceDN/>
        <w:adjustRightInd/>
        <w:spacing w:before="120" w:after="120" w:line="360" w:lineRule="auto"/>
        <w:rPr>
          <w:rFonts w:ascii="宋体" w:hAnsi="宋体"/>
          <w:b/>
          <w:color w:val="auto"/>
          <w:kern w:val="2"/>
          <w:sz w:val="30"/>
          <w:szCs w:val="30"/>
          <w:highlight w:val="none"/>
        </w:rPr>
      </w:pPr>
      <w:r>
        <w:rPr>
          <w:rFonts w:hint="eastAsia" w:ascii="宋体" w:hAnsi="宋体"/>
          <w:b/>
          <w:color w:val="auto"/>
          <w:kern w:val="2"/>
          <w:sz w:val="30"/>
          <w:szCs w:val="30"/>
          <w:highlight w:val="none"/>
          <w:lang w:val="en-US" w:eastAsia="zh-CN"/>
        </w:rPr>
        <w:t>2.6</w:t>
      </w:r>
      <w:r>
        <w:rPr>
          <w:rFonts w:ascii="宋体" w:hAnsi="宋体"/>
          <w:b/>
          <w:color w:val="auto"/>
          <w:kern w:val="2"/>
          <w:sz w:val="30"/>
          <w:szCs w:val="30"/>
          <w:highlight w:val="none"/>
        </w:rPr>
        <w:t xml:space="preserve"> </w:t>
      </w:r>
      <w:bookmarkEnd w:id="245"/>
      <w:bookmarkEnd w:id="246"/>
      <w:bookmarkEnd w:id="247"/>
      <w:bookmarkEnd w:id="248"/>
      <w:bookmarkEnd w:id="249"/>
      <w:bookmarkEnd w:id="250"/>
      <w:bookmarkEnd w:id="251"/>
      <w:bookmarkEnd w:id="252"/>
      <w:bookmarkEnd w:id="253"/>
      <w:bookmarkEnd w:id="254"/>
      <w:bookmarkEnd w:id="255"/>
      <w:bookmarkEnd w:id="256"/>
      <w:bookmarkEnd w:id="257"/>
      <w:r>
        <w:rPr>
          <w:rFonts w:hint="default" w:ascii="宋体" w:hAnsi="宋体" w:eastAsia="宋体" w:cs="Times New Roman"/>
          <w:b/>
          <w:color w:val="auto"/>
          <w:kern w:val="2"/>
          <w:sz w:val="30"/>
          <w:szCs w:val="30"/>
          <w:highlight w:val="none"/>
          <w:lang w:val="zh-CN"/>
        </w:rPr>
        <w:t>关于失信被执行人、重大税收违法失信主体、政府采购严重违法失信行为记录名单情况说明</w:t>
      </w:r>
    </w:p>
    <w:p>
      <w:pPr>
        <w:spacing w:line="360" w:lineRule="auto"/>
        <w:jc w:val="center"/>
        <w:rPr>
          <w:rFonts w:ascii="宋体" w:hAnsi="宋体"/>
          <w:b/>
          <w:color w:val="auto"/>
          <w:sz w:val="30"/>
          <w:szCs w:val="30"/>
          <w:highlight w:val="none"/>
        </w:rPr>
      </w:pPr>
    </w:p>
    <w:p>
      <w:pPr>
        <w:spacing w:line="360" w:lineRule="auto"/>
        <w:jc w:val="center"/>
        <w:rPr>
          <w:rFonts w:ascii="宋体" w:hAnsi="宋体"/>
          <w:color w:val="auto"/>
          <w:highlight w:val="none"/>
        </w:rPr>
      </w:pPr>
      <w:r>
        <w:rPr>
          <w:rFonts w:hint="default" w:ascii="宋体" w:hAnsi="宋体" w:eastAsia="宋体" w:cs="Times New Roman"/>
          <w:b/>
          <w:color w:val="auto"/>
          <w:kern w:val="0"/>
          <w:sz w:val="30"/>
          <w:szCs w:val="30"/>
          <w:highlight w:val="none"/>
          <w:lang w:val="zh-CN"/>
        </w:rPr>
        <w:t>关于失信被执行人、重大税收违法失信主体、政府采购严重违法失信行为记录名单情况说明</w:t>
      </w:r>
      <w:r>
        <w:rPr>
          <w:rFonts w:ascii="宋体" w:hAnsi="宋体"/>
          <w:color w:val="auto"/>
          <w:highlight w:val="none"/>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7"/>
        <w:gridCol w:w="1564"/>
        <w:gridCol w:w="1854"/>
        <w:gridCol w:w="1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967" w:type="dxa"/>
            <w:noWrap w:val="0"/>
            <w:vAlign w:val="center"/>
          </w:tcPr>
          <w:p>
            <w:pPr>
              <w:rPr>
                <w:rFonts w:ascii="宋体" w:hAnsi="宋体"/>
                <w:color w:val="auto"/>
                <w:sz w:val="21"/>
                <w:szCs w:val="21"/>
                <w:highlight w:val="none"/>
                <w:shd w:val="clear" w:color="auto" w:fill="FFFFFF"/>
              </w:rPr>
            </w:pPr>
            <w:r>
              <w:rPr>
                <w:rFonts w:ascii="宋体" w:hAnsi="宋体"/>
                <w:color w:val="auto"/>
                <w:sz w:val="21"/>
                <w:szCs w:val="21"/>
                <w:highlight w:val="none"/>
                <w:shd w:val="clear" w:color="auto" w:fill="FFFFFF"/>
              </w:rPr>
              <w:t xml:space="preserve">         事项名称</w:t>
            </w:r>
          </w:p>
        </w:tc>
        <w:tc>
          <w:tcPr>
            <w:tcW w:w="1564" w:type="dxa"/>
            <w:noWrap w:val="0"/>
            <w:vAlign w:val="center"/>
          </w:tcPr>
          <w:p>
            <w:pPr>
              <w:jc w:val="center"/>
              <w:rPr>
                <w:rFonts w:ascii="宋体" w:hAnsi="宋体"/>
                <w:color w:val="auto"/>
                <w:sz w:val="21"/>
                <w:szCs w:val="21"/>
                <w:highlight w:val="none"/>
                <w:shd w:val="clear" w:color="auto" w:fill="FFFFFF"/>
              </w:rPr>
            </w:pPr>
            <w:r>
              <w:rPr>
                <w:rFonts w:ascii="宋体" w:hAnsi="宋体"/>
                <w:color w:val="auto"/>
                <w:sz w:val="21"/>
                <w:szCs w:val="21"/>
                <w:highlight w:val="none"/>
                <w:shd w:val="clear" w:color="auto" w:fill="FFFFFF"/>
              </w:rPr>
              <w:t>认定时间</w:t>
            </w:r>
          </w:p>
        </w:tc>
        <w:tc>
          <w:tcPr>
            <w:tcW w:w="1854" w:type="dxa"/>
            <w:noWrap w:val="0"/>
            <w:vAlign w:val="center"/>
          </w:tcPr>
          <w:p>
            <w:pPr>
              <w:jc w:val="center"/>
              <w:rPr>
                <w:rFonts w:ascii="宋体" w:hAnsi="宋体"/>
                <w:color w:val="auto"/>
                <w:sz w:val="21"/>
                <w:szCs w:val="21"/>
                <w:highlight w:val="none"/>
                <w:shd w:val="clear" w:color="auto" w:fill="FFFFFF"/>
              </w:rPr>
            </w:pPr>
            <w:r>
              <w:rPr>
                <w:rFonts w:ascii="宋体" w:hAnsi="宋体"/>
                <w:color w:val="auto"/>
                <w:sz w:val="21"/>
                <w:szCs w:val="21"/>
                <w:highlight w:val="none"/>
                <w:shd w:val="clear" w:color="auto" w:fill="FFFFFF"/>
              </w:rPr>
              <w:t>处罚期满时间</w:t>
            </w:r>
            <w:r>
              <w:rPr>
                <w:rFonts w:hint="eastAsia" w:ascii="宋体" w:hAnsi="宋体"/>
                <w:color w:val="auto"/>
                <w:sz w:val="21"/>
                <w:szCs w:val="21"/>
                <w:highlight w:val="none"/>
                <w:shd w:val="clear" w:color="auto" w:fill="FFFFFF"/>
              </w:rPr>
              <w:t>/异常名录信息失效时间</w:t>
            </w:r>
          </w:p>
        </w:tc>
        <w:tc>
          <w:tcPr>
            <w:tcW w:w="1923" w:type="dxa"/>
            <w:noWrap w:val="0"/>
            <w:vAlign w:val="center"/>
          </w:tcPr>
          <w:p>
            <w:pPr>
              <w:jc w:val="center"/>
              <w:rPr>
                <w:rFonts w:ascii="宋体" w:hAnsi="宋体"/>
                <w:color w:val="auto"/>
                <w:sz w:val="21"/>
                <w:szCs w:val="21"/>
                <w:highlight w:val="none"/>
                <w:shd w:val="clear" w:color="auto" w:fill="FFFFFF"/>
              </w:rPr>
            </w:pPr>
            <w:r>
              <w:rPr>
                <w:rFonts w:ascii="宋体" w:hAnsi="宋体"/>
                <w:color w:val="auto"/>
                <w:sz w:val="21"/>
                <w:szCs w:val="21"/>
                <w:highlight w:val="none"/>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967" w:type="dxa"/>
            <w:noWrap w:val="0"/>
            <w:vAlign w:val="center"/>
          </w:tcPr>
          <w:p>
            <w:pPr>
              <w:rPr>
                <w:rFonts w:ascii="宋体" w:hAnsi="宋体"/>
                <w:color w:val="auto"/>
                <w:sz w:val="21"/>
                <w:szCs w:val="21"/>
                <w:highlight w:val="none"/>
                <w:shd w:val="clear" w:color="auto" w:fill="FFFFFF"/>
              </w:rPr>
            </w:pPr>
            <w:r>
              <w:rPr>
                <w:rFonts w:ascii="宋体" w:hAnsi="宋体"/>
                <w:color w:val="auto"/>
                <w:sz w:val="21"/>
                <w:szCs w:val="21"/>
                <w:highlight w:val="none"/>
                <w:shd w:val="clear" w:color="auto" w:fill="FFFFFF"/>
              </w:rPr>
              <w:t>是否被认定为失信被执行人</w:t>
            </w:r>
          </w:p>
        </w:tc>
        <w:tc>
          <w:tcPr>
            <w:tcW w:w="1564" w:type="dxa"/>
            <w:noWrap w:val="0"/>
            <w:vAlign w:val="center"/>
          </w:tcPr>
          <w:p>
            <w:pPr>
              <w:jc w:val="center"/>
              <w:rPr>
                <w:rFonts w:ascii="宋体" w:hAnsi="宋体"/>
                <w:color w:val="auto"/>
                <w:sz w:val="21"/>
                <w:szCs w:val="21"/>
                <w:highlight w:val="none"/>
                <w:shd w:val="clear" w:color="auto" w:fill="FFFFFF"/>
              </w:rPr>
            </w:pPr>
          </w:p>
        </w:tc>
        <w:tc>
          <w:tcPr>
            <w:tcW w:w="1854" w:type="dxa"/>
            <w:noWrap w:val="0"/>
            <w:vAlign w:val="center"/>
          </w:tcPr>
          <w:p>
            <w:pPr>
              <w:jc w:val="center"/>
              <w:rPr>
                <w:rFonts w:ascii="宋体" w:hAnsi="宋体"/>
                <w:color w:val="auto"/>
                <w:sz w:val="21"/>
                <w:szCs w:val="21"/>
                <w:highlight w:val="none"/>
                <w:shd w:val="clear" w:color="auto" w:fill="FFFFFF"/>
              </w:rPr>
            </w:pPr>
          </w:p>
        </w:tc>
        <w:tc>
          <w:tcPr>
            <w:tcW w:w="1923" w:type="dxa"/>
            <w:noWrap w:val="0"/>
            <w:vAlign w:val="center"/>
          </w:tcPr>
          <w:p>
            <w:pPr>
              <w:jc w:val="center"/>
              <w:rPr>
                <w:rFonts w:ascii="宋体" w:hAnsi="宋体"/>
                <w:color w:val="auto"/>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967" w:type="dxa"/>
            <w:noWrap w:val="0"/>
            <w:vAlign w:val="center"/>
          </w:tcPr>
          <w:p>
            <w:pPr>
              <w:rPr>
                <w:rFonts w:ascii="宋体" w:hAnsi="宋体"/>
                <w:color w:val="auto"/>
                <w:sz w:val="21"/>
                <w:szCs w:val="21"/>
                <w:highlight w:val="none"/>
                <w:shd w:val="clear" w:color="auto" w:fill="FFFFFF"/>
              </w:rPr>
            </w:pPr>
            <w:r>
              <w:rPr>
                <w:rFonts w:ascii="宋体" w:hAnsi="宋体"/>
                <w:color w:val="auto"/>
                <w:sz w:val="21"/>
                <w:szCs w:val="21"/>
                <w:highlight w:val="none"/>
                <w:shd w:val="clear" w:color="auto" w:fill="FFFFFF"/>
              </w:rPr>
              <w:t>是否被认定为</w:t>
            </w:r>
            <w:r>
              <w:rPr>
                <w:rFonts w:hint="eastAsia" w:ascii="宋体" w:hAnsi="宋体"/>
                <w:color w:val="auto"/>
                <w:sz w:val="21"/>
                <w:szCs w:val="21"/>
                <w:highlight w:val="none"/>
                <w:shd w:val="clear" w:color="auto" w:fill="FFFFFF"/>
                <w:lang w:val="zh-CN"/>
              </w:rPr>
              <w:t>重大税收违法失信主体</w:t>
            </w:r>
          </w:p>
        </w:tc>
        <w:tc>
          <w:tcPr>
            <w:tcW w:w="1564" w:type="dxa"/>
            <w:noWrap w:val="0"/>
            <w:vAlign w:val="center"/>
          </w:tcPr>
          <w:p>
            <w:pPr>
              <w:jc w:val="center"/>
              <w:rPr>
                <w:rFonts w:ascii="宋体" w:hAnsi="宋体"/>
                <w:color w:val="auto"/>
                <w:sz w:val="21"/>
                <w:szCs w:val="21"/>
                <w:highlight w:val="none"/>
                <w:shd w:val="clear" w:color="auto" w:fill="FFFFFF"/>
              </w:rPr>
            </w:pPr>
          </w:p>
        </w:tc>
        <w:tc>
          <w:tcPr>
            <w:tcW w:w="1854" w:type="dxa"/>
            <w:noWrap w:val="0"/>
            <w:vAlign w:val="center"/>
          </w:tcPr>
          <w:p>
            <w:pPr>
              <w:jc w:val="center"/>
              <w:rPr>
                <w:rFonts w:ascii="宋体" w:hAnsi="宋体"/>
                <w:color w:val="auto"/>
                <w:sz w:val="21"/>
                <w:szCs w:val="21"/>
                <w:highlight w:val="none"/>
                <w:shd w:val="clear" w:color="auto" w:fill="FFFFFF"/>
              </w:rPr>
            </w:pPr>
          </w:p>
        </w:tc>
        <w:tc>
          <w:tcPr>
            <w:tcW w:w="1923" w:type="dxa"/>
            <w:noWrap w:val="0"/>
            <w:vAlign w:val="center"/>
          </w:tcPr>
          <w:p>
            <w:pPr>
              <w:jc w:val="center"/>
              <w:rPr>
                <w:rFonts w:ascii="宋体" w:hAnsi="宋体"/>
                <w:color w:val="auto"/>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967" w:type="dxa"/>
            <w:noWrap w:val="0"/>
            <w:vAlign w:val="center"/>
          </w:tcPr>
          <w:p>
            <w:pPr>
              <w:rPr>
                <w:rFonts w:ascii="宋体" w:hAnsi="宋体"/>
                <w:color w:val="auto"/>
                <w:sz w:val="21"/>
                <w:szCs w:val="21"/>
                <w:highlight w:val="none"/>
                <w:shd w:val="clear" w:color="auto" w:fill="FFFFFF"/>
              </w:rPr>
            </w:pPr>
            <w:r>
              <w:rPr>
                <w:rFonts w:ascii="宋体" w:hAnsi="宋体"/>
                <w:color w:val="auto"/>
                <w:sz w:val="21"/>
                <w:szCs w:val="21"/>
                <w:highlight w:val="none"/>
                <w:shd w:val="clear" w:color="auto" w:fill="FFFFFF"/>
              </w:rPr>
              <w:t>是否被认定为</w:t>
            </w:r>
            <w:r>
              <w:rPr>
                <w:rFonts w:hint="eastAsia" w:ascii="宋体" w:hAnsi="宋体" w:eastAsia="宋体" w:cs="宋体"/>
                <w:color w:val="auto"/>
                <w:szCs w:val="21"/>
                <w:highlight w:val="none"/>
                <w:lang w:val="zh-CN"/>
              </w:rPr>
              <w:t>政府采购严重违法失信行为</w:t>
            </w:r>
            <w:r>
              <w:rPr>
                <w:rFonts w:ascii="宋体" w:hAnsi="宋体"/>
                <w:color w:val="auto"/>
                <w:sz w:val="21"/>
                <w:szCs w:val="21"/>
                <w:highlight w:val="none"/>
                <w:shd w:val="clear" w:color="auto" w:fill="FFFFFF"/>
              </w:rPr>
              <w:t>记录名单</w:t>
            </w:r>
          </w:p>
        </w:tc>
        <w:tc>
          <w:tcPr>
            <w:tcW w:w="1564" w:type="dxa"/>
            <w:noWrap w:val="0"/>
            <w:vAlign w:val="center"/>
          </w:tcPr>
          <w:p>
            <w:pPr>
              <w:jc w:val="center"/>
              <w:rPr>
                <w:rFonts w:ascii="宋体" w:hAnsi="宋体"/>
                <w:color w:val="auto"/>
                <w:sz w:val="21"/>
                <w:szCs w:val="21"/>
                <w:highlight w:val="none"/>
                <w:shd w:val="clear" w:color="auto" w:fill="FFFFFF"/>
              </w:rPr>
            </w:pPr>
          </w:p>
        </w:tc>
        <w:tc>
          <w:tcPr>
            <w:tcW w:w="1854" w:type="dxa"/>
            <w:noWrap w:val="0"/>
            <w:vAlign w:val="center"/>
          </w:tcPr>
          <w:p>
            <w:pPr>
              <w:jc w:val="center"/>
              <w:rPr>
                <w:rFonts w:ascii="宋体" w:hAnsi="宋体"/>
                <w:color w:val="auto"/>
                <w:sz w:val="21"/>
                <w:szCs w:val="21"/>
                <w:highlight w:val="none"/>
                <w:shd w:val="clear" w:color="auto" w:fill="FFFFFF"/>
              </w:rPr>
            </w:pPr>
          </w:p>
        </w:tc>
        <w:tc>
          <w:tcPr>
            <w:tcW w:w="1923" w:type="dxa"/>
            <w:noWrap w:val="0"/>
            <w:vAlign w:val="center"/>
          </w:tcPr>
          <w:p>
            <w:pPr>
              <w:jc w:val="center"/>
              <w:rPr>
                <w:rFonts w:ascii="宋体" w:hAnsi="宋体"/>
                <w:color w:val="auto"/>
                <w:sz w:val="21"/>
                <w:szCs w:val="21"/>
                <w:highlight w:val="none"/>
                <w:shd w:val="clear" w:color="auto" w:fill="FFFFFF"/>
              </w:rPr>
            </w:pPr>
          </w:p>
        </w:tc>
      </w:tr>
    </w:tbl>
    <w:p>
      <w:pPr>
        <w:spacing w:line="360" w:lineRule="auto"/>
        <w:rPr>
          <w:rFonts w:ascii="宋体" w:hAnsi="宋体"/>
          <w:color w:val="auto"/>
          <w:sz w:val="21"/>
          <w:szCs w:val="21"/>
          <w:highlight w:val="none"/>
          <w:shd w:val="clear" w:color="auto" w:fill="FFFFFF"/>
        </w:rPr>
      </w:pPr>
    </w:p>
    <w:p>
      <w:pPr>
        <w:spacing w:line="360" w:lineRule="auto"/>
        <w:ind w:firstLine="420" w:firstLineChars="200"/>
        <w:rPr>
          <w:rFonts w:ascii="宋体" w:hAnsi="宋体"/>
          <w:color w:val="auto"/>
          <w:sz w:val="21"/>
          <w:szCs w:val="21"/>
          <w:highlight w:val="none"/>
          <w:shd w:val="clear" w:color="auto" w:fill="FFFFFF"/>
        </w:rPr>
      </w:pPr>
      <w:r>
        <w:rPr>
          <w:rFonts w:hint="eastAsia" w:ascii="宋体" w:hAnsi="宋体"/>
          <w:color w:val="auto"/>
          <w:sz w:val="21"/>
          <w:szCs w:val="21"/>
          <w:highlight w:val="none"/>
          <w:shd w:val="clear" w:color="auto" w:fill="FFFFFF"/>
        </w:rPr>
        <w:t>备</w:t>
      </w:r>
      <w:r>
        <w:rPr>
          <w:rFonts w:ascii="宋体" w:hAnsi="宋体"/>
          <w:color w:val="auto"/>
          <w:sz w:val="21"/>
          <w:szCs w:val="21"/>
          <w:highlight w:val="none"/>
          <w:shd w:val="clear" w:color="auto" w:fill="FFFFFF"/>
        </w:rPr>
        <w:t>注：</w:t>
      </w:r>
    </w:p>
    <w:p>
      <w:pPr>
        <w:spacing w:line="360" w:lineRule="auto"/>
        <w:ind w:firstLine="420" w:firstLineChars="200"/>
        <w:rPr>
          <w:rFonts w:ascii="宋体" w:hAnsi="宋体"/>
          <w:color w:val="auto"/>
          <w:kern w:val="2"/>
          <w:sz w:val="21"/>
          <w:szCs w:val="21"/>
          <w:highlight w:val="none"/>
          <w:lang w:val="zh-CN"/>
        </w:rPr>
      </w:pPr>
      <w:r>
        <w:rPr>
          <w:rFonts w:ascii="宋体" w:hAnsi="宋体"/>
          <w:color w:val="auto"/>
          <w:sz w:val="21"/>
          <w:szCs w:val="21"/>
          <w:highlight w:val="none"/>
          <w:shd w:val="clear" w:color="auto" w:fill="FFFFFF"/>
        </w:rPr>
        <w:t>根据</w:t>
      </w:r>
      <w:r>
        <w:rPr>
          <w:rFonts w:hint="eastAsia" w:ascii="宋体" w:hAnsi="宋体"/>
          <w:color w:val="auto"/>
          <w:sz w:val="21"/>
          <w:szCs w:val="21"/>
          <w:highlight w:val="none"/>
          <w:shd w:val="clear" w:color="auto" w:fill="FFFFFF"/>
          <w:lang w:val="en-US" w:eastAsia="zh-CN"/>
        </w:rPr>
        <w:t>报价人</w:t>
      </w:r>
      <w:r>
        <w:rPr>
          <w:rFonts w:ascii="宋体" w:hAnsi="宋体"/>
          <w:color w:val="auto"/>
          <w:sz w:val="21"/>
          <w:szCs w:val="21"/>
          <w:highlight w:val="none"/>
          <w:shd w:val="clear" w:color="auto" w:fill="FFFFFF"/>
        </w:rPr>
        <w:t>及其不具有独立法人资格的分支机构的实际情况自行编写，无相关事项的，在 “认定时间”列填“无”；若受到相关处罚的应附处罚相关材料复印件</w:t>
      </w:r>
      <w:r>
        <w:rPr>
          <w:rFonts w:hint="eastAsia" w:ascii="宋体" w:hAnsi="宋体"/>
          <w:color w:val="auto"/>
          <w:sz w:val="21"/>
          <w:szCs w:val="21"/>
          <w:highlight w:val="none"/>
          <w:shd w:val="clear" w:color="auto" w:fill="FFFFFF"/>
          <w:lang w:eastAsia="zh-CN"/>
        </w:rPr>
        <w:t>；</w:t>
      </w:r>
      <w:r>
        <w:rPr>
          <w:rFonts w:ascii="宋体" w:hAnsi="宋体"/>
          <w:color w:val="auto"/>
          <w:sz w:val="21"/>
          <w:szCs w:val="21"/>
          <w:highlight w:val="none"/>
          <w:shd w:val="clear" w:color="auto" w:fill="FFFFFF"/>
        </w:rPr>
        <w:t>若出现相关处罚的处罚期满,但处罚公示没有及时更新的情况,</w:t>
      </w:r>
      <w:r>
        <w:rPr>
          <w:rFonts w:hint="eastAsia" w:ascii="宋体" w:hAnsi="宋体"/>
          <w:color w:val="auto"/>
          <w:sz w:val="21"/>
          <w:szCs w:val="21"/>
          <w:highlight w:val="none"/>
          <w:shd w:val="clear" w:color="auto" w:fill="FFFFFF"/>
          <w:lang w:val="en-US" w:eastAsia="zh-CN"/>
        </w:rPr>
        <w:t>报价人</w:t>
      </w:r>
      <w:r>
        <w:rPr>
          <w:rFonts w:ascii="宋体" w:hAnsi="宋体"/>
          <w:color w:val="auto"/>
          <w:sz w:val="21"/>
          <w:szCs w:val="21"/>
          <w:highlight w:val="none"/>
          <w:shd w:val="clear" w:color="auto" w:fill="FFFFFF"/>
        </w:rPr>
        <w:t>须提供相关材料(复印件)佐证,需原件备查</w:t>
      </w:r>
      <w:r>
        <w:rPr>
          <w:rFonts w:ascii="宋体" w:hAnsi="宋体"/>
          <w:color w:val="auto"/>
          <w:kern w:val="2"/>
          <w:sz w:val="21"/>
          <w:szCs w:val="21"/>
          <w:highlight w:val="none"/>
          <w:lang w:val="zh-CN"/>
        </w:rPr>
        <w:t>。</w:t>
      </w:r>
    </w:p>
    <w:p>
      <w:pPr>
        <w:spacing w:line="360" w:lineRule="auto"/>
        <w:rPr>
          <w:rFonts w:ascii="宋体" w:hAnsi="宋体"/>
          <w:color w:val="auto"/>
          <w:kern w:val="2"/>
          <w:sz w:val="21"/>
          <w:szCs w:val="21"/>
          <w:highlight w:val="none"/>
          <w:lang w:val="zh-CN"/>
        </w:rPr>
      </w:pPr>
    </w:p>
    <w:p>
      <w:pPr>
        <w:spacing w:line="360" w:lineRule="auto"/>
        <w:rPr>
          <w:rFonts w:ascii="宋体" w:hAnsi="宋体"/>
          <w:color w:val="auto"/>
          <w:kern w:val="2"/>
          <w:sz w:val="21"/>
          <w:szCs w:val="21"/>
          <w:highlight w:val="none"/>
          <w:lang w:val="zh-CN"/>
        </w:rPr>
      </w:pPr>
    </w:p>
    <w:p>
      <w:pPr>
        <w:spacing w:line="360" w:lineRule="auto"/>
        <w:rPr>
          <w:rFonts w:hint="eastAsia" w:ascii="宋体" w:hAnsi="宋体"/>
          <w:color w:val="auto"/>
          <w:sz w:val="21"/>
          <w:szCs w:val="21"/>
          <w:highlight w:val="none"/>
          <w:shd w:val="clear" w:color="auto" w:fill="FFFFFF"/>
        </w:rPr>
      </w:pPr>
    </w:p>
    <w:p>
      <w:pPr>
        <w:spacing w:line="360" w:lineRule="auto"/>
        <w:jc w:val="center"/>
        <w:rPr>
          <w:rFonts w:ascii="宋体" w:hAnsi="宋体"/>
          <w:color w:val="auto"/>
          <w:highlight w:val="none"/>
        </w:rPr>
      </w:pPr>
    </w:p>
    <w:p>
      <w:pPr>
        <w:autoSpaceDE/>
        <w:autoSpaceDN/>
        <w:adjustRightInd/>
        <w:spacing w:line="360" w:lineRule="auto"/>
        <w:ind w:right="420" w:firstLine="4410" w:firstLineChars="2100"/>
        <w:jc w:val="right"/>
        <w:rPr>
          <w:rFonts w:ascii="宋体" w:hAnsi="宋体"/>
          <w:color w:val="auto"/>
          <w:kern w:val="2"/>
          <w:sz w:val="21"/>
          <w:szCs w:val="21"/>
          <w:highlight w:val="none"/>
          <w:lang w:val="zh-CN"/>
        </w:rPr>
      </w:pPr>
      <w:r>
        <w:rPr>
          <w:rFonts w:hint="eastAsia" w:ascii="宋体" w:hAnsi="宋体"/>
          <w:color w:val="auto"/>
          <w:kern w:val="2"/>
          <w:sz w:val="21"/>
          <w:szCs w:val="21"/>
          <w:highlight w:val="none"/>
          <w:lang w:val="en-US" w:eastAsia="zh-CN"/>
        </w:rPr>
        <w:t>报价人</w:t>
      </w:r>
      <w:r>
        <w:rPr>
          <w:rFonts w:ascii="宋体" w:hAnsi="宋体"/>
          <w:color w:val="auto"/>
          <w:kern w:val="2"/>
          <w:sz w:val="21"/>
          <w:szCs w:val="21"/>
          <w:highlight w:val="none"/>
          <w:lang w:val="zh-CN"/>
        </w:rPr>
        <w:t>：</w:t>
      </w:r>
      <w:r>
        <w:rPr>
          <w:rFonts w:ascii="宋体" w:hAnsi="宋体"/>
          <w:color w:val="auto"/>
          <w:sz w:val="21"/>
          <w:szCs w:val="21"/>
          <w:highlight w:val="none"/>
          <w:lang w:val="zh-CN"/>
        </w:rPr>
        <w:t>（加盖</w:t>
      </w:r>
      <w:r>
        <w:rPr>
          <w:rFonts w:hint="eastAsia" w:ascii="宋体" w:hAnsi="宋体"/>
          <w:color w:val="auto"/>
          <w:sz w:val="21"/>
          <w:szCs w:val="21"/>
          <w:highlight w:val="none"/>
          <w:lang w:val="en-US" w:eastAsia="zh-CN"/>
        </w:rPr>
        <w:t>报价人</w:t>
      </w:r>
      <w:r>
        <w:rPr>
          <w:rFonts w:hint="eastAsia" w:ascii="宋体" w:hAnsi="宋体"/>
          <w:color w:val="auto"/>
          <w:sz w:val="21"/>
          <w:szCs w:val="21"/>
          <w:highlight w:val="none"/>
          <w:lang w:val="zh-CN"/>
        </w:rPr>
        <w:t>法</w:t>
      </w:r>
      <w:r>
        <w:rPr>
          <w:rFonts w:ascii="宋体" w:hAnsi="宋体"/>
          <w:color w:val="auto"/>
          <w:sz w:val="21"/>
          <w:szCs w:val="21"/>
          <w:highlight w:val="none"/>
          <w:lang w:val="zh-CN"/>
        </w:rPr>
        <w:t>人公章）</w:t>
      </w:r>
    </w:p>
    <w:p>
      <w:pPr>
        <w:spacing w:line="360" w:lineRule="auto"/>
        <w:ind w:right="893" w:firstLine="2811" w:firstLineChars="1339"/>
        <w:jc w:val="right"/>
        <w:rPr>
          <w:rFonts w:ascii="宋体" w:hAnsi="宋体"/>
          <w:color w:val="auto"/>
          <w:kern w:val="2"/>
          <w:sz w:val="21"/>
          <w:highlight w:val="none"/>
          <w:lang w:val="zh-CN"/>
        </w:rPr>
      </w:pPr>
      <w:r>
        <w:rPr>
          <w:rFonts w:ascii="宋体" w:hAnsi="宋体"/>
          <w:color w:val="auto"/>
          <w:kern w:val="2"/>
          <w:sz w:val="21"/>
          <w:highlight w:val="none"/>
          <w:u w:val="none"/>
          <w:lang w:val="zh-CN"/>
        </w:rPr>
        <w:t xml:space="preserve">               </w:t>
      </w:r>
      <w:r>
        <w:rPr>
          <w:rFonts w:ascii="宋体" w:hAnsi="宋体"/>
          <w:color w:val="auto"/>
          <w:kern w:val="2"/>
          <w:sz w:val="21"/>
          <w:highlight w:val="none"/>
          <w:lang w:val="zh-CN"/>
        </w:rPr>
        <w:t>日  期：   年  月  日</w:t>
      </w:r>
    </w:p>
    <w:p>
      <w:pPr>
        <w:spacing w:line="360" w:lineRule="auto"/>
        <w:rPr>
          <w:rFonts w:ascii="宋体" w:hAnsi="宋体"/>
          <w:color w:val="auto"/>
          <w:kern w:val="2"/>
          <w:sz w:val="21"/>
          <w:szCs w:val="21"/>
          <w:highlight w:val="none"/>
          <w:lang w:val="zh-CN"/>
        </w:rPr>
      </w:pPr>
    </w:p>
    <w:p>
      <w:pPr>
        <w:spacing w:line="360" w:lineRule="auto"/>
        <w:rPr>
          <w:rFonts w:ascii="宋体" w:hAnsi="宋体"/>
          <w:color w:val="auto"/>
          <w:kern w:val="2"/>
          <w:sz w:val="21"/>
          <w:szCs w:val="21"/>
          <w:highlight w:val="none"/>
          <w:lang w:val="zh-CN"/>
        </w:rPr>
        <w:sectPr>
          <w:pgSz w:w="11907" w:h="16840"/>
          <w:pgMar w:top="1701" w:right="1418" w:bottom="851" w:left="1418" w:header="720" w:footer="720" w:gutter="0"/>
          <w:pgBorders>
            <w:top w:val="none" w:sz="0" w:space="0"/>
            <w:left w:val="none" w:sz="0" w:space="0"/>
            <w:bottom w:val="none" w:sz="0" w:space="0"/>
            <w:right w:val="none" w:sz="0" w:space="0"/>
          </w:pgBorders>
          <w:cols w:space="720" w:num="1"/>
          <w:titlePg/>
          <w:docGrid w:linePitch="326" w:charSpace="0"/>
        </w:sectPr>
      </w:pPr>
    </w:p>
    <w:p>
      <w:pPr>
        <w:pStyle w:val="5"/>
        <w:jc w:val="center"/>
        <w:rPr>
          <w:rFonts w:hint="eastAsia" w:ascii="宋体" w:hAnsi="宋体" w:eastAsia="宋体"/>
          <w:b/>
          <w:color w:val="auto"/>
          <w:sz w:val="32"/>
          <w:szCs w:val="32"/>
          <w:highlight w:val="none"/>
          <w:lang w:val="en-US" w:eastAsia="zh-CN"/>
        </w:rPr>
      </w:pPr>
      <w:bookmarkStart w:id="258" w:name="_Toc79146605"/>
      <w:bookmarkStart w:id="259" w:name="_Toc7538"/>
      <w:bookmarkStart w:id="260" w:name="_Toc54342745"/>
      <w:bookmarkStart w:id="261" w:name="_Toc19238"/>
      <w:bookmarkStart w:id="262" w:name="_Toc13917"/>
      <w:bookmarkStart w:id="263" w:name="_Toc26412"/>
      <w:r>
        <w:rPr>
          <w:rFonts w:hint="eastAsia" w:ascii="宋体" w:hAnsi="宋体" w:eastAsia="宋体"/>
          <w:b/>
          <w:color w:val="auto"/>
          <w:sz w:val="32"/>
          <w:szCs w:val="32"/>
          <w:highlight w:val="none"/>
          <w:lang w:val="en-US" w:eastAsia="zh-CN"/>
        </w:rPr>
        <w:t>（三）报价人</w:t>
      </w:r>
      <w:r>
        <w:rPr>
          <w:rFonts w:hint="eastAsia" w:ascii="宋体" w:hAnsi="宋体" w:eastAsia="宋体"/>
          <w:b/>
          <w:color w:val="auto"/>
          <w:sz w:val="32"/>
          <w:szCs w:val="32"/>
          <w:highlight w:val="none"/>
        </w:rPr>
        <w:t>基本情况一览表</w:t>
      </w:r>
      <w:bookmarkEnd w:id="258"/>
      <w:bookmarkEnd w:id="259"/>
      <w:bookmarkEnd w:id="260"/>
      <w:r>
        <w:rPr>
          <w:rFonts w:hint="eastAsia" w:ascii="宋体" w:hAnsi="宋体" w:eastAsia="宋体"/>
          <w:b/>
          <w:color w:val="auto"/>
          <w:sz w:val="32"/>
          <w:szCs w:val="32"/>
          <w:highlight w:val="none"/>
          <w:lang w:val="en-US" w:eastAsia="zh-CN"/>
        </w:rPr>
        <w:t>格式</w:t>
      </w:r>
      <w:bookmarkEnd w:id="261"/>
      <w:bookmarkEnd w:id="262"/>
      <w:bookmarkEnd w:id="263"/>
    </w:p>
    <w:p>
      <w:pPr>
        <w:rPr>
          <w:rFonts w:hint="eastAsia"/>
          <w:color w:val="auto"/>
          <w:highlight w:val="none"/>
        </w:rPr>
      </w:pPr>
    </w:p>
    <w:p>
      <w:pPr>
        <w:spacing w:line="360" w:lineRule="auto"/>
        <w:jc w:val="center"/>
        <w:outlineLvl w:val="9"/>
        <w:rPr>
          <w:rFonts w:hint="eastAsia" w:hAnsi="宋体" w:cs="宋体"/>
          <w:b/>
          <w:bCs/>
          <w:color w:val="auto"/>
          <w:kern w:val="2"/>
          <w:sz w:val="30"/>
          <w:szCs w:val="30"/>
          <w:highlight w:val="none"/>
        </w:rPr>
      </w:pPr>
      <w:bookmarkStart w:id="264" w:name="_Toc27319"/>
      <w:bookmarkStart w:id="265" w:name="_Toc27131"/>
      <w:r>
        <w:rPr>
          <w:rFonts w:hint="eastAsia" w:hAnsi="宋体" w:cs="宋体"/>
          <w:b/>
          <w:bCs/>
          <w:color w:val="auto"/>
          <w:kern w:val="2"/>
          <w:sz w:val="30"/>
          <w:szCs w:val="30"/>
          <w:highlight w:val="none"/>
          <w:lang w:val="en-US" w:eastAsia="zh-CN"/>
        </w:rPr>
        <w:t>报价人</w:t>
      </w:r>
      <w:r>
        <w:rPr>
          <w:rFonts w:hint="eastAsia" w:hAnsi="宋体" w:cs="宋体"/>
          <w:b/>
          <w:bCs/>
          <w:color w:val="auto"/>
          <w:kern w:val="2"/>
          <w:sz w:val="30"/>
          <w:szCs w:val="30"/>
          <w:highlight w:val="none"/>
          <w:lang w:val="zh-CN"/>
        </w:rPr>
        <w:t>基本情况一览表</w:t>
      </w:r>
      <w:bookmarkEnd w:id="264"/>
      <w:bookmarkEnd w:id="265"/>
    </w:p>
    <w:p>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outlineLvl w:val="9"/>
        <w:rPr>
          <w:rFonts w:hint="eastAsia" w:hAnsi="宋体" w:cs="宋体"/>
          <w:color w:val="auto"/>
          <w:kern w:val="2"/>
          <w:sz w:val="21"/>
          <w:szCs w:val="21"/>
          <w:highlight w:val="none"/>
        </w:rPr>
      </w:pPr>
      <w:bookmarkStart w:id="266" w:name="_Toc23960"/>
      <w:bookmarkStart w:id="267" w:name="_Toc21386"/>
      <w:r>
        <w:rPr>
          <w:rFonts w:hint="eastAsia" w:hAnsi="宋体" w:cs="宋体"/>
          <w:color w:val="auto"/>
          <w:kern w:val="2"/>
          <w:sz w:val="21"/>
          <w:szCs w:val="21"/>
          <w:highlight w:val="none"/>
          <w:lang w:val="zh-CN"/>
        </w:rPr>
        <w:t>1、名称及概况：</w:t>
      </w:r>
      <w:bookmarkEnd w:id="266"/>
      <w:bookmarkEnd w:id="267"/>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default" w:hAnsi="宋体" w:eastAsia="宋体" w:cs="宋体"/>
          <w:color w:val="auto"/>
          <w:kern w:val="2"/>
          <w:sz w:val="21"/>
          <w:highlight w:val="none"/>
          <w:lang w:val="en-US" w:eastAsia="zh-CN"/>
        </w:rPr>
      </w:pPr>
      <w:r>
        <w:rPr>
          <w:rFonts w:hint="eastAsia" w:hAnsi="宋体" w:cs="宋体"/>
          <w:color w:val="auto"/>
          <w:kern w:val="2"/>
          <w:sz w:val="21"/>
          <w:highlight w:val="none"/>
          <w:lang w:val="zh-CN"/>
        </w:rPr>
        <w:t>（1）</w:t>
      </w:r>
      <w:r>
        <w:rPr>
          <w:rFonts w:hint="eastAsia" w:hAnsi="宋体" w:cs="宋体"/>
          <w:color w:val="auto"/>
          <w:kern w:val="2"/>
          <w:sz w:val="21"/>
          <w:highlight w:val="none"/>
          <w:lang w:val="en-US" w:eastAsia="zh-CN"/>
        </w:rPr>
        <w:t>报价人</w:t>
      </w:r>
      <w:r>
        <w:rPr>
          <w:rFonts w:hint="eastAsia" w:hAnsi="宋体" w:cs="宋体"/>
          <w:color w:val="auto"/>
          <w:kern w:val="2"/>
          <w:sz w:val="21"/>
          <w:highlight w:val="none"/>
          <w:lang w:val="zh-CN"/>
        </w:rPr>
        <w:t>名称：</w:t>
      </w:r>
      <w:r>
        <w:rPr>
          <w:rFonts w:hint="eastAsia" w:hAnsi="宋体" w:cs="宋体"/>
          <w:color w:val="auto"/>
          <w:kern w:val="2"/>
          <w:sz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default" w:hAnsi="宋体" w:eastAsia="宋体" w:cs="宋体"/>
          <w:color w:val="auto"/>
          <w:kern w:val="2"/>
          <w:sz w:val="21"/>
          <w:highlight w:val="none"/>
          <w:lang w:val="en-US" w:eastAsia="zh-CN"/>
        </w:rPr>
      </w:pPr>
      <w:r>
        <w:rPr>
          <w:rFonts w:hint="eastAsia" w:hAnsi="宋体" w:cs="宋体"/>
          <w:color w:val="auto"/>
          <w:kern w:val="2"/>
          <w:sz w:val="21"/>
          <w:highlight w:val="none"/>
          <w:lang w:val="zh-CN"/>
        </w:rPr>
        <w:t>（2）总部地址：</w:t>
      </w:r>
      <w:r>
        <w:rPr>
          <w:rFonts w:hint="eastAsia" w:hAnsi="宋体" w:cs="宋体"/>
          <w:color w:val="auto"/>
          <w:kern w:val="2"/>
          <w:sz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735" w:firstLineChars="350"/>
        <w:jc w:val="both"/>
        <w:textAlignment w:val="auto"/>
        <w:rPr>
          <w:rFonts w:hint="default" w:hAnsi="宋体" w:eastAsia="宋体" w:cs="宋体"/>
          <w:color w:val="auto"/>
          <w:kern w:val="2"/>
          <w:sz w:val="21"/>
          <w:highlight w:val="none"/>
          <w:lang w:val="en-US" w:eastAsia="zh-CN"/>
        </w:rPr>
      </w:pPr>
      <w:r>
        <w:rPr>
          <w:rFonts w:hint="eastAsia" w:hAnsi="宋体" w:cs="宋体"/>
          <w:color w:val="auto"/>
          <w:kern w:val="2"/>
          <w:sz w:val="21"/>
          <w:highlight w:val="none"/>
          <w:lang w:val="zh-CN"/>
        </w:rPr>
        <w:t>邮政编码：</w:t>
      </w:r>
      <w:r>
        <w:rPr>
          <w:rFonts w:hint="eastAsia" w:hAnsi="宋体" w:cs="宋体"/>
          <w:color w:val="auto"/>
          <w:kern w:val="2"/>
          <w:sz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735" w:firstLineChars="350"/>
        <w:jc w:val="both"/>
        <w:textAlignment w:val="auto"/>
        <w:rPr>
          <w:rFonts w:hint="default" w:hAnsi="宋体" w:eastAsia="宋体" w:cs="宋体"/>
          <w:color w:val="auto"/>
          <w:kern w:val="2"/>
          <w:sz w:val="21"/>
          <w:highlight w:val="none"/>
          <w:lang w:val="en-US" w:eastAsia="zh-CN"/>
        </w:rPr>
      </w:pPr>
      <w:r>
        <w:rPr>
          <w:rFonts w:hint="eastAsia" w:hAnsi="宋体" w:cs="宋体"/>
          <w:color w:val="auto"/>
          <w:kern w:val="2"/>
          <w:sz w:val="21"/>
          <w:highlight w:val="none"/>
          <w:lang w:val="zh-CN"/>
        </w:rPr>
        <w:t>电话号码：</w:t>
      </w:r>
      <w:r>
        <w:rPr>
          <w:rFonts w:hint="eastAsia" w:hAnsi="宋体" w:cs="宋体"/>
          <w:color w:val="auto"/>
          <w:kern w:val="2"/>
          <w:sz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735" w:firstLineChars="350"/>
        <w:jc w:val="both"/>
        <w:textAlignment w:val="auto"/>
        <w:rPr>
          <w:rFonts w:hint="default" w:hAnsi="宋体" w:eastAsia="宋体" w:cs="宋体"/>
          <w:color w:val="auto"/>
          <w:kern w:val="2"/>
          <w:sz w:val="21"/>
          <w:highlight w:val="none"/>
          <w:lang w:val="en-US" w:eastAsia="zh-CN"/>
        </w:rPr>
      </w:pPr>
      <w:r>
        <w:rPr>
          <w:rFonts w:hint="eastAsia" w:hAnsi="宋体" w:cs="宋体"/>
          <w:color w:val="auto"/>
          <w:kern w:val="2"/>
          <w:sz w:val="21"/>
          <w:highlight w:val="none"/>
          <w:lang w:val="zh-CN"/>
        </w:rPr>
        <w:t>传真号码：</w:t>
      </w:r>
      <w:r>
        <w:rPr>
          <w:rFonts w:hint="eastAsia" w:hAnsi="宋体" w:cs="宋体"/>
          <w:color w:val="auto"/>
          <w:kern w:val="2"/>
          <w:sz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default" w:hAnsi="宋体" w:eastAsia="宋体" w:cs="宋体"/>
          <w:color w:val="auto"/>
          <w:kern w:val="2"/>
          <w:sz w:val="21"/>
          <w:highlight w:val="none"/>
          <w:lang w:val="en-US" w:eastAsia="zh-CN"/>
        </w:rPr>
      </w:pPr>
      <w:r>
        <w:rPr>
          <w:rFonts w:hint="eastAsia" w:hAnsi="宋体" w:cs="宋体"/>
          <w:color w:val="auto"/>
          <w:kern w:val="2"/>
          <w:sz w:val="21"/>
          <w:highlight w:val="none"/>
          <w:lang w:val="zh-CN"/>
        </w:rPr>
        <w:t>（3）成立或注册日期：</w:t>
      </w:r>
      <w:r>
        <w:rPr>
          <w:rFonts w:hint="eastAsia" w:hAnsi="宋体" w:cs="宋体"/>
          <w:color w:val="auto"/>
          <w:kern w:val="2"/>
          <w:sz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default" w:hAnsi="宋体" w:eastAsia="宋体" w:cs="宋体"/>
          <w:color w:val="auto"/>
          <w:kern w:val="2"/>
          <w:sz w:val="21"/>
          <w:highlight w:val="none"/>
          <w:lang w:val="en-US" w:eastAsia="zh-CN"/>
        </w:rPr>
      </w:pPr>
      <w:r>
        <w:rPr>
          <w:rFonts w:hint="eastAsia" w:hAnsi="宋体" w:cs="宋体"/>
          <w:color w:val="auto"/>
          <w:kern w:val="2"/>
          <w:sz w:val="21"/>
          <w:highlight w:val="none"/>
          <w:lang w:val="zh-CN"/>
        </w:rPr>
        <w:t>（4）法定代表人：</w:t>
      </w:r>
      <w:r>
        <w:rPr>
          <w:rFonts w:hint="eastAsia" w:hAnsi="宋体" w:cs="宋体"/>
          <w:color w:val="auto"/>
          <w:kern w:val="2"/>
          <w:sz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hAnsi="宋体" w:cs="宋体"/>
          <w:color w:val="auto"/>
          <w:kern w:val="2"/>
          <w:sz w:val="21"/>
          <w:highlight w:val="none"/>
          <w:lang w:val="zh-CN"/>
        </w:rPr>
      </w:pPr>
      <w:r>
        <w:rPr>
          <w:rFonts w:hint="eastAsia" w:hAnsi="宋体" w:cs="宋体"/>
          <w:color w:val="auto"/>
          <w:kern w:val="2"/>
          <w:sz w:val="21"/>
          <w:highlight w:val="none"/>
          <w:lang w:val="zh-CN"/>
        </w:rPr>
        <w:t xml:space="preserve">（5）开户银行：_________________________________________ </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hAnsi="宋体" w:cs="宋体"/>
          <w:color w:val="auto"/>
          <w:kern w:val="2"/>
          <w:sz w:val="21"/>
          <w:highlight w:val="none"/>
          <w:lang w:val="zh-CN"/>
        </w:rPr>
      </w:pPr>
      <w:r>
        <w:rPr>
          <w:rFonts w:hint="eastAsia" w:hAnsi="宋体" w:cs="宋体"/>
          <w:color w:val="auto"/>
          <w:kern w:val="2"/>
          <w:sz w:val="21"/>
          <w:highlight w:val="none"/>
          <w:lang w:val="zh-CN"/>
        </w:rPr>
        <w:t xml:space="preserve">（6）开户账号：_________________________________________ </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hAnsi="宋体" w:cs="宋体"/>
          <w:color w:val="auto"/>
          <w:kern w:val="2"/>
          <w:sz w:val="21"/>
          <w:highlight w:val="none"/>
          <w:lang w:val="zh-CN"/>
        </w:rPr>
      </w:pPr>
      <w:r>
        <w:rPr>
          <w:rFonts w:hint="eastAsia" w:hAnsi="宋体" w:cs="宋体"/>
          <w:color w:val="auto"/>
          <w:kern w:val="2"/>
          <w:sz w:val="21"/>
          <w:highlight w:val="none"/>
          <w:lang w:val="zh-CN"/>
        </w:rPr>
        <w:t xml:space="preserve">（7）注册资本：_________________________________________ </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default" w:hAnsi="宋体" w:eastAsia="宋体" w:cs="宋体"/>
          <w:color w:val="auto"/>
          <w:kern w:val="2"/>
          <w:sz w:val="21"/>
          <w:highlight w:val="none"/>
          <w:u w:val="single"/>
          <w:lang w:val="en-US" w:eastAsia="zh-CN"/>
        </w:rPr>
      </w:pPr>
      <w:r>
        <w:rPr>
          <w:rFonts w:hint="eastAsia" w:hAnsi="宋体" w:cs="宋体"/>
          <w:color w:val="auto"/>
          <w:kern w:val="2"/>
          <w:sz w:val="21"/>
          <w:highlight w:val="none"/>
          <w:lang w:val="zh-CN"/>
        </w:rPr>
        <w:t>（8）主要负责人姓名：</w:t>
      </w:r>
      <w:r>
        <w:rPr>
          <w:rFonts w:hint="eastAsia" w:hAnsi="宋体" w:cs="宋体"/>
          <w:color w:val="auto"/>
          <w:kern w:val="2"/>
          <w:sz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default" w:hAnsi="宋体" w:cs="宋体"/>
          <w:color w:val="auto"/>
          <w:kern w:val="2"/>
          <w:sz w:val="21"/>
          <w:highlight w:val="none"/>
          <w:u w:val="single"/>
          <w:lang w:val="en-US"/>
        </w:rPr>
      </w:pPr>
      <w:r>
        <w:rPr>
          <w:rFonts w:hint="eastAsia" w:hAnsi="宋体" w:cs="宋体"/>
          <w:color w:val="auto"/>
          <w:kern w:val="2"/>
          <w:sz w:val="21"/>
          <w:highlight w:val="none"/>
          <w:lang w:val="zh-CN"/>
        </w:rPr>
        <w:t>（9）项目主要联系人（姓名、职务、</w:t>
      </w:r>
      <w:r>
        <w:rPr>
          <w:rFonts w:hint="eastAsia" w:hAnsi="宋体" w:cs="宋体"/>
          <w:color w:val="auto"/>
          <w:kern w:val="2"/>
          <w:sz w:val="21"/>
          <w:highlight w:val="none"/>
          <w:lang w:val="en-US" w:eastAsia="zh-CN"/>
        </w:rPr>
        <w:t>通讯）：</w:t>
      </w:r>
      <w:r>
        <w:rPr>
          <w:rFonts w:hint="eastAsia" w:hAnsi="宋体" w:cs="宋体"/>
          <w:color w:val="auto"/>
          <w:kern w:val="2"/>
          <w:sz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default" w:hAnsi="宋体" w:eastAsia="宋体" w:cs="宋体"/>
          <w:color w:val="auto"/>
          <w:kern w:val="2"/>
          <w:sz w:val="21"/>
          <w:highlight w:val="none"/>
          <w:lang w:val="en-US" w:eastAsia="zh-CN"/>
        </w:rPr>
      </w:pPr>
      <w:r>
        <w:rPr>
          <w:rFonts w:hint="eastAsia" w:hAnsi="宋体" w:cs="宋体"/>
          <w:color w:val="auto"/>
          <w:kern w:val="2"/>
          <w:sz w:val="21"/>
          <w:highlight w:val="none"/>
          <w:lang w:val="zh-CN"/>
        </w:rPr>
        <w:t>（10）在中国的代表的姓名和地址（如有）：</w:t>
      </w:r>
      <w:r>
        <w:rPr>
          <w:rFonts w:hint="eastAsia" w:hAnsi="宋体" w:cs="宋体"/>
          <w:color w:val="auto"/>
          <w:kern w:val="2"/>
          <w:sz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rPr>
          <w:rFonts w:hint="default" w:hAnsi="宋体" w:eastAsia="宋体" w:cs="宋体"/>
          <w:color w:val="auto"/>
          <w:kern w:val="2"/>
          <w:sz w:val="21"/>
          <w:highlight w:val="none"/>
          <w:lang w:val="en-US" w:eastAsia="zh-CN"/>
        </w:rPr>
      </w:pPr>
      <w:r>
        <w:rPr>
          <w:rFonts w:hint="eastAsia" w:hAnsi="宋体" w:cs="宋体"/>
          <w:color w:val="auto"/>
          <w:kern w:val="2"/>
          <w:sz w:val="21"/>
          <w:highlight w:val="none"/>
          <w:lang w:val="zh-CN"/>
        </w:rPr>
        <w:t>2、供征询之银行的名称和地址：</w:t>
      </w:r>
      <w:r>
        <w:rPr>
          <w:rFonts w:hint="eastAsia" w:hAnsi="宋体" w:cs="宋体"/>
          <w:color w:val="auto"/>
          <w:kern w:val="2"/>
          <w:sz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rPr>
          <w:rFonts w:hint="default" w:hAnsi="宋体" w:eastAsia="宋体" w:cs="宋体"/>
          <w:color w:val="auto"/>
          <w:kern w:val="2"/>
          <w:sz w:val="21"/>
          <w:highlight w:val="none"/>
          <w:lang w:val="en-US" w:eastAsia="zh-CN"/>
        </w:rPr>
      </w:pPr>
      <w:r>
        <w:rPr>
          <w:rFonts w:hint="eastAsia" w:hAnsi="宋体" w:cs="宋体"/>
          <w:color w:val="auto"/>
          <w:kern w:val="2"/>
          <w:sz w:val="21"/>
          <w:highlight w:val="none"/>
          <w:lang w:val="zh-CN"/>
        </w:rPr>
        <w:t>3、公司所隶属之国际集团名称（如果是）：</w:t>
      </w:r>
      <w:r>
        <w:rPr>
          <w:rFonts w:hint="eastAsia" w:hAnsi="宋体" w:cs="宋体"/>
          <w:color w:val="auto"/>
          <w:kern w:val="2"/>
          <w:sz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outlineLvl w:val="9"/>
        <w:rPr>
          <w:rFonts w:hint="eastAsia" w:hAnsi="宋体" w:cs="宋体"/>
          <w:color w:val="auto"/>
          <w:kern w:val="2"/>
          <w:sz w:val="21"/>
          <w:highlight w:val="none"/>
        </w:rPr>
      </w:pPr>
      <w:bookmarkStart w:id="268" w:name="_Toc3284"/>
      <w:bookmarkStart w:id="269" w:name="_Toc18480"/>
      <w:r>
        <w:rPr>
          <w:rFonts w:hint="eastAsia" w:hAnsi="宋体" w:cs="宋体"/>
          <w:color w:val="auto"/>
          <w:kern w:val="2"/>
          <w:sz w:val="21"/>
          <w:highlight w:val="none"/>
          <w:lang w:val="zh-CN"/>
        </w:rPr>
        <w:t>4、提交资料（包括但不限于组织架构、公司简介等）：</w:t>
      </w:r>
      <w:bookmarkEnd w:id="268"/>
      <w:bookmarkEnd w:id="269"/>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outlineLvl w:val="9"/>
        <w:rPr>
          <w:rFonts w:hint="eastAsia" w:hAnsi="宋体" w:cs="宋体"/>
          <w:color w:val="auto"/>
          <w:kern w:val="2"/>
          <w:sz w:val="21"/>
          <w:highlight w:val="none"/>
          <w:lang w:val="zh-CN"/>
        </w:rPr>
      </w:pPr>
      <w:bookmarkStart w:id="270" w:name="_Toc9816"/>
      <w:bookmarkStart w:id="271" w:name="_Toc3024"/>
      <w:r>
        <w:rPr>
          <w:rFonts w:hint="eastAsia" w:hAnsi="宋体" w:cs="宋体"/>
          <w:color w:val="auto"/>
          <w:kern w:val="2"/>
          <w:sz w:val="21"/>
          <w:highlight w:val="none"/>
          <w:lang w:val="zh-CN"/>
        </w:rPr>
        <w:t>（1）公司简介；</w:t>
      </w:r>
      <w:bookmarkEnd w:id="270"/>
      <w:bookmarkEnd w:id="271"/>
    </w:p>
    <w:p>
      <w:pPr>
        <w:keepNext w:val="0"/>
        <w:keepLines w:val="0"/>
        <w:pageBreakBefore w:val="0"/>
        <w:widowControl w:val="0"/>
        <w:kinsoku/>
        <w:wordWrap/>
        <w:overflowPunct/>
        <w:topLinePunct w:val="0"/>
        <w:autoSpaceDE/>
        <w:autoSpaceDN/>
        <w:bidi w:val="0"/>
        <w:adjustRightInd w:val="0"/>
        <w:snapToGrid w:val="0"/>
        <w:spacing w:line="360" w:lineRule="auto"/>
        <w:ind w:firstLine="735" w:firstLineChars="350"/>
        <w:jc w:val="both"/>
        <w:textAlignment w:val="auto"/>
        <w:rPr>
          <w:rFonts w:hint="eastAsia" w:hAnsi="宋体" w:cs="宋体"/>
          <w:color w:val="auto"/>
          <w:kern w:val="2"/>
          <w:sz w:val="21"/>
          <w:highlight w:val="none"/>
          <w:lang w:val="zh-CN"/>
        </w:rPr>
      </w:pPr>
      <w:r>
        <w:rPr>
          <w:rFonts w:hint="eastAsia" w:hAnsi="宋体" w:cs="宋体"/>
          <w:color w:val="auto"/>
          <w:kern w:val="2"/>
          <w:sz w:val="21"/>
          <w:highlight w:val="none"/>
          <w:lang w:val="zh-CN"/>
        </w:rPr>
        <w:t>____________________________________________________</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outlineLvl w:val="9"/>
        <w:rPr>
          <w:rFonts w:hint="eastAsia" w:hAnsi="宋体" w:cs="宋体"/>
          <w:color w:val="auto"/>
          <w:kern w:val="2"/>
          <w:sz w:val="21"/>
          <w:highlight w:val="none"/>
          <w:lang w:val="zh-CN"/>
        </w:rPr>
      </w:pPr>
      <w:bookmarkStart w:id="272" w:name="_Toc21461"/>
      <w:bookmarkStart w:id="273" w:name="_Toc3943"/>
      <w:r>
        <w:rPr>
          <w:rFonts w:hint="eastAsia" w:hAnsi="宋体" w:cs="宋体"/>
          <w:color w:val="auto"/>
          <w:kern w:val="2"/>
          <w:sz w:val="21"/>
          <w:highlight w:val="none"/>
          <w:lang w:val="zh-CN"/>
        </w:rPr>
        <w:t>（2）公司组织架构；</w:t>
      </w:r>
      <w:bookmarkEnd w:id="272"/>
      <w:bookmarkEnd w:id="273"/>
    </w:p>
    <w:p>
      <w:pPr>
        <w:keepNext w:val="0"/>
        <w:keepLines w:val="0"/>
        <w:pageBreakBefore w:val="0"/>
        <w:widowControl w:val="0"/>
        <w:kinsoku/>
        <w:wordWrap/>
        <w:overflowPunct/>
        <w:topLinePunct w:val="0"/>
        <w:autoSpaceDE/>
        <w:autoSpaceDN/>
        <w:bidi w:val="0"/>
        <w:adjustRightInd w:val="0"/>
        <w:snapToGrid w:val="0"/>
        <w:spacing w:line="360" w:lineRule="auto"/>
        <w:ind w:firstLine="735" w:firstLineChars="350"/>
        <w:jc w:val="both"/>
        <w:textAlignment w:val="auto"/>
        <w:rPr>
          <w:rFonts w:hint="eastAsia" w:hAnsi="宋体" w:cs="宋体"/>
          <w:color w:val="auto"/>
          <w:kern w:val="2"/>
          <w:sz w:val="21"/>
          <w:highlight w:val="none"/>
          <w:lang w:val="zh-CN"/>
        </w:rPr>
      </w:pPr>
      <w:r>
        <w:rPr>
          <w:rFonts w:hint="eastAsia" w:hAnsi="宋体" w:cs="宋体"/>
          <w:color w:val="auto"/>
          <w:kern w:val="2"/>
          <w:sz w:val="21"/>
          <w:highlight w:val="none"/>
          <w:lang w:val="zh-CN"/>
        </w:rPr>
        <w:t>____________________________________________________</w:t>
      </w:r>
    </w:p>
    <w:p>
      <w:pPr>
        <w:keepNext w:val="0"/>
        <w:keepLines w:val="0"/>
        <w:pageBreakBefore w:val="0"/>
        <w:widowControl w:val="0"/>
        <w:kinsoku/>
        <w:wordWrap/>
        <w:overflowPunct/>
        <w:topLinePunct w:val="0"/>
        <w:autoSpaceDE/>
        <w:autoSpaceDN/>
        <w:bidi w:val="0"/>
        <w:adjustRightInd w:val="0"/>
        <w:snapToGrid w:val="0"/>
        <w:spacing w:line="360" w:lineRule="auto"/>
        <w:ind w:left="710" w:leftChars="88" w:hanging="525" w:hangingChars="250"/>
        <w:textAlignment w:val="auto"/>
        <w:rPr>
          <w:rFonts w:hint="eastAsia" w:hAnsi="宋体" w:cs="宋体"/>
          <w:color w:val="auto"/>
          <w:kern w:val="2"/>
          <w:sz w:val="21"/>
          <w:highlight w:val="none"/>
          <w:lang w:val="zh-CN"/>
        </w:rPr>
      </w:pPr>
      <w:r>
        <w:rPr>
          <w:rFonts w:hint="eastAsia" w:hAnsi="宋体" w:cs="宋体"/>
          <w:color w:val="auto"/>
          <w:kern w:val="2"/>
          <w:sz w:val="21"/>
          <w:highlight w:val="none"/>
          <w:lang w:val="zh-CN"/>
        </w:rPr>
        <w:t>（3）东莞市内设有分支机构情况介绍（应提供该分支机构的多证合一营业执照等证明材料，若无前述分支机构的无需介绍）。</w:t>
      </w:r>
    </w:p>
    <w:p>
      <w:pPr>
        <w:keepNext w:val="0"/>
        <w:keepLines w:val="0"/>
        <w:pageBreakBefore w:val="0"/>
        <w:widowControl w:val="0"/>
        <w:kinsoku/>
        <w:wordWrap/>
        <w:overflowPunct/>
        <w:topLinePunct w:val="0"/>
        <w:autoSpaceDE/>
        <w:autoSpaceDN/>
        <w:bidi w:val="0"/>
        <w:adjustRightInd w:val="0"/>
        <w:snapToGrid w:val="0"/>
        <w:spacing w:line="360" w:lineRule="auto"/>
        <w:ind w:firstLine="420"/>
        <w:jc w:val="both"/>
        <w:textAlignment w:val="auto"/>
        <w:rPr>
          <w:rFonts w:hint="eastAsia" w:hAnsi="宋体" w:cs="宋体"/>
          <w:color w:val="auto"/>
          <w:kern w:val="2"/>
          <w:sz w:val="21"/>
          <w:highlight w:val="none"/>
        </w:rPr>
      </w:pPr>
      <w:r>
        <w:rPr>
          <w:rFonts w:hint="eastAsia" w:hAnsi="宋体" w:cs="宋体"/>
          <w:color w:val="auto"/>
          <w:kern w:val="2"/>
          <w:sz w:val="21"/>
          <w:highlight w:val="none"/>
          <w:lang w:val="zh-CN"/>
        </w:rPr>
        <w:t>兹证明上述说明是真实、正确的，并提供了全部能提供的资料和数据，我们同意遵照贵方要求出示有关证明文件。</w:t>
      </w:r>
    </w:p>
    <w:p>
      <w:pPr>
        <w:spacing w:line="360" w:lineRule="auto"/>
        <w:ind w:firstLine="5040"/>
        <w:jc w:val="both"/>
        <w:rPr>
          <w:rFonts w:hint="eastAsia" w:hAnsi="宋体" w:cs="宋体"/>
          <w:color w:val="auto"/>
          <w:kern w:val="2"/>
          <w:sz w:val="21"/>
          <w:highlight w:val="none"/>
          <w:lang w:val="zh-CN"/>
        </w:rPr>
      </w:pPr>
      <w:r>
        <w:rPr>
          <w:rFonts w:hint="eastAsia" w:ascii="宋体" w:hAnsi="宋体"/>
          <w:color w:val="auto"/>
          <w:kern w:val="2"/>
          <w:sz w:val="21"/>
          <w:highlight w:val="none"/>
          <w:lang w:val="en-US" w:eastAsia="zh-CN"/>
        </w:rPr>
        <w:t>报价人</w:t>
      </w:r>
      <w:r>
        <w:rPr>
          <w:rFonts w:hint="eastAsia" w:hAnsi="宋体" w:cs="宋体"/>
          <w:color w:val="auto"/>
          <w:kern w:val="2"/>
          <w:sz w:val="21"/>
          <w:highlight w:val="none"/>
          <w:lang w:val="zh-CN"/>
        </w:rPr>
        <w:t>：（加盖</w:t>
      </w:r>
      <w:r>
        <w:rPr>
          <w:rFonts w:hint="eastAsia" w:ascii="宋体" w:hAnsi="宋体"/>
          <w:color w:val="auto"/>
          <w:kern w:val="2"/>
          <w:sz w:val="21"/>
          <w:highlight w:val="none"/>
          <w:lang w:val="en-US" w:eastAsia="zh-CN"/>
        </w:rPr>
        <w:t>报价人</w:t>
      </w:r>
      <w:r>
        <w:rPr>
          <w:rFonts w:hint="eastAsia" w:hAnsi="宋体" w:cs="宋体"/>
          <w:color w:val="auto"/>
          <w:kern w:val="2"/>
          <w:sz w:val="21"/>
          <w:highlight w:val="none"/>
          <w:lang w:val="zh-CN"/>
        </w:rPr>
        <w:t>法人公章）</w:t>
      </w:r>
    </w:p>
    <w:p>
      <w:pPr>
        <w:spacing w:line="360" w:lineRule="auto"/>
        <w:ind w:firstLine="5040"/>
        <w:jc w:val="both"/>
        <w:rPr>
          <w:rFonts w:hint="eastAsia" w:hAnsi="宋体" w:cs="宋体"/>
          <w:color w:val="auto"/>
          <w:kern w:val="2"/>
          <w:highlight w:val="none"/>
          <w:lang w:val="zh-CN"/>
        </w:rPr>
      </w:pPr>
      <w:r>
        <w:rPr>
          <w:rFonts w:hint="eastAsia" w:hAnsi="宋体" w:cs="宋体"/>
          <w:color w:val="auto"/>
          <w:kern w:val="2"/>
          <w:sz w:val="21"/>
          <w:highlight w:val="none"/>
          <w:lang w:val="zh-CN"/>
        </w:rPr>
        <w:t>日期：   年   月   日</w:t>
      </w:r>
    </w:p>
    <w:p>
      <w:pPr>
        <w:rPr>
          <w:rFonts w:hint="eastAsia" w:ascii="宋体" w:hAnsi="宋体" w:eastAsia="宋体"/>
          <w:color w:val="auto"/>
          <w:sz w:val="36"/>
          <w:szCs w:val="36"/>
          <w:highlight w:val="none"/>
        </w:rPr>
      </w:pPr>
      <w:r>
        <w:rPr>
          <w:rFonts w:hint="eastAsia" w:ascii="宋体" w:hAnsi="宋体" w:eastAsia="宋体"/>
          <w:b/>
          <w:color w:val="auto"/>
          <w:sz w:val="32"/>
          <w:szCs w:val="32"/>
          <w:highlight w:val="none"/>
        </w:rPr>
        <w:br w:type="page"/>
      </w:r>
      <w:bookmarkEnd w:id="197"/>
      <w:bookmarkEnd w:id="198"/>
      <w:bookmarkEnd w:id="199"/>
      <w:bookmarkEnd w:id="200"/>
      <w:bookmarkEnd w:id="201"/>
      <w:bookmarkStart w:id="274" w:name="_Toc34745987"/>
      <w:bookmarkStart w:id="275" w:name="_Toc34752517"/>
      <w:bookmarkStart w:id="276" w:name="_Toc34746054"/>
      <w:bookmarkStart w:id="277" w:name="_Toc34746362"/>
    </w:p>
    <w:p>
      <w:pPr>
        <w:pStyle w:val="5"/>
        <w:pageBreakBefore/>
        <w:spacing w:before="0" w:after="0" w:line="360" w:lineRule="auto"/>
        <w:jc w:val="center"/>
        <w:rPr>
          <w:rFonts w:hint="eastAsia" w:ascii="宋体" w:hAnsi="宋体" w:eastAsia="宋体"/>
          <w:color w:val="auto"/>
          <w:sz w:val="36"/>
          <w:szCs w:val="36"/>
          <w:highlight w:val="none"/>
        </w:rPr>
      </w:pPr>
      <w:bookmarkStart w:id="278" w:name="_Toc19045"/>
      <w:bookmarkStart w:id="279" w:name="_Toc17330"/>
      <w:r>
        <w:rPr>
          <w:rFonts w:hint="eastAsia"/>
          <w:color w:val="auto"/>
          <w:highlight w:val="none"/>
          <w:lang w:val="en-US" w:eastAsia="zh-CN"/>
        </w:rPr>
        <w:t>（四）</w:t>
      </w:r>
      <w:r>
        <w:rPr>
          <w:rFonts w:hint="eastAsia" w:ascii="宋体" w:hAnsi="宋体" w:eastAsia="宋体"/>
          <w:color w:val="auto"/>
          <w:sz w:val="36"/>
          <w:szCs w:val="36"/>
          <w:highlight w:val="none"/>
        </w:rPr>
        <w:t>用户需求响应情况</w:t>
      </w:r>
      <w:bookmarkEnd w:id="274"/>
      <w:bookmarkEnd w:id="275"/>
      <w:bookmarkEnd w:id="276"/>
      <w:bookmarkEnd w:id="277"/>
      <w:bookmarkEnd w:id="278"/>
      <w:bookmarkEnd w:id="279"/>
    </w:p>
    <w:p>
      <w:pPr>
        <w:spacing w:line="360" w:lineRule="auto"/>
        <w:jc w:val="center"/>
        <w:outlineLvl w:val="9"/>
        <w:rPr>
          <w:rFonts w:ascii="宋体" w:hAnsi="宋体" w:eastAsia="宋体"/>
          <w:b/>
          <w:color w:val="auto"/>
          <w:sz w:val="28"/>
          <w:highlight w:val="none"/>
        </w:rPr>
      </w:pPr>
      <w:bookmarkStart w:id="280" w:name="_Toc11719"/>
      <w:bookmarkStart w:id="281" w:name="_Toc12680"/>
      <w:bookmarkStart w:id="282" w:name="_Toc534701786"/>
      <w:bookmarkStart w:id="283" w:name="_Toc513226437"/>
      <w:bookmarkStart w:id="284" w:name="_Toc534278252"/>
      <w:r>
        <w:rPr>
          <w:rFonts w:ascii="宋体" w:hAnsi="宋体" w:eastAsia="宋体"/>
          <w:b/>
          <w:color w:val="auto"/>
          <w:sz w:val="28"/>
          <w:highlight w:val="none"/>
        </w:rPr>
        <w:t>用户需求偏离表格式</w:t>
      </w:r>
      <w:bookmarkEnd w:id="280"/>
      <w:bookmarkEnd w:id="281"/>
    </w:p>
    <w:tbl>
      <w:tblPr>
        <w:tblStyle w:val="16"/>
        <w:tblpPr w:leftFromText="180" w:rightFromText="180" w:vertAnchor="text" w:horzAnchor="page" w:tblpX="1257" w:tblpY="88"/>
        <w:tblOverlap w:val="never"/>
        <w:tblW w:w="9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4250"/>
        <w:gridCol w:w="1135"/>
        <w:gridCol w:w="1981"/>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10"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42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询价文件要求</w:t>
            </w:r>
          </w:p>
        </w:tc>
        <w:tc>
          <w:tcPr>
            <w:tcW w:w="4334" w:type="dxa"/>
            <w:gridSpan w:val="3"/>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auto"/>
                <w:szCs w:val="21"/>
                <w:highlight w:val="none"/>
              </w:rPr>
            </w:pPr>
            <w:r>
              <w:rPr>
                <w:rFonts w:hint="eastAsia" w:ascii="宋体" w:hAnsi="宋体"/>
                <w:color w:val="auto"/>
                <w:szCs w:val="21"/>
                <w:highlight w:val="none"/>
              </w:rPr>
              <w:t>报价文件内容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10"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4250" w:type="dxa"/>
            <w:tcBorders>
              <w:top w:val="single" w:color="auto" w:sz="4" w:space="0"/>
              <w:left w:val="single" w:color="auto" w:sz="4" w:space="0"/>
              <w:bottom w:val="single" w:color="auto" w:sz="4" w:space="0"/>
              <w:right w:val="single" w:color="auto" w:sz="4" w:space="0"/>
            </w:tcBorders>
            <w:vAlign w:val="center"/>
          </w:tcPr>
          <w:p>
            <w:pPr>
              <w:pStyle w:val="43"/>
              <w:spacing w:line="360" w:lineRule="auto"/>
              <w:ind w:firstLine="0" w:firstLineChars="0"/>
              <w:jc w:val="center"/>
              <w:rPr>
                <w:rFonts w:ascii="宋体" w:eastAsia="宋体"/>
                <w:b/>
                <w:color w:val="auto"/>
                <w:sz w:val="21"/>
                <w:szCs w:val="21"/>
                <w:highlight w:val="none"/>
              </w:rPr>
            </w:pPr>
            <w:r>
              <w:rPr>
                <w:rFonts w:hint="eastAsia" w:ascii="宋体" w:eastAsia="宋体"/>
                <w:color w:val="auto"/>
                <w:sz w:val="21"/>
                <w:szCs w:val="21"/>
                <w:highlight w:val="none"/>
              </w:rPr>
              <w:t>简要内容</w:t>
            </w:r>
          </w:p>
        </w:tc>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偏离情况</w:t>
            </w:r>
          </w:p>
        </w:tc>
        <w:tc>
          <w:tcPr>
            <w:tcW w:w="19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hAnsi="宋体" w:cs="宋体"/>
                <w:color w:val="auto"/>
                <w:szCs w:val="21"/>
                <w:highlight w:val="none"/>
              </w:rPr>
              <w:t>具体偏离内容</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4250" w:type="dxa"/>
            <w:tcBorders>
              <w:top w:val="single" w:color="auto" w:sz="4" w:space="0"/>
              <w:left w:val="single" w:color="auto" w:sz="4" w:space="0"/>
              <w:bottom w:val="single" w:color="auto" w:sz="4" w:space="0"/>
              <w:right w:val="single" w:color="auto" w:sz="4" w:space="0"/>
            </w:tcBorders>
            <w:vAlign w:val="center"/>
          </w:tcPr>
          <w:p>
            <w:pPr>
              <w:pStyle w:val="43"/>
              <w:spacing w:line="360" w:lineRule="auto"/>
              <w:ind w:firstLine="0" w:firstLineChars="0"/>
              <w:jc w:val="left"/>
              <w:rPr>
                <w:rFonts w:ascii="宋体" w:eastAsia="宋体"/>
                <w:b/>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98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4250" w:type="dxa"/>
            <w:tcBorders>
              <w:top w:val="single" w:color="auto" w:sz="4" w:space="0"/>
              <w:left w:val="single" w:color="auto" w:sz="4" w:space="0"/>
              <w:bottom w:val="single" w:color="auto" w:sz="4" w:space="0"/>
              <w:right w:val="single" w:color="auto" w:sz="4" w:space="0"/>
            </w:tcBorders>
            <w:vAlign w:val="center"/>
          </w:tcPr>
          <w:p>
            <w:pPr>
              <w:pStyle w:val="43"/>
              <w:spacing w:line="360" w:lineRule="auto"/>
              <w:ind w:firstLine="0" w:firstLineChars="0"/>
              <w:jc w:val="left"/>
              <w:rPr>
                <w:rFonts w:ascii="宋体" w:eastAsia="宋体"/>
                <w:b/>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98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9294"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olor w:val="auto"/>
                <w:szCs w:val="21"/>
                <w:highlight w:val="none"/>
              </w:rPr>
            </w:pPr>
            <w:r>
              <w:rPr>
                <w:rFonts w:hint="eastAsia" w:ascii="宋体" w:hAnsi="宋体"/>
                <w:color w:val="auto"/>
                <w:szCs w:val="21"/>
                <w:highlight w:val="none"/>
              </w:rPr>
              <w:t>用户需求书</w:t>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条款汇总：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color w:val="auto"/>
                <w:szCs w:val="21"/>
                <w:highlight w:val="none"/>
              </w:rPr>
            </w:pPr>
          </w:p>
        </w:tc>
        <w:tc>
          <w:tcPr>
            <w:tcW w:w="42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98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color w:val="auto"/>
                <w:szCs w:val="21"/>
                <w:highlight w:val="none"/>
              </w:rPr>
            </w:pPr>
          </w:p>
        </w:tc>
        <w:tc>
          <w:tcPr>
            <w:tcW w:w="4250"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98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color w:val="auto"/>
                <w:szCs w:val="21"/>
                <w:highlight w:val="none"/>
              </w:rPr>
            </w:pPr>
          </w:p>
        </w:tc>
        <w:tc>
          <w:tcPr>
            <w:tcW w:w="4250" w:type="dxa"/>
            <w:tcBorders>
              <w:top w:val="single" w:color="auto" w:sz="4" w:space="0"/>
              <w:left w:val="single" w:color="auto" w:sz="4" w:space="0"/>
              <w:bottom w:val="single" w:color="auto" w:sz="4" w:space="0"/>
              <w:right w:val="single" w:color="auto" w:sz="4" w:space="0"/>
            </w:tcBorders>
            <w:vAlign w:val="center"/>
          </w:tcPr>
          <w:p>
            <w:pPr>
              <w:pStyle w:val="2"/>
              <w:spacing w:line="360" w:lineRule="auto"/>
              <w:rPr>
                <w:color w:val="auto"/>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98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bl>
    <w:p>
      <w:pPr>
        <w:spacing w:line="300" w:lineRule="exact"/>
        <w:rPr>
          <w:color w:val="auto"/>
          <w:szCs w:val="21"/>
          <w:highlight w:val="none"/>
        </w:rPr>
      </w:pPr>
      <w:r>
        <w:rPr>
          <w:color w:val="auto"/>
          <w:szCs w:val="21"/>
          <w:highlight w:val="none"/>
        </w:rPr>
        <w:t>备注：</w:t>
      </w:r>
    </w:p>
    <w:p>
      <w:pPr>
        <w:autoSpaceDE w:val="0"/>
        <w:autoSpaceDN w:val="0"/>
        <w:adjustRightInd w:val="0"/>
        <w:spacing w:line="360" w:lineRule="auto"/>
        <w:jc w:val="left"/>
        <w:rPr>
          <w:rFonts w:hint="eastAsia" w:ascii="宋体" w:hAnsi="宋体" w:eastAsia="宋体" w:cs="宋体"/>
          <w:b/>
          <w:color w:val="auto"/>
          <w:szCs w:val="21"/>
          <w:highlight w:val="none"/>
          <w:u w:val="singl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u w:val="single"/>
        </w:rPr>
        <w:t>报价人应对照询价文件用户需求书的响应，如实地填写“偏离情况”</w:t>
      </w:r>
      <w:r>
        <w:rPr>
          <w:rFonts w:hint="eastAsia" w:ascii="宋体" w:hAnsi="宋体" w:eastAsia="宋体" w:cs="宋体"/>
          <w:b/>
          <w:color w:val="auto"/>
          <w:szCs w:val="21"/>
          <w:highlight w:val="none"/>
          <w:u w:val="single"/>
        </w:rPr>
        <w:t>项。</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rPr>
        <w:t>偏离情况”项为正偏离（或负偏离）的，必须在“具体偏离内容”项内详细说明与询价文件的偏离内容，“偏离情况”项为无偏离的，在“具体偏离内容”项内填“无偏离”</w:t>
      </w:r>
      <w:r>
        <w:rPr>
          <w:rFonts w:hint="eastAsia" w:ascii="宋体" w:hAnsi="宋体" w:eastAsia="宋体" w:cs="宋体"/>
          <w:b/>
          <w:color w:val="auto"/>
          <w:szCs w:val="21"/>
          <w:highlight w:val="none"/>
        </w:rPr>
        <w:t>。</w:t>
      </w:r>
    </w:p>
    <w:p>
      <w:pPr>
        <w:autoSpaceDE w:val="0"/>
        <w:autoSpaceDN w:val="0"/>
        <w:adjustRightInd w:val="0"/>
        <w:spacing w:line="360" w:lineRule="auto"/>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u w:val="single"/>
        </w:rPr>
        <w:t>若发现此表未填写或未逐条填写“★”条款以外的条款的，视为完全满足询价文件要求，但报价文件未实质性满足询价文件提出的实质性要求和条件（“★”条款）的，为无效报价</w:t>
      </w:r>
      <w:r>
        <w:rPr>
          <w:rFonts w:hint="eastAsia" w:ascii="宋体" w:hAnsi="宋体" w:eastAsia="宋体" w:cs="宋体"/>
          <w:b/>
          <w:color w:val="auto"/>
          <w:szCs w:val="21"/>
          <w:highlight w:val="none"/>
        </w:rPr>
        <w:t>。</w:t>
      </w:r>
    </w:p>
    <w:p>
      <w:pPr>
        <w:autoSpaceDE w:val="0"/>
        <w:autoSpaceDN w:val="0"/>
        <w:adjustRightInd w:val="0"/>
        <w:spacing w:line="360" w:lineRule="auto"/>
        <w:jc w:val="left"/>
        <w:outlineLvl w:val="9"/>
        <w:rPr>
          <w:rFonts w:hint="eastAsia" w:ascii="宋体" w:hAnsi="宋体" w:eastAsia="宋体" w:cs="宋体"/>
          <w:b/>
          <w:bCs/>
          <w:color w:val="auto"/>
          <w:szCs w:val="21"/>
          <w:highlight w:val="none"/>
          <w:u w:val="single"/>
        </w:rPr>
      </w:pPr>
      <w:bookmarkStart w:id="285" w:name="_Toc26280"/>
      <w:bookmarkStart w:id="286" w:name="_Toc6267"/>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u w:val="single"/>
        </w:rPr>
        <w:t>若发现虚假填写本表，按无效报价文件处理</w:t>
      </w:r>
      <w:r>
        <w:rPr>
          <w:rFonts w:hint="eastAsia" w:ascii="宋体" w:hAnsi="宋体" w:eastAsia="宋体" w:cs="宋体"/>
          <w:b/>
          <w:color w:val="auto"/>
          <w:szCs w:val="21"/>
          <w:highlight w:val="none"/>
        </w:rPr>
        <w:t>。</w:t>
      </w:r>
      <w:bookmarkEnd w:id="285"/>
      <w:bookmarkEnd w:id="286"/>
    </w:p>
    <w:p>
      <w:pPr>
        <w:autoSpaceDE w:val="0"/>
        <w:autoSpaceDN w:val="0"/>
        <w:adjustRightInd w:val="0"/>
        <w:spacing w:line="360" w:lineRule="auto"/>
        <w:jc w:val="left"/>
        <w:rPr>
          <w:rFonts w:hint="eastAsia" w:ascii="宋体" w:hAnsi="宋体" w:eastAsia="宋体" w:cs="宋体"/>
          <w:b/>
          <w:bCs/>
          <w:color w:val="auto"/>
          <w:szCs w:val="21"/>
          <w:highlight w:val="none"/>
          <w:u w:val="singl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lang w:eastAsia="zh-CN"/>
        </w:rPr>
        <w:t>）</w:t>
      </w:r>
      <w:r>
        <w:rPr>
          <w:rFonts w:hint="eastAsia" w:ascii="宋体" w:hAnsi="宋体" w:eastAsia="宋体" w:cs="宋体"/>
          <w:color w:val="auto"/>
          <w:szCs w:val="21"/>
          <w:highlight w:val="none"/>
        </w:rPr>
        <w:t>偏离情况分为：正偏离、负偏离、无偏离。正偏离是指报价人提供的货物/服务/工程优于询价文件的要求；负偏离是指报价人提供的货物/服务/工程不满足或不完全满足询价文件的要求；无偏离是指报价人提供的货物/服务/工程完全满足询价文件的要求。</w:t>
      </w:r>
    </w:p>
    <w:p>
      <w:pPr>
        <w:autoSpaceDE w:val="0"/>
        <w:autoSpaceDN w:val="0"/>
        <w:adjustRightInd w:val="0"/>
        <w:spacing w:line="360" w:lineRule="auto"/>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lang w:eastAsia="zh-CN"/>
        </w:rPr>
        <w:t>）</w:t>
      </w:r>
      <w:r>
        <w:rPr>
          <w:rFonts w:hint="eastAsia" w:ascii="宋体" w:hAnsi="宋体" w:eastAsia="宋体" w:cs="宋体"/>
          <w:b/>
          <w:color w:val="auto"/>
          <w:szCs w:val="21"/>
          <w:highlight w:val="none"/>
          <w:u w:val="single"/>
        </w:rPr>
        <w:t>报价人可将反映报价服务相关资料作为本表的附件，并在本偏离表“具体偏离内容”项内注明其在报价文件中的具体页码</w:t>
      </w:r>
      <w:r>
        <w:rPr>
          <w:rFonts w:hint="eastAsia" w:ascii="宋体" w:hAnsi="宋体" w:eastAsia="宋体" w:cs="宋体"/>
          <w:b/>
          <w:color w:val="auto"/>
          <w:szCs w:val="21"/>
          <w:highlight w:val="none"/>
        </w:rPr>
        <w:t>。</w:t>
      </w:r>
    </w:p>
    <w:p>
      <w:pPr>
        <w:autoSpaceDE w:val="0"/>
        <w:autoSpaceDN w:val="0"/>
        <w:adjustRightInd w:val="0"/>
        <w:spacing w:line="360" w:lineRule="auto"/>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lang w:eastAsia="zh-CN"/>
        </w:rPr>
        <w:t>）</w:t>
      </w:r>
      <w:r>
        <w:rPr>
          <w:rFonts w:hint="eastAsia" w:ascii="宋体" w:hAnsi="宋体" w:eastAsia="宋体" w:cs="宋体"/>
          <w:b/>
          <w:color w:val="auto"/>
          <w:szCs w:val="21"/>
          <w:highlight w:val="none"/>
          <w:u w:val="single"/>
        </w:rPr>
        <w:t>凡标有“★”的地方均被视为重要的技术指标要求或性能要求。报价人要特别加以注意，必须对此回答并完全满足这些要求，否则若有一项带“★”的指标未响应或不满足，将按无效报价处理</w:t>
      </w:r>
      <w:r>
        <w:rPr>
          <w:rFonts w:hint="eastAsia" w:ascii="宋体" w:hAnsi="宋体" w:eastAsia="宋体" w:cs="宋体"/>
          <w:color w:val="auto"/>
          <w:szCs w:val="21"/>
          <w:highlight w:val="none"/>
        </w:rPr>
        <w:t>。</w:t>
      </w:r>
    </w:p>
    <w:p>
      <w:pPr>
        <w:spacing w:before="120" w:after="120" w:line="360" w:lineRule="auto"/>
        <w:ind w:left="629" w:firstLine="4200" w:firstLineChars="2000"/>
        <w:rPr>
          <w:color w:val="auto"/>
          <w:szCs w:val="21"/>
          <w:highlight w:val="none"/>
        </w:rPr>
      </w:pPr>
      <w:r>
        <w:rPr>
          <w:color w:val="auto"/>
          <w:highlight w:val="none"/>
          <w:lang w:val="zh-CN"/>
        </w:rPr>
        <w:t>报价人：（加盖报价人法人公章）</w:t>
      </w:r>
    </w:p>
    <w:p>
      <w:pPr>
        <w:spacing w:line="360" w:lineRule="auto"/>
        <w:ind w:firstLine="5040" w:firstLineChars="2400"/>
        <w:rPr>
          <w:color w:val="auto"/>
          <w:highlight w:val="none"/>
          <w:lang w:val="zh-CN"/>
        </w:rPr>
      </w:pPr>
      <w:r>
        <w:rPr>
          <w:color w:val="auto"/>
          <w:highlight w:val="none"/>
          <w:lang w:val="zh-CN"/>
        </w:rPr>
        <w:t>日期：</w:t>
      </w:r>
      <w:r>
        <w:rPr>
          <w:rFonts w:hint="eastAsia"/>
          <w:color w:val="auto"/>
          <w:highlight w:val="none"/>
          <w:lang w:val="zh-CN"/>
        </w:rPr>
        <w:t xml:space="preserve"> </w:t>
      </w:r>
      <w:r>
        <w:rPr>
          <w:color w:val="auto"/>
          <w:highlight w:val="none"/>
          <w:lang w:val="zh-CN"/>
        </w:rPr>
        <w:t xml:space="preserve">     年</w:t>
      </w:r>
      <w:r>
        <w:rPr>
          <w:rFonts w:hint="eastAsia"/>
          <w:color w:val="auto"/>
          <w:highlight w:val="none"/>
          <w:lang w:val="zh-CN"/>
        </w:rPr>
        <w:t xml:space="preserve"> </w:t>
      </w:r>
      <w:r>
        <w:rPr>
          <w:color w:val="auto"/>
          <w:highlight w:val="none"/>
          <w:lang w:val="zh-CN"/>
        </w:rPr>
        <w:t xml:space="preserve"> 月</w:t>
      </w:r>
      <w:r>
        <w:rPr>
          <w:rFonts w:hint="eastAsia"/>
          <w:color w:val="auto"/>
          <w:highlight w:val="none"/>
          <w:lang w:val="zh-CN"/>
        </w:rPr>
        <w:t xml:space="preserve"> </w:t>
      </w:r>
      <w:r>
        <w:rPr>
          <w:color w:val="auto"/>
          <w:highlight w:val="none"/>
          <w:lang w:val="zh-CN"/>
        </w:rPr>
        <w:t xml:space="preserve">  日</w:t>
      </w:r>
    </w:p>
    <w:p>
      <w:pPr>
        <w:pStyle w:val="5"/>
        <w:pageBreakBefore/>
        <w:spacing w:before="0" w:after="0" w:line="360" w:lineRule="auto"/>
        <w:jc w:val="center"/>
        <w:rPr>
          <w:rFonts w:hint="eastAsia" w:ascii="宋体" w:hAnsi="宋体" w:eastAsia="宋体"/>
          <w:color w:val="auto"/>
          <w:sz w:val="36"/>
          <w:szCs w:val="36"/>
          <w:highlight w:val="none"/>
        </w:rPr>
      </w:pPr>
      <w:bookmarkStart w:id="287" w:name="_Toc34746055"/>
      <w:bookmarkStart w:id="288" w:name="_Toc34752518"/>
      <w:bookmarkStart w:id="289" w:name="_Toc34746363"/>
      <w:bookmarkStart w:id="290" w:name="_Toc14335"/>
      <w:bookmarkStart w:id="291" w:name="_Toc34745988"/>
      <w:bookmarkStart w:id="292" w:name="_Toc4762"/>
      <w:r>
        <w:rPr>
          <w:rFonts w:hint="eastAsia" w:ascii="宋体" w:hAnsi="宋体" w:eastAsia="宋体"/>
          <w:color w:val="auto"/>
          <w:sz w:val="36"/>
          <w:szCs w:val="36"/>
          <w:highlight w:val="none"/>
          <w:lang w:val="en-US" w:eastAsia="zh-CN"/>
        </w:rPr>
        <w:t>（五）</w:t>
      </w:r>
      <w:r>
        <w:rPr>
          <w:rFonts w:hint="eastAsia" w:ascii="宋体" w:hAnsi="宋体" w:eastAsia="宋体"/>
          <w:color w:val="auto"/>
          <w:sz w:val="36"/>
          <w:szCs w:val="36"/>
          <w:highlight w:val="none"/>
        </w:rPr>
        <w:t>合同条款响应情况</w:t>
      </w:r>
      <w:bookmarkEnd w:id="287"/>
      <w:bookmarkEnd w:id="288"/>
      <w:bookmarkEnd w:id="289"/>
      <w:bookmarkEnd w:id="290"/>
      <w:bookmarkEnd w:id="291"/>
      <w:bookmarkEnd w:id="292"/>
    </w:p>
    <w:tbl>
      <w:tblPr>
        <w:tblStyle w:val="1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234"/>
        <w:gridCol w:w="2533"/>
        <w:gridCol w:w="1864"/>
        <w:gridCol w:w="2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06" w:type="dxa"/>
            <w:vMerge w:val="restart"/>
            <w:vAlign w:val="center"/>
          </w:tcPr>
          <w:p>
            <w:pPr>
              <w:spacing w:line="360" w:lineRule="auto"/>
              <w:jc w:val="center"/>
              <w:rPr>
                <w:rFonts w:ascii="宋体" w:hAnsi="宋体" w:cs="仿宋_GB2312"/>
                <w:color w:val="auto"/>
                <w:szCs w:val="21"/>
                <w:highlight w:val="none"/>
              </w:rPr>
            </w:pPr>
            <w:r>
              <w:rPr>
                <w:rFonts w:hint="eastAsia" w:ascii="宋体" w:hAnsi="宋体" w:cs="仿宋_GB2312"/>
                <w:color w:val="auto"/>
                <w:szCs w:val="21"/>
                <w:highlight w:val="none"/>
              </w:rPr>
              <w:t>序号</w:t>
            </w:r>
          </w:p>
        </w:tc>
        <w:tc>
          <w:tcPr>
            <w:tcW w:w="3767" w:type="dxa"/>
            <w:gridSpan w:val="2"/>
            <w:vAlign w:val="center"/>
          </w:tcPr>
          <w:p>
            <w:pPr>
              <w:spacing w:line="360" w:lineRule="auto"/>
              <w:jc w:val="center"/>
              <w:rPr>
                <w:rFonts w:ascii="宋体" w:hAnsi="宋体" w:cs="仿宋_GB2312"/>
                <w:color w:val="auto"/>
                <w:szCs w:val="21"/>
                <w:highlight w:val="none"/>
              </w:rPr>
            </w:pPr>
            <w:r>
              <w:rPr>
                <w:rFonts w:hint="eastAsia" w:ascii="宋体" w:hAnsi="宋体" w:cs="仿宋_GB2312"/>
                <w:color w:val="auto"/>
                <w:szCs w:val="21"/>
                <w:highlight w:val="none"/>
              </w:rPr>
              <w:t>合同要求</w:t>
            </w:r>
          </w:p>
        </w:tc>
        <w:tc>
          <w:tcPr>
            <w:tcW w:w="4613" w:type="dxa"/>
            <w:gridSpan w:val="2"/>
            <w:vAlign w:val="center"/>
          </w:tcPr>
          <w:p>
            <w:pPr>
              <w:spacing w:line="360" w:lineRule="auto"/>
              <w:jc w:val="center"/>
              <w:rPr>
                <w:rFonts w:ascii="宋体" w:hAnsi="宋体" w:cs="仿宋_GB2312"/>
                <w:color w:val="auto"/>
                <w:szCs w:val="21"/>
                <w:highlight w:val="none"/>
              </w:rPr>
            </w:pPr>
            <w:r>
              <w:rPr>
                <w:rFonts w:hint="eastAsia" w:ascii="宋体" w:hAnsi="宋体" w:cs="仿宋_GB2312"/>
                <w:color w:val="auto"/>
                <w:szCs w:val="21"/>
                <w:highlight w:val="none"/>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906" w:type="dxa"/>
            <w:vMerge w:val="continue"/>
            <w:vAlign w:val="center"/>
          </w:tcPr>
          <w:p>
            <w:pPr>
              <w:spacing w:line="360" w:lineRule="auto"/>
              <w:jc w:val="center"/>
              <w:rPr>
                <w:rFonts w:ascii="宋体" w:hAnsi="宋体" w:cs="仿宋_GB2312"/>
                <w:color w:val="auto"/>
                <w:szCs w:val="21"/>
                <w:highlight w:val="none"/>
              </w:rPr>
            </w:pPr>
          </w:p>
        </w:tc>
        <w:tc>
          <w:tcPr>
            <w:tcW w:w="1234" w:type="dxa"/>
            <w:vAlign w:val="center"/>
          </w:tcPr>
          <w:p>
            <w:pPr>
              <w:spacing w:line="360" w:lineRule="auto"/>
              <w:jc w:val="center"/>
              <w:rPr>
                <w:rFonts w:ascii="宋体" w:hAnsi="宋体" w:cs="仿宋_GB2312"/>
                <w:color w:val="auto"/>
                <w:szCs w:val="21"/>
                <w:highlight w:val="none"/>
              </w:rPr>
            </w:pPr>
            <w:r>
              <w:rPr>
                <w:rFonts w:hint="eastAsia" w:ascii="宋体" w:hAnsi="宋体" w:cs="仿宋_GB2312"/>
                <w:color w:val="auto"/>
                <w:szCs w:val="21"/>
                <w:highlight w:val="none"/>
              </w:rPr>
              <w:t>条款号</w:t>
            </w:r>
          </w:p>
        </w:tc>
        <w:tc>
          <w:tcPr>
            <w:tcW w:w="2533" w:type="dxa"/>
            <w:vAlign w:val="center"/>
          </w:tcPr>
          <w:p>
            <w:pPr>
              <w:spacing w:line="360" w:lineRule="auto"/>
              <w:jc w:val="center"/>
              <w:rPr>
                <w:rFonts w:ascii="宋体" w:hAnsi="宋体" w:cs="仿宋_GB2312"/>
                <w:color w:val="auto"/>
                <w:szCs w:val="21"/>
                <w:highlight w:val="none"/>
              </w:rPr>
            </w:pPr>
            <w:r>
              <w:rPr>
                <w:rFonts w:hint="eastAsia" w:ascii="宋体" w:hAnsi="宋体" w:cs="仿宋_GB2312"/>
                <w:color w:val="auto"/>
                <w:szCs w:val="21"/>
                <w:highlight w:val="none"/>
              </w:rPr>
              <w:t>简要内容</w:t>
            </w:r>
          </w:p>
        </w:tc>
        <w:tc>
          <w:tcPr>
            <w:tcW w:w="1864" w:type="dxa"/>
            <w:vAlign w:val="center"/>
          </w:tcPr>
          <w:p>
            <w:pPr>
              <w:spacing w:line="360" w:lineRule="auto"/>
              <w:jc w:val="center"/>
              <w:rPr>
                <w:rFonts w:ascii="宋体" w:hAnsi="宋体" w:cs="仿宋_GB2312"/>
                <w:color w:val="auto"/>
                <w:szCs w:val="21"/>
                <w:highlight w:val="none"/>
              </w:rPr>
            </w:pPr>
            <w:r>
              <w:rPr>
                <w:rFonts w:hint="eastAsia" w:ascii="宋体" w:hAnsi="宋体" w:cs="仿宋_GB2312"/>
                <w:color w:val="auto"/>
                <w:szCs w:val="21"/>
                <w:highlight w:val="none"/>
              </w:rPr>
              <w:t>偏离情况</w:t>
            </w:r>
          </w:p>
        </w:tc>
        <w:tc>
          <w:tcPr>
            <w:tcW w:w="2749" w:type="dxa"/>
            <w:vAlign w:val="center"/>
          </w:tcPr>
          <w:p>
            <w:pPr>
              <w:spacing w:line="360" w:lineRule="auto"/>
              <w:jc w:val="center"/>
              <w:rPr>
                <w:rFonts w:ascii="宋体" w:hAnsi="宋体" w:cs="仿宋_GB2312"/>
                <w:color w:val="auto"/>
                <w:szCs w:val="21"/>
                <w:highlight w:val="none"/>
              </w:rPr>
            </w:pPr>
            <w:r>
              <w:rPr>
                <w:rFonts w:hint="eastAsia" w:ascii="宋体" w:hAnsi="宋体" w:cs="仿宋_GB2312"/>
                <w:color w:val="auto"/>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06" w:type="dxa"/>
            <w:vAlign w:val="center"/>
          </w:tcPr>
          <w:p>
            <w:pPr>
              <w:spacing w:line="360" w:lineRule="auto"/>
              <w:jc w:val="center"/>
              <w:rPr>
                <w:rFonts w:ascii="宋体" w:hAnsi="宋体" w:cs="仿宋_GB2312"/>
                <w:color w:val="auto"/>
                <w:szCs w:val="21"/>
                <w:highlight w:val="none"/>
              </w:rPr>
            </w:pPr>
            <w:r>
              <w:rPr>
                <w:rFonts w:hint="eastAsia" w:ascii="宋体" w:hAnsi="宋体" w:cs="仿宋_GB2312"/>
                <w:color w:val="auto"/>
                <w:szCs w:val="21"/>
                <w:highlight w:val="none"/>
              </w:rPr>
              <w:t>1</w:t>
            </w:r>
          </w:p>
        </w:tc>
        <w:tc>
          <w:tcPr>
            <w:tcW w:w="1234" w:type="dxa"/>
            <w:vAlign w:val="center"/>
          </w:tcPr>
          <w:p>
            <w:pPr>
              <w:spacing w:line="360" w:lineRule="auto"/>
              <w:jc w:val="center"/>
              <w:rPr>
                <w:rFonts w:hint="eastAsia" w:ascii="宋体" w:hAnsi="宋体" w:eastAsia="宋体" w:cs="仿宋_GB2312"/>
                <w:color w:val="auto"/>
                <w:szCs w:val="21"/>
                <w:highlight w:val="none"/>
                <w:lang w:eastAsia="zh-CN"/>
              </w:rPr>
            </w:pPr>
            <w:r>
              <w:rPr>
                <w:rFonts w:hint="eastAsia" w:ascii="宋体" w:hAnsi="宋体" w:cs="仿宋_GB2312"/>
                <w:color w:val="auto"/>
                <w:szCs w:val="21"/>
                <w:highlight w:val="none"/>
                <w:lang w:val="en-US" w:eastAsia="zh-CN"/>
              </w:rPr>
              <w:t>第一条</w:t>
            </w:r>
          </w:p>
        </w:tc>
        <w:tc>
          <w:tcPr>
            <w:tcW w:w="2533" w:type="dxa"/>
            <w:vAlign w:val="center"/>
          </w:tcPr>
          <w:p>
            <w:pPr>
              <w:spacing w:line="360" w:lineRule="auto"/>
              <w:jc w:val="center"/>
              <w:rPr>
                <w:rFonts w:hint="default" w:ascii="宋体" w:hAnsi="宋体" w:eastAsia="宋体" w:cs="仿宋_GB2312"/>
                <w:color w:val="auto"/>
                <w:szCs w:val="21"/>
                <w:highlight w:val="none"/>
                <w:lang w:val="en-US" w:eastAsia="zh-CN"/>
              </w:rPr>
            </w:pPr>
            <w:r>
              <w:rPr>
                <w:rFonts w:hint="default" w:ascii="宋体" w:hAnsi="宋体" w:eastAsia="宋体" w:cs="仿宋_GB2312"/>
                <w:color w:val="auto"/>
                <w:szCs w:val="21"/>
                <w:highlight w:val="none"/>
                <w:lang w:val="en-US" w:eastAsia="zh-CN"/>
              </w:rPr>
              <w:t>评估目的</w:t>
            </w:r>
          </w:p>
        </w:tc>
        <w:tc>
          <w:tcPr>
            <w:tcW w:w="1864" w:type="dxa"/>
            <w:vAlign w:val="center"/>
          </w:tcPr>
          <w:p>
            <w:pPr>
              <w:spacing w:line="360" w:lineRule="auto"/>
              <w:jc w:val="center"/>
              <w:rPr>
                <w:rFonts w:ascii="宋体" w:hAnsi="宋体" w:cs="仿宋_GB2312"/>
                <w:color w:val="auto"/>
                <w:szCs w:val="21"/>
                <w:highlight w:val="none"/>
              </w:rPr>
            </w:pPr>
          </w:p>
        </w:tc>
        <w:tc>
          <w:tcPr>
            <w:tcW w:w="2749" w:type="dxa"/>
            <w:vAlign w:val="center"/>
          </w:tcPr>
          <w:p>
            <w:pPr>
              <w:spacing w:line="360" w:lineRule="auto"/>
              <w:jc w:val="center"/>
              <w:rPr>
                <w:rFonts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06" w:type="dxa"/>
            <w:vAlign w:val="center"/>
          </w:tcPr>
          <w:p>
            <w:pPr>
              <w:spacing w:line="360" w:lineRule="auto"/>
              <w:jc w:val="center"/>
              <w:rPr>
                <w:rFonts w:ascii="宋体" w:hAnsi="宋体" w:cs="仿宋_GB2312"/>
                <w:color w:val="auto"/>
                <w:szCs w:val="21"/>
                <w:highlight w:val="none"/>
              </w:rPr>
            </w:pPr>
            <w:r>
              <w:rPr>
                <w:rFonts w:hint="eastAsia" w:ascii="宋体" w:hAnsi="宋体" w:cs="仿宋_GB2312"/>
                <w:color w:val="auto"/>
                <w:szCs w:val="21"/>
                <w:highlight w:val="none"/>
              </w:rPr>
              <w:t>2</w:t>
            </w:r>
          </w:p>
        </w:tc>
        <w:tc>
          <w:tcPr>
            <w:tcW w:w="1234" w:type="dxa"/>
            <w:vAlign w:val="center"/>
          </w:tcPr>
          <w:p>
            <w:pPr>
              <w:spacing w:line="360" w:lineRule="auto"/>
              <w:jc w:val="center"/>
              <w:rPr>
                <w:rFonts w:hint="eastAsia" w:ascii="宋体" w:hAnsi="宋体" w:eastAsia="宋体" w:cs="仿宋_GB2312"/>
                <w:color w:val="auto"/>
                <w:szCs w:val="21"/>
                <w:highlight w:val="none"/>
                <w:lang w:eastAsia="zh-CN"/>
              </w:rPr>
            </w:pPr>
            <w:r>
              <w:rPr>
                <w:rFonts w:hint="eastAsia" w:ascii="宋体" w:hAnsi="宋体" w:cs="仿宋_GB2312"/>
                <w:color w:val="auto"/>
                <w:szCs w:val="21"/>
                <w:highlight w:val="none"/>
                <w:lang w:val="en-US" w:eastAsia="zh-CN"/>
              </w:rPr>
              <w:t>第二条</w:t>
            </w:r>
          </w:p>
        </w:tc>
        <w:tc>
          <w:tcPr>
            <w:tcW w:w="2533" w:type="dxa"/>
            <w:vAlign w:val="center"/>
          </w:tcPr>
          <w:p>
            <w:pPr>
              <w:spacing w:line="360" w:lineRule="auto"/>
              <w:jc w:val="center"/>
              <w:rPr>
                <w:rFonts w:hint="default" w:ascii="宋体" w:hAnsi="宋体" w:eastAsia="宋体" w:cs="仿宋_GB2312"/>
                <w:color w:val="auto"/>
                <w:szCs w:val="21"/>
                <w:highlight w:val="none"/>
                <w:lang w:val="en-US" w:eastAsia="zh-CN"/>
              </w:rPr>
            </w:pPr>
            <w:r>
              <w:rPr>
                <w:rFonts w:hint="default" w:ascii="宋体" w:hAnsi="宋体" w:eastAsia="宋体" w:cs="仿宋_GB2312"/>
                <w:color w:val="auto"/>
                <w:szCs w:val="21"/>
                <w:highlight w:val="none"/>
                <w:lang w:val="en-US" w:eastAsia="zh-CN"/>
              </w:rPr>
              <w:t>评估对象和范围</w:t>
            </w:r>
          </w:p>
        </w:tc>
        <w:tc>
          <w:tcPr>
            <w:tcW w:w="1864" w:type="dxa"/>
            <w:vAlign w:val="center"/>
          </w:tcPr>
          <w:p>
            <w:pPr>
              <w:spacing w:line="360" w:lineRule="auto"/>
              <w:jc w:val="center"/>
              <w:rPr>
                <w:rFonts w:ascii="宋体" w:hAnsi="宋体" w:cs="仿宋_GB2312"/>
                <w:color w:val="auto"/>
                <w:szCs w:val="21"/>
                <w:highlight w:val="none"/>
              </w:rPr>
            </w:pPr>
          </w:p>
        </w:tc>
        <w:tc>
          <w:tcPr>
            <w:tcW w:w="2749" w:type="dxa"/>
            <w:vAlign w:val="center"/>
          </w:tcPr>
          <w:p>
            <w:pPr>
              <w:spacing w:line="360" w:lineRule="auto"/>
              <w:jc w:val="center"/>
              <w:rPr>
                <w:rFonts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906" w:type="dxa"/>
            <w:vAlign w:val="center"/>
          </w:tcPr>
          <w:p>
            <w:pPr>
              <w:spacing w:line="360" w:lineRule="auto"/>
              <w:jc w:val="center"/>
              <w:rPr>
                <w:rFonts w:ascii="宋体" w:hAnsi="宋体" w:cs="仿宋_GB2312"/>
                <w:color w:val="auto"/>
                <w:szCs w:val="21"/>
                <w:highlight w:val="none"/>
              </w:rPr>
            </w:pPr>
            <w:r>
              <w:rPr>
                <w:rFonts w:hint="eastAsia" w:ascii="宋体" w:hAnsi="宋体" w:cs="仿宋_GB2312"/>
                <w:color w:val="auto"/>
                <w:szCs w:val="21"/>
                <w:highlight w:val="none"/>
              </w:rPr>
              <w:t>3</w:t>
            </w:r>
          </w:p>
        </w:tc>
        <w:tc>
          <w:tcPr>
            <w:tcW w:w="1234" w:type="dxa"/>
            <w:vAlign w:val="center"/>
          </w:tcPr>
          <w:p>
            <w:pPr>
              <w:spacing w:line="360" w:lineRule="auto"/>
              <w:jc w:val="center"/>
              <w:rPr>
                <w:rFonts w:hint="eastAsia" w:ascii="宋体" w:hAnsi="宋体" w:eastAsia="宋体" w:cs="仿宋_GB2312"/>
                <w:color w:val="auto"/>
                <w:szCs w:val="21"/>
                <w:highlight w:val="none"/>
                <w:lang w:val="en-US" w:eastAsia="zh-CN"/>
              </w:rPr>
            </w:pPr>
            <w:r>
              <w:rPr>
                <w:rFonts w:hint="eastAsia" w:ascii="宋体" w:hAnsi="宋体" w:cs="仿宋_GB2312"/>
                <w:color w:val="auto"/>
                <w:szCs w:val="21"/>
                <w:highlight w:val="none"/>
                <w:lang w:val="en-US" w:eastAsia="zh-CN"/>
              </w:rPr>
              <w:t>第三条</w:t>
            </w:r>
          </w:p>
        </w:tc>
        <w:tc>
          <w:tcPr>
            <w:tcW w:w="2533" w:type="dxa"/>
            <w:vAlign w:val="center"/>
          </w:tcPr>
          <w:p>
            <w:pPr>
              <w:spacing w:line="360" w:lineRule="auto"/>
              <w:jc w:val="center"/>
              <w:rPr>
                <w:rFonts w:hint="default" w:ascii="宋体" w:hAnsi="宋体" w:eastAsia="宋体" w:cs="仿宋_GB2312"/>
                <w:color w:val="auto"/>
                <w:szCs w:val="21"/>
                <w:highlight w:val="none"/>
                <w:lang w:val="en-US" w:eastAsia="zh-CN"/>
              </w:rPr>
            </w:pPr>
            <w:r>
              <w:rPr>
                <w:rFonts w:hint="default" w:ascii="宋体" w:hAnsi="宋体" w:eastAsia="宋体" w:cs="仿宋_GB2312"/>
                <w:color w:val="auto"/>
                <w:szCs w:val="21"/>
                <w:highlight w:val="none"/>
                <w:lang w:val="en-US" w:eastAsia="zh-CN"/>
              </w:rPr>
              <w:t>评估基准日</w:t>
            </w:r>
          </w:p>
        </w:tc>
        <w:tc>
          <w:tcPr>
            <w:tcW w:w="1864" w:type="dxa"/>
            <w:vAlign w:val="center"/>
          </w:tcPr>
          <w:p>
            <w:pPr>
              <w:spacing w:line="360" w:lineRule="auto"/>
              <w:jc w:val="center"/>
              <w:rPr>
                <w:rFonts w:ascii="宋体" w:hAnsi="宋体" w:cs="仿宋_GB2312"/>
                <w:color w:val="auto"/>
                <w:szCs w:val="21"/>
                <w:highlight w:val="none"/>
              </w:rPr>
            </w:pPr>
          </w:p>
        </w:tc>
        <w:tc>
          <w:tcPr>
            <w:tcW w:w="2749" w:type="dxa"/>
            <w:vAlign w:val="center"/>
          </w:tcPr>
          <w:p>
            <w:pPr>
              <w:spacing w:line="360" w:lineRule="auto"/>
              <w:jc w:val="center"/>
              <w:rPr>
                <w:rFonts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906" w:type="dxa"/>
            <w:vAlign w:val="center"/>
          </w:tcPr>
          <w:p>
            <w:pPr>
              <w:spacing w:line="360" w:lineRule="auto"/>
              <w:jc w:val="center"/>
              <w:rPr>
                <w:rFonts w:ascii="宋体" w:hAnsi="宋体" w:cs="仿宋_GB2312"/>
                <w:color w:val="auto"/>
                <w:szCs w:val="21"/>
                <w:highlight w:val="none"/>
              </w:rPr>
            </w:pPr>
            <w:r>
              <w:rPr>
                <w:rFonts w:hint="eastAsia" w:ascii="宋体" w:hAnsi="宋体" w:cs="仿宋_GB2312"/>
                <w:color w:val="auto"/>
                <w:szCs w:val="21"/>
                <w:highlight w:val="none"/>
              </w:rPr>
              <w:t>4</w:t>
            </w:r>
          </w:p>
        </w:tc>
        <w:tc>
          <w:tcPr>
            <w:tcW w:w="1234" w:type="dxa"/>
            <w:vAlign w:val="center"/>
          </w:tcPr>
          <w:p>
            <w:pPr>
              <w:spacing w:line="360" w:lineRule="auto"/>
              <w:jc w:val="center"/>
              <w:rPr>
                <w:rFonts w:hint="eastAsia" w:ascii="宋体" w:hAnsi="宋体" w:eastAsia="宋体" w:cs="仿宋_GB2312"/>
                <w:color w:val="auto"/>
                <w:szCs w:val="21"/>
                <w:highlight w:val="none"/>
                <w:lang w:val="en-US" w:eastAsia="zh-CN"/>
              </w:rPr>
            </w:pPr>
            <w:r>
              <w:rPr>
                <w:rFonts w:hint="eastAsia" w:ascii="宋体" w:hAnsi="宋体" w:cs="仿宋_GB2312"/>
                <w:color w:val="auto"/>
                <w:szCs w:val="21"/>
                <w:highlight w:val="none"/>
                <w:lang w:val="en-US" w:eastAsia="zh-CN"/>
              </w:rPr>
              <w:t>第四条</w:t>
            </w:r>
          </w:p>
        </w:tc>
        <w:tc>
          <w:tcPr>
            <w:tcW w:w="2533" w:type="dxa"/>
            <w:vAlign w:val="center"/>
          </w:tcPr>
          <w:p>
            <w:pPr>
              <w:spacing w:line="360" w:lineRule="auto"/>
              <w:jc w:val="center"/>
              <w:rPr>
                <w:rFonts w:hint="default" w:ascii="宋体" w:hAnsi="宋体" w:eastAsia="宋体" w:cs="仿宋_GB2312"/>
                <w:color w:val="auto"/>
                <w:szCs w:val="21"/>
                <w:highlight w:val="none"/>
                <w:lang w:val="en-US" w:eastAsia="zh-CN"/>
              </w:rPr>
            </w:pPr>
            <w:r>
              <w:rPr>
                <w:rFonts w:hint="default" w:ascii="宋体" w:hAnsi="宋体" w:eastAsia="宋体" w:cs="仿宋_GB2312"/>
                <w:color w:val="auto"/>
                <w:szCs w:val="21"/>
                <w:highlight w:val="none"/>
                <w:lang w:val="en-US" w:eastAsia="zh-CN"/>
              </w:rPr>
              <w:t>评估报告使用范围</w:t>
            </w:r>
          </w:p>
        </w:tc>
        <w:tc>
          <w:tcPr>
            <w:tcW w:w="1864" w:type="dxa"/>
            <w:vAlign w:val="center"/>
          </w:tcPr>
          <w:p>
            <w:pPr>
              <w:spacing w:line="360" w:lineRule="auto"/>
              <w:jc w:val="center"/>
              <w:rPr>
                <w:rFonts w:ascii="宋体" w:hAnsi="宋体" w:cs="仿宋_GB2312"/>
                <w:color w:val="auto"/>
                <w:szCs w:val="21"/>
                <w:highlight w:val="none"/>
              </w:rPr>
            </w:pPr>
          </w:p>
        </w:tc>
        <w:tc>
          <w:tcPr>
            <w:tcW w:w="2749" w:type="dxa"/>
            <w:vAlign w:val="center"/>
          </w:tcPr>
          <w:p>
            <w:pPr>
              <w:spacing w:line="360" w:lineRule="auto"/>
              <w:jc w:val="center"/>
              <w:rPr>
                <w:rFonts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906" w:type="dxa"/>
            <w:vAlign w:val="center"/>
          </w:tcPr>
          <w:p>
            <w:pPr>
              <w:spacing w:line="360" w:lineRule="auto"/>
              <w:jc w:val="center"/>
              <w:rPr>
                <w:rFonts w:ascii="宋体" w:hAnsi="宋体" w:cs="仿宋_GB2312"/>
                <w:color w:val="auto"/>
                <w:szCs w:val="21"/>
                <w:highlight w:val="none"/>
              </w:rPr>
            </w:pPr>
            <w:r>
              <w:rPr>
                <w:rFonts w:hint="eastAsia" w:ascii="宋体" w:hAnsi="宋体" w:cs="仿宋_GB2312"/>
                <w:color w:val="auto"/>
                <w:szCs w:val="21"/>
                <w:highlight w:val="none"/>
              </w:rPr>
              <w:t>5</w:t>
            </w:r>
          </w:p>
        </w:tc>
        <w:tc>
          <w:tcPr>
            <w:tcW w:w="1234" w:type="dxa"/>
            <w:vAlign w:val="center"/>
          </w:tcPr>
          <w:p>
            <w:pPr>
              <w:spacing w:line="360" w:lineRule="auto"/>
              <w:jc w:val="center"/>
              <w:rPr>
                <w:rFonts w:hint="eastAsia" w:ascii="宋体" w:hAnsi="宋体" w:eastAsia="宋体" w:cs="仿宋_GB2312"/>
                <w:color w:val="auto"/>
                <w:szCs w:val="21"/>
                <w:highlight w:val="none"/>
                <w:lang w:val="en-US" w:eastAsia="zh-CN"/>
              </w:rPr>
            </w:pPr>
            <w:r>
              <w:rPr>
                <w:rFonts w:hint="eastAsia" w:ascii="宋体" w:hAnsi="宋体" w:cs="仿宋_GB2312"/>
                <w:color w:val="auto"/>
                <w:szCs w:val="21"/>
                <w:highlight w:val="none"/>
                <w:lang w:val="en-US" w:eastAsia="zh-CN"/>
              </w:rPr>
              <w:t>第五条</w:t>
            </w:r>
          </w:p>
        </w:tc>
        <w:tc>
          <w:tcPr>
            <w:tcW w:w="2533" w:type="dxa"/>
            <w:vAlign w:val="center"/>
          </w:tcPr>
          <w:p>
            <w:pPr>
              <w:spacing w:line="360" w:lineRule="auto"/>
              <w:jc w:val="center"/>
              <w:rPr>
                <w:rFonts w:hint="eastAsia" w:ascii="宋体" w:hAnsi="宋体" w:eastAsia="宋体" w:cs="仿宋_GB2312"/>
                <w:color w:val="auto"/>
                <w:szCs w:val="21"/>
                <w:highlight w:val="none"/>
                <w:lang w:eastAsia="zh-CN"/>
              </w:rPr>
            </w:pPr>
            <w:r>
              <w:rPr>
                <w:rFonts w:hint="default" w:ascii="宋体" w:hAnsi="宋体" w:eastAsia="宋体" w:cs="仿宋_GB2312"/>
                <w:color w:val="auto"/>
                <w:szCs w:val="21"/>
                <w:highlight w:val="none"/>
                <w:lang w:val="en-US" w:eastAsia="zh-CN"/>
              </w:rPr>
              <w:t>服务要求</w:t>
            </w:r>
          </w:p>
        </w:tc>
        <w:tc>
          <w:tcPr>
            <w:tcW w:w="1864" w:type="dxa"/>
            <w:vAlign w:val="center"/>
          </w:tcPr>
          <w:p>
            <w:pPr>
              <w:spacing w:line="360" w:lineRule="auto"/>
              <w:jc w:val="center"/>
              <w:rPr>
                <w:rFonts w:ascii="宋体" w:hAnsi="宋体" w:cs="仿宋_GB2312"/>
                <w:color w:val="auto"/>
                <w:szCs w:val="21"/>
                <w:highlight w:val="none"/>
              </w:rPr>
            </w:pPr>
          </w:p>
        </w:tc>
        <w:tc>
          <w:tcPr>
            <w:tcW w:w="2749" w:type="dxa"/>
            <w:vAlign w:val="center"/>
          </w:tcPr>
          <w:p>
            <w:pPr>
              <w:spacing w:line="360" w:lineRule="auto"/>
              <w:jc w:val="center"/>
              <w:rPr>
                <w:rFonts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906" w:type="dxa"/>
            <w:vAlign w:val="center"/>
          </w:tcPr>
          <w:p>
            <w:pPr>
              <w:spacing w:line="360" w:lineRule="auto"/>
              <w:jc w:val="center"/>
              <w:rPr>
                <w:rFonts w:hint="eastAsia" w:ascii="宋体" w:hAnsi="宋体" w:eastAsia="宋体" w:cs="仿宋_GB2312"/>
                <w:color w:val="auto"/>
                <w:kern w:val="2"/>
                <w:sz w:val="21"/>
                <w:szCs w:val="21"/>
                <w:highlight w:val="none"/>
                <w:lang w:val="en-US" w:eastAsia="zh-CN" w:bidi="ar-SA"/>
              </w:rPr>
            </w:pPr>
            <w:r>
              <w:rPr>
                <w:rFonts w:hint="eastAsia" w:ascii="宋体" w:hAnsi="宋体" w:cs="仿宋_GB2312"/>
                <w:color w:val="auto"/>
                <w:szCs w:val="21"/>
                <w:highlight w:val="none"/>
              </w:rPr>
              <w:t>6</w:t>
            </w:r>
          </w:p>
        </w:tc>
        <w:tc>
          <w:tcPr>
            <w:tcW w:w="1234" w:type="dxa"/>
            <w:vAlign w:val="center"/>
          </w:tcPr>
          <w:p>
            <w:pPr>
              <w:spacing w:line="360" w:lineRule="auto"/>
              <w:jc w:val="center"/>
              <w:rPr>
                <w:rFonts w:hint="eastAsia" w:ascii="宋体" w:hAnsi="宋体" w:eastAsia="宋体" w:cs="仿宋_GB2312"/>
                <w:color w:val="auto"/>
                <w:kern w:val="2"/>
                <w:sz w:val="21"/>
                <w:szCs w:val="21"/>
                <w:highlight w:val="none"/>
                <w:lang w:val="en-US" w:eastAsia="zh-CN" w:bidi="ar-SA"/>
              </w:rPr>
            </w:pPr>
            <w:r>
              <w:rPr>
                <w:rFonts w:hint="eastAsia" w:ascii="宋体" w:hAnsi="宋体" w:cs="仿宋_GB2312"/>
                <w:color w:val="auto"/>
                <w:szCs w:val="21"/>
                <w:highlight w:val="none"/>
                <w:lang w:val="en-US" w:eastAsia="zh-CN"/>
              </w:rPr>
              <w:t>第六条</w:t>
            </w:r>
          </w:p>
        </w:tc>
        <w:tc>
          <w:tcPr>
            <w:tcW w:w="2533" w:type="dxa"/>
            <w:vAlign w:val="center"/>
          </w:tcPr>
          <w:p>
            <w:pPr>
              <w:spacing w:line="360" w:lineRule="auto"/>
              <w:jc w:val="center"/>
              <w:rPr>
                <w:rFonts w:hint="default" w:ascii="宋体" w:hAnsi="宋体" w:eastAsia="宋体" w:cs="仿宋_GB2312"/>
                <w:color w:val="auto"/>
                <w:szCs w:val="21"/>
                <w:highlight w:val="none"/>
                <w:lang w:val="en-US" w:eastAsia="zh-CN"/>
              </w:rPr>
            </w:pPr>
            <w:r>
              <w:rPr>
                <w:rFonts w:hint="default" w:ascii="宋体" w:hAnsi="宋体" w:eastAsia="宋体" w:cs="仿宋_GB2312"/>
                <w:color w:val="auto"/>
                <w:szCs w:val="21"/>
                <w:highlight w:val="none"/>
                <w:lang w:val="en-US" w:eastAsia="zh-CN"/>
              </w:rPr>
              <w:t>评估报告提交期限及验收</w:t>
            </w:r>
          </w:p>
        </w:tc>
        <w:tc>
          <w:tcPr>
            <w:tcW w:w="1864" w:type="dxa"/>
            <w:vAlign w:val="center"/>
          </w:tcPr>
          <w:p>
            <w:pPr>
              <w:spacing w:line="360" w:lineRule="auto"/>
              <w:jc w:val="center"/>
              <w:rPr>
                <w:rFonts w:ascii="宋体" w:hAnsi="宋体" w:cs="仿宋_GB2312"/>
                <w:color w:val="auto"/>
                <w:szCs w:val="21"/>
                <w:highlight w:val="none"/>
              </w:rPr>
            </w:pPr>
          </w:p>
        </w:tc>
        <w:tc>
          <w:tcPr>
            <w:tcW w:w="2749" w:type="dxa"/>
            <w:vAlign w:val="center"/>
          </w:tcPr>
          <w:p>
            <w:pPr>
              <w:spacing w:line="360" w:lineRule="auto"/>
              <w:jc w:val="center"/>
              <w:rPr>
                <w:rFonts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906" w:type="dxa"/>
            <w:vAlign w:val="center"/>
          </w:tcPr>
          <w:p>
            <w:pPr>
              <w:spacing w:line="360" w:lineRule="auto"/>
              <w:jc w:val="center"/>
              <w:rPr>
                <w:rFonts w:ascii="宋体" w:hAnsi="宋体" w:eastAsia="宋体" w:cs="仿宋_GB2312"/>
                <w:color w:val="auto"/>
                <w:kern w:val="2"/>
                <w:sz w:val="21"/>
                <w:szCs w:val="21"/>
                <w:highlight w:val="none"/>
                <w:lang w:val="en-US" w:eastAsia="zh-CN" w:bidi="ar-SA"/>
              </w:rPr>
            </w:pPr>
            <w:r>
              <w:rPr>
                <w:rFonts w:hint="eastAsia" w:ascii="宋体" w:hAnsi="宋体" w:cs="仿宋_GB2312"/>
                <w:color w:val="auto"/>
                <w:szCs w:val="21"/>
                <w:highlight w:val="none"/>
              </w:rPr>
              <w:t>7</w:t>
            </w:r>
          </w:p>
        </w:tc>
        <w:tc>
          <w:tcPr>
            <w:tcW w:w="1234" w:type="dxa"/>
            <w:vAlign w:val="center"/>
          </w:tcPr>
          <w:p>
            <w:pPr>
              <w:spacing w:line="360" w:lineRule="auto"/>
              <w:jc w:val="center"/>
              <w:rPr>
                <w:rFonts w:hint="eastAsia" w:ascii="宋体" w:hAnsi="宋体" w:eastAsia="宋体" w:cs="仿宋_GB2312"/>
                <w:color w:val="auto"/>
                <w:kern w:val="2"/>
                <w:sz w:val="21"/>
                <w:szCs w:val="21"/>
                <w:highlight w:val="none"/>
                <w:lang w:val="en-US" w:eastAsia="zh-CN" w:bidi="ar-SA"/>
              </w:rPr>
            </w:pPr>
            <w:r>
              <w:rPr>
                <w:rFonts w:hint="eastAsia" w:ascii="宋体" w:hAnsi="宋体" w:cs="仿宋_GB2312"/>
                <w:color w:val="auto"/>
                <w:szCs w:val="21"/>
                <w:highlight w:val="none"/>
                <w:lang w:val="en-US" w:eastAsia="zh-CN"/>
              </w:rPr>
              <w:t>第七条</w:t>
            </w:r>
          </w:p>
        </w:tc>
        <w:tc>
          <w:tcPr>
            <w:tcW w:w="2533" w:type="dxa"/>
            <w:vAlign w:val="center"/>
          </w:tcPr>
          <w:p>
            <w:pPr>
              <w:spacing w:line="360" w:lineRule="auto"/>
              <w:jc w:val="center"/>
              <w:rPr>
                <w:rFonts w:hint="default" w:ascii="宋体" w:hAnsi="宋体" w:eastAsia="宋体" w:cs="仿宋_GB2312"/>
                <w:color w:val="auto"/>
                <w:szCs w:val="21"/>
                <w:highlight w:val="none"/>
                <w:lang w:val="en-US" w:eastAsia="zh-CN"/>
              </w:rPr>
            </w:pPr>
            <w:r>
              <w:rPr>
                <w:rFonts w:hint="default" w:ascii="宋体" w:hAnsi="宋体" w:eastAsia="宋体" w:cs="仿宋_GB2312"/>
                <w:color w:val="auto"/>
                <w:szCs w:val="21"/>
                <w:highlight w:val="none"/>
                <w:lang w:val="en-US" w:eastAsia="zh-CN"/>
              </w:rPr>
              <w:t>服务费用及支付方式</w:t>
            </w:r>
          </w:p>
        </w:tc>
        <w:tc>
          <w:tcPr>
            <w:tcW w:w="1864" w:type="dxa"/>
            <w:vAlign w:val="center"/>
          </w:tcPr>
          <w:p>
            <w:pPr>
              <w:spacing w:line="360" w:lineRule="auto"/>
              <w:jc w:val="center"/>
              <w:rPr>
                <w:rFonts w:ascii="宋体" w:hAnsi="宋体" w:cs="仿宋_GB2312"/>
                <w:color w:val="auto"/>
                <w:szCs w:val="21"/>
                <w:highlight w:val="none"/>
              </w:rPr>
            </w:pPr>
          </w:p>
        </w:tc>
        <w:tc>
          <w:tcPr>
            <w:tcW w:w="2749" w:type="dxa"/>
            <w:vAlign w:val="center"/>
          </w:tcPr>
          <w:p>
            <w:pPr>
              <w:spacing w:line="360" w:lineRule="auto"/>
              <w:jc w:val="center"/>
              <w:rPr>
                <w:rFonts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906" w:type="dxa"/>
            <w:vAlign w:val="center"/>
          </w:tcPr>
          <w:p>
            <w:pPr>
              <w:spacing w:line="360" w:lineRule="auto"/>
              <w:jc w:val="center"/>
              <w:rPr>
                <w:rFonts w:ascii="宋体" w:hAnsi="宋体" w:eastAsia="宋体" w:cs="仿宋_GB2312"/>
                <w:color w:val="auto"/>
                <w:kern w:val="2"/>
                <w:sz w:val="21"/>
                <w:szCs w:val="21"/>
                <w:highlight w:val="none"/>
                <w:lang w:val="en-US" w:eastAsia="zh-CN" w:bidi="ar-SA"/>
              </w:rPr>
            </w:pPr>
            <w:r>
              <w:rPr>
                <w:rFonts w:hint="eastAsia" w:ascii="宋体" w:hAnsi="宋体" w:cs="仿宋_GB2312"/>
                <w:color w:val="auto"/>
                <w:szCs w:val="21"/>
                <w:highlight w:val="none"/>
              </w:rPr>
              <w:t>8</w:t>
            </w:r>
          </w:p>
        </w:tc>
        <w:tc>
          <w:tcPr>
            <w:tcW w:w="1234" w:type="dxa"/>
            <w:vAlign w:val="center"/>
          </w:tcPr>
          <w:p>
            <w:pPr>
              <w:spacing w:line="360" w:lineRule="auto"/>
              <w:jc w:val="center"/>
              <w:rPr>
                <w:rFonts w:hint="eastAsia" w:ascii="宋体" w:hAnsi="宋体" w:eastAsia="宋体" w:cs="仿宋_GB2312"/>
                <w:color w:val="auto"/>
                <w:kern w:val="2"/>
                <w:sz w:val="21"/>
                <w:szCs w:val="21"/>
                <w:highlight w:val="none"/>
                <w:lang w:val="en-US" w:eastAsia="zh-CN" w:bidi="ar-SA"/>
              </w:rPr>
            </w:pPr>
            <w:r>
              <w:rPr>
                <w:rFonts w:hint="eastAsia" w:ascii="宋体" w:hAnsi="宋体" w:cs="仿宋_GB2312"/>
                <w:color w:val="auto"/>
                <w:szCs w:val="21"/>
                <w:highlight w:val="none"/>
                <w:lang w:val="en-US" w:eastAsia="zh-CN"/>
              </w:rPr>
              <w:t>第八条</w:t>
            </w:r>
          </w:p>
        </w:tc>
        <w:tc>
          <w:tcPr>
            <w:tcW w:w="2533" w:type="dxa"/>
            <w:vAlign w:val="center"/>
          </w:tcPr>
          <w:p>
            <w:pPr>
              <w:spacing w:line="360" w:lineRule="auto"/>
              <w:jc w:val="center"/>
              <w:rPr>
                <w:rFonts w:hint="default" w:ascii="宋体" w:hAnsi="宋体" w:eastAsia="宋体" w:cs="仿宋_GB2312"/>
                <w:color w:val="auto"/>
                <w:szCs w:val="21"/>
                <w:highlight w:val="none"/>
                <w:lang w:val="en-US" w:eastAsia="zh-CN"/>
              </w:rPr>
            </w:pPr>
            <w:r>
              <w:rPr>
                <w:rFonts w:hint="default" w:ascii="宋体" w:hAnsi="宋体" w:eastAsia="宋体" w:cs="仿宋_GB2312"/>
                <w:color w:val="auto"/>
                <w:szCs w:val="21"/>
                <w:highlight w:val="none"/>
                <w:lang w:val="en-US" w:eastAsia="zh-CN"/>
              </w:rPr>
              <w:t>甲方的权利与义务</w:t>
            </w:r>
          </w:p>
        </w:tc>
        <w:tc>
          <w:tcPr>
            <w:tcW w:w="1864" w:type="dxa"/>
            <w:vAlign w:val="center"/>
          </w:tcPr>
          <w:p>
            <w:pPr>
              <w:spacing w:line="360" w:lineRule="auto"/>
              <w:jc w:val="center"/>
              <w:rPr>
                <w:rFonts w:ascii="宋体" w:hAnsi="宋体" w:cs="仿宋_GB2312"/>
                <w:color w:val="auto"/>
                <w:szCs w:val="21"/>
                <w:highlight w:val="none"/>
              </w:rPr>
            </w:pPr>
          </w:p>
        </w:tc>
        <w:tc>
          <w:tcPr>
            <w:tcW w:w="2749" w:type="dxa"/>
            <w:vAlign w:val="center"/>
          </w:tcPr>
          <w:p>
            <w:pPr>
              <w:spacing w:line="360" w:lineRule="auto"/>
              <w:jc w:val="center"/>
              <w:rPr>
                <w:rFonts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06" w:type="dxa"/>
            <w:vAlign w:val="center"/>
          </w:tcPr>
          <w:p>
            <w:pPr>
              <w:spacing w:line="360" w:lineRule="auto"/>
              <w:jc w:val="center"/>
              <w:rPr>
                <w:rFonts w:ascii="宋体" w:hAnsi="宋体" w:eastAsia="宋体" w:cs="仿宋_GB2312"/>
                <w:color w:val="auto"/>
                <w:kern w:val="2"/>
                <w:sz w:val="21"/>
                <w:szCs w:val="21"/>
                <w:highlight w:val="none"/>
                <w:lang w:val="en-US" w:eastAsia="zh-CN" w:bidi="ar-SA"/>
              </w:rPr>
            </w:pPr>
            <w:r>
              <w:rPr>
                <w:rFonts w:hint="eastAsia" w:ascii="宋体" w:hAnsi="宋体" w:cs="仿宋_GB2312"/>
                <w:color w:val="auto"/>
                <w:szCs w:val="21"/>
                <w:highlight w:val="none"/>
              </w:rPr>
              <w:t>9</w:t>
            </w:r>
          </w:p>
        </w:tc>
        <w:tc>
          <w:tcPr>
            <w:tcW w:w="1234" w:type="dxa"/>
            <w:vAlign w:val="center"/>
          </w:tcPr>
          <w:p>
            <w:pPr>
              <w:spacing w:line="360" w:lineRule="auto"/>
              <w:jc w:val="center"/>
              <w:rPr>
                <w:rFonts w:hint="eastAsia" w:ascii="宋体" w:hAnsi="宋体" w:eastAsia="宋体" w:cs="仿宋_GB2312"/>
                <w:color w:val="auto"/>
                <w:kern w:val="2"/>
                <w:sz w:val="21"/>
                <w:szCs w:val="21"/>
                <w:highlight w:val="none"/>
                <w:lang w:val="en-US" w:eastAsia="zh-CN" w:bidi="ar-SA"/>
              </w:rPr>
            </w:pPr>
            <w:r>
              <w:rPr>
                <w:rFonts w:hint="eastAsia" w:ascii="宋体" w:hAnsi="宋体" w:cs="仿宋_GB2312"/>
                <w:color w:val="auto"/>
                <w:szCs w:val="21"/>
                <w:highlight w:val="none"/>
                <w:lang w:val="en-US" w:eastAsia="zh-CN"/>
              </w:rPr>
              <w:t>第九条</w:t>
            </w:r>
          </w:p>
        </w:tc>
        <w:tc>
          <w:tcPr>
            <w:tcW w:w="2533" w:type="dxa"/>
            <w:vAlign w:val="center"/>
          </w:tcPr>
          <w:p>
            <w:pPr>
              <w:spacing w:line="360" w:lineRule="auto"/>
              <w:jc w:val="center"/>
              <w:rPr>
                <w:rFonts w:hint="default" w:ascii="宋体" w:hAnsi="宋体" w:eastAsia="宋体" w:cs="仿宋_GB2312"/>
                <w:color w:val="auto"/>
                <w:szCs w:val="21"/>
                <w:highlight w:val="none"/>
                <w:lang w:val="en-US" w:eastAsia="zh-CN"/>
              </w:rPr>
            </w:pPr>
            <w:r>
              <w:rPr>
                <w:rFonts w:hint="default" w:ascii="宋体" w:hAnsi="宋体" w:eastAsia="宋体" w:cs="仿宋_GB2312"/>
                <w:color w:val="auto"/>
                <w:szCs w:val="21"/>
                <w:highlight w:val="none"/>
                <w:lang w:val="en-US" w:eastAsia="zh-CN"/>
              </w:rPr>
              <w:t>乙方的权利与义务</w:t>
            </w:r>
          </w:p>
        </w:tc>
        <w:tc>
          <w:tcPr>
            <w:tcW w:w="1864" w:type="dxa"/>
            <w:vAlign w:val="center"/>
          </w:tcPr>
          <w:p>
            <w:pPr>
              <w:spacing w:line="360" w:lineRule="auto"/>
              <w:jc w:val="center"/>
              <w:rPr>
                <w:rFonts w:ascii="宋体" w:hAnsi="宋体" w:cs="仿宋_GB2312"/>
                <w:color w:val="auto"/>
                <w:szCs w:val="21"/>
                <w:highlight w:val="none"/>
              </w:rPr>
            </w:pPr>
          </w:p>
        </w:tc>
        <w:tc>
          <w:tcPr>
            <w:tcW w:w="2749" w:type="dxa"/>
            <w:vAlign w:val="center"/>
          </w:tcPr>
          <w:p>
            <w:pPr>
              <w:spacing w:line="360" w:lineRule="auto"/>
              <w:jc w:val="center"/>
              <w:rPr>
                <w:rFonts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906" w:type="dxa"/>
            <w:vAlign w:val="center"/>
          </w:tcPr>
          <w:p>
            <w:pPr>
              <w:spacing w:line="360" w:lineRule="auto"/>
              <w:jc w:val="center"/>
              <w:rPr>
                <w:rFonts w:hint="default" w:ascii="宋体" w:hAnsi="宋体" w:eastAsia="宋体" w:cs="仿宋_GB2312"/>
                <w:color w:val="auto"/>
                <w:kern w:val="2"/>
                <w:sz w:val="21"/>
                <w:szCs w:val="21"/>
                <w:highlight w:val="none"/>
                <w:lang w:val="en-US" w:eastAsia="zh-CN" w:bidi="ar-SA"/>
              </w:rPr>
            </w:pPr>
            <w:r>
              <w:rPr>
                <w:rFonts w:hint="eastAsia" w:ascii="宋体" w:hAnsi="宋体" w:cs="仿宋_GB2312"/>
                <w:color w:val="auto"/>
                <w:szCs w:val="21"/>
                <w:highlight w:val="none"/>
                <w:lang w:val="en-US" w:eastAsia="zh-CN"/>
              </w:rPr>
              <w:t>10</w:t>
            </w:r>
          </w:p>
        </w:tc>
        <w:tc>
          <w:tcPr>
            <w:tcW w:w="1234" w:type="dxa"/>
            <w:vAlign w:val="center"/>
          </w:tcPr>
          <w:p>
            <w:pPr>
              <w:spacing w:line="360" w:lineRule="auto"/>
              <w:jc w:val="center"/>
              <w:rPr>
                <w:rFonts w:hint="eastAsia" w:ascii="宋体" w:hAnsi="宋体" w:eastAsia="宋体" w:cs="仿宋_GB2312"/>
                <w:color w:val="auto"/>
                <w:kern w:val="2"/>
                <w:sz w:val="21"/>
                <w:szCs w:val="21"/>
                <w:highlight w:val="none"/>
                <w:lang w:val="en-US" w:eastAsia="zh-CN" w:bidi="ar-SA"/>
              </w:rPr>
            </w:pPr>
            <w:r>
              <w:rPr>
                <w:rFonts w:hint="eastAsia" w:ascii="宋体" w:hAnsi="宋体" w:cs="仿宋_GB2312"/>
                <w:color w:val="auto"/>
                <w:szCs w:val="21"/>
                <w:highlight w:val="none"/>
                <w:lang w:val="en-US" w:eastAsia="zh-CN"/>
              </w:rPr>
              <w:t>第十条</w:t>
            </w:r>
          </w:p>
        </w:tc>
        <w:tc>
          <w:tcPr>
            <w:tcW w:w="2533" w:type="dxa"/>
            <w:vAlign w:val="center"/>
          </w:tcPr>
          <w:p>
            <w:pPr>
              <w:spacing w:line="360" w:lineRule="auto"/>
              <w:jc w:val="center"/>
              <w:rPr>
                <w:rFonts w:hint="default" w:ascii="宋体" w:hAnsi="宋体" w:eastAsia="宋体" w:cs="仿宋_GB2312"/>
                <w:color w:val="auto"/>
                <w:szCs w:val="21"/>
                <w:highlight w:val="none"/>
                <w:lang w:val="en-US" w:eastAsia="zh-CN"/>
              </w:rPr>
            </w:pPr>
            <w:r>
              <w:rPr>
                <w:rFonts w:hint="default" w:ascii="宋体" w:hAnsi="宋体" w:eastAsia="宋体" w:cs="仿宋_GB2312"/>
                <w:color w:val="auto"/>
                <w:szCs w:val="21"/>
                <w:highlight w:val="none"/>
                <w:lang w:val="en-US" w:eastAsia="zh-CN"/>
              </w:rPr>
              <w:t>违约责任</w:t>
            </w:r>
          </w:p>
        </w:tc>
        <w:tc>
          <w:tcPr>
            <w:tcW w:w="1864" w:type="dxa"/>
            <w:vAlign w:val="center"/>
          </w:tcPr>
          <w:p>
            <w:pPr>
              <w:spacing w:line="360" w:lineRule="auto"/>
              <w:jc w:val="center"/>
              <w:rPr>
                <w:rFonts w:ascii="宋体" w:hAnsi="宋体" w:cs="仿宋_GB2312"/>
                <w:color w:val="auto"/>
                <w:szCs w:val="21"/>
                <w:highlight w:val="none"/>
              </w:rPr>
            </w:pPr>
          </w:p>
        </w:tc>
        <w:tc>
          <w:tcPr>
            <w:tcW w:w="2749" w:type="dxa"/>
            <w:vAlign w:val="center"/>
          </w:tcPr>
          <w:p>
            <w:pPr>
              <w:spacing w:line="360" w:lineRule="auto"/>
              <w:jc w:val="center"/>
              <w:rPr>
                <w:rFonts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906" w:type="dxa"/>
            <w:vAlign w:val="center"/>
          </w:tcPr>
          <w:p>
            <w:pPr>
              <w:spacing w:line="360" w:lineRule="auto"/>
              <w:jc w:val="center"/>
              <w:rPr>
                <w:rFonts w:hint="default" w:ascii="宋体" w:hAnsi="宋体" w:eastAsia="宋体" w:cs="仿宋_GB2312"/>
                <w:color w:val="auto"/>
                <w:kern w:val="2"/>
                <w:sz w:val="21"/>
                <w:szCs w:val="21"/>
                <w:highlight w:val="none"/>
                <w:lang w:val="en-US" w:eastAsia="zh-CN" w:bidi="ar-SA"/>
              </w:rPr>
            </w:pPr>
            <w:r>
              <w:rPr>
                <w:rFonts w:hint="eastAsia" w:ascii="宋体" w:hAnsi="宋体" w:cs="仿宋_GB2312"/>
                <w:color w:val="auto"/>
                <w:szCs w:val="21"/>
                <w:highlight w:val="none"/>
                <w:lang w:val="en-US" w:eastAsia="zh-CN"/>
              </w:rPr>
              <w:t>11</w:t>
            </w:r>
          </w:p>
        </w:tc>
        <w:tc>
          <w:tcPr>
            <w:tcW w:w="1234" w:type="dxa"/>
            <w:vAlign w:val="center"/>
          </w:tcPr>
          <w:p>
            <w:pPr>
              <w:spacing w:line="360" w:lineRule="auto"/>
              <w:jc w:val="center"/>
              <w:rPr>
                <w:rFonts w:hint="default" w:ascii="宋体" w:hAnsi="宋体" w:eastAsia="宋体" w:cs="仿宋_GB2312"/>
                <w:color w:val="auto"/>
                <w:kern w:val="2"/>
                <w:sz w:val="21"/>
                <w:szCs w:val="21"/>
                <w:highlight w:val="none"/>
                <w:lang w:val="en-US" w:eastAsia="zh-CN" w:bidi="ar-SA"/>
              </w:rPr>
            </w:pPr>
            <w:r>
              <w:rPr>
                <w:rFonts w:hint="eastAsia" w:ascii="宋体" w:hAnsi="宋体" w:cs="仿宋_GB2312"/>
                <w:color w:val="auto"/>
                <w:szCs w:val="21"/>
                <w:highlight w:val="none"/>
                <w:lang w:val="en-US" w:eastAsia="zh-CN"/>
              </w:rPr>
              <w:t>第十一条</w:t>
            </w:r>
          </w:p>
        </w:tc>
        <w:tc>
          <w:tcPr>
            <w:tcW w:w="2533" w:type="dxa"/>
            <w:vAlign w:val="center"/>
          </w:tcPr>
          <w:p>
            <w:pPr>
              <w:spacing w:line="360" w:lineRule="auto"/>
              <w:jc w:val="center"/>
              <w:rPr>
                <w:rFonts w:hint="default" w:ascii="宋体" w:hAnsi="宋体" w:cs="仿宋_GB2312"/>
                <w:color w:val="auto"/>
                <w:szCs w:val="21"/>
                <w:highlight w:val="none"/>
                <w:lang w:val="en-US" w:eastAsia="zh-CN"/>
              </w:rPr>
            </w:pPr>
            <w:r>
              <w:rPr>
                <w:rFonts w:hint="default" w:ascii="宋体" w:hAnsi="宋体" w:cs="仿宋_GB2312"/>
                <w:color w:val="auto"/>
                <w:szCs w:val="21"/>
                <w:highlight w:val="none"/>
                <w:lang w:val="en-US" w:eastAsia="zh-CN"/>
              </w:rPr>
              <w:t>争议解决</w:t>
            </w:r>
          </w:p>
        </w:tc>
        <w:tc>
          <w:tcPr>
            <w:tcW w:w="1864" w:type="dxa"/>
            <w:vAlign w:val="center"/>
          </w:tcPr>
          <w:p>
            <w:pPr>
              <w:spacing w:line="360" w:lineRule="auto"/>
              <w:jc w:val="center"/>
              <w:rPr>
                <w:rFonts w:ascii="宋体" w:hAnsi="宋体" w:cs="仿宋_GB2312"/>
                <w:color w:val="auto"/>
                <w:szCs w:val="21"/>
                <w:highlight w:val="none"/>
              </w:rPr>
            </w:pPr>
          </w:p>
        </w:tc>
        <w:tc>
          <w:tcPr>
            <w:tcW w:w="2749" w:type="dxa"/>
            <w:vAlign w:val="center"/>
          </w:tcPr>
          <w:p>
            <w:pPr>
              <w:spacing w:line="360" w:lineRule="auto"/>
              <w:jc w:val="center"/>
              <w:rPr>
                <w:rFonts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906" w:type="dxa"/>
            <w:vAlign w:val="center"/>
          </w:tcPr>
          <w:p>
            <w:pPr>
              <w:spacing w:line="360" w:lineRule="auto"/>
              <w:jc w:val="center"/>
              <w:rPr>
                <w:rFonts w:hint="default" w:ascii="宋体" w:hAnsi="宋体" w:eastAsia="宋体" w:cs="仿宋_GB2312"/>
                <w:color w:val="auto"/>
                <w:kern w:val="2"/>
                <w:sz w:val="21"/>
                <w:szCs w:val="21"/>
                <w:highlight w:val="none"/>
                <w:lang w:val="en-US" w:eastAsia="zh-CN" w:bidi="ar-SA"/>
              </w:rPr>
            </w:pPr>
            <w:r>
              <w:rPr>
                <w:rFonts w:hint="eastAsia" w:ascii="宋体" w:hAnsi="宋体" w:cs="仿宋_GB2312"/>
                <w:color w:val="auto"/>
                <w:szCs w:val="21"/>
                <w:highlight w:val="none"/>
                <w:lang w:val="en-US" w:eastAsia="zh-CN"/>
              </w:rPr>
              <w:t>12</w:t>
            </w:r>
          </w:p>
        </w:tc>
        <w:tc>
          <w:tcPr>
            <w:tcW w:w="1234" w:type="dxa"/>
            <w:vAlign w:val="center"/>
          </w:tcPr>
          <w:p>
            <w:pPr>
              <w:spacing w:line="360" w:lineRule="auto"/>
              <w:jc w:val="center"/>
              <w:rPr>
                <w:rFonts w:hint="default" w:ascii="宋体" w:hAnsi="宋体" w:eastAsia="宋体" w:cs="仿宋_GB2312"/>
                <w:color w:val="auto"/>
                <w:kern w:val="2"/>
                <w:sz w:val="21"/>
                <w:szCs w:val="21"/>
                <w:highlight w:val="none"/>
                <w:lang w:val="en-US" w:eastAsia="zh-CN" w:bidi="ar-SA"/>
              </w:rPr>
            </w:pPr>
            <w:r>
              <w:rPr>
                <w:rFonts w:hint="eastAsia" w:ascii="宋体" w:hAnsi="宋体" w:cs="仿宋_GB2312"/>
                <w:color w:val="auto"/>
                <w:szCs w:val="21"/>
                <w:highlight w:val="none"/>
                <w:lang w:val="en-US" w:eastAsia="zh-CN"/>
              </w:rPr>
              <w:t>第十二条</w:t>
            </w:r>
          </w:p>
        </w:tc>
        <w:tc>
          <w:tcPr>
            <w:tcW w:w="2533" w:type="dxa"/>
            <w:vAlign w:val="center"/>
          </w:tcPr>
          <w:p>
            <w:pPr>
              <w:spacing w:line="360" w:lineRule="auto"/>
              <w:jc w:val="center"/>
              <w:rPr>
                <w:rFonts w:hint="default" w:ascii="宋体" w:hAnsi="宋体" w:cs="仿宋_GB2312"/>
                <w:color w:val="auto"/>
                <w:szCs w:val="21"/>
                <w:highlight w:val="none"/>
                <w:lang w:val="en-US" w:eastAsia="zh-CN"/>
              </w:rPr>
            </w:pPr>
            <w:r>
              <w:rPr>
                <w:rFonts w:hint="default" w:ascii="宋体" w:hAnsi="宋体" w:cs="仿宋_GB2312"/>
                <w:color w:val="auto"/>
                <w:szCs w:val="21"/>
                <w:highlight w:val="none"/>
                <w:lang w:val="en-US" w:eastAsia="zh-CN"/>
              </w:rPr>
              <w:t>其它</w:t>
            </w:r>
          </w:p>
        </w:tc>
        <w:tc>
          <w:tcPr>
            <w:tcW w:w="1864" w:type="dxa"/>
            <w:vAlign w:val="center"/>
          </w:tcPr>
          <w:p>
            <w:pPr>
              <w:spacing w:line="360" w:lineRule="auto"/>
              <w:jc w:val="center"/>
              <w:rPr>
                <w:rFonts w:ascii="宋体" w:hAnsi="宋体" w:cs="仿宋_GB2312"/>
                <w:color w:val="auto"/>
                <w:szCs w:val="21"/>
                <w:highlight w:val="none"/>
              </w:rPr>
            </w:pPr>
          </w:p>
        </w:tc>
        <w:tc>
          <w:tcPr>
            <w:tcW w:w="2749" w:type="dxa"/>
            <w:vAlign w:val="center"/>
          </w:tcPr>
          <w:p>
            <w:pPr>
              <w:spacing w:line="360" w:lineRule="auto"/>
              <w:jc w:val="center"/>
              <w:rPr>
                <w:rFonts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906" w:type="dxa"/>
            <w:vAlign w:val="center"/>
          </w:tcPr>
          <w:p>
            <w:pPr>
              <w:spacing w:line="360" w:lineRule="auto"/>
              <w:jc w:val="center"/>
              <w:rPr>
                <w:rFonts w:hint="default" w:ascii="宋体" w:hAnsi="宋体" w:eastAsia="宋体" w:cs="仿宋_GB2312"/>
                <w:color w:val="auto"/>
                <w:szCs w:val="21"/>
                <w:highlight w:val="none"/>
                <w:lang w:val="en-US" w:eastAsia="zh-CN"/>
              </w:rPr>
            </w:pPr>
            <w:r>
              <w:rPr>
                <w:rFonts w:hint="eastAsia" w:ascii="宋体" w:hAnsi="宋体" w:cs="仿宋_GB2312"/>
                <w:color w:val="auto"/>
                <w:szCs w:val="21"/>
                <w:highlight w:val="none"/>
                <w:lang w:val="en-US" w:eastAsia="zh-CN"/>
              </w:rPr>
              <w:t>13</w:t>
            </w:r>
          </w:p>
        </w:tc>
        <w:tc>
          <w:tcPr>
            <w:tcW w:w="1234" w:type="dxa"/>
            <w:vAlign w:val="center"/>
          </w:tcPr>
          <w:p>
            <w:pPr>
              <w:spacing w:line="360" w:lineRule="auto"/>
              <w:jc w:val="center"/>
              <w:rPr>
                <w:rFonts w:hint="eastAsia" w:ascii="宋体" w:hAnsi="宋体" w:eastAsia="宋体" w:cs="仿宋_GB2312"/>
                <w:color w:val="auto"/>
                <w:szCs w:val="21"/>
                <w:highlight w:val="none"/>
                <w:lang w:eastAsia="zh-CN"/>
              </w:rPr>
            </w:pPr>
            <w:r>
              <w:rPr>
                <w:rFonts w:hint="eastAsia" w:ascii="宋体" w:hAnsi="宋体" w:cs="仿宋_GB2312"/>
                <w:color w:val="auto"/>
                <w:szCs w:val="21"/>
                <w:highlight w:val="none"/>
              </w:rPr>
              <w:t>附件</w:t>
            </w:r>
            <w:r>
              <w:rPr>
                <w:rFonts w:hint="eastAsia" w:ascii="宋体" w:hAnsi="宋体" w:cs="仿宋_GB2312"/>
                <w:color w:val="auto"/>
                <w:szCs w:val="21"/>
                <w:highlight w:val="none"/>
                <w:lang w:val="en-US" w:eastAsia="zh-CN"/>
              </w:rPr>
              <w:t>1</w:t>
            </w:r>
          </w:p>
        </w:tc>
        <w:tc>
          <w:tcPr>
            <w:tcW w:w="2533" w:type="dxa"/>
            <w:vAlign w:val="center"/>
          </w:tcPr>
          <w:p>
            <w:pPr>
              <w:spacing w:line="360" w:lineRule="auto"/>
              <w:jc w:val="center"/>
              <w:rPr>
                <w:rFonts w:ascii="宋体" w:hAnsi="宋体" w:cs="仿宋_GB2312"/>
                <w:color w:val="auto"/>
                <w:szCs w:val="21"/>
                <w:highlight w:val="none"/>
              </w:rPr>
            </w:pPr>
            <w:r>
              <w:rPr>
                <w:rFonts w:hint="eastAsia" w:ascii="宋体" w:hAnsi="宋体" w:cs="仿宋_GB2312"/>
                <w:color w:val="auto"/>
                <w:szCs w:val="21"/>
                <w:highlight w:val="none"/>
              </w:rPr>
              <w:t>阳光合作告知函</w:t>
            </w:r>
          </w:p>
        </w:tc>
        <w:tc>
          <w:tcPr>
            <w:tcW w:w="1864" w:type="dxa"/>
            <w:vAlign w:val="center"/>
          </w:tcPr>
          <w:p>
            <w:pPr>
              <w:spacing w:line="360" w:lineRule="auto"/>
              <w:jc w:val="center"/>
              <w:rPr>
                <w:rFonts w:ascii="宋体" w:hAnsi="宋体" w:cs="仿宋_GB2312"/>
                <w:color w:val="auto"/>
                <w:szCs w:val="21"/>
                <w:highlight w:val="none"/>
              </w:rPr>
            </w:pPr>
          </w:p>
        </w:tc>
        <w:tc>
          <w:tcPr>
            <w:tcW w:w="2749" w:type="dxa"/>
            <w:vAlign w:val="center"/>
          </w:tcPr>
          <w:p>
            <w:pPr>
              <w:spacing w:line="360" w:lineRule="auto"/>
              <w:jc w:val="center"/>
              <w:rPr>
                <w:rFonts w:ascii="宋体" w:hAnsi="宋体" w:cs="仿宋_GB2312"/>
                <w:color w:val="auto"/>
                <w:szCs w:val="21"/>
                <w:highlight w:val="none"/>
              </w:rPr>
            </w:pPr>
          </w:p>
        </w:tc>
      </w:tr>
    </w:tbl>
    <w:p>
      <w:pPr>
        <w:spacing w:line="300" w:lineRule="auto"/>
        <w:rPr>
          <w:color w:val="auto"/>
          <w:szCs w:val="21"/>
          <w:highlight w:val="none"/>
        </w:rPr>
      </w:pPr>
      <w:r>
        <w:rPr>
          <w:color w:val="auto"/>
          <w:szCs w:val="21"/>
          <w:highlight w:val="none"/>
        </w:rPr>
        <w:t>备注：</w:t>
      </w:r>
    </w:p>
    <w:bookmarkEnd w:id="282"/>
    <w:bookmarkEnd w:id="283"/>
    <w:bookmarkEnd w:id="284"/>
    <w:p>
      <w:pPr>
        <w:spacing w:line="360" w:lineRule="auto"/>
        <w:rPr>
          <w:rFonts w:hint="eastAsia" w:ascii="宋体" w:hAnsi="宋体" w:eastAsia="宋体" w:cs="宋体"/>
          <w:b/>
          <w:color w:val="auto"/>
          <w:szCs w:val="21"/>
          <w:highlight w:val="none"/>
          <w:u w:val="singl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lang w:eastAsia="zh-CN"/>
        </w:rPr>
        <w:t>）</w:t>
      </w:r>
      <w:r>
        <w:rPr>
          <w:rFonts w:hint="eastAsia" w:ascii="宋体" w:hAnsi="宋体" w:eastAsia="宋体" w:cs="宋体"/>
          <w:b/>
          <w:color w:val="auto"/>
          <w:szCs w:val="21"/>
          <w:highlight w:val="none"/>
          <w:u w:val="single"/>
        </w:rPr>
        <w:t>报价人应对照合同响应，如实地填写“偏离情况”，“偏离情况”项为正偏离（或负偏离）的，必须在“具体偏离内容”项内详细说明与合同的偏离内容，“偏离情况”项为无偏离的，在“具体偏离内容”项内填“无偏离”。若发现此表未逐条填写视为完全满足合同的要求</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lang w:eastAsia="zh-CN"/>
        </w:rPr>
        <w:t>）</w:t>
      </w:r>
      <w:r>
        <w:rPr>
          <w:rFonts w:hint="eastAsia" w:ascii="宋体" w:hAnsi="宋体" w:eastAsia="宋体" w:cs="宋体"/>
          <w:b/>
          <w:color w:val="auto"/>
          <w:szCs w:val="21"/>
          <w:highlight w:val="none"/>
          <w:u w:val="single"/>
        </w:rPr>
        <w:t>若发现虚假填写本表，或伪造、变造证明材料，或对合同及其附件响应有重大的负偏离导致采购人利益无法得到保障、存在采购人无法接受的风险的，按无效响应处理</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偏离情况分为：正偏离、负偏离、无偏离。正偏离是指报价人提供的货物/服务/工程优于合同的要求；负偏离是指报价人提供的货物/服务/工程不满足或不完全满足合同的要求；无偏离是指报价人提供的货物/服务/工程完全满足合同的要求。  </w:t>
      </w:r>
    </w:p>
    <w:p>
      <w:pPr>
        <w:spacing w:line="360" w:lineRule="auto"/>
        <w:outlineLvl w:val="9"/>
        <w:rPr>
          <w:rFonts w:hint="eastAsia" w:ascii="宋体" w:hAnsi="宋体" w:eastAsia="宋体" w:cs="宋体"/>
          <w:color w:val="auto"/>
          <w:szCs w:val="21"/>
          <w:highlight w:val="none"/>
        </w:rPr>
      </w:pPr>
      <w:bookmarkStart w:id="293" w:name="_Toc8205"/>
      <w:bookmarkStart w:id="294" w:name="_Toc5941"/>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如报价人差异内容较多可另附页说明。</w:t>
      </w:r>
      <w:bookmarkEnd w:id="293"/>
      <w:bookmarkEnd w:id="294"/>
    </w:p>
    <w:p>
      <w:pPr>
        <w:spacing w:line="360" w:lineRule="auto"/>
        <w:ind w:firstLine="5040" w:firstLineChars="2400"/>
        <w:jc w:val="right"/>
        <w:rPr>
          <w:color w:val="auto"/>
          <w:szCs w:val="21"/>
          <w:highlight w:val="none"/>
          <w:lang w:val="zh-CN"/>
        </w:rPr>
      </w:pPr>
      <w:r>
        <w:rPr>
          <w:color w:val="auto"/>
          <w:szCs w:val="21"/>
          <w:highlight w:val="none"/>
          <w:lang w:val="zh-CN"/>
        </w:rPr>
        <w:t>报价人：（加盖报价人法人公章）</w:t>
      </w:r>
    </w:p>
    <w:p>
      <w:pPr>
        <w:spacing w:line="360" w:lineRule="auto"/>
        <w:ind w:firstLine="5040" w:firstLineChars="2400"/>
        <w:jc w:val="right"/>
        <w:rPr>
          <w:color w:val="auto"/>
          <w:szCs w:val="21"/>
          <w:highlight w:val="none"/>
          <w:lang w:val="zh-CN"/>
        </w:rPr>
      </w:pPr>
      <w:r>
        <w:rPr>
          <w:color w:val="auto"/>
          <w:szCs w:val="21"/>
          <w:highlight w:val="none"/>
          <w:lang w:val="zh-CN"/>
        </w:rPr>
        <w:t>日期：</w:t>
      </w:r>
      <w:r>
        <w:rPr>
          <w:rFonts w:hint="eastAsia"/>
          <w:color w:val="auto"/>
          <w:szCs w:val="21"/>
          <w:highlight w:val="none"/>
          <w:lang w:val="zh-CN"/>
        </w:rPr>
        <w:t xml:space="preserve"> </w:t>
      </w:r>
      <w:r>
        <w:rPr>
          <w:color w:val="auto"/>
          <w:szCs w:val="21"/>
          <w:highlight w:val="none"/>
          <w:lang w:val="zh-CN"/>
        </w:rPr>
        <w:t xml:space="preserve">  年</w:t>
      </w:r>
      <w:r>
        <w:rPr>
          <w:rFonts w:hint="eastAsia"/>
          <w:color w:val="auto"/>
          <w:szCs w:val="21"/>
          <w:highlight w:val="none"/>
          <w:lang w:val="zh-CN"/>
        </w:rPr>
        <w:t xml:space="preserve"> </w:t>
      </w:r>
      <w:r>
        <w:rPr>
          <w:color w:val="auto"/>
          <w:szCs w:val="21"/>
          <w:highlight w:val="none"/>
          <w:lang w:val="zh-CN"/>
        </w:rPr>
        <w:t xml:space="preserve">  月</w:t>
      </w:r>
      <w:r>
        <w:rPr>
          <w:rFonts w:hint="eastAsia"/>
          <w:color w:val="auto"/>
          <w:szCs w:val="21"/>
          <w:highlight w:val="none"/>
          <w:lang w:val="zh-CN"/>
        </w:rPr>
        <w:t xml:space="preserve"> </w:t>
      </w:r>
      <w:r>
        <w:rPr>
          <w:color w:val="auto"/>
          <w:szCs w:val="21"/>
          <w:highlight w:val="none"/>
          <w:lang w:val="zh-CN"/>
        </w:rPr>
        <w:t xml:space="preserve">  日</w:t>
      </w:r>
    </w:p>
    <w:p>
      <w:pPr>
        <w:pStyle w:val="5"/>
        <w:pageBreakBefore/>
        <w:numPr>
          <w:ilvl w:val="-1"/>
          <w:numId w:val="0"/>
        </w:numPr>
        <w:snapToGrid w:val="0"/>
        <w:spacing w:before="0" w:after="313" w:afterLines="100" w:line="360" w:lineRule="auto"/>
        <w:ind w:firstLine="0" w:firstLineChars="0"/>
        <w:jc w:val="center"/>
        <w:rPr>
          <w:rFonts w:hint="eastAsia" w:ascii="宋体" w:hAnsi="宋体" w:eastAsia="宋体"/>
          <w:color w:val="auto"/>
          <w:sz w:val="36"/>
          <w:szCs w:val="36"/>
          <w:highlight w:val="none"/>
        </w:rPr>
      </w:pPr>
      <w:bookmarkStart w:id="295" w:name="_Toc2948"/>
      <w:bookmarkStart w:id="296" w:name="_Toc2313"/>
      <w:bookmarkStart w:id="297" w:name="_Toc34746056"/>
      <w:bookmarkStart w:id="298" w:name="_Toc34746364"/>
      <w:bookmarkStart w:id="299" w:name="_Toc34752519"/>
      <w:bookmarkStart w:id="300" w:name="_Toc34745989"/>
      <w:r>
        <w:rPr>
          <w:rFonts w:hint="eastAsia" w:ascii="宋体" w:hAnsi="宋体" w:eastAsia="宋体"/>
          <w:color w:val="auto"/>
          <w:sz w:val="36"/>
          <w:szCs w:val="36"/>
          <w:highlight w:val="none"/>
          <w:lang w:val="en-US" w:eastAsia="zh-CN"/>
        </w:rPr>
        <w:t>（六）</w:t>
      </w:r>
      <w:r>
        <w:rPr>
          <w:rFonts w:hint="eastAsia" w:ascii="宋体" w:hAnsi="宋体" w:eastAsia="宋体"/>
          <w:color w:val="auto"/>
          <w:sz w:val="36"/>
          <w:szCs w:val="36"/>
          <w:highlight w:val="none"/>
        </w:rPr>
        <w:t>拟投入</w:t>
      </w:r>
      <w:r>
        <w:rPr>
          <w:rFonts w:hint="eastAsia" w:ascii="宋体" w:hAnsi="宋体" w:eastAsia="宋体"/>
          <w:color w:val="auto"/>
          <w:sz w:val="36"/>
          <w:szCs w:val="36"/>
          <w:highlight w:val="none"/>
          <w:lang w:val="en-US" w:eastAsia="zh-CN"/>
        </w:rPr>
        <w:t>本项目的服务</w:t>
      </w:r>
      <w:r>
        <w:rPr>
          <w:rFonts w:hint="eastAsia" w:ascii="宋体" w:hAnsi="宋体" w:eastAsia="宋体"/>
          <w:color w:val="auto"/>
          <w:sz w:val="36"/>
          <w:szCs w:val="36"/>
          <w:highlight w:val="none"/>
        </w:rPr>
        <w:t>人员清单表</w:t>
      </w:r>
      <w:bookmarkEnd w:id="295"/>
      <w:bookmarkEnd w:id="296"/>
    </w:p>
    <w:tbl>
      <w:tblPr>
        <w:tblStyle w:val="16"/>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446"/>
        <w:gridCol w:w="677"/>
        <w:gridCol w:w="677"/>
        <w:gridCol w:w="804"/>
        <w:gridCol w:w="1135"/>
        <w:gridCol w:w="1177"/>
        <w:gridCol w:w="109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姓名</w:t>
            </w:r>
          </w:p>
        </w:tc>
        <w:tc>
          <w:tcPr>
            <w:tcW w:w="6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性别</w:t>
            </w:r>
          </w:p>
        </w:tc>
        <w:tc>
          <w:tcPr>
            <w:tcW w:w="6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年龄</w:t>
            </w: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学历</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资格证书</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val="en-US" w:eastAsia="zh-CN"/>
              </w:rPr>
              <w:t>现</w:t>
            </w:r>
            <w:r>
              <w:rPr>
                <w:rFonts w:hint="eastAsia" w:ascii="宋体" w:hAnsi="宋体"/>
                <w:color w:val="auto"/>
                <w:sz w:val="21"/>
                <w:szCs w:val="21"/>
                <w:highlight w:val="none"/>
              </w:rPr>
              <w:t>任职务</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从事本行业年限</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r>
    </w:tbl>
    <w:p>
      <w:pPr>
        <w:spacing w:line="360" w:lineRule="auto"/>
        <w:rPr>
          <w:rFonts w:hint="eastAsia" w:ascii="宋体" w:hAnsi="宋体"/>
          <w:color w:val="auto"/>
          <w:sz w:val="21"/>
          <w:szCs w:val="21"/>
          <w:highlight w:val="none"/>
        </w:rPr>
      </w:pPr>
      <w:r>
        <w:rPr>
          <w:rFonts w:hint="eastAsia" w:ascii="宋体" w:hAnsi="宋体"/>
          <w:color w:val="auto"/>
          <w:sz w:val="21"/>
          <w:szCs w:val="21"/>
          <w:highlight w:val="none"/>
        </w:rPr>
        <w:t>备注：</w:t>
      </w:r>
    </w:p>
    <w:p>
      <w:pPr>
        <w:spacing w:line="360" w:lineRule="auto"/>
        <w:ind w:firstLine="285" w:firstLineChars="135"/>
        <w:rPr>
          <w:rFonts w:hint="default" w:ascii="宋体" w:hAnsi="宋体" w:eastAsia="宋体"/>
          <w:b/>
          <w:bCs/>
          <w:color w:val="auto"/>
          <w:sz w:val="21"/>
          <w:szCs w:val="21"/>
          <w:highlight w:val="none"/>
          <w:u w:val="single"/>
          <w:lang w:val="en-US" w:eastAsia="zh-CN"/>
        </w:rPr>
      </w:pPr>
      <w:r>
        <w:rPr>
          <w:rFonts w:hint="eastAsia" w:ascii="宋体" w:hAnsi="宋体"/>
          <w:b/>
          <w:bCs/>
          <w:color w:val="auto"/>
          <w:sz w:val="21"/>
          <w:szCs w:val="21"/>
          <w:highlight w:val="none"/>
          <w:u w:val="single"/>
        </w:rPr>
        <w:t>（1）</w:t>
      </w:r>
      <w:r>
        <w:rPr>
          <w:rFonts w:hint="eastAsia" w:ascii="宋体" w:hAnsi="宋体"/>
          <w:b/>
          <w:bCs/>
          <w:color w:val="auto"/>
          <w:sz w:val="21"/>
          <w:szCs w:val="21"/>
          <w:highlight w:val="none"/>
          <w:u w:val="single"/>
          <w:lang w:val="en-US" w:eastAsia="zh-CN"/>
        </w:rPr>
        <w:t>该人员清单表为报价人实际投入本项目的服务人员。如需更换人员，新更换的人员履历（如从事本行业年限）须优于被更换人员履历。</w:t>
      </w:r>
    </w:p>
    <w:p>
      <w:pPr>
        <w:spacing w:line="360" w:lineRule="auto"/>
        <w:ind w:firstLine="285" w:firstLineChars="135"/>
        <w:rPr>
          <w:rFonts w:hint="default" w:ascii="宋体" w:hAnsi="宋体"/>
          <w:b/>
          <w:bCs/>
          <w:color w:val="auto"/>
          <w:sz w:val="21"/>
          <w:szCs w:val="21"/>
          <w:highlight w:val="none"/>
          <w:u w:val="single"/>
          <w:lang w:val="en-US" w:eastAsia="zh-CN"/>
        </w:rPr>
      </w:pPr>
      <w:r>
        <w:rPr>
          <w:rFonts w:hint="eastAsia" w:ascii="宋体" w:hAnsi="宋体"/>
          <w:b/>
          <w:bCs/>
          <w:color w:val="auto"/>
          <w:sz w:val="21"/>
          <w:szCs w:val="21"/>
          <w:highlight w:val="none"/>
          <w:u w:val="single"/>
          <w:lang w:eastAsia="zh-CN"/>
        </w:rPr>
        <w:t>（</w:t>
      </w:r>
      <w:r>
        <w:rPr>
          <w:rFonts w:hint="eastAsia" w:ascii="宋体" w:hAnsi="宋体"/>
          <w:b/>
          <w:bCs/>
          <w:color w:val="auto"/>
          <w:sz w:val="21"/>
          <w:szCs w:val="21"/>
          <w:highlight w:val="none"/>
          <w:u w:val="single"/>
          <w:lang w:val="en-US" w:eastAsia="zh-CN"/>
        </w:rPr>
        <w:t>2</w:t>
      </w:r>
      <w:r>
        <w:rPr>
          <w:rFonts w:hint="eastAsia" w:ascii="宋体" w:hAnsi="宋体"/>
          <w:b/>
          <w:bCs/>
          <w:color w:val="auto"/>
          <w:sz w:val="21"/>
          <w:szCs w:val="21"/>
          <w:highlight w:val="none"/>
          <w:u w:val="single"/>
          <w:lang w:eastAsia="zh-CN"/>
        </w:rPr>
        <w:t>）</w:t>
      </w:r>
      <w:r>
        <w:rPr>
          <w:rFonts w:hint="eastAsia" w:ascii="宋体" w:hAnsi="宋体"/>
          <w:b/>
          <w:bCs/>
          <w:color w:val="auto"/>
          <w:sz w:val="21"/>
          <w:szCs w:val="21"/>
          <w:highlight w:val="none"/>
          <w:u w:val="single"/>
          <w:lang w:val="en-US" w:eastAsia="zh-CN"/>
        </w:rPr>
        <w:t>报价人需提供上述人员有效期内的身份证、资格证书、劳动合同（工作经验可以劳动合同关系年限累计，不限于就职报价单位的经验，但当前必须为报价人职工且现任岗位需为</w:t>
      </w:r>
      <w:r>
        <w:rPr>
          <w:rFonts w:hint="eastAsia" w:ascii="宋体" w:hAnsi="宋体" w:eastAsia="宋体" w:cs="宋体"/>
          <w:b/>
          <w:bCs/>
          <w:color w:val="auto"/>
          <w:sz w:val="21"/>
          <w:szCs w:val="21"/>
          <w:highlight w:val="none"/>
          <w:u w:val="single"/>
          <w:lang w:val="zh-CN"/>
        </w:rPr>
        <w:t>资产评估师</w:t>
      </w:r>
      <w:r>
        <w:rPr>
          <w:rFonts w:hint="eastAsia" w:ascii="宋体" w:hAnsi="宋体" w:cs="宋体"/>
          <w:b/>
          <w:bCs/>
          <w:color w:val="auto"/>
          <w:sz w:val="21"/>
          <w:szCs w:val="21"/>
          <w:highlight w:val="none"/>
          <w:u w:val="single"/>
          <w:lang w:val="en-US" w:eastAsia="zh-CN"/>
        </w:rPr>
        <w:t>的人数不低于2名，均具有3年以上的资产评估工作经验</w:t>
      </w:r>
      <w:r>
        <w:rPr>
          <w:rFonts w:hint="eastAsia" w:ascii="宋体" w:hAnsi="宋体"/>
          <w:b/>
          <w:bCs/>
          <w:color w:val="auto"/>
          <w:sz w:val="21"/>
          <w:szCs w:val="21"/>
          <w:highlight w:val="none"/>
          <w:u w:val="single"/>
          <w:lang w:val="en-US" w:eastAsia="zh-CN"/>
        </w:rPr>
        <w:t>），并提供报价人2023年12月、2024年1月、2024年2月为上述人员缴纳的社会保险证明复印件，否则视为报价人未提供该人员资料。</w:t>
      </w:r>
    </w:p>
    <w:p>
      <w:pPr>
        <w:spacing w:line="360" w:lineRule="auto"/>
        <w:ind w:firstLine="283" w:firstLineChars="135"/>
        <w:rPr>
          <w:rFonts w:hint="eastAsia"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lang w:eastAsia="zh-CN"/>
        </w:rPr>
        <w:t>）</w:t>
      </w:r>
      <w:r>
        <w:rPr>
          <w:rFonts w:hint="eastAsia" w:ascii="宋体" w:hAnsi="宋体"/>
          <w:color w:val="auto"/>
          <w:sz w:val="21"/>
          <w:szCs w:val="21"/>
          <w:highlight w:val="none"/>
        </w:rPr>
        <w:t>此表格式供参照，</w:t>
      </w:r>
      <w:r>
        <w:rPr>
          <w:rFonts w:hint="eastAsia" w:ascii="宋体" w:hAnsi="宋体"/>
          <w:color w:val="auto"/>
          <w:sz w:val="21"/>
          <w:szCs w:val="21"/>
          <w:highlight w:val="none"/>
          <w:lang w:val="en-US" w:eastAsia="zh-CN"/>
        </w:rPr>
        <w:t>报价人</w:t>
      </w:r>
      <w:r>
        <w:rPr>
          <w:rFonts w:hint="eastAsia" w:ascii="宋体" w:hAnsi="宋体"/>
          <w:color w:val="auto"/>
          <w:sz w:val="21"/>
          <w:szCs w:val="21"/>
          <w:highlight w:val="none"/>
        </w:rPr>
        <w:t>可以根据本表格式内容自行划表填写。</w:t>
      </w:r>
    </w:p>
    <w:p>
      <w:pPr>
        <w:spacing w:line="360" w:lineRule="auto"/>
        <w:ind w:firstLine="283" w:firstLineChars="135"/>
        <w:outlineLvl w:val="9"/>
        <w:rPr>
          <w:rFonts w:hint="eastAsia" w:ascii="宋体" w:hAnsi="宋体"/>
          <w:color w:val="auto"/>
          <w:sz w:val="21"/>
          <w:szCs w:val="21"/>
          <w:highlight w:val="none"/>
        </w:rPr>
      </w:pPr>
      <w:bookmarkStart w:id="301" w:name="_Toc19409"/>
      <w:bookmarkStart w:id="302" w:name="_Toc5607"/>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）拟投入本项目的</w:t>
      </w:r>
      <w:r>
        <w:rPr>
          <w:rFonts w:hint="eastAsia" w:ascii="宋体" w:hAnsi="宋体"/>
          <w:color w:val="auto"/>
          <w:sz w:val="21"/>
          <w:szCs w:val="21"/>
          <w:highlight w:val="none"/>
          <w:lang w:val="en-US" w:eastAsia="zh-CN"/>
        </w:rPr>
        <w:t>资产评估师</w:t>
      </w:r>
      <w:r>
        <w:rPr>
          <w:rFonts w:hint="eastAsia" w:ascii="宋体" w:hAnsi="宋体"/>
          <w:color w:val="auto"/>
          <w:sz w:val="21"/>
          <w:szCs w:val="21"/>
          <w:highlight w:val="none"/>
        </w:rPr>
        <w:t>和关键岗位人员需提供简历表。</w:t>
      </w:r>
      <w:bookmarkEnd w:id="301"/>
      <w:bookmarkEnd w:id="302"/>
    </w:p>
    <w:p>
      <w:pPr>
        <w:pStyle w:val="2"/>
        <w:rPr>
          <w:rFonts w:hint="eastAsia" w:ascii="宋体" w:hAnsi="宋体"/>
          <w:color w:val="auto"/>
          <w:sz w:val="21"/>
          <w:szCs w:val="21"/>
          <w:highlight w:val="none"/>
        </w:rPr>
      </w:pPr>
    </w:p>
    <w:p>
      <w:pPr>
        <w:rPr>
          <w:rFonts w:hint="eastAsia" w:ascii="宋体" w:hAnsi="宋体" w:eastAsia="宋体"/>
          <w:b/>
          <w:color w:val="auto"/>
          <w:sz w:val="30"/>
          <w:szCs w:val="30"/>
          <w:highlight w:val="none"/>
        </w:rPr>
      </w:pPr>
      <w:bookmarkStart w:id="303" w:name="_Toc37323112"/>
      <w:bookmarkStart w:id="304" w:name="_Toc35338204"/>
    </w:p>
    <w:p>
      <w:pPr>
        <w:pStyle w:val="43"/>
        <w:adjustRightInd w:val="0"/>
        <w:snapToGrid w:val="0"/>
        <w:spacing w:after="313" w:afterLines="100"/>
        <w:jc w:val="center"/>
        <w:rPr>
          <w:rFonts w:hint="eastAsia" w:ascii="宋体" w:hAnsi="宋体"/>
          <w:b/>
          <w:color w:val="auto"/>
          <w:sz w:val="30"/>
          <w:szCs w:val="30"/>
          <w:highlight w:val="none"/>
        </w:rPr>
      </w:pPr>
      <w:r>
        <w:rPr>
          <w:rFonts w:hint="eastAsia" w:ascii="宋体" w:hAnsi="宋体" w:eastAsia="宋体"/>
          <w:b/>
          <w:color w:val="auto"/>
          <w:sz w:val="30"/>
          <w:szCs w:val="30"/>
          <w:highlight w:val="none"/>
        </w:rPr>
        <w:t>简历表格式</w:t>
      </w:r>
      <w:bookmarkEnd w:id="303"/>
      <w:bookmarkEnd w:id="304"/>
    </w:p>
    <w:p>
      <w:pPr>
        <w:adjustRightInd w:val="0"/>
        <w:snapToGrid w:val="0"/>
        <w:spacing w:after="157" w:afterLines="50" w:line="360" w:lineRule="auto"/>
        <w:jc w:val="center"/>
        <w:rPr>
          <w:rFonts w:hint="eastAsia" w:ascii="宋体" w:hAnsi="宋体"/>
          <w:b/>
          <w:color w:val="auto"/>
          <w:sz w:val="30"/>
          <w:szCs w:val="30"/>
          <w:highlight w:val="none"/>
        </w:rPr>
      </w:pPr>
      <w:r>
        <w:rPr>
          <w:rFonts w:hint="eastAsia" w:ascii="宋体" w:hAnsi="宋体"/>
          <w:b/>
          <w:color w:val="auto"/>
          <w:sz w:val="30"/>
          <w:szCs w:val="30"/>
          <w:highlight w:val="none"/>
        </w:rPr>
        <w:t>拟担任本项目</w:t>
      </w:r>
      <w:r>
        <w:rPr>
          <w:rFonts w:hint="eastAsia" w:ascii="宋体" w:hAnsi="宋体"/>
          <w:b/>
          <w:color w:val="auto"/>
          <w:sz w:val="30"/>
          <w:szCs w:val="30"/>
          <w:highlight w:val="none"/>
          <w:u w:val="single"/>
        </w:rPr>
        <w:t xml:space="preserve">     （职位名称）  </w:t>
      </w:r>
      <w:r>
        <w:rPr>
          <w:rFonts w:hint="eastAsia" w:ascii="宋体" w:hAnsi="宋体"/>
          <w:b/>
          <w:color w:val="auto"/>
          <w:sz w:val="30"/>
          <w:szCs w:val="30"/>
          <w:highlight w:val="none"/>
        </w:rPr>
        <w:t>人员简历表</w:t>
      </w:r>
    </w:p>
    <w:tbl>
      <w:tblPr>
        <w:tblStyle w:val="16"/>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657"/>
        <w:gridCol w:w="1443"/>
        <w:gridCol w:w="700"/>
        <w:gridCol w:w="1190"/>
        <w:gridCol w:w="1107"/>
        <w:gridCol w:w="353"/>
        <w:gridCol w:w="875"/>
        <w:gridCol w:w="313"/>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姓名</w:t>
            </w: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89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性别</w:t>
            </w:r>
          </w:p>
        </w:tc>
        <w:tc>
          <w:tcPr>
            <w:tcW w:w="146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年龄</w:t>
            </w:r>
          </w:p>
        </w:tc>
        <w:tc>
          <w:tcPr>
            <w:tcW w:w="168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职务</w:t>
            </w: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89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资格或职称</w:t>
            </w:r>
          </w:p>
        </w:tc>
        <w:tc>
          <w:tcPr>
            <w:tcW w:w="146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学历</w:t>
            </w:r>
          </w:p>
        </w:tc>
        <w:tc>
          <w:tcPr>
            <w:tcW w:w="168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 w:val="21"/>
                <w:szCs w:val="21"/>
                <w:highlight w:val="none"/>
              </w:rPr>
            </w:pPr>
          </w:p>
          <w:p>
            <w:pPr>
              <w:spacing w:line="360"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参加工作时间</w:t>
            </w:r>
          </w:p>
        </w:tc>
        <w:tc>
          <w:tcPr>
            <w:tcW w:w="189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233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担任</w:t>
            </w:r>
            <w:r>
              <w:rPr>
                <w:rFonts w:hint="eastAsia" w:ascii="宋体" w:hAnsi="宋体"/>
                <w:b/>
                <w:color w:val="auto"/>
                <w:sz w:val="21"/>
                <w:szCs w:val="21"/>
                <w:highlight w:val="none"/>
                <w:u w:val="single"/>
              </w:rPr>
              <w:t xml:space="preserve"> </w:t>
            </w:r>
            <w:r>
              <w:rPr>
                <w:rFonts w:hint="eastAsia" w:ascii="宋体" w:hAnsi="宋体"/>
                <w:color w:val="auto"/>
                <w:sz w:val="21"/>
                <w:szCs w:val="21"/>
                <w:highlight w:val="none"/>
                <w:u w:val="single"/>
              </w:rPr>
              <w:t xml:space="preserve">    （职位名称）</w:t>
            </w:r>
            <w:r>
              <w:rPr>
                <w:rFonts w:hint="eastAsia" w:ascii="宋体" w:hAnsi="宋体"/>
                <w:color w:val="auto"/>
                <w:sz w:val="21"/>
                <w:szCs w:val="21"/>
                <w:highlight w:val="none"/>
              </w:rPr>
              <w:t>年限</w:t>
            </w:r>
          </w:p>
        </w:tc>
        <w:tc>
          <w:tcPr>
            <w:tcW w:w="168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283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资格证书编号</w:t>
            </w:r>
          </w:p>
        </w:tc>
        <w:tc>
          <w:tcPr>
            <w:tcW w:w="189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233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联系电话</w:t>
            </w:r>
          </w:p>
        </w:tc>
        <w:tc>
          <w:tcPr>
            <w:tcW w:w="168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5" w:type="dxa"/>
            <w:gridSpan w:val="10"/>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目前在任及以往服务项目情况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采购人</w:t>
            </w:r>
          </w:p>
        </w:tc>
        <w:tc>
          <w:tcPr>
            <w:tcW w:w="214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项目名称</w:t>
            </w:r>
          </w:p>
        </w:tc>
        <w:tc>
          <w:tcPr>
            <w:tcW w:w="229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服务内容</w:t>
            </w:r>
          </w:p>
        </w:tc>
        <w:tc>
          <w:tcPr>
            <w:tcW w:w="154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所任职务</w:t>
            </w:r>
          </w:p>
        </w:tc>
        <w:tc>
          <w:tcPr>
            <w:tcW w:w="13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39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214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229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54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39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214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229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54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39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214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229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54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39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214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229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54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p>
        </w:tc>
      </w:tr>
    </w:tbl>
    <w:p>
      <w:pPr>
        <w:pStyle w:val="2"/>
        <w:overflowPunct w:val="0"/>
        <w:spacing w:line="360" w:lineRule="exact"/>
        <w:ind w:firstLine="422"/>
        <w:jc w:val="left"/>
        <w:rPr>
          <w:rFonts w:hint="eastAsia" w:ascii="宋体" w:hAnsi="宋体" w:eastAsia="宋体"/>
          <w:color w:val="auto"/>
          <w:sz w:val="21"/>
          <w:szCs w:val="21"/>
          <w:highlight w:val="none"/>
        </w:rPr>
      </w:pPr>
      <w:r>
        <w:rPr>
          <w:rFonts w:hint="eastAsia" w:ascii="宋体" w:hAnsi="宋体" w:eastAsia="宋体"/>
          <w:b w:val="0"/>
          <w:color w:val="auto"/>
          <w:sz w:val="21"/>
          <w:szCs w:val="21"/>
          <w:highlight w:val="none"/>
        </w:rPr>
        <w:t>备注：</w:t>
      </w:r>
    </w:p>
    <w:p>
      <w:pPr>
        <w:spacing w:line="360" w:lineRule="exact"/>
        <w:ind w:left="815" w:leftChars="118" w:hanging="567" w:hangingChars="270"/>
        <w:jc w:val="both"/>
        <w:outlineLvl w:val="9"/>
        <w:rPr>
          <w:rFonts w:hint="eastAsia" w:ascii="宋体" w:hAnsi="宋体"/>
          <w:color w:val="auto"/>
          <w:sz w:val="21"/>
          <w:szCs w:val="21"/>
          <w:highlight w:val="none"/>
        </w:rPr>
      </w:pPr>
      <w:bookmarkStart w:id="305" w:name="_Toc14267"/>
      <w:bookmarkStart w:id="306" w:name="_Toc9908"/>
      <w:r>
        <w:rPr>
          <w:rFonts w:hint="eastAsia" w:ascii="宋体" w:hAnsi="宋体"/>
          <w:color w:val="auto"/>
          <w:sz w:val="21"/>
          <w:szCs w:val="21"/>
          <w:highlight w:val="none"/>
        </w:rPr>
        <w:t>（1）拟投入本项目的</w:t>
      </w:r>
      <w:r>
        <w:rPr>
          <w:rFonts w:hint="eastAsia" w:ascii="宋体" w:hAnsi="宋体"/>
          <w:color w:val="auto"/>
          <w:sz w:val="21"/>
          <w:szCs w:val="21"/>
          <w:highlight w:val="none"/>
          <w:lang w:val="en-US" w:eastAsia="zh-CN"/>
        </w:rPr>
        <w:t>资产评估师和</w:t>
      </w:r>
      <w:r>
        <w:rPr>
          <w:rFonts w:hint="eastAsia" w:ascii="宋体" w:hAnsi="宋体"/>
          <w:color w:val="auto"/>
          <w:sz w:val="21"/>
          <w:szCs w:val="21"/>
          <w:highlight w:val="none"/>
        </w:rPr>
        <w:t>关键岗位人员需提供简历表。</w:t>
      </w:r>
      <w:bookmarkEnd w:id="305"/>
      <w:bookmarkEnd w:id="306"/>
    </w:p>
    <w:p>
      <w:pPr>
        <w:spacing w:line="360" w:lineRule="exact"/>
        <w:ind w:left="815" w:leftChars="118" w:hanging="567" w:hangingChars="270"/>
        <w:jc w:val="both"/>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zh-CN" w:eastAsia="zh-CN"/>
        </w:rPr>
        <w:t>（</w:t>
      </w:r>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lang w:val="zh-CN" w:eastAsia="zh-CN"/>
        </w:rPr>
        <w:t>）此表格式供参照，</w:t>
      </w:r>
      <w:r>
        <w:rPr>
          <w:rFonts w:hint="eastAsia" w:ascii="宋体" w:hAnsi="宋体" w:cs="Times New Roman"/>
          <w:color w:val="auto"/>
          <w:sz w:val="21"/>
          <w:szCs w:val="21"/>
          <w:highlight w:val="none"/>
          <w:lang w:val="en-US" w:eastAsia="zh-CN"/>
        </w:rPr>
        <w:t>报价人</w:t>
      </w:r>
      <w:r>
        <w:rPr>
          <w:rFonts w:hint="eastAsia" w:ascii="宋体" w:hAnsi="宋体" w:eastAsia="宋体" w:cs="Times New Roman"/>
          <w:color w:val="auto"/>
          <w:sz w:val="21"/>
          <w:szCs w:val="21"/>
          <w:highlight w:val="none"/>
          <w:lang w:val="zh-CN" w:eastAsia="zh-CN"/>
        </w:rPr>
        <w:t>可以根据本表格式内容自行划表填写。</w:t>
      </w:r>
    </w:p>
    <w:p>
      <w:pPr>
        <w:pStyle w:val="3"/>
        <w:rPr>
          <w:rFonts w:hint="eastAsia" w:ascii="宋体" w:hAnsi="宋体"/>
          <w:color w:val="auto"/>
          <w:sz w:val="21"/>
          <w:szCs w:val="21"/>
          <w:highlight w:val="none"/>
        </w:rPr>
      </w:pPr>
    </w:p>
    <w:p>
      <w:pPr>
        <w:numPr>
          <w:ilvl w:val="-1"/>
          <w:numId w:val="0"/>
        </w:numPr>
        <w:ind w:firstLine="0" w:firstLineChars="0"/>
        <w:rPr>
          <w:rFonts w:hint="eastAsia"/>
          <w:color w:val="auto"/>
          <w:highlight w:val="none"/>
        </w:rPr>
      </w:pPr>
    </w:p>
    <w:p>
      <w:pPr>
        <w:pStyle w:val="5"/>
        <w:pageBreakBefore/>
        <w:spacing w:before="0" w:after="0" w:line="360" w:lineRule="auto"/>
        <w:jc w:val="center"/>
        <w:rPr>
          <w:rFonts w:hint="eastAsia" w:ascii="宋体" w:hAnsi="宋体" w:eastAsia="宋体"/>
          <w:color w:val="auto"/>
          <w:sz w:val="36"/>
          <w:szCs w:val="36"/>
          <w:highlight w:val="none"/>
        </w:rPr>
      </w:pPr>
      <w:bookmarkStart w:id="307" w:name="_Toc27257"/>
      <w:bookmarkStart w:id="308" w:name="_Toc5897"/>
      <w:r>
        <w:rPr>
          <w:rFonts w:hint="eastAsia" w:ascii="宋体" w:hAnsi="宋体" w:eastAsia="宋体"/>
          <w:color w:val="auto"/>
          <w:sz w:val="36"/>
          <w:szCs w:val="36"/>
          <w:highlight w:val="none"/>
          <w:lang w:val="en-US" w:eastAsia="zh-CN"/>
        </w:rPr>
        <w:t>（七）</w:t>
      </w:r>
      <w:r>
        <w:rPr>
          <w:rFonts w:hint="eastAsia" w:ascii="宋体" w:hAnsi="宋体" w:eastAsia="宋体"/>
          <w:color w:val="auto"/>
          <w:sz w:val="36"/>
          <w:szCs w:val="36"/>
          <w:highlight w:val="none"/>
        </w:rPr>
        <w:t>报价人认为需要提供的其他证明材料</w:t>
      </w:r>
      <w:bookmarkEnd w:id="307"/>
      <w:bookmarkEnd w:id="308"/>
    </w:p>
    <w:p>
      <w:pPr>
        <w:pStyle w:val="2"/>
        <w:spacing w:after="0" w:line="360" w:lineRule="auto"/>
        <w:rPr>
          <w:rFonts w:hint="eastAsia" w:eastAsia="宋体"/>
          <w:color w:val="auto"/>
          <w:highlight w:val="none"/>
        </w:rPr>
      </w:pPr>
    </w:p>
    <w:p>
      <w:pPr>
        <w:pStyle w:val="2"/>
        <w:spacing w:after="0" w:line="360" w:lineRule="auto"/>
        <w:rPr>
          <w:rFonts w:hint="eastAsia" w:eastAsia="宋体"/>
          <w:color w:val="auto"/>
          <w:highlight w:val="none"/>
        </w:rPr>
      </w:pPr>
      <w:r>
        <w:rPr>
          <w:rFonts w:hint="eastAsia"/>
          <w:color w:val="auto"/>
          <w:highlight w:val="none"/>
          <w:lang w:val="en-US" w:eastAsia="zh-CN"/>
        </w:rPr>
        <w:t>7.1</w:t>
      </w:r>
      <w:r>
        <w:rPr>
          <w:rFonts w:hint="eastAsia" w:eastAsia="宋体"/>
          <w:color w:val="auto"/>
          <w:highlight w:val="none"/>
          <w:lang w:val="en-US" w:eastAsia="zh-CN"/>
        </w:rPr>
        <w:t xml:space="preserve"> </w:t>
      </w:r>
      <w:r>
        <w:rPr>
          <w:rFonts w:hint="eastAsia" w:eastAsia="宋体"/>
          <w:color w:val="auto"/>
          <w:highlight w:val="none"/>
        </w:rPr>
        <w:t>报价人认为有必要提供证明履约能力的其他材料。</w:t>
      </w:r>
    </w:p>
    <w:p>
      <w:pPr>
        <w:pStyle w:val="2"/>
        <w:spacing w:after="0" w:line="360" w:lineRule="auto"/>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tabs>
          <w:tab w:val="left" w:pos="4810"/>
        </w:tabs>
        <w:rPr>
          <w:color w:val="auto"/>
          <w:highlight w:val="none"/>
        </w:rPr>
      </w:pPr>
      <w:r>
        <w:rPr>
          <w:color w:val="auto"/>
          <w:highlight w:val="none"/>
        </w:rPr>
        <w:tab/>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widowControl/>
        <w:jc w:val="left"/>
        <w:rPr>
          <w:rFonts w:ascii="宋体" w:hAnsi="宋体"/>
          <w:b/>
          <w:bCs/>
          <w:color w:val="auto"/>
          <w:kern w:val="0"/>
          <w:sz w:val="30"/>
          <w:szCs w:val="30"/>
          <w:highlight w:val="none"/>
          <w:lang w:val="zh-CN"/>
        </w:rPr>
      </w:pPr>
      <w:bookmarkStart w:id="309" w:name="_Toc50572990"/>
      <w:bookmarkStart w:id="310" w:name="_Toc50056873"/>
      <w:bookmarkStart w:id="311" w:name="_Toc51333935"/>
      <w:r>
        <w:rPr>
          <w:rFonts w:ascii="宋体" w:hAnsi="宋体"/>
          <w:color w:val="auto"/>
          <w:sz w:val="30"/>
          <w:szCs w:val="30"/>
          <w:highlight w:val="none"/>
          <w:lang w:val="zh-CN"/>
        </w:rPr>
        <w:br w:type="page"/>
      </w:r>
    </w:p>
    <w:p>
      <w:pPr>
        <w:pStyle w:val="14"/>
        <w:spacing w:line="360" w:lineRule="auto"/>
        <w:jc w:val="left"/>
        <w:outlineLvl w:val="1"/>
        <w:rPr>
          <w:rFonts w:hint="eastAsia" w:ascii="宋体" w:hAnsi="宋体" w:eastAsia="宋体"/>
          <w:color w:val="auto"/>
          <w:sz w:val="30"/>
          <w:szCs w:val="30"/>
          <w:highlight w:val="none"/>
          <w:lang w:val="zh-CN"/>
        </w:rPr>
      </w:pPr>
      <w:bookmarkStart w:id="312" w:name="_Toc14340"/>
      <w:bookmarkStart w:id="313" w:name="_Toc17148"/>
      <w:r>
        <w:rPr>
          <w:rFonts w:hint="eastAsia" w:ascii="宋体" w:hAnsi="宋体" w:eastAsia="宋体"/>
          <w:color w:val="auto"/>
          <w:sz w:val="30"/>
          <w:szCs w:val="30"/>
          <w:highlight w:val="none"/>
          <w:lang w:val="zh-CN"/>
        </w:rPr>
        <w:t>二、报价文件电子文档</w:t>
      </w:r>
      <w:bookmarkEnd w:id="309"/>
      <w:bookmarkEnd w:id="310"/>
      <w:bookmarkEnd w:id="311"/>
      <w:bookmarkEnd w:id="312"/>
      <w:bookmarkEnd w:id="313"/>
    </w:p>
    <w:p>
      <w:pPr>
        <w:pStyle w:val="2"/>
        <w:spacing w:line="360" w:lineRule="auto"/>
        <w:ind w:firstLine="420" w:firstLineChars="200"/>
        <w:rPr>
          <w:color w:val="auto"/>
          <w:highlight w:val="none"/>
        </w:rPr>
      </w:pPr>
      <w:r>
        <w:rPr>
          <w:rFonts w:hint="eastAsia" w:eastAsia="宋体"/>
          <w:color w:val="auto"/>
          <w:highlight w:val="none"/>
        </w:rPr>
        <w:t>报价文件电子文档应为签字、盖章后的报价文件扫描的PDF格式电子文件，应为全套报价文件的有效的、未经压缩处理的电子版本，内容与提交纸质盖章版报价文件一致，</w:t>
      </w:r>
      <w:r>
        <w:rPr>
          <w:rFonts w:hint="eastAsia" w:eastAsia="宋体"/>
          <w:color w:val="auto"/>
          <w:highlight w:val="none"/>
          <w:lang w:val="zh-CN"/>
        </w:rPr>
        <w:t>电子文档不可设置密码，用DVD或CD-R光盘或U盘储存，与报价文件一起密封提交，如用U盘储存，待本项目开标结束后，采购人将电子文档拷贝后将U盘退还报价人。</w:t>
      </w:r>
      <w:bookmarkEnd w:id="297"/>
      <w:bookmarkEnd w:id="298"/>
      <w:bookmarkEnd w:id="299"/>
      <w:bookmarkEnd w:id="300"/>
    </w:p>
    <w:sectPr>
      <w:footerReference r:id="rId10" w:type="first"/>
      <w:footerReference r:id="rId8" w:type="default"/>
      <w:footerReference r:id="rId9" w:type="even"/>
      <w:pgSz w:w="11906" w:h="16838"/>
      <w:pgMar w:top="1440" w:right="1983" w:bottom="1440" w:left="162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Fonts w:eastAsia="宋体"/>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pPr>
                      <w:pStyle w:val="9"/>
                      <w:rPr>
                        <w:rFonts w:eastAsia="宋体"/>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Fonts w:eastAsia="宋体"/>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9"/>
                      <w:rPr>
                        <w:rFonts w:eastAsia="宋体"/>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9"/>
                            <w:jc w:val="center"/>
                          </w:pPr>
                          <w:r>
                            <w:fldChar w:fldCharType="begin"/>
                          </w:r>
                          <w:r>
                            <w:instrText xml:space="preserve">PAGE   \* MERGEFORMAT</w:instrText>
                          </w:r>
                          <w:r>
                            <w:fldChar w:fldCharType="separate"/>
                          </w:r>
                          <w:r>
                            <w:rPr>
                              <w:lang w:val="zh-CN"/>
                            </w:rPr>
                            <w:t>20</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DMSwwAgAAZA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GgDMSwwAgAAZAQAAA4AAAAAAAAAAQAgAAAAHwEAAGRycy9lMm9Eb2MueG1sUEsFBgAA&#10;AAAGAAYAWQEAAMEFAAAAAA==&#10;">
              <v:fill on="f" focussize="0,0"/>
              <v:stroke on="f" weight="0.5pt"/>
              <v:imagedata o:title=""/>
              <o:lock v:ext="edit" aspectratio="f"/>
              <v:textbox inset="0mm,0mm,0mm,0mm" style="mso-fit-shape-to-text:t;">
                <w:txbxContent>
                  <w:p>
                    <w:pPr>
                      <w:pStyle w:val="9"/>
                      <w:jc w:val="center"/>
                    </w:pPr>
                    <w:r>
                      <w:fldChar w:fldCharType="begin"/>
                    </w:r>
                    <w:r>
                      <w:instrText xml:space="preserve">PAGE   \* MERGEFORMAT</w:instrText>
                    </w:r>
                    <w:r>
                      <w:fldChar w:fldCharType="separate"/>
                    </w:r>
                    <w:r>
                      <w:rPr>
                        <w:lang w:val="zh-CN"/>
                      </w:rPr>
                      <w:t>20</w:t>
                    </w:r>
                    <w:r>
                      <w:rPr>
                        <w:lang w:val="zh-CN"/>
                      </w:rPr>
                      <w:fldChar w:fldCharType="end"/>
                    </w:r>
                  </w:p>
                </w:txbxContent>
              </v:textbox>
            </v:shape>
          </w:pict>
        </mc:Fallback>
      </mc:AlternateContent>
    </w:r>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jc w:val="center"/>
      <w:rPr>
        <w:rStyle w:val="19"/>
      </w:rPr>
    </w:pPr>
    <w:r>
      <w:fldChar w:fldCharType="begin"/>
    </w:r>
    <w:r>
      <w:rPr>
        <w:rStyle w:val="19"/>
      </w:rPr>
      <w:instrText xml:space="preserve">PAGE  </w:instrText>
    </w:r>
    <w:r>
      <w:fldChar w:fldCharType="end"/>
    </w:r>
  </w:p>
  <w:p>
    <w:pPr>
      <w:pStyle w:val="9"/>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37425688"/>
                            <w:docPartObj>
                              <w:docPartGallery w:val="autotext"/>
                            </w:docPartObj>
                          </w:sdtPr>
                          <w:sdtContent>
                            <w:p>
                              <w:pPr>
                                <w:pStyle w:val="9"/>
                                <w:jc w:val="center"/>
                              </w:pPr>
                              <w:r>
                                <w:fldChar w:fldCharType="begin"/>
                              </w:r>
                              <w:r>
                                <w:instrText xml:space="preserve">PAGE   \* MERGEFORMAT</w:instrText>
                              </w:r>
                              <w:r>
                                <w:fldChar w:fldCharType="separate"/>
                              </w:r>
                              <w:r>
                                <w:rPr>
                                  <w:lang w:val="zh-CN"/>
                                </w:rPr>
                                <w:t>18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037425688"/>
                      <w:docPartObj>
                        <w:docPartGallery w:val="autotext"/>
                      </w:docPartObj>
                    </w:sdtPr>
                    <w:sdtContent>
                      <w:p>
                        <w:pPr>
                          <w:pStyle w:val="9"/>
                          <w:jc w:val="center"/>
                        </w:pPr>
                        <w:r>
                          <w:fldChar w:fldCharType="begin"/>
                        </w:r>
                        <w:r>
                          <w:instrText xml:space="preserve">PAGE   \* MERGEFORMAT</w:instrText>
                        </w:r>
                        <w:r>
                          <w:fldChar w:fldCharType="separate"/>
                        </w:r>
                        <w:r>
                          <w:rPr>
                            <w:lang w:val="zh-CN"/>
                          </w:rPr>
                          <w:t>18</w:t>
                        </w:r>
                        <w:r>
                          <w:fldChar w:fldCharType="end"/>
                        </w:r>
                      </w:p>
                    </w:sdtContent>
                  </w:sdt>
                  <w:p>
                    <w:pPr>
                      <w:pStyle w:val="2"/>
                    </w:pPr>
                  </w:p>
                </w:txbxContent>
              </v:textbox>
            </v:shape>
          </w:pict>
        </mc:Fallback>
      </mc:AlternateConten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eastAsiaTheme="minorEastAsia"/>
        <w:lang w:eastAsia="zh-CN"/>
      </w:rPr>
    </w:pPr>
    <w:r>
      <w:rPr>
        <w:rFonts w:hint="eastAsia" w:ascii="宋体" w:hAnsi="宋体"/>
        <w:szCs w:val="21"/>
        <w:lang w:val="en-US" w:eastAsia="zh-CN"/>
      </w:rPr>
      <w:t>东莞市智汇水务科技有限公司2024年股权、设备资产价值评估单位采购项目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7A0F62"/>
    <w:multiLevelType w:val="singleLevel"/>
    <w:tmpl w:val="CC7A0F62"/>
    <w:lvl w:ilvl="0" w:tentative="0">
      <w:start w:val="1"/>
      <w:numFmt w:val="decimal"/>
      <w:suff w:val="nothing"/>
      <w:lvlText w:val="%1．"/>
      <w:lvlJc w:val="left"/>
    </w:lvl>
  </w:abstractNum>
  <w:abstractNum w:abstractNumId="1">
    <w:nsid w:val="36659A4E"/>
    <w:multiLevelType w:val="singleLevel"/>
    <w:tmpl w:val="36659A4E"/>
    <w:lvl w:ilvl="0" w:tentative="0">
      <w:start w:val="2"/>
      <w:numFmt w:val="chineseCounting"/>
      <w:suff w:val="nothing"/>
      <w:lvlText w:val="%1、"/>
      <w:lvlJc w:val="left"/>
      <w:rPr>
        <w:rFonts w:hint="eastAsia"/>
      </w:rPr>
    </w:lvl>
  </w:abstractNum>
  <w:abstractNum w:abstractNumId="2">
    <w:nsid w:val="7E8B76FF"/>
    <w:multiLevelType w:val="multilevel"/>
    <w:tmpl w:val="7E8B76FF"/>
    <w:lvl w:ilvl="0" w:tentative="0">
      <w:start w:val="1"/>
      <w:numFmt w:val="decimal"/>
      <w:lvlText w:val="%1、"/>
      <w:lvlJc w:val="left"/>
      <w:pPr>
        <w:tabs>
          <w:tab w:val="left" w:pos="360"/>
        </w:tabs>
        <w:ind w:left="340" w:hanging="340"/>
      </w:pPr>
      <w:rPr>
        <w:rFonts w:hint="default"/>
      </w:rPr>
    </w:lvl>
    <w:lvl w:ilvl="1" w:tentative="0">
      <w:start w:val="1"/>
      <w:numFmt w:val="decimal"/>
      <w:lvlText w:val="%2)"/>
      <w:lvlJc w:val="left"/>
      <w:pPr>
        <w:tabs>
          <w:tab w:val="left" w:pos="644"/>
        </w:tabs>
        <w:ind w:left="644" w:hanging="360"/>
      </w:pPr>
      <w:rPr>
        <w:rFonts w:hint="default"/>
      </w:rPr>
    </w:lvl>
    <w:lvl w:ilvl="2" w:tentative="0">
      <w:start w:val="1"/>
      <w:numFmt w:val="decimal"/>
      <w:lvlText w:val="%3）"/>
      <w:lvlJc w:val="left"/>
      <w:pPr>
        <w:tabs>
          <w:tab w:val="left" w:pos="1155"/>
        </w:tabs>
        <w:ind w:left="1155" w:hanging="31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kN2Y3NDk2MTE0OGJkODhhODAyZTgzN2I0YTlmMzYifQ=="/>
  </w:docVars>
  <w:rsids>
    <w:rsidRoot w:val="00172A27"/>
    <w:rsid w:val="00002255"/>
    <w:rsid w:val="00002D33"/>
    <w:rsid w:val="00005416"/>
    <w:rsid w:val="000063B8"/>
    <w:rsid w:val="00006E08"/>
    <w:rsid w:val="0001771A"/>
    <w:rsid w:val="000273CE"/>
    <w:rsid w:val="00031998"/>
    <w:rsid w:val="00032993"/>
    <w:rsid w:val="0003577B"/>
    <w:rsid w:val="00037B36"/>
    <w:rsid w:val="00037B60"/>
    <w:rsid w:val="000436EB"/>
    <w:rsid w:val="0004448C"/>
    <w:rsid w:val="00046A5B"/>
    <w:rsid w:val="00046BC0"/>
    <w:rsid w:val="00046BC1"/>
    <w:rsid w:val="00047141"/>
    <w:rsid w:val="00051E24"/>
    <w:rsid w:val="000565B8"/>
    <w:rsid w:val="0006619A"/>
    <w:rsid w:val="0006716D"/>
    <w:rsid w:val="0007043B"/>
    <w:rsid w:val="00077AEF"/>
    <w:rsid w:val="0008180B"/>
    <w:rsid w:val="00082E5D"/>
    <w:rsid w:val="000832C8"/>
    <w:rsid w:val="000839BA"/>
    <w:rsid w:val="000843DF"/>
    <w:rsid w:val="00093EE9"/>
    <w:rsid w:val="000A1B8C"/>
    <w:rsid w:val="000A5FEB"/>
    <w:rsid w:val="000B0D09"/>
    <w:rsid w:val="000B2175"/>
    <w:rsid w:val="000B4A0F"/>
    <w:rsid w:val="000B79CA"/>
    <w:rsid w:val="000C0B21"/>
    <w:rsid w:val="000C1A3C"/>
    <w:rsid w:val="000C1D56"/>
    <w:rsid w:val="000C43BA"/>
    <w:rsid w:val="000D4E1C"/>
    <w:rsid w:val="000E22F0"/>
    <w:rsid w:val="000F098A"/>
    <w:rsid w:val="000F1301"/>
    <w:rsid w:val="000F35EC"/>
    <w:rsid w:val="000F4E12"/>
    <w:rsid w:val="000F7CE1"/>
    <w:rsid w:val="0010351F"/>
    <w:rsid w:val="001050B0"/>
    <w:rsid w:val="00105856"/>
    <w:rsid w:val="00105F36"/>
    <w:rsid w:val="001064C9"/>
    <w:rsid w:val="00110DED"/>
    <w:rsid w:val="00110E36"/>
    <w:rsid w:val="00110E89"/>
    <w:rsid w:val="0011620B"/>
    <w:rsid w:val="00116603"/>
    <w:rsid w:val="00127604"/>
    <w:rsid w:val="00131300"/>
    <w:rsid w:val="00135B4A"/>
    <w:rsid w:val="00137FFD"/>
    <w:rsid w:val="00142750"/>
    <w:rsid w:val="001439FB"/>
    <w:rsid w:val="00144EBA"/>
    <w:rsid w:val="00147AE9"/>
    <w:rsid w:val="00150B83"/>
    <w:rsid w:val="00150CA9"/>
    <w:rsid w:val="00151106"/>
    <w:rsid w:val="001511D6"/>
    <w:rsid w:val="00154242"/>
    <w:rsid w:val="0015563C"/>
    <w:rsid w:val="00160AB1"/>
    <w:rsid w:val="0016634B"/>
    <w:rsid w:val="00167FC1"/>
    <w:rsid w:val="00173CE4"/>
    <w:rsid w:val="00176B0E"/>
    <w:rsid w:val="00180B96"/>
    <w:rsid w:val="001835F5"/>
    <w:rsid w:val="0018529A"/>
    <w:rsid w:val="0018693C"/>
    <w:rsid w:val="00190457"/>
    <w:rsid w:val="00192562"/>
    <w:rsid w:val="00192618"/>
    <w:rsid w:val="001952A2"/>
    <w:rsid w:val="001975E3"/>
    <w:rsid w:val="001A1558"/>
    <w:rsid w:val="001A4842"/>
    <w:rsid w:val="001A7831"/>
    <w:rsid w:val="001B171F"/>
    <w:rsid w:val="001B7F42"/>
    <w:rsid w:val="001C2C37"/>
    <w:rsid w:val="001D05B2"/>
    <w:rsid w:val="001D10DB"/>
    <w:rsid w:val="001D1410"/>
    <w:rsid w:val="001D2388"/>
    <w:rsid w:val="001D5FD7"/>
    <w:rsid w:val="001E105C"/>
    <w:rsid w:val="001E40C6"/>
    <w:rsid w:val="001E71C0"/>
    <w:rsid w:val="001F6E53"/>
    <w:rsid w:val="0020493A"/>
    <w:rsid w:val="00212470"/>
    <w:rsid w:val="002127B1"/>
    <w:rsid w:val="00215185"/>
    <w:rsid w:val="002152DD"/>
    <w:rsid w:val="002177F2"/>
    <w:rsid w:val="00224FC6"/>
    <w:rsid w:val="00226754"/>
    <w:rsid w:val="00231B64"/>
    <w:rsid w:val="0023619A"/>
    <w:rsid w:val="002366FC"/>
    <w:rsid w:val="002376EB"/>
    <w:rsid w:val="00241923"/>
    <w:rsid w:val="00242C7B"/>
    <w:rsid w:val="00267516"/>
    <w:rsid w:val="00280366"/>
    <w:rsid w:val="00286F31"/>
    <w:rsid w:val="0029082E"/>
    <w:rsid w:val="00291F1E"/>
    <w:rsid w:val="0029319C"/>
    <w:rsid w:val="00293E38"/>
    <w:rsid w:val="00297041"/>
    <w:rsid w:val="002A33AA"/>
    <w:rsid w:val="002A3E70"/>
    <w:rsid w:val="002A7C36"/>
    <w:rsid w:val="002B4E99"/>
    <w:rsid w:val="002B59E0"/>
    <w:rsid w:val="002C2180"/>
    <w:rsid w:val="002C41EC"/>
    <w:rsid w:val="002C4A22"/>
    <w:rsid w:val="002C7E37"/>
    <w:rsid w:val="002D53CD"/>
    <w:rsid w:val="002D6CE2"/>
    <w:rsid w:val="002D7C1A"/>
    <w:rsid w:val="002E052C"/>
    <w:rsid w:val="002F04B2"/>
    <w:rsid w:val="002F111C"/>
    <w:rsid w:val="002F3369"/>
    <w:rsid w:val="00301521"/>
    <w:rsid w:val="00313208"/>
    <w:rsid w:val="00314C39"/>
    <w:rsid w:val="00316A50"/>
    <w:rsid w:val="00320CCE"/>
    <w:rsid w:val="00325423"/>
    <w:rsid w:val="0033340B"/>
    <w:rsid w:val="00336A19"/>
    <w:rsid w:val="0034097A"/>
    <w:rsid w:val="00346103"/>
    <w:rsid w:val="003536F9"/>
    <w:rsid w:val="00353C94"/>
    <w:rsid w:val="003540C9"/>
    <w:rsid w:val="00354597"/>
    <w:rsid w:val="0036180D"/>
    <w:rsid w:val="003627AA"/>
    <w:rsid w:val="00365024"/>
    <w:rsid w:val="00367B48"/>
    <w:rsid w:val="00371E2C"/>
    <w:rsid w:val="00372B75"/>
    <w:rsid w:val="0037428F"/>
    <w:rsid w:val="003752FD"/>
    <w:rsid w:val="0037717D"/>
    <w:rsid w:val="003820F6"/>
    <w:rsid w:val="0038440B"/>
    <w:rsid w:val="0038637F"/>
    <w:rsid w:val="00390D6D"/>
    <w:rsid w:val="00391F89"/>
    <w:rsid w:val="00395E87"/>
    <w:rsid w:val="0039692A"/>
    <w:rsid w:val="003A0AF7"/>
    <w:rsid w:val="003A1EA3"/>
    <w:rsid w:val="003A3DF6"/>
    <w:rsid w:val="003A57B4"/>
    <w:rsid w:val="003A750B"/>
    <w:rsid w:val="003A7A25"/>
    <w:rsid w:val="003B1678"/>
    <w:rsid w:val="003B4210"/>
    <w:rsid w:val="003B5861"/>
    <w:rsid w:val="003B5FE2"/>
    <w:rsid w:val="003C018C"/>
    <w:rsid w:val="003C06C9"/>
    <w:rsid w:val="003C14CE"/>
    <w:rsid w:val="003C3EA5"/>
    <w:rsid w:val="003D0EB4"/>
    <w:rsid w:val="003D2A14"/>
    <w:rsid w:val="003D3A30"/>
    <w:rsid w:val="003D59B2"/>
    <w:rsid w:val="003E1671"/>
    <w:rsid w:val="003E75B5"/>
    <w:rsid w:val="003F0057"/>
    <w:rsid w:val="003F17B5"/>
    <w:rsid w:val="003F1839"/>
    <w:rsid w:val="003F40A9"/>
    <w:rsid w:val="00402E0B"/>
    <w:rsid w:val="00412562"/>
    <w:rsid w:val="004173CB"/>
    <w:rsid w:val="00420182"/>
    <w:rsid w:val="0042243F"/>
    <w:rsid w:val="00422947"/>
    <w:rsid w:val="0042725D"/>
    <w:rsid w:val="00431C5E"/>
    <w:rsid w:val="004425C5"/>
    <w:rsid w:val="00442A4B"/>
    <w:rsid w:val="00444BAF"/>
    <w:rsid w:val="00447FFB"/>
    <w:rsid w:val="00460007"/>
    <w:rsid w:val="004613CF"/>
    <w:rsid w:val="00462ADF"/>
    <w:rsid w:val="00470125"/>
    <w:rsid w:val="0047134B"/>
    <w:rsid w:val="00474BDA"/>
    <w:rsid w:val="004809DF"/>
    <w:rsid w:val="004810DE"/>
    <w:rsid w:val="004824B8"/>
    <w:rsid w:val="00482729"/>
    <w:rsid w:val="00485D98"/>
    <w:rsid w:val="00486F50"/>
    <w:rsid w:val="004937CE"/>
    <w:rsid w:val="00494911"/>
    <w:rsid w:val="00495D22"/>
    <w:rsid w:val="00497C56"/>
    <w:rsid w:val="004A077D"/>
    <w:rsid w:val="004A2839"/>
    <w:rsid w:val="004B0C6A"/>
    <w:rsid w:val="004B1720"/>
    <w:rsid w:val="004B1F99"/>
    <w:rsid w:val="004B5F82"/>
    <w:rsid w:val="004C1CEB"/>
    <w:rsid w:val="004C3E15"/>
    <w:rsid w:val="004D0EC0"/>
    <w:rsid w:val="004D2FB5"/>
    <w:rsid w:val="004E3C5F"/>
    <w:rsid w:val="004E5929"/>
    <w:rsid w:val="004F320B"/>
    <w:rsid w:val="004F796B"/>
    <w:rsid w:val="00502289"/>
    <w:rsid w:val="005025BE"/>
    <w:rsid w:val="0050612D"/>
    <w:rsid w:val="00507976"/>
    <w:rsid w:val="005079C1"/>
    <w:rsid w:val="00512D6B"/>
    <w:rsid w:val="0051623A"/>
    <w:rsid w:val="005168B3"/>
    <w:rsid w:val="00525FDF"/>
    <w:rsid w:val="00527101"/>
    <w:rsid w:val="00532AAA"/>
    <w:rsid w:val="00533AA9"/>
    <w:rsid w:val="00535358"/>
    <w:rsid w:val="00536CA9"/>
    <w:rsid w:val="0054338B"/>
    <w:rsid w:val="00543CCF"/>
    <w:rsid w:val="00544AD8"/>
    <w:rsid w:val="00546D42"/>
    <w:rsid w:val="00551536"/>
    <w:rsid w:val="005531A0"/>
    <w:rsid w:val="00554E5B"/>
    <w:rsid w:val="00562C6F"/>
    <w:rsid w:val="00564142"/>
    <w:rsid w:val="00564353"/>
    <w:rsid w:val="005654E7"/>
    <w:rsid w:val="00576B1A"/>
    <w:rsid w:val="00580A1C"/>
    <w:rsid w:val="00582D04"/>
    <w:rsid w:val="00591A72"/>
    <w:rsid w:val="005958F6"/>
    <w:rsid w:val="00596D33"/>
    <w:rsid w:val="005A3D15"/>
    <w:rsid w:val="005B3685"/>
    <w:rsid w:val="005C1D25"/>
    <w:rsid w:val="005C24C1"/>
    <w:rsid w:val="005C31E4"/>
    <w:rsid w:val="005C4D7D"/>
    <w:rsid w:val="005C4E63"/>
    <w:rsid w:val="005C7DAE"/>
    <w:rsid w:val="005D08D9"/>
    <w:rsid w:val="005D26F4"/>
    <w:rsid w:val="005D55C3"/>
    <w:rsid w:val="005D66C5"/>
    <w:rsid w:val="005E0907"/>
    <w:rsid w:val="005E7646"/>
    <w:rsid w:val="005E799E"/>
    <w:rsid w:val="005E7C33"/>
    <w:rsid w:val="005F6B26"/>
    <w:rsid w:val="00604681"/>
    <w:rsid w:val="0061343F"/>
    <w:rsid w:val="00615086"/>
    <w:rsid w:val="00617104"/>
    <w:rsid w:val="00623572"/>
    <w:rsid w:val="006237C5"/>
    <w:rsid w:val="00625ABA"/>
    <w:rsid w:val="0063111D"/>
    <w:rsid w:val="00631862"/>
    <w:rsid w:val="00635440"/>
    <w:rsid w:val="00642D13"/>
    <w:rsid w:val="00643CBD"/>
    <w:rsid w:val="00647F1A"/>
    <w:rsid w:val="0065418F"/>
    <w:rsid w:val="006607EC"/>
    <w:rsid w:val="0066353A"/>
    <w:rsid w:val="00665356"/>
    <w:rsid w:val="00666D42"/>
    <w:rsid w:val="00667ED1"/>
    <w:rsid w:val="00672ACD"/>
    <w:rsid w:val="006821B7"/>
    <w:rsid w:val="00682DCB"/>
    <w:rsid w:val="00685A47"/>
    <w:rsid w:val="00687CF1"/>
    <w:rsid w:val="00690344"/>
    <w:rsid w:val="006909F7"/>
    <w:rsid w:val="0069143A"/>
    <w:rsid w:val="006954F0"/>
    <w:rsid w:val="00695AAB"/>
    <w:rsid w:val="00697BE0"/>
    <w:rsid w:val="006A3442"/>
    <w:rsid w:val="006A7046"/>
    <w:rsid w:val="006B0144"/>
    <w:rsid w:val="006B0637"/>
    <w:rsid w:val="006B1AA2"/>
    <w:rsid w:val="006B1FF4"/>
    <w:rsid w:val="006B22C3"/>
    <w:rsid w:val="006B2BBE"/>
    <w:rsid w:val="006B49D7"/>
    <w:rsid w:val="006B4F5F"/>
    <w:rsid w:val="006B7C97"/>
    <w:rsid w:val="006C0069"/>
    <w:rsid w:val="006C0901"/>
    <w:rsid w:val="006C224A"/>
    <w:rsid w:val="006C3186"/>
    <w:rsid w:val="006C56B4"/>
    <w:rsid w:val="006D06E1"/>
    <w:rsid w:val="006D2E47"/>
    <w:rsid w:val="006D6AB2"/>
    <w:rsid w:val="006E3010"/>
    <w:rsid w:val="006F345F"/>
    <w:rsid w:val="006F3EAD"/>
    <w:rsid w:val="006F5DCC"/>
    <w:rsid w:val="006F6E0B"/>
    <w:rsid w:val="006F742A"/>
    <w:rsid w:val="007012BD"/>
    <w:rsid w:val="0070692E"/>
    <w:rsid w:val="00707D3B"/>
    <w:rsid w:val="00710BFD"/>
    <w:rsid w:val="00722778"/>
    <w:rsid w:val="00722992"/>
    <w:rsid w:val="00722EDE"/>
    <w:rsid w:val="0072738A"/>
    <w:rsid w:val="00727403"/>
    <w:rsid w:val="007338AB"/>
    <w:rsid w:val="00734517"/>
    <w:rsid w:val="00741632"/>
    <w:rsid w:val="00745C4B"/>
    <w:rsid w:val="00752B64"/>
    <w:rsid w:val="00754B9D"/>
    <w:rsid w:val="007618A4"/>
    <w:rsid w:val="007623F1"/>
    <w:rsid w:val="00782C67"/>
    <w:rsid w:val="00786F44"/>
    <w:rsid w:val="0079173C"/>
    <w:rsid w:val="00792815"/>
    <w:rsid w:val="0079419D"/>
    <w:rsid w:val="00795865"/>
    <w:rsid w:val="007A085F"/>
    <w:rsid w:val="007A1E17"/>
    <w:rsid w:val="007A5923"/>
    <w:rsid w:val="007A5DA0"/>
    <w:rsid w:val="007B66D4"/>
    <w:rsid w:val="007C37BE"/>
    <w:rsid w:val="007C3CD9"/>
    <w:rsid w:val="007C3FFA"/>
    <w:rsid w:val="007D120D"/>
    <w:rsid w:val="007D3814"/>
    <w:rsid w:val="007D5274"/>
    <w:rsid w:val="007D6935"/>
    <w:rsid w:val="007F32B3"/>
    <w:rsid w:val="007F3504"/>
    <w:rsid w:val="007F40D9"/>
    <w:rsid w:val="007F585F"/>
    <w:rsid w:val="007F6F4E"/>
    <w:rsid w:val="0080271C"/>
    <w:rsid w:val="0080509D"/>
    <w:rsid w:val="00806201"/>
    <w:rsid w:val="00807F25"/>
    <w:rsid w:val="00811DD0"/>
    <w:rsid w:val="0081437B"/>
    <w:rsid w:val="008219D3"/>
    <w:rsid w:val="00823C97"/>
    <w:rsid w:val="00823EF8"/>
    <w:rsid w:val="00826C9C"/>
    <w:rsid w:val="00826FC1"/>
    <w:rsid w:val="00830286"/>
    <w:rsid w:val="00830F82"/>
    <w:rsid w:val="008324BE"/>
    <w:rsid w:val="008346A4"/>
    <w:rsid w:val="00836D74"/>
    <w:rsid w:val="00837D91"/>
    <w:rsid w:val="00850725"/>
    <w:rsid w:val="00853017"/>
    <w:rsid w:val="008561FC"/>
    <w:rsid w:val="00860CBF"/>
    <w:rsid w:val="00860E1D"/>
    <w:rsid w:val="0086424B"/>
    <w:rsid w:val="0087134E"/>
    <w:rsid w:val="00871BE0"/>
    <w:rsid w:val="00874414"/>
    <w:rsid w:val="00874FFB"/>
    <w:rsid w:val="008752AA"/>
    <w:rsid w:val="008760B0"/>
    <w:rsid w:val="00876421"/>
    <w:rsid w:val="00880479"/>
    <w:rsid w:val="008819D8"/>
    <w:rsid w:val="008831A4"/>
    <w:rsid w:val="00883589"/>
    <w:rsid w:val="0088774B"/>
    <w:rsid w:val="008877F9"/>
    <w:rsid w:val="008A20FE"/>
    <w:rsid w:val="008A43FD"/>
    <w:rsid w:val="008A457D"/>
    <w:rsid w:val="008A5F94"/>
    <w:rsid w:val="008A70DC"/>
    <w:rsid w:val="008B1EFB"/>
    <w:rsid w:val="008B2F01"/>
    <w:rsid w:val="008B60D1"/>
    <w:rsid w:val="008C0E38"/>
    <w:rsid w:val="008C2030"/>
    <w:rsid w:val="008C297B"/>
    <w:rsid w:val="008C4C76"/>
    <w:rsid w:val="008D1F4E"/>
    <w:rsid w:val="008D5472"/>
    <w:rsid w:val="008D5F63"/>
    <w:rsid w:val="008D6E87"/>
    <w:rsid w:val="008E325A"/>
    <w:rsid w:val="008E7F6F"/>
    <w:rsid w:val="008F7040"/>
    <w:rsid w:val="008F73ED"/>
    <w:rsid w:val="009011FF"/>
    <w:rsid w:val="00901A5D"/>
    <w:rsid w:val="009103B4"/>
    <w:rsid w:val="00910429"/>
    <w:rsid w:val="0091056B"/>
    <w:rsid w:val="00915FD4"/>
    <w:rsid w:val="00917357"/>
    <w:rsid w:val="00922827"/>
    <w:rsid w:val="0092417A"/>
    <w:rsid w:val="0092469F"/>
    <w:rsid w:val="00924E02"/>
    <w:rsid w:val="0092513E"/>
    <w:rsid w:val="00936E2D"/>
    <w:rsid w:val="009428B3"/>
    <w:rsid w:val="009451D4"/>
    <w:rsid w:val="009462F6"/>
    <w:rsid w:val="009466F7"/>
    <w:rsid w:val="009566D9"/>
    <w:rsid w:val="0096457A"/>
    <w:rsid w:val="00965280"/>
    <w:rsid w:val="00966050"/>
    <w:rsid w:val="00966947"/>
    <w:rsid w:val="00970393"/>
    <w:rsid w:val="0097156B"/>
    <w:rsid w:val="0097332D"/>
    <w:rsid w:val="009775D1"/>
    <w:rsid w:val="0099161F"/>
    <w:rsid w:val="009939F4"/>
    <w:rsid w:val="00994C73"/>
    <w:rsid w:val="009A0271"/>
    <w:rsid w:val="009A08E1"/>
    <w:rsid w:val="009A188C"/>
    <w:rsid w:val="009A2830"/>
    <w:rsid w:val="009A44B8"/>
    <w:rsid w:val="009A4EB4"/>
    <w:rsid w:val="009B3FFB"/>
    <w:rsid w:val="009B48B0"/>
    <w:rsid w:val="009D67B1"/>
    <w:rsid w:val="009E12B3"/>
    <w:rsid w:val="009E65F6"/>
    <w:rsid w:val="009F2125"/>
    <w:rsid w:val="009F2B02"/>
    <w:rsid w:val="009F6B97"/>
    <w:rsid w:val="00A00ACA"/>
    <w:rsid w:val="00A0464B"/>
    <w:rsid w:val="00A06095"/>
    <w:rsid w:val="00A103A4"/>
    <w:rsid w:val="00A12F98"/>
    <w:rsid w:val="00A15B85"/>
    <w:rsid w:val="00A20919"/>
    <w:rsid w:val="00A2441F"/>
    <w:rsid w:val="00A25D61"/>
    <w:rsid w:val="00A27C63"/>
    <w:rsid w:val="00A31C5D"/>
    <w:rsid w:val="00A36F79"/>
    <w:rsid w:val="00A41676"/>
    <w:rsid w:val="00A440BB"/>
    <w:rsid w:val="00A45674"/>
    <w:rsid w:val="00A47576"/>
    <w:rsid w:val="00A5462A"/>
    <w:rsid w:val="00A5730F"/>
    <w:rsid w:val="00A61F8A"/>
    <w:rsid w:val="00A61F9E"/>
    <w:rsid w:val="00A70B14"/>
    <w:rsid w:val="00A718C7"/>
    <w:rsid w:val="00A72840"/>
    <w:rsid w:val="00A769C0"/>
    <w:rsid w:val="00A779F5"/>
    <w:rsid w:val="00A83222"/>
    <w:rsid w:val="00A83ED0"/>
    <w:rsid w:val="00A90135"/>
    <w:rsid w:val="00A93EF0"/>
    <w:rsid w:val="00AA3514"/>
    <w:rsid w:val="00AA548F"/>
    <w:rsid w:val="00AB103A"/>
    <w:rsid w:val="00AB5251"/>
    <w:rsid w:val="00AC1452"/>
    <w:rsid w:val="00AC2241"/>
    <w:rsid w:val="00AC2A84"/>
    <w:rsid w:val="00AC78C8"/>
    <w:rsid w:val="00AD19B0"/>
    <w:rsid w:val="00AD67CC"/>
    <w:rsid w:val="00AD71C6"/>
    <w:rsid w:val="00AE44D6"/>
    <w:rsid w:val="00AE661C"/>
    <w:rsid w:val="00AF2203"/>
    <w:rsid w:val="00AF4DC3"/>
    <w:rsid w:val="00B05D84"/>
    <w:rsid w:val="00B06E7C"/>
    <w:rsid w:val="00B13693"/>
    <w:rsid w:val="00B14A93"/>
    <w:rsid w:val="00B15996"/>
    <w:rsid w:val="00B24A67"/>
    <w:rsid w:val="00B2572E"/>
    <w:rsid w:val="00B27090"/>
    <w:rsid w:val="00B31DC4"/>
    <w:rsid w:val="00B33F55"/>
    <w:rsid w:val="00B511ED"/>
    <w:rsid w:val="00B529AE"/>
    <w:rsid w:val="00B54A37"/>
    <w:rsid w:val="00B551D9"/>
    <w:rsid w:val="00B567C2"/>
    <w:rsid w:val="00B61CA0"/>
    <w:rsid w:val="00B63233"/>
    <w:rsid w:val="00B661EA"/>
    <w:rsid w:val="00B675D8"/>
    <w:rsid w:val="00B74F31"/>
    <w:rsid w:val="00B77886"/>
    <w:rsid w:val="00B81581"/>
    <w:rsid w:val="00B92E4C"/>
    <w:rsid w:val="00B93888"/>
    <w:rsid w:val="00B94AA2"/>
    <w:rsid w:val="00BA3ED6"/>
    <w:rsid w:val="00BA78FA"/>
    <w:rsid w:val="00BA7B76"/>
    <w:rsid w:val="00BB0757"/>
    <w:rsid w:val="00BB5B13"/>
    <w:rsid w:val="00BB628B"/>
    <w:rsid w:val="00BC64A9"/>
    <w:rsid w:val="00BC70E6"/>
    <w:rsid w:val="00BC769B"/>
    <w:rsid w:val="00BD1568"/>
    <w:rsid w:val="00BD1DF8"/>
    <w:rsid w:val="00BD3BCF"/>
    <w:rsid w:val="00BE1500"/>
    <w:rsid w:val="00BE30CB"/>
    <w:rsid w:val="00BE346F"/>
    <w:rsid w:val="00BE3656"/>
    <w:rsid w:val="00BE4C69"/>
    <w:rsid w:val="00BF52E5"/>
    <w:rsid w:val="00C036C6"/>
    <w:rsid w:val="00C07BBA"/>
    <w:rsid w:val="00C11D6A"/>
    <w:rsid w:val="00C13ED2"/>
    <w:rsid w:val="00C22510"/>
    <w:rsid w:val="00C249DB"/>
    <w:rsid w:val="00C27EDE"/>
    <w:rsid w:val="00C309D9"/>
    <w:rsid w:val="00C30C43"/>
    <w:rsid w:val="00C30D10"/>
    <w:rsid w:val="00C30DB2"/>
    <w:rsid w:val="00C31AF1"/>
    <w:rsid w:val="00C32D93"/>
    <w:rsid w:val="00C358B1"/>
    <w:rsid w:val="00C35CD9"/>
    <w:rsid w:val="00C366FA"/>
    <w:rsid w:val="00C37D2F"/>
    <w:rsid w:val="00C40808"/>
    <w:rsid w:val="00C41200"/>
    <w:rsid w:val="00C44F98"/>
    <w:rsid w:val="00C50DFB"/>
    <w:rsid w:val="00C52664"/>
    <w:rsid w:val="00C54AF3"/>
    <w:rsid w:val="00C70AC7"/>
    <w:rsid w:val="00C74FF0"/>
    <w:rsid w:val="00C7540F"/>
    <w:rsid w:val="00C82DDD"/>
    <w:rsid w:val="00C84490"/>
    <w:rsid w:val="00C87761"/>
    <w:rsid w:val="00CA0E85"/>
    <w:rsid w:val="00CA31E7"/>
    <w:rsid w:val="00CA35AD"/>
    <w:rsid w:val="00CA53F3"/>
    <w:rsid w:val="00CA67EE"/>
    <w:rsid w:val="00CB0289"/>
    <w:rsid w:val="00CB7B9E"/>
    <w:rsid w:val="00CC3008"/>
    <w:rsid w:val="00CC5FC3"/>
    <w:rsid w:val="00CC69B0"/>
    <w:rsid w:val="00CC75CA"/>
    <w:rsid w:val="00CD4043"/>
    <w:rsid w:val="00CD5E14"/>
    <w:rsid w:val="00CD7D9E"/>
    <w:rsid w:val="00CE08B5"/>
    <w:rsid w:val="00CE0B2E"/>
    <w:rsid w:val="00CE2EDF"/>
    <w:rsid w:val="00CE3111"/>
    <w:rsid w:val="00CE7BCF"/>
    <w:rsid w:val="00CF1115"/>
    <w:rsid w:val="00CF44AB"/>
    <w:rsid w:val="00CF6B3D"/>
    <w:rsid w:val="00D00371"/>
    <w:rsid w:val="00D044EB"/>
    <w:rsid w:val="00D04D6C"/>
    <w:rsid w:val="00D1329D"/>
    <w:rsid w:val="00D143AF"/>
    <w:rsid w:val="00D15481"/>
    <w:rsid w:val="00D2466C"/>
    <w:rsid w:val="00D2527F"/>
    <w:rsid w:val="00D31321"/>
    <w:rsid w:val="00D33B37"/>
    <w:rsid w:val="00D33E1E"/>
    <w:rsid w:val="00D33EBE"/>
    <w:rsid w:val="00D33FC6"/>
    <w:rsid w:val="00D41021"/>
    <w:rsid w:val="00D45989"/>
    <w:rsid w:val="00D47D67"/>
    <w:rsid w:val="00D5043C"/>
    <w:rsid w:val="00D51564"/>
    <w:rsid w:val="00D56A62"/>
    <w:rsid w:val="00D56E73"/>
    <w:rsid w:val="00D66E2F"/>
    <w:rsid w:val="00D714E5"/>
    <w:rsid w:val="00D7208B"/>
    <w:rsid w:val="00D73F33"/>
    <w:rsid w:val="00D77B60"/>
    <w:rsid w:val="00D77C2E"/>
    <w:rsid w:val="00D8099B"/>
    <w:rsid w:val="00D8240B"/>
    <w:rsid w:val="00D82B73"/>
    <w:rsid w:val="00D86553"/>
    <w:rsid w:val="00D87419"/>
    <w:rsid w:val="00D94DD0"/>
    <w:rsid w:val="00DA53A6"/>
    <w:rsid w:val="00DA6CAB"/>
    <w:rsid w:val="00DB1AF8"/>
    <w:rsid w:val="00DB2667"/>
    <w:rsid w:val="00DB28A6"/>
    <w:rsid w:val="00DB50BD"/>
    <w:rsid w:val="00DB5410"/>
    <w:rsid w:val="00DB659B"/>
    <w:rsid w:val="00DC368A"/>
    <w:rsid w:val="00DE23BC"/>
    <w:rsid w:val="00DE5FCC"/>
    <w:rsid w:val="00DE628C"/>
    <w:rsid w:val="00DE7353"/>
    <w:rsid w:val="00DF200E"/>
    <w:rsid w:val="00DF549B"/>
    <w:rsid w:val="00E01CDA"/>
    <w:rsid w:val="00E020A2"/>
    <w:rsid w:val="00E03A67"/>
    <w:rsid w:val="00E059A5"/>
    <w:rsid w:val="00E06E0E"/>
    <w:rsid w:val="00E11741"/>
    <w:rsid w:val="00E118BE"/>
    <w:rsid w:val="00E12956"/>
    <w:rsid w:val="00E1490F"/>
    <w:rsid w:val="00E31AD6"/>
    <w:rsid w:val="00E35072"/>
    <w:rsid w:val="00E35AEE"/>
    <w:rsid w:val="00E37AC5"/>
    <w:rsid w:val="00E40435"/>
    <w:rsid w:val="00E42671"/>
    <w:rsid w:val="00E43CFD"/>
    <w:rsid w:val="00E44190"/>
    <w:rsid w:val="00E475B0"/>
    <w:rsid w:val="00E51320"/>
    <w:rsid w:val="00E538AA"/>
    <w:rsid w:val="00E60770"/>
    <w:rsid w:val="00E6339B"/>
    <w:rsid w:val="00E640EB"/>
    <w:rsid w:val="00E65BFA"/>
    <w:rsid w:val="00E83105"/>
    <w:rsid w:val="00E84BBF"/>
    <w:rsid w:val="00E85F95"/>
    <w:rsid w:val="00E8644F"/>
    <w:rsid w:val="00E9226D"/>
    <w:rsid w:val="00E925BE"/>
    <w:rsid w:val="00E95351"/>
    <w:rsid w:val="00E97D35"/>
    <w:rsid w:val="00EA3F5D"/>
    <w:rsid w:val="00EA708B"/>
    <w:rsid w:val="00EA7CA0"/>
    <w:rsid w:val="00EB4D9C"/>
    <w:rsid w:val="00EB524E"/>
    <w:rsid w:val="00EC00F0"/>
    <w:rsid w:val="00EC04B5"/>
    <w:rsid w:val="00EC35D2"/>
    <w:rsid w:val="00EC746C"/>
    <w:rsid w:val="00EC7618"/>
    <w:rsid w:val="00ED2ABD"/>
    <w:rsid w:val="00ED2B8A"/>
    <w:rsid w:val="00EE032A"/>
    <w:rsid w:val="00EE5DAB"/>
    <w:rsid w:val="00EE69B6"/>
    <w:rsid w:val="00EF0590"/>
    <w:rsid w:val="00EF2125"/>
    <w:rsid w:val="00EF4F06"/>
    <w:rsid w:val="00EF6E2E"/>
    <w:rsid w:val="00F07FF2"/>
    <w:rsid w:val="00F10E9F"/>
    <w:rsid w:val="00F13724"/>
    <w:rsid w:val="00F13E68"/>
    <w:rsid w:val="00F17365"/>
    <w:rsid w:val="00F21BE5"/>
    <w:rsid w:val="00F35669"/>
    <w:rsid w:val="00F37E09"/>
    <w:rsid w:val="00F411CE"/>
    <w:rsid w:val="00F51854"/>
    <w:rsid w:val="00F55760"/>
    <w:rsid w:val="00F557FD"/>
    <w:rsid w:val="00F57ADB"/>
    <w:rsid w:val="00F57D26"/>
    <w:rsid w:val="00F60B8B"/>
    <w:rsid w:val="00F61C07"/>
    <w:rsid w:val="00F65073"/>
    <w:rsid w:val="00F71D05"/>
    <w:rsid w:val="00F7420F"/>
    <w:rsid w:val="00F772A5"/>
    <w:rsid w:val="00F87FAF"/>
    <w:rsid w:val="00F90774"/>
    <w:rsid w:val="00F922D5"/>
    <w:rsid w:val="00F95B61"/>
    <w:rsid w:val="00FA1F31"/>
    <w:rsid w:val="00FA2510"/>
    <w:rsid w:val="00FA6E89"/>
    <w:rsid w:val="00FA7800"/>
    <w:rsid w:val="00FB2F6A"/>
    <w:rsid w:val="00FB3872"/>
    <w:rsid w:val="00FC102A"/>
    <w:rsid w:val="00FC18A4"/>
    <w:rsid w:val="00FD1A80"/>
    <w:rsid w:val="00FD1D06"/>
    <w:rsid w:val="00FD3AC2"/>
    <w:rsid w:val="00FD5DA9"/>
    <w:rsid w:val="00FD6130"/>
    <w:rsid w:val="00FD6569"/>
    <w:rsid w:val="00FD7533"/>
    <w:rsid w:val="00FF0B7C"/>
    <w:rsid w:val="00FF1F8D"/>
    <w:rsid w:val="00FF25DA"/>
    <w:rsid w:val="00FF515D"/>
    <w:rsid w:val="00FF53AF"/>
    <w:rsid w:val="00FF5C4E"/>
    <w:rsid w:val="00FF5E6E"/>
    <w:rsid w:val="01061BDE"/>
    <w:rsid w:val="01CE7B75"/>
    <w:rsid w:val="01F33452"/>
    <w:rsid w:val="025A0AEA"/>
    <w:rsid w:val="02971D7D"/>
    <w:rsid w:val="02B32EF5"/>
    <w:rsid w:val="02F0786C"/>
    <w:rsid w:val="03577A2F"/>
    <w:rsid w:val="044579CC"/>
    <w:rsid w:val="05F648D0"/>
    <w:rsid w:val="06196D99"/>
    <w:rsid w:val="06725C6D"/>
    <w:rsid w:val="067B6400"/>
    <w:rsid w:val="06B93898"/>
    <w:rsid w:val="06D267F6"/>
    <w:rsid w:val="06D57629"/>
    <w:rsid w:val="076D017C"/>
    <w:rsid w:val="0784034A"/>
    <w:rsid w:val="07AA071A"/>
    <w:rsid w:val="07C03DF5"/>
    <w:rsid w:val="07D06DE2"/>
    <w:rsid w:val="07E51AAD"/>
    <w:rsid w:val="086905CE"/>
    <w:rsid w:val="08BD0118"/>
    <w:rsid w:val="095740B1"/>
    <w:rsid w:val="09A90C46"/>
    <w:rsid w:val="09B2776D"/>
    <w:rsid w:val="0A44501B"/>
    <w:rsid w:val="0B4C11C8"/>
    <w:rsid w:val="0B7135F8"/>
    <w:rsid w:val="0BB91287"/>
    <w:rsid w:val="0C0B585A"/>
    <w:rsid w:val="0C281F69"/>
    <w:rsid w:val="0C2A5AE8"/>
    <w:rsid w:val="0C6D3B47"/>
    <w:rsid w:val="0C7D1FA4"/>
    <w:rsid w:val="0CB54CFC"/>
    <w:rsid w:val="0CC32E00"/>
    <w:rsid w:val="0CFF7738"/>
    <w:rsid w:val="0D3F7D20"/>
    <w:rsid w:val="0D537207"/>
    <w:rsid w:val="0D5D1755"/>
    <w:rsid w:val="0D7336B7"/>
    <w:rsid w:val="0DD93C01"/>
    <w:rsid w:val="0E0D2847"/>
    <w:rsid w:val="0E9F7FDD"/>
    <w:rsid w:val="0ED5460E"/>
    <w:rsid w:val="0F803740"/>
    <w:rsid w:val="0FF44C07"/>
    <w:rsid w:val="0FFE6BCB"/>
    <w:rsid w:val="100B69E2"/>
    <w:rsid w:val="104A4BA3"/>
    <w:rsid w:val="10780801"/>
    <w:rsid w:val="10880964"/>
    <w:rsid w:val="108829FE"/>
    <w:rsid w:val="113139D2"/>
    <w:rsid w:val="113F6B9E"/>
    <w:rsid w:val="12297D14"/>
    <w:rsid w:val="12657D3E"/>
    <w:rsid w:val="12C07DB2"/>
    <w:rsid w:val="12C93BC8"/>
    <w:rsid w:val="12CF52C1"/>
    <w:rsid w:val="13515C2F"/>
    <w:rsid w:val="135F5C00"/>
    <w:rsid w:val="13760897"/>
    <w:rsid w:val="1462681B"/>
    <w:rsid w:val="147D6BCA"/>
    <w:rsid w:val="14EA6A88"/>
    <w:rsid w:val="15121A08"/>
    <w:rsid w:val="15AA668C"/>
    <w:rsid w:val="160827F0"/>
    <w:rsid w:val="16215760"/>
    <w:rsid w:val="163B03F3"/>
    <w:rsid w:val="16405407"/>
    <w:rsid w:val="164D0185"/>
    <w:rsid w:val="16E56F76"/>
    <w:rsid w:val="16EF3ACB"/>
    <w:rsid w:val="178340D2"/>
    <w:rsid w:val="17935023"/>
    <w:rsid w:val="17FB17F9"/>
    <w:rsid w:val="18134488"/>
    <w:rsid w:val="182273BA"/>
    <w:rsid w:val="185C1D92"/>
    <w:rsid w:val="18A03759"/>
    <w:rsid w:val="19060046"/>
    <w:rsid w:val="19265A82"/>
    <w:rsid w:val="194523AC"/>
    <w:rsid w:val="199E1ABC"/>
    <w:rsid w:val="1AF942F9"/>
    <w:rsid w:val="1B1A593D"/>
    <w:rsid w:val="1B58685C"/>
    <w:rsid w:val="1B6C1519"/>
    <w:rsid w:val="1B90027C"/>
    <w:rsid w:val="1BA03C64"/>
    <w:rsid w:val="1C036ECE"/>
    <w:rsid w:val="1C8E3AB5"/>
    <w:rsid w:val="1CB533A4"/>
    <w:rsid w:val="1CFE7C3F"/>
    <w:rsid w:val="1D7317D4"/>
    <w:rsid w:val="1D9A25D0"/>
    <w:rsid w:val="1E2123EB"/>
    <w:rsid w:val="1E7D6E8E"/>
    <w:rsid w:val="1E9C038B"/>
    <w:rsid w:val="1F407286"/>
    <w:rsid w:val="1F434938"/>
    <w:rsid w:val="1F5E0E7B"/>
    <w:rsid w:val="1F67009B"/>
    <w:rsid w:val="1F91576B"/>
    <w:rsid w:val="1FA90061"/>
    <w:rsid w:val="1FAD2B13"/>
    <w:rsid w:val="1FC002BC"/>
    <w:rsid w:val="1FD52FA0"/>
    <w:rsid w:val="200E1DA4"/>
    <w:rsid w:val="20BF0A8E"/>
    <w:rsid w:val="20C21B7A"/>
    <w:rsid w:val="210D5AE4"/>
    <w:rsid w:val="214170C5"/>
    <w:rsid w:val="21584BDD"/>
    <w:rsid w:val="21690B87"/>
    <w:rsid w:val="21827EA9"/>
    <w:rsid w:val="219634BE"/>
    <w:rsid w:val="21F4102E"/>
    <w:rsid w:val="227724AD"/>
    <w:rsid w:val="22A1628D"/>
    <w:rsid w:val="2334349C"/>
    <w:rsid w:val="23EC4606"/>
    <w:rsid w:val="244008D4"/>
    <w:rsid w:val="24863FA7"/>
    <w:rsid w:val="24A577E6"/>
    <w:rsid w:val="24FA6740"/>
    <w:rsid w:val="25035559"/>
    <w:rsid w:val="25831778"/>
    <w:rsid w:val="25A90237"/>
    <w:rsid w:val="25C603D0"/>
    <w:rsid w:val="25D25E9F"/>
    <w:rsid w:val="25E55C86"/>
    <w:rsid w:val="262911C8"/>
    <w:rsid w:val="26295401"/>
    <w:rsid w:val="272C02D4"/>
    <w:rsid w:val="27342446"/>
    <w:rsid w:val="27885B8A"/>
    <w:rsid w:val="27A40BE5"/>
    <w:rsid w:val="27EC0ED4"/>
    <w:rsid w:val="281F62DF"/>
    <w:rsid w:val="29047F8A"/>
    <w:rsid w:val="291E49C7"/>
    <w:rsid w:val="296A073F"/>
    <w:rsid w:val="296E14AB"/>
    <w:rsid w:val="29A41FA0"/>
    <w:rsid w:val="29D97A27"/>
    <w:rsid w:val="29E60E89"/>
    <w:rsid w:val="2A845808"/>
    <w:rsid w:val="2B404781"/>
    <w:rsid w:val="2B5D02B1"/>
    <w:rsid w:val="2B7F12EF"/>
    <w:rsid w:val="2C30132A"/>
    <w:rsid w:val="2C4B2398"/>
    <w:rsid w:val="2C54021E"/>
    <w:rsid w:val="2DEE6DF5"/>
    <w:rsid w:val="2E7611F2"/>
    <w:rsid w:val="2EC4391B"/>
    <w:rsid w:val="2F061B99"/>
    <w:rsid w:val="2F357847"/>
    <w:rsid w:val="2F37656A"/>
    <w:rsid w:val="2FAF0127"/>
    <w:rsid w:val="2FC31F7F"/>
    <w:rsid w:val="2FD837BF"/>
    <w:rsid w:val="2FE16E99"/>
    <w:rsid w:val="2FE94435"/>
    <w:rsid w:val="2FF65D56"/>
    <w:rsid w:val="306276C9"/>
    <w:rsid w:val="31177046"/>
    <w:rsid w:val="312A0068"/>
    <w:rsid w:val="313663A5"/>
    <w:rsid w:val="31910FA3"/>
    <w:rsid w:val="31F03E5A"/>
    <w:rsid w:val="321E0A85"/>
    <w:rsid w:val="322005AA"/>
    <w:rsid w:val="324733AA"/>
    <w:rsid w:val="32843DCB"/>
    <w:rsid w:val="32D71C06"/>
    <w:rsid w:val="33294694"/>
    <w:rsid w:val="3372191D"/>
    <w:rsid w:val="337567C1"/>
    <w:rsid w:val="337F5943"/>
    <w:rsid w:val="33CA3AD7"/>
    <w:rsid w:val="33DA1991"/>
    <w:rsid w:val="3436769E"/>
    <w:rsid w:val="3458036A"/>
    <w:rsid w:val="34A246FE"/>
    <w:rsid w:val="34BD44E5"/>
    <w:rsid w:val="34C67A32"/>
    <w:rsid w:val="34E52DC4"/>
    <w:rsid w:val="3502424C"/>
    <w:rsid w:val="350A7BE8"/>
    <w:rsid w:val="36194CF7"/>
    <w:rsid w:val="36FC747B"/>
    <w:rsid w:val="374C2700"/>
    <w:rsid w:val="37693943"/>
    <w:rsid w:val="37A36655"/>
    <w:rsid w:val="37D81FE7"/>
    <w:rsid w:val="3814321D"/>
    <w:rsid w:val="383070A8"/>
    <w:rsid w:val="38C2711D"/>
    <w:rsid w:val="38D445C9"/>
    <w:rsid w:val="38DE7278"/>
    <w:rsid w:val="38FE3DDA"/>
    <w:rsid w:val="390B0BBF"/>
    <w:rsid w:val="391D4354"/>
    <w:rsid w:val="39933EB2"/>
    <w:rsid w:val="39994206"/>
    <w:rsid w:val="39C649EB"/>
    <w:rsid w:val="39DA284A"/>
    <w:rsid w:val="39F774FF"/>
    <w:rsid w:val="3A470531"/>
    <w:rsid w:val="3A626FB4"/>
    <w:rsid w:val="3A7316B0"/>
    <w:rsid w:val="3A966D38"/>
    <w:rsid w:val="3ACE0671"/>
    <w:rsid w:val="3B1A01A4"/>
    <w:rsid w:val="3B1D4DBD"/>
    <w:rsid w:val="3BA24FE4"/>
    <w:rsid w:val="3BF84C04"/>
    <w:rsid w:val="3C0E61D6"/>
    <w:rsid w:val="3C205657"/>
    <w:rsid w:val="3C463BC1"/>
    <w:rsid w:val="3C9B7FF5"/>
    <w:rsid w:val="3CDC7A64"/>
    <w:rsid w:val="3CE33A07"/>
    <w:rsid w:val="3D9A694F"/>
    <w:rsid w:val="3DC84437"/>
    <w:rsid w:val="3DFB44E8"/>
    <w:rsid w:val="3E161F67"/>
    <w:rsid w:val="3E2F30E8"/>
    <w:rsid w:val="3E3363C7"/>
    <w:rsid w:val="3EC62D97"/>
    <w:rsid w:val="3F1C17A2"/>
    <w:rsid w:val="3F4A3740"/>
    <w:rsid w:val="3F5230A4"/>
    <w:rsid w:val="401223B7"/>
    <w:rsid w:val="40291677"/>
    <w:rsid w:val="40540C17"/>
    <w:rsid w:val="408832C2"/>
    <w:rsid w:val="40CF0C89"/>
    <w:rsid w:val="41870EC2"/>
    <w:rsid w:val="419251AE"/>
    <w:rsid w:val="419375A8"/>
    <w:rsid w:val="41CD0AE9"/>
    <w:rsid w:val="41CE5077"/>
    <w:rsid w:val="4208164C"/>
    <w:rsid w:val="423D2D84"/>
    <w:rsid w:val="42D9578F"/>
    <w:rsid w:val="43085485"/>
    <w:rsid w:val="430F5667"/>
    <w:rsid w:val="43C05BAB"/>
    <w:rsid w:val="43E808BC"/>
    <w:rsid w:val="44FC13A9"/>
    <w:rsid w:val="45044BF5"/>
    <w:rsid w:val="45116FBA"/>
    <w:rsid w:val="453A003B"/>
    <w:rsid w:val="45BA26D2"/>
    <w:rsid w:val="45E2495B"/>
    <w:rsid w:val="462C1916"/>
    <w:rsid w:val="46340F2E"/>
    <w:rsid w:val="464928DD"/>
    <w:rsid w:val="46B502C1"/>
    <w:rsid w:val="47636527"/>
    <w:rsid w:val="47686A6D"/>
    <w:rsid w:val="476E4984"/>
    <w:rsid w:val="477348C4"/>
    <w:rsid w:val="47A23C1C"/>
    <w:rsid w:val="47C40755"/>
    <w:rsid w:val="47F763B5"/>
    <w:rsid w:val="487B4BF3"/>
    <w:rsid w:val="48C77A46"/>
    <w:rsid w:val="493A5E8D"/>
    <w:rsid w:val="49856D79"/>
    <w:rsid w:val="4A266DE0"/>
    <w:rsid w:val="4A534DFD"/>
    <w:rsid w:val="4A5D5631"/>
    <w:rsid w:val="4B00173A"/>
    <w:rsid w:val="4B0E117D"/>
    <w:rsid w:val="4B441102"/>
    <w:rsid w:val="4B79536D"/>
    <w:rsid w:val="4BDE6826"/>
    <w:rsid w:val="4C485734"/>
    <w:rsid w:val="4C6144CA"/>
    <w:rsid w:val="4C6B7C2C"/>
    <w:rsid w:val="4CAC7262"/>
    <w:rsid w:val="4D874673"/>
    <w:rsid w:val="4D876DA4"/>
    <w:rsid w:val="4DD25152"/>
    <w:rsid w:val="4DF74D1B"/>
    <w:rsid w:val="4E6879C7"/>
    <w:rsid w:val="4E696453"/>
    <w:rsid w:val="4E7C47F7"/>
    <w:rsid w:val="4EC2357B"/>
    <w:rsid w:val="4EC61E4E"/>
    <w:rsid w:val="4EF63225"/>
    <w:rsid w:val="4F1315F7"/>
    <w:rsid w:val="4FA27FD0"/>
    <w:rsid w:val="501F685A"/>
    <w:rsid w:val="504C7129"/>
    <w:rsid w:val="508453FF"/>
    <w:rsid w:val="50945362"/>
    <w:rsid w:val="50DB6FD0"/>
    <w:rsid w:val="511043E8"/>
    <w:rsid w:val="51807129"/>
    <w:rsid w:val="51C911CA"/>
    <w:rsid w:val="522A2712"/>
    <w:rsid w:val="523D3914"/>
    <w:rsid w:val="52575C17"/>
    <w:rsid w:val="5264494A"/>
    <w:rsid w:val="52E35BAC"/>
    <w:rsid w:val="53206EB9"/>
    <w:rsid w:val="533127DD"/>
    <w:rsid w:val="535C6639"/>
    <w:rsid w:val="538C66EE"/>
    <w:rsid w:val="54240FC0"/>
    <w:rsid w:val="54D148DD"/>
    <w:rsid w:val="551869BF"/>
    <w:rsid w:val="55480CDA"/>
    <w:rsid w:val="55674DDF"/>
    <w:rsid w:val="56160CEA"/>
    <w:rsid w:val="565A677F"/>
    <w:rsid w:val="56C12F29"/>
    <w:rsid w:val="56EC2DF6"/>
    <w:rsid w:val="570975C5"/>
    <w:rsid w:val="577B076B"/>
    <w:rsid w:val="57B56C2F"/>
    <w:rsid w:val="57EE3633"/>
    <w:rsid w:val="58B526B5"/>
    <w:rsid w:val="58C92183"/>
    <w:rsid w:val="58D647E8"/>
    <w:rsid w:val="59080725"/>
    <w:rsid w:val="59AD76DB"/>
    <w:rsid w:val="59B14918"/>
    <w:rsid w:val="59C3464B"/>
    <w:rsid w:val="5A401A2B"/>
    <w:rsid w:val="5A934884"/>
    <w:rsid w:val="5AF1331C"/>
    <w:rsid w:val="5B0927CD"/>
    <w:rsid w:val="5B274FF4"/>
    <w:rsid w:val="5B767BC7"/>
    <w:rsid w:val="5BA038FB"/>
    <w:rsid w:val="5BA51D88"/>
    <w:rsid w:val="5BE32D83"/>
    <w:rsid w:val="5C131329"/>
    <w:rsid w:val="5C525545"/>
    <w:rsid w:val="5C593143"/>
    <w:rsid w:val="5C761DAE"/>
    <w:rsid w:val="5D303DA6"/>
    <w:rsid w:val="5D614F88"/>
    <w:rsid w:val="5DF72B16"/>
    <w:rsid w:val="5E521071"/>
    <w:rsid w:val="5E6E460B"/>
    <w:rsid w:val="5EA42844"/>
    <w:rsid w:val="5EBE084E"/>
    <w:rsid w:val="5F11241C"/>
    <w:rsid w:val="5F2D7E73"/>
    <w:rsid w:val="5FA15B20"/>
    <w:rsid w:val="5FD62D9E"/>
    <w:rsid w:val="60503F00"/>
    <w:rsid w:val="605C5A69"/>
    <w:rsid w:val="607E353F"/>
    <w:rsid w:val="60824919"/>
    <w:rsid w:val="60934D78"/>
    <w:rsid w:val="60D128E6"/>
    <w:rsid w:val="60D25DD6"/>
    <w:rsid w:val="60FA4AB1"/>
    <w:rsid w:val="610A65A0"/>
    <w:rsid w:val="610A7D38"/>
    <w:rsid w:val="612321F6"/>
    <w:rsid w:val="61916444"/>
    <w:rsid w:val="61E9673F"/>
    <w:rsid w:val="62071F5C"/>
    <w:rsid w:val="625E0E30"/>
    <w:rsid w:val="6275760F"/>
    <w:rsid w:val="62BD5D31"/>
    <w:rsid w:val="63475D90"/>
    <w:rsid w:val="63713D77"/>
    <w:rsid w:val="63D55DD4"/>
    <w:rsid w:val="63E52275"/>
    <w:rsid w:val="64244F73"/>
    <w:rsid w:val="642B4E43"/>
    <w:rsid w:val="643B30B4"/>
    <w:rsid w:val="64961189"/>
    <w:rsid w:val="64E060B2"/>
    <w:rsid w:val="64F21AAE"/>
    <w:rsid w:val="64FE47B7"/>
    <w:rsid w:val="6554084E"/>
    <w:rsid w:val="65AB61A9"/>
    <w:rsid w:val="65D1260F"/>
    <w:rsid w:val="65DB246E"/>
    <w:rsid w:val="65F04A1A"/>
    <w:rsid w:val="667C62AE"/>
    <w:rsid w:val="66815672"/>
    <w:rsid w:val="66D439F4"/>
    <w:rsid w:val="66FD30AD"/>
    <w:rsid w:val="67022B5F"/>
    <w:rsid w:val="671077C5"/>
    <w:rsid w:val="67EA0BA1"/>
    <w:rsid w:val="68327081"/>
    <w:rsid w:val="686D2912"/>
    <w:rsid w:val="68BA4255"/>
    <w:rsid w:val="69004283"/>
    <w:rsid w:val="693C3AD3"/>
    <w:rsid w:val="693E4350"/>
    <w:rsid w:val="69766D92"/>
    <w:rsid w:val="69857859"/>
    <w:rsid w:val="6A0154E3"/>
    <w:rsid w:val="6A0F02FF"/>
    <w:rsid w:val="6A260A0B"/>
    <w:rsid w:val="6A3532A8"/>
    <w:rsid w:val="6A405252"/>
    <w:rsid w:val="6A881AEF"/>
    <w:rsid w:val="6A891B8B"/>
    <w:rsid w:val="6B054AC4"/>
    <w:rsid w:val="6B8C144E"/>
    <w:rsid w:val="6B987316"/>
    <w:rsid w:val="6BB94D8C"/>
    <w:rsid w:val="6C557385"/>
    <w:rsid w:val="6C6C4E3D"/>
    <w:rsid w:val="6C863B8C"/>
    <w:rsid w:val="6CA51F42"/>
    <w:rsid w:val="6CF65FAA"/>
    <w:rsid w:val="6D206394"/>
    <w:rsid w:val="6D270B52"/>
    <w:rsid w:val="6D30394E"/>
    <w:rsid w:val="6D8E567A"/>
    <w:rsid w:val="6E3631E6"/>
    <w:rsid w:val="6E7109C3"/>
    <w:rsid w:val="6EEE474E"/>
    <w:rsid w:val="6F064D76"/>
    <w:rsid w:val="6F1277AF"/>
    <w:rsid w:val="6F401726"/>
    <w:rsid w:val="6F557F5C"/>
    <w:rsid w:val="6F8D67E0"/>
    <w:rsid w:val="6FF75714"/>
    <w:rsid w:val="70027824"/>
    <w:rsid w:val="702253AE"/>
    <w:rsid w:val="70776C55"/>
    <w:rsid w:val="709462DC"/>
    <w:rsid w:val="70E31D1F"/>
    <w:rsid w:val="710E2360"/>
    <w:rsid w:val="71313F42"/>
    <w:rsid w:val="714C1BED"/>
    <w:rsid w:val="71500A63"/>
    <w:rsid w:val="71712B52"/>
    <w:rsid w:val="71786A55"/>
    <w:rsid w:val="717E112C"/>
    <w:rsid w:val="72143F81"/>
    <w:rsid w:val="725F3212"/>
    <w:rsid w:val="72885852"/>
    <w:rsid w:val="72E12D66"/>
    <w:rsid w:val="73193A1E"/>
    <w:rsid w:val="731C0BFD"/>
    <w:rsid w:val="734D525A"/>
    <w:rsid w:val="734F3BBF"/>
    <w:rsid w:val="7363233B"/>
    <w:rsid w:val="738D38A8"/>
    <w:rsid w:val="73B55F8F"/>
    <w:rsid w:val="741E6BF6"/>
    <w:rsid w:val="745B5239"/>
    <w:rsid w:val="74E90FB2"/>
    <w:rsid w:val="75013F59"/>
    <w:rsid w:val="752D6D0A"/>
    <w:rsid w:val="7587516A"/>
    <w:rsid w:val="758F0BC2"/>
    <w:rsid w:val="76530391"/>
    <w:rsid w:val="7690328C"/>
    <w:rsid w:val="76A74C81"/>
    <w:rsid w:val="76D01188"/>
    <w:rsid w:val="76E238E1"/>
    <w:rsid w:val="770C3485"/>
    <w:rsid w:val="771B3DFC"/>
    <w:rsid w:val="77212177"/>
    <w:rsid w:val="77FE07E1"/>
    <w:rsid w:val="78432AD9"/>
    <w:rsid w:val="7927654D"/>
    <w:rsid w:val="796B643A"/>
    <w:rsid w:val="7976537A"/>
    <w:rsid w:val="79CC2C49"/>
    <w:rsid w:val="79DE4E23"/>
    <w:rsid w:val="7A25720B"/>
    <w:rsid w:val="7A6C160B"/>
    <w:rsid w:val="7AE343DA"/>
    <w:rsid w:val="7B820E42"/>
    <w:rsid w:val="7BA42320"/>
    <w:rsid w:val="7C355816"/>
    <w:rsid w:val="7C485718"/>
    <w:rsid w:val="7C790970"/>
    <w:rsid w:val="7CCB4E33"/>
    <w:rsid w:val="7CE62D75"/>
    <w:rsid w:val="7CE65DD7"/>
    <w:rsid w:val="7CF074E5"/>
    <w:rsid w:val="7D632CF6"/>
    <w:rsid w:val="7DF033B2"/>
    <w:rsid w:val="7E4F11FF"/>
    <w:rsid w:val="7E9B407E"/>
    <w:rsid w:val="7EE26AE6"/>
    <w:rsid w:val="7EE822DB"/>
    <w:rsid w:val="7F09069C"/>
    <w:rsid w:val="7F1C3BEB"/>
    <w:rsid w:val="7F3B6D47"/>
    <w:rsid w:val="7F7D3E25"/>
    <w:rsid w:val="7F823000"/>
    <w:rsid w:val="7FB96D03"/>
    <w:rsid w:val="7FC80F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4"/>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6"/>
    <w:autoRedefine/>
    <w:qFormat/>
    <w:uiPriority w:val="0"/>
    <w:pPr>
      <w:keepNext/>
      <w:keepLines/>
      <w:adjustRightInd w:val="0"/>
      <w:spacing w:before="260" w:after="260" w:line="416" w:lineRule="atLeast"/>
      <w:textAlignment w:val="baseline"/>
      <w:outlineLvl w:val="1"/>
    </w:pPr>
    <w:rPr>
      <w:rFonts w:ascii="Arial" w:hAnsi="Arial" w:eastAsia="黑体"/>
      <w:b/>
      <w:kern w:val="0"/>
      <w:sz w:val="32"/>
      <w:szCs w:val="20"/>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27"/>
    <w:autoRedefine/>
    <w:qFormat/>
    <w:uiPriority w:val="0"/>
    <w:pPr>
      <w:spacing w:after="120"/>
    </w:pPr>
  </w:style>
  <w:style w:type="paragraph" w:styleId="3">
    <w:name w:val="Body Text First Indent"/>
    <w:basedOn w:val="2"/>
    <w:autoRedefine/>
    <w:semiHidden/>
    <w:unhideWhenUsed/>
    <w:qFormat/>
    <w:uiPriority w:val="99"/>
    <w:pPr>
      <w:ind w:firstLine="420" w:firstLineChars="100"/>
    </w:pPr>
  </w:style>
  <w:style w:type="paragraph" w:styleId="6">
    <w:name w:val="annotation text"/>
    <w:basedOn w:val="1"/>
    <w:link w:val="28"/>
    <w:autoRedefine/>
    <w:qFormat/>
    <w:uiPriority w:val="0"/>
    <w:pPr>
      <w:jc w:val="left"/>
    </w:pPr>
  </w:style>
  <w:style w:type="paragraph" w:styleId="7">
    <w:name w:val="Plain Text"/>
    <w:basedOn w:val="1"/>
    <w:link w:val="29"/>
    <w:autoRedefine/>
    <w:qFormat/>
    <w:uiPriority w:val="0"/>
    <w:rPr>
      <w:rFonts w:ascii="宋体" w:hAnsi="Courier New"/>
      <w:szCs w:val="20"/>
    </w:rPr>
  </w:style>
  <w:style w:type="paragraph" w:styleId="8">
    <w:name w:val="Balloon Text"/>
    <w:basedOn w:val="1"/>
    <w:link w:val="35"/>
    <w:autoRedefine/>
    <w:semiHidden/>
    <w:unhideWhenUsed/>
    <w:qFormat/>
    <w:uiPriority w:val="99"/>
    <w:rPr>
      <w:sz w:val="18"/>
      <w:szCs w:val="18"/>
    </w:rPr>
  </w:style>
  <w:style w:type="paragraph" w:styleId="9">
    <w:name w:val="footer"/>
    <w:basedOn w:val="1"/>
    <w:link w:val="25"/>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24"/>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toc 1"/>
    <w:basedOn w:val="1"/>
    <w:next w:val="1"/>
    <w:autoRedefine/>
    <w:qFormat/>
    <w:uiPriority w:val="39"/>
    <w:pPr>
      <w:tabs>
        <w:tab w:val="left" w:pos="1260"/>
        <w:tab w:val="right" w:leader="dot" w:pos="8722"/>
      </w:tabs>
      <w:adjustRightInd w:val="0"/>
      <w:spacing w:line="480" w:lineRule="auto"/>
      <w:textAlignment w:val="baseline"/>
    </w:pPr>
    <w:rPr>
      <w:b/>
      <w:kern w:val="0"/>
      <w:sz w:val="24"/>
      <w:szCs w:val="20"/>
    </w:rPr>
  </w:style>
  <w:style w:type="paragraph" w:styleId="12">
    <w:name w:val="toc 2"/>
    <w:basedOn w:val="1"/>
    <w:next w:val="1"/>
    <w:autoRedefine/>
    <w:qFormat/>
    <w:uiPriority w:val="39"/>
    <w:pPr>
      <w:tabs>
        <w:tab w:val="right" w:leader="dot" w:pos="8722"/>
      </w:tabs>
      <w:adjustRightInd w:val="0"/>
      <w:spacing w:before="60" w:after="60" w:line="360" w:lineRule="atLeast"/>
      <w:ind w:left="180" w:leftChars="75"/>
      <w:textAlignment w:val="baseline"/>
    </w:pPr>
    <w:rPr>
      <w:kern w:val="0"/>
      <w:sz w:val="24"/>
      <w:szCs w:val="20"/>
    </w:rPr>
  </w:style>
  <w:style w:type="paragraph" w:styleId="13">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Title"/>
    <w:basedOn w:val="1"/>
    <w:next w:val="1"/>
    <w:link w:val="30"/>
    <w:autoRedefine/>
    <w:qFormat/>
    <w:uiPriority w:val="10"/>
    <w:pPr>
      <w:autoSpaceDE w:val="0"/>
      <w:autoSpaceDN w:val="0"/>
      <w:adjustRightInd w:val="0"/>
      <w:spacing w:before="240" w:after="60"/>
      <w:jc w:val="center"/>
      <w:outlineLvl w:val="0"/>
    </w:pPr>
    <w:rPr>
      <w:rFonts w:ascii="Cambria" w:hAnsi="Cambria"/>
      <w:b/>
      <w:bCs/>
      <w:kern w:val="0"/>
      <w:sz w:val="32"/>
      <w:szCs w:val="32"/>
    </w:rPr>
  </w:style>
  <w:style w:type="paragraph" w:styleId="15">
    <w:name w:val="annotation subject"/>
    <w:basedOn w:val="6"/>
    <w:next w:val="6"/>
    <w:link w:val="40"/>
    <w:autoRedefine/>
    <w:semiHidden/>
    <w:unhideWhenUsed/>
    <w:qFormat/>
    <w:uiPriority w:val="99"/>
    <w:rPr>
      <w:b/>
      <w:bCs/>
    </w:rPr>
  </w:style>
  <w:style w:type="table" w:styleId="17">
    <w:name w:val="Table Grid"/>
    <w:basedOn w:val="16"/>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autoRedefine/>
    <w:qFormat/>
    <w:uiPriority w:val="0"/>
  </w:style>
  <w:style w:type="character" w:styleId="20">
    <w:name w:val="FollowedHyperlink"/>
    <w:basedOn w:val="18"/>
    <w:autoRedefine/>
    <w:semiHidden/>
    <w:unhideWhenUsed/>
    <w:qFormat/>
    <w:uiPriority w:val="99"/>
    <w:rPr>
      <w:color w:val="800080" w:themeColor="followedHyperlink"/>
      <w:u w:val="single"/>
      <w14:textFill>
        <w14:solidFill>
          <w14:schemeClr w14:val="folHlink"/>
        </w14:solidFill>
      </w14:textFill>
    </w:rPr>
  </w:style>
  <w:style w:type="character" w:styleId="21">
    <w:name w:val="Hyperlink"/>
    <w:autoRedefine/>
    <w:qFormat/>
    <w:uiPriority w:val="99"/>
    <w:rPr>
      <w:color w:val="0000FF"/>
      <w:u w:val="single"/>
    </w:rPr>
  </w:style>
  <w:style w:type="character" w:styleId="22">
    <w:name w:val="annotation reference"/>
    <w:autoRedefine/>
    <w:qFormat/>
    <w:uiPriority w:val="0"/>
    <w:rPr>
      <w:sz w:val="21"/>
      <w:szCs w:val="21"/>
    </w:rPr>
  </w:style>
  <w:style w:type="paragraph" w:customStyle="1" w:styleId="23">
    <w:name w:val="文档正文"/>
    <w:basedOn w:val="1"/>
    <w:autoRedefine/>
    <w:qFormat/>
    <w:uiPriority w:val="0"/>
    <w:pPr>
      <w:spacing w:line="360" w:lineRule="auto"/>
    </w:pPr>
    <w:rPr>
      <w:rFonts w:cs="Arial"/>
      <w:bCs/>
    </w:rPr>
  </w:style>
  <w:style w:type="character" w:customStyle="1" w:styleId="24">
    <w:name w:val="页眉 字符"/>
    <w:basedOn w:val="18"/>
    <w:link w:val="10"/>
    <w:autoRedefine/>
    <w:qFormat/>
    <w:uiPriority w:val="99"/>
    <w:rPr>
      <w:sz w:val="18"/>
      <w:szCs w:val="18"/>
    </w:rPr>
  </w:style>
  <w:style w:type="character" w:customStyle="1" w:styleId="25">
    <w:name w:val="页脚 字符"/>
    <w:basedOn w:val="18"/>
    <w:link w:val="9"/>
    <w:autoRedefine/>
    <w:qFormat/>
    <w:uiPriority w:val="99"/>
    <w:rPr>
      <w:sz w:val="18"/>
      <w:szCs w:val="18"/>
    </w:rPr>
  </w:style>
  <w:style w:type="character" w:customStyle="1" w:styleId="26">
    <w:name w:val="标题 2 字符"/>
    <w:basedOn w:val="18"/>
    <w:link w:val="5"/>
    <w:autoRedefine/>
    <w:qFormat/>
    <w:uiPriority w:val="0"/>
    <w:rPr>
      <w:rFonts w:ascii="Arial" w:hAnsi="Arial" w:eastAsia="黑体" w:cs="Times New Roman"/>
      <w:b/>
      <w:kern w:val="0"/>
      <w:sz w:val="32"/>
      <w:szCs w:val="20"/>
    </w:rPr>
  </w:style>
  <w:style w:type="character" w:customStyle="1" w:styleId="27">
    <w:name w:val="正文文本 字符"/>
    <w:basedOn w:val="18"/>
    <w:link w:val="2"/>
    <w:autoRedefine/>
    <w:qFormat/>
    <w:uiPriority w:val="0"/>
    <w:rPr>
      <w:rFonts w:ascii="Times New Roman" w:hAnsi="Times New Roman" w:eastAsia="宋体" w:cs="Times New Roman"/>
      <w:szCs w:val="24"/>
    </w:rPr>
  </w:style>
  <w:style w:type="character" w:customStyle="1" w:styleId="28">
    <w:name w:val="批注文字 字符"/>
    <w:basedOn w:val="18"/>
    <w:link w:val="6"/>
    <w:autoRedefine/>
    <w:qFormat/>
    <w:uiPriority w:val="0"/>
    <w:rPr>
      <w:rFonts w:ascii="Times New Roman" w:hAnsi="Times New Roman" w:eastAsia="宋体" w:cs="Times New Roman"/>
      <w:szCs w:val="24"/>
    </w:rPr>
  </w:style>
  <w:style w:type="character" w:customStyle="1" w:styleId="29">
    <w:name w:val="纯文本 字符"/>
    <w:basedOn w:val="18"/>
    <w:link w:val="7"/>
    <w:autoRedefine/>
    <w:qFormat/>
    <w:uiPriority w:val="0"/>
    <w:rPr>
      <w:rFonts w:ascii="宋体" w:hAnsi="Courier New" w:eastAsia="宋体" w:cs="Times New Roman"/>
      <w:szCs w:val="20"/>
    </w:rPr>
  </w:style>
  <w:style w:type="character" w:customStyle="1" w:styleId="30">
    <w:name w:val="标题 字符"/>
    <w:basedOn w:val="18"/>
    <w:link w:val="14"/>
    <w:autoRedefine/>
    <w:qFormat/>
    <w:uiPriority w:val="10"/>
    <w:rPr>
      <w:rFonts w:ascii="Cambria" w:hAnsi="Cambria" w:eastAsia="宋体" w:cs="Times New Roman"/>
      <w:b/>
      <w:bCs/>
      <w:kern w:val="0"/>
      <w:sz w:val="32"/>
      <w:szCs w:val="32"/>
    </w:rPr>
  </w:style>
  <w:style w:type="paragraph" w:customStyle="1" w:styleId="31">
    <w:name w:val="_Style 109"/>
    <w:basedOn w:val="4"/>
    <w:next w:val="1"/>
    <w:autoRedefine/>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32">
    <w:name w:val="页眉 Char1"/>
    <w:autoRedefine/>
    <w:qFormat/>
    <w:uiPriority w:val="0"/>
    <w:rPr>
      <w:kern w:val="2"/>
      <w:sz w:val="18"/>
      <w:szCs w:val="18"/>
    </w:rPr>
  </w:style>
  <w:style w:type="character" w:customStyle="1" w:styleId="33">
    <w:name w:val="页脚 Char1"/>
    <w:autoRedefine/>
    <w:qFormat/>
    <w:uiPriority w:val="0"/>
    <w:rPr>
      <w:kern w:val="2"/>
      <w:sz w:val="18"/>
      <w:szCs w:val="18"/>
    </w:rPr>
  </w:style>
  <w:style w:type="character" w:customStyle="1" w:styleId="34">
    <w:name w:val="标题 1 字符"/>
    <w:basedOn w:val="18"/>
    <w:link w:val="4"/>
    <w:autoRedefine/>
    <w:qFormat/>
    <w:uiPriority w:val="9"/>
    <w:rPr>
      <w:rFonts w:ascii="Times New Roman" w:hAnsi="Times New Roman" w:eastAsia="宋体" w:cs="Times New Roman"/>
      <w:b/>
      <w:bCs/>
      <w:kern w:val="44"/>
      <w:sz w:val="44"/>
      <w:szCs w:val="44"/>
    </w:rPr>
  </w:style>
  <w:style w:type="character" w:customStyle="1" w:styleId="35">
    <w:name w:val="批注框文本 字符"/>
    <w:basedOn w:val="18"/>
    <w:link w:val="8"/>
    <w:autoRedefine/>
    <w:semiHidden/>
    <w:qFormat/>
    <w:uiPriority w:val="99"/>
    <w:rPr>
      <w:rFonts w:ascii="Times New Roman" w:hAnsi="Times New Roman" w:eastAsia="宋体" w:cs="Times New Roman"/>
      <w:sz w:val="18"/>
      <w:szCs w:val="18"/>
    </w:rPr>
  </w:style>
  <w:style w:type="paragraph" w:styleId="36">
    <w:name w:val="List Paragraph"/>
    <w:basedOn w:val="1"/>
    <w:autoRedefine/>
    <w:qFormat/>
    <w:uiPriority w:val="34"/>
    <w:pPr>
      <w:ind w:firstLine="420" w:firstLineChars="200"/>
    </w:pPr>
    <w:rPr>
      <w:rFonts w:ascii="Calibri" w:hAnsi="Calibri"/>
      <w:szCs w:val="22"/>
    </w:rPr>
  </w:style>
  <w:style w:type="paragraph" w:customStyle="1" w:styleId="37">
    <w:name w:val="列出段落1"/>
    <w:basedOn w:val="1"/>
    <w:link w:val="39"/>
    <w:autoRedefine/>
    <w:qFormat/>
    <w:uiPriority w:val="34"/>
    <w:pPr>
      <w:ind w:firstLine="420" w:firstLineChars="200"/>
    </w:pPr>
    <w:rPr>
      <w:rFonts w:ascii="Calibri" w:hAnsi="Calibri"/>
      <w:szCs w:val="22"/>
    </w:rPr>
  </w:style>
  <w:style w:type="paragraph" w:customStyle="1" w:styleId="38">
    <w:name w:val="p0"/>
    <w:basedOn w:val="1"/>
    <w:autoRedefine/>
    <w:qFormat/>
    <w:uiPriority w:val="99"/>
    <w:pPr>
      <w:widowControl/>
    </w:pPr>
    <w:rPr>
      <w:rFonts w:hAnsi="Calibri"/>
      <w:kern w:val="0"/>
      <w:szCs w:val="20"/>
    </w:rPr>
  </w:style>
  <w:style w:type="character" w:customStyle="1" w:styleId="39">
    <w:name w:val="List Paragraph Char"/>
    <w:link w:val="37"/>
    <w:autoRedefine/>
    <w:qFormat/>
    <w:locked/>
    <w:uiPriority w:val="34"/>
    <w:rPr>
      <w:rFonts w:ascii="Calibri" w:hAnsi="Calibri" w:eastAsia="宋体" w:cs="Times New Roman"/>
    </w:rPr>
  </w:style>
  <w:style w:type="character" w:customStyle="1" w:styleId="40">
    <w:name w:val="批注主题 字符"/>
    <w:basedOn w:val="28"/>
    <w:link w:val="15"/>
    <w:autoRedefine/>
    <w:semiHidden/>
    <w:qFormat/>
    <w:uiPriority w:val="99"/>
    <w:rPr>
      <w:rFonts w:ascii="Times New Roman" w:hAnsi="Times New Roman" w:eastAsia="宋体" w:cs="Times New Roman"/>
      <w:b/>
      <w:bCs/>
      <w:szCs w:val="24"/>
    </w:rPr>
  </w:style>
  <w:style w:type="paragraph" w:customStyle="1" w:styleId="41">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42">
    <w:name w:val="正文缩进2格 Char"/>
    <w:link w:val="43"/>
    <w:autoRedefine/>
    <w:qFormat/>
    <w:uiPriority w:val="0"/>
    <w:rPr>
      <w:rFonts w:ascii="仿宋_GB2312" w:hAnsi="宋体" w:eastAsia="仿宋_GB2312"/>
      <w:sz w:val="31"/>
      <w:szCs w:val="28"/>
    </w:rPr>
  </w:style>
  <w:style w:type="paragraph" w:customStyle="1" w:styleId="43">
    <w:name w:val="正文缩进2格"/>
    <w:basedOn w:val="1"/>
    <w:link w:val="42"/>
    <w:autoRedefine/>
    <w:qFormat/>
    <w:uiPriority w:val="0"/>
    <w:pPr>
      <w:spacing w:line="600" w:lineRule="exact"/>
      <w:ind w:firstLine="639" w:firstLineChars="206"/>
    </w:pPr>
    <w:rPr>
      <w:rFonts w:ascii="仿宋_GB2312" w:hAnsi="宋体" w:eastAsia="仿宋_GB2312" w:cstheme="minorBidi"/>
      <w:sz w:val="31"/>
      <w:szCs w:val="28"/>
    </w:rPr>
  </w:style>
  <w:style w:type="paragraph" w:customStyle="1" w:styleId="44">
    <w:name w:val="彩色列表 - 强调文字颜色 11"/>
    <w:basedOn w:val="1"/>
    <w:autoRedefine/>
    <w:qFormat/>
    <w:uiPriority w:val="34"/>
    <w:pPr>
      <w:autoSpaceDE w:val="0"/>
      <w:autoSpaceDN w:val="0"/>
      <w:adjustRightInd w:val="0"/>
      <w:ind w:firstLine="420" w:firstLineChars="200"/>
      <w:jc w:val="left"/>
    </w:pPr>
    <w:rPr>
      <w:rFonts w:ascii="宋体"/>
      <w:kern w:val="0"/>
      <w:sz w:val="24"/>
    </w:rPr>
  </w:style>
  <w:style w:type="paragraph" w:customStyle="1" w:styleId="45">
    <w:name w:val="_Style 2"/>
    <w:basedOn w:val="1"/>
    <w:autoRedefine/>
    <w:qFormat/>
    <w:uiPriority w:val="0"/>
    <w:pPr>
      <w:spacing w:line="360" w:lineRule="auto"/>
      <w:ind w:firstLine="420" w:firstLineChars="200"/>
    </w:pPr>
    <w:rPr>
      <w:rFonts w:ascii="Calibri" w:hAnsi="Calibri" w:eastAsiaTheme="minorEastAsia" w:cstheme="minorBidi"/>
      <w:szCs w:val="22"/>
    </w:rPr>
  </w:style>
  <w:style w:type="paragraph" w:customStyle="1" w:styleId="46">
    <w:name w:val="Table Paragraph"/>
    <w:basedOn w:val="1"/>
    <w:autoRedefine/>
    <w:qFormat/>
    <w:uiPriority w:val="1"/>
    <w:pPr>
      <w:autoSpaceDE w:val="0"/>
      <w:autoSpaceDN w:val="0"/>
      <w:adjustRightInd w:val="0"/>
      <w:jc w:val="left"/>
    </w:pPr>
    <w:rPr>
      <w:kern w:val="0"/>
      <w:sz w:val="24"/>
    </w:rPr>
  </w:style>
  <w:style w:type="table" w:customStyle="1" w:styleId="47">
    <w:name w:val="Table Normal"/>
    <w:autoRedefine/>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48">
    <w:name w:val="font01"/>
    <w:basedOn w:val="18"/>
    <w:autoRedefine/>
    <w:qFormat/>
    <w:uiPriority w:val="0"/>
    <w:rPr>
      <w:rFonts w:hint="eastAsia" w:ascii="宋体" w:hAnsi="宋体" w:eastAsia="宋体" w:cs="宋体"/>
      <w:color w:val="000000"/>
      <w:sz w:val="21"/>
      <w:szCs w:val="21"/>
      <w:u w:val="none"/>
    </w:rPr>
  </w:style>
  <w:style w:type="paragraph" w:customStyle="1" w:styleId="4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标题 3_0"/>
    <w:basedOn w:val="1"/>
    <w:next w:val="1"/>
    <w:autoRedefine/>
    <w:qFormat/>
    <w:uiPriority w:val="0"/>
    <w:pPr>
      <w:keepNext/>
      <w:keepLines/>
      <w:spacing w:before="260" w:after="260" w:line="416" w:lineRule="auto"/>
      <w:outlineLvl w:val="2"/>
    </w:pPr>
    <w:rPr>
      <w:b/>
      <w:bCs/>
      <w:kern w:val="0"/>
      <w:sz w:val="32"/>
      <w:szCs w:val="32"/>
    </w:rPr>
  </w:style>
  <w:style w:type="paragraph" w:customStyle="1" w:styleId="51">
    <w:name w:val="WPSOffice手动目录 1"/>
    <w:autoRedefine/>
    <w:qFormat/>
    <w:uiPriority w:val="0"/>
    <w:pPr>
      <w:ind w:leftChars="0"/>
    </w:pPr>
    <w:rPr>
      <w:rFonts w:ascii="Times New Roman" w:hAnsi="Times New Roman" w:eastAsia="宋体" w:cs="Times New Roman"/>
      <w:sz w:val="20"/>
      <w:szCs w:val="20"/>
    </w:rPr>
  </w:style>
  <w:style w:type="paragraph" w:customStyle="1" w:styleId="52">
    <w:name w:val="WPSOffice手动目录 2"/>
    <w:autoRedefine/>
    <w:qFormat/>
    <w:uiPriority w:val="0"/>
    <w:pPr>
      <w:ind w:leftChars="200"/>
    </w:pPr>
    <w:rPr>
      <w:rFonts w:ascii="Times New Roman" w:hAnsi="Times New Roman" w:eastAsia="宋体" w:cs="Times New Roman"/>
      <w:sz w:val="20"/>
      <w:szCs w:val="20"/>
    </w:rPr>
  </w:style>
  <w:style w:type="paragraph" w:customStyle="1" w:styleId="53">
    <w:name w:val="正文文本缩进 21"/>
    <w:basedOn w:val="1"/>
    <w:autoRedefine/>
    <w:qFormat/>
    <w:uiPriority w:val="0"/>
    <w:pPr>
      <w:adjustRightInd w:val="0"/>
      <w:spacing w:line="480" w:lineRule="auto"/>
      <w:ind w:firstLine="540"/>
      <w:textAlignment w:val="baseline"/>
    </w:pPr>
    <w:rPr>
      <w:rFonts w:ascii="Calibri" w:hAnsi="Calibri"/>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547BD0-506F-448A-8405-D0F865824312}">
  <ds:schemaRefs/>
</ds:datastoreItem>
</file>

<file path=docProps/app.xml><?xml version="1.0" encoding="utf-8"?>
<Properties xmlns="http://schemas.openxmlformats.org/officeDocument/2006/extended-properties" xmlns:vt="http://schemas.openxmlformats.org/officeDocument/2006/docPropsVTypes">
  <Template>Normal</Template>
  <Pages>47</Pages>
  <Words>23018</Words>
  <Characters>24072</Characters>
  <Lines>174</Lines>
  <Paragraphs>49</Paragraphs>
  <TotalTime>7</TotalTime>
  <ScaleCrop>false</ScaleCrop>
  <LinksUpToDate>false</LinksUpToDate>
  <CharactersWithSpaces>25608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2020-10-21T04:32:00Z</dcterms:created>
  <dc:creator>廖 懿富</dc:creator>
  <cp:lastModifiedBy>卓越</cp:lastModifiedBy>
  <cp:lastPrinted>2022-11-28T01:22:00Z</cp:lastPrinted>
  <dcterms:modified xsi:type="dcterms:W3CDTF">2024-04-07T08:29:47Z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E4F637D083204DAABCB3E35D50424367</vt:lpwstr>
  </property>
</Properties>
</file>